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110FB" w:rsidRDefault="003F43E6" w:rsidP="00122CE1">
      <w:pPr>
        <w:pStyle w:val="Header"/>
        <w:tabs>
          <w:tab w:val="left" w:pos="1620"/>
          <w:tab w:val="left" w:pos="1710"/>
        </w:tabs>
        <w:jc w:val="center"/>
        <w:rPr>
          <w:b/>
          <w:sz w:val="32"/>
        </w:rPr>
      </w:pPr>
      <w:r w:rsidRPr="00C110FB">
        <w:rPr>
          <w:b/>
          <w:sz w:val="32"/>
        </w:rPr>
        <w:t>Supreme Court of Canada / Cour suprême du Canada</w:t>
      </w:r>
    </w:p>
    <w:p w:rsidR="003F43E6" w:rsidRPr="00C110FB" w:rsidRDefault="003F43E6" w:rsidP="006F2579">
      <w:pPr>
        <w:widowControl w:val="0"/>
        <w:rPr>
          <w:i/>
        </w:rPr>
      </w:pPr>
    </w:p>
    <w:p w:rsidR="006F2579" w:rsidRPr="00C110FB" w:rsidRDefault="006F2579" w:rsidP="006F2579">
      <w:pPr>
        <w:widowControl w:val="0"/>
        <w:rPr>
          <w:i/>
        </w:rPr>
      </w:pPr>
      <w:r w:rsidRPr="00C110FB">
        <w:rPr>
          <w:i/>
        </w:rPr>
        <w:t>(le français suit)</w:t>
      </w:r>
    </w:p>
    <w:p w:rsidR="006F2579" w:rsidRPr="00C110FB" w:rsidRDefault="006F2579" w:rsidP="006F2579">
      <w:pPr>
        <w:widowControl w:val="0"/>
      </w:pPr>
    </w:p>
    <w:p w:rsidR="006F2579" w:rsidRPr="00C110FB" w:rsidRDefault="00B07908" w:rsidP="006F2579">
      <w:pPr>
        <w:widowControl w:val="0"/>
        <w:jc w:val="center"/>
        <w:rPr>
          <w:b/>
        </w:rPr>
      </w:pPr>
      <w:r w:rsidRPr="00C110FB">
        <w:fldChar w:fldCharType="begin"/>
      </w:r>
      <w:r w:rsidR="006F2579" w:rsidRPr="00C110FB">
        <w:instrText xml:space="preserve"> SEQ CHAPTER \h \r 1</w:instrText>
      </w:r>
      <w:r w:rsidRPr="00C110FB">
        <w:fldChar w:fldCharType="end"/>
      </w:r>
      <w:r w:rsidR="006F2579" w:rsidRPr="00C110FB">
        <w:rPr>
          <w:b/>
        </w:rPr>
        <w:t>JUDGMENT</w:t>
      </w:r>
      <w:r w:rsidR="00B17AAC" w:rsidRPr="00C110FB">
        <w:rPr>
          <w:b/>
        </w:rPr>
        <w:t>S</w:t>
      </w:r>
      <w:r w:rsidR="006F2579" w:rsidRPr="00C110FB">
        <w:rPr>
          <w:b/>
        </w:rPr>
        <w:t xml:space="preserve"> TO B</w:t>
      </w:r>
      <w:r w:rsidR="00001846" w:rsidRPr="00C110FB">
        <w:rPr>
          <w:b/>
        </w:rPr>
        <w:t>E RENDERED IN LEAVE APPLICATION</w:t>
      </w:r>
      <w:r w:rsidR="00E94FDF" w:rsidRPr="00C110FB">
        <w:rPr>
          <w:b/>
        </w:rPr>
        <w:t>S</w:t>
      </w:r>
    </w:p>
    <w:p w:rsidR="006F2579" w:rsidRPr="00C110FB" w:rsidRDefault="006F2579" w:rsidP="006F2579">
      <w:pPr>
        <w:widowControl w:val="0"/>
      </w:pPr>
    </w:p>
    <w:p w:rsidR="006F2579" w:rsidRPr="00C110FB" w:rsidRDefault="00685F7C" w:rsidP="006F2579">
      <w:pPr>
        <w:widowControl w:val="0"/>
        <w:rPr>
          <w:b/>
        </w:rPr>
      </w:pPr>
      <w:r>
        <w:rPr>
          <w:b/>
        </w:rPr>
        <w:t>January</w:t>
      </w:r>
      <w:r w:rsidR="00FD37D0" w:rsidRPr="00C110FB">
        <w:rPr>
          <w:b/>
        </w:rPr>
        <w:t xml:space="preserve"> </w:t>
      </w:r>
      <w:r w:rsidR="009F28F7">
        <w:rPr>
          <w:b/>
        </w:rPr>
        <w:t>29</w:t>
      </w:r>
      <w:r w:rsidR="00AB5538" w:rsidRPr="00C110FB">
        <w:rPr>
          <w:b/>
        </w:rPr>
        <w:t>,</w:t>
      </w:r>
      <w:r w:rsidR="006F2579" w:rsidRPr="00C110FB">
        <w:rPr>
          <w:b/>
        </w:rPr>
        <w:t xml:space="preserve"> </w:t>
      </w:r>
      <w:r w:rsidR="0054689F" w:rsidRPr="00C110FB">
        <w:rPr>
          <w:b/>
        </w:rPr>
        <w:t>201</w:t>
      </w:r>
      <w:r>
        <w:rPr>
          <w:b/>
        </w:rPr>
        <w:t>8</w:t>
      </w:r>
    </w:p>
    <w:p w:rsidR="006F2579" w:rsidRPr="00C110FB" w:rsidRDefault="00674F39" w:rsidP="006F2579">
      <w:pPr>
        <w:widowControl w:val="0"/>
        <w:rPr>
          <w:b/>
        </w:rPr>
      </w:pPr>
      <w:r w:rsidRPr="00C110FB">
        <w:rPr>
          <w:b/>
        </w:rPr>
        <w:t>For immediate release</w:t>
      </w:r>
    </w:p>
    <w:p w:rsidR="006F2579" w:rsidRPr="00C110FB" w:rsidRDefault="006F2579" w:rsidP="006F2579">
      <w:pPr>
        <w:widowControl w:val="0"/>
      </w:pPr>
    </w:p>
    <w:p w:rsidR="006F2579" w:rsidRPr="00F15692" w:rsidRDefault="006F2579" w:rsidP="006F2579">
      <w:pPr>
        <w:widowControl w:val="0"/>
        <w:rPr>
          <w:lang w:val="fr-CA"/>
        </w:rPr>
      </w:pPr>
      <w:r w:rsidRPr="00C110FB">
        <w:rPr>
          <w:b/>
        </w:rPr>
        <w:t>OTTAWA</w:t>
      </w:r>
      <w:r w:rsidRPr="00C110FB">
        <w:t xml:space="preserve"> – The Supreme Court of Canad</w:t>
      </w:r>
      <w:r w:rsidR="006246E4" w:rsidRPr="00C110FB">
        <w:t>a</w:t>
      </w:r>
      <w:r w:rsidRPr="00C110FB">
        <w:t xml:space="preserve"> announced today that judgment in the following application</w:t>
      </w:r>
      <w:r w:rsidR="008600ED" w:rsidRPr="00C110FB">
        <w:t>s</w:t>
      </w:r>
      <w:r w:rsidRPr="00C110FB">
        <w:t xml:space="preserve"> for leave to appeal will be delivered at 9:45 a.m. E</w:t>
      </w:r>
      <w:r w:rsidR="00213196" w:rsidRPr="00C110FB">
        <w:t>S</w:t>
      </w:r>
      <w:r w:rsidRPr="00C110FB">
        <w:t xml:space="preserve">T on Thursday, </w:t>
      </w:r>
      <w:r w:rsidR="009F28F7">
        <w:t>February</w:t>
      </w:r>
      <w:r w:rsidR="00780317" w:rsidRPr="00C110FB">
        <w:t xml:space="preserve"> </w:t>
      </w:r>
      <w:r w:rsidR="00685F7C">
        <w:t>1</w:t>
      </w:r>
      <w:r w:rsidR="007E112F" w:rsidRPr="00C110FB">
        <w:t>,</w:t>
      </w:r>
      <w:r w:rsidR="002F38D7" w:rsidRPr="00C110FB">
        <w:t xml:space="preserve"> </w:t>
      </w:r>
      <w:r w:rsidR="006648D1" w:rsidRPr="00C110FB">
        <w:t>201</w:t>
      </w:r>
      <w:r w:rsidR="00685F7C">
        <w:t>8</w:t>
      </w:r>
      <w:r w:rsidRPr="00C110FB">
        <w:t xml:space="preserve">. </w:t>
      </w:r>
      <w:r w:rsidRPr="00F15692">
        <w:rPr>
          <w:lang w:val="fr-CA"/>
        </w:rPr>
        <w:t>This list is subject to chang</w:t>
      </w:r>
      <w:r w:rsidR="00192F7F" w:rsidRPr="00F15692">
        <w:rPr>
          <w:lang w:val="fr-CA"/>
        </w:rPr>
        <w:t>e</w:t>
      </w:r>
      <w:r w:rsidRPr="00F15692">
        <w:rPr>
          <w:lang w:val="fr-CA"/>
        </w:rPr>
        <w:t>.</w:t>
      </w:r>
    </w:p>
    <w:p w:rsidR="00FF5AA4" w:rsidRPr="00F15692" w:rsidRDefault="00FF5AA4" w:rsidP="006F2579">
      <w:pPr>
        <w:widowControl w:val="0"/>
        <w:rPr>
          <w:lang w:val="fr-CA"/>
        </w:rPr>
      </w:pPr>
    </w:p>
    <w:p w:rsidR="00B43418" w:rsidRPr="00F15692" w:rsidRDefault="00B43418" w:rsidP="006F2579">
      <w:pPr>
        <w:widowControl w:val="0"/>
        <w:rPr>
          <w:lang w:val="fr-CA"/>
        </w:rPr>
      </w:pPr>
    </w:p>
    <w:p w:rsidR="006F2579" w:rsidRPr="00C110FB" w:rsidRDefault="006F2579" w:rsidP="006F2579">
      <w:pPr>
        <w:widowControl w:val="0"/>
        <w:jc w:val="center"/>
        <w:rPr>
          <w:lang w:val="fr-CA"/>
        </w:rPr>
      </w:pPr>
      <w:r w:rsidRPr="00C110FB">
        <w:rPr>
          <w:b/>
          <w:lang w:val="fr-CA"/>
        </w:rPr>
        <w:t>PROCHAIN</w:t>
      </w:r>
      <w:r w:rsidR="00B17AAC" w:rsidRPr="00C110FB">
        <w:rPr>
          <w:b/>
          <w:lang w:val="fr-CA"/>
        </w:rPr>
        <w:t>S</w:t>
      </w:r>
      <w:r w:rsidRPr="00C110FB">
        <w:rPr>
          <w:b/>
          <w:lang w:val="fr-CA"/>
        </w:rPr>
        <w:t xml:space="preserve"> JUGEMENT</w:t>
      </w:r>
      <w:r w:rsidR="00B17AAC" w:rsidRPr="00C110FB">
        <w:rPr>
          <w:b/>
          <w:lang w:val="fr-CA"/>
        </w:rPr>
        <w:t>S</w:t>
      </w:r>
      <w:r w:rsidR="00001846" w:rsidRPr="00C110FB">
        <w:rPr>
          <w:b/>
          <w:lang w:val="fr-CA"/>
        </w:rPr>
        <w:t xml:space="preserve"> SUR DEMANDE</w:t>
      </w:r>
      <w:r w:rsidR="00B17AAC" w:rsidRPr="00C110FB">
        <w:rPr>
          <w:b/>
          <w:lang w:val="fr-CA"/>
        </w:rPr>
        <w:t>S</w:t>
      </w:r>
      <w:r w:rsidRPr="00C110FB">
        <w:rPr>
          <w:b/>
          <w:lang w:val="fr-CA"/>
        </w:rPr>
        <w:t xml:space="preserve"> D’AUTORISATION</w:t>
      </w:r>
    </w:p>
    <w:p w:rsidR="006F2579" w:rsidRPr="00C110FB" w:rsidRDefault="006F2579" w:rsidP="006F2579">
      <w:pPr>
        <w:widowControl w:val="0"/>
        <w:rPr>
          <w:lang w:val="fr-CA"/>
        </w:rPr>
      </w:pPr>
    </w:p>
    <w:p w:rsidR="006F2579" w:rsidRPr="00C110FB" w:rsidRDefault="006F2579" w:rsidP="006F2579">
      <w:pPr>
        <w:widowControl w:val="0"/>
        <w:rPr>
          <w:b/>
          <w:lang w:val="fr-CA"/>
        </w:rPr>
      </w:pPr>
      <w:r w:rsidRPr="00C110FB">
        <w:rPr>
          <w:b/>
          <w:lang w:val="fr-CA"/>
        </w:rPr>
        <w:t>Le</w:t>
      </w:r>
      <w:r w:rsidR="00957A76" w:rsidRPr="00C110FB">
        <w:rPr>
          <w:b/>
          <w:lang w:val="fr-CA"/>
        </w:rPr>
        <w:t xml:space="preserve"> </w:t>
      </w:r>
      <w:r w:rsidR="009F28F7">
        <w:rPr>
          <w:b/>
          <w:lang w:val="fr-CA"/>
        </w:rPr>
        <w:t>29</w:t>
      </w:r>
      <w:r w:rsidR="00FD37D0" w:rsidRPr="00C110FB">
        <w:rPr>
          <w:b/>
          <w:lang w:val="fr-CA"/>
        </w:rPr>
        <w:t xml:space="preserve"> </w:t>
      </w:r>
      <w:r w:rsidR="00685F7C">
        <w:rPr>
          <w:b/>
          <w:lang w:val="fr-CA"/>
        </w:rPr>
        <w:t>janvier</w:t>
      </w:r>
      <w:r w:rsidR="00A151D1" w:rsidRPr="00C110FB">
        <w:rPr>
          <w:b/>
          <w:lang w:val="fr-CA"/>
        </w:rPr>
        <w:t xml:space="preserve"> 201</w:t>
      </w:r>
      <w:r w:rsidR="00685F7C">
        <w:rPr>
          <w:b/>
          <w:lang w:val="fr-CA"/>
        </w:rPr>
        <w:t>8</w:t>
      </w:r>
    </w:p>
    <w:p w:rsidR="006F2579" w:rsidRPr="00C110FB" w:rsidRDefault="006F2579" w:rsidP="006F2579">
      <w:pPr>
        <w:widowControl w:val="0"/>
        <w:rPr>
          <w:b/>
          <w:lang w:val="fr-CA"/>
        </w:rPr>
      </w:pPr>
      <w:r w:rsidRPr="00C110FB">
        <w:rPr>
          <w:b/>
          <w:lang w:val="fr-CA"/>
        </w:rPr>
        <w:t>Pour diffusion immédiate</w:t>
      </w:r>
    </w:p>
    <w:p w:rsidR="006F2579" w:rsidRPr="00C110FB" w:rsidRDefault="006F2579" w:rsidP="006F2579">
      <w:pPr>
        <w:widowControl w:val="0"/>
        <w:rPr>
          <w:b/>
          <w:lang w:val="fr-CA"/>
        </w:rPr>
      </w:pPr>
    </w:p>
    <w:p w:rsidR="006F2579" w:rsidRPr="00C110FB" w:rsidRDefault="006F2579" w:rsidP="006F2579">
      <w:pPr>
        <w:widowControl w:val="0"/>
        <w:rPr>
          <w:lang w:val="fr-CA"/>
        </w:rPr>
      </w:pPr>
      <w:r w:rsidRPr="00C110FB">
        <w:rPr>
          <w:b/>
          <w:lang w:val="fr-CA"/>
        </w:rPr>
        <w:t>OTTAWA</w:t>
      </w:r>
      <w:r w:rsidRPr="00C110FB">
        <w:rPr>
          <w:lang w:val="fr-CA"/>
        </w:rPr>
        <w:t xml:space="preserve"> – La Cour suprême du Canada annonce que jugement ser</w:t>
      </w:r>
      <w:r w:rsidR="004259F9" w:rsidRPr="00C110FB">
        <w:rPr>
          <w:lang w:val="fr-CA"/>
        </w:rPr>
        <w:t>a</w:t>
      </w:r>
      <w:r w:rsidRPr="00C110FB">
        <w:rPr>
          <w:lang w:val="fr-CA"/>
        </w:rPr>
        <w:t xml:space="preserve"> rendu dans l</w:t>
      </w:r>
      <w:r w:rsidR="008600ED" w:rsidRPr="00C110FB">
        <w:rPr>
          <w:lang w:val="fr-CA"/>
        </w:rPr>
        <w:t>es</w:t>
      </w:r>
      <w:r w:rsidRPr="00C110FB">
        <w:rPr>
          <w:lang w:val="fr-CA"/>
        </w:rPr>
        <w:t xml:space="preserve"> demande</w:t>
      </w:r>
      <w:r w:rsidR="008600ED" w:rsidRPr="00C110FB">
        <w:rPr>
          <w:lang w:val="fr-CA"/>
        </w:rPr>
        <w:t>s</w:t>
      </w:r>
      <w:r w:rsidRPr="00C110FB">
        <w:rPr>
          <w:lang w:val="fr-CA"/>
        </w:rPr>
        <w:t xml:space="preserve"> d</w:t>
      </w:r>
      <w:r w:rsidR="00001846" w:rsidRPr="00C110FB">
        <w:rPr>
          <w:lang w:val="fr-CA"/>
        </w:rPr>
        <w:t>’autorisation d’appel suivante</w:t>
      </w:r>
      <w:r w:rsidR="008600ED" w:rsidRPr="00C110FB">
        <w:rPr>
          <w:lang w:val="fr-CA"/>
        </w:rPr>
        <w:t>s</w:t>
      </w:r>
      <w:r w:rsidRPr="00C110FB">
        <w:rPr>
          <w:lang w:val="fr-CA"/>
        </w:rPr>
        <w:t xml:space="preserve"> le jeudi </w:t>
      </w:r>
      <w:r w:rsidR="00685F7C">
        <w:rPr>
          <w:lang w:val="fr-CA"/>
        </w:rPr>
        <w:t>1</w:t>
      </w:r>
      <w:r w:rsidR="00780317" w:rsidRPr="00C110FB">
        <w:rPr>
          <w:lang w:val="fr-CA"/>
        </w:rPr>
        <w:t xml:space="preserve"> </w:t>
      </w:r>
      <w:r w:rsidR="009F28F7">
        <w:rPr>
          <w:lang w:val="fr-CA"/>
        </w:rPr>
        <w:t>févr</w:t>
      </w:r>
      <w:r w:rsidR="00685F7C">
        <w:rPr>
          <w:lang w:val="fr-CA"/>
        </w:rPr>
        <w:t>ier</w:t>
      </w:r>
      <w:r w:rsidR="00674329" w:rsidRPr="00C110FB">
        <w:rPr>
          <w:lang w:val="fr-CA"/>
        </w:rPr>
        <w:t xml:space="preserve"> </w:t>
      </w:r>
      <w:r w:rsidR="006648D1" w:rsidRPr="00C110FB">
        <w:rPr>
          <w:lang w:val="fr-CA"/>
        </w:rPr>
        <w:t>201</w:t>
      </w:r>
      <w:r w:rsidR="00685F7C">
        <w:rPr>
          <w:lang w:val="fr-CA"/>
        </w:rPr>
        <w:t>8</w:t>
      </w:r>
      <w:r w:rsidRPr="00C110FB">
        <w:rPr>
          <w:lang w:val="fr-CA"/>
        </w:rPr>
        <w:t xml:space="preserve">, à 9 h 45 </w:t>
      </w:r>
      <w:r w:rsidR="000627A2" w:rsidRPr="00C110FB">
        <w:rPr>
          <w:lang w:val="fr-CA"/>
        </w:rPr>
        <w:t>H</w:t>
      </w:r>
      <w:r w:rsidR="00213196" w:rsidRPr="00C110FB">
        <w:rPr>
          <w:lang w:val="fr-CA"/>
        </w:rPr>
        <w:t>N</w:t>
      </w:r>
      <w:r w:rsidRPr="00C110FB">
        <w:rPr>
          <w:lang w:val="fr-CA"/>
        </w:rPr>
        <w:t>E. Cette liste est sujette à modifications.</w:t>
      </w:r>
    </w:p>
    <w:p w:rsidR="0080556B" w:rsidRPr="00C110FB" w:rsidRDefault="0080556B" w:rsidP="009B14F4">
      <w:pPr>
        <w:widowControl w:val="0"/>
        <w:jc w:val="both"/>
        <w:rPr>
          <w:sz w:val="20"/>
          <w:lang w:val="fr-CA"/>
        </w:rPr>
      </w:pPr>
    </w:p>
    <w:p w:rsidR="001838E0" w:rsidRPr="00C110FB" w:rsidRDefault="003D353C" w:rsidP="009B14F4">
      <w:pPr>
        <w:widowControl w:val="0"/>
        <w:jc w:val="both"/>
        <w:rPr>
          <w:sz w:val="20"/>
          <w:lang w:val="fr-CA"/>
        </w:rPr>
      </w:pPr>
      <w:r w:rsidRPr="00C110F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715CC" w:rsidRDefault="007715CC" w:rsidP="007715CC">
      <w:pPr>
        <w:jc w:val="both"/>
        <w:rPr>
          <w:sz w:val="20"/>
          <w:lang w:val="fr-CA"/>
        </w:rPr>
      </w:pPr>
    </w:p>
    <w:p w:rsidR="007715CC" w:rsidRPr="00D0083A" w:rsidRDefault="007715CC" w:rsidP="007715CC">
      <w:pPr>
        <w:pStyle w:val="ListParagraph"/>
        <w:numPr>
          <w:ilvl w:val="0"/>
          <w:numId w:val="7"/>
        </w:numPr>
        <w:ind w:left="360"/>
        <w:jc w:val="both"/>
        <w:rPr>
          <w:sz w:val="22"/>
          <w:szCs w:val="22"/>
          <w:lang w:val="fr-CA"/>
        </w:rPr>
      </w:pPr>
      <w:r w:rsidRPr="00D0083A">
        <w:rPr>
          <w:bCs/>
          <w:i/>
          <w:iCs/>
          <w:sz w:val="22"/>
          <w:szCs w:val="22"/>
          <w:lang w:val="fr-CA"/>
        </w:rPr>
        <w:t>RONA inc. c. Ministre du Revenu national</w:t>
      </w:r>
      <w:r w:rsidRPr="00D0083A">
        <w:rPr>
          <w:bCs/>
          <w:sz w:val="22"/>
          <w:szCs w:val="22"/>
          <w:lang w:val="fr-CA"/>
        </w:rPr>
        <w:t xml:space="preserve"> (C.F.) (Civile) (Autorisation) </w:t>
      </w:r>
      <w:r w:rsidRPr="00D0083A">
        <w:rPr>
          <w:sz w:val="22"/>
          <w:szCs w:val="22"/>
          <w:lang w:val="fr-CA"/>
        </w:rPr>
        <w:t>(</w:t>
      </w:r>
      <w:hyperlink r:id="rId7" w:history="1">
        <w:r w:rsidRPr="00D0083A">
          <w:rPr>
            <w:rStyle w:val="Hyperlink"/>
            <w:sz w:val="22"/>
            <w:szCs w:val="22"/>
            <w:lang w:val="fr-CA"/>
          </w:rPr>
          <w:t>37606</w:t>
        </w:r>
      </w:hyperlink>
      <w:r w:rsidRPr="00D0083A">
        <w:rPr>
          <w:sz w:val="22"/>
          <w:szCs w:val="22"/>
          <w:lang w:val="fr-CA"/>
        </w:rPr>
        <w:t>)</w:t>
      </w:r>
    </w:p>
    <w:p w:rsidR="007715CC" w:rsidRDefault="007715CC" w:rsidP="007715CC">
      <w:pPr>
        <w:ind w:left="360" w:hanging="360"/>
        <w:jc w:val="both"/>
        <w:rPr>
          <w:sz w:val="20"/>
          <w:lang w:val="fr-CA"/>
        </w:rPr>
      </w:pPr>
    </w:p>
    <w:p w:rsidR="007715CC" w:rsidRPr="00D0083A" w:rsidRDefault="007715CC" w:rsidP="007715CC">
      <w:pPr>
        <w:pStyle w:val="ListParagraph"/>
        <w:numPr>
          <w:ilvl w:val="0"/>
          <w:numId w:val="7"/>
        </w:numPr>
        <w:tabs>
          <w:tab w:val="left" w:pos="-1440"/>
        </w:tabs>
        <w:ind w:left="360"/>
        <w:jc w:val="both"/>
        <w:rPr>
          <w:sz w:val="20"/>
        </w:rPr>
      </w:pPr>
      <w:r w:rsidRPr="00D0083A">
        <w:rPr>
          <w:i/>
          <w:sz w:val="20"/>
          <w:lang w:val="en-CA"/>
        </w:rPr>
        <w:t xml:space="preserve">Manoucher Baradaran v. Her Majesty the Queen in Right of the Province of Ontario et al. </w:t>
      </w:r>
      <w:r w:rsidRPr="00D0083A">
        <w:rPr>
          <w:sz w:val="20"/>
        </w:rPr>
        <w:t xml:space="preserve">(Ont) (Civil) (By Leave) </w:t>
      </w:r>
      <w:r w:rsidRPr="00D0083A">
        <w:rPr>
          <w:sz w:val="20"/>
          <w:szCs w:val="20"/>
          <w:lang w:val="en-CA"/>
        </w:rPr>
        <w:t>(</w:t>
      </w:r>
      <w:hyperlink r:id="rId8" w:history="1">
        <w:r w:rsidRPr="00D0083A">
          <w:rPr>
            <w:rStyle w:val="Hyperlink"/>
            <w:sz w:val="20"/>
            <w:szCs w:val="20"/>
            <w:lang w:val="en-CA"/>
          </w:rPr>
          <w:t>37648</w:t>
        </w:r>
      </w:hyperlink>
      <w:r w:rsidRPr="00D0083A">
        <w:rPr>
          <w:sz w:val="20"/>
          <w:szCs w:val="20"/>
          <w:lang w:val="en-CA"/>
        </w:rPr>
        <w:t>)</w:t>
      </w:r>
    </w:p>
    <w:p w:rsidR="007715CC" w:rsidRPr="00D0083A" w:rsidRDefault="007715CC" w:rsidP="007715CC">
      <w:pPr>
        <w:ind w:left="360" w:hanging="360"/>
        <w:jc w:val="both"/>
        <w:rPr>
          <w:sz w:val="20"/>
        </w:rPr>
      </w:pPr>
    </w:p>
    <w:p w:rsidR="007715CC" w:rsidRPr="00D0083A" w:rsidRDefault="007715CC" w:rsidP="007715CC">
      <w:pPr>
        <w:pStyle w:val="ListParagraph"/>
        <w:numPr>
          <w:ilvl w:val="0"/>
          <w:numId w:val="7"/>
        </w:numPr>
        <w:tabs>
          <w:tab w:val="left" w:pos="0"/>
        </w:tabs>
        <w:ind w:left="360"/>
        <w:jc w:val="both"/>
        <w:rPr>
          <w:sz w:val="20"/>
          <w:lang w:val="fr-CA"/>
        </w:rPr>
      </w:pPr>
      <w:r w:rsidRPr="00D0083A">
        <w:rPr>
          <w:i/>
          <w:sz w:val="20"/>
          <w:lang w:val="fr-FR"/>
        </w:rPr>
        <w:t>Gilles Coulombe c. L’Agence du revenu du Québec</w:t>
      </w:r>
      <w:r w:rsidRPr="00D0083A">
        <w:rPr>
          <w:sz w:val="20"/>
          <w:lang w:val="fr-FR"/>
        </w:rPr>
        <w:t xml:space="preserve"> </w:t>
      </w:r>
      <w:r w:rsidRPr="00D0083A">
        <w:rPr>
          <w:sz w:val="20"/>
          <w:lang w:val="fr-CA"/>
        </w:rPr>
        <w:t>(Qc.) (Civile) (Autorisation) (</w:t>
      </w:r>
      <w:hyperlink r:id="rId9" w:history="1">
        <w:r w:rsidRPr="00D0083A">
          <w:rPr>
            <w:rStyle w:val="Hyperlink"/>
            <w:sz w:val="20"/>
            <w:szCs w:val="20"/>
            <w:lang w:val="fr-CA"/>
          </w:rPr>
          <w:t>37721</w:t>
        </w:r>
      </w:hyperlink>
      <w:r w:rsidRPr="00D0083A">
        <w:rPr>
          <w:sz w:val="20"/>
          <w:lang w:val="fr-CA"/>
        </w:rPr>
        <w:t>)</w:t>
      </w:r>
    </w:p>
    <w:p w:rsidR="007715CC" w:rsidRPr="0033559C" w:rsidRDefault="007715CC" w:rsidP="007715CC">
      <w:pPr>
        <w:pStyle w:val="ListParagraph"/>
        <w:tabs>
          <w:tab w:val="left" w:pos="0"/>
        </w:tabs>
        <w:ind w:left="360" w:hanging="360"/>
        <w:jc w:val="both"/>
        <w:rPr>
          <w:sz w:val="20"/>
          <w:szCs w:val="20"/>
          <w:lang w:val="fr-CA"/>
        </w:rPr>
      </w:pPr>
    </w:p>
    <w:p w:rsidR="007715CC" w:rsidRPr="00D0083A" w:rsidRDefault="007715CC" w:rsidP="007715CC">
      <w:pPr>
        <w:pStyle w:val="ListParagraph"/>
        <w:numPr>
          <w:ilvl w:val="0"/>
          <w:numId w:val="7"/>
        </w:numPr>
        <w:tabs>
          <w:tab w:val="left" w:pos="0"/>
        </w:tabs>
        <w:ind w:left="360"/>
        <w:jc w:val="both"/>
        <w:rPr>
          <w:sz w:val="20"/>
        </w:rPr>
      </w:pPr>
      <w:r w:rsidRPr="00D0083A">
        <w:rPr>
          <w:i/>
          <w:sz w:val="20"/>
        </w:rPr>
        <w:t xml:space="preserve">Alex Gilmor et al. v. Nottawasaga Valley Conservation Authority et al. </w:t>
      </w:r>
      <w:r w:rsidRPr="00D0083A">
        <w:rPr>
          <w:sz w:val="20"/>
        </w:rPr>
        <w:t xml:space="preserve">(Ont.) (Civil) (By Leave) </w:t>
      </w:r>
      <w:r w:rsidRPr="00D0083A">
        <w:rPr>
          <w:sz w:val="20"/>
          <w:lang w:val="en-CA"/>
        </w:rPr>
        <w:t>(</w:t>
      </w:r>
      <w:hyperlink r:id="rId10" w:history="1">
        <w:r w:rsidRPr="00D0083A">
          <w:rPr>
            <w:rStyle w:val="Hyperlink"/>
            <w:sz w:val="20"/>
            <w:szCs w:val="20"/>
            <w:lang w:val="en-CA"/>
          </w:rPr>
          <w:t>37705</w:t>
        </w:r>
      </w:hyperlink>
      <w:r w:rsidRPr="00D0083A">
        <w:rPr>
          <w:sz w:val="20"/>
          <w:lang w:val="en-CA"/>
        </w:rPr>
        <w:t>)</w:t>
      </w:r>
    </w:p>
    <w:p w:rsidR="007715CC" w:rsidRPr="00D0083A" w:rsidRDefault="007715CC" w:rsidP="007715CC">
      <w:pPr>
        <w:pStyle w:val="ListParagraph"/>
        <w:tabs>
          <w:tab w:val="left" w:pos="0"/>
        </w:tabs>
        <w:ind w:left="360" w:hanging="360"/>
        <w:jc w:val="both"/>
        <w:rPr>
          <w:sz w:val="20"/>
          <w:szCs w:val="20"/>
        </w:rPr>
      </w:pPr>
    </w:p>
    <w:p w:rsidR="007715CC" w:rsidRPr="00D0083A" w:rsidRDefault="007715CC" w:rsidP="007715CC">
      <w:pPr>
        <w:pStyle w:val="ListParagraph"/>
        <w:numPr>
          <w:ilvl w:val="0"/>
          <w:numId w:val="7"/>
        </w:numPr>
        <w:tabs>
          <w:tab w:val="left" w:pos="0"/>
        </w:tabs>
        <w:ind w:left="360"/>
        <w:jc w:val="both"/>
        <w:rPr>
          <w:sz w:val="20"/>
          <w:lang w:val="en-CA"/>
        </w:rPr>
      </w:pPr>
      <w:r w:rsidRPr="00D0083A">
        <w:rPr>
          <w:i/>
          <w:sz w:val="20"/>
          <w:lang w:val="en-CA"/>
        </w:rPr>
        <w:t xml:space="preserve">Ritlyn Investments Limited v. Estate of Arman Letestu, deceased, by its Litigation Administrator, Christopher Letestu </w:t>
      </w:r>
      <w:r w:rsidRPr="00D0083A">
        <w:rPr>
          <w:sz w:val="20"/>
          <w:lang w:val="en-CA"/>
        </w:rPr>
        <w:t>(Ont.) (Civil) (By Leave) (</w:t>
      </w:r>
      <w:hyperlink r:id="rId11" w:history="1">
        <w:r w:rsidRPr="00D0083A">
          <w:rPr>
            <w:rStyle w:val="Hyperlink"/>
            <w:sz w:val="20"/>
            <w:szCs w:val="20"/>
            <w:lang w:val="en-CA"/>
          </w:rPr>
          <w:t>37711</w:t>
        </w:r>
      </w:hyperlink>
      <w:r w:rsidRPr="00D0083A">
        <w:rPr>
          <w:sz w:val="20"/>
          <w:lang w:val="en-CA"/>
        </w:rPr>
        <w:t>)</w:t>
      </w:r>
    </w:p>
    <w:p w:rsidR="007715CC" w:rsidRPr="0033559C" w:rsidRDefault="007715CC" w:rsidP="007715CC">
      <w:pPr>
        <w:ind w:left="360" w:hanging="360"/>
        <w:jc w:val="both"/>
        <w:rPr>
          <w:sz w:val="20"/>
          <w:lang w:val="en-CA"/>
        </w:rPr>
      </w:pPr>
    </w:p>
    <w:p w:rsidR="007715CC" w:rsidRPr="0033559C" w:rsidRDefault="007715CC" w:rsidP="007715CC">
      <w:pPr>
        <w:pStyle w:val="SCCAppellantInfoAppellantInfo"/>
        <w:numPr>
          <w:ilvl w:val="0"/>
          <w:numId w:val="7"/>
        </w:numPr>
        <w:ind w:left="360"/>
        <w:rPr>
          <w:sz w:val="20"/>
          <w:szCs w:val="20"/>
          <w:lang w:val="en-US"/>
        </w:rPr>
      </w:pPr>
      <w:r w:rsidRPr="0033559C">
        <w:rPr>
          <w:i/>
          <w:sz w:val="20"/>
          <w:szCs w:val="20"/>
        </w:rPr>
        <w:t>Lianne Tregobov v. Normand Paradis, Irene Paradis, Glen Williams et al.</w:t>
      </w:r>
      <w:r w:rsidRPr="0033559C">
        <w:rPr>
          <w:sz w:val="20"/>
          <w:szCs w:val="20"/>
        </w:rPr>
        <w:t xml:space="preserve"> </w:t>
      </w:r>
      <w:r w:rsidRPr="0033559C">
        <w:rPr>
          <w:sz w:val="20"/>
          <w:szCs w:val="20"/>
          <w:lang w:val="en-US"/>
        </w:rPr>
        <w:t>(Man.) (Civil) (By Leave)</w:t>
      </w:r>
      <w:r>
        <w:rPr>
          <w:sz w:val="20"/>
          <w:szCs w:val="20"/>
          <w:lang w:val="en-US"/>
        </w:rPr>
        <w:t xml:space="preserve"> </w:t>
      </w:r>
      <w:r w:rsidRPr="00511880">
        <w:rPr>
          <w:sz w:val="20"/>
          <w:szCs w:val="20"/>
        </w:rPr>
        <w:t>(</w:t>
      </w:r>
      <w:hyperlink r:id="rId12" w:history="1">
        <w:r w:rsidRPr="00686C41">
          <w:rPr>
            <w:rStyle w:val="Hyperlink"/>
            <w:sz w:val="20"/>
            <w:szCs w:val="20"/>
          </w:rPr>
          <w:t>37</w:t>
        </w:r>
        <w:r>
          <w:rPr>
            <w:rStyle w:val="Hyperlink"/>
            <w:sz w:val="20"/>
            <w:szCs w:val="20"/>
          </w:rPr>
          <w:t>727</w:t>
        </w:r>
      </w:hyperlink>
      <w:r w:rsidRPr="00511880">
        <w:rPr>
          <w:sz w:val="20"/>
          <w:szCs w:val="20"/>
        </w:rPr>
        <w:t>)</w:t>
      </w:r>
    </w:p>
    <w:p w:rsidR="007715CC" w:rsidRPr="0033559C" w:rsidRDefault="007715CC" w:rsidP="007715CC">
      <w:pPr>
        <w:ind w:left="360" w:hanging="360"/>
        <w:rPr>
          <w:sz w:val="20"/>
        </w:rPr>
      </w:pPr>
    </w:p>
    <w:p w:rsidR="007715CC" w:rsidRPr="0033559C" w:rsidRDefault="007715CC" w:rsidP="007715CC">
      <w:pPr>
        <w:pStyle w:val="SCCAppellantInfoAppellantInfo"/>
        <w:numPr>
          <w:ilvl w:val="0"/>
          <w:numId w:val="7"/>
        </w:numPr>
        <w:ind w:left="360"/>
        <w:rPr>
          <w:sz w:val="20"/>
          <w:szCs w:val="20"/>
          <w:lang w:val="fr-CA"/>
        </w:rPr>
      </w:pPr>
      <w:r w:rsidRPr="0033559C">
        <w:rPr>
          <w:i/>
          <w:sz w:val="20"/>
          <w:szCs w:val="20"/>
          <w:lang w:val="fr-CA"/>
        </w:rPr>
        <w:t>9254-8494 Québec inc. et a</w:t>
      </w:r>
      <w:r>
        <w:rPr>
          <w:i/>
          <w:sz w:val="20"/>
          <w:szCs w:val="20"/>
          <w:lang w:val="fr-CA"/>
        </w:rPr>
        <w:t>utre</w:t>
      </w:r>
      <w:r w:rsidRPr="0033559C">
        <w:rPr>
          <w:i/>
          <w:sz w:val="20"/>
          <w:szCs w:val="20"/>
          <w:lang w:val="fr-CA"/>
        </w:rPr>
        <w:t xml:space="preserve"> c. Ville de Québec</w:t>
      </w:r>
      <w:r w:rsidRPr="0033559C">
        <w:rPr>
          <w:sz w:val="20"/>
          <w:szCs w:val="20"/>
          <w:lang w:val="fr-CA"/>
        </w:rPr>
        <w:t xml:space="preserve"> (Qc) (Civile) (Autorisation)</w:t>
      </w:r>
      <w:r>
        <w:rPr>
          <w:sz w:val="20"/>
          <w:szCs w:val="20"/>
          <w:lang w:val="fr-CA"/>
        </w:rPr>
        <w:t xml:space="preserve"> </w:t>
      </w:r>
      <w:r w:rsidRPr="00393383">
        <w:rPr>
          <w:sz w:val="20"/>
          <w:szCs w:val="20"/>
          <w:lang w:val="fr-CA"/>
        </w:rPr>
        <w:t>(</w:t>
      </w:r>
      <w:hyperlink r:id="rId13" w:history="1">
        <w:r w:rsidRPr="00393383">
          <w:rPr>
            <w:rStyle w:val="Hyperlink"/>
            <w:sz w:val="20"/>
            <w:szCs w:val="20"/>
            <w:lang w:val="fr-CA"/>
          </w:rPr>
          <w:t>37</w:t>
        </w:r>
        <w:r>
          <w:rPr>
            <w:rStyle w:val="Hyperlink"/>
            <w:sz w:val="20"/>
            <w:szCs w:val="20"/>
            <w:lang w:val="fr-CA"/>
          </w:rPr>
          <w:t>751</w:t>
        </w:r>
      </w:hyperlink>
      <w:r w:rsidRPr="00393383">
        <w:rPr>
          <w:sz w:val="20"/>
          <w:szCs w:val="20"/>
          <w:lang w:val="fr-CA"/>
        </w:rPr>
        <w:t>)</w:t>
      </w:r>
    </w:p>
    <w:p w:rsidR="007715CC" w:rsidRPr="00D653D0" w:rsidRDefault="007715CC" w:rsidP="007715CC">
      <w:pPr>
        <w:ind w:left="360" w:hanging="360"/>
        <w:jc w:val="both"/>
        <w:rPr>
          <w:sz w:val="20"/>
          <w:lang w:val="fr-CA"/>
        </w:rPr>
      </w:pPr>
    </w:p>
    <w:p w:rsidR="007715CC" w:rsidRPr="0033559C" w:rsidRDefault="007715CC" w:rsidP="007715CC">
      <w:pPr>
        <w:pStyle w:val="SCCAppellantInfoAppellantInfo"/>
        <w:numPr>
          <w:ilvl w:val="0"/>
          <w:numId w:val="7"/>
        </w:numPr>
        <w:ind w:left="360"/>
        <w:rPr>
          <w:sz w:val="20"/>
          <w:szCs w:val="20"/>
        </w:rPr>
      </w:pPr>
      <w:r w:rsidRPr="007715CC">
        <w:rPr>
          <w:i/>
          <w:sz w:val="20"/>
          <w:szCs w:val="20"/>
          <w:lang w:val="fr-CA"/>
        </w:rPr>
        <w:t xml:space="preserve">Tanja Ivic v. Velibor Boro Lakovic et al. </w:t>
      </w:r>
      <w:r w:rsidRPr="0033559C">
        <w:rPr>
          <w:sz w:val="20"/>
          <w:szCs w:val="20"/>
        </w:rPr>
        <w:t>(Ont.) (Civil) (By Leave)</w:t>
      </w:r>
      <w:r>
        <w:rPr>
          <w:sz w:val="20"/>
          <w:szCs w:val="20"/>
        </w:rPr>
        <w:t xml:space="preserve"> </w:t>
      </w:r>
      <w:r w:rsidRPr="00511880">
        <w:rPr>
          <w:sz w:val="20"/>
          <w:szCs w:val="20"/>
        </w:rPr>
        <w:t>(</w:t>
      </w:r>
      <w:hyperlink r:id="rId14" w:history="1">
        <w:r w:rsidRPr="00686C41">
          <w:rPr>
            <w:rStyle w:val="Hyperlink"/>
            <w:sz w:val="20"/>
            <w:szCs w:val="20"/>
          </w:rPr>
          <w:t>37</w:t>
        </w:r>
        <w:r>
          <w:rPr>
            <w:rStyle w:val="Hyperlink"/>
            <w:sz w:val="20"/>
            <w:szCs w:val="20"/>
          </w:rPr>
          <w:t>71</w:t>
        </w:r>
        <w:r w:rsidRPr="00686C41">
          <w:rPr>
            <w:rStyle w:val="Hyperlink"/>
            <w:sz w:val="20"/>
            <w:szCs w:val="20"/>
          </w:rPr>
          <w:t>8</w:t>
        </w:r>
      </w:hyperlink>
      <w:r w:rsidRPr="00511880">
        <w:rPr>
          <w:sz w:val="20"/>
          <w:szCs w:val="20"/>
        </w:rPr>
        <w:t>)</w:t>
      </w:r>
    </w:p>
    <w:p w:rsidR="007715CC" w:rsidRPr="0033559C" w:rsidRDefault="007715CC" w:rsidP="007715CC">
      <w:pPr>
        <w:ind w:left="360" w:hanging="360"/>
        <w:jc w:val="both"/>
        <w:rPr>
          <w:sz w:val="20"/>
          <w:lang w:val="en-CA"/>
        </w:rPr>
      </w:pPr>
    </w:p>
    <w:p w:rsidR="007715CC" w:rsidRPr="0033559C" w:rsidRDefault="007715CC" w:rsidP="007715CC">
      <w:pPr>
        <w:pStyle w:val="SCCAppellantInfoAppellantInfo"/>
        <w:numPr>
          <w:ilvl w:val="0"/>
          <w:numId w:val="7"/>
        </w:numPr>
        <w:ind w:left="360"/>
        <w:rPr>
          <w:sz w:val="20"/>
          <w:szCs w:val="20"/>
        </w:rPr>
      </w:pPr>
      <w:r w:rsidRPr="0033559C">
        <w:rPr>
          <w:i/>
          <w:sz w:val="20"/>
          <w:szCs w:val="20"/>
        </w:rPr>
        <w:t xml:space="preserve">T.B. v. M.M. </w:t>
      </w:r>
      <w:r>
        <w:rPr>
          <w:i/>
          <w:sz w:val="20"/>
          <w:szCs w:val="20"/>
        </w:rPr>
        <w:t xml:space="preserve">et al. </w:t>
      </w:r>
      <w:r w:rsidRPr="0033559C">
        <w:rPr>
          <w:sz w:val="20"/>
          <w:szCs w:val="20"/>
        </w:rPr>
        <w:t>(B.C.) (Civil) (By Leave)</w:t>
      </w:r>
      <w:r>
        <w:rPr>
          <w:sz w:val="20"/>
          <w:szCs w:val="20"/>
        </w:rPr>
        <w:t xml:space="preserve"> </w:t>
      </w:r>
      <w:r w:rsidRPr="00511880">
        <w:rPr>
          <w:sz w:val="20"/>
          <w:szCs w:val="20"/>
        </w:rPr>
        <w:t>(</w:t>
      </w:r>
      <w:hyperlink r:id="rId15" w:history="1">
        <w:r w:rsidRPr="00686C41">
          <w:rPr>
            <w:rStyle w:val="Hyperlink"/>
            <w:sz w:val="20"/>
            <w:szCs w:val="20"/>
          </w:rPr>
          <w:t>37</w:t>
        </w:r>
        <w:r>
          <w:rPr>
            <w:rStyle w:val="Hyperlink"/>
            <w:sz w:val="20"/>
            <w:szCs w:val="20"/>
          </w:rPr>
          <w:t>806</w:t>
        </w:r>
      </w:hyperlink>
      <w:r w:rsidRPr="00511880">
        <w:rPr>
          <w:sz w:val="20"/>
          <w:szCs w:val="20"/>
        </w:rPr>
        <w:t>)</w:t>
      </w:r>
    </w:p>
    <w:p w:rsidR="00D660C7" w:rsidRPr="007715CC" w:rsidRDefault="00D660C7" w:rsidP="00957A1E">
      <w:pPr>
        <w:jc w:val="both"/>
        <w:rPr>
          <w:sz w:val="20"/>
          <w:lang w:val="en-CA"/>
        </w:rPr>
      </w:pPr>
    </w:p>
    <w:p w:rsidR="00685F7C" w:rsidRDefault="00685F7C" w:rsidP="00957A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A6308" w:rsidRPr="006A6308" w:rsidTr="00E95A6A">
        <w:tc>
          <w:tcPr>
            <w:tcW w:w="543" w:type="pct"/>
          </w:tcPr>
          <w:p w:rsidR="006A6308" w:rsidRPr="006A6308" w:rsidRDefault="006A6308" w:rsidP="006A6308">
            <w:pPr>
              <w:jc w:val="both"/>
              <w:rPr>
                <w:sz w:val="20"/>
                <w:lang w:val="en-CA"/>
              </w:rPr>
            </w:pPr>
            <w:r w:rsidRPr="006A6308">
              <w:rPr>
                <w:rStyle w:val="SCCFileNumberChar"/>
                <w:sz w:val="20"/>
                <w:szCs w:val="20"/>
              </w:rPr>
              <w:t>37606</w:t>
            </w:r>
          </w:p>
        </w:tc>
        <w:tc>
          <w:tcPr>
            <w:tcW w:w="4457" w:type="pct"/>
            <w:gridSpan w:val="3"/>
          </w:tcPr>
          <w:p w:rsidR="006A6308" w:rsidRPr="006A6308" w:rsidRDefault="006A6308" w:rsidP="006A6308">
            <w:pPr>
              <w:pStyle w:val="SCCLsocParty"/>
              <w:jc w:val="both"/>
              <w:rPr>
                <w:b/>
                <w:sz w:val="20"/>
                <w:szCs w:val="20"/>
                <w:lang w:val="en-CA"/>
              </w:rPr>
            </w:pPr>
            <w:r w:rsidRPr="006A6308">
              <w:rPr>
                <w:b/>
                <w:sz w:val="20"/>
                <w:szCs w:val="20"/>
                <w:lang w:val="en-CA"/>
              </w:rPr>
              <w:t>RONA Inc. v. Minister of National Revenue</w:t>
            </w:r>
          </w:p>
          <w:p w:rsidR="006A6308" w:rsidRPr="006A6308" w:rsidRDefault="006A6308" w:rsidP="006A6308">
            <w:pPr>
              <w:jc w:val="both"/>
              <w:rPr>
                <w:sz w:val="20"/>
                <w:lang w:val="en-CA"/>
              </w:rPr>
            </w:pPr>
            <w:r w:rsidRPr="006A6308">
              <w:rPr>
                <w:sz w:val="20"/>
                <w:lang w:val="en-CA"/>
              </w:rPr>
              <w:t>(F.C.) (Civil) (By Leave)</w:t>
            </w:r>
          </w:p>
        </w:tc>
      </w:tr>
      <w:tr w:rsidR="006A6308" w:rsidRPr="006A6308" w:rsidTr="00E95A6A">
        <w:tc>
          <w:tcPr>
            <w:tcW w:w="5000" w:type="pct"/>
            <w:gridSpan w:val="4"/>
          </w:tcPr>
          <w:p w:rsidR="006A6308" w:rsidRPr="006A6308" w:rsidRDefault="006A6308" w:rsidP="006A6308">
            <w:pPr>
              <w:jc w:val="both"/>
              <w:rPr>
                <w:sz w:val="20"/>
                <w:lang w:val="en-CA"/>
              </w:rPr>
            </w:pPr>
            <w:r w:rsidRPr="006A6308">
              <w:rPr>
                <w:sz w:val="20"/>
                <w:lang w:val="en-CA"/>
              </w:rPr>
              <w:t>Taxation — Income tax — R</w:t>
            </w:r>
            <w:r w:rsidRPr="006A6308">
              <w:rPr>
                <w:sz w:val="20"/>
                <w:lang w:val="en"/>
              </w:rPr>
              <w:t xml:space="preserve">equirement imposed on third party to provide information relating to unnamed persons </w:t>
            </w:r>
            <w:r w:rsidRPr="006A6308">
              <w:rPr>
                <w:sz w:val="20"/>
                <w:lang w:val="en-CA"/>
              </w:rPr>
              <w:t xml:space="preserve">— Legal obligation to provide documents or information for audit or enforcement purposes — Point at which </w:t>
            </w:r>
            <w:r w:rsidRPr="006A6308">
              <w:rPr>
                <w:sz w:val="20"/>
                <w:lang w:val="en-CA"/>
              </w:rPr>
              <w:lastRenderedPageBreak/>
              <w:t xml:space="preserve">wrongdoing by Minister’s representatives so taints audit process that application for authorization to serve requirement for information should simply be dismissed — </w:t>
            </w:r>
            <w:r w:rsidRPr="006A6308">
              <w:rPr>
                <w:i/>
                <w:sz w:val="20"/>
                <w:lang w:val="en-CA"/>
              </w:rPr>
              <w:t>Income Tax Act</w:t>
            </w:r>
            <w:r w:rsidRPr="006A6308">
              <w:rPr>
                <w:sz w:val="20"/>
                <w:lang w:val="en-CA"/>
              </w:rPr>
              <w:t xml:space="preserve">, R.S.C. 1985, c. 1 (5th Supp.), s. 231.2 — </w:t>
            </w:r>
            <w:r w:rsidRPr="006A6308">
              <w:rPr>
                <w:i/>
                <w:sz w:val="20"/>
                <w:lang w:val="en-CA"/>
              </w:rPr>
              <w:t>Excise Tax Act</w:t>
            </w:r>
            <w:r w:rsidRPr="006A6308">
              <w:rPr>
                <w:sz w:val="20"/>
                <w:lang w:val="en-CA"/>
              </w:rPr>
              <w:t>, R.S.C. 1985, c. E-15, s. 289.</w:t>
            </w:r>
          </w:p>
        </w:tc>
      </w:tr>
      <w:tr w:rsidR="006A6308" w:rsidRPr="006A6308" w:rsidTr="00E95A6A">
        <w:tc>
          <w:tcPr>
            <w:tcW w:w="5000" w:type="pct"/>
            <w:gridSpan w:val="4"/>
          </w:tcPr>
          <w:p w:rsidR="006A6308" w:rsidRPr="006A6308" w:rsidRDefault="006A6308" w:rsidP="006A6308">
            <w:pPr>
              <w:jc w:val="both"/>
              <w:rPr>
                <w:sz w:val="20"/>
                <w:lang w:val="en-CA"/>
              </w:rPr>
            </w:pPr>
          </w:p>
        </w:tc>
      </w:tr>
      <w:tr w:rsidR="006A6308" w:rsidRPr="006A6308" w:rsidTr="00E95A6A">
        <w:tc>
          <w:tcPr>
            <w:tcW w:w="5000" w:type="pct"/>
            <w:gridSpan w:val="4"/>
          </w:tcPr>
          <w:p w:rsidR="006A6308" w:rsidRPr="006A6308" w:rsidRDefault="006A6308" w:rsidP="006A6308">
            <w:pPr>
              <w:jc w:val="both"/>
              <w:rPr>
                <w:sz w:val="20"/>
                <w:lang w:val="en-CA"/>
              </w:rPr>
            </w:pPr>
            <w:r w:rsidRPr="006A6308">
              <w:rPr>
                <w:sz w:val="20"/>
                <w:lang w:val="en-CA"/>
              </w:rPr>
              <w:t xml:space="preserve">The applicant RONA Inc. challenged the notice of requirement for information served under s. 231.2 of the </w:t>
            </w:r>
            <w:r w:rsidRPr="006A6308">
              <w:rPr>
                <w:i/>
                <w:sz w:val="20"/>
                <w:lang w:val="en-CA"/>
              </w:rPr>
              <w:t>Income Tax Act</w:t>
            </w:r>
            <w:r w:rsidRPr="006A6308">
              <w:rPr>
                <w:sz w:val="20"/>
                <w:lang w:val="en-CA"/>
              </w:rPr>
              <w:t xml:space="preserve"> and s. 289 of the </w:t>
            </w:r>
            <w:r w:rsidRPr="006A6308">
              <w:rPr>
                <w:i/>
                <w:sz w:val="20"/>
                <w:lang w:val="en-CA"/>
              </w:rPr>
              <w:t>Excise Tax Act</w:t>
            </w:r>
            <w:r w:rsidRPr="006A6308">
              <w:rPr>
                <w:sz w:val="20"/>
                <w:lang w:val="en-CA"/>
              </w:rPr>
              <w:t xml:space="preserve">, which authorized the respondent Minister of National Revenue to obtain disclosure of the identity of its commercial customers and some of their financial information. The applicant alleged that the commercial credit application form used to prepare the requirement for information </w:t>
            </w:r>
            <w:proofErr w:type="gramStart"/>
            <w:r w:rsidRPr="006A6308">
              <w:rPr>
                <w:sz w:val="20"/>
                <w:lang w:val="en-CA"/>
              </w:rPr>
              <w:t>had been obtained</w:t>
            </w:r>
            <w:proofErr w:type="gramEnd"/>
            <w:r w:rsidRPr="006A6308">
              <w:rPr>
                <w:sz w:val="20"/>
                <w:lang w:val="en-CA"/>
              </w:rPr>
              <w:t xml:space="preserve"> in violation of the </w:t>
            </w:r>
            <w:r w:rsidRPr="006A6308">
              <w:rPr>
                <w:i/>
                <w:sz w:val="20"/>
                <w:lang w:val="en"/>
              </w:rPr>
              <w:t>Code of Integrity and Professional Conduct</w:t>
            </w:r>
            <w:r w:rsidRPr="006A6308">
              <w:rPr>
                <w:i/>
                <w:sz w:val="20"/>
                <w:lang w:val="en-CA"/>
              </w:rPr>
              <w:t xml:space="preserve"> </w:t>
            </w:r>
            <w:r w:rsidRPr="006A6308">
              <w:rPr>
                <w:sz w:val="20"/>
                <w:lang w:val="en-CA"/>
              </w:rPr>
              <w:t>and the tax audit procedures established by the Canada Revenue Agency. The two representatives of the Minister and employees of the Agency who had obtained the form had allegedly not told the clerk at the commercial counter of the RONA store they visited that they were acting in the performance of their duties as representatives of the Minister. Rather, one of the representatives had allegedly presented himself as an individual who wanted to become a construction contractor when he retired and who was inquiring about the procedure for opening a commercial account.</w:t>
            </w:r>
          </w:p>
          <w:p w:rsidR="006A6308" w:rsidRPr="006A6308" w:rsidRDefault="006A6308" w:rsidP="006A6308">
            <w:pPr>
              <w:jc w:val="both"/>
              <w:rPr>
                <w:sz w:val="20"/>
                <w:lang w:val="en-CA"/>
              </w:rPr>
            </w:pPr>
          </w:p>
        </w:tc>
      </w:tr>
      <w:tr w:rsidR="006A6308" w:rsidRPr="006A6308" w:rsidTr="00E95A6A">
        <w:tc>
          <w:tcPr>
            <w:tcW w:w="2427" w:type="pct"/>
            <w:gridSpan w:val="2"/>
          </w:tcPr>
          <w:p w:rsidR="006A6308" w:rsidRPr="006A6308" w:rsidRDefault="006A6308" w:rsidP="006A6308">
            <w:pPr>
              <w:jc w:val="both"/>
              <w:rPr>
                <w:sz w:val="20"/>
                <w:lang w:val="en-CA"/>
              </w:rPr>
            </w:pPr>
            <w:r w:rsidRPr="006A6308">
              <w:rPr>
                <w:sz w:val="20"/>
                <w:lang w:val="en-CA"/>
              </w:rPr>
              <w:t>October 28, 2016</w:t>
            </w:r>
          </w:p>
          <w:p w:rsidR="006A6308" w:rsidRPr="006A6308" w:rsidRDefault="006A6308" w:rsidP="006A6308">
            <w:pPr>
              <w:jc w:val="both"/>
              <w:rPr>
                <w:sz w:val="20"/>
                <w:lang w:val="en-CA"/>
              </w:rPr>
            </w:pPr>
            <w:r w:rsidRPr="006A6308">
              <w:rPr>
                <w:sz w:val="20"/>
                <w:lang w:val="en-CA"/>
              </w:rPr>
              <w:t>Federal Court</w:t>
            </w:r>
          </w:p>
          <w:p w:rsidR="006A6308" w:rsidRPr="006A6308" w:rsidRDefault="006A6308" w:rsidP="006A6308">
            <w:pPr>
              <w:jc w:val="both"/>
              <w:rPr>
                <w:sz w:val="20"/>
                <w:lang w:val="en-CA"/>
              </w:rPr>
            </w:pPr>
            <w:r w:rsidRPr="006A6308">
              <w:rPr>
                <w:sz w:val="20"/>
                <w:lang w:val="en-CA"/>
              </w:rPr>
              <w:t>(Martineau J.)</w:t>
            </w:r>
          </w:p>
          <w:p w:rsidR="006A6308" w:rsidRPr="006A6308" w:rsidRDefault="006A6308" w:rsidP="006A6308">
            <w:pPr>
              <w:jc w:val="both"/>
              <w:rPr>
                <w:sz w:val="20"/>
                <w:lang w:val="en-CA"/>
              </w:rPr>
            </w:pPr>
            <w:r w:rsidRPr="006A6308">
              <w:rPr>
                <w:sz w:val="20"/>
                <w:lang w:val="en-CA"/>
              </w:rPr>
              <w:t>Unreported order</w:t>
            </w:r>
          </w:p>
          <w:p w:rsidR="006A6308" w:rsidRPr="006A6308" w:rsidRDefault="006A6308" w:rsidP="006A6308">
            <w:pPr>
              <w:jc w:val="both"/>
              <w:rPr>
                <w:sz w:val="20"/>
                <w:lang w:val="en-CA"/>
              </w:rPr>
            </w:pPr>
            <w:r w:rsidRPr="006A6308">
              <w:rPr>
                <w:sz w:val="20"/>
                <w:lang w:val="en-CA"/>
              </w:rPr>
              <w:t>(File: T-2059-15)</w:t>
            </w:r>
          </w:p>
          <w:p w:rsidR="006A6308" w:rsidRPr="006A6308" w:rsidRDefault="006A6308" w:rsidP="006A6308">
            <w:pPr>
              <w:jc w:val="both"/>
              <w:rPr>
                <w:sz w:val="20"/>
                <w:lang w:val="en-CA"/>
              </w:rPr>
            </w:pPr>
          </w:p>
        </w:tc>
        <w:tc>
          <w:tcPr>
            <w:tcW w:w="243" w:type="pct"/>
          </w:tcPr>
          <w:p w:rsidR="006A6308" w:rsidRPr="006A6308" w:rsidRDefault="006A6308" w:rsidP="006A6308">
            <w:pPr>
              <w:jc w:val="both"/>
              <w:rPr>
                <w:sz w:val="20"/>
                <w:lang w:val="en-CA"/>
              </w:rPr>
            </w:pPr>
          </w:p>
        </w:tc>
        <w:tc>
          <w:tcPr>
            <w:tcW w:w="2330" w:type="pct"/>
          </w:tcPr>
          <w:p w:rsidR="006A6308" w:rsidRPr="006A6308" w:rsidRDefault="006A6308" w:rsidP="006A6308">
            <w:pPr>
              <w:jc w:val="both"/>
              <w:rPr>
                <w:sz w:val="20"/>
                <w:lang w:val="en-CA"/>
              </w:rPr>
            </w:pPr>
            <w:r w:rsidRPr="006A6308">
              <w:rPr>
                <w:sz w:val="20"/>
                <w:lang w:val="en-CA"/>
              </w:rPr>
              <w:t xml:space="preserve">Service of notice of requirement to provide information and documents relating to unnamed persons under s. 231.2 of </w:t>
            </w:r>
            <w:r w:rsidRPr="006A6308">
              <w:rPr>
                <w:i/>
                <w:sz w:val="20"/>
                <w:lang w:val="en-CA"/>
              </w:rPr>
              <w:t>Income Tax Act</w:t>
            </w:r>
            <w:r w:rsidRPr="006A6308">
              <w:rPr>
                <w:sz w:val="20"/>
                <w:lang w:val="en-CA"/>
              </w:rPr>
              <w:t xml:space="preserve"> and s. 289 of </w:t>
            </w:r>
            <w:r w:rsidRPr="006A6308">
              <w:rPr>
                <w:i/>
                <w:sz w:val="20"/>
                <w:lang w:val="en-CA"/>
              </w:rPr>
              <w:t>Excise Tax Act</w:t>
            </w:r>
            <w:r w:rsidRPr="006A6308">
              <w:rPr>
                <w:sz w:val="20"/>
                <w:lang w:val="en-CA"/>
              </w:rPr>
              <w:t xml:space="preserve"> authorized</w:t>
            </w:r>
          </w:p>
          <w:p w:rsidR="006A6308" w:rsidRPr="006A6308" w:rsidRDefault="006A6308" w:rsidP="006A6308">
            <w:pPr>
              <w:jc w:val="both"/>
              <w:rPr>
                <w:sz w:val="20"/>
                <w:lang w:val="en-CA"/>
              </w:rPr>
            </w:pPr>
          </w:p>
        </w:tc>
      </w:tr>
      <w:tr w:rsidR="006A6308" w:rsidRPr="006A6308" w:rsidTr="00E95A6A">
        <w:tc>
          <w:tcPr>
            <w:tcW w:w="2427" w:type="pct"/>
            <w:gridSpan w:val="2"/>
          </w:tcPr>
          <w:p w:rsidR="006A6308" w:rsidRPr="006A6308" w:rsidRDefault="006A6308" w:rsidP="006A6308">
            <w:pPr>
              <w:jc w:val="both"/>
              <w:rPr>
                <w:sz w:val="20"/>
                <w:lang w:val="en-CA"/>
              </w:rPr>
            </w:pPr>
            <w:r w:rsidRPr="006A6308">
              <w:rPr>
                <w:sz w:val="20"/>
                <w:lang w:val="en-CA"/>
              </w:rPr>
              <w:t>June 5, 2017</w:t>
            </w:r>
          </w:p>
          <w:p w:rsidR="006A6308" w:rsidRPr="006A6308" w:rsidRDefault="006A6308" w:rsidP="006A6308">
            <w:pPr>
              <w:jc w:val="both"/>
              <w:rPr>
                <w:sz w:val="20"/>
                <w:lang w:val="en-CA"/>
              </w:rPr>
            </w:pPr>
            <w:r w:rsidRPr="006A6308">
              <w:rPr>
                <w:sz w:val="20"/>
                <w:lang w:val="en-CA"/>
              </w:rPr>
              <w:t>Federal Court of Appeal</w:t>
            </w:r>
          </w:p>
          <w:p w:rsidR="006A6308" w:rsidRPr="006A6308" w:rsidRDefault="006A6308" w:rsidP="006A6308">
            <w:pPr>
              <w:jc w:val="both"/>
              <w:rPr>
                <w:sz w:val="20"/>
                <w:lang w:val="en-CA"/>
              </w:rPr>
            </w:pPr>
            <w:r w:rsidRPr="006A6308">
              <w:rPr>
                <w:sz w:val="20"/>
                <w:lang w:val="en-CA"/>
              </w:rPr>
              <w:t xml:space="preserve">(Noël </w:t>
            </w:r>
            <w:proofErr w:type="gramStart"/>
            <w:r w:rsidRPr="006A6308">
              <w:rPr>
                <w:sz w:val="20"/>
                <w:lang w:val="en-CA"/>
              </w:rPr>
              <w:t>C.J. and Scott</w:t>
            </w:r>
            <w:proofErr w:type="gramEnd"/>
            <w:r w:rsidRPr="006A6308">
              <w:rPr>
                <w:sz w:val="20"/>
                <w:lang w:val="en-CA"/>
              </w:rPr>
              <w:t xml:space="preserve"> and Boivin JJ.A.)</w:t>
            </w:r>
          </w:p>
          <w:p w:rsidR="006A6308" w:rsidRPr="006A6308" w:rsidRDefault="00642A36" w:rsidP="006A6308">
            <w:pPr>
              <w:jc w:val="both"/>
              <w:rPr>
                <w:sz w:val="20"/>
                <w:lang w:val="en-CA"/>
              </w:rPr>
            </w:pPr>
            <w:hyperlink r:id="rId16" w:history="1">
              <w:r w:rsidR="006A6308" w:rsidRPr="006A6308">
                <w:rPr>
                  <w:rStyle w:val="Hyperlink"/>
                  <w:sz w:val="20"/>
                  <w:lang w:val="en-CA"/>
                </w:rPr>
                <w:t>2017 FCA 118</w:t>
              </w:r>
            </w:hyperlink>
          </w:p>
          <w:p w:rsidR="006A6308" w:rsidRPr="006A6308" w:rsidRDefault="006A6308" w:rsidP="006A6308">
            <w:pPr>
              <w:jc w:val="both"/>
              <w:rPr>
                <w:sz w:val="20"/>
                <w:lang w:val="en-CA"/>
              </w:rPr>
            </w:pPr>
          </w:p>
        </w:tc>
        <w:tc>
          <w:tcPr>
            <w:tcW w:w="243" w:type="pct"/>
          </w:tcPr>
          <w:p w:rsidR="006A6308" w:rsidRPr="006A6308" w:rsidRDefault="006A6308" w:rsidP="006A6308">
            <w:pPr>
              <w:jc w:val="both"/>
              <w:rPr>
                <w:sz w:val="20"/>
                <w:lang w:val="en-CA"/>
              </w:rPr>
            </w:pPr>
          </w:p>
        </w:tc>
        <w:tc>
          <w:tcPr>
            <w:tcW w:w="2330" w:type="pct"/>
          </w:tcPr>
          <w:p w:rsidR="006A6308" w:rsidRPr="006A6308" w:rsidRDefault="006A6308" w:rsidP="006A6308">
            <w:pPr>
              <w:jc w:val="both"/>
              <w:rPr>
                <w:sz w:val="20"/>
                <w:lang w:val="en-CA"/>
              </w:rPr>
            </w:pPr>
            <w:r w:rsidRPr="006A6308">
              <w:rPr>
                <w:sz w:val="20"/>
                <w:lang w:val="en-CA"/>
              </w:rPr>
              <w:t>Appeal dismissed</w:t>
            </w:r>
          </w:p>
          <w:p w:rsidR="006A6308" w:rsidRPr="006A6308" w:rsidRDefault="006A6308" w:rsidP="006A6308">
            <w:pPr>
              <w:jc w:val="both"/>
              <w:rPr>
                <w:sz w:val="20"/>
                <w:lang w:val="en-CA"/>
              </w:rPr>
            </w:pPr>
          </w:p>
        </w:tc>
      </w:tr>
      <w:tr w:rsidR="006A6308" w:rsidRPr="006A6308" w:rsidTr="00E95A6A">
        <w:tc>
          <w:tcPr>
            <w:tcW w:w="2427" w:type="pct"/>
            <w:gridSpan w:val="2"/>
          </w:tcPr>
          <w:p w:rsidR="006A6308" w:rsidRPr="006A6308" w:rsidRDefault="006A6308" w:rsidP="006A6308">
            <w:pPr>
              <w:jc w:val="both"/>
              <w:rPr>
                <w:sz w:val="20"/>
                <w:lang w:val="en-CA"/>
              </w:rPr>
            </w:pPr>
            <w:r w:rsidRPr="006A6308">
              <w:rPr>
                <w:sz w:val="20"/>
                <w:lang w:val="en-CA"/>
              </w:rPr>
              <w:t>June 7, 2017</w:t>
            </w:r>
          </w:p>
          <w:p w:rsidR="006A6308" w:rsidRPr="006A6308" w:rsidRDefault="006A6308" w:rsidP="006A6308">
            <w:pPr>
              <w:jc w:val="both"/>
              <w:rPr>
                <w:sz w:val="20"/>
                <w:lang w:val="en-CA"/>
              </w:rPr>
            </w:pPr>
            <w:r w:rsidRPr="006A6308">
              <w:rPr>
                <w:sz w:val="20"/>
                <w:lang w:val="en-CA"/>
              </w:rPr>
              <w:t>Supreme Court of Canada</w:t>
            </w:r>
          </w:p>
        </w:tc>
        <w:tc>
          <w:tcPr>
            <w:tcW w:w="243" w:type="pct"/>
          </w:tcPr>
          <w:p w:rsidR="006A6308" w:rsidRPr="006A6308" w:rsidRDefault="006A6308" w:rsidP="006A6308">
            <w:pPr>
              <w:jc w:val="both"/>
              <w:rPr>
                <w:sz w:val="20"/>
                <w:lang w:val="en-CA"/>
              </w:rPr>
            </w:pPr>
          </w:p>
        </w:tc>
        <w:tc>
          <w:tcPr>
            <w:tcW w:w="2330" w:type="pct"/>
          </w:tcPr>
          <w:p w:rsidR="006A6308" w:rsidRPr="006A6308" w:rsidRDefault="006A6308" w:rsidP="006A6308">
            <w:pPr>
              <w:jc w:val="both"/>
              <w:rPr>
                <w:sz w:val="20"/>
                <w:lang w:val="en-CA"/>
              </w:rPr>
            </w:pPr>
            <w:r w:rsidRPr="006A6308">
              <w:rPr>
                <w:sz w:val="20"/>
                <w:lang w:val="en-CA"/>
              </w:rPr>
              <w:t>Application for leave to appeal filed</w:t>
            </w:r>
          </w:p>
          <w:p w:rsidR="006A6308" w:rsidRPr="006A6308" w:rsidRDefault="006A6308" w:rsidP="006A6308">
            <w:pPr>
              <w:jc w:val="both"/>
              <w:rPr>
                <w:sz w:val="20"/>
                <w:lang w:val="en-CA"/>
              </w:rPr>
            </w:pPr>
          </w:p>
        </w:tc>
      </w:tr>
    </w:tbl>
    <w:p w:rsidR="006A6308" w:rsidRDefault="006A6308" w:rsidP="006A6308">
      <w:pPr>
        <w:jc w:val="both"/>
        <w:rPr>
          <w:sz w:val="20"/>
          <w:lang w:val="en-CA"/>
        </w:rPr>
      </w:pPr>
    </w:p>
    <w:p w:rsidR="006A6308" w:rsidRPr="006A6308" w:rsidRDefault="006A6308" w:rsidP="006A630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A6308" w:rsidRPr="006A6308" w:rsidTr="00E95A6A">
        <w:tc>
          <w:tcPr>
            <w:tcW w:w="543" w:type="pct"/>
          </w:tcPr>
          <w:p w:rsidR="006A6308" w:rsidRPr="006A6308" w:rsidRDefault="006A6308" w:rsidP="006A6308">
            <w:pPr>
              <w:jc w:val="both"/>
              <w:rPr>
                <w:sz w:val="20"/>
              </w:rPr>
            </w:pPr>
            <w:r w:rsidRPr="006A6308">
              <w:rPr>
                <w:rStyle w:val="SCCFileNumberChar"/>
                <w:sz w:val="20"/>
                <w:szCs w:val="20"/>
              </w:rPr>
              <w:t>37606</w:t>
            </w:r>
          </w:p>
        </w:tc>
        <w:tc>
          <w:tcPr>
            <w:tcW w:w="4457" w:type="pct"/>
            <w:gridSpan w:val="3"/>
          </w:tcPr>
          <w:p w:rsidR="006A6308" w:rsidRPr="006A6308" w:rsidRDefault="006A6308" w:rsidP="006A6308">
            <w:pPr>
              <w:pStyle w:val="SCCLsocParty"/>
              <w:jc w:val="both"/>
              <w:rPr>
                <w:b/>
                <w:sz w:val="20"/>
                <w:szCs w:val="20"/>
              </w:rPr>
            </w:pPr>
            <w:r w:rsidRPr="006A6308">
              <w:rPr>
                <w:b/>
                <w:sz w:val="20"/>
                <w:szCs w:val="20"/>
              </w:rPr>
              <w:t>RONA inc. c. Ministre du Revenu national</w:t>
            </w:r>
          </w:p>
          <w:p w:rsidR="006A6308" w:rsidRPr="006A6308" w:rsidRDefault="006A6308" w:rsidP="006A6308">
            <w:pPr>
              <w:jc w:val="both"/>
              <w:rPr>
                <w:sz w:val="20"/>
                <w:lang w:val="fr-CA"/>
              </w:rPr>
            </w:pPr>
            <w:r w:rsidRPr="006A6308">
              <w:rPr>
                <w:sz w:val="20"/>
                <w:lang w:val="fr-CA"/>
              </w:rPr>
              <w:t>(C.</w:t>
            </w:r>
            <w:r>
              <w:rPr>
                <w:sz w:val="20"/>
                <w:lang w:val="fr-CA"/>
              </w:rPr>
              <w:t>F.</w:t>
            </w:r>
            <w:r w:rsidRPr="006A6308">
              <w:rPr>
                <w:sz w:val="20"/>
                <w:lang w:val="fr-CA"/>
              </w:rPr>
              <w:t>) (Civile) (Autorisation)</w:t>
            </w:r>
          </w:p>
        </w:tc>
      </w:tr>
      <w:tr w:rsidR="006A6308" w:rsidRPr="00642A36" w:rsidTr="00E95A6A">
        <w:tc>
          <w:tcPr>
            <w:tcW w:w="5000" w:type="pct"/>
            <w:gridSpan w:val="4"/>
          </w:tcPr>
          <w:p w:rsidR="006A6308" w:rsidRPr="006A6308" w:rsidRDefault="006A6308" w:rsidP="006A6308">
            <w:pPr>
              <w:jc w:val="both"/>
              <w:rPr>
                <w:sz w:val="20"/>
                <w:lang w:val="fr-CA"/>
              </w:rPr>
            </w:pPr>
            <w:r w:rsidRPr="006A6308">
              <w:rPr>
                <w:sz w:val="20"/>
                <w:lang w:val="fr-CA"/>
              </w:rPr>
              <w:t xml:space="preserve">Droit fiscal — Impôt sur le revenu — Demande péremptoire de renseignements auprès d’un tiers concernant des personnes non désignées nommément — Obligation légale de communiquer des documents ou des renseignements aux fins de vérification ou d’exécution — À quel moment le comportement répréhensible des représentants du Ministre vicie-t-il un processus de vérification eu point où une demande d’autorisation de signifier une demande péremptoire de renseignements devrait être rejetée purement et simplement? — </w:t>
            </w:r>
            <w:r w:rsidRPr="006A6308">
              <w:rPr>
                <w:i/>
                <w:sz w:val="20"/>
                <w:lang w:val="fr-CA"/>
              </w:rPr>
              <w:t>Loi de l’impôt sur le revenu</w:t>
            </w:r>
            <w:r w:rsidRPr="006A6308">
              <w:rPr>
                <w:sz w:val="20"/>
                <w:lang w:val="fr-CA"/>
              </w:rPr>
              <w:t>, L.R.C. 1985, c. 1 (5</w:t>
            </w:r>
            <w:r w:rsidRPr="006A6308">
              <w:rPr>
                <w:sz w:val="20"/>
                <w:vertAlign w:val="superscript"/>
                <w:lang w:val="fr-CA"/>
              </w:rPr>
              <w:t>e</w:t>
            </w:r>
            <w:r w:rsidRPr="006A6308">
              <w:rPr>
                <w:sz w:val="20"/>
                <w:lang w:val="fr-CA"/>
              </w:rPr>
              <w:t xml:space="preserve"> suppl.), art. 231.2 — </w:t>
            </w:r>
            <w:r w:rsidRPr="006A6308">
              <w:rPr>
                <w:i/>
                <w:sz w:val="20"/>
                <w:lang w:val="fr-CA"/>
              </w:rPr>
              <w:t>Loi sur la taxe d’accise</w:t>
            </w:r>
            <w:r w:rsidRPr="006A6308">
              <w:rPr>
                <w:sz w:val="20"/>
                <w:lang w:val="fr-CA"/>
              </w:rPr>
              <w:t>, L.R.C. 1985, c. E-15, art. 289.</w:t>
            </w:r>
          </w:p>
        </w:tc>
      </w:tr>
      <w:tr w:rsidR="006A6308" w:rsidRPr="00642A36" w:rsidTr="00E95A6A">
        <w:tc>
          <w:tcPr>
            <w:tcW w:w="5000" w:type="pct"/>
            <w:gridSpan w:val="4"/>
          </w:tcPr>
          <w:p w:rsidR="006A6308" w:rsidRPr="006A6308" w:rsidRDefault="006A6308" w:rsidP="006A6308">
            <w:pPr>
              <w:jc w:val="both"/>
              <w:rPr>
                <w:sz w:val="20"/>
                <w:lang w:val="fr-CA"/>
              </w:rPr>
            </w:pPr>
          </w:p>
        </w:tc>
      </w:tr>
      <w:tr w:rsidR="006A6308" w:rsidRPr="00642A36" w:rsidTr="00E95A6A">
        <w:tc>
          <w:tcPr>
            <w:tcW w:w="5000" w:type="pct"/>
            <w:gridSpan w:val="4"/>
          </w:tcPr>
          <w:p w:rsidR="006A6308" w:rsidRPr="006A6308" w:rsidRDefault="006A6308" w:rsidP="006A6308">
            <w:pPr>
              <w:jc w:val="both"/>
              <w:rPr>
                <w:sz w:val="20"/>
                <w:lang w:val="fr-CA"/>
              </w:rPr>
            </w:pPr>
            <w:r w:rsidRPr="006A6308">
              <w:rPr>
                <w:sz w:val="20"/>
                <w:lang w:val="fr-CA"/>
              </w:rPr>
              <w:t xml:space="preserve">La demanderesse RONA inc. conteste l’avis de demande péremptoire de renseignements signifié en vertu </w:t>
            </w:r>
            <w:proofErr w:type="gramStart"/>
            <w:r w:rsidRPr="006A6308">
              <w:rPr>
                <w:sz w:val="20"/>
                <w:lang w:val="fr-CA"/>
              </w:rPr>
              <w:t>des art</w:t>
            </w:r>
            <w:proofErr w:type="gramEnd"/>
            <w:r w:rsidRPr="006A6308">
              <w:rPr>
                <w:sz w:val="20"/>
                <w:lang w:val="fr-CA"/>
              </w:rPr>
              <w:t xml:space="preserve">. 231.2 de la </w:t>
            </w:r>
            <w:r w:rsidRPr="006A6308">
              <w:rPr>
                <w:i/>
                <w:sz w:val="20"/>
                <w:lang w:val="fr-CA"/>
              </w:rPr>
              <w:t>Loi de l’impôt sur le revenu</w:t>
            </w:r>
            <w:r w:rsidRPr="006A6308">
              <w:rPr>
                <w:sz w:val="20"/>
                <w:lang w:val="fr-CA"/>
              </w:rPr>
              <w:t xml:space="preserve"> et</w:t>
            </w:r>
            <w:r w:rsidRPr="006A6308">
              <w:rPr>
                <w:i/>
                <w:sz w:val="20"/>
                <w:lang w:val="fr-CA"/>
              </w:rPr>
              <w:t xml:space="preserve"> </w:t>
            </w:r>
            <w:r w:rsidRPr="006A6308">
              <w:rPr>
                <w:sz w:val="20"/>
                <w:lang w:val="fr-CA"/>
              </w:rPr>
              <w:t xml:space="preserve">289 de la </w:t>
            </w:r>
            <w:r w:rsidRPr="006A6308">
              <w:rPr>
                <w:i/>
                <w:sz w:val="20"/>
                <w:lang w:val="fr-CA"/>
              </w:rPr>
              <w:t>Loi sur la taxe d’accise</w:t>
            </w:r>
            <w:r w:rsidRPr="006A6308">
              <w:rPr>
                <w:sz w:val="20"/>
                <w:lang w:val="fr-CA"/>
              </w:rPr>
              <w:t xml:space="preserve"> qui autorise l’intimé, le ministre du Revenu national à d’obtenir la divulgation de l’identité de ses clients commerciaux et de certaines de leurs données financières. La demanderesse soulève le fait que le formulaire de demande de crédit commercial ayant servi à la préparation de la demande péremptoire de renseignements aurait été obtenu en contravention au </w:t>
            </w:r>
            <w:r w:rsidRPr="006A6308">
              <w:rPr>
                <w:i/>
                <w:sz w:val="20"/>
                <w:lang w:val="fr-CA"/>
              </w:rPr>
              <w:t>Code d’intégrité et de conduite professionnelle</w:t>
            </w:r>
            <w:r w:rsidRPr="006A6308">
              <w:rPr>
                <w:sz w:val="20"/>
                <w:lang w:val="fr-CA"/>
              </w:rPr>
              <w:t xml:space="preserve"> et aux procédures établies par l’Agence du revenu du Canada en matière de vérification fiscale. En effet, les deux représentants du Ministre et employés de l’Agence ayant obtenu le formulaire n’auraient pas fait mention au préposé du comptoir commercial de la succursale RONA où ils se sont présentés qu’ils étaient alors dans l’exercice de leurs fonctions comme représentants du Ministre. L’un des représentants se serait plutôt présenté comme un particulier désirant devenir entrepreneur en construction à sa retraite et s’informant de la procédure à suivre afin d’ouvrir un compte commercial.</w:t>
            </w:r>
          </w:p>
          <w:p w:rsidR="006A6308" w:rsidRPr="006A6308" w:rsidRDefault="006A6308" w:rsidP="006A6308">
            <w:pPr>
              <w:jc w:val="both"/>
              <w:rPr>
                <w:sz w:val="20"/>
                <w:lang w:val="fr-CA"/>
              </w:rPr>
            </w:pPr>
          </w:p>
        </w:tc>
      </w:tr>
      <w:tr w:rsidR="006A6308" w:rsidRPr="00642A36" w:rsidTr="00E95A6A">
        <w:tc>
          <w:tcPr>
            <w:tcW w:w="2427" w:type="pct"/>
            <w:gridSpan w:val="2"/>
          </w:tcPr>
          <w:p w:rsidR="006A6308" w:rsidRPr="006A6308" w:rsidRDefault="006A6308" w:rsidP="006A6308">
            <w:pPr>
              <w:jc w:val="both"/>
              <w:rPr>
                <w:sz w:val="20"/>
                <w:lang w:val="fr-CA"/>
              </w:rPr>
            </w:pPr>
            <w:r w:rsidRPr="006A6308">
              <w:rPr>
                <w:sz w:val="20"/>
                <w:lang w:val="fr-CA"/>
              </w:rPr>
              <w:lastRenderedPageBreak/>
              <w:t>Le 28 octobre 2016</w:t>
            </w:r>
          </w:p>
          <w:p w:rsidR="006A6308" w:rsidRPr="006A6308" w:rsidRDefault="006A6308" w:rsidP="006A6308">
            <w:pPr>
              <w:jc w:val="both"/>
              <w:rPr>
                <w:sz w:val="20"/>
                <w:lang w:val="fr-CA"/>
              </w:rPr>
            </w:pPr>
            <w:r w:rsidRPr="006A6308">
              <w:rPr>
                <w:sz w:val="20"/>
                <w:lang w:val="fr-CA"/>
              </w:rPr>
              <w:t>Cour fédérale</w:t>
            </w:r>
          </w:p>
          <w:p w:rsidR="006A6308" w:rsidRPr="006A6308" w:rsidRDefault="006A6308" w:rsidP="006A6308">
            <w:pPr>
              <w:jc w:val="both"/>
              <w:rPr>
                <w:sz w:val="20"/>
                <w:lang w:val="fr-CA"/>
              </w:rPr>
            </w:pPr>
            <w:r w:rsidRPr="006A6308">
              <w:rPr>
                <w:sz w:val="20"/>
                <w:lang w:val="fr-CA"/>
              </w:rPr>
              <w:t>(Le juge Martineau)</w:t>
            </w:r>
          </w:p>
          <w:p w:rsidR="006A6308" w:rsidRPr="006A6308" w:rsidRDefault="006A6308" w:rsidP="006A6308">
            <w:pPr>
              <w:jc w:val="both"/>
              <w:rPr>
                <w:sz w:val="20"/>
                <w:lang w:val="fr-CA"/>
              </w:rPr>
            </w:pPr>
            <w:r w:rsidRPr="006A6308">
              <w:rPr>
                <w:sz w:val="20"/>
                <w:lang w:val="fr-CA"/>
              </w:rPr>
              <w:t xml:space="preserve">Ordonnance non publiée </w:t>
            </w:r>
          </w:p>
          <w:p w:rsidR="006A6308" w:rsidRPr="006A6308" w:rsidRDefault="006A6308" w:rsidP="006A6308">
            <w:pPr>
              <w:jc w:val="both"/>
              <w:rPr>
                <w:sz w:val="20"/>
                <w:lang w:val="fr-CA"/>
              </w:rPr>
            </w:pPr>
            <w:r w:rsidRPr="006A6308">
              <w:rPr>
                <w:sz w:val="20"/>
                <w:lang w:val="fr-CA"/>
              </w:rPr>
              <w:t>(Dossier : T-2059-15)</w:t>
            </w:r>
          </w:p>
        </w:tc>
        <w:tc>
          <w:tcPr>
            <w:tcW w:w="243" w:type="pct"/>
          </w:tcPr>
          <w:p w:rsidR="006A6308" w:rsidRPr="006A6308" w:rsidRDefault="006A6308" w:rsidP="006A6308">
            <w:pPr>
              <w:jc w:val="both"/>
              <w:rPr>
                <w:sz w:val="20"/>
                <w:lang w:val="fr-CA"/>
              </w:rPr>
            </w:pPr>
          </w:p>
        </w:tc>
        <w:tc>
          <w:tcPr>
            <w:tcW w:w="2330" w:type="pct"/>
          </w:tcPr>
          <w:p w:rsidR="006A6308" w:rsidRPr="006A6308" w:rsidRDefault="006A6308" w:rsidP="006A6308">
            <w:pPr>
              <w:jc w:val="both"/>
              <w:rPr>
                <w:sz w:val="20"/>
                <w:lang w:val="fr-CA"/>
              </w:rPr>
            </w:pPr>
            <w:r w:rsidRPr="006A6308">
              <w:rPr>
                <w:sz w:val="20"/>
                <w:lang w:val="fr-CA"/>
              </w:rPr>
              <w:t xml:space="preserve">Signification d’un avis de demande péremptoire de renseignements afin d’obtenir la fourniture de renseignements et la production de documents concernant des personnes non désignées nommément en vertu </w:t>
            </w:r>
            <w:proofErr w:type="gramStart"/>
            <w:r w:rsidRPr="006A6308">
              <w:rPr>
                <w:sz w:val="20"/>
                <w:lang w:val="fr-CA"/>
              </w:rPr>
              <w:t>des art</w:t>
            </w:r>
            <w:proofErr w:type="gramEnd"/>
            <w:r w:rsidRPr="006A6308">
              <w:rPr>
                <w:sz w:val="20"/>
                <w:lang w:val="fr-CA"/>
              </w:rPr>
              <w:t xml:space="preserve">. 231.2 de la </w:t>
            </w:r>
            <w:r w:rsidRPr="006A6308">
              <w:rPr>
                <w:i/>
                <w:sz w:val="20"/>
                <w:lang w:val="fr-CA"/>
              </w:rPr>
              <w:t>Loi de l’impôt sur le revenu</w:t>
            </w:r>
            <w:r w:rsidRPr="006A6308">
              <w:rPr>
                <w:sz w:val="20"/>
                <w:lang w:val="fr-CA"/>
              </w:rPr>
              <w:t xml:space="preserve"> et 289 de la </w:t>
            </w:r>
            <w:r w:rsidRPr="006A6308">
              <w:rPr>
                <w:i/>
                <w:sz w:val="20"/>
                <w:lang w:val="fr-CA"/>
              </w:rPr>
              <w:t>Loi sur la taxe d’accise</w:t>
            </w:r>
            <w:r w:rsidRPr="006A6308">
              <w:rPr>
                <w:sz w:val="20"/>
                <w:lang w:val="fr-CA"/>
              </w:rPr>
              <w:t xml:space="preserve"> autorisée.</w:t>
            </w:r>
          </w:p>
          <w:p w:rsidR="006A6308" w:rsidRPr="006A6308" w:rsidRDefault="006A6308" w:rsidP="006A6308">
            <w:pPr>
              <w:jc w:val="both"/>
              <w:rPr>
                <w:sz w:val="20"/>
                <w:lang w:val="fr-CA"/>
              </w:rPr>
            </w:pPr>
          </w:p>
        </w:tc>
      </w:tr>
      <w:tr w:rsidR="006A6308" w:rsidRPr="006A6308" w:rsidTr="00E95A6A">
        <w:tc>
          <w:tcPr>
            <w:tcW w:w="2427" w:type="pct"/>
            <w:gridSpan w:val="2"/>
          </w:tcPr>
          <w:p w:rsidR="006A6308" w:rsidRPr="006A6308" w:rsidRDefault="006A6308" w:rsidP="006A6308">
            <w:pPr>
              <w:jc w:val="both"/>
              <w:rPr>
                <w:sz w:val="20"/>
                <w:lang w:val="fr-CA"/>
              </w:rPr>
            </w:pPr>
            <w:r w:rsidRPr="006A6308">
              <w:rPr>
                <w:sz w:val="20"/>
                <w:lang w:val="fr-CA"/>
              </w:rPr>
              <w:t>Le 5 juin 2017</w:t>
            </w:r>
          </w:p>
          <w:p w:rsidR="006A6308" w:rsidRPr="006A6308" w:rsidRDefault="006A6308" w:rsidP="006A6308">
            <w:pPr>
              <w:jc w:val="both"/>
              <w:rPr>
                <w:sz w:val="20"/>
                <w:lang w:val="fr-CA"/>
              </w:rPr>
            </w:pPr>
            <w:r w:rsidRPr="006A6308">
              <w:rPr>
                <w:sz w:val="20"/>
                <w:lang w:val="fr-CA"/>
              </w:rPr>
              <w:t>Cour d’appel fédérale</w:t>
            </w:r>
          </w:p>
          <w:p w:rsidR="006A6308" w:rsidRPr="006A6308" w:rsidRDefault="006A6308" w:rsidP="006A6308">
            <w:pPr>
              <w:jc w:val="both"/>
              <w:rPr>
                <w:sz w:val="20"/>
                <w:lang w:val="fr-CA"/>
              </w:rPr>
            </w:pPr>
            <w:r w:rsidRPr="006A6308">
              <w:rPr>
                <w:sz w:val="20"/>
                <w:lang w:val="fr-CA"/>
              </w:rPr>
              <w:t>(Le juge en chef Noël et les juges Scott et Boivin)</w:t>
            </w:r>
          </w:p>
          <w:p w:rsidR="006A6308" w:rsidRPr="006A6308" w:rsidRDefault="00642A36" w:rsidP="006A6308">
            <w:pPr>
              <w:jc w:val="both"/>
              <w:rPr>
                <w:sz w:val="20"/>
              </w:rPr>
            </w:pPr>
            <w:hyperlink r:id="rId17" w:history="1">
              <w:r w:rsidR="006A6308" w:rsidRPr="006A6308">
                <w:rPr>
                  <w:rStyle w:val="Hyperlink"/>
                  <w:sz w:val="20"/>
                </w:rPr>
                <w:t>2017 CAF 118</w:t>
              </w:r>
            </w:hyperlink>
          </w:p>
          <w:p w:rsidR="006A6308" w:rsidRPr="006A6308" w:rsidRDefault="006A6308" w:rsidP="006A6308">
            <w:pPr>
              <w:jc w:val="both"/>
              <w:rPr>
                <w:sz w:val="20"/>
              </w:rPr>
            </w:pPr>
          </w:p>
        </w:tc>
        <w:tc>
          <w:tcPr>
            <w:tcW w:w="243" w:type="pct"/>
          </w:tcPr>
          <w:p w:rsidR="006A6308" w:rsidRPr="006A6308" w:rsidRDefault="006A6308" w:rsidP="006A6308">
            <w:pPr>
              <w:jc w:val="both"/>
              <w:rPr>
                <w:sz w:val="20"/>
              </w:rPr>
            </w:pPr>
          </w:p>
        </w:tc>
        <w:tc>
          <w:tcPr>
            <w:tcW w:w="2330" w:type="pct"/>
          </w:tcPr>
          <w:p w:rsidR="006A6308" w:rsidRPr="006A6308" w:rsidRDefault="006A6308" w:rsidP="006A6308">
            <w:pPr>
              <w:jc w:val="both"/>
              <w:rPr>
                <w:sz w:val="20"/>
              </w:rPr>
            </w:pPr>
            <w:r w:rsidRPr="006A6308">
              <w:rPr>
                <w:sz w:val="20"/>
              </w:rPr>
              <w:t>Appel rejeté.</w:t>
            </w:r>
          </w:p>
          <w:p w:rsidR="006A6308" w:rsidRPr="006A6308" w:rsidRDefault="006A6308" w:rsidP="006A6308">
            <w:pPr>
              <w:jc w:val="both"/>
              <w:rPr>
                <w:sz w:val="20"/>
              </w:rPr>
            </w:pPr>
          </w:p>
        </w:tc>
      </w:tr>
      <w:tr w:rsidR="006A6308" w:rsidRPr="006A6308" w:rsidTr="00E95A6A">
        <w:tc>
          <w:tcPr>
            <w:tcW w:w="2427" w:type="pct"/>
            <w:gridSpan w:val="2"/>
          </w:tcPr>
          <w:p w:rsidR="006A6308" w:rsidRPr="006A6308" w:rsidRDefault="006A6308" w:rsidP="006A6308">
            <w:pPr>
              <w:jc w:val="both"/>
              <w:rPr>
                <w:sz w:val="20"/>
                <w:lang w:val="fr-CA"/>
              </w:rPr>
            </w:pPr>
            <w:r w:rsidRPr="006A6308">
              <w:rPr>
                <w:sz w:val="20"/>
                <w:lang w:val="fr-CA"/>
              </w:rPr>
              <w:t>Le 7 juin 2017</w:t>
            </w:r>
          </w:p>
          <w:p w:rsidR="006A6308" w:rsidRPr="006A6308" w:rsidRDefault="006A6308" w:rsidP="006A6308">
            <w:pPr>
              <w:jc w:val="both"/>
              <w:rPr>
                <w:sz w:val="20"/>
                <w:lang w:val="fr-CA"/>
              </w:rPr>
            </w:pPr>
            <w:r w:rsidRPr="006A6308">
              <w:rPr>
                <w:sz w:val="20"/>
                <w:lang w:val="fr-CA"/>
              </w:rPr>
              <w:t>Cour suprême du Canada</w:t>
            </w:r>
          </w:p>
        </w:tc>
        <w:tc>
          <w:tcPr>
            <w:tcW w:w="243" w:type="pct"/>
          </w:tcPr>
          <w:p w:rsidR="006A6308" w:rsidRPr="006A6308" w:rsidRDefault="006A6308" w:rsidP="006A6308">
            <w:pPr>
              <w:jc w:val="both"/>
              <w:rPr>
                <w:sz w:val="20"/>
                <w:lang w:val="fr-CA"/>
              </w:rPr>
            </w:pPr>
          </w:p>
        </w:tc>
        <w:tc>
          <w:tcPr>
            <w:tcW w:w="2330" w:type="pct"/>
          </w:tcPr>
          <w:p w:rsidR="006A6308" w:rsidRPr="006A6308" w:rsidRDefault="006A6308" w:rsidP="006A6308">
            <w:pPr>
              <w:jc w:val="both"/>
              <w:rPr>
                <w:sz w:val="20"/>
              </w:rPr>
            </w:pPr>
            <w:r w:rsidRPr="006A6308">
              <w:rPr>
                <w:sz w:val="20"/>
              </w:rPr>
              <w:t>Demande d’autorisation d’appel déposée.</w:t>
            </w:r>
          </w:p>
          <w:p w:rsidR="006A6308" w:rsidRPr="006A6308" w:rsidRDefault="006A6308" w:rsidP="006A6308">
            <w:pPr>
              <w:jc w:val="both"/>
              <w:rPr>
                <w:sz w:val="20"/>
              </w:rPr>
            </w:pPr>
          </w:p>
        </w:tc>
      </w:tr>
    </w:tbl>
    <w:p w:rsidR="006A6308" w:rsidRDefault="006A6308" w:rsidP="00957A1E">
      <w:pPr>
        <w:jc w:val="both"/>
        <w:rPr>
          <w:sz w:val="20"/>
        </w:rPr>
      </w:pPr>
    </w:p>
    <w:p w:rsidR="006A6308" w:rsidRDefault="006A6308" w:rsidP="00957A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2CA0" w:rsidRPr="00D22CA0" w:rsidTr="00E95A6A">
        <w:tc>
          <w:tcPr>
            <w:tcW w:w="543" w:type="pct"/>
          </w:tcPr>
          <w:p w:rsidR="00D22CA0" w:rsidRPr="00D22CA0" w:rsidRDefault="00D22CA0" w:rsidP="00D22CA0">
            <w:pPr>
              <w:jc w:val="both"/>
              <w:rPr>
                <w:sz w:val="20"/>
              </w:rPr>
            </w:pPr>
            <w:r w:rsidRPr="00D22CA0">
              <w:rPr>
                <w:rStyle w:val="SCCFileNumberChar"/>
                <w:sz w:val="20"/>
                <w:szCs w:val="20"/>
              </w:rPr>
              <w:t>37648</w:t>
            </w:r>
          </w:p>
        </w:tc>
        <w:tc>
          <w:tcPr>
            <w:tcW w:w="4457" w:type="pct"/>
            <w:gridSpan w:val="3"/>
          </w:tcPr>
          <w:p w:rsidR="00D22CA0" w:rsidRPr="00D22CA0" w:rsidRDefault="00D22CA0" w:rsidP="00D22CA0">
            <w:pPr>
              <w:pStyle w:val="SCCLsocParty"/>
              <w:jc w:val="both"/>
              <w:rPr>
                <w:b/>
                <w:sz w:val="20"/>
                <w:szCs w:val="20"/>
                <w:lang w:val="en-US"/>
              </w:rPr>
            </w:pPr>
            <w:proofErr w:type="spellStart"/>
            <w:r w:rsidRPr="00D22CA0">
              <w:rPr>
                <w:b/>
                <w:sz w:val="20"/>
                <w:szCs w:val="20"/>
                <w:lang w:val="en-US"/>
              </w:rPr>
              <w:t>Manoucher</w:t>
            </w:r>
            <w:proofErr w:type="spellEnd"/>
            <w:r w:rsidRPr="00D22CA0">
              <w:rPr>
                <w:b/>
                <w:sz w:val="20"/>
                <w:szCs w:val="20"/>
                <w:lang w:val="en-US"/>
              </w:rPr>
              <w:t xml:space="preserve"> </w:t>
            </w:r>
            <w:proofErr w:type="spellStart"/>
            <w:r w:rsidRPr="00D22CA0">
              <w:rPr>
                <w:b/>
                <w:sz w:val="20"/>
                <w:szCs w:val="20"/>
                <w:lang w:val="en-US"/>
              </w:rPr>
              <w:t>Baradaran</w:t>
            </w:r>
            <w:proofErr w:type="spellEnd"/>
            <w:r w:rsidRPr="00D22CA0">
              <w:rPr>
                <w:b/>
                <w:sz w:val="20"/>
                <w:szCs w:val="20"/>
                <w:lang w:val="en-US"/>
              </w:rPr>
              <w:t xml:space="preserve"> v. Her Majesty the Queen in Right of the Province of Ontario, City of Toronto, as represented by the Attorney General of Ontario, Lawyers Professional Indemnity Company (</w:t>
            </w:r>
            <w:proofErr w:type="spellStart"/>
            <w:r w:rsidRPr="00D22CA0">
              <w:rPr>
                <w:b/>
                <w:sz w:val="20"/>
                <w:szCs w:val="20"/>
                <w:lang w:val="en-US"/>
              </w:rPr>
              <w:t>LawPRO</w:t>
            </w:r>
            <w:proofErr w:type="spellEnd"/>
            <w:r w:rsidRPr="00D22CA0">
              <w:rPr>
                <w:b/>
                <w:sz w:val="20"/>
                <w:szCs w:val="20"/>
                <w:lang w:val="en-US"/>
              </w:rPr>
              <w:t xml:space="preserve">), Friedman Law Firm, Patrick </w:t>
            </w:r>
            <w:proofErr w:type="spellStart"/>
            <w:r w:rsidRPr="00D22CA0">
              <w:rPr>
                <w:b/>
                <w:sz w:val="20"/>
                <w:szCs w:val="20"/>
                <w:lang w:val="en-US"/>
              </w:rPr>
              <w:t>Bakos</w:t>
            </w:r>
            <w:proofErr w:type="spellEnd"/>
            <w:r w:rsidRPr="00D22CA0">
              <w:rPr>
                <w:b/>
                <w:sz w:val="20"/>
                <w:szCs w:val="20"/>
                <w:lang w:val="en-US"/>
              </w:rPr>
              <w:t>, Real Estate Counsel represent [JOHN DOE]</w:t>
            </w:r>
          </w:p>
          <w:p w:rsidR="00D22CA0" w:rsidRPr="00D22CA0" w:rsidRDefault="00D22CA0" w:rsidP="00D22CA0">
            <w:pPr>
              <w:jc w:val="both"/>
              <w:rPr>
                <w:sz w:val="20"/>
              </w:rPr>
            </w:pPr>
            <w:r w:rsidRPr="00D22CA0">
              <w:rPr>
                <w:sz w:val="20"/>
              </w:rPr>
              <w:t>(Ont.) (Civil) (By Leave)</w:t>
            </w:r>
          </w:p>
        </w:tc>
      </w:tr>
      <w:tr w:rsidR="00D22CA0" w:rsidRPr="00D22CA0" w:rsidTr="00E95A6A">
        <w:tc>
          <w:tcPr>
            <w:tcW w:w="5000" w:type="pct"/>
            <w:gridSpan w:val="4"/>
          </w:tcPr>
          <w:p w:rsidR="00D22CA0" w:rsidRPr="00D22CA0" w:rsidRDefault="00D22CA0" w:rsidP="00D22CA0">
            <w:pPr>
              <w:jc w:val="both"/>
              <w:rPr>
                <w:sz w:val="20"/>
              </w:rPr>
            </w:pPr>
            <w:r w:rsidRPr="00D22CA0">
              <w:rPr>
                <w:sz w:val="20"/>
              </w:rPr>
              <w:t>Civil procedure — Seizure and sale — Sale of property to satisfy costs orders — Enforcement procedures — Estoppel — Whether court enforcement offices are required to follow the procedures contained in enforcement manuals published by the applicable Ministries — Whether the public is entitled to rely on enforcement officers complying with the procedures in the enforcement manual — Whether certified appraisals from qualified appraisers are required to determine the fair market value of a property before its sale to satisfy a writ of seizure and sale.</w:t>
            </w:r>
          </w:p>
        </w:tc>
      </w:tr>
      <w:tr w:rsidR="00D22CA0" w:rsidRPr="00D22CA0" w:rsidTr="00E95A6A">
        <w:tc>
          <w:tcPr>
            <w:tcW w:w="5000" w:type="pct"/>
            <w:gridSpan w:val="4"/>
          </w:tcPr>
          <w:p w:rsidR="00D22CA0" w:rsidRPr="00D22CA0" w:rsidRDefault="00D22CA0" w:rsidP="00D22CA0">
            <w:pPr>
              <w:jc w:val="both"/>
              <w:rPr>
                <w:sz w:val="20"/>
              </w:rPr>
            </w:pPr>
          </w:p>
        </w:tc>
      </w:tr>
      <w:tr w:rsidR="00D22CA0" w:rsidRPr="00D22CA0" w:rsidTr="00D22CA0">
        <w:trPr>
          <w:trHeight w:val="3195"/>
        </w:trPr>
        <w:tc>
          <w:tcPr>
            <w:tcW w:w="5000" w:type="pct"/>
            <w:gridSpan w:val="4"/>
          </w:tcPr>
          <w:p w:rsidR="00D22CA0" w:rsidRPr="00D22CA0" w:rsidRDefault="00D22CA0" w:rsidP="00D22CA0">
            <w:pPr>
              <w:jc w:val="both"/>
              <w:rPr>
                <w:sz w:val="20"/>
              </w:rPr>
            </w:pPr>
            <w:r w:rsidRPr="00D22CA0">
              <w:rPr>
                <w:sz w:val="20"/>
              </w:rPr>
              <w:t>On January 12, 2016, the Sheriff of the Regional Municipality of York sold the property located at 19 Church Avenue in the City of Toronto at auction for $1,050,000. It had been owned by Mr. </w:t>
            </w:r>
            <w:proofErr w:type="spellStart"/>
            <w:r w:rsidRPr="00D22CA0">
              <w:rPr>
                <w:sz w:val="20"/>
              </w:rPr>
              <w:t>Baradaran</w:t>
            </w:r>
            <w:proofErr w:type="spellEnd"/>
            <w:r w:rsidRPr="00D22CA0">
              <w:rPr>
                <w:sz w:val="20"/>
              </w:rPr>
              <w:t xml:space="preserve"> and/or his wife. The sale was made pursuant to an order that they satisfy costs awards made against them following the dismissals of an action they had filed ($7,750) and their appeal ($750). Pursuant to the costs awards, the creditor filed Writs of Seizure and Sale dated February 19, 2014, and February 24, 2014, with the Toronto and York Regional Sheriffs against various properties, including the Church Avenue property, and made a demand of payment by letter dated September 5, 2014. As the </w:t>
            </w:r>
            <w:proofErr w:type="spellStart"/>
            <w:r w:rsidRPr="00D22CA0">
              <w:rPr>
                <w:sz w:val="20"/>
              </w:rPr>
              <w:t>Baradarans</w:t>
            </w:r>
            <w:proofErr w:type="spellEnd"/>
            <w:r w:rsidRPr="00D22CA0">
              <w:rPr>
                <w:sz w:val="20"/>
              </w:rPr>
              <w:t xml:space="preserve"> had not responded or made payment by July 16, 2015, the creditor requisitioned the Enforcement Office of the Superior Court of Justice in Toronto to begin sale proceedings in respect of the Church Avenue property.</w:t>
            </w:r>
          </w:p>
          <w:p w:rsidR="00D22CA0" w:rsidRPr="00D22CA0" w:rsidRDefault="00D22CA0" w:rsidP="00D22CA0">
            <w:pPr>
              <w:jc w:val="both"/>
              <w:rPr>
                <w:sz w:val="20"/>
              </w:rPr>
            </w:pPr>
          </w:p>
          <w:p w:rsidR="00D22CA0" w:rsidRDefault="00D22CA0" w:rsidP="00D22CA0">
            <w:pPr>
              <w:jc w:val="both"/>
              <w:rPr>
                <w:sz w:val="20"/>
              </w:rPr>
            </w:pPr>
            <w:r w:rsidRPr="00D22CA0">
              <w:rPr>
                <w:sz w:val="20"/>
              </w:rPr>
              <w:t>Mr. and Mrs. </w:t>
            </w:r>
            <w:proofErr w:type="spellStart"/>
            <w:r w:rsidRPr="00D22CA0">
              <w:rPr>
                <w:sz w:val="20"/>
              </w:rPr>
              <w:t>Baradaran</w:t>
            </w:r>
            <w:proofErr w:type="spellEnd"/>
            <w:r w:rsidRPr="00D22CA0">
              <w:rPr>
                <w:sz w:val="20"/>
              </w:rPr>
              <w:t xml:space="preserve"> sought to set aside the sale and have the property returned to them arguing that the sale was improvident, that the required process was not followed, and that they were not given notice. Mr. </w:t>
            </w:r>
            <w:proofErr w:type="spellStart"/>
            <w:r w:rsidRPr="00D22CA0">
              <w:rPr>
                <w:sz w:val="20"/>
              </w:rPr>
              <w:t>Baradaran</w:t>
            </w:r>
            <w:proofErr w:type="spellEnd"/>
            <w:r w:rsidRPr="00D22CA0">
              <w:rPr>
                <w:sz w:val="20"/>
              </w:rPr>
              <w:t xml:space="preserve"> acknowledged that they had received notice of the sale on cross-examination during the hearing of the application. The application was dismissed. The Court of Appeal dismissed Mr. </w:t>
            </w:r>
            <w:proofErr w:type="spellStart"/>
            <w:r w:rsidRPr="00D22CA0">
              <w:rPr>
                <w:sz w:val="20"/>
              </w:rPr>
              <w:t>Baradaran’s</w:t>
            </w:r>
            <w:proofErr w:type="spellEnd"/>
            <w:r w:rsidRPr="00D22CA0">
              <w:rPr>
                <w:sz w:val="20"/>
              </w:rPr>
              <w:t xml:space="preserve"> application to adduce new evidence and his appeal.</w:t>
            </w:r>
          </w:p>
          <w:p w:rsidR="00D22CA0" w:rsidRPr="00D22CA0" w:rsidRDefault="00D22CA0" w:rsidP="00D22CA0">
            <w:pPr>
              <w:jc w:val="both"/>
              <w:rPr>
                <w:sz w:val="20"/>
              </w:rPr>
            </w:pPr>
          </w:p>
        </w:tc>
      </w:tr>
      <w:tr w:rsidR="00D22CA0" w:rsidRPr="00D22CA0" w:rsidTr="00E95A6A">
        <w:tc>
          <w:tcPr>
            <w:tcW w:w="2427" w:type="pct"/>
            <w:gridSpan w:val="2"/>
          </w:tcPr>
          <w:p w:rsidR="00D22CA0" w:rsidRPr="00D22CA0" w:rsidRDefault="00D22CA0" w:rsidP="00D22CA0">
            <w:pPr>
              <w:jc w:val="both"/>
              <w:rPr>
                <w:sz w:val="20"/>
              </w:rPr>
            </w:pPr>
            <w:r w:rsidRPr="00D22CA0">
              <w:rPr>
                <w:sz w:val="20"/>
              </w:rPr>
              <w:t>June 27, 2016</w:t>
            </w:r>
          </w:p>
          <w:p w:rsidR="00D22CA0" w:rsidRPr="00D22CA0" w:rsidRDefault="00D22CA0" w:rsidP="00D22CA0">
            <w:pPr>
              <w:jc w:val="both"/>
              <w:rPr>
                <w:sz w:val="20"/>
              </w:rPr>
            </w:pPr>
            <w:r w:rsidRPr="00D22CA0">
              <w:rPr>
                <w:sz w:val="20"/>
              </w:rPr>
              <w:t>Ontario Superior Court of Justice</w:t>
            </w:r>
          </w:p>
          <w:p w:rsidR="00D22CA0" w:rsidRPr="00D22CA0" w:rsidRDefault="00D22CA0" w:rsidP="00D22CA0">
            <w:pPr>
              <w:jc w:val="both"/>
              <w:rPr>
                <w:sz w:val="20"/>
              </w:rPr>
            </w:pPr>
            <w:r w:rsidRPr="00D22CA0">
              <w:rPr>
                <w:sz w:val="20"/>
              </w:rPr>
              <w:t>(</w:t>
            </w:r>
            <w:proofErr w:type="spellStart"/>
            <w:r w:rsidRPr="00D22CA0">
              <w:rPr>
                <w:sz w:val="20"/>
              </w:rPr>
              <w:t>Lederer</w:t>
            </w:r>
            <w:proofErr w:type="spellEnd"/>
            <w:r w:rsidRPr="00D22CA0">
              <w:rPr>
                <w:sz w:val="20"/>
              </w:rPr>
              <w:t xml:space="preserve"> Thomas R.)</w:t>
            </w:r>
          </w:p>
          <w:p w:rsidR="00D22CA0" w:rsidRPr="00D22CA0" w:rsidRDefault="00642A36" w:rsidP="00D22CA0">
            <w:pPr>
              <w:jc w:val="both"/>
              <w:rPr>
                <w:sz w:val="20"/>
              </w:rPr>
            </w:pPr>
            <w:hyperlink r:id="rId18" w:history="1">
              <w:r w:rsidR="00D22CA0" w:rsidRPr="00D22CA0">
                <w:rPr>
                  <w:rStyle w:val="Hyperlink"/>
                  <w:sz w:val="20"/>
                </w:rPr>
                <w:t>2016 ONSC 5089</w:t>
              </w:r>
            </w:hyperlink>
          </w:p>
          <w:p w:rsidR="00D22CA0" w:rsidRPr="00D22CA0" w:rsidRDefault="00D22CA0" w:rsidP="00D22CA0">
            <w:pPr>
              <w:jc w:val="both"/>
              <w:rPr>
                <w:sz w:val="20"/>
              </w:rPr>
            </w:pPr>
          </w:p>
        </w:tc>
        <w:tc>
          <w:tcPr>
            <w:tcW w:w="243" w:type="pct"/>
          </w:tcPr>
          <w:p w:rsidR="00D22CA0" w:rsidRPr="00D22CA0" w:rsidRDefault="00D22CA0" w:rsidP="00D22CA0">
            <w:pPr>
              <w:jc w:val="both"/>
              <w:rPr>
                <w:sz w:val="20"/>
              </w:rPr>
            </w:pPr>
          </w:p>
        </w:tc>
        <w:tc>
          <w:tcPr>
            <w:tcW w:w="2330" w:type="pct"/>
          </w:tcPr>
          <w:p w:rsidR="00D22CA0" w:rsidRPr="00D22CA0" w:rsidRDefault="00D22CA0" w:rsidP="00D22CA0">
            <w:pPr>
              <w:jc w:val="both"/>
              <w:rPr>
                <w:sz w:val="20"/>
              </w:rPr>
            </w:pPr>
            <w:r w:rsidRPr="00D22CA0">
              <w:rPr>
                <w:sz w:val="20"/>
              </w:rPr>
              <w:t>Application dismissed</w:t>
            </w:r>
          </w:p>
          <w:p w:rsidR="00D22CA0" w:rsidRPr="00D22CA0" w:rsidRDefault="00D22CA0" w:rsidP="00D22CA0">
            <w:pPr>
              <w:jc w:val="both"/>
              <w:rPr>
                <w:sz w:val="20"/>
              </w:rPr>
            </w:pPr>
          </w:p>
        </w:tc>
      </w:tr>
      <w:tr w:rsidR="00D22CA0" w:rsidRPr="00D22CA0" w:rsidTr="00E95A6A">
        <w:tc>
          <w:tcPr>
            <w:tcW w:w="2427" w:type="pct"/>
            <w:gridSpan w:val="2"/>
          </w:tcPr>
          <w:p w:rsidR="00D22CA0" w:rsidRPr="00D22CA0" w:rsidRDefault="00D22CA0" w:rsidP="00D22CA0">
            <w:pPr>
              <w:jc w:val="both"/>
              <w:rPr>
                <w:sz w:val="20"/>
              </w:rPr>
            </w:pPr>
            <w:r w:rsidRPr="00D22CA0">
              <w:rPr>
                <w:sz w:val="20"/>
              </w:rPr>
              <w:t>April 6, 2017</w:t>
            </w:r>
          </w:p>
          <w:p w:rsidR="00D22CA0" w:rsidRPr="00D22CA0" w:rsidRDefault="00D22CA0" w:rsidP="00D22CA0">
            <w:pPr>
              <w:jc w:val="both"/>
              <w:rPr>
                <w:sz w:val="20"/>
              </w:rPr>
            </w:pPr>
            <w:r w:rsidRPr="00D22CA0">
              <w:rPr>
                <w:sz w:val="20"/>
              </w:rPr>
              <w:t>Court of Appeal for Ontario</w:t>
            </w:r>
          </w:p>
          <w:p w:rsidR="00D22CA0" w:rsidRPr="00D22CA0" w:rsidRDefault="00D22CA0" w:rsidP="00D22CA0">
            <w:pPr>
              <w:jc w:val="both"/>
              <w:rPr>
                <w:sz w:val="20"/>
              </w:rPr>
            </w:pPr>
            <w:r w:rsidRPr="00D22CA0">
              <w:rPr>
                <w:sz w:val="20"/>
              </w:rPr>
              <w:t xml:space="preserve">(Doherty, </w:t>
            </w:r>
            <w:proofErr w:type="spellStart"/>
            <w:r w:rsidRPr="00D22CA0">
              <w:rPr>
                <w:sz w:val="20"/>
              </w:rPr>
              <w:t>MacFarland</w:t>
            </w:r>
            <w:proofErr w:type="spellEnd"/>
            <w:r w:rsidRPr="00D22CA0">
              <w:rPr>
                <w:sz w:val="20"/>
              </w:rPr>
              <w:t>, Rouleau JJ.A.)</w:t>
            </w:r>
          </w:p>
          <w:p w:rsidR="00D22CA0" w:rsidRPr="00D22CA0" w:rsidRDefault="00D22CA0" w:rsidP="00D22CA0">
            <w:pPr>
              <w:jc w:val="both"/>
              <w:rPr>
                <w:sz w:val="20"/>
              </w:rPr>
            </w:pPr>
            <w:r w:rsidRPr="00D22CA0">
              <w:rPr>
                <w:sz w:val="20"/>
              </w:rPr>
              <w:t>2017 ONCA 304</w:t>
            </w:r>
          </w:p>
          <w:p w:rsidR="00D22CA0" w:rsidRPr="00D22CA0" w:rsidRDefault="00D22CA0" w:rsidP="00D22CA0">
            <w:pPr>
              <w:jc w:val="both"/>
              <w:rPr>
                <w:sz w:val="20"/>
                <w:lang w:val="fr-CA"/>
              </w:rPr>
            </w:pPr>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rPr>
            </w:pPr>
            <w:r w:rsidRPr="00D22CA0">
              <w:rPr>
                <w:sz w:val="20"/>
              </w:rPr>
              <w:t>Application to adduce new evidence dismissed; appeal dismissed</w:t>
            </w:r>
          </w:p>
          <w:p w:rsidR="00D22CA0" w:rsidRPr="00D22CA0" w:rsidRDefault="00D22CA0" w:rsidP="00D22CA0">
            <w:pPr>
              <w:jc w:val="both"/>
              <w:rPr>
                <w:sz w:val="20"/>
              </w:rPr>
            </w:pPr>
          </w:p>
        </w:tc>
      </w:tr>
      <w:tr w:rsidR="00D22CA0" w:rsidRPr="00D22CA0" w:rsidTr="00E95A6A">
        <w:tc>
          <w:tcPr>
            <w:tcW w:w="2427" w:type="pct"/>
            <w:gridSpan w:val="2"/>
          </w:tcPr>
          <w:p w:rsidR="00D22CA0" w:rsidRPr="00D22CA0" w:rsidRDefault="00D22CA0" w:rsidP="00D22CA0">
            <w:pPr>
              <w:jc w:val="both"/>
              <w:rPr>
                <w:sz w:val="20"/>
              </w:rPr>
            </w:pPr>
            <w:r w:rsidRPr="00D22CA0">
              <w:rPr>
                <w:sz w:val="20"/>
              </w:rPr>
              <w:t>June 9, 2017</w:t>
            </w:r>
          </w:p>
          <w:p w:rsidR="00D22CA0" w:rsidRPr="00D22CA0" w:rsidRDefault="00D22CA0" w:rsidP="00D22CA0">
            <w:pPr>
              <w:jc w:val="both"/>
              <w:rPr>
                <w:sz w:val="20"/>
              </w:rPr>
            </w:pPr>
            <w:r w:rsidRPr="00D22CA0">
              <w:rPr>
                <w:sz w:val="20"/>
              </w:rPr>
              <w:t>Supreme Court of Canada</w:t>
            </w:r>
          </w:p>
          <w:p w:rsidR="00D22CA0" w:rsidRPr="00D22CA0" w:rsidRDefault="00D22CA0" w:rsidP="00D22CA0">
            <w:pPr>
              <w:jc w:val="both"/>
              <w:rPr>
                <w:sz w:val="20"/>
              </w:rPr>
            </w:pPr>
          </w:p>
        </w:tc>
        <w:tc>
          <w:tcPr>
            <w:tcW w:w="243" w:type="pct"/>
          </w:tcPr>
          <w:p w:rsidR="00D22CA0" w:rsidRPr="00D22CA0" w:rsidRDefault="00D22CA0" w:rsidP="00D22CA0">
            <w:pPr>
              <w:jc w:val="both"/>
              <w:rPr>
                <w:sz w:val="20"/>
              </w:rPr>
            </w:pPr>
          </w:p>
        </w:tc>
        <w:tc>
          <w:tcPr>
            <w:tcW w:w="2330" w:type="pct"/>
          </w:tcPr>
          <w:p w:rsidR="00D22CA0" w:rsidRPr="00D22CA0" w:rsidRDefault="00D22CA0" w:rsidP="00D22CA0">
            <w:pPr>
              <w:jc w:val="both"/>
              <w:rPr>
                <w:sz w:val="20"/>
              </w:rPr>
            </w:pPr>
            <w:r w:rsidRPr="00D22CA0">
              <w:rPr>
                <w:sz w:val="20"/>
              </w:rPr>
              <w:t>Application for leave to appeal filed</w:t>
            </w:r>
          </w:p>
          <w:p w:rsidR="00D22CA0" w:rsidRPr="00D22CA0" w:rsidRDefault="00D22CA0" w:rsidP="00D22CA0">
            <w:pPr>
              <w:jc w:val="both"/>
              <w:rPr>
                <w:sz w:val="20"/>
              </w:rPr>
            </w:pPr>
          </w:p>
        </w:tc>
      </w:tr>
      <w:tr w:rsidR="00D22CA0" w:rsidRPr="00D22CA0" w:rsidTr="00836FCC">
        <w:trPr>
          <w:trHeight w:val="64"/>
        </w:trPr>
        <w:tc>
          <w:tcPr>
            <w:tcW w:w="2427" w:type="pct"/>
            <w:gridSpan w:val="2"/>
          </w:tcPr>
          <w:p w:rsidR="00D22CA0" w:rsidRPr="00D22CA0" w:rsidRDefault="00D22CA0" w:rsidP="00D22CA0">
            <w:pPr>
              <w:jc w:val="both"/>
              <w:rPr>
                <w:sz w:val="20"/>
              </w:rPr>
            </w:pPr>
            <w:r w:rsidRPr="00D22CA0">
              <w:rPr>
                <w:sz w:val="20"/>
              </w:rPr>
              <w:t>July 6, 2017</w:t>
            </w:r>
          </w:p>
          <w:p w:rsidR="00D22CA0" w:rsidRPr="00D22CA0" w:rsidRDefault="00D22CA0" w:rsidP="00D22CA0">
            <w:pPr>
              <w:jc w:val="both"/>
              <w:rPr>
                <w:sz w:val="20"/>
              </w:rPr>
            </w:pPr>
            <w:r w:rsidRPr="00D22CA0">
              <w:rPr>
                <w:sz w:val="20"/>
              </w:rPr>
              <w:t xml:space="preserve">Supreme Court of Canada </w:t>
            </w:r>
          </w:p>
        </w:tc>
        <w:tc>
          <w:tcPr>
            <w:tcW w:w="243" w:type="pct"/>
          </w:tcPr>
          <w:p w:rsidR="00D22CA0" w:rsidRPr="00D22CA0" w:rsidRDefault="00D22CA0" w:rsidP="00D22CA0">
            <w:pPr>
              <w:jc w:val="both"/>
              <w:rPr>
                <w:sz w:val="20"/>
              </w:rPr>
            </w:pPr>
          </w:p>
        </w:tc>
        <w:tc>
          <w:tcPr>
            <w:tcW w:w="2330" w:type="pct"/>
          </w:tcPr>
          <w:p w:rsidR="00D22CA0" w:rsidRPr="00D22CA0" w:rsidRDefault="00D22CA0" w:rsidP="00D22CA0">
            <w:pPr>
              <w:jc w:val="both"/>
              <w:rPr>
                <w:sz w:val="20"/>
              </w:rPr>
            </w:pPr>
            <w:r w:rsidRPr="00D22CA0">
              <w:rPr>
                <w:sz w:val="20"/>
              </w:rPr>
              <w:t>Motion to extend time to serve and filed the leave application filed</w:t>
            </w:r>
          </w:p>
        </w:tc>
      </w:tr>
    </w:tbl>
    <w:p w:rsidR="00D22CA0" w:rsidRDefault="00D22CA0" w:rsidP="00D22CA0">
      <w:pPr>
        <w:jc w:val="both"/>
        <w:rPr>
          <w:sz w:val="20"/>
        </w:rPr>
      </w:pPr>
    </w:p>
    <w:p w:rsidR="00D22CA0" w:rsidRPr="00D22CA0" w:rsidRDefault="00D22CA0" w:rsidP="00D22C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2CA0" w:rsidRPr="00D22CA0" w:rsidTr="00E95A6A">
        <w:tc>
          <w:tcPr>
            <w:tcW w:w="543" w:type="pct"/>
          </w:tcPr>
          <w:p w:rsidR="00D22CA0" w:rsidRPr="00D22CA0" w:rsidRDefault="00D22CA0" w:rsidP="00D22CA0">
            <w:pPr>
              <w:jc w:val="both"/>
              <w:rPr>
                <w:sz w:val="20"/>
                <w:lang w:val="fr-CA"/>
              </w:rPr>
            </w:pPr>
            <w:r w:rsidRPr="00D22CA0">
              <w:rPr>
                <w:rStyle w:val="SCCFileNumberChar"/>
                <w:sz w:val="20"/>
                <w:szCs w:val="20"/>
                <w:lang w:val="fr-CA"/>
              </w:rPr>
              <w:t>37648</w:t>
            </w:r>
          </w:p>
        </w:tc>
        <w:tc>
          <w:tcPr>
            <w:tcW w:w="4457" w:type="pct"/>
            <w:gridSpan w:val="3"/>
          </w:tcPr>
          <w:p w:rsidR="00D22CA0" w:rsidRPr="00D22CA0" w:rsidRDefault="00D22CA0" w:rsidP="00D22CA0">
            <w:pPr>
              <w:pStyle w:val="SCCLsocParty"/>
              <w:jc w:val="both"/>
              <w:rPr>
                <w:b/>
                <w:sz w:val="20"/>
                <w:szCs w:val="20"/>
              </w:rPr>
            </w:pPr>
            <w:proofErr w:type="spellStart"/>
            <w:r w:rsidRPr="00D22CA0">
              <w:rPr>
                <w:b/>
                <w:sz w:val="20"/>
                <w:szCs w:val="20"/>
              </w:rPr>
              <w:t>Manoucher</w:t>
            </w:r>
            <w:proofErr w:type="spellEnd"/>
            <w:r w:rsidRPr="00D22CA0">
              <w:rPr>
                <w:b/>
                <w:sz w:val="20"/>
                <w:szCs w:val="20"/>
              </w:rPr>
              <w:t xml:space="preserve"> </w:t>
            </w:r>
            <w:proofErr w:type="spellStart"/>
            <w:r w:rsidRPr="00D22CA0">
              <w:rPr>
                <w:b/>
                <w:sz w:val="20"/>
                <w:szCs w:val="20"/>
              </w:rPr>
              <w:t>Baradaran</w:t>
            </w:r>
            <w:proofErr w:type="spellEnd"/>
            <w:r w:rsidRPr="00D22CA0">
              <w:rPr>
                <w:b/>
                <w:sz w:val="20"/>
                <w:szCs w:val="20"/>
              </w:rPr>
              <w:t xml:space="preserve"> c. Sa Majesté la Reine du chef de la Province d’Ontario, Cité de Toronto, représentée par le procureur général de l’Ontario, </w:t>
            </w:r>
            <w:proofErr w:type="spellStart"/>
            <w:r w:rsidRPr="00D22CA0">
              <w:rPr>
                <w:b/>
                <w:sz w:val="20"/>
                <w:szCs w:val="20"/>
              </w:rPr>
              <w:t>Lawyers</w:t>
            </w:r>
            <w:proofErr w:type="spellEnd"/>
            <w:r w:rsidRPr="00D22CA0">
              <w:rPr>
                <w:b/>
                <w:sz w:val="20"/>
                <w:szCs w:val="20"/>
              </w:rPr>
              <w:t xml:space="preserve"> Professional </w:t>
            </w:r>
            <w:proofErr w:type="spellStart"/>
            <w:r w:rsidRPr="00D22CA0">
              <w:rPr>
                <w:b/>
                <w:sz w:val="20"/>
                <w:szCs w:val="20"/>
              </w:rPr>
              <w:t>Indemnity</w:t>
            </w:r>
            <w:proofErr w:type="spellEnd"/>
            <w:r w:rsidRPr="00D22CA0">
              <w:rPr>
                <w:b/>
                <w:sz w:val="20"/>
                <w:szCs w:val="20"/>
              </w:rPr>
              <w:t xml:space="preserve"> Company (</w:t>
            </w:r>
            <w:proofErr w:type="spellStart"/>
            <w:r w:rsidRPr="00D22CA0">
              <w:rPr>
                <w:b/>
                <w:sz w:val="20"/>
                <w:szCs w:val="20"/>
              </w:rPr>
              <w:t>LawPRO</w:t>
            </w:r>
            <w:proofErr w:type="spellEnd"/>
            <w:r w:rsidRPr="00D22CA0">
              <w:rPr>
                <w:b/>
                <w:sz w:val="20"/>
                <w:szCs w:val="20"/>
              </w:rPr>
              <w:t xml:space="preserve">), Friedman Law </w:t>
            </w:r>
            <w:proofErr w:type="spellStart"/>
            <w:r w:rsidRPr="00D22CA0">
              <w:rPr>
                <w:b/>
                <w:sz w:val="20"/>
                <w:szCs w:val="20"/>
              </w:rPr>
              <w:t>Firm</w:t>
            </w:r>
            <w:proofErr w:type="spellEnd"/>
            <w:r w:rsidRPr="00D22CA0">
              <w:rPr>
                <w:b/>
                <w:sz w:val="20"/>
                <w:szCs w:val="20"/>
              </w:rPr>
              <w:t xml:space="preserve">, Patrick </w:t>
            </w:r>
            <w:proofErr w:type="spellStart"/>
            <w:r w:rsidRPr="00D22CA0">
              <w:rPr>
                <w:b/>
                <w:sz w:val="20"/>
                <w:szCs w:val="20"/>
              </w:rPr>
              <w:t>Bakos</w:t>
            </w:r>
            <w:proofErr w:type="spellEnd"/>
            <w:r w:rsidRPr="00D22CA0">
              <w:rPr>
                <w:b/>
                <w:sz w:val="20"/>
                <w:szCs w:val="20"/>
              </w:rPr>
              <w:t xml:space="preserve">, Real </w:t>
            </w:r>
            <w:proofErr w:type="spellStart"/>
            <w:r w:rsidRPr="00D22CA0">
              <w:rPr>
                <w:b/>
                <w:sz w:val="20"/>
                <w:szCs w:val="20"/>
              </w:rPr>
              <w:t>Estate</w:t>
            </w:r>
            <w:proofErr w:type="spellEnd"/>
            <w:r w:rsidRPr="00D22CA0">
              <w:rPr>
                <w:b/>
                <w:sz w:val="20"/>
                <w:szCs w:val="20"/>
              </w:rPr>
              <w:t xml:space="preserve"> </w:t>
            </w:r>
            <w:proofErr w:type="spellStart"/>
            <w:r w:rsidRPr="00D22CA0">
              <w:rPr>
                <w:b/>
                <w:sz w:val="20"/>
                <w:szCs w:val="20"/>
              </w:rPr>
              <w:t>Counsel</w:t>
            </w:r>
            <w:proofErr w:type="spellEnd"/>
            <w:r w:rsidRPr="00D22CA0">
              <w:rPr>
                <w:b/>
                <w:sz w:val="20"/>
                <w:szCs w:val="20"/>
              </w:rPr>
              <w:t xml:space="preserve"> représentant [PIERRE UNTEL]</w:t>
            </w:r>
          </w:p>
          <w:p w:rsidR="00D22CA0" w:rsidRPr="00D22CA0" w:rsidRDefault="00D22CA0" w:rsidP="00D22CA0">
            <w:pPr>
              <w:jc w:val="both"/>
              <w:rPr>
                <w:sz w:val="20"/>
                <w:lang w:val="fr-CA"/>
              </w:rPr>
            </w:pPr>
            <w:r w:rsidRPr="00D22CA0">
              <w:rPr>
                <w:sz w:val="20"/>
                <w:lang w:val="fr-CA"/>
              </w:rPr>
              <w:t>(Ont.) (Civile) (Sur autorisation)</w:t>
            </w:r>
          </w:p>
        </w:tc>
      </w:tr>
      <w:tr w:rsidR="00D22CA0" w:rsidRPr="00642A36" w:rsidTr="00E95A6A">
        <w:tc>
          <w:tcPr>
            <w:tcW w:w="5000" w:type="pct"/>
            <w:gridSpan w:val="4"/>
          </w:tcPr>
          <w:p w:rsidR="00D22CA0" w:rsidRPr="00D22CA0" w:rsidRDefault="00D22CA0" w:rsidP="00D22CA0">
            <w:pPr>
              <w:jc w:val="both"/>
              <w:rPr>
                <w:sz w:val="20"/>
                <w:lang w:val="fr-CA"/>
              </w:rPr>
            </w:pPr>
            <w:r w:rsidRPr="00D22CA0">
              <w:rPr>
                <w:sz w:val="20"/>
                <w:lang w:val="fr-CA"/>
              </w:rPr>
              <w:t xml:space="preserve">Procédure civile — Saisie-exécution — Vente d’un immeuble pour acquitter des ordonnances sur les dépens — Procédures d’exécution — </w:t>
            </w:r>
            <w:proofErr w:type="spellStart"/>
            <w:r w:rsidRPr="00D22CA0">
              <w:rPr>
                <w:sz w:val="20"/>
                <w:lang w:val="fr-CA"/>
              </w:rPr>
              <w:t>Préclusion</w:t>
            </w:r>
            <w:proofErr w:type="spellEnd"/>
            <w:r w:rsidRPr="00D22CA0">
              <w:rPr>
                <w:sz w:val="20"/>
                <w:lang w:val="fr-CA"/>
              </w:rPr>
              <w:t xml:space="preserve"> — Les bureaux d’exécution des tribunaux sont-ils tenus de respecter les procédures énoncées dans les manuels d’exécution publiés par les ministères concernés? — Le public est-il en droit de s’attendre à ce que les agents d’exécution respectent les procédures énoncées dans le manuel d’exécution? — Est-il nécessaire d’avoir des évaluations certifiées d’évaluateurs qualifiés pour déterminer la juste valeur marchande d’un immeuble avant sa vente pour acquitter un bref de saisie-exécution?</w:t>
            </w:r>
          </w:p>
        </w:tc>
      </w:tr>
      <w:tr w:rsidR="00D22CA0" w:rsidRPr="00642A36" w:rsidTr="00E95A6A">
        <w:tc>
          <w:tcPr>
            <w:tcW w:w="5000" w:type="pct"/>
            <w:gridSpan w:val="4"/>
          </w:tcPr>
          <w:p w:rsidR="00D22CA0" w:rsidRPr="00D22CA0" w:rsidRDefault="00D22CA0" w:rsidP="00D22CA0">
            <w:pPr>
              <w:jc w:val="both"/>
              <w:rPr>
                <w:sz w:val="20"/>
                <w:lang w:val="fr-CA"/>
              </w:rPr>
            </w:pPr>
          </w:p>
        </w:tc>
      </w:tr>
      <w:tr w:rsidR="00D22CA0" w:rsidRPr="00642A36" w:rsidTr="00D22CA0">
        <w:trPr>
          <w:trHeight w:val="3870"/>
        </w:trPr>
        <w:tc>
          <w:tcPr>
            <w:tcW w:w="5000" w:type="pct"/>
            <w:gridSpan w:val="4"/>
          </w:tcPr>
          <w:p w:rsidR="00D22CA0" w:rsidRPr="00D22CA0" w:rsidRDefault="00D22CA0" w:rsidP="00D22CA0">
            <w:pPr>
              <w:jc w:val="both"/>
              <w:rPr>
                <w:sz w:val="20"/>
                <w:lang w:val="fr-CA"/>
              </w:rPr>
            </w:pPr>
            <w:r w:rsidRPr="00D22CA0">
              <w:rPr>
                <w:sz w:val="20"/>
                <w:lang w:val="fr-CA"/>
              </w:rPr>
              <w:t>Le 12 janvier 2016, le shérif de la municipalité régionale d’York a vendu aux enchères l’immeuble situé au 19, avenue Church, en la cité de Toronto, pour la somme de 1 050 000 $. L’immeuble appartenait à M. </w:t>
            </w:r>
            <w:proofErr w:type="spellStart"/>
            <w:r w:rsidRPr="00D22CA0">
              <w:rPr>
                <w:sz w:val="20"/>
                <w:lang w:val="fr-CA"/>
              </w:rPr>
              <w:t>Baradaran</w:t>
            </w:r>
            <w:proofErr w:type="spellEnd"/>
            <w:r w:rsidRPr="00D22CA0">
              <w:rPr>
                <w:sz w:val="20"/>
                <w:lang w:val="fr-CA"/>
              </w:rPr>
              <w:t xml:space="preserve"> et à son épouse ou à l’un d’eux. La vente a été faite en exécution d’une ordonnance pour qu’ils acquittent une condamnation aux dépens prononcée contre eux après le rejet d’une action qu’ils avaient intentée (7 750 $) et leur appel (750 $). En exécution des condamnations aux dépens, le créancier a déposé des brefs de saisie-exécution datés du 19 février 2014 et du 24 février 2014 aux shérifs de Toronto et de la municipalité régionale d’York contre divers immeubles, y compris l’immeuble de l’avenue Church, et il fait parvenir une mise en demeure de payer datée du 5 septembre 2014. Parce que les </w:t>
            </w:r>
            <w:proofErr w:type="spellStart"/>
            <w:r w:rsidRPr="00D22CA0">
              <w:rPr>
                <w:sz w:val="20"/>
                <w:lang w:val="fr-CA"/>
              </w:rPr>
              <w:t>Baradaran</w:t>
            </w:r>
            <w:proofErr w:type="spellEnd"/>
            <w:r w:rsidRPr="00D22CA0">
              <w:rPr>
                <w:sz w:val="20"/>
                <w:lang w:val="fr-CA"/>
              </w:rPr>
              <w:t xml:space="preserve"> n’ont pas répondu ou effectué de paiement au plus tard le 16 juillet 2015, le créancier a demandé au bureau d’exécution de la Cour supérieure de justice à Toronto d’entreprendre la procédure de vente à l’égard de l’immeuble de l’avenue Church.</w:t>
            </w:r>
          </w:p>
          <w:p w:rsidR="00D22CA0" w:rsidRPr="00D22CA0" w:rsidRDefault="00D22CA0" w:rsidP="00D22CA0">
            <w:pPr>
              <w:jc w:val="both"/>
              <w:rPr>
                <w:sz w:val="20"/>
                <w:lang w:val="fr-CA"/>
              </w:rPr>
            </w:pPr>
          </w:p>
          <w:p w:rsidR="00D22CA0" w:rsidRPr="00D22CA0" w:rsidRDefault="00D22CA0" w:rsidP="00D22CA0">
            <w:pPr>
              <w:jc w:val="both"/>
              <w:rPr>
                <w:sz w:val="20"/>
                <w:lang w:val="fr-CA"/>
              </w:rPr>
            </w:pPr>
            <w:r w:rsidRPr="00D22CA0">
              <w:rPr>
                <w:sz w:val="20"/>
                <w:lang w:val="fr-CA"/>
              </w:rPr>
              <w:t>Monsieur et Madame </w:t>
            </w:r>
            <w:proofErr w:type="spellStart"/>
            <w:r w:rsidRPr="00D22CA0">
              <w:rPr>
                <w:sz w:val="20"/>
                <w:lang w:val="fr-CA"/>
              </w:rPr>
              <w:t>Baradaran</w:t>
            </w:r>
            <w:proofErr w:type="spellEnd"/>
            <w:r w:rsidRPr="00D22CA0">
              <w:rPr>
                <w:sz w:val="20"/>
                <w:lang w:val="fr-CA"/>
              </w:rPr>
              <w:t xml:space="preserve"> ont demandé l’annulation de la vente et que l’immeuble leur soit rendu, plaidant que la vente s’était faite à un prix dérisoire, que le processus prescrit n’avait pas été respecté et qu’ils n’avaient pas été avisés. Monsieur </w:t>
            </w:r>
            <w:proofErr w:type="spellStart"/>
            <w:r w:rsidRPr="00D22CA0">
              <w:rPr>
                <w:sz w:val="20"/>
                <w:lang w:val="fr-CA"/>
              </w:rPr>
              <w:t>Baradaran</w:t>
            </w:r>
            <w:proofErr w:type="spellEnd"/>
            <w:r w:rsidRPr="00D22CA0">
              <w:rPr>
                <w:sz w:val="20"/>
                <w:lang w:val="fr-CA"/>
              </w:rPr>
              <w:t xml:space="preserve"> a reconnu qu’ils avaient reçu un avis de la vente en contre-interrogatoire pendant l’audition de la demande. La demande a été rejetée. La Cour d’appel a rejeté la demande de M. </w:t>
            </w:r>
            <w:proofErr w:type="spellStart"/>
            <w:r w:rsidRPr="00D22CA0">
              <w:rPr>
                <w:sz w:val="20"/>
                <w:lang w:val="fr-CA"/>
              </w:rPr>
              <w:t>Baradaran</w:t>
            </w:r>
            <w:proofErr w:type="spellEnd"/>
            <w:r w:rsidRPr="00D22CA0">
              <w:rPr>
                <w:sz w:val="20"/>
                <w:lang w:val="fr-CA"/>
              </w:rPr>
              <w:t xml:space="preserve"> en vue de présenter de nouveaux éléments de preuve et son appel.</w:t>
            </w:r>
          </w:p>
          <w:p w:rsidR="00D22CA0" w:rsidRPr="00D22CA0" w:rsidRDefault="00D22CA0" w:rsidP="00D22CA0">
            <w:pPr>
              <w:jc w:val="both"/>
              <w:rPr>
                <w:sz w:val="20"/>
                <w:lang w:val="fr-CA"/>
              </w:rPr>
            </w:pPr>
          </w:p>
        </w:tc>
      </w:tr>
      <w:tr w:rsidR="00D22CA0" w:rsidRPr="00D22CA0" w:rsidTr="00E95A6A">
        <w:tc>
          <w:tcPr>
            <w:tcW w:w="2427" w:type="pct"/>
            <w:gridSpan w:val="2"/>
          </w:tcPr>
          <w:p w:rsidR="00D22CA0" w:rsidRPr="00D22CA0" w:rsidRDefault="00D22CA0" w:rsidP="00D22CA0">
            <w:pPr>
              <w:jc w:val="both"/>
              <w:rPr>
                <w:sz w:val="20"/>
                <w:lang w:val="fr-CA"/>
              </w:rPr>
            </w:pPr>
            <w:r w:rsidRPr="00D22CA0">
              <w:rPr>
                <w:sz w:val="20"/>
                <w:lang w:val="fr-CA"/>
              </w:rPr>
              <w:t>27 juin 2016</w:t>
            </w:r>
          </w:p>
          <w:p w:rsidR="00D22CA0" w:rsidRPr="00D22CA0" w:rsidRDefault="00D22CA0" w:rsidP="00D22CA0">
            <w:pPr>
              <w:jc w:val="both"/>
              <w:rPr>
                <w:sz w:val="20"/>
                <w:lang w:val="fr-CA"/>
              </w:rPr>
            </w:pPr>
            <w:r w:rsidRPr="00D22CA0">
              <w:rPr>
                <w:sz w:val="20"/>
                <w:lang w:val="fr-CA"/>
              </w:rPr>
              <w:t>Cour supérieure de justice de l’Ontario</w:t>
            </w:r>
          </w:p>
          <w:p w:rsidR="00D22CA0" w:rsidRPr="00D22CA0" w:rsidRDefault="00D22CA0" w:rsidP="00D22CA0">
            <w:pPr>
              <w:jc w:val="both"/>
              <w:rPr>
                <w:sz w:val="20"/>
                <w:lang w:val="fr-CA"/>
              </w:rPr>
            </w:pPr>
            <w:r w:rsidRPr="00D22CA0">
              <w:rPr>
                <w:sz w:val="20"/>
                <w:lang w:val="fr-CA"/>
              </w:rPr>
              <w:t xml:space="preserve">(Juge </w:t>
            </w:r>
            <w:proofErr w:type="spellStart"/>
            <w:r w:rsidRPr="00D22CA0">
              <w:rPr>
                <w:sz w:val="20"/>
                <w:lang w:val="fr-CA"/>
              </w:rPr>
              <w:t>Lederer</w:t>
            </w:r>
            <w:proofErr w:type="spellEnd"/>
            <w:r w:rsidRPr="00D22CA0">
              <w:rPr>
                <w:sz w:val="20"/>
                <w:lang w:val="fr-CA"/>
              </w:rPr>
              <w:t>)</w:t>
            </w:r>
          </w:p>
          <w:p w:rsidR="00D22CA0" w:rsidRPr="00D22CA0" w:rsidRDefault="00642A36" w:rsidP="00D22CA0">
            <w:pPr>
              <w:jc w:val="both"/>
              <w:rPr>
                <w:sz w:val="20"/>
                <w:lang w:val="fr-CA"/>
              </w:rPr>
            </w:pPr>
            <w:hyperlink r:id="rId19" w:history="1">
              <w:r w:rsidR="00D22CA0" w:rsidRPr="00D22CA0">
                <w:rPr>
                  <w:rStyle w:val="Hyperlink"/>
                  <w:sz w:val="20"/>
                  <w:lang w:val="fr-CA"/>
                </w:rPr>
                <w:t>2016 ONSC 5089</w:t>
              </w:r>
            </w:hyperlink>
          </w:p>
          <w:p w:rsidR="00D22CA0" w:rsidRPr="00D22CA0" w:rsidRDefault="00D22CA0" w:rsidP="00D22CA0">
            <w:pPr>
              <w:jc w:val="both"/>
              <w:rPr>
                <w:sz w:val="20"/>
                <w:lang w:val="fr-CA"/>
              </w:rPr>
            </w:pPr>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lang w:val="fr-CA"/>
              </w:rPr>
            </w:pPr>
            <w:r w:rsidRPr="00D22CA0">
              <w:rPr>
                <w:sz w:val="20"/>
                <w:lang w:val="fr-CA"/>
              </w:rPr>
              <w:t>Rejet de la demande</w:t>
            </w:r>
          </w:p>
          <w:p w:rsidR="00D22CA0" w:rsidRPr="00D22CA0" w:rsidRDefault="00D22CA0" w:rsidP="00D22CA0">
            <w:pPr>
              <w:jc w:val="both"/>
              <w:rPr>
                <w:sz w:val="20"/>
                <w:lang w:val="fr-CA"/>
              </w:rPr>
            </w:pPr>
          </w:p>
        </w:tc>
      </w:tr>
      <w:tr w:rsidR="00D22CA0" w:rsidRPr="00642A36" w:rsidTr="00E95A6A">
        <w:tc>
          <w:tcPr>
            <w:tcW w:w="2427" w:type="pct"/>
            <w:gridSpan w:val="2"/>
          </w:tcPr>
          <w:p w:rsidR="00D22CA0" w:rsidRPr="00D22CA0" w:rsidRDefault="00D22CA0" w:rsidP="00D22CA0">
            <w:pPr>
              <w:jc w:val="both"/>
              <w:rPr>
                <w:sz w:val="20"/>
                <w:lang w:val="fr-CA"/>
              </w:rPr>
            </w:pPr>
            <w:r w:rsidRPr="00D22CA0">
              <w:rPr>
                <w:sz w:val="20"/>
                <w:lang w:val="fr-CA"/>
              </w:rPr>
              <w:t>6 avril 2017</w:t>
            </w:r>
          </w:p>
          <w:p w:rsidR="00D22CA0" w:rsidRPr="00D22CA0" w:rsidRDefault="00D22CA0" w:rsidP="00D22CA0">
            <w:pPr>
              <w:jc w:val="both"/>
              <w:rPr>
                <w:sz w:val="20"/>
                <w:lang w:val="fr-CA"/>
              </w:rPr>
            </w:pPr>
            <w:r w:rsidRPr="00D22CA0">
              <w:rPr>
                <w:sz w:val="20"/>
                <w:lang w:val="fr-CA"/>
              </w:rPr>
              <w:t>Cour d’appel de l’Ontario</w:t>
            </w:r>
          </w:p>
          <w:p w:rsidR="00D22CA0" w:rsidRPr="00D22CA0" w:rsidRDefault="00D22CA0" w:rsidP="00D22CA0">
            <w:pPr>
              <w:jc w:val="both"/>
              <w:rPr>
                <w:sz w:val="20"/>
                <w:lang w:val="fr-CA"/>
              </w:rPr>
            </w:pPr>
            <w:r w:rsidRPr="00D22CA0">
              <w:rPr>
                <w:sz w:val="20"/>
                <w:lang w:val="fr-CA"/>
              </w:rPr>
              <w:t xml:space="preserve">(Juges Doherty, </w:t>
            </w:r>
            <w:proofErr w:type="spellStart"/>
            <w:r w:rsidRPr="00D22CA0">
              <w:rPr>
                <w:sz w:val="20"/>
                <w:lang w:val="fr-CA"/>
              </w:rPr>
              <w:t>MacFarland</w:t>
            </w:r>
            <w:proofErr w:type="spellEnd"/>
            <w:r w:rsidRPr="00D22CA0">
              <w:rPr>
                <w:sz w:val="20"/>
                <w:lang w:val="fr-CA"/>
              </w:rPr>
              <w:t xml:space="preserve"> et Rouleau)</w:t>
            </w:r>
          </w:p>
          <w:p w:rsidR="00D22CA0" w:rsidRPr="00D22CA0" w:rsidRDefault="00D22CA0" w:rsidP="00D22CA0">
            <w:pPr>
              <w:jc w:val="both"/>
              <w:rPr>
                <w:sz w:val="20"/>
                <w:lang w:val="fr-CA"/>
              </w:rPr>
            </w:pPr>
            <w:r w:rsidRPr="00D22CA0">
              <w:rPr>
                <w:sz w:val="20"/>
                <w:lang w:val="fr-CA"/>
              </w:rPr>
              <w:t>2017 ONCA 304</w:t>
            </w:r>
          </w:p>
          <w:p w:rsidR="00D22CA0" w:rsidRPr="00D22CA0" w:rsidRDefault="00D22CA0" w:rsidP="00D22CA0">
            <w:pPr>
              <w:jc w:val="both"/>
              <w:rPr>
                <w:sz w:val="20"/>
                <w:lang w:val="fr-CA"/>
              </w:rPr>
            </w:pPr>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lang w:val="fr-CA"/>
              </w:rPr>
            </w:pPr>
            <w:r w:rsidRPr="00D22CA0">
              <w:rPr>
                <w:sz w:val="20"/>
                <w:lang w:val="fr-CA"/>
              </w:rPr>
              <w:t>Rejet de la demande en vue de présenter de nouveaux éléments de preuve; rejet de l’appel</w:t>
            </w:r>
          </w:p>
          <w:p w:rsidR="00D22CA0" w:rsidRPr="00D22CA0" w:rsidRDefault="00D22CA0" w:rsidP="00D22CA0">
            <w:pPr>
              <w:jc w:val="both"/>
              <w:rPr>
                <w:sz w:val="20"/>
                <w:lang w:val="fr-CA"/>
              </w:rPr>
            </w:pPr>
          </w:p>
        </w:tc>
      </w:tr>
      <w:tr w:rsidR="00D22CA0" w:rsidRPr="00642A36" w:rsidTr="00E95A6A">
        <w:tc>
          <w:tcPr>
            <w:tcW w:w="2427" w:type="pct"/>
            <w:gridSpan w:val="2"/>
          </w:tcPr>
          <w:p w:rsidR="00D22CA0" w:rsidRPr="00D22CA0" w:rsidRDefault="00D22CA0" w:rsidP="00D22CA0">
            <w:pPr>
              <w:jc w:val="both"/>
              <w:rPr>
                <w:sz w:val="20"/>
                <w:lang w:val="fr-CA"/>
              </w:rPr>
            </w:pPr>
            <w:r w:rsidRPr="00D22CA0">
              <w:rPr>
                <w:sz w:val="20"/>
                <w:lang w:val="fr-CA"/>
              </w:rPr>
              <w:t>9 juin 2017</w:t>
            </w:r>
          </w:p>
          <w:p w:rsidR="00D22CA0" w:rsidRPr="00D22CA0" w:rsidRDefault="00D22CA0" w:rsidP="00D22CA0">
            <w:pPr>
              <w:jc w:val="both"/>
              <w:rPr>
                <w:sz w:val="20"/>
                <w:lang w:val="fr-CA"/>
              </w:rPr>
            </w:pPr>
            <w:r w:rsidRPr="00D22CA0">
              <w:rPr>
                <w:sz w:val="20"/>
                <w:lang w:val="fr-CA"/>
              </w:rPr>
              <w:t>Cour suprême du Canada</w:t>
            </w:r>
          </w:p>
          <w:p w:rsidR="00D22CA0" w:rsidRPr="00D22CA0" w:rsidRDefault="00D22CA0" w:rsidP="00D22CA0">
            <w:pPr>
              <w:jc w:val="both"/>
              <w:rPr>
                <w:sz w:val="20"/>
                <w:lang w:val="fr-CA"/>
              </w:rPr>
            </w:pPr>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lang w:val="fr-CA"/>
              </w:rPr>
            </w:pPr>
            <w:r w:rsidRPr="00D22CA0">
              <w:rPr>
                <w:sz w:val="20"/>
                <w:lang w:val="fr-CA"/>
              </w:rPr>
              <w:t>Dépôt de la demande d’autorisation d’appel</w:t>
            </w:r>
          </w:p>
          <w:p w:rsidR="00D22CA0" w:rsidRPr="00D22CA0" w:rsidRDefault="00D22CA0" w:rsidP="00D22CA0">
            <w:pPr>
              <w:jc w:val="both"/>
              <w:rPr>
                <w:sz w:val="20"/>
                <w:lang w:val="fr-CA"/>
              </w:rPr>
            </w:pPr>
          </w:p>
        </w:tc>
      </w:tr>
      <w:tr w:rsidR="00D22CA0" w:rsidRPr="00642A36" w:rsidTr="00836FCC">
        <w:trPr>
          <w:trHeight w:val="64"/>
        </w:trPr>
        <w:tc>
          <w:tcPr>
            <w:tcW w:w="2427" w:type="pct"/>
            <w:gridSpan w:val="2"/>
          </w:tcPr>
          <w:p w:rsidR="00D22CA0" w:rsidRPr="00D22CA0" w:rsidRDefault="00D22CA0" w:rsidP="00D22CA0">
            <w:pPr>
              <w:jc w:val="both"/>
              <w:rPr>
                <w:sz w:val="20"/>
                <w:lang w:val="fr-CA"/>
              </w:rPr>
            </w:pPr>
            <w:r w:rsidRPr="00D22CA0">
              <w:rPr>
                <w:sz w:val="20"/>
                <w:lang w:val="fr-CA"/>
              </w:rPr>
              <w:t>6 juillet 2017</w:t>
            </w:r>
          </w:p>
          <w:p w:rsidR="00D22CA0" w:rsidRPr="00D22CA0" w:rsidRDefault="00D22CA0" w:rsidP="00D22CA0">
            <w:pPr>
              <w:jc w:val="both"/>
              <w:rPr>
                <w:sz w:val="20"/>
                <w:lang w:val="fr-CA"/>
              </w:rPr>
            </w:pPr>
            <w:r w:rsidRPr="00D22CA0">
              <w:rPr>
                <w:sz w:val="20"/>
                <w:lang w:val="fr-CA"/>
              </w:rPr>
              <w:t xml:space="preserve">Cour suprême du Canada </w:t>
            </w:r>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lang w:val="fr-CA"/>
              </w:rPr>
            </w:pPr>
            <w:r w:rsidRPr="00D22CA0">
              <w:rPr>
                <w:sz w:val="20"/>
                <w:lang w:val="fr-CA"/>
              </w:rPr>
              <w:t>Dépôt de la requête en prorogation du délai de signification et du dépôt de la demande d’autorisation d’appel</w:t>
            </w:r>
          </w:p>
        </w:tc>
      </w:tr>
    </w:tbl>
    <w:p w:rsidR="00D22CA0" w:rsidRPr="00D22CA0" w:rsidRDefault="00D22CA0" w:rsidP="00D22CA0">
      <w:pPr>
        <w:jc w:val="both"/>
        <w:rPr>
          <w:sz w:val="20"/>
          <w:lang w:val="fr-CA"/>
        </w:rPr>
      </w:pPr>
    </w:p>
    <w:p w:rsidR="00F15692" w:rsidRPr="00D22CA0" w:rsidRDefault="00F15692" w:rsidP="00D22CA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2CA0" w:rsidRPr="00D22CA0" w:rsidTr="00E95A6A">
        <w:tc>
          <w:tcPr>
            <w:tcW w:w="543" w:type="pct"/>
          </w:tcPr>
          <w:p w:rsidR="00D22CA0" w:rsidRPr="00D22CA0" w:rsidRDefault="00D22CA0" w:rsidP="00D22CA0">
            <w:pPr>
              <w:jc w:val="both"/>
              <w:rPr>
                <w:sz w:val="20"/>
                <w:lang w:val="en-CA"/>
              </w:rPr>
            </w:pPr>
            <w:r w:rsidRPr="00D22CA0">
              <w:rPr>
                <w:rStyle w:val="SCCFileNumberChar"/>
                <w:sz w:val="20"/>
                <w:szCs w:val="20"/>
              </w:rPr>
              <w:t>37721</w:t>
            </w:r>
          </w:p>
        </w:tc>
        <w:tc>
          <w:tcPr>
            <w:tcW w:w="4457" w:type="pct"/>
            <w:gridSpan w:val="3"/>
          </w:tcPr>
          <w:p w:rsidR="00D22CA0" w:rsidRPr="00D22CA0" w:rsidRDefault="00D22CA0" w:rsidP="00D22CA0">
            <w:pPr>
              <w:pStyle w:val="SCCLsocParty"/>
              <w:jc w:val="both"/>
              <w:rPr>
                <w:b/>
                <w:sz w:val="20"/>
                <w:szCs w:val="20"/>
              </w:rPr>
            </w:pPr>
            <w:r w:rsidRPr="00D22CA0">
              <w:rPr>
                <w:b/>
                <w:sz w:val="20"/>
                <w:szCs w:val="20"/>
              </w:rPr>
              <w:t xml:space="preserve">Gilles </w:t>
            </w:r>
            <w:proofErr w:type="spellStart"/>
            <w:r w:rsidRPr="00D22CA0">
              <w:rPr>
                <w:b/>
                <w:sz w:val="20"/>
                <w:szCs w:val="20"/>
              </w:rPr>
              <w:t>Coulombe</w:t>
            </w:r>
            <w:proofErr w:type="spellEnd"/>
            <w:r w:rsidRPr="00D22CA0">
              <w:rPr>
                <w:b/>
                <w:sz w:val="20"/>
                <w:szCs w:val="20"/>
              </w:rPr>
              <w:t xml:space="preserve"> v. </w:t>
            </w:r>
            <w:r w:rsidR="00642A36">
              <w:rPr>
                <w:b/>
                <w:sz w:val="20"/>
                <w:szCs w:val="20"/>
              </w:rPr>
              <w:t>L’</w:t>
            </w:r>
            <w:bookmarkStart w:id="0" w:name="_GoBack"/>
            <w:bookmarkEnd w:id="0"/>
            <w:r w:rsidRPr="00D22CA0">
              <w:rPr>
                <w:b/>
                <w:sz w:val="20"/>
                <w:szCs w:val="20"/>
              </w:rPr>
              <w:t>Agence du revenu du Québec</w:t>
            </w:r>
          </w:p>
          <w:p w:rsidR="00D22CA0" w:rsidRPr="00D22CA0" w:rsidRDefault="00D22CA0" w:rsidP="00D22CA0">
            <w:pPr>
              <w:jc w:val="both"/>
              <w:rPr>
                <w:sz w:val="20"/>
                <w:lang w:val="en-CA"/>
              </w:rPr>
            </w:pPr>
            <w:r w:rsidRPr="00D22CA0">
              <w:rPr>
                <w:sz w:val="20"/>
                <w:lang w:val="en-CA"/>
              </w:rPr>
              <w:t>(Que.) (Civil) (By Leave)</w:t>
            </w:r>
          </w:p>
        </w:tc>
      </w:tr>
      <w:tr w:rsidR="00D22CA0" w:rsidRPr="00D22CA0" w:rsidTr="00E95A6A">
        <w:tc>
          <w:tcPr>
            <w:tcW w:w="5000" w:type="pct"/>
            <w:gridSpan w:val="4"/>
          </w:tcPr>
          <w:p w:rsidR="00D22CA0" w:rsidRPr="00D22CA0" w:rsidRDefault="00D22CA0" w:rsidP="00D22CA0">
            <w:pPr>
              <w:jc w:val="both"/>
              <w:rPr>
                <w:sz w:val="20"/>
                <w:lang w:val="en-CA"/>
              </w:rPr>
            </w:pPr>
            <w:r w:rsidRPr="00D22CA0">
              <w:rPr>
                <w:sz w:val="20"/>
                <w:lang w:val="en-CA"/>
              </w:rPr>
              <w:t>Taxation — Income tax — Assessment — Formal demand to file income tax returns for 1998 to 2002 taxation years — Unreported capital gains — Taxpayer challenging notices of reassessment issued by Agence du revenu du Québec imposing penalty for</w:t>
            </w:r>
            <w:r w:rsidRPr="00D22CA0">
              <w:rPr>
                <w:rFonts w:asciiTheme="minorHAnsi" w:hAnsiTheme="minorHAnsi"/>
                <w:sz w:val="20"/>
                <w:lang w:val="en"/>
              </w:rPr>
              <w:t xml:space="preserve"> </w:t>
            </w:r>
            <w:r w:rsidRPr="00D22CA0">
              <w:rPr>
                <w:sz w:val="20"/>
                <w:lang w:val="en"/>
              </w:rPr>
              <w:t>gross negligence in making of false statement or omission in income tax return</w:t>
            </w:r>
            <w:r w:rsidRPr="00D22CA0">
              <w:rPr>
                <w:sz w:val="20"/>
                <w:lang w:val="en-CA"/>
              </w:rPr>
              <w:t xml:space="preserve"> — Whether applicant raising issue of public importance — </w:t>
            </w:r>
            <w:r w:rsidRPr="00D22CA0">
              <w:rPr>
                <w:i/>
                <w:sz w:val="20"/>
                <w:lang w:val="en-CA"/>
              </w:rPr>
              <w:t>Taxation Act</w:t>
            </w:r>
            <w:r w:rsidRPr="00D22CA0">
              <w:rPr>
                <w:sz w:val="20"/>
                <w:lang w:val="en-CA"/>
              </w:rPr>
              <w:t>, CQLR, c. I</w:t>
            </w:r>
            <w:r w:rsidRPr="00D22CA0">
              <w:rPr>
                <w:sz w:val="20"/>
                <w:lang w:val="en-CA"/>
              </w:rPr>
              <w:noBreakHyphen/>
              <w:t xml:space="preserve">3, s. 1049.  </w:t>
            </w:r>
          </w:p>
        </w:tc>
      </w:tr>
      <w:tr w:rsidR="00D22CA0" w:rsidRPr="00D22CA0" w:rsidTr="00E95A6A">
        <w:tc>
          <w:tcPr>
            <w:tcW w:w="5000" w:type="pct"/>
            <w:gridSpan w:val="4"/>
          </w:tcPr>
          <w:p w:rsidR="00D22CA0" w:rsidRPr="00D22CA0" w:rsidRDefault="00D22CA0" w:rsidP="00D22CA0">
            <w:pPr>
              <w:jc w:val="both"/>
              <w:rPr>
                <w:sz w:val="20"/>
                <w:lang w:val="en-CA"/>
              </w:rPr>
            </w:pPr>
          </w:p>
        </w:tc>
      </w:tr>
      <w:tr w:rsidR="00D22CA0" w:rsidRPr="00D22CA0" w:rsidTr="00E95A6A">
        <w:tc>
          <w:tcPr>
            <w:tcW w:w="5000" w:type="pct"/>
            <w:gridSpan w:val="4"/>
          </w:tcPr>
          <w:p w:rsidR="00D22CA0" w:rsidRPr="00D22CA0" w:rsidRDefault="00D22CA0" w:rsidP="00D22CA0">
            <w:pPr>
              <w:jc w:val="both"/>
              <w:rPr>
                <w:sz w:val="20"/>
                <w:lang w:val="en-CA"/>
              </w:rPr>
            </w:pPr>
            <w:r w:rsidRPr="00D22CA0">
              <w:rPr>
                <w:sz w:val="20"/>
                <w:lang w:val="en-CA"/>
              </w:rPr>
              <w:t>In 2004, the respondent Agence du revenu du Québec issued a formal demand to the applicant Gilles Coulombe to file his income tax returns for 1998, 1999, 2000 and 2001. The reason for Mr. Coulombe’s failure to file returns was allegedly that he had no income during that period, when he had to live off his savings and he incurred significant capital losses. That situation allegedly arose out of a specific context in which he invested large amounts in a company that made lottery validation machines, which went bankrupt in 2002. After auditing the returns filed, the Agence determined that Mr. </w:t>
            </w:r>
            <w:proofErr w:type="spellStart"/>
            <w:r w:rsidRPr="00D22CA0">
              <w:rPr>
                <w:sz w:val="20"/>
                <w:lang w:val="en-CA"/>
              </w:rPr>
              <w:t>Coulombe</w:t>
            </w:r>
            <w:proofErr w:type="spellEnd"/>
            <w:r w:rsidRPr="00D22CA0">
              <w:rPr>
                <w:sz w:val="20"/>
                <w:lang w:val="en-CA"/>
              </w:rPr>
              <w:t xml:space="preserve"> had failed to report capital gains for 1998 to 2001 from the sale of shares. In 2005, the Agence issued notices of assessment for 1998 to 2001 that imposed a penalty for 2000 and 2001 for failure to file income tax returns and for</w:t>
            </w:r>
            <w:r w:rsidRPr="00D22CA0">
              <w:rPr>
                <w:sz w:val="20"/>
                <w:lang w:val="en"/>
              </w:rPr>
              <w:t xml:space="preserve"> gross negligence in the making of a false statement or omission in an income tax return, pursuant to</w:t>
            </w:r>
            <w:r w:rsidRPr="00D22CA0">
              <w:rPr>
                <w:sz w:val="20"/>
                <w:lang w:val="en-CA"/>
              </w:rPr>
              <w:t xml:space="preserve"> ss. 1045 and 1049 of the </w:t>
            </w:r>
            <w:r w:rsidRPr="00D22CA0">
              <w:rPr>
                <w:i/>
                <w:sz w:val="20"/>
                <w:lang w:val="en-CA"/>
              </w:rPr>
              <w:t>Taxation Act</w:t>
            </w:r>
            <w:r w:rsidRPr="00D22CA0">
              <w:rPr>
                <w:sz w:val="20"/>
                <w:lang w:val="en-CA"/>
              </w:rPr>
              <w:t>, CQLR, c. I</w:t>
            </w:r>
            <w:r w:rsidRPr="00D22CA0">
              <w:rPr>
                <w:sz w:val="20"/>
                <w:lang w:val="en-CA"/>
              </w:rPr>
              <w:noBreakHyphen/>
              <w:t xml:space="preserve">3. In 2005, Mr. Coulombe filed notices of objection, on which decisions </w:t>
            </w:r>
            <w:proofErr w:type="gramStart"/>
            <w:r w:rsidRPr="00D22CA0">
              <w:rPr>
                <w:sz w:val="20"/>
                <w:lang w:val="en-CA"/>
              </w:rPr>
              <w:t>were made</w:t>
            </w:r>
            <w:proofErr w:type="gramEnd"/>
            <w:r w:rsidRPr="00D22CA0">
              <w:rPr>
                <w:sz w:val="20"/>
                <w:lang w:val="en-CA"/>
              </w:rPr>
              <w:t xml:space="preserve"> in 2011. Following those decisions, Mr. </w:t>
            </w:r>
            <w:proofErr w:type="spellStart"/>
            <w:r w:rsidRPr="00D22CA0">
              <w:rPr>
                <w:sz w:val="20"/>
                <w:lang w:val="en-CA"/>
              </w:rPr>
              <w:t>Coulombe</w:t>
            </w:r>
            <w:proofErr w:type="spellEnd"/>
            <w:r w:rsidRPr="00D22CA0">
              <w:rPr>
                <w:sz w:val="20"/>
                <w:lang w:val="en-CA"/>
              </w:rPr>
              <w:t xml:space="preserve"> appealed the four notices of reassessment for the 1998, 1999, 2000 and 2001 taxation years to the Court of Québec. </w:t>
            </w:r>
          </w:p>
          <w:p w:rsidR="00D22CA0" w:rsidRPr="00D22CA0" w:rsidRDefault="00D22CA0" w:rsidP="00D22CA0">
            <w:pPr>
              <w:jc w:val="both"/>
              <w:rPr>
                <w:sz w:val="20"/>
                <w:lang w:val="en-CA"/>
              </w:rPr>
            </w:pPr>
          </w:p>
        </w:tc>
      </w:tr>
      <w:tr w:rsidR="00D22CA0" w:rsidRPr="00D22CA0" w:rsidTr="00E95A6A">
        <w:tc>
          <w:tcPr>
            <w:tcW w:w="2427" w:type="pct"/>
            <w:gridSpan w:val="2"/>
          </w:tcPr>
          <w:p w:rsidR="00D22CA0" w:rsidRPr="00D22CA0" w:rsidRDefault="00D22CA0" w:rsidP="00D22CA0">
            <w:pPr>
              <w:jc w:val="both"/>
              <w:rPr>
                <w:sz w:val="20"/>
                <w:lang w:val="en-CA"/>
              </w:rPr>
            </w:pPr>
            <w:r w:rsidRPr="00D22CA0">
              <w:rPr>
                <w:sz w:val="20"/>
                <w:lang w:val="en-CA"/>
              </w:rPr>
              <w:t>April 29, 2015</w:t>
            </w:r>
          </w:p>
          <w:p w:rsidR="00D22CA0" w:rsidRPr="00D22CA0" w:rsidRDefault="00D22CA0" w:rsidP="00D22CA0">
            <w:pPr>
              <w:jc w:val="both"/>
              <w:rPr>
                <w:sz w:val="20"/>
                <w:lang w:val="en-CA"/>
              </w:rPr>
            </w:pPr>
            <w:r w:rsidRPr="00D22CA0">
              <w:rPr>
                <w:sz w:val="20"/>
                <w:lang w:val="en-CA"/>
              </w:rPr>
              <w:t>Court of Québec</w:t>
            </w:r>
          </w:p>
          <w:p w:rsidR="00D22CA0" w:rsidRPr="00D22CA0" w:rsidRDefault="00D22CA0" w:rsidP="00D22CA0">
            <w:pPr>
              <w:jc w:val="both"/>
              <w:rPr>
                <w:sz w:val="20"/>
                <w:lang w:val="en-CA"/>
              </w:rPr>
            </w:pPr>
            <w:r w:rsidRPr="00D22CA0">
              <w:rPr>
                <w:sz w:val="20"/>
                <w:lang w:val="en-CA"/>
              </w:rPr>
              <w:t>(Judge Quenneville)</w:t>
            </w:r>
          </w:p>
          <w:p w:rsidR="00D22CA0" w:rsidRPr="00D22CA0" w:rsidRDefault="00D22CA0" w:rsidP="00D22CA0">
            <w:pPr>
              <w:jc w:val="both"/>
              <w:rPr>
                <w:sz w:val="20"/>
                <w:lang w:val="en-CA"/>
              </w:rPr>
            </w:pPr>
            <w:r w:rsidRPr="00D22CA0">
              <w:rPr>
                <w:sz w:val="20"/>
                <w:lang w:val="en-CA"/>
              </w:rPr>
              <w:t>(Unreported judgment) No. 500-80-020643-111, No. 500-80-020643-114, No. 500-80-020643-116 and No. 500-80-020643-119</w:t>
            </w:r>
          </w:p>
          <w:p w:rsidR="00D22CA0" w:rsidRPr="00D22CA0" w:rsidRDefault="00D22CA0" w:rsidP="00D22CA0">
            <w:pPr>
              <w:jc w:val="both"/>
              <w:rPr>
                <w:sz w:val="20"/>
                <w:lang w:val="en-CA"/>
              </w:rPr>
            </w:pPr>
          </w:p>
        </w:tc>
        <w:tc>
          <w:tcPr>
            <w:tcW w:w="243" w:type="pct"/>
          </w:tcPr>
          <w:p w:rsidR="00D22CA0" w:rsidRPr="00D22CA0" w:rsidRDefault="00D22CA0" w:rsidP="00D22CA0">
            <w:pPr>
              <w:jc w:val="both"/>
              <w:rPr>
                <w:sz w:val="20"/>
                <w:lang w:val="en-CA"/>
              </w:rPr>
            </w:pPr>
          </w:p>
        </w:tc>
        <w:tc>
          <w:tcPr>
            <w:tcW w:w="2330" w:type="pct"/>
          </w:tcPr>
          <w:p w:rsidR="00D22CA0" w:rsidRPr="00D22CA0" w:rsidRDefault="00D22CA0" w:rsidP="00D22CA0">
            <w:pPr>
              <w:jc w:val="both"/>
              <w:rPr>
                <w:sz w:val="20"/>
                <w:lang w:val="en-CA"/>
              </w:rPr>
            </w:pPr>
            <w:r w:rsidRPr="00D22CA0">
              <w:rPr>
                <w:sz w:val="20"/>
                <w:lang w:val="en-CA"/>
              </w:rPr>
              <w:t xml:space="preserve">Appeals from notices of assessment </w:t>
            </w:r>
            <w:proofErr w:type="gramStart"/>
            <w:r w:rsidRPr="00D22CA0">
              <w:rPr>
                <w:sz w:val="20"/>
                <w:lang w:val="en-CA"/>
              </w:rPr>
              <w:t>for  1998</w:t>
            </w:r>
            <w:proofErr w:type="gramEnd"/>
            <w:r w:rsidRPr="00D22CA0">
              <w:rPr>
                <w:sz w:val="20"/>
                <w:lang w:val="en-CA"/>
              </w:rPr>
              <w:t>, 1999, 2000 and 2001 taxation years dismissed.</w:t>
            </w:r>
          </w:p>
          <w:p w:rsidR="00D22CA0" w:rsidRPr="00D22CA0" w:rsidRDefault="00D22CA0" w:rsidP="00D22CA0">
            <w:pPr>
              <w:jc w:val="both"/>
              <w:rPr>
                <w:sz w:val="20"/>
                <w:lang w:val="en-CA"/>
              </w:rPr>
            </w:pPr>
          </w:p>
        </w:tc>
      </w:tr>
      <w:tr w:rsidR="00D22CA0" w:rsidRPr="00D22CA0" w:rsidTr="00E95A6A">
        <w:tc>
          <w:tcPr>
            <w:tcW w:w="2427" w:type="pct"/>
            <w:gridSpan w:val="2"/>
          </w:tcPr>
          <w:p w:rsidR="00D22CA0" w:rsidRPr="00D22CA0" w:rsidRDefault="00D22CA0" w:rsidP="00D22CA0">
            <w:pPr>
              <w:jc w:val="both"/>
              <w:rPr>
                <w:sz w:val="20"/>
                <w:lang w:val="en-CA"/>
              </w:rPr>
            </w:pPr>
            <w:r w:rsidRPr="00D22CA0">
              <w:rPr>
                <w:sz w:val="20"/>
                <w:lang w:val="en-CA"/>
              </w:rPr>
              <w:t>June 13, 2017</w:t>
            </w:r>
          </w:p>
          <w:p w:rsidR="00D22CA0" w:rsidRPr="00D22CA0" w:rsidRDefault="00D22CA0" w:rsidP="00D22CA0">
            <w:pPr>
              <w:jc w:val="both"/>
              <w:rPr>
                <w:sz w:val="20"/>
                <w:lang w:val="en-CA"/>
              </w:rPr>
            </w:pPr>
            <w:r w:rsidRPr="00D22CA0">
              <w:rPr>
                <w:sz w:val="20"/>
                <w:lang w:val="en-CA"/>
              </w:rPr>
              <w:t>Quebec Court of Appeal (Montréal)</w:t>
            </w:r>
          </w:p>
          <w:p w:rsidR="00D22CA0" w:rsidRPr="00D22CA0" w:rsidRDefault="00D22CA0" w:rsidP="00D22CA0">
            <w:pPr>
              <w:jc w:val="both"/>
              <w:rPr>
                <w:sz w:val="20"/>
                <w:lang w:val="fr-CA"/>
              </w:rPr>
            </w:pPr>
            <w:r w:rsidRPr="00D22CA0">
              <w:rPr>
                <w:sz w:val="20"/>
                <w:lang w:val="fr-CA"/>
              </w:rPr>
              <w:t>(Morissette, St-Pierre and Mainville JJ.A.)</w:t>
            </w:r>
          </w:p>
          <w:p w:rsidR="00D22CA0" w:rsidRPr="00D22CA0" w:rsidRDefault="00642A36" w:rsidP="00D22CA0">
            <w:pPr>
              <w:jc w:val="both"/>
              <w:rPr>
                <w:sz w:val="20"/>
                <w:lang w:val="en-CA"/>
              </w:rPr>
            </w:pPr>
            <w:hyperlink r:id="rId20" w:history="1">
              <w:r w:rsidR="00D22CA0" w:rsidRPr="00D22CA0">
                <w:rPr>
                  <w:rStyle w:val="Hyperlink"/>
                  <w:sz w:val="20"/>
                  <w:lang w:val="en-CA"/>
                </w:rPr>
                <w:t>2017 QCCA 950</w:t>
              </w:r>
            </w:hyperlink>
          </w:p>
          <w:p w:rsidR="00D22CA0" w:rsidRPr="00D22CA0" w:rsidRDefault="00D22CA0" w:rsidP="00D22CA0">
            <w:pPr>
              <w:jc w:val="both"/>
              <w:rPr>
                <w:sz w:val="20"/>
                <w:lang w:val="en-CA"/>
              </w:rPr>
            </w:pPr>
          </w:p>
        </w:tc>
        <w:tc>
          <w:tcPr>
            <w:tcW w:w="243" w:type="pct"/>
          </w:tcPr>
          <w:p w:rsidR="00D22CA0" w:rsidRPr="00D22CA0" w:rsidRDefault="00D22CA0" w:rsidP="00D22CA0">
            <w:pPr>
              <w:jc w:val="both"/>
              <w:rPr>
                <w:sz w:val="20"/>
                <w:lang w:val="en-CA"/>
              </w:rPr>
            </w:pPr>
          </w:p>
        </w:tc>
        <w:tc>
          <w:tcPr>
            <w:tcW w:w="2330" w:type="pct"/>
          </w:tcPr>
          <w:p w:rsidR="00D22CA0" w:rsidRPr="00D22CA0" w:rsidRDefault="00D22CA0" w:rsidP="00D22CA0">
            <w:pPr>
              <w:jc w:val="both"/>
              <w:rPr>
                <w:sz w:val="20"/>
                <w:lang w:val="en-CA"/>
              </w:rPr>
            </w:pPr>
            <w:r w:rsidRPr="00D22CA0">
              <w:rPr>
                <w:sz w:val="20"/>
                <w:lang w:val="en-CA"/>
              </w:rPr>
              <w:t>Appeal dismissed.</w:t>
            </w:r>
          </w:p>
          <w:p w:rsidR="00D22CA0" w:rsidRPr="00D22CA0" w:rsidRDefault="00D22CA0" w:rsidP="00D22CA0">
            <w:pPr>
              <w:jc w:val="both"/>
              <w:rPr>
                <w:sz w:val="20"/>
                <w:lang w:val="en-CA"/>
              </w:rPr>
            </w:pPr>
          </w:p>
        </w:tc>
      </w:tr>
      <w:tr w:rsidR="00D22CA0" w:rsidRPr="00D22CA0" w:rsidTr="00E95A6A">
        <w:tc>
          <w:tcPr>
            <w:tcW w:w="2427" w:type="pct"/>
            <w:gridSpan w:val="2"/>
          </w:tcPr>
          <w:p w:rsidR="00D22CA0" w:rsidRPr="00D22CA0" w:rsidRDefault="00D22CA0" w:rsidP="00D22CA0">
            <w:pPr>
              <w:jc w:val="both"/>
              <w:rPr>
                <w:sz w:val="20"/>
                <w:lang w:val="en-CA"/>
              </w:rPr>
            </w:pPr>
            <w:r w:rsidRPr="00D22CA0">
              <w:rPr>
                <w:sz w:val="20"/>
                <w:lang w:val="en-CA"/>
              </w:rPr>
              <w:t>August 10, 2017</w:t>
            </w:r>
          </w:p>
          <w:p w:rsidR="00D22CA0" w:rsidRPr="00D22CA0" w:rsidRDefault="00D22CA0" w:rsidP="00D22CA0">
            <w:pPr>
              <w:jc w:val="both"/>
              <w:rPr>
                <w:sz w:val="20"/>
                <w:lang w:val="en-CA"/>
              </w:rPr>
            </w:pPr>
            <w:r w:rsidRPr="00D22CA0">
              <w:rPr>
                <w:sz w:val="20"/>
                <w:lang w:val="en-CA"/>
              </w:rPr>
              <w:t>Supreme Court of Canada</w:t>
            </w:r>
          </w:p>
        </w:tc>
        <w:tc>
          <w:tcPr>
            <w:tcW w:w="243" w:type="pct"/>
          </w:tcPr>
          <w:p w:rsidR="00D22CA0" w:rsidRPr="00D22CA0" w:rsidRDefault="00D22CA0" w:rsidP="00D22CA0">
            <w:pPr>
              <w:jc w:val="both"/>
              <w:rPr>
                <w:sz w:val="20"/>
                <w:lang w:val="en-CA"/>
              </w:rPr>
            </w:pPr>
          </w:p>
        </w:tc>
        <w:tc>
          <w:tcPr>
            <w:tcW w:w="2330" w:type="pct"/>
          </w:tcPr>
          <w:p w:rsidR="00D22CA0" w:rsidRPr="00D22CA0" w:rsidRDefault="00D22CA0" w:rsidP="00D22CA0">
            <w:pPr>
              <w:jc w:val="both"/>
              <w:rPr>
                <w:sz w:val="20"/>
                <w:lang w:val="en-CA"/>
              </w:rPr>
            </w:pPr>
            <w:r w:rsidRPr="00D22CA0">
              <w:rPr>
                <w:sz w:val="20"/>
                <w:lang w:val="en-CA"/>
              </w:rPr>
              <w:t>Application for leave to appeal filed.</w:t>
            </w:r>
          </w:p>
          <w:p w:rsidR="00D22CA0" w:rsidRPr="00D22CA0" w:rsidRDefault="00D22CA0" w:rsidP="00D22CA0">
            <w:pPr>
              <w:jc w:val="both"/>
              <w:rPr>
                <w:sz w:val="20"/>
                <w:lang w:val="en-CA"/>
              </w:rPr>
            </w:pPr>
          </w:p>
        </w:tc>
      </w:tr>
    </w:tbl>
    <w:p w:rsidR="00D22CA0" w:rsidRDefault="00D22CA0" w:rsidP="00D22CA0">
      <w:pPr>
        <w:jc w:val="both"/>
        <w:rPr>
          <w:sz w:val="20"/>
          <w:lang w:val="en-CA"/>
        </w:rPr>
      </w:pPr>
    </w:p>
    <w:p w:rsidR="00D22CA0" w:rsidRPr="00D22CA0" w:rsidRDefault="00D22CA0" w:rsidP="00D22CA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2CA0" w:rsidRPr="00D22CA0" w:rsidTr="00E95A6A">
        <w:tc>
          <w:tcPr>
            <w:tcW w:w="543" w:type="pct"/>
          </w:tcPr>
          <w:p w:rsidR="00D22CA0" w:rsidRPr="00D22CA0" w:rsidRDefault="00D22CA0" w:rsidP="00D22CA0">
            <w:pPr>
              <w:jc w:val="both"/>
              <w:rPr>
                <w:sz w:val="20"/>
              </w:rPr>
            </w:pPr>
            <w:r w:rsidRPr="00D22CA0">
              <w:rPr>
                <w:rStyle w:val="SCCFileNumberChar"/>
                <w:sz w:val="20"/>
                <w:szCs w:val="20"/>
              </w:rPr>
              <w:t>37721</w:t>
            </w:r>
          </w:p>
        </w:tc>
        <w:tc>
          <w:tcPr>
            <w:tcW w:w="4457" w:type="pct"/>
            <w:gridSpan w:val="3"/>
          </w:tcPr>
          <w:p w:rsidR="00D22CA0" w:rsidRPr="00D22CA0" w:rsidRDefault="00D22CA0" w:rsidP="00D22CA0">
            <w:pPr>
              <w:pStyle w:val="SCCLsocParty"/>
              <w:jc w:val="both"/>
              <w:rPr>
                <w:b/>
                <w:sz w:val="20"/>
                <w:szCs w:val="20"/>
              </w:rPr>
            </w:pPr>
            <w:r w:rsidRPr="00D22CA0">
              <w:rPr>
                <w:b/>
                <w:sz w:val="20"/>
                <w:szCs w:val="20"/>
              </w:rPr>
              <w:t xml:space="preserve">Gilles </w:t>
            </w:r>
            <w:proofErr w:type="spellStart"/>
            <w:r w:rsidRPr="00D22CA0">
              <w:rPr>
                <w:b/>
                <w:sz w:val="20"/>
                <w:szCs w:val="20"/>
              </w:rPr>
              <w:t>Coulombe</w:t>
            </w:r>
            <w:proofErr w:type="spellEnd"/>
            <w:r w:rsidRPr="00D22CA0">
              <w:rPr>
                <w:b/>
                <w:sz w:val="20"/>
                <w:szCs w:val="20"/>
              </w:rPr>
              <w:t xml:space="preserve"> c. L’Agence du revenu du Québec</w:t>
            </w:r>
          </w:p>
          <w:p w:rsidR="00D22CA0" w:rsidRPr="00D22CA0" w:rsidRDefault="00D22CA0" w:rsidP="00D22CA0">
            <w:pPr>
              <w:jc w:val="both"/>
              <w:rPr>
                <w:sz w:val="20"/>
              </w:rPr>
            </w:pPr>
            <w:r w:rsidRPr="00D22CA0">
              <w:rPr>
                <w:sz w:val="20"/>
              </w:rPr>
              <w:t>(Qc) (Civile) (Autorisation)</w:t>
            </w:r>
          </w:p>
        </w:tc>
      </w:tr>
      <w:tr w:rsidR="00D22CA0" w:rsidRPr="00642A36" w:rsidTr="00E95A6A">
        <w:tc>
          <w:tcPr>
            <w:tcW w:w="5000" w:type="pct"/>
            <w:gridSpan w:val="4"/>
          </w:tcPr>
          <w:p w:rsidR="00D22CA0" w:rsidRPr="00D22CA0" w:rsidRDefault="00D22CA0" w:rsidP="00D22CA0">
            <w:pPr>
              <w:jc w:val="both"/>
              <w:rPr>
                <w:sz w:val="20"/>
                <w:lang w:val="fr-CA"/>
              </w:rPr>
            </w:pPr>
            <w:r w:rsidRPr="00D22CA0">
              <w:rPr>
                <w:sz w:val="20"/>
                <w:lang w:val="fr-CA"/>
              </w:rPr>
              <w:t xml:space="preserve">Droit fiscal — Impôt sur le revenu — Cotisation — Demande péremptoire de produire les déclarations de revenu pour les années d’imposition 1998 à 2002 — Gains en capitaux non déclarés — Contribuable contestant les nouveaux avis de cotisation émis par l’Agence du revenu du Québec et fixant une pénalité pour négligence flagrante dans la commission d’un faux énoncé ou d’une omission dans une déclaration de revenus — La demande soulève-t-elle une question d’importance pour le public? — </w:t>
            </w:r>
            <w:r w:rsidRPr="00D22CA0">
              <w:rPr>
                <w:i/>
                <w:sz w:val="20"/>
                <w:lang w:val="fr-CA"/>
              </w:rPr>
              <w:t>Loi sur les impôts</w:t>
            </w:r>
            <w:r w:rsidRPr="00D22CA0">
              <w:rPr>
                <w:sz w:val="20"/>
                <w:lang w:val="fr-CA"/>
              </w:rPr>
              <w:t xml:space="preserve">, RLRQ, c. I-3, art. 1049.  </w:t>
            </w:r>
          </w:p>
        </w:tc>
      </w:tr>
      <w:tr w:rsidR="00D22CA0" w:rsidRPr="00642A36" w:rsidTr="00E95A6A">
        <w:tc>
          <w:tcPr>
            <w:tcW w:w="5000" w:type="pct"/>
            <w:gridSpan w:val="4"/>
          </w:tcPr>
          <w:p w:rsidR="00D22CA0" w:rsidRPr="00D22CA0" w:rsidRDefault="00D22CA0" w:rsidP="00D22CA0">
            <w:pPr>
              <w:jc w:val="both"/>
              <w:rPr>
                <w:sz w:val="20"/>
                <w:lang w:val="fr-CA"/>
              </w:rPr>
            </w:pPr>
          </w:p>
        </w:tc>
      </w:tr>
      <w:tr w:rsidR="00D22CA0" w:rsidRPr="00642A36" w:rsidTr="00E95A6A">
        <w:tc>
          <w:tcPr>
            <w:tcW w:w="5000" w:type="pct"/>
            <w:gridSpan w:val="4"/>
          </w:tcPr>
          <w:p w:rsidR="00D22CA0" w:rsidRPr="00D22CA0" w:rsidRDefault="00D22CA0" w:rsidP="00D22CA0">
            <w:pPr>
              <w:jc w:val="both"/>
              <w:rPr>
                <w:sz w:val="20"/>
                <w:lang w:val="fr-CA"/>
              </w:rPr>
            </w:pPr>
            <w:r w:rsidRPr="00D22CA0">
              <w:rPr>
                <w:sz w:val="20"/>
                <w:lang w:val="fr-CA"/>
              </w:rPr>
              <w:t xml:space="preserve">En 2004, l’intimée, l’Agence du revenu du Québec a émis à l’encontre du demandeur, Monsieur Gilles </w:t>
            </w:r>
            <w:proofErr w:type="spellStart"/>
            <w:r w:rsidRPr="00D22CA0">
              <w:rPr>
                <w:sz w:val="20"/>
                <w:lang w:val="fr-CA"/>
              </w:rPr>
              <w:t>Coulombe</w:t>
            </w:r>
            <w:proofErr w:type="spellEnd"/>
            <w:r w:rsidRPr="00D22CA0">
              <w:rPr>
                <w:sz w:val="20"/>
                <w:lang w:val="fr-CA"/>
              </w:rPr>
              <w:t>, une demande péremptoire afin que ce dernier produise ses déclarations de revenus pour les années 1998, 1999, 2000 et 2001. L’absence de dépôt de déclarations s’expliquerait par le fait que M. </w:t>
            </w:r>
            <w:proofErr w:type="spellStart"/>
            <w:r w:rsidRPr="00D22CA0">
              <w:rPr>
                <w:sz w:val="20"/>
                <w:lang w:val="fr-CA"/>
              </w:rPr>
              <w:t>Coulombe</w:t>
            </w:r>
            <w:proofErr w:type="spellEnd"/>
            <w:r w:rsidRPr="00D22CA0">
              <w:rPr>
                <w:sz w:val="20"/>
                <w:lang w:val="fr-CA"/>
              </w:rPr>
              <w:t xml:space="preserve"> n’avait touché aucun revenu durant cette période, au cours de laquelle il avait dû vivre de ses économies et avait subi d’importantes pertes en capital. Cette situation découlerait d’un contexte particulier dans lequel il a investi des sommes importantes dans une entreprise de fabrication de valideuses de loterie qui a fait faillite en 2002. Après vérification des déclarations déposées, l’Agence détermine que M. </w:t>
            </w:r>
            <w:proofErr w:type="spellStart"/>
            <w:r w:rsidRPr="00D22CA0">
              <w:rPr>
                <w:sz w:val="20"/>
                <w:lang w:val="fr-CA"/>
              </w:rPr>
              <w:t>Coulombe</w:t>
            </w:r>
            <w:proofErr w:type="spellEnd"/>
            <w:r w:rsidRPr="00D22CA0">
              <w:rPr>
                <w:sz w:val="20"/>
                <w:lang w:val="fr-CA"/>
              </w:rPr>
              <w:t xml:space="preserve"> a omis de déclarer des gains en capital provenant de la vente d’actions pour les années 1998 à 2001. En 2005, l’Agence émet des avis de cotisation pour les années 1998 à 2001 en imposant pour les années 2000 et 2001 une pénalité pour défaut de produire les déclarations de revenus et pour négligence flagrante dans la commission d’un faux énoncé ou d’une omission dans une déclaration de revenus suivant les art. 1045 et 1049 de la </w:t>
            </w:r>
            <w:r w:rsidRPr="00D22CA0">
              <w:rPr>
                <w:i/>
                <w:sz w:val="20"/>
                <w:lang w:val="fr-CA"/>
              </w:rPr>
              <w:t>Loi sur les impôts</w:t>
            </w:r>
            <w:r w:rsidRPr="00D22CA0">
              <w:rPr>
                <w:sz w:val="20"/>
                <w:lang w:val="fr-CA"/>
              </w:rPr>
              <w:t>, RLRQ, c. I-3. M. </w:t>
            </w:r>
            <w:proofErr w:type="spellStart"/>
            <w:r w:rsidRPr="00D22CA0">
              <w:rPr>
                <w:sz w:val="20"/>
                <w:lang w:val="fr-CA"/>
              </w:rPr>
              <w:t>Coulombe</w:t>
            </w:r>
            <w:proofErr w:type="spellEnd"/>
            <w:r w:rsidRPr="00D22CA0">
              <w:rPr>
                <w:sz w:val="20"/>
                <w:lang w:val="fr-CA"/>
              </w:rPr>
              <w:t xml:space="preserve"> dépose en 2005 des avis d’opposition qui feront l’objet de décisions en 2011. Comme suite à ces décisions, M. </w:t>
            </w:r>
            <w:proofErr w:type="spellStart"/>
            <w:r w:rsidRPr="00D22CA0">
              <w:rPr>
                <w:sz w:val="20"/>
                <w:lang w:val="fr-CA"/>
              </w:rPr>
              <w:t>Coulombe</w:t>
            </w:r>
            <w:proofErr w:type="spellEnd"/>
            <w:r w:rsidRPr="00D22CA0">
              <w:rPr>
                <w:sz w:val="20"/>
                <w:lang w:val="fr-CA"/>
              </w:rPr>
              <w:t xml:space="preserve"> a porté en appel devant la Cour du Québec les 4 avis de nouvelle cotisation pour les années d’imposition 1998, 1999, 2000 et 2001. </w:t>
            </w:r>
          </w:p>
          <w:p w:rsidR="00D22CA0" w:rsidRPr="00D22CA0" w:rsidRDefault="00D22CA0" w:rsidP="00D22CA0">
            <w:pPr>
              <w:jc w:val="both"/>
              <w:rPr>
                <w:sz w:val="20"/>
                <w:lang w:val="fr-CA"/>
              </w:rPr>
            </w:pPr>
          </w:p>
        </w:tc>
      </w:tr>
      <w:tr w:rsidR="00D22CA0" w:rsidRPr="00642A36" w:rsidTr="00E95A6A">
        <w:tc>
          <w:tcPr>
            <w:tcW w:w="2427" w:type="pct"/>
            <w:gridSpan w:val="2"/>
          </w:tcPr>
          <w:p w:rsidR="00D22CA0" w:rsidRPr="00D22CA0" w:rsidRDefault="00D22CA0" w:rsidP="00D22CA0">
            <w:pPr>
              <w:jc w:val="both"/>
              <w:rPr>
                <w:sz w:val="20"/>
                <w:lang w:val="fr-CA"/>
              </w:rPr>
            </w:pPr>
            <w:r w:rsidRPr="00D22CA0">
              <w:rPr>
                <w:sz w:val="20"/>
                <w:lang w:val="fr-CA"/>
              </w:rPr>
              <w:t>Le 29 avril 2015</w:t>
            </w:r>
          </w:p>
          <w:p w:rsidR="00D22CA0" w:rsidRPr="00D22CA0" w:rsidRDefault="00D22CA0" w:rsidP="00D22CA0">
            <w:pPr>
              <w:jc w:val="both"/>
              <w:rPr>
                <w:sz w:val="20"/>
                <w:lang w:val="fr-CA"/>
              </w:rPr>
            </w:pPr>
            <w:r w:rsidRPr="00D22CA0">
              <w:rPr>
                <w:sz w:val="20"/>
                <w:lang w:val="fr-CA"/>
              </w:rPr>
              <w:t>Cour du Québec</w:t>
            </w:r>
          </w:p>
          <w:p w:rsidR="00D22CA0" w:rsidRPr="00D22CA0" w:rsidRDefault="00D22CA0" w:rsidP="00D22CA0">
            <w:pPr>
              <w:jc w:val="both"/>
              <w:rPr>
                <w:sz w:val="20"/>
                <w:lang w:val="fr-CA"/>
              </w:rPr>
            </w:pPr>
            <w:r w:rsidRPr="00D22CA0">
              <w:rPr>
                <w:sz w:val="20"/>
                <w:lang w:val="fr-CA"/>
              </w:rPr>
              <w:t xml:space="preserve">(La juge </w:t>
            </w:r>
            <w:proofErr w:type="spellStart"/>
            <w:r w:rsidRPr="00D22CA0">
              <w:rPr>
                <w:sz w:val="20"/>
                <w:lang w:val="fr-CA"/>
              </w:rPr>
              <w:t>Quenneville</w:t>
            </w:r>
            <w:proofErr w:type="spellEnd"/>
            <w:r w:rsidRPr="00D22CA0">
              <w:rPr>
                <w:sz w:val="20"/>
                <w:lang w:val="fr-CA"/>
              </w:rPr>
              <w:t>)</w:t>
            </w:r>
          </w:p>
          <w:p w:rsidR="00D22CA0" w:rsidRPr="00D22CA0" w:rsidRDefault="00D22CA0" w:rsidP="00D22CA0">
            <w:pPr>
              <w:jc w:val="both"/>
              <w:rPr>
                <w:sz w:val="20"/>
              </w:rPr>
            </w:pPr>
            <w:r w:rsidRPr="00D22CA0">
              <w:rPr>
                <w:sz w:val="20"/>
              </w:rPr>
              <w:t>(</w:t>
            </w:r>
            <w:proofErr w:type="spellStart"/>
            <w:r w:rsidRPr="00D22CA0">
              <w:rPr>
                <w:sz w:val="20"/>
              </w:rPr>
              <w:t>Jugement</w:t>
            </w:r>
            <w:proofErr w:type="spellEnd"/>
            <w:r w:rsidRPr="00D22CA0">
              <w:rPr>
                <w:sz w:val="20"/>
              </w:rPr>
              <w:t xml:space="preserve"> non </w:t>
            </w:r>
            <w:proofErr w:type="spellStart"/>
            <w:r w:rsidRPr="00D22CA0">
              <w:rPr>
                <w:sz w:val="20"/>
              </w:rPr>
              <w:t>publié</w:t>
            </w:r>
            <w:proofErr w:type="spellEnd"/>
            <w:r w:rsidRPr="00D22CA0">
              <w:rPr>
                <w:sz w:val="20"/>
              </w:rPr>
              <w:t>) No. 500-80-020643-111, No. 500-80-020643-114, No. 500-80-020643-116 et No. 500-80-020643-119.</w:t>
            </w:r>
          </w:p>
          <w:p w:rsidR="00D22CA0" w:rsidRPr="00D22CA0" w:rsidRDefault="00D22CA0" w:rsidP="00D22CA0">
            <w:pPr>
              <w:jc w:val="both"/>
              <w:rPr>
                <w:sz w:val="20"/>
              </w:rPr>
            </w:pPr>
          </w:p>
        </w:tc>
        <w:tc>
          <w:tcPr>
            <w:tcW w:w="243" w:type="pct"/>
          </w:tcPr>
          <w:p w:rsidR="00D22CA0" w:rsidRPr="00D22CA0" w:rsidRDefault="00D22CA0" w:rsidP="00D22CA0">
            <w:pPr>
              <w:jc w:val="both"/>
              <w:rPr>
                <w:sz w:val="20"/>
              </w:rPr>
            </w:pPr>
          </w:p>
        </w:tc>
        <w:tc>
          <w:tcPr>
            <w:tcW w:w="2330" w:type="pct"/>
          </w:tcPr>
          <w:p w:rsidR="00D22CA0" w:rsidRPr="00D22CA0" w:rsidRDefault="00D22CA0" w:rsidP="00D22CA0">
            <w:pPr>
              <w:jc w:val="both"/>
              <w:rPr>
                <w:sz w:val="20"/>
                <w:lang w:val="fr-CA"/>
              </w:rPr>
            </w:pPr>
            <w:r w:rsidRPr="00D22CA0">
              <w:rPr>
                <w:sz w:val="20"/>
                <w:lang w:val="fr-CA"/>
              </w:rPr>
              <w:t>Appels d’avis de cotisation pour les années d’imposition 1998, 1999, 2000 et 2001 rejetés.</w:t>
            </w:r>
          </w:p>
          <w:p w:rsidR="00D22CA0" w:rsidRPr="00D22CA0" w:rsidRDefault="00D22CA0" w:rsidP="00D22CA0">
            <w:pPr>
              <w:jc w:val="both"/>
              <w:rPr>
                <w:sz w:val="20"/>
                <w:lang w:val="fr-CA"/>
              </w:rPr>
            </w:pPr>
          </w:p>
        </w:tc>
      </w:tr>
      <w:tr w:rsidR="00D22CA0" w:rsidRPr="00D22CA0" w:rsidTr="00E95A6A">
        <w:tc>
          <w:tcPr>
            <w:tcW w:w="2427" w:type="pct"/>
            <w:gridSpan w:val="2"/>
          </w:tcPr>
          <w:p w:rsidR="00D22CA0" w:rsidRPr="00D22CA0" w:rsidRDefault="00D22CA0" w:rsidP="00D22CA0">
            <w:pPr>
              <w:jc w:val="both"/>
              <w:rPr>
                <w:sz w:val="20"/>
                <w:lang w:val="fr-CA"/>
              </w:rPr>
            </w:pPr>
            <w:r w:rsidRPr="00D22CA0">
              <w:rPr>
                <w:sz w:val="20"/>
                <w:lang w:val="fr-CA"/>
              </w:rPr>
              <w:t>Le 13 juin 2017</w:t>
            </w:r>
          </w:p>
          <w:p w:rsidR="00D22CA0" w:rsidRPr="00D22CA0" w:rsidRDefault="00D22CA0" w:rsidP="00D22CA0">
            <w:pPr>
              <w:jc w:val="both"/>
              <w:rPr>
                <w:sz w:val="20"/>
                <w:lang w:val="fr-CA"/>
              </w:rPr>
            </w:pPr>
            <w:r w:rsidRPr="00D22CA0">
              <w:rPr>
                <w:sz w:val="20"/>
                <w:lang w:val="fr-CA"/>
              </w:rPr>
              <w:t>Cour d’appel du Québec (Montréal)</w:t>
            </w:r>
          </w:p>
          <w:p w:rsidR="00D22CA0" w:rsidRPr="00D22CA0" w:rsidRDefault="00D22CA0" w:rsidP="00D22CA0">
            <w:pPr>
              <w:jc w:val="both"/>
              <w:rPr>
                <w:sz w:val="20"/>
                <w:lang w:val="fr-CA"/>
              </w:rPr>
            </w:pPr>
            <w:r w:rsidRPr="00D22CA0">
              <w:rPr>
                <w:sz w:val="20"/>
                <w:lang w:val="fr-CA"/>
              </w:rPr>
              <w:t>(Les juges Morissette, St-Pierre Marie et Mainville)</w:t>
            </w:r>
          </w:p>
          <w:p w:rsidR="00D22CA0" w:rsidRPr="00D22CA0" w:rsidRDefault="00642A36" w:rsidP="00D22CA0">
            <w:pPr>
              <w:jc w:val="both"/>
              <w:rPr>
                <w:sz w:val="20"/>
              </w:rPr>
            </w:pPr>
            <w:hyperlink r:id="rId21" w:history="1">
              <w:r w:rsidR="00D22CA0" w:rsidRPr="00D22CA0">
                <w:rPr>
                  <w:rStyle w:val="Hyperlink"/>
                  <w:sz w:val="20"/>
                </w:rPr>
                <w:t>2017 QCCA 950</w:t>
              </w:r>
            </w:hyperlink>
          </w:p>
          <w:p w:rsidR="00D22CA0" w:rsidRPr="00D22CA0" w:rsidRDefault="00D22CA0" w:rsidP="00D22CA0">
            <w:pPr>
              <w:jc w:val="both"/>
              <w:rPr>
                <w:sz w:val="20"/>
              </w:rPr>
            </w:pPr>
          </w:p>
        </w:tc>
        <w:tc>
          <w:tcPr>
            <w:tcW w:w="243" w:type="pct"/>
          </w:tcPr>
          <w:p w:rsidR="00D22CA0" w:rsidRPr="00D22CA0" w:rsidRDefault="00D22CA0" w:rsidP="00D22CA0">
            <w:pPr>
              <w:jc w:val="both"/>
              <w:rPr>
                <w:sz w:val="20"/>
              </w:rPr>
            </w:pPr>
          </w:p>
        </w:tc>
        <w:tc>
          <w:tcPr>
            <w:tcW w:w="2330" w:type="pct"/>
          </w:tcPr>
          <w:p w:rsidR="00D22CA0" w:rsidRPr="00D22CA0" w:rsidRDefault="00D22CA0" w:rsidP="00D22CA0">
            <w:pPr>
              <w:jc w:val="both"/>
              <w:rPr>
                <w:sz w:val="20"/>
              </w:rPr>
            </w:pPr>
            <w:r w:rsidRPr="00D22CA0">
              <w:rPr>
                <w:sz w:val="20"/>
              </w:rPr>
              <w:t>Appel rejeté.</w:t>
            </w:r>
          </w:p>
          <w:p w:rsidR="00D22CA0" w:rsidRPr="00D22CA0" w:rsidRDefault="00D22CA0" w:rsidP="00D22CA0">
            <w:pPr>
              <w:jc w:val="both"/>
              <w:rPr>
                <w:sz w:val="20"/>
              </w:rPr>
            </w:pPr>
          </w:p>
        </w:tc>
      </w:tr>
      <w:tr w:rsidR="00D22CA0" w:rsidRPr="00D22CA0" w:rsidTr="00E95A6A">
        <w:tc>
          <w:tcPr>
            <w:tcW w:w="2427" w:type="pct"/>
            <w:gridSpan w:val="2"/>
          </w:tcPr>
          <w:p w:rsidR="00D22CA0" w:rsidRPr="00D22CA0" w:rsidRDefault="00D22CA0" w:rsidP="00D22CA0">
            <w:pPr>
              <w:jc w:val="both"/>
              <w:rPr>
                <w:sz w:val="20"/>
                <w:lang w:val="fr-CA"/>
              </w:rPr>
            </w:pPr>
            <w:r w:rsidRPr="00D22CA0">
              <w:rPr>
                <w:sz w:val="20"/>
                <w:lang w:val="fr-CA"/>
              </w:rPr>
              <w:t>Le 10 août 2017</w:t>
            </w:r>
          </w:p>
          <w:p w:rsidR="00D22CA0" w:rsidRPr="00D22CA0" w:rsidRDefault="00D22CA0" w:rsidP="00D22CA0">
            <w:pPr>
              <w:jc w:val="both"/>
              <w:rPr>
                <w:sz w:val="20"/>
                <w:lang w:val="fr-CA"/>
              </w:rPr>
            </w:pPr>
            <w:r w:rsidRPr="00D22CA0">
              <w:rPr>
                <w:sz w:val="20"/>
                <w:lang w:val="fr-CA"/>
              </w:rPr>
              <w:t>Cour suprême du Canada</w:t>
            </w:r>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rPr>
            </w:pPr>
            <w:r w:rsidRPr="00D22CA0">
              <w:rPr>
                <w:sz w:val="20"/>
              </w:rPr>
              <w:t>Demande d’autorisation d’appel déposée.</w:t>
            </w:r>
          </w:p>
          <w:p w:rsidR="00D22CA0" w:rsidRPr="00D22CA0" w:rsidRDefault="00D22CA0" w:rsidP="00D22CA0">
            <w:pPr>
              <w:jc w:val="both"/>
              <w:rPr>
                <w:sz w:val="20"/>
              </w:rPr>
            </w:pPr>
          </w:p>
        </w:tc>
      </w:tr>
    </w:tbl>
    <w:p w:rsidR="00D22CA0" w:rsidRPr="00D22CA0" w:rsidRDefault="00D22CA0" w:rsidP="00D22CA0">
      <w:pPr>
        <w:jc w:val="both"/>
        <w:rPr>
          <w:sz w:val="20"/>
        </w:rPr>
      </w:pPr>
    </w:p>
    <w:p w:rsidR="00D22CA0" w:rsidRPr="00D22CA0" w:rsidRDefault="00D22CA0" w:rsidP="00D22CA0">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67"/>
        <w:gridCol w:w="432"/>
        <w:gridCol w:w="19"/>
        <w:gridCol w:w="4321"/>
        <w:gridCol w:w="90"/>
      </w:tblGrid>
      <w:tr w:rsidR="00D22CA0" w:rsidRPr="00D22CA0" w:rsidTr="00331DAA">
        <w:trPr>
          <w:gridAfter w:val="1"/>
          <w:wAfter w:w="48" w:type="pct"/>
        </w:trPr>
        <w:tc>
          <w:tcPr>
            <w:tcW w:w="537" w:type="pct"/>
          </w:tcPr>
          <w:p w:rsidR="00D22CA0" w:rsidRPr="00D22CA0" w:rsidRDefault="00D22CA0" w:rsidP="00D22CA0">
            <w:pPr>
              <w:jc w:val="both"/>
              <w:rPr>
                <w:sz w:val="20"/>
              </w:rPr>
            </w:pPr>
            <w:r w:rsidRPr="00D22CA0">
              <w:rPr>
                <w:rStyle w:val="SCCFileNumberChar"/>
                <w:sz w:val="20"/>
                <w:szCs w:val="20"/>
              </w:rPr>
              <w:t>37705</w:t>
            </w:r>
          </w:p>
        </w:tc>
        <w:tc>
          <w:tcPr>
            <w:tcW w:w="4415" w:type="pct"/>
            <w:gridSpan w:val="5"/>
          </w:tcPr>
          <w:p w:rsidR="00D22CA0" w:rsidRPr="00D22CA0" w:rsidRDefault="00D22CA0" w:rsidP="00D22CA0">
            <w:pPr>
              <w:pStyle w:val="SCCLsocParty"/>
              <w:jc w:val="both"/>
              <w:rPr>
                <w:b/>
                <w:sz w:val="20"/>
                <w:szCs w:val="20"/>
                <w:lang w:val="en-US"/>
              </w:rPr>
            </w:pPr>
            <w:r w:rsidRPr="00D22CA0">
              <w:rPr>
                <w:b/>
                <w:sz w:val="20"/>
                <w:szCs w:val="20"/>
                <w:lang w:val="en-US"/>
              </w:rPr>
              <w:t>Alex Gilmor, Tania Gilmor v. Nottawasaga Valley Conservation Authority, Township of Amaranth</w:t>
            </w:r>
          </w:p>
          <w:p w:rsidR="00D22CA0" w:rsidRPr="00D22CA0" w:rsidRDefault="00D22CA0" w:rsidP="00D22CA0">
            <w:pPr>
              <w:jc w:val="both"/>
              <w:rPr>
                <w:sz w:val="20"/>
              </w:rPr>
            </w:pPr>
            <w:r w:rsidRPr="00D22CA0">
              <w:rPr>
                <w:sz w:val="20"/>
              </w:rPr>
              <w:t>(Ont.) (Civil) (By Leave)</w:t>
            </w:r>
          </w:p>
        </w:tc>
      </w:tr>
      <w:tr w:rsidR="00D22CA0" w:rsidRPr="00D22CA0" w:rsidTr="00331DAA">
        <w:trPr>
          <w:gridAfter w:val="1"/>
          <w:wAfter w:w="48" w:type="pct"/>
        </w:trPr>
        <w:tc>
          <w:tcPr>
            <w:tcW w:w="4952" w:type="pct"/>
            <w:gridSpan w:val="6"/>
          </w:tcPr>
          <w:p w:rsidR="00D22CA0" w:rsidRPr="00D22CA0" w:rsidRDefault="00D22CA0" w:rsidP="00D22CA0">
            <w:pPr>
              <w:jc w:val="both"/>
              <w:rPr>
                <w:sz w:val="20"/>
              </w:rPr>
            </w:pPr>
            <w:r w:rsidRPr="00D22CA0">
              <w:rPr>
                <w:sz w:val="20"/>
              </w:rPr>
              <w:t xml:space="preserve">Administrative law – Appeals – Standard of review – Does a question concerning a quasi-governmental entity’s authority to create binding policy at variance with the law constitute a question of general importance to the legal system that is outside of the decision-maker’s specialized expertise? – Does statutory interpretation of an act and subordinate regulation that appear to contradict each other constitute a true question of </w:t>
            </w:r>
            <w:r w:rsidRPr="00D22CA0">
              <w:rPr>
                <w:i/>
                <w:sz w:val="20"/>
              </w:rPr>
              <w:t>vires</w:t>
            </w:r>
            <w:r w:rsidRPr="00D22CA0">
              <w:rPr>
                <w:sz w:val="20"/>
              </w:rPr>
              <w:t xml:space="preserve">? – Does the standard of correctness apply when multiple tribunals have jurisdiction over the same or related subject matter? – Does the standard of correctness apply to a decision of a tribunal that has concurrent jurisdiction with the Superior Court of Justice by virtue of a statutory provision that allows litigants to transfer proceedings from the tribunal to the court? – Can an interpretation of a regulation that puts it at odds with the language of the enabling legislation ever be considered reasonable? – Can a decision of an administrative tribunal ever be considered reasonable where it relies on policies and general concepts that fall outside of the legislative framework and/or is unsupported by the evidentiary record? – </w:t>
            </w:r>
            <w:r w:rsidRPr="00D22CA0">
              <w:rPr>
                <w:i/>
                <w:sz w:val="20"/>
                <w:lang w:val="en"/>
              </w:rPr>
              <w:t>Conservation Authorities Act</w:t>
            </w:r>
            <w:r w:rsidRPr="00D22CA0">
              <w:rPr>
                <w:sz w:val="20"/>
                <w:lang w:val="en"/>
              </w:rPr>
              <w:t>, RSO 1990, c. C.27.</w:t>
            </w:r>
          </w:p>
        </w:tc>
      </w:tr>
      <w:tr w:rsidR="00D22CA0" w:rsidRPr="00D22CA0" w:rsidTr="00331DAA">
        <w:trPr>
          <w:gridAfter w:val="1"/>
          <w:wAfter w:w="48" w:type="pct"/>
        </w:trPr>
        <w:tc>
          <w:tcPr>
            <w:tcW w:w="4952" w:type="pct"/>
            <w:gridSpan w:val="6"/>
          </w:tcPr>
          <w:p w:rsidR="00D22CA0" w:rsidRPr="00D22CA0" w:rsidRDefault="00D22CA0" w:rsidP="00D22CA0">
            <w:pPr>
              <w:jc w:val="both"/>
              <w:rPr>
                <w:sz w:val="20"/>
              </w:rPr>
            </w:pPr>
          </w:p>
        </w:tc>
      </w:tr>
      <w:tr w:rsidR="00D22CA0" w:rsidRPr="00D22CA0" w:rsidTr="00331DAA">
        <w:trPr>
          <w:gridAfter w:val="1"/>
          <w:wAfter w:w="48" w:type="pct"/>
        </w:trPr>
        <w:tc>
          <w:tcPr>
            <w:tcW w:w="4952" w:type="pct"/>
            <w:gridSpan w:val="6"/>
          </w:tcPr>
          <w:p w:rsidR="00D22CA0" w:rsidRPr="00D22CA0" w:rsidRDefault="00D22CA0" w:rsidP="00D22CA0">
            <w:pPr>
              <w:jc w:val="both"/>
              <w:rPr>
                <w:sz w:val="20"/>
              </w:rPr>
            </w:pPr>
            <w:r w:rsidRPr="00D22CA0">
              <w:rPr>
                <w:sz w:val="20"/>
              </w:rPr>
              <w:t xml:space="preserve">In 2009, the Applicants Alex and Tania Gilmor purchased a lot located on a floodplain which is subject to the control of the Nottawasaga Valley Conservation Authority (“NVCA”) pursuant to the </w:t>
            </w:r>
            <w:r w:rsidRPr="00D22CA0">
              <w:rPr>
                <w:i/>
                <w:sz w:val="20"/>
                <w:lang w:val="en"/>
              </w:rPr>
              <w:t>Conservation Authorities Act</w:t>
            </w:r>
            <w:r w:rsidRPr="00D22CA0">
              <w:rPr>
                <w:sz w:val="20"/>
                <w:lang w:val="en"/>
              </w:rPr>
              <w:t>, RSO 1990, c. C.27 (“CAA”)</w:t>
            </w:r>
            <w:r w:rsidRPr="00D22CA0">
              <w:rPr>
                <w:sz w:val="20"/>
              </w:rPr>
              <w:t>.  In 2011, the NVCA denied the Applicants’ application for approval to build a home on their lot. The Applicants appealed the NVCA’s decision to the Ontario Mining and Lands Commissioner (“Commissioner”), who found that the Applicants’ proposed development was neither appropriate nor safe and denied approval.  The Applicants appealed the Commissioner’s decision to the Divisional Court of the Ontario Superior Court of Justice.</w:t>
            </w:r>
          </w:p>
          <w:p w:rsidR="00D22CA0" w:rsidRPr="00D22CA0" w:rsidRDefault="00D22CA0" w:rsidP="00D22CA0">
            <w:pPr>
              <w:jc w:val="both"/>
              <w:rPr>
                <w:sz w:val="20"/>
              </w:rPr>
            </w:pPr>
          </w:p>
        </w:tc>
      </w:tr>
      <w:tr w:rsidR="00D22CA0" w:rsidRPr="00D22CA0" w:rsidTr="00331DAA">
        <w:tblPrEx>
          <w:tblCellMar>
            <w:bottom w:w="0" w:type="dxa"/>
          </w:tblCellMar>
        </w:tblPrEx>
        <w:tc>
          <w:tcPr>
            <w:tcW w:w="2367" w:type="pct"/>
            <w:gridSpan w:val="2"/>
          </w:tcPr>
          <w:p w:rsidR="00D22CA0" w:rsidRPr="00D22CA0" w:rsidRDefault="00D22CA0" w:rsidP="00D22CA0">
            <w:pPr>
              <w:jc w:val="both"/>
              <w:rPr>
                <w:sz w:val="20"/>
              </w:rPr>
            </w:pPr>
            <w:r w:rsidRPr="00D22CA0">
              <w:rPr>
                <w:sz w:val="20"/>
              </w:rPr>
              <w:t>September 9, 2015</w:t>
            </w:r>
          </w:p>
          <w:p w:rsidR="00D22CA0" w:rsidRPr="00D22CA0" w:rsidRDefault="00D22CA0" w:rsidP="00D22CA0">
            <w:pPr>
              <w:jc w:val="both"/>
              <w:rPr>
                <w:sz w:val="20"/>
              </w:rPr>
            </w:pPr>
            <w:r w:rsidRPr="00D22CA0">
              <w:rPr>
                <w:sz w:val="20"/>
              </w:rPr>
              <w:t>Ontario Superior Court of Justice (Divisional Court)</w:t>
            </w:r>
          </w:p>
          <w:p w:rsidR="00D22CA0" w:rsidRPr="00D22CA0" w:rsidRDefault="00D22CA0" w:rsidP="00D22CA0">
            <w:pPr>
              <w:jc w:val="both"/>
              <w:rPr>
                <w:sz w:val="20"/>
              </w:rPr>
            </w:pPr>
            <w:r w:rsidRPr="00D22CA0">
              <w:rPr>
                <w:sz w:val="20"/>
              </w:rPr>
              <w:t>(</w:t>
            </w:r>
            <w:proofErr w:type="spellStart"/>
            <w:r w:rsidRPr="00D22CA0">
              <w:rPr>
                <w:sz w:val="20"/>
              </w:rPr>
              <w:t>Kruzick</w:t>
            </w:r>
            <w:proofErr w:type="spellEnd"/>
            <w:r w:rsidRPr="00D22CA0">
              <w:rPr>
                <w:sz w:val="20"/>
              </w:rPr>
              <w:t xml:space="preserve">, </w:t>
            </w:r>
            <w:proofErr w:type="spellStart"/>
            <w:r w:rsidRPr="00D22CA0">
              <w:rPr>
                <w:sz w:val="20"/>
              </w:rPr>
              <w:t>Perell</w:t>
            </w:r>
            <w:proofErr w:type="spellEnd"/>
            <w:r w:rsidRPr="00D22CA0">
              <w:rPr>
                <w:sz w:val="20"/>
              </w:rPr>
              <w:t xml:space="preserve"> and </w:t>
            </w:r>
            <w:proofErr w:type="spellStart"/>
            <w:r w:rsidRPr="00D22CA0">
              <w:rPr>
                <w:sz w:val="20"/>
              </w:rPr>
              <w:t>Dunphy</w:t>
            </w:r>
            <w:proofErr w:type="spellEnd"/>
            <w:r w:rsidRPr="00D22CA0">
              <w:rPr>
                <w:sz w:val="20"/>
              </w:rPr>
              <w:t xml:space="preserve"> JJ.)</w:t>
            </w:r>
          </w:p>
          <w:p w:rsidR="00D22CA0" w:rsidRPr="00D22CA0" w:rsidRDefault="00D22CA0" w:rsidP="00D22CA0">
            <w:pPr>
              <w:jc w:val="both"/>
              <w:rPr>
                <w:sz w:val="20"/>
              </w:rPr>
            </w:pPr>
            <w:r w:rsidRPr="00D22CA0">
              <w:rPr>
                <w:sz w:val="20"/>
              </w:rPr>
              <w:t xml:space="preserve">No. </w:t>
            </w:r>
            <w:r w:rsidRPr="00D22CA0">
              <w:rPr>
                <w:sz w:val="20"/>
                <w:lang w:val="en"/>
              </w:rPr>
              <w:t>14/404</w:t>
            </w:r>
          </w:p>
          <w:p w:rsidR="00D22CA0" w:rsidRPr="00D22CA0" w:rsidRDefault="00642A36" w:rsidP="00D22CA0">
            <w:pPr>
              <w:jc w:val="both"/>
              <w:rPr>
                <w:sz w:val="20"/>
              </w:rPr>
            </w:pPr>
            <w:hyperlink r:id="rId22" w:history="1">
              <w:r w:rsidR="00D22CA0" w:rsidRPr="00D22CA0">
                <w:rPr>
                  <w:rStyle w:val="Hyperlink"/>
                  <w:sz w:val="20"/>
                  <w:lang w:val="en"/>
                </w:rPr>
                <w:t>2015 ONSC 5327</w:t>
              </w:r>
            </w:hyperlink>
          </w:p>
          <w:p w:rsidR="00D22CA0" w:rsidRPr="00D22CA0" w:rsidRDefault="00D22CA0" w:rsidP="00D22CA0">
            <w:pPr>
              <w:jc w:val="both"/>
              <w:rPr>
                <w:sz w:val="20"/>
              </w:rPr>
            </w:pPr>
          </w:p>
        </w:tc>
        <w:tc>
          <w:tcPr>
            <w:tcW w:w="267" w:type="pct"/>
            <w:gridSpan w:val="2"/>
          </w:tcPr>
          <w:p w:rsidR="00D22CA0" w:rsidRPr="00D22CA0" w:rsidRDefault="00D22CA0" w:rsidP="00D22CA0">
            <w:pPr>
              <w:jc w:val="both"/>
              <w:rPr>
                <w:sz w:val="20"/>
              </w:rPr>
            </w:pPr>
          </w:p>
        </w:tc>
        <w:tc>
          <w:tcPr>
            <w:tcW w:w="2366" w:type="pct"/>
            <w:gridSpan w:val="3"/>
          </w:tcPr>
          <w:p w:rsidR="00D22CA0" w:rsidRPr="00D22CA0" w:rsidRDefault="00D22CA0" w:rsidP="00D22CA0">
            <w:pPr>
              <w:jc w:val="both"/>
              <w:rPr>
                <w:sz w:val="20"/>
              </w:rPr>
            </w:pPr>
            <w:r w:rsidRPr="00D22CA0">
              <w:rPr>
                <w:sz w:val="20"/>
              </w:rPr>
              <w:t>Appeal from Commissioner’s decision allowed.</w:t>
            </w:r>
          </w:p>
          <w:p w:rsidR="00D22CA0" w:rsidRPr="00D22CA0" w:rsidRDefault="00D22CA0" w:rsidP="00D22CA0">
            <w:pPr>
              <w:jc w:val="both"/>
              <w:rPr>
                <w:sz w:val="20"/>
              </w:rPr>
            </w:pPr>
          </w:p>
        </w:tc>
      </w:tr>
      <w:tr w:rsidR="00D22CA0" w:rsidRPr="00D22CA0" w:rsidTr="007E3433">
        <w:tblPrEx>
          <w:tblCellMar>
            <w:bottom w:w="0" w:type="dxa"/>
          </w:tblCellMar>
        </w:tblPrEx>
        <w:tc>
          <w:tcPr>
            <w:tcW w:w="2367" w:type="pct"/>
            <w:gridSpan w:val="2"/>
          </w:tcPr>
          <w:p w:rsidR="00D22CA0" w:rsidRPr="00D22CA0" w:rsidRDefault="00D22CA0" w:rsidP="00D22CA0">
            <w:pPr>
              <w:jc w:val="both"/>
              <w:rPr>
                <w:sz w:val="20"/>
              </w:rPr>
            </w:pPr>
            <w:r w:rsidRPr="00D22CA0">
              <w:rPr>
                <w:sz w:val="20"/>
              </w:rPr>
              <w:t>May 23, 2017</w:t>
            </w:r>
          </w:p>
          <w:p w:rsidR="00D22CA0" w:rsidRPr="00D22CA0" w:rsidRDefault="00D22CA0" w:rsidP="00D22CA0">
            <w:pPr>
              <w:jc w:val="both"/>
              <w:rPr>
                <w:sz w:val="20"/>
              </w:rPr>
            </w:pPr>
            <w:r w:rsidRPr="00D22CA0">
              <w:rPr>
                <w:sz w:val="20"/>
              </w:rPr>
              <w:t>Court of Appeal for Ontario</w:t>
            </w:r>
          </w:p>
          <w:p w:rsidR="00D22CA0" w:rsidRPr="00D22CA0" w:rsidRDefault="00D22CA0" w:rsidP="00D22CA0">
            <w:pPr>
              <w:jc w:val="both"/>
              <w:rPr>
                <w:sz w:val="20"/>
              </w:rPr>
            </w:pPr>
            <w:r w:rsidRPr="00D22CA0">
              <w:rPr>
                <w:sz w:val="20"/>
              </w:rPr>
              <w:t xml:space="preserve">(Doherty, Brown and </w:t>
            </w:r>
            <w:proofErr w:type="spellStart"/>
            <w:r w:rsidRPr="00D22CA0">
              <w:rPr>
                <w:sz w:val="20"/>
              </w:rPr>
              <w:t>Huscroft</w:t>
            </w:r>
            <w:proofErr w:type="spellEnd"/>
            <w:r w:rsidRPr="00D22CA0">
              <w:rPr>
                <w:sz w:val="20"/>
              </w:rPr>
              <w:t xml:space="preserve"> JJ.A.)</w:t>
            </w:r>
          </w:p>
          <w:p w:rsidR="00D22CA0" w:rsidRPr="00D22CA0" w:rsidRDefault="00D22CA0" w:rsidP="00D22CA0">
            <w:pPr>
              <w:jc w:val="both"/>
              <w:rPr>
                <w:sz w:val="20"/>
              </w:rPr>
            </w:pPr>
            <w:r w:rsidRPr="00D22CA0">
              <w:rPr>
                <w:sz w:val="20"/>
              </w:rPr>
              <w:t xml:space="preserve">No. </w:t>
            </w:r>
            <w:r w:rsidRPr="00D22CA0">
              <w:rPr>
                <w:sz w:val="20"/>
                <w:lang w:val="en"/>
              </w:rPr>
              <w:t>C61786</w:t>
            </w:r>
          </w:p>
          <w:p w:rsidR="00D22CA0" w:rsidRPr="00D22CA0" w:rsidRDefault="00642A36" w:rsidP="00D22CA0">
            <w:pPr>
              <w:jc w:val="both"/>
              <w:rPr>
                <w:sz w:val="20"/>
              </w:rPr>
            </w:pPr>
            <w:hyperlink r:id="rId23" w:history="1">
              <w:r w:rsidR="00D22CA0" w:rsidRPr="00D22CA0">
                <w:rPr>
                  <w:rStyle w:val="Hyperlink"/>
                  <w:sz w:val="20"/>
                  <w:lang w:val="en"/>
                </w:rPr>
                <w:t>2017 ONCA 414</w:t>
              </w:r>
            </w:hyperlink>
          </w:p>
          <w:p w:rsidR="00D22CA0" w:rsidRPr="00D22CA0" w:rsidRDefault="00D22CA0" w:rsidP="00D22CA0">
            <w:pPr>
              <w:jc w:val="both"/>
              <w:rPr>
                <w:sz w:val="20"/>
              </w:rPr>
            </w:pPr>
          </w:p>
        </w:tc>
        <w:tc>
          <w:tcPr>
            <w:tcW w:w="267" w:type="pct"/>
            <w:gridSpan w:val="2"/>
          </w:tcPr>
          <w:p w:rsidR="00D22CA0" w:rsidRPr="00D22CA0" w:rsidRDefault="00D22CA0" w:rsidP="00D22CA0">
            <w:pPr>
              <w:jc w:val="both"/>
              <w:rPr>
                <w:sz w:val="20"/>
              </w:rPr>
            </w:pPr>
          </w:p>
        </w:tc>
        <w:tc>
          <w:tcPr>
            <w:tcW w:w="2366" w:type="pct"/>
            <w:gridSpan w:val="3"/>
          </w:tcPr>
          <w:p w:rsidR="00D22CA0" w:rsidRPr="00D22CA0" w:rsidRDefault="00D22CA0" w:rsidP="00D22CA0">
            <w:pPr>
              <w:jc w:val="both"/>
              <w:rPr>
                <w:sz w:val="20"/>
              </w:rPr>
            </w:pPr>
            <w:r w:rsidRPr="00D22CA0">
              <w:rPr>
                <w:sz w:val="20"/>
              </w:rPr>
              <w:t>Appeal allowed.</w:t>
            </w:r>
          </w:p>
          <w:p w:rsidR="00D22CA0" w:rsidRPr="00D22CA0" w:rsidRDefault="00D22CA0" w:rsidP="00D22CA0">
            <w:pPr>
              <w:jc w:val="both"/>
              <w:rPr>
                <w:sz w:val="20"/>
              </w:rPr>
            </w:pPr>
          </w:p>
        </w:tc>
      </w:tr>
      <w:tr w:rsidR="00D22CA0" w:rsidRPr="00D22CA0" w:rsidTr="00331DAA">
        <w:trPr>
          <w:gridAfter w:val="1"/>
          <w:wAfter w:w="48" w:type="pct"/>
        </w:trPr>
        <w:tc>
          <w:tcPr>
            <w:tcW w:w="2403" w:type="pct"/>
            <w:gridSpan w:val="3"/>
          </w:tcPr>
          <w:p w:rsidR="00D22CA0" w:rsidRPr="00D22CA0" w:rsidRDefault="00D22CA0" w:rsidP="00D22CA0">
            <w:pPr>
              <w:jc w:val="both"/>
              <w:rPr>
                <w:sz w:val="20"/>
              </w:rPr>
            </w:pPr>
            <w:r w:rsidRPr="00D22CA0">
              <w:rPr>
                <w:sz w:val="20"/>
              </w:rPr>
              <w:t>August 22, 2017</w:t>
            </w:r>
          </w:p>
          <w:p w:rsidR="00D22CA0" w:rsidRPr="00D22CA0" w:rsidRDefault="00D22CA0" w:rsidP="00D22CA0">
            <w:pPr>
              <w:jc w:val="both"/>
              <w:rPr>
                <w:sz w:val="20"/>
              </w:rPr>
            </w:pPr>
            <w:r w:rsidRPr="00D22CA0">
              <w:rPr>
                <w:sz w:val="20"/>
              </w:rPr>
              <w:t>Supreme Court of Canada</w:t>
            </w:r>
          </w:p>
        </w:tc>
        <w:tc>
          <w:tcPr>
            <w:tcW w:w="241" w:type="pct"/>
            <w:gridSpan w:val="2"/>
          </w:tcPr>
          <w:p w:rsidR="00D22CA0" w:rsidRPr="00D22CA0" w:rsidRDefault="00D22CA0" w:rsidP="00D22CA0">
            <w:pPr>
              <w:jc w:val="both"/>
              <w:rPr>
                <w:sz w:val="20"/>
              </w:rPr>
            </w:pPr>
          </w:p>
        </w:tc>
        <w:tc>
          <w:tcPr>
            <w:tcW w:w="2308" w:type="pct"/>
          </w:tcPr>
          <w:p w:rsidR="00D22CA0" w:rsidRPr="00D22CA0" w:rsidRDefault="00D22CA0" w:rsidP="00D22CA0">
            <w:pPr>
              <w:jc w:val="both"/>
              <w:rPr>
                <w:sz w:val="20"/>
              </w:rPr>
            </w:pPr>
            <w:r w:rsidRPr="00D22CA0">
              <w:rPr>
                <w:sz w:val="20"/>
              </w:rPr>
              <w:t>Application for leave to appeal filed.</w:t>
            </w:r>
          </w:p>
          <w:p w:rsidR="00D22CA0" w:rsidRPr="00D22CA0" w:rsidRDefault="00D22CA0" w:rsidP="00D22CA0">
            <w:pPr>
              <w:jc w:val="both"/>
              <w:rPr>
                <w:sz w:val="20"/>
              </w:rPr>
            </w:pPr>
          </w:p>
        </w:tc>
      </w:tr>
    </w:tbl>
    <w:p w:rsidR="00D22CA0" w:rsidRDefault="00D22CA0" w:rsidP="00D22CA0">
      <w:pPr>
        <w:jc w:val="both"/>
        <w:rPr>
          <w:sz w:val="20"/>
        </w:rPr>
      </w:pPr>
    </w:p>
    <w:p w:rsidR="00D22CA0" w:rsidRPr="00D22CA0" w:rsidRDefault="00D22CA0" w:rsidP="00D22CA0">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67"/>
        <w:gridCol w:w="432"/>
        <w:gridCol w:w="19"/>
        <w:gridCol w:w="4321"/>
        <w:gridCol w:w="90"/>
      </w:tblGrid>
      <w:tr w:rsidR="00D22CA0" w:rsidRPr="00D22CA0" w:rsidTr="00331DAA">
        <w:trPr>
          <w:gridAfter w:val="1"/>
          <w:wAfter w:w="48" w:type="pct"/>
        </w:trPr>
        <w:tc>
          <w:tcPr>
            <w:tcW w:w="537" w:type="pct"/>
          </w:tcPr>
          <w:p w:rsidR="00D22CA0" w:rsidRPr="00D22CA0" w:rsidRDefault="00D22CA0" w:rsidP="00D22CA0">
            <w:pPr>
              <w:jc w:val="both"/>
              <w:rPr>
                <w:sz w:val="20"/>
                <w:lang w:val="fr-CA"/>
              </w:rPr>
            </w:pPr>
            <w:r w:rsidRPr="00D22CA0">
              <w:rPr>
                <w:rStyle w:val="SCCFileNumberChar"/>
                <w:sz w:val="20"/>
                <w:szCs w:val="20"/>
                <w:lang w:val="fr-CA"/>
              </w:rPr>
              <w:t>37705</w:t>
            </w:r>
          </w:p>
        </w:tc>
        <w:tc>
          <w:tcPr>
            <w:tcW w:w="4415" w:type="pct"/>
            <w:gridSpan w:val="5"/>
          </w:tcPr>
          <w:p w:rsidR="00D22CA0" w:rsidRPr="00D22CA0" w:rsidRDefault="00D22CA0" w:rsidP="00D22CA0">
            <w:pPr>
              <w:pStyle w:val="SCCLsocParty"/>
              <w:jc w:val="both"/>
              <w:rPr>
                <w:b/>
                <w:sz w:val="20"/>
                <w:szCs w:val="20"/>
                <w:lang w:val="en-US"/>
              </w:rPr>
            </w:pPr>
            <w:r w:rsidRPr="00D22CA0">
              <w:rPr>
                <w:b/>
                <w:sz w:val="20"/>
                <w:szCs w:val="20"/>
                <w:lang w:val="en-US"/>
              </w:rPr>
              <w:t>Alex Gilmor, Tania Gilmor c. Nottawasaga Valley Conservation Authority, Township of Amaranth</w:t>
            </w:r>
          </w:p>
          <w:p w:rsidR="00D22CA0" w:rsidRPr="00D22CA0" w:rsidRDefault="00D22CA0" w:rsidP="00D22CA0">
            <w:pPr>
              <w:jc w:val="both"/>
              <w:rPr>
                <w:sz w:val="20"/>
                <w:lang w:val="fr-CA"/>
              </w:rPr>
            </w:pPr>
            <w:r w:rsidRPr="00D22CA0">
              <w:rPr>
                <w:sz w:val="20"/>
                <w:lang w:val="fr-CA"/>
              </w:rPr>
              <w:t>(Ont.) (Civile) (Sur autorisation)</w:t>
            </w:r>
          </w:p>
        </w:tc>
      </w:tr>
      <w:tr w:rsidR="00D22CA0" w:rsidRPr="00D22CA0" w:rsidTr="00331DAA">
        <w:trPr>
          <w:gridAfter w:val="1"/>
          <w:wAfter w:w="48" w:type="pct"/>
        </w:trPr>
        <w:tc>
          <w:tcPr>
            <w:tcW w:w="4952" w:type="pct"/>
            <w:gridSpan w:val="6"/>
          </w:tcPr>
          <w:p w:rsidR="00D22CA0" w:rsidRPr="00D22CA0" w:rsidRDefault="00D22CA0" w:rsidP="00D22CA0">
            <w:pPr>
              <w:jc w:val="both"/>
              <w:rPr>
                <w:sz w:val="20"/>
                <w:lang w:val="fr-CA"/>
              </w:rPr>
            </w:pPr>
            <w:r w:rsidRPr="00D22CA0">
              <w:rPr>
                <w:sz w:val="20"/>
                <w:lang w:val="fr-CA"/>
              </w:rPr>
              <w:t xml:space="preserve">Droit administratif – Appels – Norme de contrôle – Une question concernant le pouvoir d’un organisme quasi gouvernemental de créer une politique obligatoire qui est incompatible avec la loi constitue-t-elle une question d’importance générale pour le système juridique qui est étrangère au domaine d’expertise du décideur? – L’interprétation d’une loi et d’un règlement d’application qui paraissent se contredire est-elle une question touchant véritablement à la compétence? – La norme de la décision correcte s’applique-t-elle lorsque plusieurs tribunaux administratifs ont compétence à l’égard d’un objet identique ou connexe? – La norme de la décision correcte s’applique-t-elle à la décision d’un tribunal administratif qui possède une compétence concurrente à celle de la Cour supérieure de justice en vertu d’une disposition législative qui permet aux plaideurs de renvoyer une instance du tribunal administratif à la cour? – Peut-on qualifier de raisonnable l’interprétation d’un règlement qui rend celui-ci incompatible avec le texte de la loi habilitante? – La décision d’un tribunal administratif peut-elle être considérée comme raisonnable lorsqu’elle s’appuie sur des politiques et des notions générales qui sont étrangères au cadre législatif ou qui ne sont pas étayées par le dossier de preuve? – </w:t>
            </w:r>
            <w:r w:rsidRPr="00D22CA0">
              <w:rPr>
                <w:i/>
                <w:sz w:val="20"/>
                <w:lang w:val="fr-CA"/>
              </w:rPr>
              <w:t>Loi sur les offices de protection de la nature</w:t>
            </w:r>
            <w:r w:rsidRPr="00D22CA0">
              <w:rPr>
                <w:sz w:val="20"/>
                <w:lang w:val="fr-CA"/>
              </w:rPr>
              <w:t>, LRO 1990, ch. C.27.</w:t>
            </w:r>
          </w:p>
        </w:tc>
      </w:tr>
      <w:tr w:rsidR="00D22CA0" w:rsidRPr="00D22CA0" w:rsidTr="00331DAA">
        <w:trPr>
          <w:gridAfter w:val="1"/>
          <w:wAfter w:w="48" w:type="pct"/>
        </w:trPr>
        <w:tc>
          <w:tcPr>
            <w:tcW w:w="4952" w:type="pct"/>
            <w:gridSpan w:val="6"/>
          </w:tcPr>
          <w:p w:rsidR="00D22CA0" w:rsidRPr="00D22CA0" w:rsidRDefault="00D22CA0" w:rsidP="00D22CA0">
            <w:pPr>
              <w:jc w:val="both"/>
              <w:rPr>
                <w:sz w:val="20"/>
                <w:lang w:val="fr-CA"/>
              </w:rPr>
            </w:pPr>
          </w:p>
        </w:tc>
      </w:tr>
      <w:tr w:rsidR="00D22CA0" w:rsidRPr="00642A36" w:rsidTr="00331DAA">
        <w:trPr>
          <w:gridAfter w:val="1"/>
          <w:wAfter w:w="48" w:type="pct"/>
        </w:trPr>
        <w:tc>
          <w:tcPr>
            <w:tcW w:w="4952" w:type="pct"/>
            <w:gridSpan w:val="6"/>
          </w:tcPr>
          <w:p w:rsidR="00D22CA0" w:rsidRPr="00D22CA0" w:rsidRDefault="00D22CA0" w:rsidP="00D22CA0">
            <w:pPr>
              <w:jc w:val="both"/>
              <w:rPr>
                <w:sz w:val="20"/>
                <w:lang w:val="fr-CA"/>
              </w:rPr>
            </w:pPr>
            <w:r w:rsidRPr="00D22CA0">
              <w:rPr>
                <w:sz w:val="20"/>
                <w:lang w:val="fr-CA"/>
              </w:rPr>
              <w:t xml:space="preserve">En 2009, les demandeurs Alex et Tania Gilmor ont acheté un lot situé dans une plaine inondable qui relève de la Nottawasaga Valley Conservation Authority (« NVCA ») en application de la </w:t>
            </w:r>
            <w:r w:rsidRPr="00D22CA0">
              <w:rPr>
                <w:i/>
                <w:sz w:val="20"/>
                <w:lang w:val="fr-CA"/>
              </w:rPr>
              <w:t>Loi sur les offices de protection de la nature</w:t>
            </w:r>
            <w:r w:rsidRPr="00D22CA0">
              <w:rPr>
                <w:sz w:val="20"/>
                <w:lang w:val="fr-CA"/>
              </w:rPr>
              <w:t>, LRO 1990, ch. C.27 (« CAA »).  En 2011, la NVCA a rejeté leur demande d’autorisation de construire une maison sur leur lot. Les demandeurs ont interjeté appel de la décision de la NVCA au Commissaire aux mines et aux terres de l’Ontario (le « Commissaire »), qui a conclu que l’aménagement projeté des demandeurs n’était ni approprié, ni sûr et a refusé l’autorisation.  Les demandeurs ont interjeté appel de la décision du Commissaire à la Cour divisionnaire de la Cour supérieure de justice de l’Ontario.</w:t>
            </w:r>
          </w:p>
          <w:p w:rsidR="00D22CA0" w:rsidRPr="00D22CA0" w:rsidRDefault="00D22CA0" w:rsidP="00D22CA0">
            <w:pPr>
              <w:jc w:val="both"/>
              <w:rPr>
                <w:sz w:val="20"/>
                <w:lang w:val="fr-CA"/>
              </w:rPr>
            </w:pPr>
          </w:p>
        </w:tc>
      </w:tr>
      <w:tr w:rsidR="00D22CA0" w:rsidRPr="00642A36" w:rsidTr="00331DAA">
        <w:tblPrEx>
          <w:tblCellMar>
            <w:bottom w:w="0" w:type="dxa"/>
          </w:tblCellMar>
        </w:tblPrEx>
        <w:tc>
          <w:tcPr>
            <w:tcW w:w="2367" w:type="pct"/>
            <w:gridSpan w:val="2"/>
          </w:tcPr>
          <w:p w:rsidR="00D22CA0" w:rsidRPr="00D22CA0" w:rsidRDefault="00D22CA0" w:rsidP="00D22CA0">
            <w:pPr>
              <w:jc w:val="both"/>
              <w:rPr>
                <w:sz w:val="20"/>
                <w:lang w:val="fr-CA"/>
              </w:rPr>
            </w:pPr>
            <w:r w:rsidRPr="00D22CA0">
              <w:rPr>
                <w:sz w:val="20"/>
                <w:lang w:val="fr-CA"/>
              </w:rPr>
              <w:t>9 septembre 2015</w:t>
            </w:r>
          </w:p>
          <w:p w:rsidR="00D22CA0" w:rsidRPr="00D22CA0" w:rsidRDefault="00D22CA0" w:rsidP="00D22CA0">
            <w:pPr>
              <w:jc w:val="both"/>
              <w:rPr>
                <w:sz w:val="20"/>
                <w:lang w:val="fr-CA"/>
              </w:rPr>
            </w:pPr>
            <w:r w:rsidRPr="00D22CA0">
              <w:rPr>
                <w:sz w:val="20"/>
                <w:lang w:val="fr-CA"/>
              </w:rPr>
              <w:t>Cour supérieure de justice de l’Ontario (Cour divisionnaire)</w:t>
            </w:r>
          </w:p>
          <w:p w:rsidR="00D22CA0" w:rsidRPr="00D22CA0" w:rsidRDefault="00D22CA0" w:rsidP="00D22CA0">
            <w:pPr>
              <w:jc w:val="both"/>
              <w:rPr>
                <w:sz w:val="20"/>
                <w:lang w:val="fr-CA"/>
              </w:rPr>
            </w:pPr>
            <w:r w:rsidRPr="00D22CA0">
              <w:rPr>
                <w:sz w:val="20"/>
                <w:lang w:val="fr-CA"/>
              </w:rPr>
              <w:t>(Juges Kruzick, Perell et Dunphy)</w:t>
            </w:r>
          </w:p>
          <w:p w:rsidR="00D22CA0" w:rsidRPr="00D22CA0" w:rsidRDefault="00D22CA0" w:rsidP="00D22CA0">
            <w:pPr>
              <w:jc w:val="both"/>
              <w:rPr>
                <w:sz w:val="20"/>
                <w:lang w:val="fr-CA"/>
              </w:rPr>
            </w:pPr>
            <w:r w:rsidRPr="00D22CA0">
              <w:rPr>
                <w:sz w:val="20"/>
                <w:lang w:val="fr-CA"/>
              </w:rPr>
              <w:t>N</w:t>
            </w:r>
            <w:r w:rsidRPr="00D22CA0">
              <w:rPr>
                <w:sz w:val="20"/>
                <w:vertAlign w:val="superscript"/>
                <w:lang w:val="fr-CA"/>
              </w:rPr>
              <w:t>o</w:t>
            </w:r>
            <w:r w:rsidRPr="00D22CA0">
              <w:rPr>
                <w:sz w:val="20"/>
                <w:lang w:val="fr-CA"/>
              </w:rPr>
              <w:t xml:space="preserve"> 14/404</w:t>
            </w:r>
          </w:p>
          <w:p w:rsidR="00D22CA0" w:rsidRPr="00D22CA0" w:rsidRDefault="00642A36" w:rsidP="00D22CA0">
            <w:pPr>
              <w:jc w:val="both"/>
              <w:rPr>
                <w:sz w:val="20"/>
                <w:lang w:val="fr-CA"/>
              </w:rPr>
            </w:pPr>
            <w:hyperlink r:id="rId24" w:history="1">
              <w:r w:rsidR="00D22CA0" w:rsidRPr="00D22CA0">
                <w:rPr>
                  <w:rStyle w:val="Hyperlink"/>
                  <w:sz w:val="20"/>
                  <w:lang w:val="fr-CA"/>
                </w:rPr>
                <w:t>2015 ONSC 5327</w:t>
              </w:r>
            </w:hyperlink>
          </w:p>
          <w:p w:rsidR="00D22CA0" w:rsidRPr="00D22CA0" w:rsidRDefault="00D22CA0" w:rsidP="00D22CA0">
            <w:pPr>
              <w:jc w:val="both"/>
              <w:rPr>
                <w:sz w:val="20"/>
                <w:lang w:val="fr-CA"/>
              </w:rPr>
            </w:pPr>
          </w:p>
        </w:tc>
        <w:tc>
          <w:tcPr>
            <w:tcW w:w="267" w:type="pct"/>
            <w:gridSpan w:val="2"/>
          </w:tcPr>
          <w:p w:rsidR="00D22CA0" w:rsidRPr="00D22CA0" w:rsidRDefault="00D22CA0" w:rsidP="00D22CA0">
            <w:pPr>
              <w:jc w:val="both"/>
              <w:rPr>
                <w:sz w:val="20"/>
                <w:lang w:val="fr-CA"/>
              </w:rPr>
            </w:pPr>
          </w:p>
        </w:tc>
        <w:tc>
          <w:tcPr>
            <w:tcW w:w="2366" w:type="pct"/>
            <w:gridSpan w:val="3"/>
          </w:tcPr>
          <w:p w:rsidR="00D22CA0" w:rsidRPr="00D22CA0" w:rsidRDefault="00D22CA0" w:rsidP="00D22CA0">
            <w:pPr>
              <w:jc w:val="both"/>
              <w:rPr>
                <w:sz w:val="20"/>
                <w:lang w:val="fr-CA"/>
              </w:rPr>
            </w:pPr>
            <w:r w:rsidRPr="00D22CA0">
              <w:rPr>
                <w:sz w:val="20"/>
                <w:lang w:val="fr-CA"/>
              </w:rPr>
              <w:t>Jugement accueillant l’appel de la décision du Commissaire.</w:t>
            </w:r>
          </w:p>
          <w:p w:rsidR="00D22CA0" w:rsidRPr="00D22CA0" w:rsidRDefault="00D22CA0" w:rsidP="00D22CA0">
            <w:pPr>
              <w:jc w:val="both"/>
              <w:rPr>
                <w:sz w:val="20"/>
                <w:lang w:val="fr-CA"/>
              </w:rPr>
            </w:pPr>
          </w:p>
        </w:tc>
      </w:tr>
      <w:tr w:rsidR="00D22CA0" w:rsidRPr="00D22CA0" w:rsidTr="007E3433">
        <w:tblPrEx>
          <w:tblCellMar>
            <w:bottom w:w="0" w:type="dxa"/>
          </w:tblCellMar>
        </w:tblPrEx>
        <w:tc>
          <w:tcPr>
            <w:tcW w:w="2367" w:type="pct"/>
            <w:gridSpan w:val="2"/>
          </w:tcPr>
          <w:p w:rsidR="00D22CA0" w:rsidRPr="00D22CA0" w:rsidRDefault="00D22CA0" w:rsidP="00D22CA0">
            <w:pPr>
              <w:jc w:val="both"/>
              <w:rPr>
                <w:sz w:val="20"/>
                <w:lang w:val="fr-CA"/>
              </w:rPr>
            </w:pPr>
            <w:r w:rsidRPr="00D22CA0">
              <w:rPr>
                <w:sz w:val="20"/>
                <w:lang w:val="fr-CA"/>
              </w:rPr>
              <w:t>23 mai 2017</w:t>
            </w:r>
          </w:p>
          <w:p w:rsidR="00D22CA0" w:rsidRPr="00D22CA0" w:rsidRDefault="00D22CA0" w:rsidP="00D22CA0">
            <w:pPr>
              <w:jc w:val="both"/>
              <w:rPr>
                <w:sz w:val="20"/>
                <w:lang w:val="fr-CA"/>
              </w:rPr>
            </w:pPr>
            <w:r w:rsidRPr="00D22CA0">
              <w:rPr>
                <w:sz w:val="20"/>
                <w:lang w:val="fr-CA"/>
              </w:rPr>
              <w:t>Cour d’appel de l’Ontario</w:t>
            </w:r>
          </w:p>
          <w:p w:rsidR="00D22CA0" w:rsidRPr="00D22CA0" w:rsidRDefault="00D22CA0" w:rsidP="00D22CA0">
            <w:pPr>
              <w:jc w:val="both"/>
              <w:rPr>
                <w:sz w:val="20"/>
                <w:lang w:val="fr-CA"/>
              </w:rPr>
            </w:pPr>
            <w:r w:rsidRPr="00D22CA0">
              <w:rPr>
                <w:sz w:val="20"/>
                <w:lang w:val="fr-CA"/>
              </w:rPr>
              <w:t>(Juges Doherty, Brown et Huscroft)</w:t>
            </w:r>
          </w:p>
          <w:p w:rsidR="00D22CA0" w:rsidRPr="00D22CA0" w:rsidRDefault="00D22CA0" w:rsidP="00D22CA0">
            <w:pPr>
              <w:jc w:val="both"/>
              <w:rPr>
                <w:sz w:val="20"/>
                <w:lang w:val="fr-CA"/>
              </w:rPr>
            </w:pPr>
            <w:r w:rsidRPr="00D22CA0">
              <w:rPr>
                <w:sz w:val="20"/>
                <w:lang w:val="fr-CA"/>
              </w:rPr>
              <w:t>N</w:t>
            </w:r>
            <w:r w:rsidRPr="00D22CA0">
              <w:rPr>
                <w:sz w:val="20"/>
                <w:vertAlign w:val="superscript"/>
                <w:lang w:val="fr-CA"/>
              </w:rPr>
              <w:t>o</w:t>
            </w:r>
            <w:r w:rsidRPr="00D22CA0">
              <w:rPr>
                <w:sz w:val="20"/>
                <w:lang w:val="fr-CA"/>
              </w:rPr>
              <w:t xml:space="preserve"> C61786</w:t>
            </w:r>
          </w:p>
          <w:p w:rsidR="00D22CA0" w:rsidRPr="00D22CA0" w:rsidRDefault="00642A36" w:rsidP="00D22CA0">
            <w:pPr>
              <w:jc w:val="both"/>
              <w:rPr>
                <w:sz w:val="20"/>
                <w:lang w:val="fr-CA"/>
              </w:rPr>
            </w:pPr>
            <w:hyperlink r:id="rId25" w:history="1">
              <w:r w:rsidR="00D22CA0" w:rsidRPr="00D22CA0">
                <w:rPr>
                  <w:rStyle w:val="Hyperlink"/>
                  <w:sz w:val="20"/>
                  <w:lang w:val="fr-CA"/>
                </w:rPr>
                <w:t>2017 ONCA 414</w:t>
              </w:r>
            </w:hyperlink>
          </w:p>
          <w:p w:rsidR="00D22CA0" w:rsidRPr="00D22CA0" w:rsidRDefault="00D22CA0" w:rsidP="00D22CA0">
            <w:pPr>
              <w:jc w:val="both"/>
              <w:rPr>
                <w:sz w:val="20"/>
                <w:lang w:val="fr-CA"/>
              </w:rPr>
            </w:pPr>
          </w:p>
        </w:tc>
        <w:tc>
          <w:tcPr>
            <w:tcW w:w="267" w:type="pct"/>
            <w:gridSpan w:val="2"/>
          </w:tcPr>
          <w:p w:rsidR="00D22CA0" w:rsidRPr="00D22CA0" w:rsidRDefault="00D22CA0" w:rsidP="00D22CA0">
            <w:pPr>
              <w:jc w:val="both"/>
              <w:rPr>
                <w:sz w:val="20"/>
                <w:lang w:val="fr-CA"/>
              </w:rPr>
            </w:pPr>
          </w:p>
        </w:tc>
        <w:tc>
          <w:tcPr>
            <w:tcW w:w="2366" w:type="pct"/>
            <w:gridSpan w:val="3"/>
          </w:tcPr>
          <w:p w:rsidR="00D22CA0" w:rsidRPr="00D22CA0" w:rsidRDefault="00D22CA0" w:rsidP="00D22CA0">
            <w:pPr>
              <w:jc w:val="both"/>
              <w:rPr>
                <w:sz w:val="20"/>
                <w:lang w:val="fr-CA"/>
              </w:rPr>
            </w:pPr>
            <w:r w:rsidRPr="00D22CA0">
              <w:rPr>
                <w:sz w:val="20"/>
                <w:lang w:val="fr-CA"/>
              </w:rPr>
              <w:t>Arrêt accueillant l’appel.</w:t>
            </w:r>
          </w:p>
          <w:p w:rsidR="00D22CA0" w:rsidRPr="00D22CA0" w:rsidRDefault="00D22CA0" w:rsidP="00D22CA0">
            <w:pPr>
              <w:jc w:val="both"/>
              <w:rPr>
                <w:sz w:val="20"/>
                <w:lang w:val="fr-CA"/>
              </w:rPr>
            </w:pPr>
          </w:p>
        </w:tc>
      </w:tr>
      <w:tr w:rsidR="00D22CA0" w:rsidRPr="00642A36" w:rsidTr="00331DAA">
        <w:trPr>
          <w:gridAfter w:val="1"/>
          <w:wAfter w:w="48" w:type="pct"/>
        </w:trPr>
        <w:tc>
          <w:tcPr>
            <w:tcW w:w="2403" w:type="pct"/>
            <w:gridSpan w:val="3"/>
          </w:tcPr>
          <w:p w:rsidR="00D22CA0" w:rsidRPr="00D22CA0" w:rsidRDefault="00D22CA0" w:rsidP="00D22CA0">
            <w:pPr>
              <w:jc w:val="both"/>
              <w:rPr>
                <w:sz w:val="20"/>
                <w:lang w:val="fr-CA"/>
              </w:rPr>
            </w:pPr>
            <w:r w:rsidRPr="00D22CA0">
              <w:rPr>
                <w:sz w:val="20"/>
                <w:lang w:val="fr-CA"/>
              </w:rPr>
              <w:t>22 août 2017</w:t>
            </w:r>
          </w:p>
          <w:p w:rsidR="00D22CA0" w:rsidRPr="00D22CA0" w:rsidRDefault="00D22CA0" w:rsidP="00D22CA0">
            <w:pPr>
              <w:jc w:val="both"/>
              <w:rPr>
                <w:sz w:val="20"/>
                <w:lang w:val="fr-CA"/>
              </w:rPr>
            </w:pPr>
            <w:r w:rsidRPr="00D22CA0">
              <w:rPr>
                <w:sz w:val="20"/>
                <w:lang w:val="fr-CA"/>
              </w:rPr>
              <w:t>Cour suprême du Canada</w:t>
            </w:r>
          </w:p>
        </w:tc>
        <w:tc>
          <w:tcPr>
            <w:tcW w:w="241" w:type="pct"/>
            <w:gridSpan w:val="2"/>
          </w:tcPr>
          <w:p w:rsidR="00D22CA0" w:rsidRPr="00D22CA0" w:rsidRDefault="00D22CA0" w:rsidP="00D22CA0">
            <w:pPr>
              <w:jc w:val="both"/>
              <w:rPr>
                <w:sz w:val="20"/>
                <w:lang w:val="fr-CA"/>
              </w:rPr>
            </w:pPr>
          </w:p>
        </w:tc>
        <w:tc>
          <w:tcPr>
            <w:tcW w:w="2308" w:type="pct"/>
          </w:tcPr>
          <w:p w:rsidR="00D22CA0" w:rsidRPr="00D22CA0" w:rsidRDefault="00D22CA0" w:rsidP="00D22CA0">
            <w:pPr>
              <w:jc w:val="both"/>
              <w:rPr>
                <w:sz w:val="20"/>
                <w:lang w:val="fr-CA"/>
              </w:rPr>
            </w:pPr>
            <w:r w:rsidRPr="00D22CA0">
              <w:rPr>
                <w:sz w:val="20"/>
                <w:lang w:val="fr-CA"/>
              </w:rPr>
              <w:t>Dépôt de la demande d’autorisation d’appel.</w:t>
            </w:r>
          </w:p>
          <w:p w:rsidR="00D22CA0" w:rsidRPr="00D22CA0" w:rsidRDefault="00D22CA0" w:rsidP="00D22CA0">
            <w:pPr>
              <w:jc w:val="both"/>
              <w:rPr>
                <w:sz w:val="20"/>
                <w:lang w:val="fr-CA"/>
              </w:rPr>
            </w:pPr>
          </w:p>
        </w:tc>
      </w:tr>
    </w:tbl>
    <w:p w:rsidR="00D22CA0" w:rsidRPr="00D22CA0" w:rsidRDefault="00D22CA0" w:rsidP="00D22CA0">
      <w:pPr>
        <w:jc w:val="both"/>
        <w:rPr>
          <w:sz w:val="20"/>
          <w:lang w:val="fr-CA"/>
        </w:rPr>
      </w:pPr>
    </w:p>
    <w:p w:rsidR="00D22CA0" w:rsidRPr="00D22CA0" w:rsidRDefault="00D22CA0" w:rsidP="00D22CA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2CA0" w:rsidRPr="00D22CA0" w:rsidTr="00E95A6A">
        <w:tc>
          <w:tcPr>
            <w:tcW w:w="543" w:type="pct"/>
          </w:tcPr>
          <w:p w:rsidR="00D22CA0" w:rsidRPr="00D22CA0" w:rsidRDefault="00D22CA0" w:rsidP="00D22CA0">
            <w:pPr>
              <w:jc w:val="both"/>
              <w:rPr>
                <w:sz w:val="20"/>
              </w:rPr>
            </w:pPr>
            <w:r w:rsidRPr="00D22CA0">
              <w:rPr>
                <w:rStyle w:val="SCCFileNumberChar"/>
                <w:sz w:val="20"/>
                <w:szCs w:val="20"/>
              </w:rPr>
              <w:t>37711</w:t>
            </w:r>
          </w:p>
        </w:tc>
        <w:tc>
          <w:tcPr>
            <w:tcW w:w="4457" w:type="pct"/>
            <w:gridSpan w:val="3"/>
          </w:tcPr>
          <w:p w:rsidR="00D22CA0" w:rsidRPr="00D22CA0" w:rsidRDefault="00D22CA0" w:rsidP="00D22CA0">
            <w:pPr>
              <w:pStyle w:val="SCCLsocParty"/>
              <w:jc w:val="both"/>
              <w:rPr>
                <w:b/>
                <w:sz w:val="20"/>
                <w:szCs w:val="20"/>
                <w:lang w:val="en-US"/>
              </w:rPr>
            </w:pPr>
            <w:proofErr w:type="spellStart"/>
            <w:r w:rsidRPr="00D22CA0">
              <w:rPr>
                <w:b/>
                <w:sz w:val="20"/>
                <w:szCs w:val="20"/>
                <w:lang w:val="en-US"/>
              </w:rPr>
              <w:t>Ritlyn</w:t>
            </w:r>
            <w:proofErr w:type="spellEnd"/>
            <w:r w:rsidRPr="00D22CA0">
              <w:rPr>
                <w:b/>
                <w:sz w:val="20"/>
                <w:szCs w:val="20"/>
                <w:lang w:val="en-US"/>
              </w:rPr>
              <w:t xml:space="preserve"> Investments Limited v. Estate of Armand Letestu, deceased, by its Litigation Administrator, Christopher Letestu</w:t>
            </w:r>
          </w:p>
          <w:p w:rsidR="00D22CA0" w:rsidRPr="00D22CA0" w:rsidRDefault="00D22CA0" w:rsidP="00D22CA0">
            <w:pPr>
              <w:jc w:val="both"/>
              <w:rPr>
                <w:sz w:val="20"/>
              </w:rPr>
            </w:pPr>
            <w:r w:rsidRPr="00D22CA0">
              <w:rPr>
                <w:sz w:val="20"/>
              </w:rPr>
              <w:t>(Ont.) (Civil) (By Leave)</w:t>
            </w:r>
          </w:p>
        </w:tc>
      </w:tr>
      <w:tr w:rsidR="00D22CA0" w:rsidRPr="00D22CA0" w:rsidTr="00E95A6A">
        <w:tc>
          <w:tcPr>
            <w:tcW w:w="5000" w:type="pct"/>
            <w:gridSpan w:val="4"/>
          </w:tcPr>
          <w:p w:rsidR="00D22CA0" w:rsidRDefault="00D22CA0" w:rsidP="00D22CA0">
            <w:pPr>
              <w:jc w:val="both"/>
              <w:rPr>
                <w:sz w:val="20"/>
              </w:rPr>
            </w:pPr>
            <w:r w:rsidRPr="00D22CA0">
              <w:rPr>
                <w:sz w:val="20"/>
              </w:rPr>
              <w:t xml:space="preserve">Courts – Jurisdiction – Limitation of actions – Division of powers between courts and administrative tribunals – Is the subject matter jurisdiction of the Landlord and Tenant Board under the </w:t>
            </w:r>
            <w:r w:rsidRPr="00D22CA0">
              <w:rPr>
                <w:i/>
                <w:sz w:val="20"/>
              </w:rPr>
              <w:t>Residential Tenancies Act</w:t>
            </w:r>
            <w:r w:rsidRPr="00D22CA0">
              <w:rPr>
                <w:sz w:val="20"/>
              </w:rPr>
              <w:t xml:space="preserve">, S.O., 2006, c. 17 exclusive? – Whether Court of Appeal of Ontario erred in holding that the Superior Court of Justice had inherent jurisdiction to hear subject matter of the </w:t>
            </w:r>
            <w:r w:rsidRPr="00D22CA0">
              <w:rPr>
                <w:i/>
                <w:sz w:val="20"/>
              </w:rPr>
              <w:t>Residential Tenancies Act</w:t>
            </w:r>
            <w:r w:rsidRPr="00D22CA0">
              <w:rPr>
                <w:sz w:val="20"/>
              </w:rPr>
              <w:t xml:space="preserve"> – Whether claim was statute barred – Whether Superior Court of Justice is required to assess all conditions for entitlement to bring a claim under the </w:t>
            </w:r>
            <w:r w:rsidRPr="00D22CA0">
              <w:rPr>
                <w:i/>
                <w:sz w:val="20"/>
              </w:rPr>
              <w:t>Residential Tenancies Act –</w:t>
            </w:r>
            <w:r w:rsidRPr="00D22CA0">
              <w:rPr>
                <w:sz w:val="20"/>
              </w:rPr>
              <w:t xml:space="preserve"> Impact of decision on cases involving the interplay of courts and administrative tribunals under the </w:t>
            </w:r>
            <w:r w:rsidRPr="00D22CA0">
              <w:rPr>
                <w:i/>
                <w:sz w:val="20"/>
              </w:rPr>
              <w:t>Residential Tenancies Act</w:t>
            </w:r>
            <w:r w:rsidRPr="00D22CA0">
              <w:rPr>
                <w:sz w:val="20"/>
              </w:rPr>
              <w:t xml:space="preserve"> and otherwise.</w:t>
            </w:r>
          </w:p>
          <w:p w:rsidR="00D22CA0" w:rsidRPr="00D22CA0" w:rsidRDefault="00D22CA0" w:rsidP="00D22CA0">
            <w:pPr>
              <w:jc w:val="both"/>
              <w:rPr>
                <w:sz w:val="20"/>
              </w:rPr>
            </w:pPr>
          </w:p>
        </w:tc>
      </w:tr>
      <w:tr w:rsidR="00D22CA0" w:rsidRPr="00D22CA0" w:rsidTr="00E95A6A">
        <w:tc>
          <w:tcPr>
            <w:tcW w:w="5000" w:type="pct"/>
            <w:gridSpan w:val="4"/>
          </w:tcPr>
          <w:p w:rsidR="00D22CA0" w:rsidRPr="00D22CA0" w:rsidRDefault="00D22CA0" w:rsidP="00D22CA0">
            <w:pPr>
              <w:jc w:val="both"/>
              <w:rPr>
                <w:sz w:val="20"/>
              </w:rPr>
            </w:pPr>
            <w:r w:rsidRPr="00D22CA0">
              <w:rPr>
                <w:sz w:val="20"/>
              </w:rPr>
              <w:t xml:space="preserve">Mr. Letestu rented an apartment from </w:t>
            </w:r>
            <w:proofErr w:type="spellStart"/>
            <w:r w:rsidRPr="00D22CA0">
              <w:rPr>
                <w:sz w:val="20"/>
              </w:rPr>
              <w:t>Ritlyn</w:t>
            </w:r>
            <w:proofErr w:type="spellEnd"/>
            <w:r w:rsidRPr="00D22CA0">
              <w:rPr>
                <w:sz w:val="20"/>
              </w:rPr>
              <w:t xml:space="preserve"> Investments Limited. He was injured from a trip and fall on a loose carpet in his apartment on January 11, 2010. Mr. Letestu died on May 14, 2011 from unrelated causes. His estate brought an action in negligence in the Superior Court on December 15, 2011. The action claimed that </w:t>
            </w:r>
            <w:proofErr w:type="spellStart"/>
            <w:r w:rsidRPr="00D22CA0">
              <w:rPr>
                <w:sz w:val="20"/>
              </w:rPr>
              <w:t>Ritlyn</w:t>
            </w:r>
            <w:proofErr w:type="spellEnd"/>
            <w:r w:rsidRPr="00D22CA0">
              <w:rPr>
                <w:sz w:val="20"/>
              </w:rPr>
              <w:t xml:space="preserve"> Investments knew of the dangerous conditions, but that no steps were taken to fix the carpet. </w:t>
            </w:r>
            <w:proofErr w:type="spellStart"/>
            <w:r w:rsidRPr="00D22CA0">
              <w:rPr>
                <w:sz w:val="20"/>
              </w:rPr>
              <w:t>Ritlyn</w:t>
            </w:r>
            <w:proofErr w:type="spellEnd"/>
            <w:r w:rsidRPr="00D22CA0">
              <w:rPr>
                <w:sz w:val="20"/>
              </w:rPr>
              <w:t xml:space="preserve"> Investments moved to dismiss the action, on the basis that the Superior Court had no jurisdiction. The motion was granted. The Court of Appeal allowed an appeal and set aside the order dismissing the action.</w:t>
            </w:r>
          </w:p>
          <w:p w:rsidR="00D22CA0" w:rsidRPr="00D22CA0" w:rsidRDefault="00D22CA0" w:rsidP="00D22CA0">
            <w:pPr>
              <w:jc w:val="both"/>
              <w:rPr>
                <w:sz w:val="20"/>
              </w:rPr>
            </w:pPr>
          </w:p>
        </w:tc>
      </w:tr>
      <w:tr w:rsidR="00D22CA0" w:rsidRPr="00D22CA0" w:rsidTr="00E95A6A">
        <w:tc>
          <w:tcPr>
            <w:tcW w:w="2427" w:type="pct"/>
            <w:gridSpan w:val="2"/>
          </w:tcPr>
          <w:p w:rsidR="00D22CA0" w:rsidRPr="00D22CA0" w:rsidRDefault="00D22CA0" w:rsidP="00D22CA0">
            <w:pPr>
              <w:jc w:val="both"/>
              <w:rPr>
                <w:sz w:val="20"/>
              </w:rPr>
            </w:pPr>
            <w:r w:rsidRPr="00D22CA0">
              <w:rPr>
                <w:sz w:val="20"/>
              </w:rPr>
              <w:t>October 19, 2016</w:t>
            </w:r>
          </w:p>
          <w:p w:rsidR="00D22CA0" w:rsidRPr="00D22CA0" w:rsidRDefault="00D22CA0" w:rsidP="00D22CA0">
            <w:pPr>
              <w:jc w:val="both"/>
              <w:rPr>
                <w:sz w:val="20"/>
              </w:rPr>
            </w:pPr>
            <w:r w:rsidRPr="00D22CA0">
              <w:rPr>
                <w:sz w:val="20"/>
              </w:rPr>
              <w:t>Ontario Superior Court of Justice</w:t>
            </w:r>
          </w:p>
          <w:p w:rsidR="00D22CA0" w:rsidRPr="00D22CA0" w:rsidRDefault="00D22CA0" w:rsidP="00D22CA0">
            <w:pPr>
              <w:jc w:val="both"/>
              <w:rPr>
                <w:sz w:val="20"/>
              </w:rPr>
            </w:pPr>
            <w:r w:rsidRPr="00D22CA0">
              <w:rPr>
                <w:sz w:val="20"/>
              </w:rPr>
              <w:t>(Sloan J.)</w:t>
            </w:r>
          </w:p>
          <w:p w:rsidR="00D22CA0" w:rsidRPr="00D22CA0" w:rsidRDefault="00D22CA0" w:rsidP="00D22CA0">
            <w:pPr>
              <w:jc w:val="both"/>
              <w:rPr>
                <w:sz w:val="20"/>
              </w:rPr>
            </w:pPr>
            <w:r w:rsidRPr="00D22CA0">
              <w:rPr>
                <w:sz w:val="20"/>
              </w:rPr>
              <w:t xml:space="preserve">Neutral citation: </w:t>
            </w:r>
            <w:hyperlink r:id="rId26" w:history="1">
              <w:r w:rsidRPr="00D22CA0">
                <w:rPr>
                  <w:rStyle w:val="Hyperlink"/>
                  <w:sz w:val="20"/>
                  <w:lang w:val="en"/>
                </w:rPr>
                <w:t>2016 ONSC 6540</w:t>
              </w:r>
            </w:hyperlink>
          </w:p>
          <w:p w:rsidR="00D22CA0" w:rsidRPr="00D22CA0" w:rsidRDefault="00D22CA0" w:rsidP="00D22CA0">
            <w:pPr>
              <w:jc w:val="both"/>
              <w:rPr>
                <w:sz w:val="20"/>
              </w:rPr>
            </w:pPr>
          </w:p>
        </w:tc>
        <w:tc>
          <w:tcPr>
            <w:tcW w:w="243" w:type="pct"/>
          </w:tcPr>
          <w:p w:rsidR="00D22CA0" w:rsidRPr="00D22CA0" w:rsidRDefault="00D22CA0" w:rsidP="00D22CA0">
            <w:pPr>
              <w:jc w:val="both"/>
              <w:rPr>
                <w:sz w:val="20"/>
              </w:rPr>
            </w:pPr>
          </w:p>
        </w:tc>
        <w:tc>
          <w:tcPr>
            <w:tcW w:w="2330" w:type="pct"/>
          </w:tcPr>
          <w:p w:rsidR="00D22CA0" w:rsidRPr="00D22CA0" w:rsidRDefault="00D22CA0" w:rsidP="00D22CA0">
            <w:pPr>
              <w:jc w:val="both"/>
              <w:rPr>
                <w:sz w:val="20"/>
              </w:rPr>
            </w:pPr>
            <w:r w:rsidRPr="00D22CA0">
              <w:rPr>
                <w:sz w:val="20"/>
              </w:rPr>
              <w:t xml:space="preserve">Action dismissed on motion of </w:t>
            </w:r>
            <w:proofErr w:type="spellStart"/>
            <w:r w:rsidRPr="00D22CA0">
              <w:rPr>
                <w:sz w:val="20"/>
              </w:rPr>
              <w:t>Ritlyn</w:t>
            </w:r>
            <w:proofErr w:type="spellEnd"/>
            <w:r w:rsidRPr="00D22CA0">
              <w:rPr>
                <w:sz w:val="20"/>
              </w:rPr>
              <w:t xml:space="preserve"> Investments Limited</w:t>
            </w:r>
          </w:p>
        </w:tc>
      </w:tr>
      <w:tr w:rsidR="00D22CA0" w:rsidRPr="00D22CA0" w:rsidTr="00E95A6A">
        <w:tc>
          <w:tcPr>
            <w:tcW w:w="2427" w:type="pct"/>
            <w:gridSpan w:val="2"/>
          </w:tcPr>
          <w:p w:rsidR="00D22CA0" w:rsidRPr="00D22CA0" w:rsidRDefault="00D22CA0" w:rsidP="00D22CA0">
            <w:pPr>
              <w:jc w:val="both"/>
              <w:rPr>
                <w:sz w:val="20"/>
              </w:rPr>
            </w:pPr>
            <w:r w:rsidRPr="00D22CA0">
              <w:rPr>
                <w:sz w:val="20"/>
              </w:rPr>
              <w:t>June 1, 2017</w:t>
            </w:r>
          </w:p>
          <w:p w:rsidR="00D22CA0" w:rsidRPr="00D22CA0" w:rsidRDefault="00D22CA0" w:rsidP="00D22CA0">
            <w:pPr>
              <w:jc w:val="both"/>
              <w:rPr>
                <w:sz w:val="20"/>
              </w:rPr>
            </w:pPr>
            <w:r w:rsidRPr="00D22CA0">
              <w:rPr>
                <w:sz w:val="20"/>
              </w:rPr>
              <w:t>Court of Appeal for Ontario</w:t>
            </w:r>
          </w:p>
          <w:p w:rsidR="00D22CA0" w:rsidRPr="00D22CA0" w:rsidRDefault="00D22CA0" w:rsidP="00D22CA0">
            <w:pPr>
              <w:jc w:val="both"/>
              <w:rPr>
                <w:sz w:val="20"/>
              </w:rPr>
            </w:pPr>
            <w:r w:rsidRPr="00D22CA0">
              <w:rPr>
                <w:sz w:val="20"/>
              </w:rPr>
              <w:t>(</w:t>
            </w:r>
            <w:proofErr w:type="spellStart"/>
            <w:r w:rsidRPr="00D22CA0">
              <w:rPr>
                <w:sz w:val="20"/>
              </w:rPr>
              <w:t>LaForme</w:t>
            </w:r>
            <w:proofErr w:type="spellEnd"/>
            <w:r w:rsidRPr="00D22CA0">
              <w:rPr>
                <w:sz w:val="20"/>
              </w:rPr>
              <w:t xml:space="preserve">, van </w:t>
            </w:r>
            <w:proofErr w:type="spellStart"/>
            <w:r w:rsidRPr="00D22CA0">
              <w:rPr>
                <w:sz w:val="20"/>
              </w:rPr>
              <w:t>Rensburg</w:t>
            </w:r>
            <w:proofErr w:type="spellEnd"/>
            <w:r w:rsidRPr="00D22CA0">
              <w:rPr>
                <w:sz w:val="20"/>
              </w:rPr>
              <w:t xml:space="preserve"> and </w:t>
            </w:r>
            <w:proofErr w:type="spellStart"/>
            <w:r w:rsidRPr="00D22CA0">
              <w:rPr>
                <w:sz w:val="20"/>
              </w:rPr>
              <w:t>Huscroft</w:t>
            </w:r>
            <w:proofErr w:type="spellEnd"/>
            <w:r w:rsidRPr="00D22CA0">
              <w:rPr>
                <w:sz w:val="20"/>
              </w:rPr>
              <w:t xml:space="preserve"> JJ.A.) </w:t>
            </w:r>
          </w:p>
          <w:p w:rsidR="00D22CA0" w:rsidRPr="00D22CA0" w:rsidRDefault="00D22CA0" w:rsidP="00D22CA0">
            <w:pPr>
              <w:jc w:val="both"/>
              <w:rPr>
                <w:sz w:val="20"/>
              </w:rPr>
            </w:pPr>
            <w:r w:rsidRPr="00D22CA0">
              <w:rPr>
                <w:sz w:val="20"/>
              </w:rPr>
              <w:t xml:space="preserve">Neutral citation: </w:t>
            </w:r>
            <w:hyperlink r:id="rId27" w:history="1">
              <w:r w:rsidRPr="00D22CA0">
                <w:rPr>
                  <w:rStyle w:val="Hyperlink"/>
                  <w:sz w:val="20"/>
                </w:rPr>
                <w:t>2017 ONCA 442</w:t>
              </w:r>
            </w:hyperlink>
          </w:p>
          <w:p w:rsidR="00D22CA0" w:rsidRPr="00D22CA0" w:rsidRDefault="00D22CA0" w:rsidP="00D22CA0">
            <w:pPr>
              <w:jc w:val="both"/>
              <w:rPr>
                <w:sz w:val="20"/>
              </w:rPr>
            </w:pPr>
          </w:p>
        </w:tc>
        <w:tc>
          <w:tcPr>
            <w:tcW w:w="243" w:type="pct"/>
          </w:tcPr>
          <w:p w:rsidR="00D22CA0" w:rsidRPr="00D22CA0" w:rsidRDefault="00D22CA0" w:rsidP="00D22CA0">
            <w:pPr>
              <w:jc w:val="both"/>
              <w:rPr>
                <w:sz w:val="20"/>
              </w:rPr>
            </w:pPr>
          </w:p>
        </w:tc>
        <w:tc>
          <w:tcPr>
            <w:tcW w:w="2330" w:type="pct"/>
          </w:tcPr>
          <w:p w:rsidR="00D22CA0" w:rsidRPr="00D22CA0" w:rsidRDefault="00D22CA0" w:rsidP="00D22CA0">
            <w:pPr>
              <w:jc w:val="both"/>
              <w:rPr>
                <w:sz w:val="20"/>
              </w:rPr>
            </w:pPr>
            <w:r w:rsidRPr="00D22CA0">
              <w:rPr>
                <w:sz w:val="20"/>
              </w:rPr>
              <w:t>Appeal allowed: dismissal of action overturned</w:t>
            </w:r>
          </w:p>
        </w:tc>
      </w:tr>
      <w:tr w:rsidR="00D22CA0" w:rsidRPr="00D22CA0" w:rsidTr="00E95A6A">
        <w:tc>
          <w:tcPr>
            <w:tcW w:w="2427" w:type="pct"/>
            <w:gridSpan w:val="2"/>
          </w:tcPr>
          <w:p w:rsidR="00D22CA0" w:rsidRPr="00D22CA0" w:rsidRDefault="00D22CA0" w:rsidP="00D22CA0">
            <w:pPr>
              <w:jc w:val="both"/>
              <w:rPr>
                <w:sz w:val="20"/>
              </w:rPr>
            </w:pPr>
            <w:r w:rsidRPr="00D22CA0">
              <w:rPr>
                <w:sz w:val="20"/>
              </w:rPr>
              <w:t>August 25, 2017</w:t>
            </w:r>
          </w:p>
          <w:p w:rsidR="00D22CA0" w:rsidRPr="00D22CA0" w:rsidRDefault="00D22CA0" w:rsidP="00D22CA0">
            <w:pPr>
              <w:jc w:val="both"/>
              <w:rPr>
                <w:sz w:val="20"/>
              </w:rPr>
            </w:pPr>
            <w:r w:rsidRPr="00D22CA0">
              <w:rPr>
                <w:sz w:val="20"/>
              </w:rPr>
              <w:t>Supreme Court of Canada</w:t>
            </w:r>
          </w:p>
        </w:tc>
        <w:tc>
          <w:tcPr>
            <w:tcW w:w="243" w:type="pct"/>
          </w:tcPr>
          <w:p w:rsidR="00D22CA0" w:rsidRPr="00D22CA0" w:rsidRDefault="00D22CA0" w:rsidP="00D22CA0">
            <w:pPr>
              <w:jc w:val="both"/>
              <w:rPr>
                <w:sz w:val="20"/>
              </w:rPr>
            </w:pPr>
          </w:p>
        </w:tc>
        <w:tc>
          <w:tcPr>
            <w:tcW w:w="2330" w:type="pct"/>
          </w:tcPr>
          <w:p w:rsidR="00D22CA0" w:rsidRPr="00D22CA0" w:rsidRDefault="00D22CA0" w:rsidP="00D22CA0">
            <w:pPr>
              <w:jc w:val="both"/>
              <w:rPr>
                <w:sz w:val="20"/>
              </w:rPr>
            </w:pPr>
            <w:r w:rsidRPr="00D22CA0">
              <w:rPr>
                <w:sz w:val="20"/>
              </w:rPr>
              <w:t>Application for leave to appeal filed</w:t>
            </w:r>
          </w:p>
          <w:p w:rsidR="00D22CA0" w:rsidRPr="00D22CA0" w:rsidRDefault="00D22CA0" w:rsidP="00D22CA0">
            <w:pPr>
              <w:jc w:val="both"/>
              <w:rPr>
                <w:sz w:val="20"/>
              </w:rPr>
            </w:pPr>
          </w:p>
        </w:tc>
      </w:tr>
    </w:tbl>
    <w:p w:rsidR="00D22CA0" w:rsidRDefault="00D22CA0" w:rsidP="00D22CA0">
      <w:pPr>
        <w:jc w:val="both"/>
        <w:rPr>
          <w:sz w:val="20"/>
        </w:rPr>
      </w:pPr>
    </w:p>
    <w:p w:rsidR="00D22CA0" w:rsidRPr="00D22CA0" w:rsidRDefault="00D22CA0" w:rsidP="00D22C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2CA0" w:rsidRPr="00D22CA0" w:rsidTr="00E95A6A">
        <w:tc>
          <w:tcPr>
            <w:tcW w:w="543" w:type="pct"/>
          </w:tcPr>
          <w:p w:rsidR="00D22CA0" w:rsidRPr="00D22CA0" w:rsidRDefault="00D22CA0" w:rsidP="00D22CA0">
            <w:pPr>
              <w:jc w:val="both"/>
              <w:rPr>
                <w:sz w:val="20"/>
                <w:lang w:val="fr-CA"/>
              </w:rPr>
            </w:pPr>
            <w:r w:rsidRPr="00D22CA0">
              <w:rPr>
                <w:rStyle w:val="SCCFileNumberChar"/>
                <w:sz w:val="20"/>
                <w:szCs w:val="20"/>
                <w:lang w:val="fr-CA"/>
              </w:rPr>
              <w:t>37711</w:t>
            </w:r>
          </w:p>
        </w:tc>
        <w:tc>
          <w:tcPr>
            <w:tcW w:w="4457" w:type="pct"/>
            <w:gridSpan w:val="3"/>
          </w:tcPr>
          <w:p w:rsidR="00D22CA0" w:rsidRPr="00D22CA0" w:rsidRDefault="00D22CA0" w:rsidP="00D22CA0">
            <w:pPr>
              <w:pStyle w:val="SCCLsocParty"/>
              <w:jc w:val="both"/>
              <w:rPr>
                <w:b/>
                <w:sz w:val="20"/>
                <w:szCs w:val="20"/>
              </w:rPr>
            </w:pPr>
            <w:proofErr w:type="spellStart"/>
            <w:r w:rsidRPr="00D22CA0">
              <w:rPr>
                <w:b/>
                <w:sz w:val="20"/>
                <w:szCs w:val="20"/>
              </w:rPr>
              <w:t>Ritlyn</w:t>
            </w:r>
            <w:proofErr w:type="spellEnd"/>
            <w:r w:rsidRPr="00D22CA0">
              <w:rPr>
                <w:b/>
                <w:sz w:val="20"/>
                <w:szCs w:val="20"/>
              </w:rPr>
              <w:t xml:space="preserve"> </w:t>
            </w:r>
            <w:proofErr w:type="spellStart"/>
            <w:r w:rsidRPr="00D22CA0">
              <w:rPr>
                <w:b/>
                <w:sz w:val="20"/>
                <w:szCs w:val="20"/>
              </w:rPr>
              <w:t>Investments</w:t>
            </w:r>
            <w:proofErr w:type="spellEnd"/>
            <w:r w:rsidRPr="00D22CA0">
              <w:rPr>
                <w:b/>
                <w:sz w:val="20"/>
                <w:szCs w:val="20"/>
              </w:rPr>
              <w:t xml:space="preserve"> Limited c. Succession d’Armand </w:t>
            </w:r>
            <w:proofErr w:type="spellStart"/>
            <w:r w:rsidRPr="00D22CA0">
              <w:rPr>
                <w:b/>
                <w:sz w:val="20"/>
                <w:szCs w:val="20"/>
              </w:rPr>
              <w:t>Letestu</w:t>
            </w:r>
            <w:proofErr w:type="spellEnd"/>
            <w:r w:rsidRPr="00D22CA0">
              <w:rPr>
                <w:b/>
                <w:sz w:val="20"/>
                <w:szCs w:val="20"/>
              </w:rPr>
              <w:t xml:space="preserve">, décédé, par son administrateur à l’instance, Christopher </w:t>
            </w:r>
            <w:proofErr w:type="spellStart"/>
            <w:r w:rsidRPr="00D22CA0">
              <w:rPr>
                <w:b/>
                <w:sz w:val="20"/>
                <w:szCs w:val="20"/>
              </w:rPr>
              <w:t>Letestu</w:t>
            </w:r>
            <w:proofErr w:type="spellEnd"/>
          </w:p>
          <w:p w:rsidR="00D22CA0" w:rsidRPr="00D22CA0" w:rsidRDefault="00D22CA0" w:rsidP="00D22CA0">
            <w:pPr>
              <w:jc w:val="both"/>
              <w:rPr>
                <w:sz w:val="20"/>
                <w:lang w:val="fr-CA"/>
              </w:rPr>
            </w:pPr>
            <w:r w:rsidRPr="00D22CA0">
              <w:rPr>
                <w:sz w:val="20"/>
                <w:lang w:val="fr-CA"/>
              </w:rPr>
              <w:t>(Ont.) (Civile) (Sur autorisation)</w:t>
            </w:r>
          </w:p>
        </w:tc>
      </w:tr>
      <w:tr w:rsidR="00D22CA0" w:rsidRPr="00642A36" w:rsidTr="00E95A6A">
        <w:tc>
          <w:tcPr>
            <w:tcW w:w="5000" w:type="pct"/>
            <w:gridSpan w:val="4"/>
          </w:tcPr>
          <w:p w:rsidR="00D22CA0" w:rsidRPr="00D22CA0" w:rsidRDefault="00D22CA0" w:rsidP="00D22CA0">
            <w:pPr>
              <w:jc w:val="both"/>
              <w:rPr>
                <w:sz w:val="20"/>
                <w:lang w:val="fr-CA"/>
              </w:rPr>
            </w:pPr>
            <w:r w:rsidRPr="00D22CA0">
              <w:rPr>
                <w:sz w:val="20"/>
                <w:lang w:val="fr-CA"/>
              </w:rPr>
              <w:t xml:space="preserve">Tribunaux – Compétence – Prescription – Partage des compétences entre les cours de justice et les tribunaux administratifs – La compétence matérielle de la Commission de la location immobilière en application de la </w:t>
            </w:r>
            <w:r w:rsidRPr="00D22CA0">
              <w:rPr>
                <w:i/>
                <w:sz w:val="20"/>
                <w:lang w:val="fr-CA"/>
              </w:rPr>
              <w:t>Loi de 2006 sur la location à usage d’habitation</w:t>
            </w:r>
            <w:r w:rsidRPr="00D22CA0">
              <w:rPr>
                <w:sz w:val="20"/>
                <w:lang w:val="fr-CA"/>
              </w:rPr>
              <w:t xml:space="preserve">, L.O., 2006, ch. 17 est-elle exclusive? – La Cour d’appel de l’Ontario a-t-elle eu tort de statuer que la Cour supérieure de justice possède la compétence matérielle inhérente pour entendre une affaire fondée sur la </w:t>
            </w:r>
            <w:r w:rsidRPr="00D22CA0">
              <w:rPr>
                <w:i/>
                <w:sz w:val="20"/>
                <w:lang w:val="fr-CA"/>
              </w:rPr>
              <w:t>Loi de 2006 sur la location à usage d’habitation</w:t>
            </w:r>
            <w:r w:rsidRPr="00D22CA0">
              <w:rPr>
                <w:sz w:val="20"/>
                <w:lang w:val="fr-CA"/>
              </w:rPr>
              <w:t xml:space="preserve">? – La demande est-elle prescrite? – La Cour supérieure de justice est-elle tenue d’évaluer toutes les conditions donnant ouverture au droit d’introduire une demande fondée sur la </w:t>
            </w:r>
            <w:r w:rsidRPr="00D22CA0">
              <w:rPr>
                <w:i/>
                <w:sz w:val="20"/>
                <w:lang w:val="fr-CA"/>
              </w:rPr>
              <w:t>Loi de 2006 sur la location à usage d’habitation</w:t>
            </w:r>
            <w:r w:rsidRPr="00D22CA0">
              <w:rPr>
                <w:sz w:val="20"/>
                <w:lang w:val="fr-CA"/>
              </w:rPr>
              <w:t>?</w:t>
            </w:r>
            <w:r w:rsidRPr="00D22CA0">
              <w:rPr>
                <w:i/>
                <w:sz w:val="20"/>
                <w:lang w:val="fr-CA"/>
              </w:rPr>
              <w:t xml:space="preserve"> –</w:t>
            </w:r>
            <w:r w:rsidRPr="00D22CA0">
              <w:rPr>
                <w:sz w:val="20"/>
                <w:lang w:val="fr-CA"/>
              </w:rPr>
              <w:t xml:space="preserve"> Incidence de la décision sur les affaires intéressant l’action réciproque entre les cours de justice et les tribunaux en application de la </w:t>
            </w:r>
            <w:r w:rsidRPr="00D22CA0">
              <w:rPr>
                <w:i/>
                <w:sz w:val="20"/>
                <w:lang w:val="fr-CA"/>
              </w:rPr>
              <w:t>Loi de 2006 sur la location à usage d’habitation</w:t>
            </w:r>
            <w:r w:rsidRPr="00D22CA0">
              <w:rPr>
                <w:sz w:val="20"/>
                <w:lang w:val="fr-CA"/>
              </w:rPr>
              <w:t xml:space="preserve"> et autrement?</w:t>
            </w:r>
          </w:p>
          <w:p w:rsidR="00D22CA0" w:rsidRPr="00D22CA0" w:rsidRDefault="00D22CA0" w:rsidP="00D22CA0">
            <w:pPr>
              <w:jc w:val="both"/>
              <w:rPr>
                <w:sz w:val="20"/>
                <w:lang w:val="fr-CA"/>
              </w:rPr>
            </w:pPr>
          </w:p>
        </w:tc>
      </w:tr>
      <w:tr w:rsidR="00D22CA0" w:rsidRPr="00642A36" w:rsidTr="00E95A6A">
        <w:tc>
          <w:tcPr>
            <w:tcW w:w="5000" w:type="pct"/>
            <w:gridSpan w:val="4"/>
          </w:tcPr>
          <w:p w:rsidR="00D22CA0" w:rsidRPr="00D22CA0" w:rsidRDefault="00D22CA0" w:rsidP="00D22CA0">
            <w:pPr>
              <w:jc w:val="both"/>
              <w:rPr>
                <w:sz w:val="20"/>
                <w:lang w:val="fr-CA"/>
              </w:rPr>
            </w:pPr>
            <w:r w:rsidRPr="00D22CA0">
              <w:rPr>
                <w:sz w:val="20"/>
                <w:lang w:val="fr-CA"/>
              </w:rPr>
              <w:t xml:space="preserve">Monsieur </w:t>
            </w:r>
            <w:proofErr w:type="spellStart"/>
            <w:r w:rsidRPr="00D22CA0">
              <w:rPr>
                <w:sz w:val="20"/>
                <w:lang w:val="fr-CA"/>
              </w:rPr>
              <w:t>Letestu</w:t>
            </w:r>
            <w:proofErr w:type="spellEnd"/>
            <w:r w:rsidRPr="00D22CA0">
              <w:rPr>
                <w:sz w:val="20"/>
                <w:lang w:val="fr-CA"/>
              </w:rPr>
              <w:t xml:space="preserve"> louait un appartement de </w:t>
            </w:r>
            <w:proofErr w:type="spellStart"/>
            <w:r w:rsidRPr="00D22CA0">
              <w:rPr>
                <w:sz w:val="20"/>
                <w:lang w:val="fr-CA"/>
              </w:rPr>
              <w:t>Ritlyn</w:t>
            </w:r>
            <w:proofErr w:type="spellEnd"/>
            <w:r w:rsidRPr="00D22CA0">
              <w:rPr>
                <w:sz w:val="20"/>
                <w:lang w:val="fr-CA"/>
              </w:rPr>
              <w:t xml:space="preserve"> </w:t>
            </w:r>
            <w:proofErr w:type="spellStart"/>
            <w:r w:rsidRPr="00D22CA0">
              <w:rPr>
                <w:sz w:val="20"/>
                <w:lang w:val="fr-CA"/>
              </w:rPr>
              <w:t>Investments</w:t>
            </w:r>
            <w:proofErr w:type="spellEnd"/>
            <w:r w:rsidRPr="00D22CA0">
              <w:rPr>
                <w:sz w:val="20"/>
                <w:lang w:val="fr-CA"/>
              </w:rPr>
              <w:t xml:space="preserve"> Limited. Le 11 janvier 2010, il s’est blessé en trébuchant sur une moquette mal fixée dans son appartement. Le 14 mai 2011, M. </w:t>
            </w:r>
            <w:proofErr w:type="spellStart"/>
            <w:r w:rsidRPr="00D22CA0">
              <w:rPr>
                <w:sz w:val="20"/>
                <w:lang w:val="fr-CA"/>
              </w:rPr>
              <w:t>Letestu</w:t>
            </w:r>
            <w:proofErr w:type="spellEnd"/>
            <w:r w:rsidRPr="00D22CA0">
              <w:rPr>
                <w:sz w:val="20"/>
                <w:lang w:val="fr-CA"/>
              </w:rPr>
              <w:t xml:space="preserve"> est décédé de causes non liées à cet incident. Le 15 décembre 2011, sa succession a intenté une action en négligence en Cour supérieure. Dans l’action, il est allégué que </w:t>
            </w:r>
            <w:proofErr w:type="spellStart"/>
            <w:r w:rsidRPr="00D22CA0">
              <w:rPr>
                <w:sz w:val="20"/>
                <w:lang w:val="fr-CA"/>
              </w:rPr>
              <w:t>Ritlyn</w:t>
            </w:r>
            <w:proofErr w:type="spellEnd"/>
            <w:r w:rsidRPr="00D22CA0">
              <w:rPr>
                <w:sz w:val="20"/>
                <w:lang w:val="fr-CA"/>
              </w:rPr>
              <w:t xml:space="preserve"> </w:t>
            </w:r>
            <w:proofErr w:type="spellStart"/>
            <w:r w:rsidRPr="00D22CA0">
              <w:rPr>
                <w:sz w:val="20"/>
                <w:lang w:val="fr-CA"/>
              </w:rPr>
              <w:t>Investments</w:t>
            </w:r>
            <w:proofErr w:type="spellEnd"/>
            <w:r w:rsidRPr="00D22CA0">
              <w:rPr>
                <w:sz w:val="20"/>
                <w:lang w:val="fr-CA"/>
              </w:rPr>
              <w:t xml:space="preserve"> connaissait les conditions dangereuses, mais qu’aucune mesure n’avait été prise pour réparer la moquette. </w:t>
            </w:r>
            <w:proofErr w:type="spellStart"/>
            <w:r w:rsidRPr="00D22CA0">
              <w:rPr>
                <w:sz w:val="20"/>
                <w:lang w:val="fr-CA"/>
              </w:rPr>
              <w:t>Ritlyn</w:t>
            </w:r>
            <w:proofErr w:type="spellEnd"/>
            <w:r w:rsidRPr="00D22CA0">
              <w:rPr>
                <w:sz w:val="20"/>
                <w:lang w:val="fr-CA"/>
              </w:rPr>
              <w:t xml:space="preserve"> </w:t>
            </w:r>
            <w:proofErr w:type="spellStart"/>
            <w:r w:rsidRPr="00D22CA0">
              <w:rPr>
                <w:sz w:val="20"/>
                <w:lang w:val="fr-CA"/>
              </w:rPr>
              <w:t>Investments</w:t>
            </w:r>
            <w:proofErr w:type="spellEnd"/>
            <w:r w:rsidRPr="00D22CA0">
              <w:rPr>
                <w:sz w:val="20"/>
                <w:lang w:val="fr-CA"/>
              </w:rPr>
              <w:t xml:space="preserve"> a présenté une motion en rejet de l’action, plaidant que la Cour supérieure n’avait pas compétence. La motion a été accueillie. La Cour d’appel a accueilli l’appel et annulé l’ordonnance de rejet de l’action.</w:t>
            </w:r>
          </w:p>
          <w:p w:rsidR="00D22CA0" w:rsidRPr="00D22CA0" w:rsidRDefault="00D22CA0" w:rsidP="00D22CA0">
            <w:pPr>
              <w:jc w:val="both"/>
              <w:rPr>
                <w:sz w:val="20"/>
                <w:lang w:val="fr-CA"/>
              </w:rPr>
            </w:pPr>
          </w:p>
        </w:tc>
      </w:tr>
      <w:tr w:rsidR="00D22CA0" w:rsidRPr="00642A36" w:rsidTr="00E95A6A">
        <w:tc>
          <w:tcPr>
            <w:tcW w:w="2427" w:type="pct"/>
            <w:gridSpan w:val="2"/>
          </w:tcPr>
          <w:p w:rsidR="00D22CA0" w:rsidRPr="00D22CA0" w:rsidRDefault="00D22CA0" w:rsidP="00D22CA0">
            <w:pPr>
              <w:jc w:val="both"/>
              <w:rPr>
                <w:sz w:val="20"/>
                <w:lang w:val="fr-CA"/>
              </w:rPr>
            </w:pPr>
            <w:r w:rsidRPr="00D22CA0">
              <w:rPr>
                <w:sz w:val="20"/>
                <w:lang w:val="fr-CA"/>
              </w:rPr>
              <w:t>19 octobre 2016</w:t>
            </w:r>
          </w:p>
          <w:p w:rsidR="00D22CA0" w:rsidRPr="00D22CA0" w:rsidRDefault="00D22CA0" w:rsidP="00D22CA0">
            <w:pPr>
              <w:jc w:val="both"/>
              <w:rPr>
                <w:sz w:val="20"/>
                <w:lang w:val="fr-CA"/>
              </w:rPr>
            </w:pPr>
            <w:r w:rsidRPr="00D22CA0">
              <w:rPr>
                <w:sz w:val="20"/>
                <w:lang w:val="fr-CA"/>
              </w:rPr>
              <w:t>Cour supérieure de justice de l’Ontario</w:t>
            </w:r>
          </w:p>
          <w:p w:rsidR="00D22CA0" w:rsidRPr="00D22CA0" w:rsidRDefault="00D22CA0" w:rsidP="00D22CA0">
            <w:pPr>
              <w:jc w:val="both"/>
              <w:rPr>
                <w:sz w:val="20"/>
                <w:lang w:val="fr-CA"/>
              </w:rPr>
            </w:pPr>
            <w:r w:rsidRPr="00D22CA0">
              <w:rPr>
                <w:sz w:val="20"/>
                <w:lang w:val="fr-CA"/>
              </w:rPr>
              <w:t xml:space="preserve">(Juge </w:t>
            </w:r>
            <w:proofErr w:type="spellStart"/>
            <w:r w:rsidRPr="00D22CA0">
              <w:rPr>
                <w:sz w:val="20"/>
                <w:lang w:val="fr-CA"/>
              </w:rPr>
              <w:t>Sloan</w:t>
            </w:r>
            <w:proofErr w:type="spellEnd"/>
            <w:r w:rsidRPr="00D22CA0">
              <w:rPr>
                <w:sz w:val="20"/>
                <w:lang w:val="fr-CA"/>
              </w:rPr>
              <w:t>)</w:t>
            </w:r>
          </w:p>
          <w:p w:rsidR="00D22CA0" w:rsidRPr="00D22CA0" w:rsidRDefault="00D22CA0" w:rsidP="00D22CA0">
            <w:pPr>
              <w:jc w:val="both"/>
              <w:rPr>
                <w:sz w:val="20"/>
                <w:lang w:val="fr-CA"/>
              </w:rPr>
            </w:pPr>
            <w:r w:rsidRPr="00D22CA0">
              <w:rPr>
                <w:sz w:val="20"/>
                <w:lang w:val="fr-CA"/>
              </w:rPr>
              <w:t xml:space="preserve">Référence neutre : </w:t>
            </w:r>
            <w:hyperlink r:id="rId28" w:history="1">
              <w:r w:rsidRPr="00D22CA0">
                <w:rPr>
                  <w:rStyle w:val="Hyperlink"/>
                  <w:sz w:val="20"/>
                  <w:lang w:val="fr-CA"/>
                </w:rPr>
                <w:t>2016 ONSC 6540</w:t>
              </w:r>
            </w:hyperlink>
          </w:p>
          <w:p w:rsidR="00D22CA0" w:rsidRPr="00D22CA0" w:rsidRDefault="00D22CA0" w:rsidP="00D22CA0">
            <w:pPr>
              <w:jc w:val="both"/>
              <w:rPr>
                <w:sz w:val="20"/>
                <w:lang w:val="fr-CA"/>
              </w:rPr>
            </w:pPr>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lang w:val="fr-CA"/>
              </w:rPr>
            </w:pPr>
            <w:r w:rsidRPr="00D22CA0">
              <w:rPr>
                <w:sz w:val="20"/>
                <w:lang w:val="fr-CA"/>
              </w:rPr>
              <w:t xml:space="preserve">Rejet de l’action sur motion de </w:t>
            </w:r>
            <w:proofErr w:type="spellStart"/>
            <w:r w:rsidRPr="00D22CA0">
              <w:rPr>
                <w:sz w:val="20"/>
                <w:lang w:val="fr-CA"/>
              </w:rPr>
              <w:t>Ritlyn</w:t>
            </w:r>
            <w:proofErr w:type="spellEnd"/>
            <w:r w:rsidRPr="00D22CA0">
              <w:rPr>
                <w:sz w:val="20"/>
                <w:lang w:val="fr-CA"/>
              </w:rPr>
              <w:t xml:space="preserve"> </w:t>
            </w:r>
            <w:proofErr w:type="spellStart"/>
            <w:r w:rsidRPr="00D22CA0">
              <w:rPr>
                <w:sz w:val="20"/>
                <w:lang w:val="fr-CA"/>
              </w:rPr>
              <w:t>Investments</w:t>
            </w:r>
            <w:proofErr w:type="spellEnd"/>
            <w:r w:rsidRPr="00D22CA0">
              <w:rPr>
                <w:sz w:val="20"/>
                <w:lang w:val="fr-CA"/>
              </w:rPr>
              <w:t xml:space="preserve"> Limited</w:t>
            </w:r>
          </w:p>
        </w:tc>
      </w:tr>
      <w:tr w:rsidR="00D22CA0" w:rsidRPr="00642A36" w:rsidTr="00E95A6A">
        <w:tc>
          <w:tcPr>
            <w:tcW w:w="2427" w:type="pct"/>
            <w:gridSpan w:val="2"/>
          </w:tcPr>
          <w:p w:rsidR="00D22CA0" w:rsidRPr="00D22CA0" w:rsidRDefault="00D22CA0" w:rsidP="00D22CA0">
            <w:pPr>
              <w:jc w:val="both"/>
              <w:rPr>
                <w:sz w:val="20"/>
                <w:lang w:val="fr-CA"/>
              </w:rPr>
            </w:pPr>
            <w:r w:rsidRPr="00D22CA0">
              <w:rPr>
                <w:sz w:val="20"/>
                <w:lang w:val="fr-CA"/>
              </w:rPr>
              <w:t>1</w:t>
            </w:r>
            <w:r w:rsidRPr="00D22CA0">
              <w:rPr>
                <w:sz w:val="20"/>
                <w:vertAlign w:val="superscript"/>
                <w:lang w:val="fr-CA"/>
              </w:rPr>
              <w:t>er</w:t>
            </w:r>
            <w:r w:rsidRPr="00D22CA0">
              <w:rPr>
                <w:sz w:val="20"/>
                <w:lang w:val="fr-CA"/>
              </w:rPr>
              <w:t xml:space="preserve"> juin 2017</w:t>
            </w:r>
          </w:p>
          <w:p w:rsidR="00D22CA0" w:rsidRPr="00D22CA0" w:rsidRDefault="00D22CA0" w:rsidP="00D22CA0">
            <w:pPr>
              <w:jc w:val="both"/>
              <w:rPr>
                <w:sz w:val="20"/>
                <w:lang w:val="fr-CA"/>
              </w:rPr>
            </w:pPr>
            <w:r w:rsidRPr="00D22CA0">
              <w:rPr>
                <w:sz w:val="20"/>
                <w:lang w:val="fr-CA"/>
              </w:rPr>
              <w:t>Cour d’appel de l’Ontario</w:t>
            </w:r>
          </w:p>
          <w:p w:rsidR="00D22CA0" w:rsidRPr="00D22CA0" w:rsidRDefault="00D22CA0" w:rsidP="00D22CA0">
            <w:pPr>
              <w:jc w:val="both"/>
              <w:rPr>
                <w:sz w:val="20"/>
                <w:lang w:val="fr-CA"/>
              </w:rPr>
            </w:pPr>
            <w:r w:rsidRPr="00D22CA0">
              <w:rPr>
                <w:sz w:val="20"/>
                <w:lang w:val="fr-CA"/>
              </w:rPr>
              <w:t xml:space="preserve">(Juges </w:t>
            </w:r>
            <w:proofErr w:type="spellStart"/>
            <w:r w:rsidRPr="00D22CA0">
              <w:rPr>
                <w:sz w:val="20"/>
                <w:lang w:val="fr-CA"/>
              </w:rPr>
              <w:t>LaForme</w:t>
            </w:r>
            <w:proofErr w:type="spellEnd"/>
            <w:r w:rsidRPr="00D22CA0">
              <w:rPr>
                <w:sz w:val="20"/>
                <w:lang w:val="fr-CA"/>
              </w:rPr>
              <w:t xml:space="preserve">, van </w:t>
            </w:r>
            <w:proofErr w:type="spellStart"/>
            <w:r w:rsidRPr="00D22CA0">
              <w:rPr>
                <w:sz w:val="20"/>
                <w:lang w:val="fr-CA"/>
              </w:rPr>
              <w:t>Rensburg</w:t>
            </w:r>
            <w:proofErr w:type="spellEnd"/>
            <w:r w:rsidRPr="00D22CA0">
              <w:rPr>
                <w:sz w:val="20"/>
                <w:lang w:val="fr-CA"/>
              </w:rPr>
              <w:t xml:space="preserve"> et </w:t>
            </w:r>
            <w:proofErr w:type="spellStart"/>
            <w:r w:rsidRPr="00D22CA0">
              <w:rPr>
                <w:sz w:val="20"/>
                <w:lang w:val="fr-CA"/>
              </w:rPr>
              <w:t>Huscroft</w:t>
            </w:r>
            <w:proofErr w:type="spellEnd"/>
            <w:r w:rsidRPr="00D22CA0">
              <w:rPr>
                <w:sz w:val="20"/>
                <w:lang w:val="fr-CA"/>
              </w:rPr>
              <w:t xml:space="preserve">) </w:t>
            </w:r>
          </w:p>
          <w:p w:rsidR="00D22CA0" w:rsidRPr="00D22CA0" w:rsidRDefault="00D22CA0" w:rsidP="00D22CA0">
            <w:pPr>
              <w:jc w:val="both"/>
              <w:rPr>
                <w:sz w:val="20"/>
                <w:lang w:val="fr-CA"/>
              </w:rPr>
            </w:pPr>
            <w:r w:rsidRPr="00D22CA0">
              <w:rPr>
                <w:sz w:val="20"/>
                <w:lang w:val="fr-CA"/>
              </w:rPr>
              <w:t xml:space="preserve">Référence neutre : </w:t>
            </w:r>
            <w:hyperlink r:id="rId29" w:history="1">
              <w:r w:rsidRPr="00D22CA0">
                <w:rPr>
                  <w:rStyle w:val="Hyperlink"/>
                  <w:sz w:val="20"/>
                  <w:lang w:val="fr-CA"/>
                </w:rPr>
                <w:t>2017 ONCA 442</w:t>
              </w:r>
            </w:hyperlink>
          </w:p>
          <w:p w:rsidR="00D22CA0" w:rsidRPr="00D22CA0" w:rsidRDefault="00D22CA0" w:rsidP="00D22CA0">
            <w:pPr>
              <w:jc w:val="both"/>
              <w:rPr>
                <w:sz w:val="20"/>
                <w:lang w:val="fr-CA"/>
              </w:rPr>
            </w:pPr>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lang w:val="fr-CA"/>
              </w:rPr>
            </w:pPr>
            <w:r w:rsidRPr="00D22CA0">
              <w:rPr>
                <w:sz w:val="20"/>
                <w:lang w:val="fr-CA"/>
              </w:rPr>
              <w:t>Arrêt accueillant l’appel et infirmant le rejet de l’action</w:t>
            </w:r>
          </w:p>
        </w:tc>
      </w:tr>
      <w:tr w:rsidR="00D22CA0" w:rsidRPr="00642A36" w:rsidTr="00E95A6A">
        <w:tc>
          <w:tcPr>
            <w:tcW w:w="2427" w:type="pct"/>
            <w:gridSpan w:val="2"/>
          </w:tcPr>
          <w:p w:rsidR="00D22CA0" w:rsidRPr="00D22CA0" w:rsidRDefault="00D22CA0" w:rsidP="00D22CA0">
            <w:pPr>
              <w:jc w:val="both"/>
              <w:rPr>
                <w:sz w:val="20"/>
                <w:lang w:val="fr-CA"/>
              </w:rPr>
            </w:pPr>
            <w:r w:rsidRPr="00D22CA0">
              <w:rPr>
                <w:sz w:val="20"/>
                <w:lang w:val="fr-CA"/>
              </w:rPr>
              <w:t>25 août 2017</w:t>
            </w:r>
          </w:p>
          <w:p w:rsidR="00D22CA0" w:rsidRPr="00D22CA0" w:rsidRDefault="00D22CA0" w:rsidP="00D22CA0">
            <w:pPr>
              <w:jc w:val="both"/>
              <w:rPr>
                <w:sz w:val="20"/>
                <w:lang w:val="fr-CA"/>
              </w:rPr>
            </w:pPr>
            <w:r w:rsidRPr="00D22CA0">
              <w:rPr>
                <w:sz w:val="20"/>
                <w:lang w:val="fr-CA"/>
              </w:rPr>
              <w:t>Cour suprême du Canada</w:t>
            </w:r>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lang w:val="fr-CA"/>
              </w:rPr>
            </w:pPr>
            <w:r w:rsidRPr="00D22CA0">
              <w:rPr>
                <w:sz w:val="20"/>
                <w:lang w:val="fr-CA"/>
              </w:rPr>
              <w:t>Dépôt de la demande d’autorisation d’appel</w:t>
            </w:r>
          </w:p>
          <w:p w:rsidR="00D22CA0" w:rsidRPr="00D22CA0" w:rsidRDefault="00D22CA0" w:rsidP="00D22CA0">
            <w:pPr>
              <w:jc w:val="both"/>
              <w:rPr>
                <w:sz w:val="20"/>
                <w:lang w:val="fr-CA"/>
              </w:rPr>
            </w:pPr>
          </w:p>
        </w:tc>
      </w:tr>
    </w:tbl>
    <w:p w:rsidR="00D22CA0" w:rsidRPr="00D22CA0" w:rsidRDefault="00D22CA0" w:rsidP="00D22CA0">
      <w:pPr>
        <w:jc w:val="both"/>
        <w:rPr>
          <w:sz w:val="20"/>
          <w:lang w:val="fr-CA"/>
        </w:rPr>
      </w:pPr>
    </w:p>
    <w:p w:rsidR="00D22CA0" w:rsidRPr="00D22CA0" w:rsidRDefault="00D22CA0" w:rsidP="00D22CA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2CA0" w:rsidRPr="00D22CA0" w:rsidTr="00E95A6A">
        <w:tc>
          <w:tcPr>
            <w:tcW w:w="543" w:type="pct"/>
          </w:tcPr>
          <w:p w:rsidR="00D22CA0" w:rsidRPr="00D22CA0" w:rsidRDefault="00D22CA0" w:rsidP="00D22CA0">
            <w:pPr>
              <w:jc w:val="both"/>
              <w:rPr>
                <w:sz w:val="20"/>
              </w:rPr>
            </w:pPr>
            <w:r w:rsidRPr="00D22CA0">
              <w:rPr>
                <w:rStyle w:val="SCCFileNumberChar"/>
                <w:sz w:val="20"/>
                <w:szCs w:val="20"/>
              </w:rPr>
              <w:t>37727</w:t>
            </w:r>
          </w:p>
        </w:tc>
        <w:tc>
          <w:tcPr>
            <w:tcW w:w="4457" w:type="pct"/>
            <w:gridSpan w:val="3"/>
          </w:tcPr>
          <w:p w:rsidR="00D22CA0" w:rsidRPr="00D22CA0" w:rsidRDefault="00D22CA0" w:rsidP="00D22CA0">
            <w:pPr>
              <w:pStyle w:val="SCCLsocParty"/>
              <w:jc w:val="both"/>
              <w:rPr>
                <w:b/>
                <w:sz w:val="20"/>
                <w:szCs w:val="20"/>
                <w:lang w:val="en-US"/>
              </w:rPr>
            </w:pPr>
            <w:r w:rsidRPr="00D22CA0">
              <w:rPr>
                <w:b/>
                <w:sz w:val="20"/>
                <w:szCs w:val="20"/>
                <w:lang w:val="en-US"/>
              </w:rPr>
              <w:t xml:space="preserve">Lianne Tregobov v. Normand Paradis, Irene Paradis, Glen Williams, </w:t>
            </w:r>
            <w:proofErr w:type="spellStart"/>
            <w:r w:rsidRPr="00D22CA0">
              <w:rPr>
                <w:b/>
                <w:sz w:val="20"/>
                <w:szCs w:val="20"/>
                <w:lang w:val="en-US"/>
              </w:rPr>
              <w:t>Saramax</w:t>
            </w:r>
            <w:proofErr w:type="spellEnd"/>
            <w:r w:rsidRPr="00D22CA0">
              <w:rPr>
                <w:b/>
                <w:sz w:val="20"/>
                <w:szCs w:val="20"/>
                <w:lang w:val="en-US"/>
              </w:rPr>
              <w:t xml:space="preserve"> Investments Ltd., carrying on business as Century 21 Bachman and Associates, </w:t>
            </w:r>
            <w:proofErr w:type="spellStart"/>
            <w:r w:rsidRPr="00D22CA0">
              <w:rPr>
                <w:b/>
                <w:sz w:val="20"/>
                <w:szCs w:val="20"/>
                <w:lang w:val="en-US"/>
              </w:rPr>
              <w:t>Mantin</w:t>
            </w:r>
            <w:proofErr w:type="spellEnd"/>
            <w:r w:rsidRPr="00D22CA0">
              <w:rPr>
                <w:b/>
                <w:sz w:val="20"/>
                <w:szCs w:val="20"/>
                <w:lang w:val="en-US"/>
              </w:rPr>
              <w:t xml:space="preserve"> Consulting Inc., carrying on business as Century 21 Bachman and Associates, 5887381 Manitoba Ltd., carrying on business as Century 21 Bachman and Associates</w:t>
            </w:r>
          </w:p>
          <w:p w:rsidR="00D22CA0" w:rsidRPr="00D22CA0" w:rsidRDefault="00D22CA0" w:rsidP="00D22CA0">
            <w:pPr>
              <w:pStyle w:val="SCCLsocSubfileSeparator"/>
              <w:rPr>
                <w:sz w:val="20"/>
                <w:szCs w:val="20"/>
              </w:rPr>
            </w:pPr>
            <w:r w:rsidRPr="00D22CA0">
              <w:rPr>
                <w:sz w:val="20"/>
                <w:szCs w:val="20"/>
              </w:rPr>
              <w:t>- and between -</w:t>
            </w:r>
          </w:p>
          <w:p w:rsidR="00D22CA0" w:rsidRPr="00D22CA0" w:rsidRDefault="00D22CA0" w:rsidP="00D22CA0">
            <w:pPr>
              <w:pStyle w:val="SCCLsocParty"/>
              <w:jc w:val="both"/>
              <w:rPr>
                <w:b/>
                <w:sz w:val="20"/>
                <w:szCs w:val="20"/>
                <w:lang w:val="en-US"/>
              </w:rPr>
            </w:pPr>
            <w:r w:rsidRPr="00D22CA0">
              <w:rPr>
                <w:b/>
                <w:sz w:val="20"/>
                <w:szCs w:val="20"/>
                <w:lang w:val="en-US"/>
              </w:rPr>
              <w:t xml:space="preserve">Lianne Tregobov v. Irene Paradis as executor of the estate of Normand Paradis, deceased, Irene Paradis, Glen Williams, </w:t>
            </w:r>
            <w:proofErr w:type="spellStart"/>
            <w:r w:rsidRPr="00D22CA0">
              <w:rPr>
                <w:b/>
                <w:sz w:val="20"/>
                <w:szCs w:val="20"/>
                <w:lang w:val="en-US"/>
              </w:rPr>
              <w:t>Saramax</w:t>
            </w:r>
            <w:proofErr w:type="spellEnd"/>
            <w:r w:rsidRPr="00D22CA0">
              <w:rPr>
                <w:b/>
                <w:sz w:val="20"/>
                <w:szCs w:val="20"/>
                <w:lang w:val="en-US"/>
              </w:rPr>
              <w:t xml:space="preserve"> Investments Ltd., carrying on business as Century 21 Bachman and Associates, </w:t>
            </w:r>
            <w:proofErr w:type="spellStart"/>
            <w:r w:rsidRPr="00D22CA0">
              <w:rPr>
                <w:b/>
                <w:sz w:val="20"/>
                <w:szCs w:val="20"/>
                <w:lang w:val="en-US"/>
              </w:rPr>
              <w:t>Mantin</w:t>
            </w:r>
            <w:proofErr w:type="spellEnd"/>
            <w:r w:rsidRPr="00D22CA0">
              <w:rPr>
                <w:b/>
                <w:sz w:val="20"/>
                <w:szCs w:val="20"/>
                <w:lang w:val="en-US"/>
              </w:rPr>
              <w:t xml:space="preserve"> Consulting Inc., carrying on business as Century 21 Bachman and Associates, 5887381 Manitoba Ltd., carrying on business as Century 21 Bachman and Associates</w:t>
            </w:r>
          </w:p>
          <w:p w:rsidR="00D22CA0" w:rsidRPr="00D22CA0" w:rsidRDefault="00D22CA0" w:rsidP="00D22CA0">
            <w:pPr>
              <w:pStyle w:val="SCCLsocSubfileSeparator"/>
              <w:rPr>
                <w:sz w:val="20"/>
                <w:szCs w:val="20"/>
              </w:rPr>
            </w:pPr>
            <w:r w:rsidRPr="00D22CA0">
              <w:rPr>
                <w:sz w:val="20"/>
                <w:szCs w:val="20"/>
              </w:rPr>
              <w:t>- and between -</w:t>
            </w:r>
          </w:p>
          <w:p w:rsidR="00D22CA0" w:rsidRPr="00D22CA0" w:rsidRDefault="00D22CA0" w:rsidP="00D22CA0">
            <w:pPr>
              <w:pStyle w:val="SCCLsocParty"/>
              <w:jc w:val="both"/>
              <w:rPr>
                <w:b/>
                <w:sz w:val="20"/>
                <w:szCs w:val="20"/>
                <w:lang w:val="en-US"/>
              </w:rPr>
            </w:pPr>
            <w:r w:rsidRPr="00D22CA0">
              <w:rPr>
                <w:b/>
                <w:sz w:val="20"/>
                <w:szCs w:val="20"/>
                <w:lang w:val="en-US"/>
              </w:rPr>
              <w:t xml:space="preserve">Lianne Tregobov v. David Paradis as litigation administrator of the estate of Normand Paradis, deceased, David Paradis and Brian Paradis as executors of the estate of Irene Paradis, deceased, Glen Williams, </w:t>
            </w:r>
            <w:proofErr w:type="spellStart"/>
            <w:r w:rsidRPr="00D22CA0">
              <w:rPr>
                <w:b/>
                <w:sz w:val="20"/>
                <w:szCs w:val="20"/>
                <w:lang w:val="en-US"/>
              </w:rPr>
              <w:t>Saramax</w:t>
            </w:r>
            <w:proofErr w:type="spellEnd"/>
            <w:r w:rsidRPr="00D22CA0">
              <w:rPr>
                <w:b/>
                <w:sz w:val="20"/>
                <w:szCs w:val="20"/>
                <w:lang w:val="en-US"/>
              </w:rPr>
              <w:t xml:space="preserve"> Investments Ltd., carrying on business as Century 21 Bachman and Associates, </w:t>
            </w:r>
            <w:proofErr w:type="spellStart"/>
            <w:r w:rsidRPr="00D22CA0">
              <w:rPr>
                <w:b/>
                <w:sz w:val="20"/>
                <w:szCs w:val="20"/>
                <w:lang w:val="en-US"/>
              </w:rPr>
              <w:t>Mantin</w:t>
            </w:r>
            <w:proofErr w:type="spellEnd"/>
            <w:r w:rsidRPr="00D22CA0">
              <w:rPr>
                <w:b/>
                <w:sz w:val="20"/>
                <w:szCs w:val="20"/>
                <w:lang w:val="en-US"/>
              </w:rPr>
              <w:t xml:space="preserve"> Consulting Inc., carrying on business as Century 21 Bachman and Associates, 5887381 Manitoba Ltd., carrying on business as Century 21 Bachman and Associates</w:t>
            </w:r>
          </w:p>
          <w:p w:rsidR="00D22CA0" w:rsidRPr="00D22CA0" w:rsidRDefault="00D22CA0" w:rsidP="00D22CA0">
            <w:pPr>
              <w:jc w:val="both"/>
              <w:rPr>
                <w:sz w:val="20"/>
              </w:rPr>
            </w:pPr>
            <w:r w:rsidRPr="00D22CA0">
              <w:rPr>
                <w:sz w:val="20"/>
              </w:rPr>
              <w:t>(Man.) (Civil) (By Leave)</w:t>
            </w:r>
          </w:p>
        </w:tc>
      </w:tr>
      <w:tr w:rsidR="00D22CA0" w:rsidRPr="00D22CA0" w:rsidTr="00E95A6A">
        <w:tc>
          <w:tcPr>
            <w:tcW w:w="5000" w:type="pct"/>
            <w:gridSpan w:val="4"/>
          </w:tcPr>
          <w:p w:rsidR="00D22CA0" w:rsidRPr="00D22CA0" w:rsidRDefault="00D22CA0" w:rsidP="00D22CA0">
            <w:pPr>
              <w:jc w:val="both"/>
              <w:rPr>
                <w:sz w:val="20"/>
              </w:rPr>
            </w:pPr>
            <w:r w:rsidRPr="00D22CA0">
              <w:rPr>
                <w:sz w:val="20"/>
              </w:rPr>
              <w:t>Property – Real property – Sale of property – Latent defects – Remedies – Whether elements of fraudulent misrepresentation established and whether onus to prove reliance shifts to vendors to establish purchaser did not rely upon misrepresentation – What is duty of care owed by real estate listing agents to purchasers in making representations and creating and publishing a public MLS Listing – Whether vendors vicariously liable for actions of their listing agents.</w:t>
            </w:r>
          </w:p>
        </w:tc>
      </w:tr>
      <w:tr w:rsidR="00D22CA0" w:rsidRPr="00D22CA0" w:rsidTr="00E95A6A">
        <w:tc>
          <w:tcPr>
            <w:tcW w:w="5000" w:type="pct"/>
            <w:gridSpan w:val="4"/>
          </w:tcPr>
          <w:p w:rsidR="00D22CA0" w:rsidRPr="00D22CA0" w:rsidRDefault="00D22CA0" w:rsidP="00D22CA0">
            <w:pPr>
              <w:jc w:val="both"/>
              <w:rPr>
                <w:sz w:val="20"/>
              </w:rPr>
            </w:pPr>
          </w:p>
          <w:p w:rsidR="00D22CA0" w:rsidRPr="00D22CA0" w:rsidRDefault="00D22CA0" w:rsidP="00D22CA0">
            <w:pPr>
              <w:jc w:val="both"/>
              <w:rPr>
                <w:sz w:val="20"/>
              </w:rPr>
            </w:pPr>
            <w:r w:rsidRPr="00D22CA0">
              <w:rPr>
                <w:sz w:val="20"/>
              </w:rPr>
              <w:t>Normand and Irene Paradis were an elderly couple who sold their home to Lianne Tregobov in late 2009. When Ms. Tregobov bought the home she was aware of evidence of some previous water infiltration along the north basement foundation wall and that certain foundation repair to the north wall would be required. Unusually heavy rain the following spring resulted in flooding of Ms. </w:t>
            </w:r>
            <w:proofErr w:type="spellStart"/>
            <w:r w:rsidRPr="00D22CA0">
              <w:rPr>
                <w:sz w:val="20"/>
              </w:rPr>
              <w:t>Tregobov’s</w:t>
            </w:r>
            <w:proofErr w:type="spellEnd"/>
            <w:r w:rsidRPr="00D22CA0">
              <w:rPr>
                <w:sz w:val="20"/>
              </w:rPr>
              <w:t xml:space="preserve"> basement. That flooding caused damage to wall paneling which, when removed, disclosed significant basement cracks to the foundation walls. Ms. Tregobov commenced an action alleging fraudulent misrepresentation against the vendors and their real estate agent, Glen Williams, as well for negligent misrepresentation against Mr. Williams. The Court of Queen’s Bench dismissed Ms. </w:t>
            </w:r>
            <w:proofErr w:type="spellStart"/>
            <w:r w:rsidRPr="00D22CA0">
              <w:rPr>
                <w:sz w:val="20"/>
              </w:rPr>
              <w:t>Tregobov’s</w:t>
            </w:r>
            <w:proofErr w:type="spellEnd"/>
            <w:r w:rsidRPr="00D22CA0">
              <w:rPr>
                <w:sz w:val="20"/>
              </w:rPr>
              <w:t xml:space="preserve"> claims on the basis that there was no reliance by Ms. Tregobov upon the representations made by the vendors and Mr. Williams. The Court of Appeal of Manitoba dismissed Ms. </w:t>
            </w:r>
            <w:proofErr w:type="spellStart"/>
            <w:r w:rsidRPr="00D22CA0">
              <w:rPr>
                <w:sz w:val="20"/>
              </w:rPr>
              <w:t>Tregobov’s</w:t>
            </w:r>
            <w:proofErr w:type="spellEnd"/>
            <w:r w:rsidRPr="00D22CA0">
              <w:rPr>
                <w:sz w:val="20"/>
              </w:rPr>
              <w:t xml:space="preserve"> appeal.</w:t>
            </w:r>
          </w:p>
        </w:tc>
      </w:tr>
      <w:tr w:rsidR="00D22CA0" w:rsidRPr="00D22CA0" w:rsidTr="00E95A6A">
        <w:tc>
          <w:tcPr>
            <w:tcW w:w="5000" w:type="pct"/>
            <w:gridSpan w:val="4"/>
          </w:tcPr>
          <w:p w:rsidR="00D22CA0" w:rsidRPr="00D22CA0" w:rsidRDefault="00D22CA0" w:rsidP="00D22CA0">
            <w:pPr>
              <w:jc w:val="both"/>
              <w:rPr>
                <w:sz w:val="20"/>
              </w:rPr>
            </w:pPr>
          </w:p>
        </w:tc>
      </w:tr>
      <w:tr w:rsidR="00D22CA0" w:rsidRPr="00D22CA0" w:rsidTr="00E95A6A">
        <w:tc>
          <w:tcPr>
            <w:tcW w:w="2427" w:type="pct"/>
            <w:gridSpan w:val="2"/>
          </w:tcPr>
          <w:p w:rsidR="00D22CA0" w:rsidRPr="00D22CA0" w:rsidRDefault="00D22CA0" w:rsidP="00D22CA0">
            <w:pPr>
              <w:jc w:val="both"/>
              <w:rPr>
                <w:sz w:val="20"/>
              </w:rPr>
            </w:pPr>
            <w:r w:rsidRPr="00D22CA0">
              <w:rPr>
                <w:sz w:val="20"/>
              </w:rPr>
              <w:t>August 13, 2015</w:t>
            </w:r>
          </w:p>
          <w:p w:rsidR="00D22CA0" w:rsidRPr="00D22CA0" w:rsidRDefault="00D22CA0" w:rsidP="00D22CA0">
            <w:pPr>
              <w:jc w:val="both"/>
              <w:rPr>
                <w:sz w:val="20"/>
              </w:rPr>
            </w:pPr>
            <w:r w:rsidRPr="00D22CA0">
              <w:rPr>
                <w:sz w:val="20"/>
              </w:rPr>
              <w:t>Court of Queen’s Bench of Manitoba</w:t>
            </w:r>
          </w:p>
          <w:p w:rsidR="00D22CA0" w:rsidRPr="00D22CA0" w:rsidRDefault="00D22CA0" w:rsidP="00D22CA0">
            <w:pPr>
              <w:jc w:val="both"/>
              <w:rPr>
                <w:sz w:val="20"/>
              </w:rPr>
            </w:pPr>
            <w:r w:rsidRPr="00D22CA0">
              <w:rPr>
                <w:sz w:val="20"/>
              </w:rPr>
              <w:t>(Schulman J.)</w:t>
            </w:r>
          </w:p>
          <w:p w:rsidR="00D22CA0" w:rsidRPr="00D22CA0" w:rsidRDefault="00642A36" w:rsidP="00D22CA0">
            <w:pPr>
              <w:jc w:val="both"/>
              <w:rPr>
                <w:sz w:val="20"/>
              </w:rPr>
            </w:pPr>
            <w:hyperlink r:id="rId30" w:history="1">
              <w:r w:rsidR="00D22CA0" w:rsidRPr="00D22CA0">
                <w:rPr>
                  <w:rStyle w:val="Hyperlink"/>
                  <w:sz w:val="20"/>
                </w:rPr>
                <w:t>2015 MBQB 136</w:t>
              </w:r>
            </w:hyperlink>
          </w:p>
          <w:p w:rsidR="00D22CA0" w:rsidRPr="00D22CA0" w:rsidRDefault="00D22CA0" w:rsidP="00D22CA0">
            <w:pPr>
              <w:jc w:val="both"/>
              <w:rPr>
                <w:sz w:val="20"/>
              </w:rPr>
            </w:pPr>
          </w:p>
        </w:tc>
        <w:tc>
          <w:tcPr>
            <w:tcW w:w="243" w:type="pct"/>
          </w:tcPr>
          <w:p w:rsidR="00D22CA0" w:rsidRPr="00D22CA0" w:rsidRDefault="00D22CA0" w:rsidP="00D22CA0">
            <w:pPr>
              <w:jc w:val="both"/>
              <w:rPr>
                <w:sz w:val="20"/>
              </w:rPr>
            </w:pPr>
          </w:p>
        </w:tc>
        <w:tc>
          <w:tcPr>
            <w:tcW w:w="2330" w:type="pct"/>
          </w:tcPr>
          <w:p w:rsidR="00D22CA0" w:rsidRPr="00D22CA0" w:rsidRDefault="00D22CA0" w:rsidP="00D22CA0">
            <w:pPr>
              <w:jc w:val="both"/>
              <w:rPr>
                <w:sz w:val="20"/>
              </w:rPr>
            </w:pPr>
            <w:r w:rsidRPr="00D22CA0">
              <w:rPr>
                <w:sz w:val="20"/>
              </w:rPr>
              <w:t>Applicant’s claims for negligent and fraudulent misrepresentation, dismissed.</w:t>
            </w:r>
          </w:p>
          <w:p w:rsidR="00D22CA0" w:rsidRPr="00D22CA0" w:rsidRDefault="00D22CA0" w:rsidP="00D22CA0">
            <w:pPr>
              <w:jc w:val="both"/>
              <w:rPr>
                <w:sz w:val="20"/>
              </w:rPr>
            </w:pPr>
          </w:p>
        </w:tc>
      </w:tr>
      <w:tr w:rsidR="00D22CA0" w:rsidRPr="00D22CA0" w:rsidTr="00E95A6A">
        <w:tc>
          <w:tcPr>
            <w:tcW w:w="2427" w:type="pct"/>
            <w:gridSpan w:val="2"/>
          </w:tcPr>
          <w:p w:rsidR="00D22CA0" w:rsidRPr="00D22CA0" w:rsidRDefault="00D22CA0" w:rsidP="00D22CA0">
            <w:pPr>
              <w:jc w:val="both"/>
              <w:rPr>
                <w:sz w:val="20"/>
              </w:rPr>
            </w:pPr>
            <w:r w:rsidRPr="00D22CA0">
              <w:rPr>
                <w:sz w:val="20"/>
              </w:rPr>
              <w:t>June 7, 2017</w:t>
            </w:r>
          </w:p>
          <w:p w:rsidR="00D22CA0" w:rsidRPr="00D22CA0" w:rsidRDefault="00D22CA0" w:rsidP="00D22CA0">
            <w:pPr>
              <w:jc w:val="both"/>
              <w:rPr>
                <w:sz w:val="20"/>
              </w:rPr>
            </w:pPr>
            <w:r w:rsidRPr="00D22CA0">
              <w:rPr>
                <w:sz w:val="20"/>
              </w:rPr>
              <w:t>Court of Appeal of Manitoba</w:t>
            </w:r>
          </w:p>
          <w:p w:rsidR="00D22CA0" w:rsidRPr="00D22CA0" w:rsidRDefault="00D22CA0" w:rsidP="00D22CA0">
            <w:pPr>
              <w:jc w:val="both"/>
              <w:rPr>
                <w:sz w:val="20"/>
                <w:lang w:val="fr-CA"/>
              </w:rPr>
            </w:pPr>
            <w:r w:rsidRPr="00D22CA0">
              <w:rPr>
                <w:sz w:val="20"/>
                <w:lang w:val="fr-CA"/>
              </w:rPr>
              <w:t>(</w:t>
            </w:r>
            <w:proofErr w:type="spellStart"/>
            <w:r w:rsidRPr="00D22CA0">
              <w:rPr>
                <w:sz w:val="20"/>
                <w:lang w:val="fr-CA"/>
              </w:rPr>
              <w:t>MacInnes</w:t>
            </w:r>
            <w:proofErr w:type="spellEnd"/>
            <w:r w:rsidRPr="00D22CA0">
              <w:rPr>
                <w:sz w:val="20"/>
                <w:lang w:val="fr-CA"/>
              </w:rPr>
              <w:t xml:space="preserve">, </w:t>
            </w:r>
            <w:proofErr w:type="spellStart"/>
            <w:r w:rsidRPr="00D22CA0">
              <w:rPr>
                <w:sz w:val="20"/>
                <w:lang w:val="fr-CA"/>
              </w:rPr>
              <w:t>Mainella</w:t>
            </w:r>
            <w:proofErr w:type="spellEnd"/>
            <w:r w:rsidRPr="00D22CA0">
              <w:rPr>
                <w:sz w:val="20"/>
                <w:lang w:val="fr-CA"/>
              </w:rPr>
              <w:t xml:space="preserve"> and </w:t>
            </w:r>
            <w:proofErr w:type="spellStart"/>
            <w:r w:rsidRPr="00D22CA0">
              <w:rPr>
                <w:sz w:val="20"/>
                <w:lang w:val="fr-CA"/>
              </w:rPr>
              <w:t>leMaistre</w:t>
            </w:r>
            <w:proofErr w:type="spellEnd"/>
            <w:r w:rsidRPr="00D22CA0">
              <w:rPr>
                <w:sz w:val="20"/>
                <w:lang w:val="fr-CA"/>
              </w:rPr>
              <w:t xml:space="preserve"> JJ.A.)</w:t>
            </w:r>
          </w:p>
          <w:p w:rsidR="00D22CA0" w:rsidRPr="00D22CA0" w:rsidRDefault="00642A36" w:rsidP="00D22CA0">
            <w:pPr>
              <w:jc w:val="both"/>
              <w:rPr>
                <w:sz w:val="20"/>
              </w:rPr>
            </w:pPr>
            <w:hyperlink r:id="rId31" w:history="1">
              <w:r w:rsidR="00D22CA0" w:rsidRPr="00D22CA0">
                <w:rPr>
                  <w:rStyle w:val="Hyperlink"/>
                  <w:sz w:val="20"/>
                </w:rPr>
                <w:t>2017 MBCA 60</w:t>
              </w:r>
            </w:hyperlink>
          </w:p>
          <w:p w:rsidR="00D22CA0" w:rsidRPr="00D22CA0" w:rsidRDefault="00D22CA0" w:rsidP="00D22CA0">
            <w:pPr>
              <w:jc w:val="both"/>
              <w:rPr>
                <w:sz w:val="20"/>
                <w:lang w:val="fr-CA"/>
              </w:rPr>
            </w:pPr>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rPr>
            </w:pPr>
            <w:r w:rsidRPr="00D22CA0">
              <w:rPr>
                <w:sz w:val="20"/>
              </w:rPr>
              <w:t>Applicant’s appeal, dismissed.</w:t>
            </w:r>
          </w:p>
          <w:p w:rsidR="00D22CA0" w:rsidRPr="00D22CA0" w:rsidRDefault="00D22CA0" w:rsidP="00D22CA0">
            <w:pPr>
              <w:jc w:val="both"/>
              <w:rPr>
                <w:sz w:val="20"/>
              </w:rPr>
            </w:pPr>
          </w:p>
        </w:tc>
      </w:tr>
      <w:tr w:rsidR="00D22CA0" w:rsidRPr="00D22CA0" w:rsidTr="00E95A6A">
        <w:tc>
          <w:tcPr>
            <w:tcW w:w="2427" w:type="pct"/>
            <w:gridSpan w:val="2"/>
          </w:tcPr>
          <w:p w:rsidR="00D22CA0" w:rsidRPr="00D22CA0" w:rsidRDefault="00D22CA0" w:rsidP="00D22CA0">
            <w:pPr>
              <w:jc w:val="both"/>
              <w:rPr>
                <w:sz w:val="20"/>
              </w:rPr>
            </w:pPr>
            <w:r w:rsidRPr="00D22CA0">
              <w:rPr>
                <w:sz w:val="20"/>
              </w:rPr>
              <w:t>August 31, 2017</w:t>
            </w:r>
          </w:p>
          <w:p w:rsidR="00D22CA0" w:rsidRPr="00D22CA0" w:rsidRDefault="00D22CA0" w:rsidP="00D22CA0">
            <w:pPr>
              <w:jc w:val="both"/>
              <w:rPr>
                <w:sz w:val="20"/>
              </w:rPr>
            </w:pPr>
            <w:r w:rsidRPr="00D22CA0">
              <w:rPr>
                <w:sz w:val="20"/>
              </w:rPr>
              <w:t>Supreme Court of Canada</w:t>
            </w:r>
          </w:p>
        </w:tc>
        <w:tc>
          <w:tcPr>
            <w:tcW w:w="243" w:type="pct"/>
          </w:tcPr>
          <w:p w:rsidR="00D22CA0" w:rsidRPr="00D22CA0" w:rsidRDefault="00D22CA0" w:rsidP="00D22CA0">
            <w:pPr>
              <w:jc w:val="both"/>
              <w:rPr>
                <w:sz w:val="20"/>
              </w:rPr>
            </w:pPr>
          </w:p>
        </w:tc>
        <w:tc>
          <w:tcPr>
            <w:tcW w:w="2330" w:type="pct"/>
          </w:tcPr>
          <w:p w:rsidR="00D22CA0" w:rsidRPr="00D22CA0" w:rsidRDefault="00D22CA0" w:rsidP="00D22CA0">
            <w:pPr>
              <w:jc w:val="both"/>
              <w:rPr>
                <w:sz w:val="20"/>
              </w:rPr>
            </w:pPr>
            <w:r w:rsidRPr="00D22CA0">
              <w:rPr>
                <w:sz w:val="20"/>
              </w:rPr>
              <w:t>Application for leave to appeal, filed.</w:t>
            </w:r>
          </w:p>
          <w:p w:rsidR="00D22CA0" w:rsidRPr="00D22CA0" w:rsidRDefault="00D22CA0" w:rsidP="00D22CA0">
            <w:pPr>
              <w:jc w:val="both"/>
              <w:rPr>
                <w:sz w:val="20"/>
              </w:rPr>
            </w:pPr>
          </w:p>
        </w:tc>
      </w:tr>
    </w:tbl>
    <w:p w:rsidR="00D22CA0" w:rsidRDefault="00D22CA0" w:rsidP="00D22CA0">
      <w:pPr>
        <w:jc w:val="both"/>
        <w:rPr>
          <w:sz w:val="20"/>
        </w:rPr>
      </w:pPr>
    </w:p>
    <w:p w:rsidR="00D22CA0" w:rsidRPr="00D22CA0" w:rsidRDefault="00D22CA0" w:rsidP="00D22C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2CA0" w:rsidRPr="00D22CA0" w:rsidTr="00E95A6A">
        <w:tc>
          <w:tcPr>
            <w:tcW w:w="543" w:type="pct"/>
          </w:tcPr>
          <w:p w:rsidR="00D22CA0" w:rsidRPr="00D22CA0" w:rsidRDefault="00D22CA0" w:rsidP="00D22CA0">
            <w:pPr>
              <w:jc w:val="both"/>
              <w:rPr>
                <w:sz w:val="20"/>
              </w:rPr>
            </w:pPr>
            <w:r w:rsidRPr="00D22CA0">
              <w:rPr>
                <w:rStyle w:val="SCCFileNumberChar"/>
                <w:sz w:val="20"/>
                <w:szCs w:val="20"/>
              </w:rPr>
              <w:t>37727</w:t>
            </w:r>
          </w:p>
        </w:tc>
        <w:tc>
          <w:tcPr>
            <w:tcW w:w="4457" w:type="pct"/>
            <w:gridSpan w:val="3"/>
          </w:tcPr>
          <w:p w:rsidR="00D22CA0" w:rsidRPr="00D22CA0" w:rsidRDefault="00D22CA0" w:rsidP="00D22CA0">
            <w:pPr>
              <w:pStyle w:val="SCCLsocParty"/>
              <w:jc w:val="both"/>
              <w:rPr>
                <w:b/>
                <w:sz w:val="20"/>
                <w:szCs w:val="20"/>
                <w:lang w:val="en-US"/>
              </w:rPr>
            </w:pPr>
            <w:r w:rsidRPr="00D22CA0">
              <w:rPr>
                <w:b/>
                <w:sz w:val="20"/>
                <w:szCs w:val="20"/>
                <w:lang w:val="en-US"/>
              </w:rPr>
              <w:t xml:space="preserve">Lianne Tregobov c. Normand Paradis, Irene Paradis, Glen Williams, </w:t>
            </w:r>
            <w:proofErr w:type="spellStart"/>
            <w:r w:rsidRPr="00D22CA0">
              <w:rPr>
                <w:b/>
                <w:sz w:val="20"/>
                <w:szCs w:val="20"/>
                <w:lang w:val="en-US"/>
              </w:rPr>
              <w:t>Saramax</w:t>
            </w:r>
            <w:proofErr w:type="spellEnd"/>
            <w:r w:rsidRPr="00D22CA0">
              <w:rPr>
                <w:b/>
                <w:sz w:val="20"/>
                <w:szCs w:val="20"/>
                <w:lang w:val="en-US"/>
              </w:rPr>
              <w:t xml:space="preserve"> Investments Ltd., carrying on business as Century 21 Bachman and Associates, </w:t>
            </w:r>
            <w:proofErr w:type="spellStart"/>
            <w:r w:rsidRPr="00D22CA0">
              <w:rPr>
                <w:b/>
                <w:sz w:val="20"/>
                <w:szCs w:val="20"/>
                <w:lang w:val="en-US"/>
              </w:rPr>
              <w:t>Mantin</w:t>
            </w:r>
            <w:proofErr w:type="spellEnd"/>
            <w:r w:rsidRPr="00D22CA0">
              <w:rPr>
                <w:b/>
                <w:sz w:val="20"/>
                <w:szCs w:val="20"/>
                <w:lang w:val="en-US"/>
              </w:rPr>
              <w:t xml:space="preserve"> Consulting Inc., carrying on business as Century 21 Bachman and Associates, 5887381 Manitoba Ltd., carrying on business as Century 21 Bachman and Associates</w:t>
            </w:r>
          </w:p>
          <w:p w:rsidR="00D22CA0" w:rsidRPr="00D22CA0" w:rsidRDefault="00D22CA0" w:rsidP="00D22CA0">
            <w:pPr>
              <w:pStyle w:val="SCCLsocSubfileSeparator"/>
              <w:rPr>
                <w:sz w:val="20"/>
                <w:szCs w:val="20"/>
              </w:rPr>
            </w:pPr>
            <w:r w:rsidRPr="00D22CA0">
              <w:rPr>
                <w:sz w:val="20"/>
                <w:szCs w:val="20"/>
              </w:rPr>
              <w:t>- et entre -</w:t>
            </w:r>
          </w:p>
          <w:p w:rsidR="00D22CA0" w:rsidRPr="00D22CA0" w:rsidRDefault="00D22CA0" w:rsidP="00D22CA0">
            <w:pPr>
              <w:pStyle w:val="SCCLsocParty"/>
              <w:jc w:val="both"/>
              <w:rPr>
                <w:b/>
                <w:sz w:val="20"/>
                <w:szCs w:val="20"/>
                <w:lang w:val="en-US"/>
              </w:rPr>
            </w:pPr>
            <w:r w:rsidRPr="00D22CA0">
              <w:rPr>
                <w:b/>
                <w:sz w:val="20"/>
                <w:szCs w:val="20"/>
                <w:lang w:val="en-US"/>
              </w:rPr>
              <w:t xml:space="preserve">Lianne Tregobov c. Irene Paradis, à </w:t>
            </w:r>
            <w:proofErr w:type="spellStart"/>
            <w:r w:rsidRPr="00D22CA0">
              <w:rPr>
                <w:b/>
                <w:sz w:val="20"/>
                <w:szCs w:val="20"/>
                <w:lang w:val="en-US"/>
              </w:rPr>
              <w:t>titre</w:t>
            </w:r>
            <w:proofErr w:type="spellEnd"/>
            <w:r w:rsidRPr="00D22CA0">
              <w:rPr>
                <w:b/>
                <w:sz w:val="20"/>
                <w:szCs w:val="20"/>
                <w:lang w:val="en-US"/>
              </w:rPr>
              <w:t xml:space="preserve"> </w:t>
            </w:r>
            <w:proofErr w:type="spellStart"/>
            <w:r w:rsidRPr="00D22CA0">
              <w:rPr>
                <w:b/>
                <w:sz w:val="20"/>
                <w:szCs w:val="20"/>
                <w:lang w:val="en-US"/>
              </w:rPr>
              <w:t>d’exécutrice</w:t>
            </w:r>
            <w:proofErr w:type="spellEnd"/>
            <w:r w:rsidRPr="00D22CA0">
              <w:rPr>
                <w:b/>
                <w:sz w:val="20"/>
                <w:szCs w:val="20"/>
                <w:lang w:val="en-US"/>
              </w:rPr>
              <w:t xml:space="preserve"> de la succession de feu Normand Paradis, Irene Paradis, Glen Williams, </w:t>
            </w:r>
            <w:proofErr w:type="spellStart"/>
            <w:r w:rsidRPr="00D22CA0">
              <w:rPr>
                <w:b/>
                <w:sz w:val="20"/>
                <w:szCs w:val="20"/>
                <w:lang w:val="en-US"/>
              </w:rPr>
              <w:t>Saramax</w:t>
            </w:r>
            <w:proofErr w:type="spellEnd"/>
            <w:r w:rsidRPr="00D22CA0">
              <w:rPr>
                <w:b/>
                <w:sz w:val="20"/>
                <w:szCs w:val="20"/>
                <w:lang w:val="en-US"/>
              </w:rPr>
              <w:t xml:space="preserve"> Investments Ltd., carrying on business as Century 21 Bachman and Associates, </w:t>
            </w:r>
            <w:proofErr w:type="spellStart"/>
            <w:r w:rsidRPr="00D22CA0">
              <w:rPr>
                <w:b/>
                <w:sz w:val="20"/>
                <w:szCs w:val="20"/>
                <w:lang w:val="en-US"/>
              </w:rPr>
              <w:t>Mantin</w:t>
            </w:r>
            <w:proofErr w:type="spellEnd"/>
            <w:r w:rsidRPr="00D22CA0">
              <w:rPr>
                <w:b/>
                <w:sz w:val="20"/>
                <w:szCs w:val="20"/>
                <w:lang w:val="en-US"/>
              </w:rPr>
              <w:t xml:space="preserve"> Consulting Inc., carrying on business as Century 21 Bachman and Associates, 5887381 Manitoba Ltd., carrying on business as Century 21 Bachman and Associates</w:t>
            </w:r>
          </w:p>
          <w:p w:rsidR="00D22CA0" w:rsidRPr="00D22CA0" w:rsidRDefault="00D22CA0" w:rsidP="00D22CA0">
            <w:pPr>
              <w:pStyle w:val="SCCLsocSubfileSeparator"/>
              <w:rPr>
                <w:sz w:val="20"/>
                <w:szCs w:val="20"/>
              </w:rPr>
            </w:pPr>
            <w:r w:rsidRPr="00D22CA0">
              <w:rPr>
                <w:sz w:val="20"/>
                <w:szCs w:val="20"/>
              </w:rPr>
              <w:t>- et entre -</w:t>
            </w:r>
          </w:p>
          <w:p w:rsidR="00D22CA0" w:rsidRPr="00D22CA0" w:rsidRDefault="00D22CA0" w:rsidP="00D22CA0">
            <w:pPr>
              <w:pStyle w:val="SCCLsocParty"/>
              <w:jc w:val="both"/>
              <w:rPr>
                <w:b/>
                <w:sz w:val="20"/>
                <w:szCs w:val="20"/>
                <w:lang w:val="en-US"/>
              </w:rPr>
            </w:pPr>
            <w:r w:rsidRPr="00D22CA0">
              <w:rPr>
                <w:b/>
                <w:sz w:val="20"/>
                <w:szCs w:val="20"/>
                <w:lang w:val="en-US"/>
              </w:rPr>
              <w:t xml:space="preserve">Lianne Tregobov c. David Paradis, à </w:t>
            </w:r>
            <w:proofErr w:type="spellStart"/>
            <w:r w:rsidRPr="00D22CA0">
              <w:rPr>
                <w:b/>
                <w:sz w:val="20"/>
                <w:szCs w:val="20"/>
                <w:lang w:val="en-US"/>
              </w:rPr>
              <w:t>titre</w:t>
            </w:r>
            <w:proofErr w:type="spellEnd"/>
            <w:r w:rsidRPr="00D22CA0">
              <w:rPr>
                <w:b/>
                <w:sz w:val="20"/>
                <w:szCs w:val="20"/>
                <w:lang w:val="en-US"/>
              </w:rPr>
              <w:t xml:space="preserve"> </w:t>
            </w:r>
            <w:proofErr w:type="spellStart"/>
            <w:r w:rsidRPr="00D22CA0">
              <w:rPr>
                <w:b/>
                <w:sz w:val="20"/>
                <w:szCs w:val="20"/>
                <w:lang w:val="en-US"/>
              </w:rPr>
              <w:t>d’administrateur</w:t>
            </w:r>
            <w:proofErr w:type="spellEnd"/>
            <w:r w:rsidRPr="00D22CA0">
              <w:rPr>
                <w:b/>
                <w:sz w:val="20"/>
                <w:szCs w:val="20"/>
                <w:lang w:val="en-US"/>
              </w:rPr>
              <w:t xml:space="preserve"> à </w:t>
            </w:r>
            <w:proofErr w:type="spellStart"/>
            <w:r w:rsidRPr="00D22CA0">
              <w:rPr>
                <w:b/>
                <w:sz w:val="20"/>
                <w:szCs w:val="20"/>
                <w:lang w:val="en-US"/>
              </w:rPr>
              <w:t>l’instance</w:t>
            </w:r>
            <w:proofErr w:type="spellEnd"/>
            <w:r w:rsidRPr="00D22CA0">
              <w:rPr>
                <w:b/>
                <w:sz w:val="20"/>
                <w:szCs w:val="20"/>
                <w:lang w:val="en-US"/>
              </w:rPr>
              <w:t xml:space="preserve"> de la succession de feu Normand Paradis, David Paradis et Brian Paradis, à </w:t>
            </w:r>
            <w:proofErr w:type="spellStart"/>
            <w:r w:rsidRPr="00D22CA0">
              <w:rPr>
                <w:b/>
                <w:sz w:val="20"/>
                <w:szCs w:val="20"/>
                <w:lang w:val="en-US"/>
              </w:rPr>
              <w:t>titre</w:t>
            </w:r>
            <w:proofErr w:type="spellEnd"/>
            <w:r w:rsidRPr="00D22CA0">
              <w:rPr>
                <w:b/>
                <w:sz w:val="20"/>
                <w:szCs w:val="20"/>
                <w:lang w:val="en-US"/>
              </w:rPr>
              <w:t xml:space="preserve"> </w:t>
            </w:r>
            <w:proofErr w:type="spellStart"/>
            <w:r w:rsidRPr="00D22CA0">
              <w:rPr>
                <w:b/>
                <w:sz w:val="20"/>
                <w:szCs w:val="20"/>
                <w:lang w:val="en-US"/>
              </w:rPr>
              <w:t>d’exécuteurs</w:t>
            </w:r>
            <w:proofErr w:type="spellEnd"/>
            <w:r w:rsidRPr="00D22CA0">
              <w:rPr>
                <w:b/>
                <w:sz w:val="20"/>
                <w:szCs w:val="20"/>
                <w:lang w:val="en-US"/>
              </w:rPr>
              <w:t xml:space="preserve"> de la succession de </w:t>
            </w:r>
            <w:proofErr w:type="spellStart"/>
            <w:r w:rsidRPr="00D22CA0">
              <w:rPr>
                <w:b/>
                <w:sz w:val="20"/>
                <w:szCs w:val="20"/>
                <w:lang w:val="en-US"/>
              </w:rPr>
              <w:t>feue</w:t>
            </w:r>
            <w:proofErr w:type="spellEnd"/>
            <w:r w:rsidRPr="00D22CA0">
              <w:rPr>
                <w:b/>
                <w:sz w:val="20"/>
                <w:szCs w:val="20"/>
                <w:lang w:val="en-US"/>
              </w:rPr>
              <w:t xml:space="preserve"> Irene Paradis, Glen Williams, </w:t>
            </w:r>
            <w:proofErr w:type="spellStart"/>
            <w:r w:rsidRPr="00D22CA0">
              <w:rPr>
                <w:b/>
                <w:sz w:val="20"/>
                <w:szCs w:val="20"/>
                <w:lang w:val="en-US"/>
              </w:rPr>
              <w:t>Saramax</w:t>
            </w:r>
            <w:proofErr w:type="spellEnd"/>
            <w:r w:rsidRPr="00D22CA0">
              <w:rPr>
                <w:b/>
                <w:sz w:val="20"/>
                <w:szCs w:val="20"/>
                <w:lang w:val="en-US"/>
              </w:rPr>
              <w:t xml:space="preserve"> Investments Ltd., carrying on business as Century 21 Bachman and Associates, </w:t>
            </w:r>
            <w:proofErr w:type="spellStart"/>
            <w:r w:rsidRPr="00D22CA0">
              <w:rPr>
                <w:b/>
                <w:sz w:val="20"/>
                <w:szCs w:val="20"/>
                <w:lang w:val="en-US"/>
              </w:rPr>
              <w:t>Mantin</w:t>
            </w:r>
            <w:proofErr w:type="spellEnd"/>
            <w:r w:rsidRPr="00D22CA0">
              <w:rPr>
                <w:b/>
                <w:sz w:val="20"/>
                <w:szCs w:val="20"/>
                <w:lang w:val="en-US"/>
              </w:rPr>
              <w:t xml:space="preserve"> Consulting Inc., carrying on business as Century 21 Bachman and Associates, 5887381 Manitoba Ltd., carrying on business as Century 21 Bachman and Associates</w:t>
            </w:r>
          </w:p>
          <w:p w:rsidR="00D22CA0" w:rsidRPr="00D22CA0" w:rsidRDefault="00D22CA0" w:rsidP="00D22CA0">
            <w:pPr>
              <w:jc w:val="both"/>
              <w:rPr>
                <w:sz w:val="20"/>
              </w:rPr>
            </w:pPr>
            <w:r w:rsidRPr="00D22CA0">
              <w:rPr>
                <w:sz w:val="20"/>
              </w:rPr>
              <w:t>(Man.) (Civile) (Sur autorisation)</w:t>
            </w:r>
          </w:p>
        </w:tc>
      </w:tr>
      <w:tr w:rsidR="00D22CA0" w:rsidRPr="00642A36" w:rsidTr="00E95A6A">
        <w:tc>
          <w:tcPr>
            <w:tcW w:w="5000" w:type="pct"/>
            <w:gridSpan w:val="4"/>
          </w:tcPr>
          <w:p w:rsidR="00D22CA0" w:rsidRPr="00D22CA0" w:rsidRDefault="00D22CA0" w:rsidP="00D22CA0">
            <w:pPr>
              <w:jc w:val="both"/>
              <w:rPr>
                <w:sz w:val="20"/>
                <w:lang w:val="fr-CA"/>
              </w:rPr>
            </w:pPr>
            <w:r w:rsidRPr="00D22CA0">
              <w:rPr>
                <w:sz w:val="20"/>
                <w:lang w:val="fr-CA"/>
              </w:rPr>
              <w:t>Biens – Biens réels – Vente d’une propriété – Vices cachés – Réparations – Les éléments de la déclaration inexacte frauduleuse ont-ils été établis et le fardeau de prouver que la demanderesse s’est fiée à la déclaration inexacte cède-t-il le pas à l’obligation des vendeurs d’établir que l’acheteuse ne s’est pas fiée à la déclaration inexacte? – Quelle obligation de diligence les agents d’inscription d’une propriété ont-ils envers les acheteurs lorsqu’ils font des déclarations, créent une inscription publique au moyen d’un service interagences public et la diffusent? – Les vendeurs sont-ils responsables du fait d’autrui pour les actes de leurs agents d’inscription?</w:t>
            </w:r>
          </w:p>
        </w:tc>
      </w:tr>
      <w:tr w:rsidR="00D22CA0" w:rsidRPr="00642A36" w:rsidTr="00E95A6A">
        <w:tc>
          <w:tcPr>
            <w:tcW w:w="5000" w:type="pct"/>
            <w:gridSpan w:val="4"/>
          </w:tcPr>
          <w:p w:rsidR="00D22CA0" w:rsidRPr="00D22CA0" w:rsidRDefault="00D22CA0" w:rsidP="00D22CA0">
            <w:pPr>
              <w:jc w:val="both"/>
              <w:rPr>
                <w:sz w:val="20"/>
                <w:lang w:val="fr-CA"/>
              </w:rPr>
            </w:pPr>
          </w:p>
          <w:p w:rsidR="00D22CA0" w:rsidRPr="00D22CA0" w:rsidRDefault="00D22CA0" w:rsidP="00D22CA0">
            <w:pPr>
              <w:jc w:val="both"/>
              <w:rPr>
                <w:sz w:val="20"/>
                <w:lang w:val="fr-CA"/>
              </w:rPr>
            </w:pPr>
            <w:r w:rsidRPr="00D22CA0">
              <w:rPr>
                <w:sz w:val="20"/>
                <w:lang w:val="fr-CA"/>
              </w:rPr>
              <w:t>Normand et Irene Paradis étaient un couple âgé qui a vendu sa demeure à Lianne Tregobov à la fin de 2009. Quand M</w:t>
            </w:r>
            <w:r w:rsidRPr="00D22CA0">
              <w:rPr>
                <w:sz w:val="20"/>
                <w:vertAlign w:val="superscript"/>
                <w:lang w:val="fr-CA"/>
              </w:rPr>
              <w:t>me</w:t>
            </w:r>
            <w:r w:rsidRPr="00D22CA0">
              <w:rPr>
                <w:sz w:val="20"/>
                <w:lang w:val="fr-CA"/>
              </w:rPr>
              <w:t> Tregobov a acheté la demeure, elle était au courant d’éléments de preuve démontrant qu’il y avait eu auparavant une infiltration d’eau le long du mur de fondation nord, au sous-sol, et que ce mur devait faire l’objet de certaines réparations. Hélas, les pluies inhabituellement fortes du printemps suivant ont causé l’inondation du sous-sol de M</w:t>
            </w:r>
            <w:r w:rsidRPr="00D22CA0">
              <w:rPr>
                <w:sz w:val="20"/>
                <w:vertAlign w:val="superscript"/>
                <w:lang w:val="fr-CA"/>
              </w:rPr>
              <w:t>me</w:t>
            </w:r>
            <w:r w:rsidRPr="00D22CA0">
              <w:rPr>
                <w:sz w:val="20"/>
                <w:lang w:val="fr-CA"/>
              </w:rPr>
              <w:t> Tregobov. Cette inondation a endommagé les panneaux muraux et, lorsque ceux-ci ont été enlevés, on a constaté la présence d’importantes fissures dans le mur de fondation au sous-sol. M</w:t>
            </w:r>
            <w:r w:rsidRPr="00D22CA0">
              <w:rPr>
                <w:sz w:val="20"/>
                <w:vertAlign w:val="superscript"/>
                <w:lang w:val="fr-CA"/>
              </w:rPr>
              <w:t>me</w:t>
            </w:r>
            <w:r w:rsidRPr="00D22CA0">
              <w:rPr>
                <w:sz w:val="20"/>
                <w:lang w:val="fr-CA"/>
              </w:rPr>
              <w:t> Tregobov a intenté une action dans laquelle elle reproche une déclaration inexacte frauduleuse aux vendeurs et à leur agent immobilier, Glen Williams, ainsi qu’une déclaration inexacte faite par négligence à M. Williams. La Cour du Banc de la Reine a rejeté les réclamations de M</w:t>
            </w:r>
            <w:r w:rsidRPr="00D22CA0">
              <w:rPr>
                <w:sz w:val="20"/>
                <w:vertAlign w:val="superscript"/>
                <w:lang w:val="fr-CA"/>
              </w:rPr>
              <w:t>me</w:t>
            </w:r>
            <w:r w:rsidRPr="00D22CA0">
              <w:rPr>
                <w:sz w:val="20"/>
                <w:lang w:val="fr-CA"/>
              </w:rPr>
              <w:t> Tregobov au motif qu’elle ne s’était pas fiée aux déclarations faites par les vendeurs et M. Williams. La Cour d’appel du Manitoba a rejeté l’appel de M</w:t>
            </w:r>
            <w:r w:rsidRPr="00D22CA0">
              <w:rPr>
                <w:sz w:val="20"/>
                <w:vertAlign w:val="superscript"/>
                <w:lang w:val="fr-CA"/>
              </w:rPr>
              <w:t>me </w:t>
            </w:r>
            <w:r w:rsidRPr="00D22CA0">
              <w:rPr>
                <w:sz w:val="20"/>
                <w:lang w:val="fr-CA"/>
              </w:rPr>
              <w:t>Tregobov.</w:t>
            </w:r>
          </w:p>
        </w:tc>
      </w:tr>
      <w:tr w:rsidR="00D22CA0" w:rsidRPr="00642A36" w:rsidTr="00E95A6A">
        <w:tc>
          <w:tcPr>
            <w:tcW w:w="5000" w:type="pct"/>
            <w:gridSpan w:val="4"/>
          </w:tcPr>
          <w:p w:rsidR="00D22CA0" w:rsidRPr="00D22CA0" w:rsidRDefault="00D22CA0" w:rsidP="00D22CA0">
            <w:pPr>
              <w:jc w:val="both"/>
              <w:rPr>
                <w:sz w:val="20"/>
                <w:lang w:val="fr-CA"/>
              </w:rPr>
            </w:pPr>
          </w:p>
        </w:tc>
      </w:tr>
      <w:tr w:rsidR="00D22CA0" w:rsidRPr="00642A36" w:rsidTr="00E95A6A">
        <w:tc>
          <w:tcPr>
            <w:tcW w:w="2427" w:type="pct"/>
            <w:gridSpan w:val="2"/>
          </w:tcPr>
          <w:p w:rsidR="00D22CA0" w:rsidRPr="00D22CA0" w:rsidRDefault="00D22CA0" w:rsidP="00D22CA0">
            <w:pPr>
              <w:jc w:val="both"/>
              <w:rPr>
                <w:sz w:val="20"/>
                <w:lang w:val="fr-CA"/>
              </w:rPr>
            </w:pPr>
            <w:r w:rsidRPr="00D22CA0">
              <w:rPr>
                <w:sz w:val="20"/>
                <w:lang w:val="fr-CA"/>
              </w:rPr>
              <w:t>13 août 2015</w:t>
            </w:r>
          </w:p>
          <w:p w:rsidR="00D22CA0" w:rsidRPr="00D22CA0" w:rsidRDefault="00D22CA0" w:rsidP="00D22CA0">
            <w:pPr>
              <w:jc w:val="both"/>
              <w:rPr>
                <w:sz w:val="20"/>
                <w:lang w:val="fr-CA"/>
              </w:rPr>
            </w:pPr>
            <w:r w:rsidRPr="00D22CA0">
              <w:rPr>
                <w:sz w:val="20"/>
                <w:lang w:val="fr-CA"/>
              </w:rPr>
              <w:t>Cour du Banc de la Reine du Manitoba</w:t>
            </w:r>
          </w:p>
          <w:p w:rsidR="00D22CA0" w:rsidRPr="00D22CA0" w:rsidRDefault="00D22CA0" w:rsidP="00D22CA0">
            <w:pPr>
              <w:jc w:val="both"/>
              <w:rPr>
                <w:sz w:val="20"/>
              </w:rPr>
            </w:pPr>
            <w:r w:rsidRPr="00D22CA0">
              <w:rPr>
                <w:sz w:val="20"/>
              </w:rPr>
              <w:t>(Juge Schulman)</w:t>
            </w:r>
          </w:p>
          <w:p w:rsidR="00D22CA0" w:rsidRPr="00D22CA0" w:rsidRDefault="00642A36" w:rsidP="00D22CA0">
            <w:pPr>
              <w:jc w:val="both"/>
              <w:rPr>
                <w:sz w:val="20"/>
              </w:rPr>
            </w:pPr>
            <w:hyperlink r:id="rId32" w:history="1">
              <w:r w:rsidR="00D22CA0" w:rsidRPr="00D22CA0">
                <w:rPr>
                  <w:rStyle w:val="Hyperlink"/>
                  <w:sz w:val="20"/>
                </w:rPr>
                <w:t>2015 MBQB 136</w:t>
              </w:r>
            </w:hyperlink>
          </w:p>
          <w:p w:rsidR="00D22CA0" w:rsidRPr="00D22CA0" w:rsidRDefault="00D22CA0" w:rsidP="00D22CA0">
            <w:pPr>
              <w:jc w:val="both"/>
              <w:rPr>
                <w:sz w:val="20"/>
              </w:rPr>
            </w:pPr>
          </w:p>
        </w:tc>
        <w:tc>
          <w:tcPr>
            <w:tcW w:w="243" w:type="pct"/>
          </w:tcPr>
          <w:p w:rsidR="00D22CA0" w:rsidRPr="00D22CA0" w:rsidRDefault="00D22CA0" w:rsidP="00D22CA0">
            <w:pPr>
              <w:jc w:val="both"/>
              <w:rPr>
                <w:sz w:val="20"/>
              </w:rPr>
            </w:pPr>
          </w:p>
        </w:tc>
        <w:tc>
          <w:tcPr>
            <w:tcW w:w="2330" w:type="pct"/>
          </w:tcPr>
          <w:p w:rsidR="00D22CA0" w:rsidRPr="00D22CA0" w:rsidRDefault="00D22CA0" w:rsidP="00D22CA0">
            <w:pPr>
              <w:jc w:val="both"/>
              <w:rPr>
                <w:sz w:val="20"/>
                <w:lang w:val="fr-CA"/>
              </w:rPr>
            </w:pPr>
            <w:r w:rsidRPr="00D22CA0">
              <w:rPr>
                <w:sz w:val="20"/>
                <w:lang w:val="fr-CA"/>
              </w:rPr>
              <w:t>Rejet des réclamations de la demanderesse pour déclaration inexacte faite par négligence et déclaration inexacte frauduleuse.</w:t>
            </w:r>
          </w:p>
          <w:p w:rsidR="00D22CA0" w:rsidRPr="00D22CA0" w:rsidRDefault="00D22CA0" w:rsidP="00D22CA0">
            <w:pPr>
              <w:jc w:val="both"/>
              <w:rPr>
                <w:sz w:val="20"/>
                <w:lang w:val="fr-CA"/>
              </w:rPr>
            </w:pPr>
          </w:p>
        </w:tc>
      </w:tr>
      <w:tr w:rsidR="00D22CA0" w:rsidRPr="00642A36" w:rsidTr="00E95A6A">
        <w:tc>
          <w:tcPr>
            <w:tcW w:w="2427" w:type="pct"/>
            <w:gridSpan w:val="2"/>
          </w:tcPr>
          <w:p w:rsidR="00D22CA0" w:rsidRPr="00D22CA0" w:rsidRDefault="00D22CA0" w:rsidP="00D22CA0">
            <w:pPr>
              <w:jc w:val="both"/>
              <w:rPr>
                <w:sz w:val="20"/>
                <w:lang w:val="fr-CA"/>
              </w:rPr>
            </w:pPr>
            <w:r w:rsidRPr="00D22CA0">
              <w:rPr>
                <w:sz w:val="20"/>
                <w:lang w:val="fr-CA"/>
              </w:rPr>
              <w:t>7 juin 2017</w:t>
            </w:r>
          </w:p>
          <w:p w:rsidR="00D22CA0" w:rsidRPr="00D22CA0" w:rsidRDefault="00D22CA0" w:rsidP="00D22CA0">
            <w:pPr>
              <w:jc w:val="both"/>
              <w:rPr>
                <w:sz w:val="20"/>
                <w:lang w:val="fr-CA"/>
              </w:rPr>
            </w:pPr>
            <w:r w:rsidRPr="00D22CA0">
              <w:rPr>
                <w:sz w:val="20"/>
                <w:lang w:val="fr-CA"/>
              </w:rPr>
              <w:t>Cour d’appel du Manitoba</w:t>
            </w:r>
          </w:p>
          <w:p w:rsidR="00D22CA0" w:rsidRPr="00D22CA0" w:rsidRDefault="00D22CA0" w:rsidP="00D22CA0">
            <w:pPr>
              <w:jc w:val="both"/>
              <w:rPr>
                <w:sz w:val="20"/>
                <w:lang w:val="fr-CA"/>
              </w:rPr>
            </w:pPr>
            <w:r w:rsidRPr="00D22CA0">
              <w:rPr>
                <w:sz w:val="20"/>
                <w:lang w:val="fr-CA"/>
              </w:rPr>
              <w:t>(Juges MacInnes, Mainella et leMaistre)</w:t>
            </w:r>
          </w:p>
          <w:p w:rsidR="00D22CA0" w:rsidRPr="00D22CA0" w:rsidRDefault="00642A36" w:rsidP="00D22CA0">
            <w:pPr>
              <w:jc w:val="both"/>
              <w:rPr>
                <w:sz w:val="20"/>
              </w:rPr>
            </w:pPr>
            <w:hyperlink r:id="rId33" w:history="1">
              <w:r w:rsidR="00D22CA0" w:rsidRPr="00D22CA0">
                <w:rPr>
                  <w:rStyle w:val="Hyperlink"/>
                  <w:sz w:val="20"/>
                </w:rPr>
                <w:t>2017 MBCA 60</w:t>
              </w:r>
            </w:hyperlink>
          </w:p>
          <w:p w:rsidR="00D22CA0" w:rsidRPr="00D22CA0" w:rsidRDefault="00D22CA0" w:rsidP="00D22CA0">
            <w:pPr>
              <w:jc w:val="both"/>
              <w:rPr>
                <w:sz w:val="20"/>
                <w:lang w:val="fr-CA"/>
              </w:rPr>
            </w:pPr>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lang w:val="fr-CA"/>
              </w:rPr>
            </w:pPr>
            <w:r w:rsidRPr="00D22CA0">
              <w:rPr>
                <w:sz w:val="20"/>
                <w:lang w:val="fr-CA"/>
              </w:rPr>
              <w:t>Rejet de l’appel de la demanderesse.</w:t>
            </w:r>
          </w:p>
          <w:p w:rsidR="00D22CA0" w:rsidRPr="00D22CA0" w:rsidRDefault="00D22CA0" w:rsidP="00D22CA0">
            <w:pPr>
              <w:jc w:val="both"/>
              <w:rPr>
                <w:sz w:val="20"/>
                <w:lang w:val="fr-CA"/>
              </w:rPr>
            </w:pPr>
          </w:p>
        </w:tc>
      </w:tr>
      <w:tr w:rsidR="00D22CA0" w:rsidRPr="00642A36" w:rsidTr="00E95A6A">
        <w:tc>
          <w:tcPr>
            <w:tcW w:w="2427" w:type="pct"/>
            <w:gridSpan w:val="2"/>
          </w:tcPr>
          <w:p w:rsidR="00D22CA0" w:rsidRPr="00D22CA0" w:rsidRDefault="00D22CA0" w:rsidP="00D22CA0">
            <w:pPr>
              <w:jc w:val="both"/>
              <w:rPr>
                <w:sz w:val="20"/>
                <w:lang w:val="fr-CA"/>
              </w:rPr>
            </w:pPr>
            <w:r w:rsidRPr="00D22CA0">
              <w:rPr>
                <w:sz w:val="20"/>
                <w:lang w:val="fr-CA"/>
              </w:rPr>
              <w:t>31 août 2017</w:t>
            </w:r>
          </w:p>
          <w:p w:rsidR="00D22CA0" w:rsidRPr="00D22CA0" w:rsidRDefault="00D22CA0" w:rsidP="00D22CA0">
            <w:pPr>
              <w:jc w:val="both"/>
              <w:rPr>
                <w:sz w:val="20"/>
                <w:lang w:val="fr-CA"/>
              </w:rPr>
            </w:pPr>
            <w:r w:rsidRPr="00D22CA0">
              <w:rPr>
                <w:sz w:val="20"/>
                <w:lang w:val="fr-CA"/>
              </w:rPr>
              <w:t>Cour suprême du Canada</w:t>
            </w:r>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lang w:val="fr-CA"/>
              </w:rPr>
            </w:pPr>
            <w:r w:rsidRPr="00D22CA0">
              <w:rPr>
                <w:sz w:val="20"/>
                <w:lang w:val="fr-CA"/>
              </w:rPr>
              <w:t>Dépôt de la demande d’autorisation d’appel.</w:t>
            </w:r>
          </w:p>
          <w:p w:rsidR="00D22CA0" w:rsidRPr="00D22CA0" w:rsidRDefault="00D22CA0" w:rsidP="00D22CA0">
            <w:pPr>
              <w:jc w:val="both"/>
              <w:rPr>
                <w:sz w:val="20"/>
                <w:lang w:val="fr-CA"/>
              </w:rPr>
            </w:pPr>
          </w:p>
        </w:tc>
      </w:tr>
    </w:tbl>
    <w:p w:rsidR="00D22CA0" w:rsidRPr="00D22CA0" w:rsidRDefault="00D22CA0" w:rsidP="00D22CA0">
      <w:pPr>
        <w:jc w:val="both"/>
        <w:rPr>
          <w:sz w:val="20"/>
          <w:lang w:val="fr-CA"/>
        </w:rPr>
      </w:pPr>
    </w:p>
    <w:p w:rsidR="00D22CA0" w:rsidRPr="00D22CA0" w:rsidRDefault="00D22CA0" w:rsidP="00D22CA0">
      <w:pPr>
        <w:jc w:val="both"/>
        <w:rPr>
          <w:sz w:val="20"/>
          <w:lang w:val="fr-CA"/>
        </w:rPr>
      </w:pPr>
    </w:p>
    <w:tbl>
      <w:tblPr>
        <w:tblW w:w="4953" w:type="pct"/>
        <w:tblLayout w:type="fixed"/>
        <w:tblCellMar>
          <w:left w:w="0" w:type="dxa"/>
          <w:bottom w:w="99" w:type="dxa"/>
          <w:right w:w="0" w:type="dxa"/>
        </w:tblCellMar>
        <w:tblLook w:val="04A0" w:firstRow="1" w:lastRow="0" w:firstColumn="1" w:lastColumn="0" w:noHBand="0" w:noVBand="1"/>
      </w:tblPr>
      <w:tblGrid>
        <w:gridCol w:w="999"/>
        <w:gridCol w:w="3392"/>
        <w:gridCol w:w="495"/>
        <w:gridCol w:w="4386"/>
      </w:tblGrid>
      <w:tr w:rsidR="00D22CA0" w:rsidRPr="00D22CA0" w:rsidTr="00FC7C5A">
        <w:tc>
          <w:tcPr>
            <w:tcW w:w="538" w:type="pct"/>
          </w:tcPr>
          <w:p w:rsidR="00D22CA0" w:rsidRPr="00D22CA0" w:rsidRDefault="00D22CA0" w:rsidP="00D22CA0">
            <w:pPr>
              <w:jc w:val="both"/>
              <w:rPr>
                <w:sz w:val="20"/>
                <w:lang w:val="en-CA"/>
              </w:rPr>
            </w:pPr>
            <w:r w:rsidRPr="00D22CA0">
              <w:rPr>
                <w:rStyle w:val="SCCFileNumberChar"/>
                <w:sz w:val="20"/>
                <w:szCs w:val="20"/>
              </w:rPr>
              <w:t>37751</w:t>
            </w:r>
          </w:p>
        </w:tc>
        <w:tc>
          <w:tcPr>
            <w:tcW w:w="4461" w:type="pct"/>
            <w:gridSpan w:val="3"/>
          </w:tcPr>
          <w:p w:rsidR="00D22CA0" w:rsidRPr="00D22CA0" w:rsidRDefault="00D22CA0" w:rsidP="00D22CA0">
            <w:pPr>
              <w:pStyle w:val="SCCLsocParty"/>
              <w:jc w:val="both"/>
              <w:rPr>
                <w:b/>
                <w:sz w:val="20"/>
                <w:szCs w:val="20"/>
              </w:rPr>
            </w:pPr>
            <w:r w:rsidRPr="00D22CA0">
              <w:rPr>
                <w:b/>
                <w:sz w:val="20"/>
                <w:szCs w:val="20"/>
              </w:rPr>
              <w:t>9254-8494 Québec Inc., Robert Gingras v. Ville de Québec</w:t>
            </w:r>
          </w:p>
          <w:p w:rsidR="00D22CA0" w:rsidRPr="00D22CA0" w:rsidRDefault="00D22CA0" w:rsidP="00D22CA0">
            <w:pPr>
              <w:jc w:val="both"/>
              <w:rPr>
                <w:sz w:val="20"/>
                <w:lang w:val="en-CA"/>
              </w:rPr>
            </w:pPr>
            <w:r w:rsidRPr="00D22CA0">
              <w:rPr>
                <w:sz w:val="20"/>
                <w:lang w:val="en-CA"/>
              </w:rPr>
              <w:t>(Que.) (Civil) (By Leave)</w:t>
            </w:r>
          </w:p>
        </w:tc>
      </w:tr>
      <w:tr w:rsidR="00D22CA0" w:rsidRPr="00D22CA0" w:rsidTr="00FC7C5A">
        <w:tc>
          <w:tcPr>
            <w:tcW w:w="4999" w:type="pct"/>
            <w:gridSpan w:val="4"/>
          </w:tcPr>
          <w:p w:rsidR="00D22CA0" w:rsidRPr="00D22CA0" w:rsidRDefault="00D22CA0" w:rsidP="00D22CA0">
            <w:pPr>
              <w:jc w:val="both"/>
              <w:rPr>
                <w:sz w:val="20"/>
                <w:lang w:val="en-CA"/>
              </w:rPr>
            </w:pPr>
            <w:proofErr w:type="gramStart"/>
            <w:r w:rsidRPr="00D22CA0">
              <w:rPr>
                <w:sz w:val="20"/>
                <w:lang w:val="en-CA"/>
              </w:rPr>
              <w:t>Civil liability – Causal connection – Evidence – Presence of rats in immovable leading to destruction of immovable – Municipality alleged to have been negligent and in breach of duty of disclosure – Whether trial judge erred in failing to consider that duty of city of Québec to provide information to applicants also constituted causal fault – Whether trial judge erred in failing to consider conclusive evidence of causal connection – Whether trial judge erred in imposing excessive burden of proof on applicants – Whether trial judge erred in law in excluding presumption of liability under art. </w:t>
            </w:r>
            <w:proofErr w:type="gramEnd"/>
            <w:r w:rsidRPr="00D22CA0">
              <w:rPr>
                <w:sz w:val="20"/>
                <w:lang w:val="en-CA"/>
              </w:rPr>
              <w:t xml:space="preserve">1467 C.C.Q. – Whether trial judge erred in stating that applicants would bear share of liability because of condition of their building. </w:t>
            </w:r>
          </w:p>
        </w:tc>
      </w:tr>
      <w:tr w:rsidR="00D22CA0" w:rsidRPr="00D22CA0" w:rsidTr="00FC7C5A">
        <w:tc>
          <w:tcPr>
            <w:tcW w:w="4999" w:type="pct"/>
            <w:gridSpan w:val="4"/>
          </w:tcPr>
          <w:p w:rsidR="00D22CA0" w:rsidRPr="00D22CA0" w:rsidRDefault="00D22CA0" w:rsidP="00D22CA0">
            <w:pPr>
              <w:jc w:val="both"/>
              <w:rPr>
                <w:sz w:val="20"/>
                <w:lang w:val="en-CA"/>
              </w:rPr>
            </w:pPr>
          </w:p>
          <w:p w:rsidR="00D22CA0" w:rsidRPr="00D22CA0" w:rsidRDefault="00D22CA0" w:rsidP="00D22CA0">
            <w:pPr>
              <w:jc w:val="both"/>
              <w:rPr>
                <w:sz w:val="20"/>
                <w:lang w:val="en-CA"/>
              </w:rPr>
            </w:pPr>
            <w:r w:rsidRPr="00D22CA0">
              <w:rPr>
                <w:sz w:val="20"/>
                <w:lang w:val="en-CA"/>
              </w:rPr>
              <w:t xml:space="preserve">The applicants, Mr. Gingras and his company, 9254-8494 Québec Inc. (collectively “Mr. Gingras”), owned a commercial building in the Charlesbourg sector of the city of Québec. Between 2009 and 2012, Mr. Gingras battled an infestation of rats, which, despite his efforts, only became worse. In 2012, when Mr. Gingras informed the city of the rat infestation, the city took rodent control measures in the sewer for the sector, and a camera revealed two cracks at the bottom of the main line. The city had found the cracks in 2006, unbeknownst to Mr. Gingras, but had seen no urgent need for action because of their location. The following spring, the city found a major new crack in the lateral line near the network connected to the building. The city then repaired the cracks. In the meantime, the building owned by Mr. Gingras </w:t>
            </w:r>
            <w:proofErr w:type="gramStart"/>
            <w:r w:rsidRPr="00D22CA0">
              <w:rPr>
                <w:sz w:val="20"/>
                <w:lang w:val="en-CA"/>
              </w:rPr>
              <w:t>was vacated</w:t>
            </w:r>
            <w:proofErr w:type="gramEnd"/>
            <w:r w:rsidRPr="00D22CA0">
              <w:rPr>
                <w:sz w:val="20"/>
                <w:lang w:val="en-CA"/>
              </w:rPr>
              <w:t xml:space="preserve"> due to the extent of the infestation. Following the work done by the city, Mr. Gingras stripped part of the walls and the infestation went away. However, Mr. Gingras ended up having to demolish the building, which was severely damaged and unsanitary. </w:t>
            </w:r>
          </w:p>
          <w:p w:rsidR="00D22CA0" w:rsidRPr="00D22CA0" w:rsidRDefault="00D22CA0" w:rsidP="00D22CA0">
            <w:pPr>
              <w:jc w:val="both"/>
              <w:rPr>
                <w:sz w:val="20"/>
                <w:lang w:val="en-CA"/>
              </w:rPr>
            </w:pPr>
          </w:p>
          <w:p w:rsidR="00D22CA0" w:rsidRPr="00D22CA0" w:rsidRDefault="00D22CA0" w:rsidP="00D22CA0">
            <w:pPr>
              <w:jc w:val="both"/>
              <w:rPr>
                <w:sz w:val="20"/>
                <w:lang w:val="en-CA"/>
              </w:rPr>
            </w:pPr>
            <w:r w:rsidRPr="00D22CA0">
              <w:rPr>
                <w:sz w:val="20"/>
                <w:lang w:val="en-CA"/>
              </w:rPr>
              <w:t xml:space="preserve">In August 2012, Mr. Gingras instituted an action in damages against the city. The action </w:t>
            </w:r>
            <w:proofErr w:type="gramStart"/>
            <w:r w:rsidRPr="00D22CA0">
              <w:rPr>
                <w:sz w:val="20"/>
                <w:lang w:val="en-CA"/>
              </w:rPr>
              <w:t>was dismissed</w:t>
            </w:r>
            <w:proofErr w:type="gramEnd"/>
            <w:r w:rsidRPr="00D22CA0">
              <w:rPr>
                <w:sz w:val="20"/>
                <w:lang w:val="en-CA"/>
              </w:rPr>
              <w:t xml:space="preserve"> by the lower courts. In the trial judge’s view, the city had been negligent by waiting until early May 2012 to repair the crack. However, there was no causal connection between that fault and the damages claimed, since it was impossible to say that the rats had left through the cracks in the lines.</w:t>
            </w:r>
          </w:p>
          <w:p w:rsidR="00D22CA0" w:rsidRPr="00D22CA0" w:rsidRDefault="00D22CA0" w:rsidP="00D22CA0">
            <w:pPr>
              <w:jc w:val="both"/>
              <w:rPr>
                <w:sz w:val="20"/>
                <w:lang w:val="en-CA"/>
              </w:rPr>
            </w:pPr>
          </w:p>
        </w:tc>
      </w:tr>
      <w:tr w:rsidR="00D22CA0" w:rsidRPr="00D22CA0" w:rsidTr="00FC7C5A">
        <w:tblPrEx>
          <w:tblCellMar>
            <w:bottom w:w="0" w:type="dxa"/>
          </w:tblCellMar>
        </w:tblPrEx>
        <w:tc>
          <w:tcPr>
            <w:tcW w:w="2367" w:type="pct"/>
            <w:gridSpan w:val="2"/>
          </w:tcPr>
          <w:p w:rsidR="00D22CA0" w:rsidRPr="00D22CA0" w:rsidRDefault="00D22CA0" w:rsidP="00D22CA0">
            <w:pPr>
              <w:jc w:val="both"/>
              <w:rPr>
                <w:sz w:val="20"/>
                <w:lang w:val="en-CA"/>
              </w:rPr>
            </w:pPr>
            <w:r w:rsidRPr="00D22CA0">
              <w:rPr>
                <w:sz w:val="20"/>
                <w:lang w:val="en-CA"/>
              </w:rPr>
              <w:t>September 17, 2015</w:t>
            </w:r>
          </w:p>
          <w:p w:rsidR="00D22CA0" w:rsidRPr="00D22CA0" w:rsidRDefault="00D22CA0" w:rsidP="00D22CA0">
            <w:pPr>
              <w:jc w:val="both"/>
              <w:rPr>
                <w:sz w:val="20"/>
                <w:lang w:val="en-CA"/>
              </w:rPr>
            </w:pPr>
            <w:r w:rsidRPr="00D22CA0">
              <w:rPr>
                <w:sz w:val="20"/>
                <w:lang w:val="en-CA"/>
              </w:rPr>
              <w:t>Quebec Superior Court</w:t>
            </w:r>
          </w:p>
          <w:p w:rsidR="00D22CA0" w:rsidRPr="00D22CA0" w:rsidRDefault="00D22CA0" w:rsidP="00D22CA0">
            <w:pPr>
              <w:jc w:val="both"/>
              <w:rPr>
                <w:sz w:val="20"/>
                <w:lang w:val="en-CA"/>
              </w:rPr>
            </w:pPr>
            <w:r w:rsidRPr="00D22CA0">
              <w:rPr>
                <w:sz w:val="20"/>
                <w:lang w:val="en-CA"/>
              </w:rPr>
              <w:t>(Dumais J.)</w:t>
            </w:r>
          </w:p>
          <w:p w:rsidR="00D22CA0" w:rsidRPr="00D22CA0" w:rsidRDefault="00642A36" w:rsidP="00D22CA0">
            <w:pPr>
              <w:jc w:val="both"/>
              <w:rPr>
                <w:sz w:val="20"/>
                <w:lang w:val="en-CA"/>
              </w:rPr>
            </w:pPr>
            <w:hyperlink r:id="rId34" w:history="1">
              <w:r w:rsidR="00D22CA0" w:rsidRPr="00D22CA0">
                <w:rPr>
                  <w:rStyle w:val="Hyperlink"/>
                  <w:sz w:val="20"/>
                  <w:lang w:val="en-CA"/>
                </w:rPr>
                <w:t>2015 QCCS 4299</w:t>
              </w:r>
            </w:hyperlink>
          </w:p>
          <w:p w:rsidR="00D22CA0" w:rsidRPr="00D22CA0" w:rsidRDefault="00D22CA0" w:rsidP="00D22CA0">
            <w:pPr>
              <w:jc w:val="both"/>
              <w:rPr>
                <w:sz w:val="20"/>
                <w:lang w:val="en-CA"/>
              </w:rPr>
            </w:pPr>
          </w:p>
        </w:tc>
        <w:tc>
          <w:tcPr>
            <w:tcW w:w="267" w:type="pct"/>
          </w:tcPr>
          <w:p w:rsidR="00D22CA0" w:rsidRPr="00D22CA0" w:rsidRDefault="00D22CA0" w:rsidP="00D22CA0">
            <w:pPr>
              <w:jc w:val="both"/>
              <w:rPr>
                <w:sz w:val="20"/>
                <w:lang w:val="en-CA"/>
              </w:rPr>
            </w:pPr>
          </w:p>
        </w:tc>
        <w:tc>
          <w:tcPr>
            <w:tcW w:w="2365" w:type="pct"/>
          </w:tcPr>
          <w:p w:rsidR="00D22CA0" w:rsidRPr="00D22CA0" w:rsidRDefault="00D22CA0" w:rsidP="00D22CA0">
            <w:pPr>
              <w:jc w:val="both"/>
              <w:rPr>
                <w:sz w:val="20"/>
                <w:lang w:val="en-CA"/>
              </w:rPr>
            </w:pPr>
            <w:r w:rsidRPr="00D22CA0">
              <w:rPr>
                <w:sz w:val="20"/>
                <w:lang w:val="en-CA"/>
              </w:rPr>
              <w:t>Motion to institute proceedings dismissed</w:t>
            </w:r>
          </w:p>
        </w:tc>
      </w:tr>
      <w:tr w:rsidR="00D22CA0" w:rsidRPr="00D22CA0" w:rsidTr="00FC7C5A">
        <w:tblPrEx>
          <w:tblCellMar>
            <w:bottom w:w="0" w:type="dxa"/>
          </w:tblCellMar>
        </w:tblPrEx>
        <w:tc>
          <w:tcPr>
            <w:tcW w:w="2367" w:type="pct"/>
            <w:gridSpan w:val="2"/>
          </w:tcPr>
          <w:p w:rsidR="00D22CA0" w:rsidRPr="00D22CA0" w:rsidRDefault="00D22CA0" w:rsidP="00D22CA0">
            <w:pPr>
              <w:jc w:val="both"/>
              <w:rPr>
                <w:sz w:val="20"/>
                <w:lang w:val="en-CA"/>
              </w:rPr>
            </w:pPr>
            <w:r w:rsidRPr="00D22CA0">
              <w:rPr>
                <w:sz w:val="20"/>
                <w:lang w:val="en-CA"/>
              </w:rPr>
              <w:t>June 22, 2017</w:t>
            </w:r>
          </w:p>
          <w:p w:rsidR="00D22CA0" w:rsidRPr="00D22CA0" w:rsidRDefault="00D22CA0" w:rsidP="00D22CA0">
            <w:pPr>
              <w:jc w:val="both"/>
              <w:rPr>
                <w:sz w:val="20"/>
                <w:lang w:val="en-CA"/>
              </w:rPr>
            </w:pPr>
            <w:r w:rsidRPr="00D22CA0">
              <w:rPr>
                <w:sz w:val="20"/>
                <w:lang w:val="en-CA"/>
              </w:rPr>
              <w:t>Quebec Court of Appeal (Québec)</w:t>
            </w:r>
          </w:p>
          <w:p w:rsidR="00D22CA0" w:rsidRPr="00D22CA0" w:rsidRDefault="00D22CA0" w:rsidP="00D22CA0">
            <w:pPr>
              <w:jc w:val="both"/>
              <w:rPr>
                <w:sz w:val="20"/>
                <w:lang w:val="en-CA"/>
              </w:rPr>
            </w:pPr>
            <w:r w:rsidRPr="00D22CA0">
              <w:rPr>
                <w:sz w:val="20"/>
                <w:lang w:val="en-CA"/>
              </w:rPr>
              <w:t>(Bouchard, Morin and St-Pierre JJ.A.)</w:t>
            </w:r>
          </w:p>
          <w:p w:rsidR="00D22CA0" w:rsidRPr="00D22CA0" w:rsidRDefault="00642A36" w:rsidP="00D22CA0">
            <w:pPr>
              <w:jc w:val="both"/>
              <w:rPr>
                <w:sz w:val="20"/>
                <w:lang w:val="en-CA"/>
              </w:rPr>
            </w:pPr>
            <w:hyperlink r:id="rId35" w:history="1">
              <w:r w:rsidR="00D22CA0" w:rsidRPr="00D22CA0">
                <w:rPr>
                  <w:rStyle w:val="Hyperlink"/>
                  <w:sz w:val="20"/>
                  <w:lang w:val="en-CA"/>
                </w:rPr>
                <w:t>2017 QCCA 1012</w:t>
              </w:r>
            </w:hyperlink>
          </w:p>
          <w:p w:rsidR="00D22CA0" w:rsidRPr="00D22CA0" w:rsidRDefault="00D22CA0" w:rsidP="00D22CA0">
            <w:pPr>
              <w:jc w:val="both"/>
              <w:rPr>
                <w:sz w:val="20"/>
                <w:lang w:val="en-CA"/>
              </w:rPr>
            </w:pPr>
          </w:p>
        </w:tc>
        <w:tc>
          <w:tcPr>
            <w:tcW w:w="267" w:type="pct"/>
          </w:tcPr>
          <w:p w:rsidR="00D22CA0" w:rsidRPr="00D22CA0" w:rsidRDefault="00D22CA0" w:rsidP="00D22CA0">
            <w:pPr>
              <w:jc w:val="both"/>
              <w:rPr>
                <w:sz w:val="20"/>
                <w:lang w:val="en-CA"/>
              </w:rPr>
            </w:pPr>
          </w:p>
        </w:tc>
        <w:tc>
          <w:tcPr>
            <w:tcW w:w="2365" w:type="pct"/>
          </w:tcPr>
          <w:p w:rsidR="00D22CA0" w:rsidRPr="00D22CA0" w:rsidRDefault="00D22CA0" w:rsidP="00D22CA0">
            <w:pPr>
              <w:jc w:val="both"/>
              <w:rPr>
                <w:sz w:val="20"/>
                <w:lang w:val="en-CA"/>
              </w:rPr>
            </w:pPr>
            <w:r w:rsidRPr="00D22CA0">
              <w:rPr>
                <w:sz w:val="20"/>
                <w:lang w:val="en-CA"/>
              </w:rPr>
              <w:t>Appeal dismissed</w:t>
            </w:r>
          </w:p>
          <w:p w:rsidR="00D22CA0" w:rsidRPr="00D22CA0" w:rsidRDefault="00D22CA0" w:rsidP="00D22CA0">
            <w:pPr>
              <w:jc w:val="both"/>
              <w:rPr>
                <w:sz w:val="20"/>
                <w:lang w:val="en-CA"/>
              </w:rPr>
            </w:pPr>
          </w:p>
        </w:tc>
      </w:tr>
      <w:tr w:rsidR="00D22CA0" w:rsidRPr="00D22CA0" w:rsidTr="00FC7C5A">
        <w:tblPrEx>
          <w:tblCellMar>
            <w:bottom w:w="0" w:type="dxa"/>
          </w:tblCellMar>
        </w:tblPrEx>
        <w:tc>
          <w:tcPr>
            <w:tcW w:w="2367" w:type="pct"/>
            <w:gridSpan w:val="2"/>
          </w:tcPr>
          <w:p w:rsidR="00D22CA0" w:rsidRPr="00D22CA0" w:rsidRDefault="00D22CA0" w:rsidP="00D22CA0">
            <w:pPr>
              <w:jc w:val="both"/>
              <w:rPr>
                <w:sz w:val="20"/>
                <w:lang w:val="en-CA"/>
              </w:rPr>
            </w:pPr>
            <w:r w:rsidRPr="00D22CA0">
              <w:rPr>
                <w:sz w:val="20"/>
                <w:lang w:val="en-CA"/>
              </w:rPr>
              <w:t>September 20, 2017</w:t>
            </w:r>
          </w:p>
          <w:p w:rsidR="00D22CA0" w:rsidRPr="00D22CA0" w:rsidRDefault="00D22CA0" w:rsidP="00D22CA0">
            <w:pPr>
              <w:jc w:val="both"/>
              <w:rPr>
                <w:sz w:val="20"/>
                <w:lang w:val="en-CA"/>
              </w:rPr>
            </w:pPr>
            <w:r w:rsidRPr="00D22CA0">
              <w:rPr>
                <w:sz w:val="20"/>
                <w:lang w:val="en-CA"/>
              </w:rPr>
              <w:t>Supreme Court of Canada</w:t>
            </w:r>
          </w:p>
        </w:tc>
        <w:tc>
          <w:tcPr>
            <w:tcW w:w="267" w:type="pct"/>
          </w:tcPr>
          <w:p w:rsidR="00D22CA0" w:rsidRPr="00D22CA0" w:rsidRDefault="00D22CA0" w:rsidP="00D22CA0">
            <w:pPr>
              <w:jc w:val="both"/>
              <w:rPr>
                <w:sz w:val="20"/>
                <w:lang w:val="en-CA"/>
              </w:rPr>
            </w:pPr>
          </w:p>
        </w:tc>
        <w:tc>
          <w:tcPr>
            <w:tcW w:w="2365" w:type="pct"/>
          </w:tcPr>
          <w:p w:rsidR="00D22CA0" w:rsidRPr="00D22CA0" w:rsidRDefault="00D22CA0" w:rsidP="00D22CA0">
            <w:pPr>
              <w:jc w:val="both"/>
              <w:rPr>
                <w:sz w:val="20"/>
                <w:lang w:val="en-CA"/>
              </w:rPr>
            </w:pPr>
            <w:r w:rsidRPr="00D22CA0">
              <w:rPr>
                <w:sz w:val="20"/>
                <w:lang w:val="en-CA"/>
              </w:rPr>
              <w:t>Application for leave to appeal filed</w:t>
            </w:r>
          </w:p>
          <w:p w:rsidR="00D22CA0" w:rsidRPr="00D22CA0" w:rsidRDefault="00D22CA0" w:rsidP="00D22CA0">
            <w:pPr>
              <w:jc w:val="both"/>
              <w:rPr>
                <w:sz w:val="20"/>
                <w:lang w:val="en-CA"/>
              </w:rPr>
            </w:pPr>
          </w:p>
        </w:tc>
      </w:tr>
    </w:tbl>
    <w:p w:rsidR="00D22CA0" w:rsidRDefault="00D22CA0" w:rsidP="00D22CA0">
      <w:pPr>
        <w:jc w:val="both"/>
        <w:rPr>
          <w:sz w:val="20"/>
          <w:lang w:val="en-CA"/>
        </w:rPr>
      </w:pPr>
    </w:p>
    <w:p w:rsidR="00D22CA0" w:rsidRPr="00D22CA0" w:rsidRDefault="00D22CA0" w:rsidP="00D22CA0">
      <w:pPr>
        <w:jc w:val="both"/>
        <w:rPr>
          <w:sz w:val="20"/>
          <w:lang w:val="en-CA"/>
        </w:rPr>
      </w:pPr>
    </w:p>
    <w:tbl>
      <w:tblPr>
        <w:tblW w:w="4953" w:type="pct"/>
        <w:tblLayout w:type="fixed"/>
        <w:tblCellMar>
          <w:left w:w="0" w:type="dxa"/>
          <w:bottom w:w="99" w:type="dxa"/>
          <w:right w:w="0" w:type="dxa"/>
        </w:tblCellMar>
        <w:tblLook w:val="04A0" w:firstRow="1" w:lastRow="0" w:firstColumn="1" w:lastColumn="0" w:noHBand="0" w:noVBand="1"/>
      </w:tblPr>
      <w:tblGrid>
        <w:gridCol w:w="999"/>
        <w:gridCol w:w="3392"/>
        <w:gridCol w:w="495"/>
        <w:gridCol w:w="4386"/>
      </w:tblGrid>
      <w:tr w:rsidR="00D22CA0" w:rsidRPr="00D22CA0" w:rsidTr="00FC7C5A">
        <w:tc>
          <w:tcPr>
            <w:tcW w:w="538" w:type="pct"/>
          </w:tcPr>
          <w:p w:rsidR="00D22CA0" w:rsidRPr="00D22CA0" w:rsidRDefault="00D22CA0" w:rsidP="00D22CA0">
            <w:pPr>
              <w:jc w:val="both"/>
              <w:rPr>
                <w:sz w:val="20"/>
              </w:rPr>
            </w:pPr>
            <w:r w:rsidRPr="00D22CA0">
              <w:rPr>
                <w:rStyle w:val="SCCFileNumberChar"/>
                <w:sz w:val="20"/>
                <w:szCs w:val="20"/>
              </w:rPr>
              <w:t>37751</w:t>
            </w:r>
          </w:p>
        </w:tc>
        <w:tc>
          <w:tcPr>
            <w:tcW w:w="4461" w:type="pct"/>
            <w:gridSpan w:val="3"/>
          </w:tcPr>
          <w:p w:rsidR="00D22CA0" w:rsidRPr="00D22CA0" w:rsidRDefault="00D22CA0" w:rsidP="00D22CA0">
            <w:pPr>
              <w:pStyle w:val="SCCLsocParty"/>
              <w:jc w:val="both"/>
              <w:rPr>
                <w:b/>
                <w:sz w:val="20"/>
                <w:szCs w:val="20"/>
              </w:rPr>
            </w:pPr>
            <w:r w:rsidRPr="00D22CA0">
              <w:rPr>
                <w:b/>
                <w:sz w:val="20"/>
                <w:szCs w:val="20"/>
              </w:rPr>
              <w:t>9254-8494 Québec Inc., Robert Gingras c. Ville de Québec</w:t>
            </w:r>
          </w:p>
          <w:p w:rsidR="00D22CA0" w:rsidRPr="00D22CA0" w:rsidRDefault="00D22CA0" w:rsidP="00D22CA0">
            <w:pPr>
              <w:jc w:val="both"/>
              <w:rPr>
                <w:sz w:val="20"/>
              </w:rPr>
            </w:pPr>
            <w:r w:rsidRPr="00D22CA0">
              <w:rPr>
                <w:sz w:val="20"/>
              </w:rPr>
              <w:t>(Qc) (Civile) (Autorisation)</w:t>
            </w:r>
          </w:p>
        </w:tc>
      </w:tr>
      <w:tr w:rsidR="00D22CA0" w:rsidRPr="00642A36" w:rsidTr="00FC7C5A">
        <w:tc>
          <w:tcPr>
            <w:tcW w:w="4999" w:type="pct"/>
            <w:gridSpan w:val="4"/>
          </w:tcPr>
          <w:p w:rsidR="00D22CA0" w:rsidRPr="00D22CA0" w:rsidRDefault="00D22CA0" w:rsidP="00D22CA0">
            <w:pPr>
              <w:jc w:val="both"/>
              <w:rPr>
                <w:sz w:val="20"/>
                <w:lang w:val="fr-CA"/>
              </w:rPr>
            </w:pPr>
            <w:r w:rsidRPr="00D22CA0">
              <w:rPr>
                <w:sz w:val="20"/>
                <w:lang w:val="fr-CA"/>
              </w:rPr>
              <w:t xml:space="preserve">Responsabilité civile – Lien de causalité – Preuve – Présence de rats dans un immeuble ayant mené à sa destruction – Allégation de négligence et de manquement au devoir de divulgation de la municipalité – Le juge de première instance a-t-il commis une erreur en omettant de tenir compte que le devoir d’information de la Ville de Québec envers les demandeurs constitue également une faute causale? – Le juge de première instance a-t-il erré en omettant de tenir compte d’éléments de preuve déterminants quant au lien de causalité? – Le juge de première instance a-t-il erré en exigeant un fardeau de preuve excessif aux demandeurs? – Le juge de première instance a-t-il commis une erreur de droit en écartant la présomption de responsabilité de l’article 1467 </w:t>
            </w:r>
            <w:proofErr w:type="spellStart"/>
            <w:r w:rsidRPr="00D22CA0">
              <w:rPr>
                <w:sz w:val="20"/>
                <w:lang w:val="fr-CA"/>
              </w:rPr>
              <w:t>C.c.Q</w:t>
            </w:r>
            <w:proofErr w:type="spellEnd"/>
            <w:r w:rsidRPr="00D22CA0">
              <w:rPr>
                <w:sz w:val="20"/>
                <w:lang w:val="fr-CA"/>
              </w:rPr>
              <w:t xml:space="preserve">.? – Le juge de première instance a-t-il commis une erreur en indiquant que les demandeurs auraient une part de responsabilité en raison de l’état de leur bâtiment? </w:t>
            </w:r>
          </w:p>
        </w:tc>
      </w:tr>
      <w:tr w:rsidR="00D22CA0" w:rsidRPr="00642A36" w:rsidTr="00FC7C5A">
        <w:tc>
          <w:tcPr>
            <w:tcW w:w="4999" w:type="pct"/>
            <w:gridSpan w:val="4"/>
          </w:tcPr>
          <w:p w:rsidR="00D22CA0" w:rsidRPr="00D22CA0" w:rsidRDefault="00D22CA0" w:rsidP="00D22CA0">
            <w:pPr>
              <w:jc w:val="both"/>
              <w:rPr>
                <w:sz w:val="20"/>
                <w:lang w:val="fr-CA"/>
              </w:rPr>
            </w:pPr>
          </w:p>
          <w:p w:rsidR="00D22CA0" w:rsidRPr="00D22CA0" w:rsidRDefault="00D22CA0" w:rsidP="00D22CA0">
            <w:pPr>
              <w:jc w:val="both"/>
              <w:rPr>
                <w:sz w:val="20"/>
                <w:lang w:val="fr-CA"/>
              </w:rPr>
            </w:pPr>
            <w:r w:rsidRPr="00D22CA0">
              <w:rPr>
                <w:sz w:val="20"/>
                <w:lang w:val="fr-CA"/>
              </w:rPr>
              <w:t xml:space="preserve">Les demandeurs, M. Gingras et sa compagnie 9254-8494 Québec Inc. (collectivement « M. Gingras ») possèdent un immeuble commercial dans le secteur de Charlesbourg, dans la ville de Québec. Entre 2009 et 2012, M. Gingras est aux prises avec une infestation de rats qui, malgré ses efforts, ne fait que s’aggraver. En 2012, lorsque M. Gingras avise la Ville d’une infestation de rats, la Ville procède à la dératisation de l’égout du secteur et une caméra révèle la présence de deux fissures au fond de la conduite principale. Ces fissures avaient été décelées en 2006 par la Ville, à l’insu de M. Gingras, mais la Ville n’avait vu aucune urgence à intervenir compte tenu de la localisation de celles-ci. Au printemps suivant, la Ville détecte une nouvelle fissure importante dans la conduite secondaire, près du réseau connecté à l’immeuble. La Ville procède alors à la réparation de ces fissures. Entre temps, l’immeuble de M. Gingras a été vidé, vu l’importance de l’infestation. À la suite des travaux de la ville, M. Gingras dégarnit une partie des murs et l’infestation s’estompe. M. Gingras devra toutefois procéder à la démolition de l’immeuble gravement endommagé et insalubre. </w:t>
            </w:r>
          </w:p>
          <w:p w:rsidR="00D22CA0" w:rsidRPr="00D22CA0" w:rsidRDefault="00D22CA0" w:rsidP="00D22CA0">
            <w:pPr>
              <w:jc w:val="both"/>
              <w:rPr>
                <w:sz w:val="20"/>
                <w:lang w:val="fr-CA"/>
              </w:rPr>
            </w:pPr>
          </w:p>
          <w:p w:rsidR="00D22CA0" w:rsidRPr="00D22CA0" w:rsidRDefault="00D22CA0" w:rsidP="00D22CA0">
            <w:pPr>
              <w:jc w:val="both"/>
              <w:rPr>
                <w:sz w:val="20"/>
                <w:lang w:val="fr-CA"/>
              </w:rPr>
            </w:pPr>
            <w:r w:rsidRPr="00D22CA0">
              <w:rPr>
                <w:sz w:val="20"/>
                <w:lang w:val="fr-CA"/>
              </w:rPr>
              <w:t>Un recours en dommages contre la Ville est intenté en août 2012 par M. Gingras. L’action a été rejetée par les tribunaux inférieurs. Selon le juge de première instance, la Ville a été négligente en attendant au début du mois de mai 2012 avant de réparer la fissure. Par contre, il y a absence de lien de causalité entre cette faute et les dommages-intérêts réclamés puisqu’il est impossible d’affirmer que les rats sont sortis par les fissures de la canalisation.</w:t>
            </w:r>
          </w:p>
          <w:p w:rsidR="00D22CA0" w:rsidRPr="00D22CA0" w:rsidRDefault="00D22CA0" w:rsidP="00D22CA0">
            <w:pPr>
              <w:jc w:val="both"/>
              <w:rPr>
                <w:sz w:val="20"/>
                <w:lang w:val="fr-CA"/>
              </w:rPr>
            </w:pPr>
          </w:p>
        </w:tc>
      </w:tr>
      <w:tr w:rsidR="00D22CA0" w:rsidRPr="00D22CA0" w:rsidTr="00FC7C5A">
        <w:tblPrEx>
          <w:tblCellMar>
            <w:bottom w:w="0" w:type="dxa"/>
          </w:tblCellMar>
        </w:tblPrEx>
        <w:tc>
          <w:tcPr>
            <w:tcW w:w="2367" w:type="pct"/>
            <w:gridSpan w:val="2"/>
          </w:tcPr>
          <w:p w:rsidR="00D22CA0" w:rsidRPr="00D22CA0" w:rsidRDefault="00D22CA0" w:rsidP="00D22CA0">
            <w:pPr>
              <w:jc w:val="both"/>
              <w:rPr>
                <w:sz w:val="20"/>
                <w:lang w:val="fr-CA"/>
              </w:rPr>
            </w:pPr>
            <w:r w:rsidRPr="00D22CA0">
              <w:rPr>
                <w:sz w:val="20"/>
                <w:lang w:val="fr-CA"/>
              </w:rPr>
              <w:t>Le 17 septembre 2015</w:t>
            </w:r>
          </w:p>
          <w:p w:rsidR="00D22CA0" w:rsidRPr="00D22CA0" w:rsidRDefault="00D22CA0" w:rsidP="00D22CA0">
            <w:pPr>
              <w:jc w:val="both"/>
              <w:rPr>
                <w:sz w:val="20"/>
                <w:lang w:val="fr-CA"/>
              </w:rPr>
            </w:pPr>
            <w:r w:rsidRPr="00D22CA0">
              <w:rPr>
                <w:sz w:val="20"/>
                <w:lang w:val="fr-CA"/>
              </w:rPr>
              <w:t>Cour supérieure du Québec</w:t>
            </w:r>
          </w:p>
          <w:p w:rsidR="00D22CA0" w:rsidRPr="00D22CA0" w:rsidRDefault="00D22CA0" w:rsidP="00D22CA0">
            <w:pPr>
              <w:jc w:val="both"/>
              <w:rPr>
                <w:sz w:val="20"/>
              </w:rPr>
            </w:pPr>
            <w:r w:rsidRPr="00D22CA0">
              <w:rPr>
                <w:sz w:val="20"/>
              </w:rPr>
              <w:t xml:space="preserve">(Le </w:t>
            </w:r>
            <w:proofErr w:type="spellStart"/>
            <w:r w:rsidRPr="00D22CA0">
              <w:rPr>
                <w:sz w:val="20"/>
              </w:rPr>
              <w:t>juge</w:t>
            </w:r>
            <w:proofErr w:type="spellEnd"/>
            <w:r w:rsidRPr="00D22CA0">
              <w:rPr>
                <w:sz w:val="20"/>
              </w:rPr>
              <w:t xml:space="preserve"> </w:t>
            </w:r>
            <w:proofErr w:type="spellStart"/>
            <w:r w:rsidRPr="00D22CA0">
              <w:rPr>
                <w:sz w:val="20"/>
              </w:rPr>
              <w:t>Dumais</w:t>
            </w:r>
            <w:proofErr w:type="spellEnd"/>
            <w:r w:rsidRPr="00D22CA0">
              <w:rPr>
                <w:sz w:val="20"/>
              </w:rPr>
              <w:t>)</w:t>
            </w:r>
          </w:p>
          <w:p w:rsidR="00D22CA0" w:rsidRPr="00D22CA0" w:rsidRDefault="00642A36" w:rsidP="00D22CA0">
            <w:pPr>
              <w:jc w:val="both"/>
              <w:rPr>
                <w:sz w:val="20"/>
              </w:rPr>
            </w:pPr>
            <w:hyperlink r:id="rId36" w:history="1">
              <w:r w:rsidR="00D22CA0" w:rsidRPr="00D22CA0">
                <w:rPr>
                  <w:rStyle w:val="Hyperlink"/>
                  <w:sz w:val="20"/>
                </w:rPr>
                <w:t>2015 QCCS 4299</w:t>
              </w:r>
            </w:hyperlink>
          </w:p>
          <w:p w:rsidR="00D22CA0" w:rsidRPr="00D22CA0" w:rsidRDefault="00D22CA0" w:rsidP="00D22CA0">
            <w:pPr>
              <w:jc w:val="both"/>
              <w:rPr>
                <w:sz w:val="20"/>
              </w:rPr>
            </w:pPr>
          </w:p>
        </w:tc>
        <w:tc>
          <w:tcPr>
            <w:tcW w:w="267" w:type="pct"/>
          </w:tcPr>
          <w:p w:rsidR="00D22CA0" w:rsidRPr="00D22CA0" w:rsidRDefault="00D22CA0" w:rsidP="00D22CA0">
            <w:pPr>
              <w:jc w:val="both"/>
              <w:rPr>
                <w:sz w:val="20"/>
              </w:rPr>
            </w:pPr>
          </w:p>
        </w:tc>
        <w:tc>
          <w:tcPr>
            <w:tcW w:w="2365" w:type="pct"/>
          </w:tcPr>
          <w:p w:rsidR="00D22CA0" w:rsidRPr="00D22CA0" w:rsidRDefault="00D22CA0" w:rsidP="00D22CA0">
            <w:pPr>
              <w:jc w:val="both"/>
              <w:rPr>
                <w:sz w:val="20"/>
              </w:rPr>
            </w:pPr>
            <w:r w:rsidRPr="00D22CA0">
              <w:rPr>
                <w:sz w:val="20"/>
              </w:rPr>
              <w:t>Requête introductive d’instance rejetée</w:t>
            </w:r>
          </w:p>
        </w:tc>
      </w:tr>
      <w:tr w:rsidR="00D22CA0" w:rsidRPr="00D22CA0" w:rsidTr="00FC7C5A">
        <w:tblPrEx>
          <w:tblCellMar>
            <w:bottom w:w="0" w:type="dxa"/>
          </w:tblCellMar>
        </w:tblPrEx>
        <w:tc>
          <w:tcPr>
            <w:tcW w:w="2367" w:type="pct"/>
            <w:gridSpan w:val="2"/>
          </w:tcPr>
          <w:p w:rsidR="00D22CA0" w:rsidRPr="00D22CA0" w:rsidRDefault="00D22CA0" w:rsidP="00D22CA0">
            <w:pPr>
              <w:jc w:val="both"/>
              <w:rPr>
                <w:sz w:val="20"/>
                <w:lang w:val="fr-CA"/>
              </w:rPr>
            </w:pPr>
            <w:r w:rsidRPr="00D22CA0">
              <w:rPr>
                <w:sz w:val="20"/>
                <w:lang w:val="fr-CA"/>
              </w:rPr>
              <w:t>Le 22 juin 2017</w:t>
            </w:r>
          </w:p>
          <w:p w:rsidR="00D22CA0" w:rsidRPr="00D22CA0" w:rsidRDefault="00D22CA0" w:rsidP="00D22CA0">
            <w:pPr>
              <w:jc w:val="both"/>
              <w:rPr>
                <w:sz w:val="20"/>
                <w:lang w:val="fr-CA"/>
              </w:rPr>
            </w:pPr>
            <w:r w:rsidRPr="00D22CA0">
              <w:rPr>
                <w:sz w:val="20"/>
                <w:lang w:val="fr-CA"/>
              </w:rPr>
              <w:t>Cour d’appel du Québec (Québec)</w:t>
            </w:r>
          </w:p>
          <w:p w:rsidR="00D22CA0" w:rsidRPr="00D22CA0" w:rsidRDefault="00D22CA0" w:rsidP="00D22CA0">
            <w:pPr>
              <w:jc w:val="both"/>
              <w:rPr>
                <w:sz w:val="20"/>
                <w:lang w:val="fr-CA"/>
              </w:rPr>
            </w:pPr>
            <w:r w:rsidRPr="00D22CA0">
              <w:rPr>
                <w:sz w:val="20"/>
                <w:lang w:val="fr-CA"/>
              </w:rPr>
              <w:t>(Les juges Bouchard, Morin et St-Pierre)</w:t>
            </w:r>
          </w:p>
          <w:p w:rsidR="00D22CA0" w:rsidRPr="00D22CA0" w:rsidRDefault="00642A36" w:rsidP="00D22CA0">
            <w:pPr>
              <w:jc w:val="both"/>
              <w:rPr>
                <w:sz w:val="20"/>
              </w:rPr>
            </w:pPr>
            <w:hyperlink r:id="rId37" w:history="1">
              <w:r w:rsidR="00D22CA0" w:rsidRPr="00D22CA0">
                <w:rPr>
                  <w:rStyle w:val="Hyperlink"/>
                  <w:sz w:val="20"/>
                </w:rPr>
                <w:t>2017 QCCA 1012</w:t>
              </w:r>
            </w:hyperlink>
          </w:p>
          <w:p w:rsidR="00D22CA0" w:rsidRPr="00D22CA0" w:rsidRDefault="00D22CA0" w:rsidP="00D22CA0">
            <w:pPr>
              <w:jc w:val="both"/>
              <w:rPr>
                <w:sz w:val="20"/>
              </w:rPr>
            </w:pPr>
          </w:p>
        </w:tc>
        <w:tc>
          <w:tcPr>
            <w:tcW w:w="267" w:type="pct"/>
          </w:tcPr>
          <w:p w:rsidR="00D22CA0" w:rsidRPr="00D22CA0" w:rsidRDefault="00D22CA0" w:rsidP="00D22CA0">
            <w:pPr>
              <w:jc w:val="both"/>
              <w:rPr>
                <w:sz w:val="20"/>
              </w:rPr>
            </w:pPr>
          </w:p>
        </w:tc>
        <w:tc>
          <w:tcPr>
            <w:tcW w:w="2365" w:type="pct"/>
          </w:tcPr>
          <w:p w:rsidR="00D22CA0" w:rsidRPr="00D22CA0" w:rsidRDefault="00D22CA0" w:rsidP="00D22CA0">
            <w:pPr>
              <w:jc w:val="both"/>
              <w:rPr>
                <w:sz w:val="20"/>
              </w:rPr>
            </w:pPr>
            <w:r w:rsidRPr="00D22CA0">
              <w:rPr>
                <w:sz w:val="20"/>
              </w:rPr>
              <w:t>Appel rejeté</w:t>
            </w:r>
          </w:p>
          <w:p w:rsidR="00D22CA0" w:rsidRPr="00D22CA0" w:rsidRDefault="00D22CA0" w:rsidP="00D22CA0">
            <w:pPr>
              <w:jc w:val="both"/>
              <w:rPr>
                <w:sz w:val="20"/>
              </w:rPr>
            </w:pPr>
          </w:p>
        </w:tc>
      </w:tr>
      <w:tr w:rsidR="00D22CA0" w:rsidRPr="00D22CA0" w:rsidTr="00FC7C5A">
        <w:tblPrEx>
          <w:tblCellMar>
            <w:bottom w:w="0" w:type="dxa"/>
          </w:tblCellMar>
        </w:tblPrEx>
        <w:tc>
          <w:tcPr>
            <w:tcW w:w="2367" w:type="pct"/>
            <w:gridSpan w:val="2"/>
          </w:tcPr>
          <w:p w:rsidR="00D22CA0" w:rsidRPr="00D22CA0" w:rsidRDefault="00D22CA0" w:rsidP="00D22CA0">
            <w:pPr>
              <w:jc w:val="both"/>
              <w:rPr>
                <w:sz w:val="20"/>
                <w:lang w:val="fr-CA"/>
              </w:rPr>
            </w:pPr>
            <w:r w:rsidRPr="00D22CA0">
              <w:rPr>
                <w:sz w:val="20"/>
                <w:lang w:val="fr-CA"/>
              </w:rPr>
              <w:t>Le 20 septembre 2017</w:t>
            </w:r>
          </w:p>
          <w:p w:rsidR="00D22CA0" w:rsidRPr="00D22CA0" w:rsidRDefault="00D22CA0" w:rsidP="00D22CA0">
            <w:pPr>
              <w:jc w:val="both"/>
              <w:rPr>
                <w:sz w:val="20"/>
                <w:lang w:val="fr-CA"/>
              </w:rPr>
            </w:pPr>
            <w:r w:rsidRPr="00D22CA0">
              <w:rPr>
                <w:sz w:val="20"/>
                <w:lang w:val="fr-CA"/>
              </w:rPr>
              <w:t>Cour suprême du Canada</w:t>
            </w:r>
          </w:p>
        </w:tc>
        <w:tc>
          <w:tcPr>
            <w:tcW w:w="267" w:type="pct"/>
          </w:tcPr>
          <w:p w:rsidR="00D22CA0" w:rsidRPr="00D22CA0" w:rsidRDefault="00D22CA0" w:rsidP="00D22CA0">
            <w:pPr>
              <w:jc w:val="both"/>
              <w:rPr>
                <w:sz w:val="20"/>
                <w:lang w:val="fr-CA"/>
              </w:rPr>
            </w:pPr>
          </w:p>
        </w:tc>
        <w:tc>
          <w:tcPr>
            <w:tcW w:w="2365" w:type="pct"/>
          </w:tcPr>
          <w:p w:rsidR="00D22CA0" w:rsidRPr="00D22CA0" w:rsidRDefault="00D22CA0" w:rsidP="00D22CA0">
            <w:pPr>
              <w:jc w:val="both"/>
              <w:rPr>
                <w:sz w:val="20"/>
              </w:rPr>
            </w:pPr>
            <w:r w:rsidRPr="00D22CA0">
              <w:rPr>
                <w:sz w:val="20"/>
              </w:rPr>
              <w:t>Demande d’autorisation d’appel déposée</w:t>
            </w:r>
          </w:p>
          <w:p w:rsidR="00D22CA0" w:rsidRPr="00D22CA0" w:rsidRDefault="00D22CA0" w:rsidP="00D22CA0">
            <w:pPr>
              <w:jc w:val="both"/>
              <w:rPr>
                <w:sz w:val="20"/>
              </w:rPr>
            </w:pPr>
          </w:p>
        </w:tc>
      </w:tr>
    </w:tbl>
    <w:p w:rsidR="00D22CA0" w:rsidRPr="00D22CA0" w:rsidRDefault="00D22CA0" w:rsidP="00D22CA0">
      <w:pPr>
        <w:jc w:val="both"/>
        <w:rPr>
          <w:sz w:val="20"/>
        </w:rPr>
      </w:pPr>
    </w:p>
    <w:p w:rsidR="00D22CA0" w:rsidRPr="00D22CA0" w:rsidRDefault="00D22CA0" w:rsidP="00D22CA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2CA0" w:rsidRPr="00D22CA0" w:rsidTr="00E95A6A">
        <w:tc>
          <w:tcPr>
            <w:tcW w:w="543" w:type="pct"/>
          </w:tcPr>
          <w:p w:rsidR="00D22CA0" w:rsidRPr="00D22CA0" w:rsidRDefault="00D22CA0" w:rsidP="00D22CA0">
            <w:pPr>
              <w:jc w:val="both"/>
              <w:rPr>
                <w:sz w:val="20"/>
              </w:rPr>
            </w:pPr>
            <w:r w:rsidRPr="00D22CA0">
              <w:rPr>
                <w:rStyle w:val="SCCFileNumberChar"/>
                <w:sz w:val="20"/>
                <w:szCs w:val="20"/>
              </w:rPr>
              <w:t>37718</w:t>
            </w:r>
          </w:p>
        </w:tc>
        <w:tc>
          <w:tcPr>
            <w:tcW w:w="4457" w:type="pct"/>
            <w:gridSpan w:val="3"/>
          </w:tcPr>
          <w:p w:rsidR="00D22CA0" w:rsidRPr="00D22CA0" w:rsidRDefault="00D22CA0" w:rsidP="00D22CA0">
            <w:pPr>
              <w:pStyle w:val="SCCLsocParty"/>
              <w:jc w:val="both"/>
              <w:rPr>
                <w:b/>
                <w:sz w:val="20"/>
                <w:szCs w:val="20"/>
                <w:lang w:val="en-US"/>
              </w:rPr>
            </w:pPr>
            <w:r w:rsidRPr="00D22CA0">
              <w:rPr>
                <w:b/>
                <w:sz w:val="20"/>
                <w:szCs w:val="20"/>
                <w:lang w:val="en-US"/>
              </w:rPr>
              <w:t xml:space="preserve">Tanja Ivic v. Velibor Boro Lakovic, United Taxi Limited a.k.a. United Taxi Transportation Services (K-W) Ltd., Susan </w:t>
            </w:r>
            <w:proofErr w:type="spellStart"/>
            <w:r w:rsidRPr="00D22CA0">
              <w:rPr>
                <w:b/>
                <w:sz w:val="20"/>
                <w:szCs w:val="20"/>
                <w:lang w:val="en-US"/>
              </w:rPr>
              <w:t>Tosic</w:t>
            </w:r>
            <w:proofErr w:type="spellEnd"/>
          </w:p>
          <w:p w:rsidR="00D22CA0" w:rsidRPr="00D22CA0" w:rsidRDefault="00D22CA0" w:rsidP="00D22CA0">
            <w:pPr>
              <w:jc w:val="both"/>
              <w:rPr>
                <w:sz w:val="20"/>
              </w:rPr>
            </w:pPr>
            <w:r w:rsidRPr="00D22CA0">
              <w:rPr>
                <w:sz w:val="20"/>
              </w:rPr>
              <w:t>(Ont.) (Civil) (By Leave)</w:t>
            </w:r>
          </w:p>
        </w:tc>
      </w:tr>
      <w:tr w:rsidR="00D22CA0" w:rsidRPr="00D22CA0" w:rsidTr="00E95A6A">
        <w:tc>
          <w:tcPr>
            <w:tcW w:w="5000" w:type="pct"/>
            <w:gridSpan w:val="4"/>
          </w:tcPr>
          <w:p w:rsidR="00D22CA0" w:rsidRPr="00D22CA0" w:rsidRDefault="00D22CA0" w:rsidP="00D22CA0">
            <w:pPr>
              <w:jc w:val="both"/>
              <w:rPr>
                <w:sz w:val="20"/>
              </w:rPr>
            </w:pPr>
            <w:r w:rsidRPr="00D22CA0">
              <w:rPr>
                <w:sz w:val="20"/>
              </w:rPr>
              <w:t xml:space="preserve">Torts – Vicarious liability – Vicarious liability of taxi company for alleged sexual assault by driver on a passenger – Whether test articulated in </w:t>
            </w:r>
            <w:proofErr w:type="spellStart"/>
            <w:r w:rsidRPr="00D22CA0">
              <w:rPr>
                <w:i/>
                <w:sz w:val="20"/>
              </w:rPr>
              <w:t>Bazley</w:t>
            </w:r>
            <w:proofErr w:type="spellEnd"/>
            <w:r w:rsidRPr="00D22CA0">
              <w:rPr>
                <w:i/>
                <w:sz w:val="20"/>
              </w:rPr>
              <w:t xml:space="preserve"> v. Curry</w:t>
            </w:r>
            <w:r w:rsidRPr="00D22CA0">
              <w:rPr>
                <w:sz w:val="20"/>
              </w:rPr>
              <w:t>, [1999] 2 S.C.R. 534,</w:t>
            </w:r>
            <w:r w:rsidRPr="00D22CA0">
              <w:rPr>
                <w:rStyle w:val="reflex3-alt"/>
                <w:sz w:val="20"/>
                <w:lang w:val="en"/>
              </w:rPr>
              <w:t xml:space="preserve"> </w:t>
            </w:r>
            <w:r w:rsidRPr="00D22CA0">
              <w:rPr>
                <w:sz w:val="20"/>
              </w:rPr>
              <w:t>provides principled basis upon which to determine whether vicarious liability should be imposed – Whether commercial enterprise responsible when employee sexually assaults customer on its premises in course of business, when core of its business is to provide safe passage to those who require it – Whether doctrine of vicarious liability provides solution to persistent problem of lack of effective remedy for survivors of sexual assault.</w:t>
            </w:r>
          </w:p>
        </w:tc>
      </w:tr>
      <w:tr w:rsidR="00D22CA0" w:rsidRPr="00D22CA0" w:rsidTr="00E95A6A">
        <w:tc>
          <w:tcPr>
            <w:tcW w:w="5000" w:type="pct"/>
            <w:gridSpan w:val="4"/>
          </w:tcPr>
          <w:p w:rsidR="00D22CA0" w:rsidRPr="00D22CA0" w:rsidRDefault="00D22CA0" w:rsidP="00D22CA0">
            <w:pPr>
              <w:jc w:val="both"/>
              <w:rPr>
                <w:sz w:val="20"/>
              </w:rPr>
            </w:pPr>
          </w:p>
          <w:p w:rsidR="00D22CA0" w:rsidRPr="00D22CA0" w:rsidRDefault="00D22CA0" w:rsidP="00D22CA0">
            <w:pPr>
              <w:jc w:val="both"/>
              <w:rPr>
                <w:sz w:val="20"/>
              </w:rPr>
            </w:pPr>
            <w:r w:rsidRPr="00D22CA0">
              <w:rPr>
                <w:sz w:val="20"/>
              </w:rPr>
              <w:t>Tanja Ivic was at a party late one evening, intoxicated and feeling unwell. A friend called United Taxi to dispatch a taxi to drive Ms. Ivic home. When it arrived for Ms. Ivic, the company’s name was on the roof light and in large graphics on the taxi. Ms. Ivic alleged that she was sexually assaulted in the taxi by the driver, Velibor Lakovic. In addition to suing the driver and the owner and primary operator of the taxi for damages, Ms. Ivic sued the taxi company, pleading that it was vicariously liable for the acts of the driver, that it was negligent, owed her a fiduciary duty and had breached that duty. She did not plead breach of contract.</w:t>
            </w:r>
          </w:p>
          <w:p w:rsidR="00D22CA0" w:rsidRPr="00D22CA0" w:rsidRDefault="00D22CA0" w:rsidP="00D22CA0">
            <w:pPr>
              <w:jc w:val="both"/>
              <w:rPr>
                <w:sz w:val="20"/>
              </w:rPr>
            </w:pPr>
          </w:p>
          <w:p w:rsidR="00D22CA0" w:rsidRPr="00D22CA0" w:rsidRDefault="00D22CA0" w:rsidP="00D22CA0">
            <w:pPr>
              <w:jc w:val="both"/>
              <w:rPr>
                <w:sz w:val="20"/>
              </w:rPr>
            </w:pPr>
            <w:r w:rsidRPr="00D22CA0">
              <w:rPr>
                <w:sz w:val="20"/>
              </w:rPr>
              <w:t>The Ontario Superior Court of Justice allowed Ms. </w:t>
            </w:r>
            <w:proofErr w:type="spellStart"/>
            <w:r w:rsidRPr="00D22CA0">
              <w:rPr>
                <w:sz w:val="20"/>
              </w:rPr>
              <w:t>Ivic’s</w:t>
            </w:r>
            <w:proofErr w:type="spellEnd"/>
            <w:r w:rsidRPr="00D22CA0">
              <w:rPr>
                <w:sz w:val="20"/>
              </w:rPr>
              <w:t xml:space="preserve"> motion to amend her statement of claim. The court also granted United Taxi’s motion for summary judgment and dismissed Ms. </w:t>
            </w:r>
            <w:proofErr w:type="spellStart"/>
            <w:r w:rsidRPr="00D22CA0">
              <w:rPr>
                <w:sz w:val="20"/>
              </w:rPr>
              <w:t>Ivic’s</w:t>
            </w:r>
            <w:proofErr w:type="spellEnd"/>
            <w:r w:rsidRPr="00D22CA0">
              <w:rPr>
                <w:sz w:val="20"/>
              </w:rPr>
              <w:t xml:space="preserve"> action against the taxi company. The Ontario Court of Appeal dismissed Ms. </w:t>
            </w:r>
            <w:proofErr w:type="spellStart"/>
            <w:r w:rsidRPr="00D22CA0">
              <w:rPr>
                <w:sz w:val="20"/>
              </w:rPr>
              <w:t>Ivic’s</w:t>
            </w:r>
            <w:proofErr w:type="spellEnd"/>
            <w:r w:rsidRPr="00D22CA0">
              <w:rPr>
                <w:sz w:val="20"/>
              </w:rPr>
              <w:t xml:space="preserve"> appeal</w:t>
            </w:r>
          </w:p>
        </w:tc>
      </w:tr>
      <w:tr w:rsidR="00D22CA0" w:rsidRPr="00D22CA0" w:rsidTr="00E95A6A">
        <w:tc>
          <w:tcPr>
            <w:tcW w:w="5000" w:type="pct"/>
            <w:gridSpan w:val="4"/>
          </w:tcPr>
          <w:p w:rsidR="00D22CA0" w:rsidRPr="00D22CA0" w:rsidRDefault="00D22CA0" w:rsidP="00D22CA0">
            <w:pPr>
              <w:jc w:val="both"/>
              <w:rPr>
                <w:sz w:val="20"/>
              </w:rPr>
            </w:pPr>
          </w:p>
        </w:tc>
      </w:tr>
      <w:tr w:rsidR="00D22CA0" w:rsidRPr="00D22CA0" w:rsidTr="00E95A6A">
        <w:tc>
          <w:tcPr>
            <w:tcW w:w="2427" w:type="pct"/>
            <w:gridSpan w:val="2"/>
          </w:tcPr>
          <w:p w:rsidR="00D22CA0" w:rsidRPr="00D22CA0" w:rsidRDefault="00D22CA0" w:rsidP="00D22CA0">
            <w:pPr>
              <w:jc w:val="both"/>
              <w:rPr>
                <w:sz w:val="20"/>
              </w:rPr>
            </w:pPr>
            <w:r w:rsidRPr="00D22CA0">
              <w:rPr>
                <w:sz w:val="20"/>
              </w:rPr>
              <w:t>September 14, 2016</w:t>
            </w:r>
          </w:p>
          <w:p w:rsidR="00D22CA0" w:rsidRPr="00D22CA0" w:rsidRDefault="00D22CA0" w:rsidP="00D22CA0">
            <w:pPr>
              <w:jc w:val="both"/>
              <w:rPr>
                <w:sz w:val="20"/>
              </w:rPr>
            </w:pPr>
            <w:r w:rsidRPr="00D22CA0">
              <w:rPr>
                <w:sz w:val="20"/>
              </w:rPr>
              <w:t>Ontario Superior Court of Justice</w:t>
            </w:r>
          </w:p>
          <w:p w:rsidR="00D22CA0" w:rsidRPr="00D22CA0" w:rsidRDefault="00D22CA0" w:rsidP="00D22CA0">
            <w:pPr>
              <w:jc w:val="both"/>
              <w:rPr>
                <w:sz w:val="20"/>
              </w:rPr>
            </w:pPr>
            <w:r w:rsidRPr="00D22CA0">
              <w:rPr>
                <w:sz w:val="20"/>
              </w:rPr>
              <w:t>(Broad J.)</w:t>
            </w:r>
          </w:p>
          <w:p w:rsidR="00D22CA0" w:rsidRPr="00D22CA0" w:rsidRDefault="00642A36" w:rsidP="00D22CA0">
            <w:pPr>
              <w:jc w:val="both"/>
              <w:rPr>
                <w:sz w:val="20"/>
              </w:rPr>
            </w:pPr>
            <w:hyperlink r:id="rId38" w:history="1">
              <w:r w:rsidR="00D22CA0" w:rsidRPr="00D22CA0">
                <w:rPr>
                  <w:rStyle w:val="Hyperlink"/>
                  <w:sz w:val="20"/>
                </w:rPr>
                <w:t>2016 ONSC 5750</w:t>
              </w:r>
            </w:hyperlink>
          </w:p>
          <w:p w:rsidR="00D22CA0" w:rsidRPr="00D22CA0" w:rsidRDefault="00D22CA0" w:rsidP="00D22CA0">
            <w:pPr>
              <w:jc w:val="both"/>
              <w:rPr>
                <w:sz w:val="20"/>
              </w:rPr>
            </w:pPr>
          </w:p>
        </w:tc>
        <w:tc>
          <w:tcPr>
            <w:tcW w:w="243" w:type="pct"/>
          </w:tcPr>
          <w:p w:rsidR="00D22CA0" w:rsidRPr="00D22CA0" w:rsidRDefault="00D22CA0" w:rsidP="00D22CA0">
            <w:pPr>
              <w:jc w:val="both"/>
              <w:rPr>
                <w:sz w:val="20"/>
              </w:rPr>
            </w:pPr>
          </w:p>
        </w:tc>
        <w:tc>
          <w:tcPr>
            <w:tcW w:w="2330" w:type="pct"/>
          </w:tcPr>
          <w:p w:rsidR="00D22CA0" w:rsidRPr="00D22CA0" w:rsidRDefault="00D22CA0" w:rsidP="00D22CA0">
            <w:pPr>
              <w:jc w:val="both"/>
              <w:rPr>
                <w:sz w:val="20"/>
              </w:rPr>
            </w:pPr>
            <w:r w:rsidRPr="00D22CA0">
              <w:rPr>
                <w:sz w:val="20"/>
              </w:rPr>
              <w:t xml:space="preserve">Tanja </w:t>
            </w:r>
            <w:proofErr w:type="spellStart"/>
            <w:r w:rsidRPr="00D22CA0">
              <w:rPr>
                <w:sz w:val="20"/>
              </w:rPr>
              <w:t>Ivic’s</w:t>
            </w:r>
            <w:proofErr w:type="spellEnd"/>
            <w:r w:rsidRPr="00D22CA0">
              <w:rPr>
                <w:sz w:val="20"/>
              </w:rPr>
              <w:t xml:space="preserve"> motion for leave to amend statement of claim, granted; </w:t>
            </w:r>
          </w:p>
          <w:p w:rsidR="00D22CA0" w:rsidRPr="00D22CA0" w:rsidRDefault="00D22CA0" w:rsidP="00D22CA0">
            <w:pPr>
              <w:jc w:val="both"/>
              <w:rPr>
                <w:sz w:val="20"/>
              </w:rPr>
            </w:pPr>
            <w:r w:rsidRPr="00D22CA0">
              <w:rPr>
                <w:sz w:val="20"/>
              </w:rPr>
              <w:t>United Taxi’s motion for summary judgment and for dismissal of the action against it, granted.</w:t>
            </w:r>
          </w:p>
          <w:p w:rsidR="00D22CA0" w:rsidRPr="00D22CA0" w:rsidRDefault="00D22CA0" w:rsidP="00D22CA0">
            <w:pPr>
              <w:jc w:val="both"/>
              <w:rPr>
                <w:sz w:val="20"/>
              </w:rPr>
            </w:pPr>
          </w:p>
        </w:tc>
      </w:tr>
      <w:tr w:rsidR="00D22CA0" w:rsidRPr="00D22CA0" w:rsidTr="00E95A6A">
        <w:tc>
          <w:tcPr>
            <w:tcW w:w="2427" w:type="pct"/>
            <w:gridSpan w:val="2"/>
          </w:tcPr>
          <w:p w:rsidR="00D22CA0" w:rsidRPr="00D22CA0" w:rsidRDefault="00D22CA0" w:rsidP="00D22CA0">
            <w:pPr>
              <w:jc w:val="both"/>
              <w:rPr>
                <w:sz w:val="20"/>
              </w:rPr>
            </w:pPr>
            <w:r w:rsidRPr="00D22CA0">
              <w:rPr>
                <w:sz w:val="20"/>
              </w:rPr>
              <w:t>June 2, 2017</w:t>
            </w:r>
          </w:p>
          <w:p w:rsidR="00D22CA0" w:rsidRPr="00D22CA0" w:rsidRDefault="00D22CA0" w:rsidP="00D22CA0">
            <w:pPr>
              <w:jc w:val="both"/>
              <w:rPr>
                <w:sz w:val="20"/>
              </w:rPr>
            </w:pPr>
            <w:r w:rsidRPr="00D22CA0">
              <w:rPr>
                <w:sz w:val="20"/>
              </w:rPr>
              <w:t>Court of Appeal for Ontario</w:t>
            </w:r>
          </w:p>
          <w:p w:rsidR="00D22CA0" w:rsidRPr="00D22CA0" w:rsidRDefault="00D22CA0" w:rsidP="00D22CA0">
            <w:pPr>
              <w:jc w:val="both"/>
              <w:rPr>
                <w:sz w:val="20"/>
              </w:rPr>
            </w:pPr>
            <w:r w:rsidRPr="00D22CA0">
              <w:rPr>
                <w:sz w:val="20"/>
              </w:rPr>
              <w:t>(Hoy A.C.J.O. and Blair and Hourigan JJ.A.)</w:t>
            </w:r>
          </w:p>
          <w:p w:rsidR="00D22CA0" w:rsidRPr="00D22CA0" w:rsidRDefault="00642A36" w:rsidP="00D22CA0">
            <w:pPr>
              <w:jc w:val="both"/>
              <w:rPr>
                <w:sz w:val="20"/>
              </w:rPr>
            </w:pPr>
            <w:hyperlink r:id="rId39" w:history="1">
              <w:r w:rsidR="00D22CA0" w:rsidRPr="00D22CA0">
                <w:rPr>
                  <w:rStyle w:val="Hyperlink"/>
                  <w:sz w:val="20"/>
                </w:rPr>
                <w:t>2017 ONCA 446</w:t>
              </w:r>
            </w:hyperlink>
            <w:r w:rsidR="00D22CA0" w:rsidRPr="00D22CA0">
              <w:rPr>
                <w:sz w:val="20"/>
              </w:rPr>
              <w:t xml:space="preserve"> </w:t>
            </w:r>
          </w:p>
          <w:p w:rsidR="00D22CA0" w:rsidRPr="00D22CA0" w:rsidRDefault="00D22CA0" w:rsidP="00D22CA0">
            <w:pPr>
              <w:jc w:val="both"/>
              <w:rPr>
                <w:sz w:val="20"/>
              </w:rPr>
            </w:pPr>
          </w:p>
        </w:tc>
        <w:tc>
          <w:tcPr>
            <w:tcW w:w="243" w:type="pct"/>
          </w:tcPr>
          <w:p w:rsidR="00D22CA0" w:rsidRPr="00D22CA0" w:rsidRDefault="00D22CA0" w:rsidP="00D22CA0">
            <w:pPr>
              <w:jc w:val="both"/>
              <w:rPr>
                <w:sz w:val="20"/>
              </w:rPr>
            </w:pPr>
          </w:p>
        </w:tc>
        <w:tc>
          <w:tcPr>
            <w:tcW w:w="2330" w:type="pct"/>
          </w:tcPr>
          <w:p w:rsidR="00D22CA0" w:rsidRPr="00D22CA0" w:rsidRDefault="00D22CA0" w:rsidP="00D22CA0">
            <w:pPr>
              <w:jc w:val="both"/>
              <w:rPr>
                <w:sz w:val="20"/>
              </w:rPr>
            </w:pPr>
            <w:r w:rsidRPr="00D22CA0">
              <w:rPr>
                <w:sz w:val="20"/>
              </w:rPr>
              <w:t>Ms. </w:t>
            </w:r>
            <w:proofErr w:type="spellStart"/>
            <w:r w:rsidRPr="00D22CA0">
              <w:rPr>
                <w:sz w:val="20"/>
              </w:rPr>
              <w:t>Ivic’s</w:t>
            </w:r>
            <w:proofErr w:type="spellEnd"/>
            <w:r w:rsidRPr="00D22CA0">
              <w:rPr>
                <w:sz w:val="20"/>
              </w:rPr>
              <w:t xml:space="preserve"> appeal, dismissed.</w:t>
            </w:r>
          </w:p>
          <w:p w:rsidR="00D22CA0" w:rsidRPr="00D22CA0" w:rsidRDefault="00D22CA0" w:rsidP="00D22CA0">
            <w:pPr>
              <w:jc w:val="both"/>
              <w:rPr>
                <w:sz w:val="20"/>
              </w:rPr>
            </w:pPr>
          </w:p>
        </w:tc>
      </w:tr>
      <w:tr w:rsidR="00D22CA0" w:rsidRPr="00D22CA0" w:rsidTr="00E95A6A">
        <w:tc>
          <w:tcPr>
            <w:tcW w:w="2427" w:type="pct"/>
            <w:gridSpan w:val="2"/>
          </w:tcPr>
          <w:p w:rsidR="00D22CA0" w:rsidRPr="00D22CA0" w:rsidRDefault="00D22CA0" w:rsidP="00D22CA0">
            <w:pPr>
              <w:jc w:val="both"/>
              <w:rPr>
                <w:sz w:val="20"/>
              </w:rPr>
            </w:pPr>
            <w:r w:rsidRPr="00D22CA0">
              <w:rPr>
                <w:sz w:val="20"/>
              </w:rPr>
              <w:t>August 31, 2017</w:t>
            </w:r>
          </w:p>
          <w:p w:rsidR="00D22CA0" w:rsidRPr="00D22CA0" w:rsidRDefault="00D22CA0" w:rsidP="00D22CA0">
            <w:pPr>
              <w:jc w:val="both"/>
              <w:rPr>
                <w:sz w:val="20"/>
              </w:rPr>
            </w:pPr>
            <w:r w:rsidRPr="00D22CA0">
              <w:rPr>
                <w:sz w:val="20"/>
              </w:rPr>
              <w:t>Supreme Court of Canada</w:t>
            </w:r>
          </w:p>
        </w:tc>
        <w:tc>
          <w:tcPr>
            <w:tcW w:w="243" w:type="pct"/>
          </w:tcPr>
          <w:p w:rsidR="00D22CA0" w:rsidRPr="00D22CA0" w:rsidRDefault="00D22CA0" w:rsidP="00D22CA0">
            <w:pPr>
              <w:jc w:val="both"/>
              <w:rPr>
                <w:sz w:val="20"/>
              </w:rPr>
            </w:pPr>
          </w:p>
        </w:tc>
        <w:tc>
          <w:tcPr>
            <w:tcW w:w="2330" w:type="pct"/>
          </w:tcPr>
          <w:p w:rsidR="00D22CA0" w:rsidRPr="00D22CA0" w:rsidRDefault="00D22CA0" w:rsidP="00D22CA0">
            <w:pPr>
              <w:jc w:val="both"/>
              <w:rPr>
                <w:sz w:val="20"/>
              </w:rPr>
            </w:pPr>
            <w:r w:rsidRPr="00D22CA0">
              <w:rPr>
                <w:sz w:val="20"/>
              </w:rPr>
              <w:t>Application for leave to appeal, filed.</w:t>
            </w:r>
          </w:p>
          <w:p w:rsidR="00D22CA0" w:rsidRPr="00D22CA0" w:rsidRDefault="00D22CA0" w:rsidP="00D22CA0">
            <w:pPr>
              <w:jc w:val="both"/>
              <w:rPr>
                <w:sz w:val="20"/>
              </w:rPr>
            </w:pPr>
          </w:p>
        </w:tc>
      </w:tr>
    </w:tbl>
    <w:p w:rsidR="00D22CA0" w:rsidRDefault="00D22CA0" w:rsidP="00D22CA0">
      <w:pPr>
        <w:jc w:val="both"/>
        <w:rPr>
          <w:sz w:val="20"/>
        </w:rPr>
      </w:pPr>
    </w:p>
    <w:p w:rsidR="00D22CA0" w:rsidRPr="00D22CA0" w:rsidRDefault="00D22CA0" w:rsidP="00D22C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2CA0" w:rsidRPr="00D22CA0" w:rsidTr="00E95A6A">
        <w:tc>
          <w:tcPr>
            <w:tcW w:w="543" w:type="pct"/>
          </w:tcPr>
          <w:p w:rsidR="00D22CA0" w:rsidRPr="00D22CA0" w:rsidRDefault="00D22CA0" w:rsidP="00D22CA0">
            <w:pPr>
              <w:jc w:val="both"/>
              <w:rPr>
                <w:sz w:val="20"/>
                <w:lang w:val="fr-CA"/>
              </w:rPr>
            </w:pPr>
            <w:r w:rsidRPr="00D22CA0">
              <w:rPr>
                <w:rStyle w:val="SCCFileNumberChar"/>
                <w:sz w:val="20"/>
                <w:szCs w:val="20"/>
                <w:lang w:val="fr-CA"/>
              </w:rPr>
              <w:t>37718</w:t>
            </w:r>
          </w:p>
        </w:tc>
        <w:tc>
          <w:tcPr>
            <w:tcW w:w="4457" w:type="pct"/>
            <w:gridSpan w:val="3"/>
          </w:tcPr>
          <w:p w:rsidR="00D22CA0" w:rsidRPr="00D22CA0" w:rsidRDefault="00D22CA0" w:rsidP="00D22CA0">
            <w:pPr>
              <w:pStyle w:val="SCCLsocParty"/>
              <w:jc w:val="both"/>
              <w:rPr>
                <w:b/>
                <w:sz w:val="20"/>
                <w:szCs w:val="20"/>
                <w:lang w:val="en-US"/>
              </w:rPr>
            </w:pPr>
            <w:r w:rsidRPr="00D22CA0">
              <w:rPr>
                <w:b/>
                <w:sz w:val="20"/>
                <w:szCs w:val="20"/>
                <w:lang w:val="en-US"/>
              </w:rPr>
              <w:t xml:space="preserve">Tanja Ivic c. Velibor Boro Lakovic, United Taxi Limited alias United Taxi Transportation Services (K-W) Ltd., Susan </w:t>
            </w:r>
            <w:proofErr w:type="spellStart"/>
            <w:r w:rsidRPr="00D22CA0">
              <w:rPr>
                <w:b/>
                <w:sz w:val="20"/>
                <w:szCs w:val="20"/>
                <w:lang w:val="en-US"/>
              </w:rPr>
              <w:t>Tosic</w:t>
            </w:r>
            <w:proofErr w:type="spellEnd"/>
          </w:p>
          <w:p w:rsidR="00D22CA0" w:rsidRPr="00D22CA0" w:rsidRDefault="00D22CA0" w:rsidP="00D22CA0">
            <w:pPr>
              <w:jc w:val="both"/>
              <w:rPr>
                <w:sz w:val="20"/>
                <w:lang w:val="fr-CA"/>
              </w:rPr>
            </w:pPr>
            <w:r w:rsidRPr="00D22CA0">
              <w:rPr>
                <w:sz w:val="20"/>
                <w:lang w:val="fr-CA"/>
              </w:rPr>
              <w:t>(Ont.) (Civile) (Sur autorisation)</w:t>
            </w:r>
          </w:p>
        </w:tc>
      </w:tr>
      <w:tr w:rsidR="00D22CA0" w:rsidRPr="00642A36" w:rsidTr="00E95A6A">
        <w:tc>
          <w:tcPr>
            <w:tcW w:w="5000" w:type="pct"/>
            <w:gridSpan w:val="4"/>
          </w:tcPr>
          <w:p w:rsidR="00D22CA0" w:rsidRPr="00D22CA0" w:rsidRDefault="00D22CA0" w:rsidP="00D22CA0">
            <w:pPr>
              <w:jc w:val="both"/>
              <w:rPr>
                <w:sz w:val="20"/>
                <w:lang w:val="fr-CA"/>
              </w:rPr>
            </w:pPr>
            <w:r w:rsidRPr="00D22CA0">
              <w:rPr>
                <w:sz w:val="20"/>
                <w:lang w:val="fr-CA"/>
              </w:rPr>
              <w:t xml:space="preserve">Responsabilité délictuelle – Responsabilité du fait d’autrui – Responsabilité du fait d’autrui d’une entreprise de taxi pour l’agression sexuelle qu’aurait commise un chauffeur sur une passagère – Le critère formulé dans l’arrêt </w:t>
            </w:r>
            <w:r w:rsidRPr="00D22CA0">
              <w:rPr>
                <w:i/>
                <w:sz w:val="20"/>
                <w:lang w:val="fr-CA"/>
              </w:rPr>
              <w:t>Bazley c. Curry</w:t>
            </w:r>
            <w:r w:rsidRPr="00D22CA0">
              <w:rPr>
                <w:sz w:val="20"/>
                <w:lang w:val="fr-CA"/>
              </w:rPr>
              <w:t>, [1999] 2 S.C.R. 534 fournit-il un raison de principe pour trancher la question de savoir s’il y a lieu d’imputer la responsabilité du fait d’autrui? – Une entreprise commerciale est-elle responsable lorsqu’un employé agresse sexuellement une cliente dans ses locaux dans le cours de ses activités, lorsque sa fonction principale consiste à assurer le passage sûr à ceux qui en ont besoin? – La doctrine de la responsabilité du fait d’autrui fournit-elle une solution au problème persistent de l’absence de réparation adéquate pour les survivantes d’agression sexuelle?</w:t>
            </w:r>
          </w:p>
        </w:tc>
      </w:tr>
      <w:tr w:rsidR="00D22CA0" w:rsidRPr="00642A36" w:rsidTr="00E95A6A">
        <w:tc>
          <w:tcPr>
            <w:tcW w:w="5000" w:type="pct"/>
            <w:gridSpan w:val="4"/>
          </w:tcPr>
          <w:p w:rsidR="00D22CA0" w:rsidRPr="00D22CA0" w:rsidRDefault="00D22CA0" w:rsidP="00D22CA0">
            <w:pPr>
              <w:jc w:val="both"/>
              <w:rPr>
                <w:sz w:val="20"/>
                <w:lang w:val="fr-CA"/>
              </w:rPr>
            </w:pPr>
          </w:p>
          <w:p w:rsidR="00D22CA0" w:rsidRPr="00D22CA0" w:rsidRDefault="00D22CA0" w:rsidP="00D22CA0">
            <w:pPr>
              <w:jc w:val="both"/>
              <w:rPr>
                <w:sz w:val="20"/>
                <w:lang w:val="fr-CA"/>
              </w:rPr>
            </w:pPr>
            <w:r w:rsidRPr="00D22CA0">
              <w:rPr>
                <w:sz w:val="20"/>
                <w:lang w:val="fr-CA"/>
              </w:rPr>
              <w:t>Tanja Ivic assistait à une fête tard le soir, en état d’ébriété et ne se sentant pas bien. Une amie a appelé United Taxi afin qu’on envoie un taxi pour reconduire Mme Ivic chez elle. Lorsque le taxi est arrivé pour Mme Ivic, le nom de l’entreprise apparaissait sur le lumineux du toit et en gros caractères sur le taxi. Madame Ivic allègue avoir été agressée sexuellement dans le taxi par le chauffeur, Velibor Lakovic. En plus de poursuivre en dommages-intérêts le chauffeur et le propriétaire et principal exploitant du taxi, Mme Ivic a poursuivi l’entreprise de taxi, plaidant qu’elle était responsable du fait d’autrui pour les actes du chauffeur, qu’elle avait été négligente, qu’elle avait une obligation de fiduciaire et qu’elle avait violé cette obligation. Madame Ivic n’a pas plaidé la violation de contrat.</w:t>
            </w:r>
          </w:p>
          <w:p w:rsidR="00D22CA0" w:rsidRPr="00D22CA0" w:rsidRDefault="00D22CA0" w:rsidP="00D22CA0">
            <w:pPr>
              <w:jc w:val="both"/>
              <w:rPr>
                <w:sz w:val="20"/>
                <w:lang w:val="fr-CA"/>
              </w:rPr>
            </w:pPr>
          </w:p>
          <w:p w:rsidR="00D22CA0" w:rsidRPr="00D22CA0" w:rsidRDefault="00D22CA0" w:rsidP="00D22CA0">
            <w:pPr>
              <w:jc w:val="both"/>
              <w:rPr>
                <w:sz w:val="20"/>
                <w:lang w:val="fr-CA"/>
              </w:rPr>
            </w:pPr>
            <w:r w:rsidRPr="00D22CA0">
              <w:rPr>
                <w:sz w:val="20"/>
                <w:lang w:val="fr-CA"/>
              </w:rPr>
              <w:t xml:space="preserve">La Cour supérieure de justice de l’Ontario a accueilli la motion de Mme Ivic en vue de modifier sa déclaration. La cour a également accueilli la motion en jugement sommaire </w:t>
            </w:r>
            <w:proofErr w:type="gramStart"/>
            <w:r w:rsidRPr="00D22CA0">
              <w:rPr>
                <w:sz w:val="20"/>
                <w:lang w:val="fr-CA"/>
              </w:rPr>
              <w:t>de United</w:t>
            </w:r>
            <w:proofErr w:type="gramEnd"/>
            <w:r w:rsidRPr="00D22CA0">
              <w:rPr>
                <w:sz w:val="20"/>
                <w:lang w:val="fr-CA"/>
              </w:rPr>
              <w:t xml:space="preserve"> Taxi et a rejeté l’action de Mme Ivic contre l’entreprise de taxi. La Cour d’appel de l’Ontario a rejeté l’appel de Mme Ivic.</w:t>
            </w:r>
          </w:p>
        </w:tc>
      </w:tr>
      <w:tr w:rsidR="00D22CA0" w:rsidRPr="00642A36" w:rsidTr="00E95A6A">
        <w:tc>
          <w:tcPr>
            <w:tcW w:w="5000" w:type="pct"/>
            <w:gridSpan w:val="4"/>
          </w:tcPr>
          <w:p w:rsidR="00D22CA0" w:rsidRPr="00D22CA0" w:rsidRDefault="00D22CA0" w:rsidP="00D22CA0">
            <w:pPr>
              <w:jc w:val="both"/>
              <w:rPr>
                <w:sz w:val="20"/>
                <w:lang w:val="fr-CA"/>
              </w:rPr>
            </w:pPr>
          </w:p>
        </w:tc>
      </w:tr>
      <w:tr w:rsidR="00D22CA0" w:rsidRPr="00642A36" w:rsidTr="00E95A6A">
        <w:tc>
          <w:tcPr>
            <w:tcW w:w="2427" w:type="pct"/>
            <w:gridSpan w:val="2"/>
          </w:tcPr>
          <w:p w:rsidR="00D22CA0" w:rsidRPr="00D22CA0" w:rsidRDefault="00D22CA0" w:rsidP="00D22CA0">
            <w:pPr>
              <w:jc w:val="both"/>
              <w:rPr>
                <w:sz w:val="20"/>
                <w:lang w:val="fr-CA"/>
              </w:rPr>
            </w:pPr>
            <w:r w:rsidRPr="00D22CA0">
              <w:rPr>
                <w:sz w:val="20"/>
                <w:lang w:val="fr-CA"/>
              </w:rPr>
              <w:t>14 septembre 2016</w:t>
            </w:r>
          </w:p>
          <w:p w:rsidR="00D22CA0" w:rsidRPr="00D22CA0" w:rsidRDefault="00D22CA0" w:rsidP="00D22CA0">
            <w:pPr>
              <w:jc w:val="both"/>
              <w:rPr>
                <w:sz w:val="20"/>
                <w:lang w:val="fr-CA"/>
              </w:rPr>
            </w:pPr>
            <w:r w:rsidRPr="00D22CA0">
              <w:rPr>
                <w:sz w:val="20"/>
                <w:lang w:val="fr-CA"/>
              </w:rPr>
              <w:t>Cour supérieure de justice de l’Ontario</w:t>
            </w:r>
          </w:p>
          <w:p w:rsidR="00D22CA0" w:rsidRPr="00D22CA0" w:rsidRDefault="00D22CA0" w:rsidP="00D22CA0">
            <w:pPr>
              <w:jc w:val="both"/>
              <w:rPr>
                <w:sz w:val="20"/>
                <w:lang w:val="fr-CA"/>
              </w:rPr>
            </w:pPr>
            <w:r w:rsidRPr="00D22CA0">
              <w:rPr>
                <w:sz w:val="20"/>
                <w:lang w:val="fr-CA"/>
              </w:rPr>
              <w:t>(Juge Broad)</w:t>
            </w:r>
          </w:p>
          <w:p w:rsidR="00D22CA0" w:rsidRPr="00D22CA0" w:rsidRDefault="00642A36" w:rsidP="00D22CA0">
            <w:pPr>
              <w:jc w:val="both"/>
              <w:rPr>
                <w:sz w:val="20"/>
                <w:lang w:val="fr-CA"/>
              </w:rPr>
            </w:pPr>
            <w:hyperlink r:id="rId40" w:history="1">
              <w:r w:rsidR="00D22CA0" w:rsidRPr="00D22CA0">
                <w:rPr>
                  <w:rStyle w:val="Hyperlink"/>
                  <w:sz w:val="20"/>
                  <w:lang w:val="fr-CA"/>
                </w:rPr>
                <w:t>2016 ONSC 5750</w:t>
              </w:r>
            </w:hyperlink>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lang w:val="fr-CA"/>
              </w:rPr>
            </w:pPr>
            <w:r w:rsidRPr="00D22CA0">
              <w:rPr>
                <w:sz w:val="20"/>
                <w:lang w:val="fr-CA"/>
              </w:rPr>
              <w:t xml:space="preserve">Jugement accueillant la motion de Tanja Ivic en vue de modifier sa déclaration; </w:t>
            </w:r>
          </w:p>
          <w:p w:rsidR="00D22CA0" w:rsidRPr="00D22CA0" w:rsidRDefault="00D22CA0" w:rsidP="00D22CA0">
            <w:pPr>
              <w:jc w:val="both"/>
              <w:rPr>
                <w:sz w:val="20"/>
                <w:lang w:val="fr-CA"/>
              </w:rPr>
            </w:pPr>
            <w:r w:rsidRPr="00D22CA0">
              <w:rPr>
                <w:sz w:val="20"/>
                <w:lang w:val="fr-CA"/>
              </w:rPr>
              <w:t xml:space="preserve">Jugement accueillant la motion </w:t>
            </w:r>
            <w:proofErr w:type="gramStart"/>
            <w:r w:rsidRPr="00D22CA0">
              <w:rPr>
                <w:sz w:val="20"/>
                <w:lang w:val="fr-CA"/>
              </w:rPr>
              <w:t>de United</w:t>
            </w:r>
            <w:proofErr w:type="gramEnd"/>
            <w:r w:rsidRPr="00D22CA0">
              <w:rPr>
                <w:sz w:val="20"/>
                <w:lang w:val="fr-CA"/>
              </w:rPr>
              <w:t xml:space="preserve"> Taxi en jugement sommaire et en rejet de l’action intentée contre elle.</w:t>
            </w:r>
          </w:p>
          <w:p w:rsidR="00D22CA0" w:rsidRPr="00D22CA0" w:rsidRDefault="00D22CA0" w:rsidP="00D22CA0">
            <w:pPr>
              <w:jc w:val="both"/>
              <w:rPr>
                <w:sz w:val="20"/>
                <w:lang w:val="fr-CA"/>
              </w:rPr>
            </w:pPr>
          </w:p>
        </w:tc>
      </w:tr>
      <w:tr w:rsidR="00D22CA0" w:rsidRPr="00642A36" w:rsidTr="00E95A6A">
        <w:tc>
          <w:tcPr>
            <w:tcW w:w="2427" w:type="pct"/>
            <w:gridSpan w:val="2"/>
          </w:tcPr>
          <w:p w:rsidR="00D22CA0" w:rsidRPr="00D22CA0" w:rsidRDefault="00D22CA0" w:rsidP="00D22CA0">
            <w:pPr>
              <w:jc w:val="both"/>
              <w:rPr>
                <w:sz w:val="20"/>
                <w:lang w:val="fr-CA"/>
              </w:rPr>
            </w:pPr>
            <w:r w:rsidRPr="00D22CA0">
              <w:rPr>
                <w:sz w:val="20"/>
                <w:lang w:val="fr-CA"/>
              </w:rPr>
              <w:t>2 juin 2017</w:t>
            </w:r>
          </w:p>
          <w:p w:rsidR="00D22CA0" w:rsidRPr="00D22CA0" w:rsidRDefault="00D22CA0" w:rsidP="00D22CA0">
            <w:pPr>
              <w:jc w:val="both"/>
              <w:rPr>
                <w:sz w:val="20"/>
                <w:lang w:val="fr-CA"/>
              </w:rPr>
            </w:pPr>
            <w:r w:rsidRPr="00D22CA0">
              <w:rPr>
                <w:sz w:val="20"/>
                <w:lang w:val="fr-CA"/>
              </w:rPr>
              <w:t>Cour d’appel de l’Ontario</w:t>
            </w:r>
          </w:p>
          <w:p w:rsidR="00D22CA0" w:rsidRPr="00D22CA0" w:rsidRDefault="00D22CA0" w:rsidP="00D22CA0">
            <w:pPr>
              <w:jc w:val="both"/>
              <w:rPr>
                <w:sz w:val="20"/>
                <w:lang w:val="fr-CA"/>
              </w:rPr>
            </w:pPr>
            <w:r w:rsidRPr="00D22CA0">
              <w:rPr>
                <w:sz w:val="20"/>
                <w:lang w:val="fr-CA"/>
              </w:rPr>
              <w:t>(Juge en chef adjoint Hoy, juges Blair et Hourigan)</w:t>
            </w:r>
          </w:p>
          <w:p w:rsidR="00D22CA0" w:rsidRPr="00D22CA0" w:rsidRDefault="00642A36" w:rsidP="00D22CA0">
            <w:pPr>
              <w:jc w:val="both"/>
              <w:rPr>
                <w:sz w:val="20"/>
                <w:lang w:val="fr-CA"/>
              </w:rPr>
            </w:pPr>
            <w:hyperlink r:id="rId41" w:history="1">
              <w:r w:rsidR="00D22CA0" w:rsidRPr="00D22CA0">
                <w:rPr>
                  <w:rStyle w:val="Hyperlink"/>
                  <w:sz w:val="20"/>
                  <w:lang w:val="fr-CA"/>
                </w:rPr>
                <w:t>2017 ONCA 446</w:t>
              </w:r>
            </w:hyperlink>
            <w:r w:rsidR="00D22CA0" w:rsidRPr="00D22CA0">
              <w:rPr>
                <w:sz w:val="20"/>
                <w:lang w:val="fr-CA"/>
              </w:rPr>
              <w:t xml:space="preserve"> </w:t>
            </w:r>
          </w:p>
          <w:p w:rsidR="00D22CA0" w:rsidRPr="00D22CA0" w:rsidRDefault="00D22CA0" w:rsidP="00D22CA0">
            <w:pPr>
              <w:jc w:val="both"/>
              <w:rPr>
                <w:sz w:val="20"/>
                <w:lang w:val="fr-CA"/>
              </w:rPr>
            </w:pPr>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lang w:val="fr-CA"/>
              </w:rPr>
            </w:pPr>
            <w:r w:rsidRPr="00D22CA0">
              <w:rPr>
                <w:sz w:val="20"/>
                <w:lang w:val="fr-CA"/>
              </w:rPr>
              <w:t>Rejet de l’appel de Mme Ivic.</w:t>
            </w:r>
          </w:p>
          <w:p w:rsidR="00D22CA0" w:rsidRPr="00D22CA0" w:rsidRDefault="00D22CA0" w:rsidP="00D22CA0">
            <w:pPr>
              <w:jc w:val="both"/>
              <w:rPr>
                <w:sz w:val="20"/>
                <w:lang w:val="fr-CA"/>
              </w:rPr>
            </w:pPr>
          </w:p>
        </w:tc>
      </w:tr>
      <w:tr w:rsidR="00D22CA0" w:rsidRPr="00642A36" w:rsidTr="00E95A6A">
        <w:tc>
          <w:tcPr>
            <w:tcW w:w="2427" w:type="pct"/>
            <w:gridSpan w:val="2"/>
          </w:tcPr>
          <w:p w:rsidR="00D22CA0" w:rsidRPr="00D22CA0" w:rsidRDefault="00D22CA0" w:rsidP="00D22CA0">
            <w:pPr>
              <w:jc w:val="both"/>
              <w:rPr>
                <w:sz w:val="20"/>
                <w:lang w:val="fr-CA"/>
              </w:rPr>
            </w:pPr>
            <w:r w:rsidRPr="00D22CA0">
              <w:rPr>
                <w:sz w:val="20"/>
                <w:lang w:val="fr-CA"/>
              </w:rPr>
              <w:t>31 août 2017</w:t>
            </w:r>
          </w:p>
          <w:p w:rsidR="00D22CA0" w:rsidRPr="00D22CA0" w:rsidRDefault="00D22CA0" w:rsidP="00D22CA0">
            <w:pPr>
              <w:jc w:val="both"/>
              <w:rPr>
                <w:sz w:val="20"/>
                <w:lang w:val="fr-CA"/>
              </w:rPr>
            </w:pPr>
            <w:r w:rsidRPr="00D22CA0">
              <w:rPr>
                <w:sz w:val="20"/>
                <w:lang w:val="fr-CA"/>
              </w:rPr>
              <w:t>Cour suprême du Canada</w:t>
            </w:r>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lang w:val="fr-CA"/>
              </w:rPr>
            </w:pPr>
            <w:r w:rsidRPr="00D22CA0">
              <w:rPr>
                <w:sz w:val="20"/>
                <w:lang w:val="fr-CA"/>
              </w:rPr>
              <w:t>Dépôt de la demande d’autorisation d’appel.</w:t>
            </w:r>
          </w:p>
          <w:p w:rsidR="00D22CA0" w:rsidRPr="00D22CA0" w:rsidRDefault="00D22CA0" w:rsidP="00D22CA0">
            <w:pPr>
              <w:jc w:val="both"/>
              <w:rPr>
                <w:sz w:val="20"/>
                <w:lang w:val="fr-CA"/>
              </w:rPr>
            </w:pPr>
          </w:p>
        </w:tc>
      </w:tr>
    </w:tbl>
    <w:p w:rsidR="00D22CA0" w:rsidRPr="00D22CA0" w:rsidRDefault="00D22CA0" w:rsidP="00D22CA0">
      <w:pPr>
        <w:jc w:val="both"/>
        <w:rPr>
          <w:sz w:val="20"/>
          <w:lang w:val="fr-CA"/>
        </w:rPr>
      </w:pPr>
    </w:p>
    <w:p w:rsidR="00D22CA0" w:rsidRPr="00D22CA0" w:rsidRDefault="00D22CA0" w:rsidP="00D22CA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2CA0" w:rsidRPr="00D22CA0" w:rsidTr="00E95A6A">
        <w:tc>
          <w:tcPr>
            <w:tcW w:w="543" w:type="pct"/>
          </w:tcPr>
          <w:p w:rsidR="00D22CA0" w:rsidRPr="00D22CA0" w:rsidRDefault="00D22CA0" w:rsidP="00D22CA0">
            <w:pPr>
              <w:jc w:val="both"/>
              <w:rPr>
                <w:sz w:val="20"/>
              </w:rPr>
            </w:pPr>
            <w:r w:rsidRPr="00D22CA0">
              <w:rPr>
                <w:rStyle w:val="SCCFileNumberChar"/>
                <w:sz w:val="20"/>
                <w:szCs w:val="20"/>
              </w:rPr>
              <w:t>37806</w:t>
            </w:r>
          </w:p>
        </w:tc>
        <w:tc>
          <w:tcPr>
            <w:tcW w:w="4457" w:type="pct"/>
            <w:gridSpan w:val="3"/>
          </w:tcPr>
          <w:p w:rsidR="00D22CA0" w:rsidRPr="00D22CA0" w:rsidRDefault="00D22CA0" w:rsidP="00D22CA0">
            <w:pPr>
              <w:pStyle w:val="SCCLsocParty"/>
              <w:jc w:val="both"/>
              <w:rPr>
                <w:b/>
                <w:sz w:val="20"/>
                <w:szCs w:val="20"/>
                <w:lang w:val="en-US"/>
              </w:rPr>
            </w:pPr>
            <w:r w:rsidRPr="00D22CA0">
              <w:rPr>
                <w:b/>
                <w:sz w:val="20"/>
                <w:szCs w:val="20"/>
                <w:lang w:val="en-US"/>
              </w:rPr>
              <w:t>T.B. v. M.M., R.M., B.B</w:t>
            </w:r>
            <w:proofErr w:type="gramStart"/>
            <w:r w:rsidRPr="00D22CA0">
              <w:rPr>
                <w:b/>
                <w:sz w:val="20"/>
                <w:szCs w:val="20"/>
                <w:lang w:val="en-US"/>
              </w:rPr>
              <w:t>./</w:t>
            </w:r>
            <w:proofErr w:type="gramEnd"/>
            <w:r w:rsidRPr="00D22CA0">
              <w:rPr>
                <w:b/>
                <w:sz w:val="20"/>
                <w:szCs w:val="20"/>
                <w:lang w:val="en-US"/>
              </w:rPr>
              <w:t>B.K.</w:t>
            </w:r>
          </w:p>
          <w:p w:rsidR="00D22CA0" w:rsidRPr="00D22CA0" w:rsidRDefault="00D22CA0" w:rsidP="00D22CA0">
            <w:pPr>
              <w:pStyle w:val="SCCLsocOtherPartySeparator"/>
              <w:rPr>
                <w:sz w:val="20"/>
                <w:szCs w:val="20"/>
              </w:rPr>
            </w:pPr>
            <w:r w:rsidRPr="00D22CA0">
              <w:rPr>
                <w:sz w:val="20"/>
                <w:szCs w:val="20"/>
              </w:rPr>
              <w:t>- and -</w:t>
            </w:r>
          </w:p>
          <w:p w:rsidR="00D22CA0" w:rsidRPr="00D22CA0" w:rsidRDefault="00D22CA0" w:rsidP="00D22CA0">
            <w:pPr>
              <w:pStyle w:val="SCCLsocParty"/>
              <w:jc w:val="both"/>
              <w:rPr>
                <w:b/>
                <w:sz w:val="20"/>
                <w:szCs w:val="20"/>
                <w:lang w:val="en-US"/>
              </w:rPr>
            </w:pPr>
            <w:r w:rsidRPr="00D22CA0">
              <w:rPr>
                <w:b/>
                <w:sz w:val="20"/>
                <w:szCs w:val="20"/>
                <w:lang w:val="en-US"/>
              </w:rPr>
              <w:t>Provincial Director of Adoption of British Columbia</w:t>
            </w:r>
          </w:p>
          <w:p w:rsidR="00D22CA0" w:rsidRPr="00D22CA0" w:rsidRDefault="00D22CA0" w:rsidP="00D22CA0">
            <w:pPr>
              <w:jc w:val="both"/>
              <w:rPr>
                <w:sz w:val="20"/>
              </w:rPr>
            </w:pPr>
            <w:r w:rsidRPr="00D22CA0">
              <w:rPr>
                <w:sz w:val="20"/>
              </w:rPr>
              <w:t>(B.C.) (Civil) (By Leave)</w:t>
            </w:r>
          </w:p>
        </w:tc>
      </w:tr>
      <w:tr w:rsidR="00D22CA0" w:rsidRPr="00D22CA0" w:rsidTr="00E95A6A">
        <w:tc>
          <w:tcPr>
            <w:tcW w:w="5000" w:type="pct"/>
            <w:gridSpan w:val="4"/>
          </w:tcPr>
          <w:p w:rsidR="00D22CA0" w:rsidRPr="00D22CA0" w:rsidRDefault="00D22CA0" w:rsidP="00D22CA0">
            <w:pPr>
              <w:pStyle w:val="SCCBanSummary"/>
              <w:rPr>
                <w:sz w:val="20"/>
                <w:szCs w:val="20"/>
              </w:rPr>
            </w:pPr>
            <w:r w:rsidRPr="00D22CA0">
              <w:rPr>
                <w:sz w:val="20"/>
                <w:szCs w:val="20"/>
              </w:rPr>
              <w:t>(Publication ban in case) (Publication ban on party) (Sealing order)</w:t>
            </w:r>
          </w:p>
          <w:p w:rsidR="00D22CA0" w:rsidRPr="00D22CA0" w:rsidRDefault="00D22CA0" w:rsidP="00D22CA0">
            <w:pPr>
              <w:jc w:val="both"/>
              <w:rPr>
                <w:sz w:val="20"/>
              </w:rPr>
            </w:pPr>
          </w:p>
          <w:p w:rsidR="00D22CA0" w:rsidRPr="00D22CA0" w:rsidRDefault="00D22CA0" w:rsidP="00D22CA0">
            <w:pPr>
              <w:jc w:val="both"/>
              <w:rPr>
                <w:sz w:val="20"/>
              </w:rPr>
            </w:pPr>
            <w:r w:rsidRPr="00D22CA0">
              <w:rPr>
                <w:i/>
                <w:sz w:val="20"/>
              </w:rPr>
              <w:t>Charter of Rights</w:t>
            </w:r>
            <w:r w:rsidRPr="00D22CA0">
              <w:rPr>
                <w:sz w:val="20"/>
              </w:rPr>
              <w:t xml:space="preserve"> – Right to equality – Constitutional law – Aboriginal peoples – Family law – Adoption – Does inquiry into the constitutional validity of a court’s analysis of the best interests of the child test, raise an exception to affording it deference? – Does the Court of Appeal’s decision misconstrue the ameliorative purpose of s. 3(2) of the </w:t>
            </w:r>
            <w:r w:rsidRPr="00D22CA0">
              <w:rPr>
                <w:i/>
                <w:sz w:val="20"/>
              </w:rPr>
              <w:t>Adoption Act</w:t>
            </w:r>
            <w:r w:rsidRPr="00D22CA0">
              <w:rPr>
                <w:sz w:val="20"/>
              </w:rPr>
              <w:t xml:space="preserve"> by failing to provide substantive equality for Indigenous children? - Is </w:t>
            </w:r>
            <w:r w:rsidRPr="00D22CA0">
              <w:rPr>
                <w:i/>
                <w:sz w:val="20"/>
              </w:rPr>
              <w:t>Racine v. Woods</w:t>
            </w:r>
            <w:r w:rsidRPr="00D22CA0">
              <w:rPr>
                <w:sz w:val="20"/>
              </w:rPr>
              <w:t xml:space="preserve"> “good law” in the Indigenous context?</w:t>
            </w:r>
          </w:p>
          <w:p w:rsidR="00D22CA0" w:rsidRPr="00D22CA0" w:rsidRDefault="00D22CA0" w:rsidP="00D22CA0">
            <w:pPr>
              <w:jc w:val="both"/>
              <w:rPr>
                <w:sz w:val="20"/>
              </w:rPr>
            </w:pPr>
          </w:p>
        </w:tc>
      </w:tr>
      <w:tr w:rsidR="00D22CA0" w:rsidRPr="00D22CA0" w:rsidTr="00E95A6A">
        <w:tc>
          <w:tcPr>
            <w:tcW w:w="2427" w:type="pct"/>
            <w:gridSpan w:val="2"/>
          </w:tcPr>
          <w:p w:rsidR="00D22CA0" w:rsidRPr="00D22CA0" w:rsidRDefault="00D22CA0" w:rsidP="00D22CA0">
            <w:pPr>
              <w:jc w:val="both"/>
              <w:rPr>
                <w:sz w:val="20"/>
              </w:rPr>
            </w:pPr>
            <w:r w:rsidRPr="00D22CA0">
              <w:rPr>
                <w:sz w:val="20"/>
              </w:rPr>
              <w:t>September 4, 2015</w:t>
            </w:r>
          </w:p>
          <w:p w:rsidR="00D22CA0" w:rsidRPr="00D22CA0" w:rsidRDefault="00D22CA0" w:rsidP="00D22CA0">
            <w:pPr>
              <w:jc w:val="both"/>
              <w:rPr>
                <w:sz w:val="20"/>
              </w:rPr>
            </w:pPr>
            <w:r w:rsidRPr="00D22CA0">
              <w:rPr>
                <w:sz w:val="20"/>
              </w:rPr>
              <w:t>Supreme Court of British Columbia</w:t>
            </w:r>
          </w:p>
          <w:p w:rsidR="00D22CA0" w:rsidRPr="00D22CA0" w:rsidRDefault="00D22CA0" w:rsidP="00D22CA0">
            <w:pPr>
              <w:jc w:val="both"/>
              <w:rPr>
                <w:sz w:val="20"/>
              </w:rPr>
            </w:pPr>
            <w:r w:rsidRPr="00D22CA0">
              <w:rPr>
                <w:sz w:val="20"/>
              </w:rPr>
              <w:t>(</w:t>
            </w:r>
            <w:proofErr w:type="spellStart"/>
            <w:r w:rsidRPr="00D22CA0">
              <w:rPr>
                <w:sz w:val="20"/>
              </w:rPr>
              <w:t>Fenlon</w:t>
            </w:r>
            <w:proofErr w:type="spellEnd"/>
            <w:r w:rsidRPr="00D22CA0">
              <w:rPr>
                <w:sz w:val="20"/>
              </w:rPr>
              <w:t> J.)</w:t>
            </w:r>
          </w:p>
          <w:p w:rsidR="00D22CA0" w:rsidRPr="00D22CA0" w:rsidRDefault="00642A36" w:rsidP="00D22CA0">
            <w:pPr>
              <w:jc w:val="both"/>
              <w:rPr>
                <w:sz w:val="20"/>
              </w:rPr>
            </w:pPr>
            <w:hyperlink r:id="rId42" w:history="1">
              <w:r w:rsidR="00D22CA0" w:rsidRPr="00D22CA0">
                <w:rPr>
                  <w:rStyle w:val="Hyperlink"/>
                  <w:sz w:val="20"/>
                </w:rPr>
                <w:t>2015 BCSC1577</w:t>
              </w:r>
            </w:hyperlink>
          </w:p>
          <w:p w:rsidR="00D22CA0" w:rsidRPr="00D22CA0" w:rsidRDefault="00D22CA0" w:rsidP="00D22CA0">
            <w:pPr>
              <w:jc w:val="both"/>
              <w:rPr>
                <w:sz w:val="20"/>
              </w:rPr>
            </w:pPr>
          </w:p>
        </w:tc>
        <w:tc>
          <w:tcPr>
            <w:tcW w:w="243" w:type="pct"/>
          </w:tcPr>
          <w:p w:rsidR="00D22CA0" w:rsidRPr="00D22CA0" w:rsidRDefault="00D22CA0" w:rsidP="00D22CA0">
            <w:pPr>
              <w:jc w:val="both"/>
              <w:rPr>
                <w:sz w:val="20"/>
              </w:rPr>
            </w:pPr>
          </w:p>
        </w:tc>
        <w:tc>
          <w:tcPr>
            <w:tcW w:w="2330" w:type="pct"/>
          </w:tcPr>
          <w:p w:rsidR="00D22CA0" w:rsidRPr="00D22CA0" w:rsidRDefault="00D22CA0" w:rsidP="00D22CA0">
            <w:pPr>
              <w:jc w:val="both"/>
              <w:rPr>
                <w:sz w:val="20"/>
              </w:rPr>
            </w:pPr>
            <w:r w:rsidRPr="00D22CA0">
              <w:rPr>
                <w:sz w:val="20"/>
              </w:rPr>
              <w:t>Respondents’ application for adoption granted.  Applicant’s application for guardianship dismissed</w:t>
            </w:r>
          </w:p>
          <w:p w:rsidR="00D22CA0" w:rsidRPr="00D22CA0" w:rsidRDefault="00D22CA0" w:rsidP="00D22CA0">
            <w:pPr>
              <w:jc w:val="both"/>
              <w:rPr>
                <w:sz w:val="20"/>
              </w:rPr>
            </w:pPr>
          </w:p>
        </w:tc>
      </w:tr>
      <w:tr w:rsidR="00D22CA0" w:rsidRPr="00D22CA0" w:rsidTr="00E95A6A">
        <w:tc>
          <w:tcPr>
            <w:tcW w:w="2427" w:type="pct"/>
            <w:gridSpan w:val="2"/>
          </w:tcPr>
          <w:p w:rsidR="00D22CA0" w:rsidRPr="00D22CA0" w:rsidRDefault="00D22CA0" w:rsidP="00D22CA0">
            <w:pPr>
              <w:jc w:val="both"/>
              <w:rPr>
                <w:sz w:val="20"/>
              </w:rPr>
            </w:pPr>
            <w:r w:rsidRPr="00D22CA0">
              <w:rPr>
                <w:sz w:val="20"/>
              </w:rPr>
              <w:t>August 8, 2017</w:t>
            </w:r>
          </w:p>
          <w:p w:rsidR="00D22CA0" w:rsidRPr="00D22CA0" w:rsidRDefault="00D22CA0" w:rsidP="00D22CA0">
            <w:pPr>
              <w:jc w:val="both"/>
              <w:rPr>
                <w:sz w:val="20"/>
              </w:rPr>
            </w:pPr>
            <w:r w:rsidRPr="00D22CA0">
              <w:rPr>
                <w:sz w:val="20"/>
              </w:rPr>
              <w:t>Court of Appeal for British Columbia (Vancouver)</w:t>
            </w:r>
          </w:p>
          <w:p w:rsidR="00D22CA0" w:rsidRPr="00D22CA0" w:rsidRDefault="00D22CA0" w:rsidP="00D22CA0">
            <w:pPr>
              <w:jc w:val="both"/>
              <w:rPr>
                <w:sz w:val="20"/>
              </w:rPr>
            </w:pPr>
            <w:r w:rsidRPr="00D22CA0">
              <w:rPr>
                <w:sz w:val="20"/>
              </w:rPr>
              <w:t>(Smith, Bennett, Willcock, Savage and Fitch JJ.A.)</w:t>
            </w:r>
          </w:p>
          <w:p w:rsidR="00D22CA0" w:rsidRPr="00D22CA0" w:rsidRDefault="00642A36" w:rsidP="00D22CA0">
            <w:pPr>
              <w:jc w:val="both"/>
              <w:rPr>
                <w:sz w:val="20"/>
              </w:rPr>
            </w:pPr>
            <w:hyperlink r:id="rId43" w:history="1">
              <w:r w:rsidR="00D22CA0" w:rsidRPr="00D22CA0">
                <w:rPr>
                  <w:rStyle w:val="Hyperlink"/>
                  <w:sz w:val="20"/>
                </w:rPr>
                <w:t>2017 BCCA 296</w:t>
              </w:r>
            </w:hyperlink>
          </w:p>
          <w:p w:rsidR="00D22CA0" w:rsidRPr="00D22CA0" w:rsidRDefault="00D22CA0" w:rsidP="00D22CA0">
            <w:pPr>
              <w:jc w:val="both"/>
              <w:rPr>
                <w:sz w:val="20"/>
              </w:rPr>
            </w:pPr>
          </w:p>
        </w:tc>
        <w:tc>
          <w:tcPr>
            <w:tcW w:w="243" w:type="pct"/>
          </w:tcPr>
          <w:p w:rsidR="00D22CA0" w:rsidRPr="00D22CA0" w:rsidRDefault="00D22CA0" w:rsidP="00D22CA0">
            <w:pPr>
              <w:jc w:val="both"/>
              <w:rPr>
                <w:sz w:val="20"/>
              </w:rPr>
            </w:pPr>
          </w:p>
        </w:tc>
        <w:tc>
          <w:tcPr>
            <w:tcW w:w="2330" w:type="pct"/>
          </w:tcPr>
          <w:p w:rsidR="00D22CA0" w:rsidRPr="00D22CA0" w:rsidRDefault="00D22CA0" w:rsidP="00D22CA0">
            <w:pPr>
              <w:jc w:val="both"/>
              <w:rPr>
                <w:sz w:val="20"/>
              </w:rPr>
            </w:pPr>
            <w:r w:rsidRPr="00D22CA0">
              <w:rPr>
                <w:sz w:val="20"/>
              </w:rPr>
              <w:t>Applicant’s appeal dismissed</w:t>
            </w:r>
          </w:p>
        </w:tc>
      </w:tr>
      <w:tr w:rsidR="00D22CA0" w:rsidRPr="00D22CA0" w:rsidTr="00E95A6A">
        <w:tc>
          <w:tcPr>
            <w:tcW w:w="2427" w:type="pct"/>
            <w:gridSpan w:val="2"/>
          </w:tcPr>
          <w:p w:rsidR="00D22CA0" w:rsidRPr="00D22CA0" w:rsidRDefault="00D22CA0" w:rsidP="00D22CA0">
            <w:pPr>
              <w:jc w:val="both"/>
              <w:rPr>
                <w:sz w:val="20"/>
              </w:rPr>
            </w:pPr>
            <w:r w:rsidRPr="00D22CA0">
              <w:rPr>
                <w:sz w:val="20"/>
              </w:rPr>
              <w:t>October 10, 2017</w:t>
            </w:r>
          </w:p>
          <w:p w:rsidR="00D22CA0" w:rsidRPr="00D22CA0" w:rsidRDefault="00D22CA0" w:rsidP="00D22CA0">
            <w:pPr>
              <w:jc w:val="both"/>
              <w:rPr>
                <w:sz w:val="20"/>
              </w:rPr>
            </w:pPr>
            <w:r w:rsidRPr="00D22CA0">
              <w:rPr>
                <w:sz w:val="20"/>
              </w:rPr>
              <w:t>Supreme Court of Canada</w:t>
            </w:r>
          </w:p>
        </w:tc>
        <w:tc>
          <w:tcPr>
            <w:tcW w:w="243" w:type="pct"/>
          </w:tcPr>
          <w:p w:rsidR="00D22CA0" w:rsidRPr="00D22CA0" w:rsidRDefault="00D22CA0" w:rsidP="00D22CA0">
            <w:pPr>
              <w:jc w:val="both"/>
              <w:rPr>
                <w:sz w:val="20"/>
              </w:rPr>
            </w:pPr>
          </w:p>
        </w:tc>
        <w:tc>
          <w:tcPr>
            <w:tcW w:w="2330" w:type="pct"/>
          </w:tcPr>
          <w:p w:rsidR="00D22CA0" w:rsidRPr="00D22CA0" w:rsidRDefault="00D22CA0" w:rsidP="00D22CA0">
            <w:pPr>
              <w:jc w:val="both"/>
              <w:rPr>
                <w:sz w:val="20"/>
              </w:rPr>
            </w:pPr>
            <w:r w:rsidRPr="00D22CA0">
              <w:rPr>
                <w:sz w:val="20"/>
              </w:rPr>
              <w:t>Application for leave to appeal filed</w:t>
            </w:r>
          </w:p>
          <w:p w:rsidR="00D22CA0" w:rsidRPr="00D22CA0" w:rsidRDefault="00D22CA0" w:rsidP="00D22CA0">
            <w:pPr>
              <w:jc w:val="both"/>
              <w:rPr>
                <w:sz w:val="20"/>
              </w:rPr>
            </w:pPr>
          </w:p>
        </w:tc>
      </w:tr>
    </w:tbl>
    <w:p w:rsidR="00D22CA0" w:rsidRDefault="00D22CA0" w:rsidP="00D22CA0">
      <w:pPr>
        <w:jc w:val="both"/>
        <w:rPr>
          <w:sz w:val="20"/>
        </w:rPr>
      </w:pPr>
    </w:p>
    <w:p w:rsidR="00D22CA0" w:rsidRPr="00D22CA0" w:rsidRDefault="00D22CA0" w:rsidP="00D22C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2CA0" w:rsidRPr="00642A36" w:rsidTr="00E95A6A">
        <w:tc>
          <w:tcPr>
            <w:tcW w:w="543" w:type="pct"/>
          </w:tcPr>
          <w:p w:rsidR="00D22CA0" w:rsidRPr="00D22CA0" w:rsidRDefault="00D22CA0" w:rsidP="00D22CA0">
            <w:pPr>
              <w:jc w:val="both"/>
              <w:rPr>
                <w:sz w:val="20"/>
                <w:lang w:val="fr-CA"/>
              </w:rPr>
            </w:pPr>
            <w:r w:rsidRPr="00D22CA0">
              <w:rPr>
                <w:rStyle w:val="SCCFileNumberChar"/>
                <w:sz w:val="20"/>
                <w:szCs w:val="20"/>
                <w:lang w:val="fr-CA"/>
              </w:rPr>
              <w:t>37806</w:t>
            </w:r>
          </w:p>
        </w:tc>
        <w:tc>
          <w:tcPr>
            <w:tcW w:w="4457" w:type="pct"/>
            <w:gridSpan w:val="3"/>
          </w:tcPr>
          <w:p w:rsidR="00D22CA0" w:rsidRPr="00D22CA0" w:rsidRDefault="00D22CA0" w:rsidP="00D22CA0">
            <w:pPr>
              <w:pStyle w:val="SCCLsocParty"/>
              <w:jc w:val="both"/>
              <w:rPr>
                <w:b/>
                <w:sz w:val="20"/>
                <w:szCs w:val="20"/>
              </w:rPr>
            </w:pPr>
            <w:r w:rsidRPr="00D22CA0">
              <w:rPr>
                <w:b/>
                <w:sz w:val="20"/>
                <w:szCs w:val="20"/>
              </w:rPr>
              <w:t>T.B. c. M.M., R.M., B.B</w:t>
            </w:r>
            <w:proofErr w:type="gramStart"/>
            <w:r w:rsidRPr="00D22CA0">
              <w:rPr>
                <w:b/>
                <w:sz w:val="20"/>
                <w:szCs w:val="20"/>
              </w:rPr>
              <w:t>./</w:t>
            </w:r>
            <w:proofErr w:type="gramEnd"/>
            <w:r w:rsidRPr="00D22CA0">
              <w:rPr>
                <w:b/>
                <w:sz w:val="20"/>
                <w:szCs w:val="20"/>
              </w:rPr>
              <w:t>B.K.</w:t>
            </w:r>
          </w:p>
          <w:p w:rsidR="00D22CA0" w:rsidRPr="00D22CA0" w:rsidRDefault="00D22CA0" w:rsidP="00D22CA0">
            <w:pPr>
              <w:pStyle w:val="SCCLsocOtherPartySeparator"/>
              <w:rPr>
                <w:sz w:val="20"/>
                <w:szCs w:val="20"/>
                <w:lang w:val="en-US"/>
              </w:rPr>
            </w:pPr>
            <w:r w:rsidRPr="00D22CA0">
              <w:rPr>
                <w:sz w:val="20"/>
                <w:szCs w:val="20"/>
                <w:lang w:val="en-US"/>
              </w:rPr>
              <w:t>- et -</w:t>
            </w:r>
          </w:p>
          <w:p w:rsidR="00D22CA0" w:rsidRPr="00D22CA0" w:rsidRDefault="00D22CA0" w:rsidP="00D22CA0">
            <w:pPr>
              <w:pStyle w:val="SCCLsocParty"/>
              <w:jc w:val="both"/>
              <w:rPr>
                <w:b/>
                <w:sz w:val="20"/>
                <w:szCs w:val="20"/>
                <w:lang w:val="en-US"/>
              </w:rPr>
            </w:pPr>
            <w:r w:rsidRPr="00D22CA0">
              <w:rPr>
                <w:b/>
                <w:sz w:val="20"/>
                <w:szCs w:val="20"/>
                <w:lang w:val="en-US"/>
              </w:rPr>
              <w:t>Provincial Director of Adoption of British Columbia</w:t>
            </w:r>
          </w:p>
          <w:p w:rsidR="00D22CA0" w:rsidRPr="00D22CA0" w:rsidRDefault="00D22CA0" w:rsidP="00D22CA0">
            <w:pPr>
              <w:jc w:val="both"/>
              <w:rPr>
                <w:sz w:val="20"/>
                <w:lang w:val="fr-CA"/>
              </w:rPr>
            </w:pPr>
            <w:r w:rsidRPr="00D22CA0">
              <w:rPr>
                <w:sz w:val="20"/>
                <w:lang w:val="fr-CA"/>
              </w:rPr>
              <w:t>(C.-B.) (Civile) (Sur autorisation)</w:t>
            </w:r>
          </w:p>
        </w:tc>
      </w:tr>
      <w:tr w:rsidR="00D22CA0" w:rsidRPr="00642A36" w:rsidTr="00E95A6A">
        <w:tc>
          <w:tcPr>
            <w:tcW w:w="5000" w:type="pct"/>
            <w:gridSpan w:val="4"/>
          </w:tcPr>
          <w:p w:rsidR="00D22CA0" w:rsidRPr="00D22CA0" w:rsidRDefault="00D22CA0" w:rsidP="00D22CA0">
            <w:pPr>
              <w:pStyle w:val="SCCBanSummary"/>
              <w:rPr>
                <w:sz w:val="20"/>
                <w:szCs w:val="20"/>
                <w:lang w:val="fr-CA"/>
              </w:rPr>
            </w:pPr>
            <w:r w:rsidRPr="00D22CA0">
              <w:rPr>
                <w:sz w:val="20"/>
                <w:szCs w:val="20"/>
                <w:lang w:val="fr-CA"/>
              </w:rPr>
              <w:t>(Ordonnance de non-publication dans le dossier) (Ordonnance de non-publication visant une partie) (Ordonnance de mise sous scellés)</w:t>
            </w:r>
          </w:p>
          <w:p w:rsidR="00D22CA0" w:rsidRPr="00D22CA0" w:rsidRDefault="00D22CA0" w:rsidP="00D22CA0">
            <w:pPr>
              <w:jc w:val="both"/>
              <w:rPr>
                <w:sz w:val="20"/>
                <w:lang w:val="fr-CA"/>
              </w:rPr>
            </w:pPr>
          </w:p>
          <w:p w:rsidR="00D22CA0" w:rsidRPr="00D22CA0" w:rsidRDefault="00D22CA0" w:rsidP="00D22CA0">
            <w:pPr>
              <w:jc w:val="both"/>
              <w:rPr>
                <w:sz w:val="20"/>
                <w:lang w:val="fr-CA"/>
              </w:rPr>
            </w:pPr>
            <w:r w:rsidRPr="00D22CA0">
              <w:rPr>
                <w:i/>
                <w:sz w:val="20"/>
                <w:lang w:val="fr-CA"/>
              </w:rPr>
              <w:t>Charte des droits</w:t>
            </w:r>
            <w:r w:rsidRPr="00D22CA0">
              <w:rPr>
                <w:sz w:val="20"/>
                <w:lang w:val="fr-CA"/>
              </w:rPr>
              <w:t xml:space="preserve"> – Droit à l’égalité – Droit constitutionnel – Autochtones – Droit de la famille – Adoption – L’examen de la constitutionnalité de l’analyse faite par un tribunal du critère de l’intérêt supérieur de l’enfant crée-t-il une exception à l’obligation de faire preuve de déférence à son égard? – Dans son arrêt, la Cour d’appel interprète-t-elle erronément l’objet améliorateur du par. 3(2) de l’</w:t>
            </w:r>
            <w:r w:rsidRPr="00D22CA0">
              <w:rPr>
                <w:i/>
                <w:sz w:val="20"/>
                <w:lang w:val="fr-CA"/>
              </w:rPr>
              <w:t xml:space="preserve">Adoption </w:t>
            </w:r>
            <w:proofErr w:type="spellStart"/>
            <w:r w:rsidRPr="00D22CA0">
              <w:rPr>
                <w:i/>
                <w:sz w:val="20"/>
                <w:lang w:val="fr-CA"/>
              </w:rPr>
              <w:t>Act</w:t>
            </w:r>
            <w:proofErr w:type="spellEnd"/>
            <w:r w:rsidRPr="00D22CA0">
              <w:rPr>
                <w:sz w:val="20"/>
                <w:lang w:val="fr-CA"/>
              </w:rPr>
              <w:t xml:space="preserve"> en omettant de conférer l’égalité réelle aux enfants autochtones? – L’arrêt </w:t>
            </w:r>
            <w:r w:rsidRPr="00D22CA0">
              <w:rPr>
                <w:i/>
                <w:sz w:val="20"/>
                <w:lang w:val="fr-CA"/>
              </w:rPr>
              <w:t>Racine c. Woods</w:t>
            </w:r>
            <w:r w:rsidRPr="00D22CA0">
              <w:rPr>
                <w:sz w:val="20"/>
                <w:lang w:val="fr-CA"/>
              </w:rPr>
              <w:t xml:space="preserve"> est-il bien fondé dans le contexte autochtone?</w:t>
            </w:r>
          </w:p>
          <w:p w:rsidR="00D22CA0" w:rsidRPr="00D22CA0" w:rsidRDefault="00D22CA0" w:rsidP="00D22CA0">
            <w:pPr>
              <w:jc w:val="both"/>
              <w:rPr>
                <w:sz w:val="20"/>
                <w:lang w:val="fr-CA"/>
              </w:rPr>
            </w:pPr>
          </w:p>
        </w:tc>
      </w:tr>
      <w:tr w:rsidR="00D22CA0" w:rsidRPr="00642A36" w:rsidTr="00E95A6A">
        <w:tc>
          <w:tcPr>
            <w:tcW w:w="2427" w:type="pct"/>
            <w:gridSpan w:val="2"/>
          </w:tcPr>
          <w:p w:rsidR="00D22CA0" w:rsidRPr="00D22CA0" w:rsidRDefault="00D22CA0" w:rsidP="00D22CA0">
            <w:pPr>
              <w:jc w:val="both"/>
              <w:rPr>
                <w:sz w:val="20"/>
                <w:lang w:val="fr-CA"/>
              </w:rPr>
            </w:pPr>
            <w:r w:rsidRPr="00D22CA0">
              <w:rPr>
                <w:sz w:val="20"/>
                <w:lang w:val="fr-CA"/>
              </w:rPr>
              <w:t>4 septembre 2015</w:t>
            </w:r>
          </w:p>
          <w:p w:rsidR="00D22CA0" w:rsidRPr="00D22CA0" w:rsidRDefault="00D22CA0" w:rsidP="00D22CA0">
            <w:pPr>
              <w:jc w:val="both"/>
              <w:rPr>
                <w:sz w:val="20"/>
                <w:lang w:val="fr-CA"/>
              </w:rPr>
            </w:pPr>
            <w:r w:rsidRPr="00D22CA0">
              <w:rPr>
                <w:sz w:val="20"/>
                <w:lang w:val="fr-CA"/>
              </w:rPr>
              <w:t>Cour suprême de la Colombie-Britannique</w:t>
            </w:r>
          </w:p>
          <w:p w:rsidR="00D22CA0" w:rsidRPr="00D22CA0" w:rsidRDefault="00D22CA0" w:rsidP="00D22CA0">
            <w:pPr>
              <w:jc w:val="both"/>
              <w:rPr>
                <w:sz w:val="20"/>
                <w:lang w:val="fr-CA"/>
              </w:rPr>
            </w:pPr>
            <w:r w:rsidRPr="00D22CA0">
              <w:rPr>
                <w:sz w:val="20"/>
                <w:lang w:val="fr-CA"/>
              </w:rPr>
              <w:t>(Juge Fenlon)</w:t>
            </w:r>
          </w:p>
          <w:p w:rsidR="00D22CA0" w:rsidRPr="00D22CA0" w:rsidRDefault="00642A36" w:rsidP="00D22CA0">
            <w:pPr>
              <w:jc w:val="both"/>
              <w:rPr>
                <w:sz w:val="20"/>
                <w:lang w:val="fr-CA"/>
              </w:rPr>
            </w:pPr>
            <w:hyperlink r:id="rId44" w:history="1">
              <w:r w:rsidR="00D22CA0" w:rsidRPr="00D22CA0">
                <w:rPr>
                  <w:rStyle w:val="Hyperlink"/>
                  <w:sz w:val="20"/>
                  <w:lang w:val="fr-CA"/>
                </w:rPr>
                <w:t>2015 BCSC1577</w:t>
              </w:r>
            </w:hyperlink>
          </w:p>
          <w:p w:rsidR="00D22CA0" w:rsidRPr="00D22CA0" w:rsidRDefault="00D22CA0" w:rsidP="00D22CA0">
            <w:pPr>
              <w:jc w:val="both"/>
              <w:rPr>
                <w:sz w:val="20"/>
                <w:lang w:val="fr-CA"/>
              </w:rPr>
            </w:pPr>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lang w:val="fr-CA"/>
              </w:rPr>
            </w:pPr>
            <w:r w:rsidRPr="00D22CA0">
              <w:rPr>
                <w:sz w:val="20"/>
                <w:lang w:val="fr-CA"/>
              </w:rPr>
              <w:t>Jugement accueillant la demande d’adoption des intimés.  Rejet de la demande de tutelle de la demanderesse</w:t>
            </w:r>
          </w:p>
          <w:p w:rsidR="00D22CA0" w:rsidRPr="00D22CA0" w:rsidRDefault="00D22CA0" w:rsidP="00D22CA0">
            <w:pPr>
              <w:jc w:val="both"/>
              <w:rPr>
                <w:sz w:val="20"/>
                <w:lang w:val="fr-CA"/>
              </w:rPr>
            </w:pPr>
          </w:p>
        </w:tc>
      </w:tr>
      <w:tr w:rsidR="00D22CA0" w:rsidRPr="00642A36" w:rsidTr="00E95A6A">
        <w:tc>
          <w:tcPr>
            <w:tcW w:w="2427" w:type="pct"/>
            <w:gridSpan w:val="2"/>
          </w:tcPr>
          <w:p w:rsidR="00D22CA0" w:rsidRPr="00D22CA0" w:rsidRDefault="00D22CA0" w:rsidP="00D22CA0">
            <w:pPr>
              <w:jc w:val="both"/>
              <w:rPr>
                <w:sz w:val="20"/>
                <w:lang w:val="fr-CA"/>
              </w:rPr>
            </w:pPr>
            <w:r w:rsidRPr="00D22CA0">
              <w:rPr>
                <w:sz w:val="20"/>
                <w:lang w:val="fr-CA"/>
              </w:rPr>
              <w:t>8 août 2017</w:t>
            </w:r>
          </w:p>
          <w:p w:rsidR="00D22CA0" w:rsidRPr="00D22CA0" w:rsidRDefault="00D22CA0" w:rsidP="00D22CA0">
            <w:pPr>
              <w:jc w:val="both"/>
              <w:rPr>
                <w:sz w:val="20"/>
                <w:lang w:val="fr-CA"/>
              </w:rPr>
            </w:pPr>
            <w:r w:rsidRPr="00D22CA0">
              <w:rPr>
                <w:sz w:val="20"/>
                <w:lang w:val="fr-CA"/>
              </w:rPr>
              <w:t>Cour d’appel de la Colombie-Britannique (Vancouver)</w:t>
            </w:r>
          </w:p>
          <w:p w:rsidR="00D22CA0" w:rsidRPr="00D22CA0" w:rsidRDefault="00D22CA0" w:rsidP="00D22CA0">
            <w:pPr>
              <w:jc w:val="both"/>
              <w:rPr>
                <w:sz w:val="20"/>
              </w:rPr>
            </w:pPr>
            <w:r w:rsidRPr="00D22CA0">
              <w:rPr>
                <w:sz w:val="20"/>
              </w:rPr>
              <w:t xml:space="preserve">(Juges Smith, Bennett, </w:t>
            </w:r>
            <w:proofErr w:type="spellStart"/>
            <w:r w:rsidRPr="00D22CA0">
              <w:rPr>
                <w:sz w:val="20"/>
              </w:rPr>
              <w:t>Willcock</w:t>
            </w:r>
            <w:proofErr w:type="spellEnd"/>
            <w:r w:rsidRPr="00D22CA0">
              <w:rPr>
                <w:sz w:val="20"/>
              </w:rPr>
              <w:t>, Savage et Fitch)</w:t>
            </w:r>
          </w:p>
          <w:p w:rsidR="00D22CA0" w:rsidRPr="00D22CA0" w:rsidRDefault="00642A36" w:rsidP="00D22CA0">
            <w:pPr>
              <w:jc w:val="both"/>
              <w:rPr>
                <w:sz w:val="20"/>
                <w:lang w:val="fr-CA"/>
              </w:rPr>
            </w:pPr>
            <w:hyperlink r:id="rId45" w:history="1">
              <w:r w:rsidR="00D22CA0" w:rsidRPr="00D22CA0">
                <w:rPr>
                  <w:rStyle w:val="Hyperlink"/>
                  <w:sz w:val="20"/>
                  <w:lang w:val="fr-CA"/>
                </w:rPr>
                <w:t>2017 BCCA 296</w:t>
              </w:r>
            </w:hyperlink>
          </w:p>
          <w:p w:rsidR="00D22CA0" w:rsidRPr="00D22CA0" w:rsidRDefault="00D22CA0" w:rsidP="00D22CA0">
            <w:pPr>
              <w:jc w:val="both"/>
              <w:rPr>
                <w:sz w:val="20"/>
                <w:lang w:val="fr-CA"/>
              </w:rPr>
            </w:pPr>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lang w:val="fr-CA"/>
              </w:rPr>
            </w:pPr>
            <w:r w:rsidRPr="00D22CA0">
              <w:rPr>
                <w:sz w:val="20"/>
                <w:lang w:val="fr-CA"/>
              </w:rPr>
              <w:t>Rejet de l’appel de la demanderesse</w:t>
            </w:r>
          </w:p>
        </w:tc>
      </w:tr>
      <w:tr w:rsidR="00D22CA0" w:rsidRPr="00642A36" w:rsidTr="00E95A6A">
        <w:tc>
          <w:tcPr>
            <w:tcW w:w="2427" w:type="pct"/>
            <w:gridSpan w:val="2"/>
          </w:tcPr>
          <w:p w:rsidR="00D22CA0" w:rsidRPr="00D22CA0" w:rsidRDefault="00D22CA0" w:rsidP="00D22CA0">
            <w:pPr>
              <w:jc w:val="both"/>
              <w:rPr>
                <w:sz w:val="20"/>
                <w:lang w:val="fr-CA"/>
              </w:rPr>
            </w:pPr>
            <w:r w:rsidRPr="00D22CA0">
              <w:rPr>
                <w:sz w:val="20"/>
                <w:lang w:val="fr-CA"/>
              </w:rPr>
              <w:t>10 octobre 2017</w:t>
            </w:r>
          </w:p>
          <w:p w:rsidR="00D22CA0" w:rsidRPr="00D22CA0" w:rsidRDefault="00D22CA0" w:rsidP="00D22CA0">
            <w:pPr>
              <w:jc w:val="both"/>
              <w:rPr>
                <w:sz w:val="20"/>
                <w:lang w:val="fr-CA"/>
              </w:rPr>
            </w:pPr>
            <w:r w:rsidRPr="00D22CA0">
              <w:rPr>
                <w:sz w:val="20"/>
                <w:lang w:val="fr-CA"/>
              </w:rPr>
              <w:t>Cour suprême du Canada</w:t>
            </w:r>
          </w:p>
        </w:tc>
        <w:tc>
          <w:tcPr>
            <w:tcW w:w="243" w:type="pct"/>
          </w:tcPr>
          <w:p w:rsidR="00D22CA0" w:rsidRPr="00D22CA0" w:rsidRDefault="00D22CA0" w:rsidP="00D22CA0">
            <w:pPr>
              <w:jc w:val="both"/>
              <w:rPr>
                <w:sz w:val="20"/>
                <w:lang w:val="fr-CA"/>
              </w:rPr>
            </w:pPr>
          </w:p>
        </w:tc>
        <w:tc>
          <w:tcPr>
            <w:tcW w:w="2330" w:type="pct"/>
          </w:tcPr>
          <w:p w:rsidR="00D22CA0" w:rsidRPr="00D22CA0" w:rsidRDefault="00D22CA0" w:rsidP="00D22CA0">
            <w:pPr>
              <w:jc w:val="both"/>
              <w:rPr>
                <w:sz w:val="20"/>
                <w:lang w:val="fr-CA"/>
              </w:rPr>
            </w:pPr>
            <w:r w:rsidRPr="00D22CA0">
              <w:rPr>
                <w:sz w:val="20"/>
                <w:lang w:val="fr-CA"/>
              </w:rPr>
              <w:t>Dépôt de la demande d’autorisation d’appel</w:t>
            </w:r>
          </w:p>
          <w:p w:rsidR="00D22CA0" w:rsidRPr="00D22CA0" w:rsidRDefault="00D22CA0" w:rsidP="00D22CA0">
            <w:pPr>
              <w:jc w:val="both"/>
              <w:rPr>
                <w:sz w:val="20"/>
                <w:lang w:val="fr-CA"/>
              </w:rPr>
            </w:pPr>
          </w:p>
        </w:tc>
      </w:tr>
    </w:tbl>
    <w:p w:rsidR="00F15692" w:rsidRPr="00D22CA0" w:rsidRDefault="00F15692" w:rsidP="00957A1E">
      <w:pPr>
        <w:jc w:val="both"/>
        <w:rPr>
          <w:sz w:val="20"/>
          <w:lang w:val="fr-CA"/>
        </w:rPr>
      </w:pPr>
    </w:p>
    <w:p w:rsidR="00F15692" w:rsidRPr="00D22CA0" w:rsidRDefault="00F15692" w:rsidP="00957A1E">
      <w:pPr>
        <w:jc w:val="both"/>
        <w:rPr>
          <w:sz w:val="20"/>
          <w:lang w:val="fr-CA"/>
        </w:rPr>
      </w:pPr>
    </w:p>
    <w:p w:rsidR="00691CDA" w:rsidRPr="00D22CA0" w:rsidRDefault="00691CDA" w:rsidP="00A169B5">
      <w:pPr>
        <w:tabs>
          <w:tab w:val="left" w:pos="900"/>
          <w:tab w:val="center" w:pos="5760"/>
        </w:tabs>
        <w:ind w:left="360" w:hanging="360"/>
        <w:rPr>
          <w:sz w:val="20"/>
          <w:lang w:val="fr-CA"/>
        </w:rPr>
      </w:pPr>
    </w:p>
    <w:p w:rsidR="00D3344A" w:rsidRPr="00C110FB" w:rsidRDefault="00D3344A" w:rsidP="00D3344A">
      <w:pPr>
        <w:widowControl w:val="0"/>
        <w:outlineLvl w:val="0"/>
      </w:pPr>
      <w:r w:rsidRPr="00C110FB">
        <w:t xml:space="preserve">Supreme Court of Canada / Cour suprême du </w:t>
      </w:r>
      <w:proofErr w:type="gramStart"/>
      <w:r w:rsidRPr="00C110FB">
        <w:t>Canad</w:t>
      </w:r>
      <w:r w:rsidR="00EE289F" w:rsidRPr="00C110FB">
        <w:t>a</w:t>
      </w:r>
      <w:r w:rsidRPr="00C110FB">
        <w:t xml:space="preserve"> :</w:t>
      </w:r>
      <w:proofErr w:type="gramEnd"/>
    </w:p>
    <w:p w:rsidR="00D3344A" w:rsidRPr="00C110FB" w:rsidRDefault="00642A36" w:rsidP="00D3344A">
      <w:pPr>
        <w:widowControl w:val="0"/>
        <w:outlineLvl w:val="0"/>
        <w:rPr>
          <w:u w:val="single"/>
        </w:rPr>
      </w:pPr>
      <w:hyperlink r:id="rId46" w:history="1">
        <w:r w:rsidR="009B7391" w:rsidRPr="00C110FB">
          <w:rPr>
            <w:rStyle w:val="Hyperlink"/>
          </w:rPr>
          <w:t>comments-commentaires@scc-csc.ca</w:t>
        </w:r>
      </w:hyperlink>
    </w:p>
    <w:p w:rsidR="00D3344A" w:rsidRPr="00C110FB" w:rsidRDefault="0065588C" w:rsidP="00D3344A">
      <w:pPr>
        <w:widowControl w:val="0"/>
        <w:outlineLvl w:val="0"/>
      </w:pPr>
      <w:r w:rsidRPr="00C110FB">
        <w:t>613-</w:t>
      </w:r>
      <w:r w:rsidR="00D3344A" w:rsidRPr="00C110FB">
        <w:t>995-4330</w:t>
      </w:r>
    </w:p>
    <w:p w:rsidR="00497B5E" w:rsidRPr="00C110FB" w:rsidRDefault="00497B5E" w:rsidP="00497B5E">
      <w:pPr>
        <w:widowControl w:val="0"/>
        <w:rPr>
          <w:sz w:val="20"/>
        </w:rPr>
      </w:pPr>
    </w:p>
    <w:p w:rsidR="00F6251B" w:rsidRPr="006E558B" w:rsidRDefault="003F43E6" w:rsidP="00F6251B">
      <w:pPr>
        <w:pStyle w:val="Footer"/>
        <w:jc w:val="center"/>
      </w:pPr>
      <w:r w:rsidRPr="00C110FB">
        <w:t>- 30 -</w:t>
      </w:r>
    </w:p>
    <w:sectPr w:rsidR="00F6251B" w:rsidRPr="006E558B" w:rsidSect="00524822">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75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A01"/>
    <w:rsid w:val="00054F8E"/>
    <w:rsid w:val="00055DB2"/>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4EB7"/>
    <w:rsid w:val="00077C71"/>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F1E"/>
    <w:rsid w:val="000E50F2"/>
    <w:rsid w:val="000E514D"/>
    <w:rsid w:val="000E51E9"/>
    <w:rsid w:val="000E5407"/>
    <w:rsid w:val="000E5979"/>
    <w:rsid w:val="000E68D3"/>
    <w:rsid w:val="000F03FB"/>
    <w:rsid w:val="000F0595"/>
    <w:rsid w:val="000F12B8"/>
    <w:rsid w:val="000F233F"/>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6583"/>
    <w:rsid w:val="0012732F"/>
    <w:rsid w:val="001307C5"/>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2693"/>
    <w:rsid w:val="001826A0"/>
    <w:rsid w:val="00182705"/>
    <w:rsid w:val="00182DFB"/>
    <w:rsid w:val="00182E38"/>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E16"/>
    <w:rsid w:val="001D235D"/>
    <w:rsid w:val="001D2555"/>
    <w:rsid w:val="001D337C"/>
    <w:rsid w:val="001D380D"/>
    <w:rsid w:val="001D65C6"/>
    <w:rsid w:val="001E04E8"/>
    <w:rsid w:val="001E1EE3"/>
    <w:rsid w:val="001E1F20"/>
    <w:rsid w:val="001E394B"/>
    <w:rsid w:val="001E3BCD"/>
    <w:rsid w:val="001E4E84"/>
    <w:rsid w:val="001E4EBC"/>
    <w:rsid w:val="001E55D4"/>
    <w:rsid w:val="001E71B5"/>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3AEA"/>
    <w:rsid w:val="00203D33"/>
    <w:rsid w:val="00205051"/>
    <w:rsid w:val="002071DC"/>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239C"/>
    <w:rsid w:val="002C30B8"/>
    <w:rsid w:val="002C3A5F"/>
    <w:rsid w:val="002C3CEB"/>
    <w:rsid w:val="002C5754"/>
    <w:rsid w:val="002C6BF5"/>
    <w:rsid w:val="002D0C49"/>
    <w:rsid w:val="002D0F70"/>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47CC0"/>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383"/>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4B3"/>
    <w:rsid w:val="003B693A"/>
    <w:rsid w:val="003B6E18"/>
    <w:rsid w:val="003B7053"/>
    <w:rsid w:val="003B7102"/>
    <w:rsid w:val="003B7EA2"/>
    <w:rsid w:val="003C0862"/>
    <w:rsid w:val="003C0C25"/>
    <w:rsid w:val="003C160A"/>
    <w:rsid w:val="003C2377"/>
    <w:rsid w:val="003C2BBD"/>
    <w:rsid w:val="003C2CE7"/>
    <w:rsid w:val="003C2D62"/>
    <w:rsid w:val="003C3097"/>
    <w:rsid w:val="003C3816"/>
    <w:rsid w:val="003C4234"/>
    <w:rsid w:val="003C5F5E"/>
    <w:rsid w:val="003C5FC2"/>
    <w:rsid w:val="003C6A1E"/>
    <w:rsid w:val="003C6BB7"/>
    <w:rsid w:val="003C7603"/>
    <w:rsid w:val="003D0A88"/>
    <w:rsid w:val="003D12C2"/>
    <w:rsid w:val="003D19A0"/>
    <w:rsid w:val="003D27BD"/>
    <w:rsid w:val="003D353C"/>
    <w:rsid w:val="003D63C8"/>
    <w:rsid w:val="003D6472"/>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43E6"/>
    <w:rsid w:val="003F4894"/>
    <w:rsid w:val="003F4DDB"/>
    <w:rsid w:val="003F61E1"/>
    <w:rsid w:val="003F704D"/>
    <w:rsid w:val="003F77FC"/>
    <w:rsid w:val="004000BE"/>
    <w:rsid w:val="00401D3D"/>
    <w:rsid w:val="004020AB"/>
    <w:rsid w:val="004026BA"/>
    <w:rsid w:val="00403038"/>
    <w:rsid w:val="004030D5"/>
    <w:rsid w:val="0040388F"/>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3BC"/>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4E0"/>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A36"/>
    <w:rsid w:val="00642EB3"/>
    <w:rsid w:val="006441AD"/>
    <w:rsid w:val="006442C8"/>
    <w:rsid w:val="0064476C"/>
    <w:rsid w:val="00644B90"/>
    <w:rsid w:val="00646E32"/>
    <w:rsid w:val="00646E56"/>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308"/>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47CD0"/>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5CC"/>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28F"/>
    <w:rsid w:val="007B09DF"/>
    <w:rsid w:val="007B16A1"/>
    <w:rsid w:val="007B2DB6"/>
    <w:rsid w:val="007B300E"/>
    <w:rsid w:val="007B30CA"/>
    <w:rsid w:val="007B3A11"/>
    <w:rsid w:val="007B3AF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491"/>
    <w:rsid w:val="00945752"/>
    <w:rsid w:val="00946910"/>
    <w:rsid w:val="00947C38"/>
    <w:rsid w:val="00952CCB"/>
    <w:rsid w:val="00953BFE"/>
    <w:rsid w:val="009550BB"/>
    <w:rsid w:val="00955992"/>
    <w:rsid w:val="00956067"/>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E84"/>
    <w:rsid w:val="009E2722"/>
    <w:rsid w:val="009E38AF"/>
    <w:rsid w:val="009E52A8"/>
    <w:rsid w:val="009E673E"/>
    <w:rsid w:val="009E68BE"/>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C7B7D"/>
    <w:rsid w:val="00AD0097"/>
    <w:rsid w:val="00AD020B"/>
    <w:rsid w:val="00AD08E5"/>
    <w:rsid w:val="00AD0D5C"/>
    <w:rsid w:val="00AD0E15"/>
    <w:rsid w:val="00AD129B"/>
    <w:rsid w:val="00AD1A96"/>
    <w:rsid w:val="00AD1E0A"/>
    <w:rsid w:val="00AD1E79"/>
    <w:rsid w:val="00AD2385"/>
    <w:rsid w:val="00AD2A29"/>
    <w:rsid w:val="00AD2FCF"/>
    <w:rsid w:val="00AD4728"/>
    <w:rsid w:val="00AD4CC2"/>
    <w:rsid w:val="00AD4F89"/>
    <w:rsid w:val="00AD52A6"/>
    <w:rsid w:val="00AD5AE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0B9"/>
    <w:rsid w:val="00BB0472"/>
    <w:rsid w:val="00BB13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4016"/>
    <w:rsid w:val="00C45F01"/>
    <w:rsid w:val="00C4698C"/>
    <w:rsid w:val="00C516F1"/>
    <w:rsid w:val="00C5207F"/>
    <w:rsid w:val="00C52604"/>
    <w:rsid w:val="00C52AC9"/>
    <w:rsid w:val="00C52D21"/>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23CF"/>
    <w:rsid w:val="00D1308F"/>
    <w:rsid w:val="00D13678"/>
    <w:rsid w:val="00D1460D"/>
    <w:rsid w:val="00D14B1E"/>
    <w:rsid w:val="00D152F0"/>
    <w:rsid w:val="00D1550B"/>
    <w:rsid w:val="00D166CC"/>
    <w:rsid w:val="00D17E05"/>
    <w:rsid w:val="00D17F23"/>
    <w:rsid w:val="00D2058A"/>
    <w:rsid w:val="00D207B2"/>
    <w:rsid w:val="00D2106D"/>
    <w:rsid w:val="00D216CF"/>
    <w:rsid w:val="00D220F4"/>
    <w:rsid w:val="00D22B49"/>
    <w:rsid w:val="00D22C80"/>
    <w:rsid w:val="00D22CA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5F6"/>
    <w:rsid w:val="00D63645"/>
    <w:rsid w:val="00D63929"/>
    <w:rsid w:val="00D63C1C"/>
    <w:rsid w:val="00D63E1C"/>
    <w:rsid w:val="00D6421D"/>
    <w:rsid w:val="00D645E0"/>
    <w:rsid w:val="00D65124"/>
    <w:rsid w:val="00D65231"/>
    <w:rsid w:val="00D653D0"/>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19C3"/>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1212"/>
    <w:rsid w:val="00DF12DD"/>
    <w:rsid w:val="00DF1A38"/>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1EF2"/>
    <w:rsid w:val="00E126BB"/>
    <w:rsid w:val="00E1305B"/>
    <w:rsid w:val="00E134A9"/>
    <w:rsid w:val="00E135F9"/>
    <w:rsid w:val="00E136F7"/>
    <w:rsid w:val="00E13771"/>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936"/>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E0ADC"/>
    <w:rsid w:val="00EE173D"/>
    <w:rsid w:val="00EE231A"/>
    <w:rsid w:val="00EE24D6"/>
    <w:rsid w:val="00EE289F"/>
    <w:rsid w:val="00EE59C6"/>
    <w:rsid w:val="00EE69B9"/>
    <w:rsid w:val="00EE75E5"/>
    <w:rsid w:val="00EF0066"/>
    <w:rsid w:val="00EF1864"/>
    <w:rsid w:val="00EF26B4"/>
    <w:rsid w:val="00EF2732"/>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5692"/>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403"/>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D22CA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D22CA0"/>
    <w:rPr>
      <w:rFonts w:ascii="Times New Roman" w:eastAsiaTheme="minorHAnsi" w:hAnsi="Times New Roman"/>
      <w:b/>
      <w:sz w:val="24"/>
      <w:szCs w:val="24"/>
      <w:lang w:val="en-CA"/>
    </w:rPr>
  </w:style>
  <w:style w:type="character" w:customStyle="1" w:styleId="reflex3-alt">
    <w:name w:val="reflex3-alt"/>
    <w:basedOn w:val="DefaultParagraphFont"/>
    <w:rsid w:val="00D22CA0"/>
  </w:style>
  <w:style w:type="paragraph" w:customStyle="1" w:styleId="SCCLsocOtherPartySeparator">
    <w:name w:val="SCC.Lsoc.OtherPartySeparator"/>
    <w:basedOn w:val="Normal"/>
    <w:next w:val="Normal"/>
    <w:link w:val="SCCLsocOtherPartySeparatorChar"/>
    <w:rsid w:val="00D22CA0"/>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D22CA0"/>
    <w:rPr>
      <w:rFonts w:ascii="Times New Roman" w:eastAsiaTheme="minorHAnsi" w:hAnsi="Times New Roman"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fra.aspx?cas=37751" TargetMode="External"/><Relationship Id="rId18" Type="http://schemas.openxmlformats.org/officeDocument/2006/relationships/hyperlink" Target="https://www.canlii.org/en/on/onsc/doc/2016/2016onsc5089/2016onsc5089.html?resultIndex=1" TargetMode="External"/><Relationship Id="rId26" Type="http://schemas.openxmlformats.org/officeDocument/2006/relationships/hyperlink" Target="https://www.canlii.org/en/on/onsc/doc/2016/2016onsc6540/2016onsc6540.html" TargetMode="External"/><Relationship Id="rId39" Type="http://schemas.openxmlformats.org/officeDocument/2006/relationships/hyperlink" Target="https://www.canlii.org/en/on/onca/doc/2017/2017onca446/2017onca446.html?autocompleteStr=2017%20ONCA%20446&amp;autocompletePos=1" TargetMode="External"/><Relationship Id="rId3" Type="http://schemas.openxmlformats.org/officeDocument/2006/relationships/settings" Target="settings.xml"/><Relationship Id="rId21" Type="http://schemas.openxmlformats.org/officeDocument/2006/relationships/hyperlink" Target="https://www.canlii.org/fr/qc/qcca/doc/2017/2017qcca950/2017qcca950.pdf" TargetMode="External"/><Relationship Id="rId34" Type="http://schemas.openxmlformats.org/officeDocument/2006/relationships/hyperlink" Target="https://www.canlii.org/fr/qc/qccs/doc/2015/2015qccs4299/2015qccs4299.html" TargetMode="External"/><Relationship Id="rId42" Type="http://schemas.openxmlformats.org/officeDocument/2006/relationships/hyperlink" Target="http://canlii.ca/t/gl0gw"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www.scc-csc.ca/case-dossier/info/sum-som-fra.aspx?cas=37606" TargetMode="External"/><Relationship Id="rId12" Type="http://schemas.openxmlformats.org/officeDocument/2006/relationships/hyperlink" Target="http://www.scc-csc.ca/case-dossier/info/sum-som-eng.aspx?cas=37727" TargetMode="External"/><Relationship Id="rId17" Type="http://schemas.openxmlformats.org/officeDocument/2006/relationships/hyperlink" Target="https://www.canlii.org/fr/ca/caf/doc/2017/2017caf118/2017caf118.pdf" TargetMode="External"/><Relationship Id="rId25" Type="http://schemas.openxmlformats.org/officeDocument/2006/relationships/hyperlink" Target="https://www.canlii.org/en/on/onca/doc/2017/2017onca414/2017onca414.html" TargetMode="External"/><Relationship Id="rId33" Type="http://schemas.openxmlformats.org/officeDocument/2006/relationships/hyperlink" Target="https://www.canlii.org/en/mb/mbca/doc/2017/2017mbca60/2017mbca60.html?autocompleteStr=2017%20MBCA%2060&amp;autocompletePos=1" TargetMode="External"/><Relationship Id="rId38" Type="http://schemas.openxmlformats.org/officeDocument/2006/relationships/hyperlink" Target="https://www.canlii.org/en/on/onsc/doc/2016/2016onsc5750/2016onsc5750.html?autocompleteStr=2016%20ONSC%205750&amp;autocompletePos=1" TargetMode="External"/><Relationship Id="rId46" Type="http://schemas.openxmlformats.org/officeDocument/2006/relationships/hyperlink" Target="mailto:comments-commentaires@scc-csc.ca" TargetMode="External"/><Relationship Id="rId2" Type="http://schemas.openxmlformats.org/officeDocument/2006/relationships/styles" Target="styles.xml"/><Relationship Id="rId16" Type="http://schemas.openxmlformats.org/officeDocument/2006/relationships/hyperlink" Target="https://www.canlii.org/en/ca/fca/doc/2017/2017fca118/2017fca118.pdf" TargetMode="External"/><Relationship Id="rId20" Type="http://schemas.openxmlformats.org/officeDocument/2006/relationships/hyperlink" Target="https://www.canlii.org/fr/qc/qcca/doc/2017/2017qcca950/2017qcca950.pdf" TargetMode="External"/><Relationship Id="rId29" Type="http://schemas.openxmlformats.org/officeDocument/2006/relationships/hyperlink" Target="https://www.canlii.org/en/on/onca/doc/2017/2017onca442/2017onca442.html?searchUrlHash=AAAAAAAAAAEAFzIwMTYgT05TQyA2NTQwIChDYW5MSUkpAAAAAQANLzIwMTZvbnNjNjU0MAE&amp;resultIndex=1" TargetMode="External"/><Relationship Id="rId41" Type="http://schemas.openxmlformats.org/officeDocument/2006/relationships/hyperlink" Target="https://www.canlii.org/en/on/onca/doc/2017/2017onca446/2017onca446.html?autocompleteStr=2017%20ONCA%20446&amp;autocompletePos=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711" TargetMode="External"/><Relationship Id="rId24" Type="http://schemas.openxmlformats.org/officeDocument/2006/relationships/hyperlink" Target="https://www.canlii.org/en/on/onscdc/doc/2015/2015onsc5327/2015onsc5327.html" TargetMode="External"/><Relationship Id="rId32" Type="http://schemas.openxmlformats.org/officeDocument/2006/relationships/hyperlink" Target="https://www.canlii.org/en/mb/mbqb/doc/2015/2015mbqb136/2015mbqb136.html?autocompleteStr=2015%20MBQB%20136&amp;autocompletePos=1" TargetMode="External"/><Relationship Id="rId37" Type="http://schemas.openxmlformats.org/officeDocument/2006/relationships/hyperlink" Target="https://www.canlii.org/fr/qc/qcca/doc/2017/2017qcca1012/2017qcca1012.html?autocompleteStr=2017%20QCCA%201012&amp;autocompletePos=1" TargetMode="External"/><Relationship Id="rId40" Type="http://schemas.openxmlformats.org/officeDocument/2006/relationships/hyperlink" Target="https://www.canlii.org/en/on/onsc/doc/2016/2016onsc5750/2016onsc5750.html?autocompleteStr=2016%20ONSC%205750&amp;autocompletePos=1" TargetMode="External"/><Relationship Id="rId45" Type="http://schemas.openxmlformats.org/officeDocument/2006/relationships/hyperlink" Target="http://canlii.ca/t/h57vl"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c-csc.ca/case-dossier/info/sum-som-eng.aspx?cas=37806" TargetMode="External"/><Relationship Id="rId23" Type="http://schemas.openxmlformats.org/officeDocument/2006/relationships/hyperlink" Target="https://www.canlii.org/en/on/onca/doc/2017/2017onca414/2017onca414.html" TargetMode="External"/><Relationship Id="rId28" Type="http://schemas.openxmlformats.org/officeDocument/2006/relationships/hyperlink" Target="https://www.canlii.org/en/on/onsc/doc/2016/2016onsc6540/2016onsc6540.html" TargetMode="External"/><Relationship Id="rId36" Type="http://schemas.openxmlformats.org/officeDocument/2006/relationships/hyperlink" Target="https://www.canlii.org/fr/qc/qccs/doc/2015/2015qccs4299/2015qccs4299.html" TargetMode="External"/><Relationship Id="rId49" Type="http://schemas.openxmlformats.org/officeDocument/2006/relationships/footer" Target="footer1.xml"/><Relationship Id="rId10" Type="http://schemas.openxmlformats.org/officeDocument/2006/relationships/hyperlink" Target="http://www.scc-csc.ca/case-dossier/info/sum-som-eng.aspx?cas=37705" TargetMode="External"/><Relationship Id="rId19" Type="http://schemas.openxmlformats.org/officeDocument/2006/relationships/hyperlink" Target="https://www.canlii.org/en/on/onsc/doc/2016/2016onsc5089/2016onsc5089.html?resultIndex=1" TargetMode="External"/><Relationship Id="rId31" Type="http://schemas.openxmlformats.org/officeDocument/2006/relationships/hyperlink" Target="https://www.canlii.org/en/mb/mbca/doc/2017/2017mbca60/2017mbca60.html?autocompleteStr=2017%20MBCA%2060&amp;autocompletePos=1" TargetMode="External"/><Relationship Id="rId44" Type="http://schemas.openxmlformats.org/officeDocument/2006/relationships/hyperlink" Target="http://canlii.ca/t/gl0gw"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cc-csc.ca/case-dossier/info/sum-som-fra.aspx?cas=37721" TargetMode="External"/><Relationship Id="rId14" Type="http://schemas.openxmlformats.org/officeDocument/2006/relationships/hyperlink" Target="http://www.scc-csc.ca/case-dossier/info/sum-som-eng.aspx?cas=37718" TargetMode="External"/><Relationship Id="rId22" Type="http://schemas.openxmlformats.org/officeDocument/2006/relationships/hyperlink" Target="https://www.canlii.org/en/on/onscdc/doc/2015/2015onsc5327/2015onsc5327.html" TargetMode="External"/><Relationship Id="rId27" Type="http://schemas.openxmlformats.org/officeDocument/2006/relationships/hyperlink" Target="https://www.canlii.org/en/on/onca/doc/2017/2017onca442/2017onca442.html?searchUrlHash=AAAAAAAAAAEAFzIwMTYgT05TQyA2NTQwIChDYW5MSUkpAAAAAQANLzIwMTZvbnNjNjU0MAE&amp;resultIndex=1" TargetMode="External"/><Relationship Id="rId30" Type="http://schemas.openxmlformats.org/officeDocument/2006/relationships/hyperlink" Target="https://www.canlii.org/en/mb/mbqb/doc/2015/2015mbqb136/2015mbqb136.html?autocompleteStr=2015%20MBQB%20136&amp;autocompletePos=1" TargetMode="External"/><Relationship Id="rId35" Type="http://schemas.openxmlformats.org/officeDocument/2006/relationships/hyperlink" Target="https://www.canlii.org/fr/qc/qcca/doc/2017/2017qcca1012/2017qcca1012.html?autocompleteStr=2017%20QCCA%201012&amp;autocompletePos=1" TargetMode="External"/><Relationship Id="rId43" Type="http://schemas.openxmlformats.org/officeDocument/2006/relationships/hyperlink" Target="http://canlii.ca/t/h57vl" TargetMode="External"/><Relationship Id="rId48" Type="http://schemas.openxmlformats.org/officeDocument/2006/relationships/header" Target="header2.xml"/><Relationship Id="rId8" Type="http://schemas.openxmlformats.org/officeDocument/2006/relationships/hyperlink" Target="http://www.scc-csc.ca/case-dossier/info/sum-som-eng.aspx?cas=37648" TargetMode="Externa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7388</Words>
  <Characters>42116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49406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2018-01-23T18:25:00Z</dcterms:created>
  <dcterms:modified xsi:type="dcterms:W3CDTF">2018-01-29T14:34:00Z</dcterms:modified>
</cp:coreProperties>
</file>