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2B4A1D" w:rsidRDefault="000347C1" w:rsidP="00214729">
      <w:pPr>
        <w:widowControl w:val="0"/>
        <w:jc w:val="center"/>
        <w:rPr>
          <w:b/>
        </w:rPr>
      </w:pPr>
      <w:r w:rsidRPr="002B4A1D">
        <w:fldChar w:fldCharType="begin"/>
      </w:r>
      <w:r w:rsidR="00FA7412" w:rsidRPr="002B4A1D">
        <w:instrText xml:space="preserve"> SEQ CHAPTER \h \r 1</w:instrText>
      </w:r>
      <w:r w:rsidRPr="002B4A1D">
        <w:fldChar w:fldCharType="end"/>
      </w:r>
      <w:r w:rsidR="00455BB9" w:rsidRPr="002B4A1D">
        <w:rPr>
          <w:b/>
        </w:rPr>
        <w:t>JUDGMENT</w:t>
      </w:r>
      <w:r w:rsidR="00FA7412" w:rsidRPr="002B4A1D">
        <w:rPr>
          <w:b/>
        </w:rPr>
        <w:t xml:space="preserve"> TO BE RENDERED IN APPEA</w:t>
      </w:r>
      <w:r w:rsidR="00CC2799" w:rsidRPr="002B4A1D">
        <w:rPr>
          <w:b/>
        </w:rPr>
        <w:t>L</w:t>
      </w:r>
    </w:p>
    <w:p w:rsidR="005A7C1B" w:rsidRPr="002B4A1D" w:rsidRDefault="005A7C1B" w:rsidP="005A7C1B">
      <w:pPr>
        <w:widowControl w:val="0"/>
      </w:pPr>
    </w:p>
    <w:p w:rsidR="00EC79B0" w:rsidRPr="000F75D1" w:rsidRDefault="00C9358F" w:rsidP="00EC79B0">
      <w:pPr>
        <w:widowControl w:val="0"/>
        <w:rPr>
          <w:b/>
        </w:rPr>
      </w:pPr>
      <w:r w:rsidRPr="000F75D1">
        <w:rPr>
          <w:b/>
        </w:rPr>
        <w:t>Ju</w:t>
      </w:r>
      <w:r w:rsidR="00CE017D" w:rsidRPr="000F75D1">
        <w:rPr>
          <w:b/>
        </w:rPr>
        <w:t>ly</w:t>
      </w:r>
      <w:r w:rsidR="00C86395" w:rsidRPr="000F75D1">
        <w:rPr>
          <w:b/>
        </w:rPr>
        <w:t xml:space="preserve"> </w:t>
      </w:r>
      <w:r w:rsidR="00CE017D" w:rsidRPr="000F75D1">
        <w:rPr>
          <w:b/>
        </w:rPr>
        <w:t>9</w:t>
      </w:r>
      <w:r w:rsidR="00EC79B0" w:rsidRPr="000F75D1">
        <w:rPr>
          <w:b/>
        </w:rPr>
        <w:t>, 2</w:t>
      </w:r>
      <w:r w:rsidR="00E6600C" w:rsidRPr="000F75D1">
        <w:rPr>
          <w:b/>
        </w:rPr>
        <w:t>0</w:t>
      </w:r>
      <w:r w:rsidR="00EC79B0" w:rsidRPr="000F75D1">
        <w:rPr>
          <w:b/>
        </w:rPr>
        <w:t>1</w:t>
      </w:r>
      <w:r w:rsidR="0088662B" w:rsidRPr="000F75D1">
        <w:rPr>
          <w:b/>
        </w:rPr>
        <w:t>8</w:t>
      </w:r>
    </w:p>
    <w:p w:rsidR="00EC79B0" w:rsidRPr="000F75D1" w:rsidRDefault="00EC79B0" w:rsidP="00EC79B0">
      <w:pPr>
        <w:widowControl w:val="0"/>
        <w:rPr>
          <w:b/>
        </w:rPr>
      </w:pPr>
      <w:r w:rsidRPr="000F75D1">
        <w:rPr>
          <w:b/>
        </w:rPr>
        <w:t>For immediate release</w:t>
      </w:r>
    </w:p>
    <w:p w:rsidR="00EC79B0" w:rsidRPr="000F75D1" w:rsidRDefault="00EC79B0" w:rsidP="00EC79B0">
      <w:pPr>
        <w:widowControl w:val="0"/>
      </w:pPr>
    </w:p>
    <w:p w:rsidR="00EC79B0" w:rsidRPr="000F75D1" w:rsidRDefault="00EC79B0" w:rsidP="00EC79B0">
      <w:pPr>
        <w:widowControl w:val="0"/>
        <w:rPr>
          <w:lang w:val="fr-CA"/>
        </w:rPr>
      </w:pPr>
      <w:r w:rsidRPr="000F75D1">
        <w:rPr>
          <w:b/>
        </w:rPr>
        <w:t>OTTAWA</w:t>
      </w:r>
      <w:r w:rsidRPr="000F75D1">
        <w:t xml:space="preserve"> – The Supreme Court of Canad</w:t>
      </w:r>
      <w:r w:rsidR="00455BB9" w:rsidRPr="000F75D1">
        <w:t>a announced today that judgment</w:t>
      </w:r>
      <w:r w:rsidRPr="000F75D1">
        <w:t xml:space="preserve"> in the following appeal will be delivered at 9:45 a.m. E</w:t>
      </w:r>
      <w:r w:rsidR="00F531CE" w:rsidRPr="000F75D1">
        <w:t>D</w:t>
      </w:r>
      <w:r w:rsidR="00DC6C1E" w:rsidRPr="000F75D1">
        <w:t>T</w:t>
      </w:r>
      <w:r w:rsidR="00D74667" w:rsidRPr="000F75D1">
        <w:t xml:space="preserve"> on</w:t>
      </w:r>
      <w:r w:rsidR="00DC6C1E" w:rsidRPr="000F75D1">
        <w:t xml:space="preserve"> </w:t>
      </w:r>
      <w:r w:rsidR="00FB61C0" w:rsidRPr="000F75D1">
        <w:t>Fri</w:t>
      </w:r>
      <w:r w:rsidR="00F531CE" w:rsidRPr="000F75D1">
        <w:t>day</w:t>
      </w:r>
      <w:r w:rsidR="000A7900" w:rsidRPr="000F75D1">
        <w:t xml:space="preserve">, </w:t>
      </w:r>
      <w:r w:rsidR="00542361" w:rsidRPr="000F75D1">
        <w:t>Ju</w:t>
      </w:r>
      <w:r w:rsidR="001B104F" w:rsidRPr="000F75D1">
        <w:t>ly</w:t>
      </w:r>
      <w:r w:rsidR="004E605A" w:rsidRPr="000F75D1">
        <w:t xml:space="preserve"> </w:t>
      </w:r>
      <w:r w:rsidR="00CE017D" w:rsidRPr="000F75D1">
        <w:t>13</w:t>
      </w:r>
      <w:r w:rsidR="00E63199" w:rsidRPr="000F75D1">
        <w:t>, 2</w:t>
      </w:r>
      <w:r w:rsidR="0086609D" w:rsidRPr="000F75D1">
        <w:t>01</w:t>
      </w:r>
      <w:r w:rsidR="0088662B" w:rsidRPr="000F75D1">
        <w:t>8</w:t>
      </w:r>
      <w:r w:rsidR="00455BB9" w:rsidRPr="000F75D1">
        <w:t xml:space="preserve">. </w:t>
      </w:r>
      <w:r w:rsidR="00455BB9" w:rsidRPr="000F75D1">
        <w:rPr>
          <w:lang w:val="fr-CA"/>
        </w:rPr>
        <w:t>This</w:t>
      </w:r>
      <w:r w:rsidRPr="000F75D1">
        <w:rPr>
          <w:lang w:val="fr-CA"/>
        </w:rPr>
        <w:t xml:space="preserve"> list is subject to change.</w:t>
      </w:r>
    </w:p>
    <w:p w:rsidR="001F76DD" w:rsidRPr="000F75D1" w:rsidRDefault="001F76DD" w:rsidP="001C4415">
      <w:pPr>
        <w:widowControl w:val="0"/>
        <w:rPr>
          <w:szCs w:val="24"/>
          <w:lang w:val="fr-CA"/>
        </w:rPr>
      </w:pPr>
    </w:p>
    <w:p w:rsidR="001C4415" w:rsidRPr="000F75D1" w:rsidRDefault="001C4415" w:rsidP="001C4415">
      <w:pPr>
        <w:widowControl w:val="0"/>
        <w:rPr>
          <w:lang w:val="fr-CA"/>
        </w:rPr>
      </w:pPr>
    </w:p>
    <w:p w:rsidR="001335A1" w:rsidRPr="000F75D1" w:rsidRDefault="001335A1" w:rsidP="001335A1">
      <w:pPr>
        <w:widowControl w:val="0"/>
        <w:jc w:val="center"/>
        <w:rPr>
          <w:b/>
          <w:lang w:val="fr-CA"/>
        </w:rPr>
      </w:pPr>
      <w:r w:rsidRPr="000F75D1">
        <w:rPr>
          <w:b/>
          <w:lang w:val="fr-CA"/>
        </w:rPr>
        <w:t>PROCHAIN JUGEMENT</w:t>
      </w:r>
      <w:r w:rsidR="00455BB9" w:rsidRPr="000F75D1">
        <w:rPr>
          <w:b/>
          <w:lang w:val="fr-CA"/>
        </w:rPr>
        <w:t xml:space="preserve"> SUR APPEL</w:t>
      </w:r>
    </w:p>
    <w:p w:rsidR="001335A1" w:rsidRPr="000F75D1" w:rsidRDefault="001335A1" w:rsidP="001335A1">
      <w:pPr>
        <w:widowControl w:val="0"/>
        <w:rPr>
          <w:lang w:val="fr-CA"/>
        </w:rPr>
      </w:pPr>
    </w:p>
    <w:p w:rsidR="00EC79B0" w:rsidRPr="000F75D1" w:rsidRDefault="00EC79B0" w:rsidP="00EC79B0">
      <w:pPr>
        <w:widowControl w:val="0"/>
        <w:rPr>
          <w:b/>
          <w:lang w:val="fr-CA"/>
        </w:rPr>
      </w:pPr>
      <w:r w:rsidRPr="000F75D1">
        <w:rPr>
          <w:b/>
          <w:lang w:val="fr-CA"/>
        </w:rPr>
        <w:t xml:space="preserve">Le </w:t>
      </w:r>
      <w:r w:rsidR="00FA5450" w:rsidRPr="000F75D1">
        <w:rPr>
          <w:b/>
          <w:lang w:val="fr-CA"/>
        </w:rPr>
        <w:t xml:space="preserve">9 </w:t>
      </w:r>
      <w:r w:rsidR="00C9358F" w:rsidRPr="000F75D1">
        <w:rPr>
          <w:b/>
          <w:lang w:val="fr-CA"/>
        </w:rPr>
        <w:t>jui</w:t>
      </w:r>
      <w:r w:rsidR="00CE017D" w:rsidRPr="000F75D1">
        <w:rPr>
          <w:b/>
          <w:lang w:val="fr-CA"/>
        </w:rPr>
        <w:t>llet</w:t>
      </w:r>
      <w:r w:rsidR="00C86395" w:rsidRPr="000F75D1">
        <w:rPr>
          <w:b/>
          <w:lang w:val="fr-CA"/>
        </w:rPr>
        <w:t xml:space="preserve"> </w:t>
      </w:r>
      <w:r w:rsidR="0086609D" w:rsidRPr="000F75D1">
        <w:rPr>
          <w:b/>
          <w:lang w:val="fr-CA"/>
        </w:rPr>
        <w:t>201</w:t>
      </w:r>
      <w:r w:rsidR="0088662B" w:rsidRPr="000F75D1">
        <w:rPr>
          <w:b/>
          <w:lang w:val="fr-CA"/>
        </w:rPr>
        <w:t>8</w:t>
      </w:r>
    </w:p>
    <w:p w:rsidR="00EC79B0" w:rsidRPr="0078068B" w:rsidRDefault="00EC79B0" w:rsidP="00EC79B0">
      <w:pPr>
        <w:widowControl w:val="0"/>
        <w:rPr>
          <w:b/>
          <w:lang w:val="fr-CA"/>
        </w:rPr>
      </w:pPr>
      <w:r w:rsidRPr="000F75D1">
        <w:rPr>
          <w:b/>
          <w:lang w:val="fr-CA"/>
        </w:rPr>
        <w:t>Pour diffusion immédiate</w:t>
      </w:r>
      <w:bookmarkStart w:id="0" w:name="_GoBack"/>
      <w:bookmarkEnd w:id="0"/>
    </w:p>
    <w:p w:rsidR="00EC79B0" w:rsidRPr="0078068B" w:rsidRDefault="00EC79B0" w:rsidP="00EC79B0">
      <w:pPr>
        <w:widowControl w:val="0"/>
        <w:rPr>
          <w:b/>
          <w:lang w:val="fr-CA"/>
        </w:rPr>
      </w:pPr>
    </w:p>
    <w:p w:rsidR="00EC79B0" w:rsidRPr="000F75D1" w:rsidRDefault="00EC79B0" w:rsidP="00EC79B0">
      <w:pPr>
        <w:widowControl w:val="0"/>
      </w:pPr>
      <w:r w:rsidRPr="0078068B">
        <w:rPr>
          <w:b/>
          <w:lang w:val="fr-CA"/>
        </w:rPr>
        <w:t>OTTAWA</w:t>
      </w:r>
      <w:r w:rsidRPr="0078068B">
        <w:rPr>
          <w:lang w:val="fr-CA"/>
        </w:rPr>
        <w:t xml:space="preserve"> – La Cour suprême du Canada annonce que jugement ser</w:t>
      </w:r>
      <w:r w:rsidR="00C86395" w:rsidRPr="0078068B">
        <w:rPr>
          <w:lang w:val="fr-CA"/>
        </w:rPr>
        <w:t>a</w:t>
      </w:r>
      <w:r w:rsidRPr="0078068B">
        <w:rPr>
          <w:lang w:val="fr-CA"/>
        </w:rPr>
        <w:t xml:space="preserve"> rendu dans </w:t>
      </w:r>
      <w:r w:rsidR="001F1643" w:rsidRPr="0078068B">
        <w:rPr>
          <w:lang w:val="fr-CA"/>
        </w:rPr>
        <w:t>l</w:t>
      </w:r>
      <w:r w:rsidR="00C86395" w:rsidRPr="0078068B">
        <w:rPr>
          <w:lang w:val="fr-CA"/>
        </w:rPr>
        <w:t>’</w:t>
      </w:r>
      <w:r w:rsidR="001F1643" w:rsidRPr="0078068B">
        <w:rPr>
          <w:lang w:val="fr-CA"/>
        </w:rPr>
        <w:t xml:space="preserve">appel </w:t>
      </w:r>
      <w:r w:rsidRPr="0078068B">
        <w:rPr>
          <w:lang w:val="fr-CA"/>
        </w:rPr>
        <w:t xml:space="preserve">suivant le </w:t>
      </w:r>
      <w:r w:rsidR="00FB61C0" w:rsidRPr="0078068B">
        <w:rPr>
          <w:lang w:val="fr-CA"/>
        </w:rPr>
        <w:t>vendre</w:t>
      </w:r>
      <w:r w:rsidR="00831D1B" w:rsidRPr="0078068B">
        <w:rPr>
          <w:lang w:val="fr-CA"/>
        </w:rPr>
        <w:t>d</w:t>
      </w:r>
      <w:r w:rsidR="00945121" w:rsidRPr="0078068B">
        <w:rPr>
          <w:lang w:val="fr-CA"/>
        </w:rPr>
        <w:t>i</w:t>
      </w:r>
      <w:r w:rsidR="007C1648" w:rsidRPr="0078068B">
        <w:rPr>
          <w:lang w:val="fr-CA"/>
        </w:rPr>
        <w:t xml:space="preserve"> </w:t>
      </w:r>
      <w:r w:rsidR="00CE017D">
        <w:rPr>
          <w:lang w:val="fr-CA"/>
        </w:rPr>
        <w:t>13</w:t>
      </w:r>
      <w:r w:rsidR="00C7690C" w:rsidRPr="0078068B">
        <w:rPr>
          <w:lang w:val="fr-CA"/>
        </w:rPr>
        <w:t xml:space="preserve"> </w:t>
      </w:r>
      <w:r w:rsidR="00542361" w:rsidRPr="0078068B">
        <w:rPr>
          <w:lang w:val="fr-CA"/>
        </w:rPr>
        <w:t>jui</w:t>
      </w:r>
      <w:r w:rsidR="001B104F" w:rsidRPr="0078068B">
        <w:rPr>
          <w:lang w:val="fr-CA"/>
        </w:rPr>
        <w:t>llet</w:t>
      </w:r>
      <w:r w:rsidR="00282563" w:rsidRPr="0078068B">
        <w:rPr>
          <w:lang w:val="fr-CA"/>
        </w:rPr>
        <w:t xml:space="preserve"> </w:t>
      </w:r>
      <w:r w:rsidRPr="0078068B">
        <w:rPr>
          <w:lang w:val="fr-CA"/>
        </w:rPr>
        <w:t>201</w:t>
      </w:r>
      <w:r w:rsidR="0088662B" w:rsidRPr="0078068B">
        <w:rPr>
          <w:lang w:val="fr-CA"/>
        </w:rPr>
        <w:t>8</w:t>
      </w:r>
      <w:r w:rsidRPr="0078068B">
        <w:rPr>
          <w:lang w:val="fr-CA"/>
        </w:rPr>
        <w:t>, à 9 h 45 H</w:t>
      </w:r>
      <w:r w:rsidR="00F531CE" w:rsidRPr="0078068B">
        <w:rPr>
          <w:lang w:val="fr-CA"/>
        </w:rPr>
        <w:t>A</w:t>
      </w:r>
      <w:r w:rsidRPr="0078068B">
        <w:rPr>
          <w:lang w:val="fr-CA"/>
        </w:rPr>
        <w:t xml:space="preserve">E. </w:t>
      </w:r>
      <w:r w:rsidRPr="000F75D1">
        <w:t>Cette liste est sujette à modifications.</w:t>
      </w:r>
    </w:p>
    <w:p w:rsidR="001F76DD" w:rsidRPr="000F75D1" w:rsidRDefault="001F76DD" w:rsidP="001335A1">
      <w:pPr>
        <w:widowControl w:val="0"/>
        <w:rPr>
          <w:szCs w:val="24"/>
        </w:rPr>
      </w:pPr>
    </w:p>
    <w:p w:rsidR="001335A1" w:rsidRPr="000F75D1" w:rsidRDefault="005C7A4F" w:rsidP="001335A1">
      <w:pPr>
        <w:widowControl w:val="0"/>
        <w:rPr>
          <w:szCs w:val="24"/>
        </w:rPr>
      </w:pPr>
      <w:r w:rsidRPr="0078068B">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F75D1" w:rsidRDefault="00340C6D" w:rsidP="00340C6D">
      <w:pPr>
        <w:jc w:val="both"/>
        <w:rPr>
          <w:bCs/>
          <w:szCs w:val="24"/>
        </w:rPr>
      </w:pPr>
    </w:p>
    <w:p w:rsidR="00772636" w:rsidRPr="000F75D1" w:rsidRDefault="00C610C8" w:rsidP="00772636">
      <w:pPr>
        <w:jc w:val="both"/>
        <w:rPr>
          <w:szCs w:val="24"/>
        </w:rPr>
      </w:pPr>
      <w:r w:rsidRPr="00C610C8">
        <w:rPr>
          <w:i/>
          <w:szCs w:val="24"/>
        </w:rPr>
        <w:t xml:space="preserve">Her Majesty </w:t>
      </w:r>
      <w:r>
        <w:rPr>
          <w:i/>
          <w:szCs w:val="24"/>
        </w:rPr>
        <w:t>t</w:t>
      </w:r>
      <w:r w:rsidRPr="00C610C8">
        <w:rPr>
          <w:i/>
          <w:szCs w:val="24"/>
        </w:rPr>
        <w:t>he Queen in Right of British Columbia</w:t>
      </w:r>
      <w:r w:rsidR="008D7257" w:rsidRPr="00C610C8">
        <w:rPr>
          <w:i/>
          <w:szCs w:val="24"/>
        </w:rPr>
        <w:t xml:space="preserve"> </w:t>
      </w:r>
      <w:r w:rsidR="00F74994" w:rsidRPr="00C610C8">
        <w:rPr>
          <w:i/>
          <w:szCs w:val="24"/>
        </w:rPr>
        <w:t>v</w:t>
      </w:r>
      <w:r w:rsidR="008D7257" w:rsidRPr="00C610C8">
        <w:rPr>
          <w:i/>
          <w:szCs w:val="24"/>
        </w:rPr>
        <w:t xml:space="preserve">. </w:t>
      </w:r>
      <w:r w:rsidRPr="00C610C8">
        <w:rPr>
          <w:i/>
          <w:szCs w:val="24"/>
        </w:rPr>
        <w:t>Philip Morris International, Inc.</w:t>
      </w:r>
      <w:r w:rsidR="00A50E58" w:rsidRPr="00C610C8">
        <w:rPr>
          <w:i/>
          <w:szCs w:val="24"/>
        </w:rPr>
        <w:t xml:space="preserve"> </w:t>
      </w:r>
      <w:r w:rsidR="00772636" w:rsidRPr="000F75D1">
        <w:rPr>
          <w:szCs w:val="24"/>
        </w:rPr>
        <w:t>(</w:t>
      </w:r>
      <w:r w:rsidR="00F74994" w:rsidRPr="000F75D1">
        <w:rPr>
          <w:szCs w:val="24"/>
        </w:rPr>
        <w:t>B.C.</w:t>
      </w:r>
      <w:r w:rsidR="00772636" w:rsidRPr="000F75D1">
        <w:rPr>
          <w:szCs w:val="24"/>
        </w:rPr>
        <w:t xml:space="preserve">) </w:t>
      </w:r>
      <w:r w:rsidR="00772636" w:rsidRPr="000F75D1">
        <w:t>(</w:t>
      </w:r>
      <w:r w:rsidR="000F75D1">
        <w:fldChar w:fldCharType="begin"/>
      </w:r>
      <w:r w:rsidR="000F75D1">
        <w:instrText xml:space="preserve"> HYPERLINK "http://www.scc-csc.ca/case-dossier/info/sum-som-eng.aspx?cas=37524" </w:instrText>
      </w:r>
      <w:r w:rsidR="000F75D1">
        <w:fldChar w:fldCharType="separate"/>
      </w:r>
      <w:r w:rsidR="00772636" w:rsidRPr="000F75D1">
        <w:rPr>
          <w:rStyle w:val="Hyperlink"/>
        </w:rPr>
        <w:t>3</w:t>
      </w:r>
      <w:r w:rsidR="00717966" w:rsidRPr="000F75D1">
        <w:rPr>
          <w:rStyle w:val="Hyperlink"/>
        </w:rPr>
        <w:t>7</w:t>
      </w:r>
      <w:r w:rsidR="00F74994" w:rsidRPr="000F75D1">
        <w:rPr>
          <w:rStyle w:val="Hyperlink"/>
        </w:rPr>
        <w:t>524</w:t>
      </w:r>
      <w:r w:rsidR="000F75D1">
        <w:rPr>
          <w:rStyle w:val="Hyperlink"/>
          <w:lang w:val="fr-CA"/>
        </w:rPr>
        <w:fldChar w:fldCharType="end"/>
      </w:r>
      <w:r w:rsidR="00772636" w:rsidRPr="000F75D1">
        <w:t>)</w:t>
      </w:r>
    </w:p>
    <w:p w:rsidR="009F18D7" w:rsidRPr="000F75D1" w:rsidRDefault="009F18D7" w:rsidP="00340C6D">
      <w:pPr>
        <w:jc w:val="both"/>
      </w:pPr>
    </w:p>
    <w:p w:rsidR="0078726A" w:rsidRPr="000F75D1" w:rsidRDefault="0078726A" w:rsidP="00340C6D">
      <w:pPr>
        <w:jc w:val="both"/>
      </w:pPr>
    </w:p>
    <w:bookmarkStart w:id="1" w:name="1"/>
    <w:bookmarkEnd w:id="1"/>
    <w:p w:rsidR="0078726A" w:rsidRPr="0078726A" w:rsidRDefault="0078726A" w:rsidP="0061011E">
      <w:pPr>
        <w:widowControl w:val="0"/>
        <w:ind w:hanging="22"/>
        <w:jc w:val="both"/>
        <w:rPr>
          <w:b/>
          <w:i/>
          <w:sz w:val="20"/>
          <w:lang w:val="en-CA"/>
        </w:rPr>
      </w:pPr>
      <w:r w:rsidRPr="0078726A">
        <w:rPr>
          <w:b/>
          <w:sz w:val="20"/>
          <w:lang w:val="en-CA"/>
        </w:rPr>
        <w:fldChar w:fldCharType="begin"/>
      </w:r>
      <w:r w:rsidRPr="0078726A">
        <w:rPr>
          <w:b/>
          <w:sz w:val="20"/>
        </w:rPr>
        <w:instrText xml:space="preserve"> SEQ CHAPTER \h \r 1</w:instrText>
      </w:r>
      <w:r w:rsidRPr="0078726A">
        <w:rPr>
          <w:b/>
          <w:sz w:val="20"/>
        </w:rPr>
        <w:fldChar w:fldCharType="end"/>
      </w:r>
      <w:r w:rsidRPr="0078726A">
        <w:rPr>
          <w:b/>
          <w:sz w:val="20"/>
          <w:lang w:val="en-CA"/>
        </w:rPr>
        <w:t>37524</w:t>
      </w:r>
      <w:r w:rsidRPr="0078726A">
        <w:rPr>
          <w:sz w:val="20"/>
          <w:lang w:val="en-CA"/>
        </w:rPr>
        <w:tab/>
      </w:r>
      <w:bookmarkStart w:id="2" w:name="3"/>
      <w:bookmarkEnd w:id="2"/>
      <w:r w:rsidRPr="0078726A">
        <w:rPr>
          <w:b/>
          <w:i/>
          <w:sz w:val="20"/>
        </w:rPr>
        <w:t>Her Majesty the Queen in Right of British Columbia v. Philip Morris International, Inc.</w:t>
      </w:r>
    </w:p>
    <w:p w:rsidR="0078726A" w:rsidRPr="0078726A" w:rsidRDefault="0078726A" w:rsidP="0049759B">
      <w:pPr>
        <w:pStyle w:val="SCCCaseDescriptor"/>
        <w:rPr>
          <w:b w:val="0"/>
          <w:sz w:val="20"/>
        </w:rPr>
      </w:pPr>
      <w:r>
        <w:rPr>
          <w:sz w:val="20"/>
        </w:rPr>
        <w:tab/>
      </w:r>
      <w:r w:rsidRPr="0078726A">
        <w:rPr>
          <w:sz w:val="20"/>
        </w:rPr>
        <w:tab/>
      </w:r>
      <w:r w:rsidRPr="0078726A">
        <w:rPr>
          <w:b w:val="0"/>
          <w:sz w:val="20"/>
        </w:rPr>
        <w:t>(B.C.) (Civil) (By Leave)</w:t>
      </w:r>
      <w:bookmarkStart w:id="3" w:name="4"/>
      <w:bookmarkEnd w:id="3"/>
    </w:p>
    <w:p w:rsidR="0078726A" w:rsidRPr="0078726A" w:rsidRDefault="0078726A" w:rsidP="0049759B">
      <w:pPr>
        <w:widowControl w:val="0"/>
        <w:ind w:left="1440" w:hanging="1440"/>
        <w:jc w:val="both"/>
        <w:rPr>
          <w:sz w:val="20"/>
          <w:lang w:val="en-CA"/>
        </w:rPr>
      </w:pPr>
    </w:p>
    <w:p w:rsidR="0078726A" w:rsidRPr="0078726A" w:rsidRDefault="0078726A" w:rsidP="0061011E">
      <w:pPr>
        <w:jc w:val="both"/>
        <w:rPr>
          <w:sz w:val="20"/>
        </w:rPr>
      </w:pPr>
      <w:r w:rsidRPr="0078726A">
        <w:rPr>
          <w:sz w:val="20"/>
        </w:rPr>
        <w:t xml:space="preserve">Legislation - Interpretation - Civil procedure - Discovery - Evidence - Case management judge ordering production of anonymized individual-level data from provincial health databases - Did the British Columbia Courts err in ordering, notwithstanding the privacy protections of the  </w:t>
      </w:r>
      <w:r w:rsidRPr="0078726A">
        <w:rPr>
          <w:i/>
          <w:sz w:val="20"/>
        </w:rPr>
        <w:t>Tobacco Damages and Health Care Costs Recovery Act</w:t>
      </w:r>
      <w:r w:rsidRPr="0078726A">
        <w:rPr>
          <w:sz w:val="20"/>
        </w:rPr>
        <w:t>, S.B.C. 2000, c. 30, (the “</w:t>
      </w:r>
      <w:r w:rsidRPr="0078726A">
        <w:rPr>
          <w:i/>
          <w:sz w:val="20"/>
        </w:rPr>
        <w:t>Act</w:t>
      </w:r>
      <w:r w:rsidRPr="0078726A">
        <w:rPr>
          <w:sz w:val="20"/>
        </w:rPr>
        <w:t xml:space="preserve">”), production of the databases containing health care information of the residents of British Columbia - Are the health care databases either “health care records and documents of particular individual insured persons” or “documents relating to the provision of health care benefits for particular individual insured persons” and therefore not compellable under the </w:t>
      </w:r>
      <w:r w:rsidRPr="0078726A">
        <w:rPr>
          <w:i/>
          <w:sz w:val="20"/>
        </w:rPr>
        <w:t xml:space="preserve">Act </w:t>
      </w:r>
      <w:r w:rsidRPr="0078726A">
        <w:rPr>
          <w:sz w:val="20"/>
        </w:rPr>
        <w:t xml:space="preserve">- Does an order removing the names or other identifiers from the databases mean that they are no longer either “health care records and documents of particular individual insured persons” or “documents relating to the provision of health care benefits for particular individual insured persons” - Does a court have an overriding discretion, notwithstanding the privacy protections of the </w:t>
      </w:r>
      <w:r w:rsidRPr="0078726A">
        <w:rPr>
          <w:i/>
          <w:sz w:val="20"/>
        </w:rPr>
        <w:t>Act</w:t>
      </w:r>
      <w:r w:rsidRPr="0078726A">
        <w:rPr>
          <w:sz w:val="20"/>
        </w:rPr>
        <w:t>, to order production of the health care databases on the basis of “trial fairness”.</w:t>
      </w:r>
    </w:p>
    <w:p w:rsidR="0078726A" w:rsidRPr="0078726A" w:rsidRDefault="0078726A" w:rsidP="0049759B">
      <w:pPr>
        <w:widowControl w:val="0"/>
        <w:jc w:val="both"/>
        <w:rPr>
          <w:sz w:val="20"/>
        </w:rPr>
      </w:pPr>
    </w:p>
    <w:p w:rsidR="0078726A" w:rsidRPr="0078726A" w:rsidRDefault="0078726A" w:rsidP="0061011E">
      <w:pPr>
        <w:jc w:val="both"/>
        <w:rPr>
          <w:i/>
          <w:sz w:val="20"/>
        </w:rPr>
      </w:pPr>
      <w:bookmarkStart w:id="4" w:name="QuickMark_1"/>
      <w:bookmarkEnd w:id="4"/>
      <w:r w:rsidRPr="0078726A">
        <w:rPr>
          <w:sz w:val="20"/>
        </w:rPr>
        <w:t xml:space="preserve">The appellant brought an action pursuant to the </w:t>
      </w:r>
      <w:r w:rsidRPr="0078726A">
        <w:rPr>
          <w:i/>
          <w:sz w:val="20"/>
        </w:rPr>
        <w:t>Act</w:t>
      </w:r>
      <w:r w:rsidRPr="0078726A">
        <w:rPr>
          <w:sz w:val="20"/>
        </w:rPr>
        <w:t xml:space="preserve"> to recover tobacco-related health care costs from tobacco defendants. The legislation, which substitutes the normal rules of evidence and procedure for those specifically mandated by statute, was upheld by the Supreme Court of Canada as constitutional and not unduly interfering with judicial independence or the rule of law: </w:t>
      </w:r>
      <w:r w:rsidRPr="0078726A">
        <w:rPr>
          <w:i/>
          <w:sz w:val="20"/>
        </w:rPr>
        <w:t>British Columbia v. Imperial Tobacco Canada Ltd</w:t>
      </w:r>
      <w:r w:rsidRPr="0078726A">
        <w:rPr>
          <w:sz w:val="20"/>
        </w:rPr>
        <w:t xml:space="preserve">., [2005] 2 S.C.R. 473, 2005 SCC 49. The appellant offered to provide access to anonymized health information databases to the tobacco defendants, provided they agreed to the terms of a Statistics Canada Agreement whereby the experts of all signatories would have the same access and would be subject to the same restrictions. While some tobacco defendants entered into the agreement, the respondent brought an application for an order that the appellant produce anonymized individual-level data from provincial health databases. The appellant resists on the basis that the databases contain </w:t>
      </w:r>
      <w:r w:rsidRPr="0078726A">
        <w:rPr>
          <w:sz w:val="20"/>
        </w:rPr>
        <w:lastRenderedPageBreak/>
        <w:t xml:space="preserve">private health care information about millions of BC residents and that its compellability is barred by s. 2(5)(b) of the </w:t>
      </w:r>
      <w:r w:rsidRPr="0078726A">
        <w:rPr>
          <w:i/>
          <w:sz w:val="20"/>
        </w:rPr>
        <w:t>Act.</w:t>
      </w:r>
    </w:p>
    <w:p w:rsidR="0078726A" w:rsidRPr="0078726A" w:rsidRDefault="0078726A" w:rsidP="0049759B">
      <w:pPr>
        <w:rPr>
          <w:sz w:val="20"/>
        </w:rPr>
      </w:pPr>
    </w:p>
    <w:p w:rsidR="0078726A" w:rsidRDefault="0078726A" w:rsidP="0061011E">
      <w:pPr>
        <w:jc w:val="both"/>
        <w:rPr>
          <w:sz w:val="20"/>
        </w:rPr>
      </w:pPr>
      <w:r w:rsidRPr="0078726A">
        <w:rPr>
          <w:sz w:val="20"/>
        </w:rPr>
        <w:t xml:space="preserve">The Supreme Court of British Columbia granted the respondent’s application. Declining to follow a subsequent, contradictory decision in </w:t>
      </w:r>
      <w:r w:rsidRPr="0078726A">
        <w:rPr>
          <w:i/>
          <w:sz w:val="20"/>
        </w:rPr>
        <w:t>Rothmans et al. v. Her Majesty the Queen in Right of the province of New Brunswick</w:t>
      </w:r>
      <w:r w:rsidRPr="0078726A">
        <w:rPr>
          <w:sz w:val="20"/>
        </w:rPr>
        <w:t>, 2016 NBQB 106 (leave to appeal to NBCA and SCC dismissed July 29, 2016, and January 26, 2017, respectively), the appellate court dismissed the appeal.</w:t>
      </w:r>
    </w:p>
    <w:p w:rsidR="0078726A" w:rsidRDefault="0078726A" w:rsidP="0061011E">
      <w:pPr>
        <w:jc w:val="both"/>
        <w:rPr>
          <w:sz w:val="20"/>
        </w:rPr>
      </w:pPr>
    </w:p>
    <w:p w:rsidR="0078726A" w:rsidRPr="0078726A" w:rsidRDefault="0078726A" w:rsidP="0061011E">
      <w:pPr>
        <w:jc w:val="both"/>
        <w:rPr>
          <w:sz w:val="20"/>
          <w:lang w:val="en-CA"/>
        </w:rPr>
      </w:pPr>
    </w:p>
    <w:p w:rsidR="0078726A" w:rsidRPr="0078726A" w:rsidRDefault="0078726A" w:rsidP="0098666B">
      <w:pPr>
        <w:widowControl w:val="0"/>
        <w:ind w:left="713" w:hanging="735"/>
        <w:jc w:val="both"/>
        <w:rPr>
          <w:b/>
          <w:i/>
          <w:sz w:val="20"/>
          <w:lang w:val="fr-CA"/>
        </w:rPr>
      </w:pPr>
      <w:r w:rsidRPr="0078726A">
        <w:rPr>
          <w:b/>
          <w:sz w:val="20"/>
          <w:lang w:val="fr-CA"/>
        </w:rPr>
        <w:fldChar w:fldCharType="begin"/>
      </w:r>
      <w:r w:rsidRPr="0078726A">
        <w:rPr>
          <w:b/>
          <w:sz w:val="20"/>
          <w:lang w:val="fr-CA"/>
        </w:rPr>
        <w:instrText xml:space="preserve"> SEQ CHAPTER \h \r 1</w:instrText>
      </w:r>
      <w:r w:rsidRPr="0078726A">
        <w:rPr>
          <w:b/>
          <w:sz w:val="20"/>
          <w:lang w:val="fr-CA"/>
        </w:rPr>
        <w:fldChar w:fldCharType="end"/>
      </w:r>
      <w:r w:rsidRPr="0078726A">
        <w:rPr>
          <w:b/>
          <w:sz w:val="20"/>
          <w:lang w:val="fr-CA"/>
        </w:rPr>
        <w:t>37524</w:t>
      </w:r>
      <w:r w:rsidRPr="0078726A">
        <w:rPr>
          <w:sz w:val="20"/>
          <w:lang w:val="fr-CA"/>
        </w:rPr>
        <w:tab/>
      </w:r>
      <w:r w:rsidRPr="0078726A">
        <w:rPr>
          <w:b/>
          <w:i/>
          <w:sz w:val="20"/>
          <w:lang w:val="fr-CA"/>
        </w:rPr>
        <w:t>Sa Majesté la Reine du chef de la Colombie-Britannique c. Philip Morris International, Inc.</w:t>
      </w:r>
    </w:p>
    <w:p w:rsidR="0078726A" w:rsidRPr="0078726A" w:rsidRDefault="0078726A" w:rsidP="002056CF">
      <w:pPr>
        <w:pStyle w:val="SCCCaseDescriptor"/>
        <w:rPr>
          <w:b w:val="0"/>
          <w:sz w:val="20"/>
          <w:lang w:val="fr-CA"/>
        </w:rPr>
      </w:pPr>
      <w:r>
        <w:rPr>
          <w:sz w:val="20"/>
          <w:lang w:val="fr-CA"/>
        </w:rPr>
        <w:tab/>
      </w:r>
      <w:r w:rsidRPr="0078726A">
        <w:rPr>
          <w:sz w:val="20"/>
          <w:lang w:val="fr-CA"/>
        </w:rPr>
        <w:tab/>
      </w:r>
      <w:r w:rsidRPr="0078726A">
        <w:rPr>
          <w:b w:val="0"/>
          <w:sz w:val="20"/>
          <w:lang w:val="fr-CA"/>
        </w:rPr>
        <w:t>(C.-B.) (Civile) (Sur autorisation)</w:t>
      </w:r>
    </w:p>
    <w:p w:rsidR="0078726A" w:rsidRPr="0078726A" w:rsidRDefault="0078726A" w:rsidP="002056CF">
      <w:pPr>
        <w:widowControl w:val="0"/>
        <w:ind w:left="1440" w:hanging="1440"/>
        <w:jc w:val="both"/>
        <w:rPr>
          <w:sz w:val="20"/>
          <w:lang w:val="fr-CA"/>
        </w:rPr>
      </w:pPr>
    </w:p>
    <w:p w:rsidR="0078726A" w:rsidRPr="0078726A" w:rsidRDefault="0078726A" w:rsidP="002056CF">
      <w:pPr>
        <w:jc w:val="both"/>
        <w:rPr>
          <w:sz w:val="20"/>
          <w:lang w:val="fr-CA"/>
        </w:rPr>
      </w:pPr>
      <w:r w:rsidRPr="0078726A">
        <w:rPr>
          <w:sz w:val="20"/>
          <w:lang w:val="fr-CA"/>
        </w:rPr>
        <w:t xml:space="preserve">Législation - Interprétation - Procédure civile - Communication préalable de la preuve - Preuve - La juge chargée de la gestion d’instance a ordonné la production de données personnelles anonymisées provenant de bases de données sur la santé provinciales - Les tribunaux de la Colombie-Britannique ont-ils eu tort d’ordonner, malgré les protections de la vie privée prévues dans la </w:t>
      </w:r>
      <w:r w:rsidRPr="0078726A">
        <w:rPr>
          <w:i/>
          <w:sz w:val="20"/>
          <w:lang w:val="fr-CA"/>
        </w:rPr>
        <w:t>Tobacco Damages and Health Care Costas Recoder Act</w:t>
      </w:r>
      <w:r w:rsidRPr="0078726A">
        <w:rPr>
          <w:sz w:val="20"/>
          <w:lang w:val="fr-CA"/>
        </w:rPr>
        <w:t>, S.B.C. 2000, ch. 30, (la « </w:t>
      </w:r>
      <w:r w:rsidRPr="0078726A">
        <w:rPr>
          <w:i/>
          <w:sz w:val="20"/>
          <w:lang w:val="fr-CA"/>
        </w:rPr>
        <w:t>Loi</w:t>
      </w:r>
      <w:r w:rsidRPr="0078726A">
        <w:rPr>
          <w:sz w:val="20"/>
          <w:lang w:val="fr-CA"/>
        </w:rPr>
        <w:t> »), la production des bases de données renfermant les renseignements sur les soins de santé des résidents de la Colombie-Britannique? - Les bases de données sur les soins de santé sont-elles des [</w:t>
      </w:r>
      <w:r w:rsidRPr="0078726A">
        <w:rPr>
          <w:smallCaps/>
          <w:sz w:val="20"/>
          <w:lang w:val="fr-CA"/>
        </w:rPr>
        <w:t>traduction</w:t>
      </w:r>
      <w:r w:rsidRPr="0078726A">
        <w:rPr>
          <w:sz w:val="20"/>
          <w:lang w:val="fr-CA"/>
        </w:rPr>
        <w:t>] « dossiers et documents médicaux concernant des assurés en particulier » ou des [</w:t>
      </w:r>
      <w:r w:rsidRPr="0078726A">
        <w:rPr>
          <w:smallCaps/>
          <w:sz w:val="20"/>
          <w:lang w:val="fr-CA"/>
        </w:rPr>
        <w:t>traduction</w:t>
      </w:r>
      <w:r w:rsidRPr="0078726A">
        <w:rPr>
          <w:sz w:val="20"/>
          <w:lang w:val="fr-CA"/>
        </w:rPr>
        <w:t xml:space="preserve">] « documents relatifs aux soins de santé prodigués à ces assurés », si bien que, suivant la </w:t>
      </w:r>
      <w:r w:rsidRPr="0078726A">
        <w:rPr>
          <w:i/>
          <w:sz w:val="20"/>
          <w:lang w:val="fr-CA"/>
        </w:rPr>
        <w:t>Loi</w:t>
      </w:r>
      <w:r w:rsidRPr="0078726A">
        <w:rPr>
          <w:sz w:val="20"/>
          <w:lang w:val="fr-CA"/>
        </w:rPr>
        <w:t>, nul ne peut en exiger la production? - Une ordonnance expurgeant les noms ou autres identificateurs des bases de données fait-elle en sorte que les bases de données ne sont plus des [</w:t>
      </w:r>
      <w:r w:rsidRPr="0078726A">
        <w:rPr>
          <w:smallCaps/>
          <w:sz w:val="20"/>
          <w:lang w:val="fr-CA"/>
        </w:rPr>
        <w:t>traduction</w:t>
      </w:r>
      <w:r w:rsidRPr="0078726A">
        <w:rPr>
          <w:sz w:val="20"/>
          <w:lang w:val="fr-CA"/>
        </w:rPr>
        <w:t>] « dossiers et documents médicaux concernant des assurés en particulier » ou des [</w:t>
      </w:r>
      <w:r w:rsidRPr="0078726A">
        <w:rPr>
          <w:smallCaps/>
          <w:sz w:val="20"/>
          <w:lang w:val="fr-CA"/>
        </w:rPr>
        <w:t>traduction</w:t>
      </w:r>
      <w:r w:rsidRPr="0078726A">
        <w:rPr>
          <w:sz w:val="20"/>
          <w:lang w:val="fr-CA"/>
        </w:rPr>
        <w:t xml:space="preserve">] « documents relatifs aux soins de santé prodigués à ces assurés »? - Un tribunal jouit-il d’un pouvoir discrétionnaire prépondérant, malgré les protections de la vie privée prévues dans la </w:t>
      </w:r>
      <w:r w:rsidRPr="0078726A">
        <w:rPr>
          <w:i/>
          <w:sz w:val="20"/>
          <w:lang w:val="fr-CA"/>
        </w:rPr>
        <w:t>Loi</w:t>
      </w:r>
      <w:r w:rsidRPr="0078726A">
        <w:rPr>
          <w:sz w:val="20"/>
          <w:lang w:val="fr-CA"/>
        </w:rPr>
        <w:t>, d’ordonner la production de bases de données sur les soins de santé sur le fondement de l’« équité du procès ».</w:t>
      </w:r>
    </w:p>
    <w:p w:rsidR="0078726A" w:rsidRPr="0078726A" w:rsidRDefault="0078726A" w:rsidP="002056CF">
      <w:pPr>
        <w:widowControl w:val="0"/>
        <w:jc w:val="both"/>
        <w:rPr>
          <w:sz w:val="20"/>
          <w:lang w:val="fr-CA"/>
        </w:rPr>
      </w:pPr>
    </w:p>
    <w:p w:rsidR="0078726A" w:rsidRPr="0078726A" w:rsidRDefault="0078726A" w:rsidP="002056CF">
      <w:pPr>
        <w:jc w:val="both"/>
        <w:rPr>
          <w:sz w:val="20"/>
          <w:lang w:val="fr-CA"/>
        </w:rPr>
      </w:pPr>
      <w:r w:rsidRPr="0078726A">
        <w:rPr>
          <w:sz w:val="20"/>
          <w:lang w:val="fr-CA"/>
        </w:rPr>
        <w:t xml:space="preserve">L’appelante a intenté une action sous le régime de la </w:t>
      </w:r>
      <w:r w:rsidRPr="0078726A">
        <w:rPr>
          <w:i/>
          <w:sz w:val="20"/>
          <w:lang w:val="fr-CA"/>
        </w:rPr>
        <w:t>Loi</w:t>
      </w:r>
      <w:r w:rsidRPr="0078726A">
        <w:rPr>
          <w:sz w:val="20"/>
          <w:lang w:val="fr-CA"/>
        </w:rPr>
        <w:t xml:space="preserve"> afin de recouvrer des fabricants de tabac défendeurs les coûts des soins de santé liés au tabac. La Cour suprême du Canada a statué que cette loi, qui remplace les règles habituelles de preuve et de procédure par celles qui sont prescrites par le texte de loi, était constitutionnelle et qu’elle ne faisait pas indûment obstacle à l’indépendance judiciaire ou à la primauté du droit : </w:t>
      </w:r>
      <w:r w:rsidRPr="0078726A">
        <w:rPr>
          <w:i/>
          <w:sz w:val="20"/>
          <w:lang w:val="fr-CA"/>
        </w:rPr>
        <w:t>Colombie-Britannique c. Imperial Tobacco Canada Ltée</w:t>
      </w:r>
      <w:r w:rsidRPr="0078726A">
        <w:rPr>
          <w:sz w:val="20"/>
          <w:lang w:val="fr-CA"/>
        </w:rPr>
        <w:t xml:space="preserve">, [2005] 2 R.C.S. 473, 2005 CSC 49. L’appelante a offert de donner aux fabricants de tabac défendeurs accès à des bases de données sur la santé anonymisées, pourvu qu’ils acceptent les conditions d’une entente avec Statistique Canada en vertu de laquelle les experts de tous les signataires auraient le même accès et feraient l’objet des mêmes restrictions. Bien que certains fabricants de tabac défendeurs aient signé l’entente, l’intimée a présenté une requête en vue d’obtenir une ordonnance enjoignant à l’appelante de produire des données personnelles anonymisées provenant de bases de données sur la santé provinciales. L’appelante s’y oppose, faisant valoir que les bases de données renferment des renseignements personnels sur les soins de santé de millions de résidents de la Colombie-Britannique et que l’al. 2(5)b) de la </w:t>
      </w:r>
      <w:r w:rsidRPr="0078726A">
        <w:rPr>
          <w:i/>
          <w:sz w:val="20"/>
          <w:lang w:val="fr-CA"/>
        </w:rPr>
        <w:t xml:space="preserve">Loi </w:t>
      </w:r>
      <w:r w:rsidRPr="0078726A">
        <w:rPr>
          <w:sz w:val="20"/>
          <w:lang w:val="fr-CA"/>
        </w:rPr>
        <w:t>fait obstacle à sa contraignabilité</w:t>
      </w:r>
      <w:r w:rsidRPr="0078726A">
        <w:rPr>
          <w:i/>
          <w:sz w:val="20"/>
          <w:lang w:val="fr-CA"/>
        </w:rPr>
        <w:t>.</w:t>
      </w:r>
    </w:p>
    <w:p w:rsidR="0078726A" w:rsidRPr="0078726A" w:rsidRDefault="0078726A" w:rsidP="002056CF">
      <w:pPr>
        <w:rPr>
          <w:sz w:val="20"/>
          <w:lang w:val="fr-CA"/>
        </w:rPr>
      </w:pPr>
    </w:p>
    <w:p w:rsidR="0078726A" w:rsidRPr="0078726A" w:rsidRDefault="0078726A" w:rsidP="002056CF">
      <w:pPr>
        <w:jc w:val="both"/>
        <w:rPr>
          <w:sz w:val="20"/>
          <w:lang w:val="fr-CA"/>
        </w:rPr>
      </w:pPr>
      <w:r w:rsidRPr="0078726A">
        <w:rPr>
          <w:sz w:val="20"/>
          <w:lang w:val="fr-CA"/>
        </w:rPr>
        <w:t xml:space="preserve">La Cour suprême de la Colombie-Britannique a accueilli la requête de l’intimée. Refusant de suivre un jugement subséquent contradictoire, </w:t>
      </w:r>
      <w:r w:rsidRPr="0078726A">
        <w:rPr>
          <w:i/>
          <w:sz w:val="20"/>
          <w:lang w:val="fr-CA"/>
        </w:rPr>
        <w:t>Rothmans et al. C. Sa Majesté la Reine du chef de la province du Nouveau-Brunswick</w:t>
      </w:r>
      <w:r w:rsidRPr="0078726A">
        <w:rPr>
          <w:sz w:val="20"/>
          <w:lang w:val="fr-CA"/>
        </w:rPr>
        <w:t>, 2016 NBQB 106 (autorisation d’appel à la Cour d’appel du Nouveau-Brunswick et à la Cour suprême du Canada refusée le 29 juillet 2016 et le 26 janvier 2017, respectivement), la cour d’appel a rejeté l’appel.</w:t>
      </w:r>
    </w:p>
    <w:p w:rsidR="0078726A" w:rsidRPr="00C610C8" w:rsidRDefault="0078726A" w:rsidP="00340C6D">
      <w:pPr>
        <w:jc w:val="both"/>
        <w:rPr>
          <w:lang w:val="fr-CA"/>
        </w:rPr>
      </w:pPr>
    </w:p>
    <w:p w:rsidR="00072A63" w:rsidRPr="00C610C8" w:rsidRDefault="00072A63" w:rsidP="00340C6D">
      <w:pPr>
        <w:jc w:val="both"/>
        <w:rPr>
          <w:szCs w:val="24"/>
          <w:lang w:val="fr-CA"/>
        </w:rPr>
      </w:pPr>
    </w:p>
    <w:p w:rsidR="00072A63" w:rsidRPr="00C610C8"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0F75D1" w:rsidP="001C4415">
      <w:pPr>
        <w:widowControl w:val="0"/>
        <w:outlineLvl w:val="0"/>
      </w:pPr>
      <w:hyperlink r:id="rId7"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5D1"/>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27A5"/>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4221"/>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8726A"/>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472C0"/>
    <w:rsid w:val="00C51144"/>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78726A"/>
    <w:rPr>
      <w:b/>
      <w:lang w:val="en-CA" w:eastAsia="en-CA"/>
    </w:rPr>
  </w:style>
  <w:style w:type="character" w:customStyle="1" w:styleId="SCCCaseDescriptorChar">
    <w:name w:val="SCC.CaseDescriptor Char"/>
    <w:basedOn w:val="DefaultParagraphFont"/>
    <w:link w:val="SCCCaseDescriptor"/>
    <w:rsid w:val="0078726A"/>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2018-07-04T15:25:00Z</dcterms:created>
  <dcterms:modified xsi:type="dcterms:W3CDTF">2018-07-09T12:30:00Z</dcterms:modified>
</cp:coreProperties>
</file>