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5213F2" w:rsidRDefault="001C4415" w:rsidP="001C4415">
      <w:pPr>
        <w:pStyle w:val="Header"/>
        <w:jc w:val="center"/>
        <w:rPr>
          <w:b/>
          <w:sz w:val="32"/>
        </w:rPr>
      </w:pPr>
      <w:r w:rsidRPr="005213F2">
        <w:rPr>
          <w:b/>
          <w:sz w:val="32"/>
        </w:rPr>
        <w:t>Supreme Court of Canada / Cour suprême du Canada</w:t>
      </w:r>
    </w:p>
    <w:p w:rsidR="001C4415" w:rsidRPr="005213F2" w:rsidRDefault="001C4415" w:rsidP="001C4415">
      <w:pPr>
        <w:widowControl w:val="0"/>
        <w:rPr>
          <w:i/>
        </w:rPr>
      </w:pPr>
    </w:p>
    <w:p w:rsidR="001C4415" w:rsidRPr="005213F2" w:rsidRDefault="001C4415" w:rsidP="001C4415">
      <w:pPr>
        <w:widowControl w:val="0"/>
        <w:rPr>
          <w:i/>
        </w:rPr>
      </w:pPr>
    </w:p>
    <w:p w:rsidR="001C4415" w:rsidRPr="005213F2" w:rsidRDefault="001C4415" w:rsidP="001C4415">
      <w:pPr>
        <w:widowControl w:val="0"/>
        <w:rPr>
          <w:i/>
        </w:rPr>
      </w:pPr>
      <w:r w:rsidRPr="005213F2">
        <w:rPr>
          <w:i/>
        </w:rPr>
        <w:t>(le français suit)</w:t>
      </w:r>
    </w:p>
    <w:p w:rsidR="001C4415" w:rsidRPr="005213F2" w:rsidRDefault="001C4415" w:rsidP="001C4415">
      <w:pPr>
        <w:widowControl w:val="0"/>
      </w:pPr>
    </w:p>
    <w:bookmarkStart w:id="0" w:name="_GoBack"/>
    <w:bookmarkEnd w:id="0"/>
    <w:p w:rsidR="001C4415" w:rsidRPr="005213F2" w:rsidRDefault="000347C1" w:rsidP="00214729">
      <w:pPr>
        <w:widowControl w:val="0"/>
        <w:jc w:val="center"/>
        <w:rPr>
          <w:b/>
        </w:rPr>
      </w:pPr>
      <w:r w:rsidRPr="005213F2">
        <w:fldChar w:fldCharType="begin"/>
      </w:r>
      <w:r w:rsidR="00FA7412" w:rsidRPr="005213F2">
        <w:instrText xml:space="preserve"> SEQ CHAPTER \h \r 1</w:instrText>
      </w:r>
      <w:r w:rsidRPr="005213F2">
        <w:fldChar w:fldCharType="end"/>
      </w:r>
      <w:r w:rsidR="00455BB9" w:rsidRPr="005213F2">
        <w:rPr>
          <w:b/>
        </w:rPr>
        <w:t>JUDGMENT</w:t>
      </w:r>
      <w:r w:rsidR="00FA7412" w:rsidRPr="005213F2">
        <w:rPr>
          <w:b/>
        </w:rPr>
        <w:t xml:space="preserve"> TO BE RENDERED IN APPEA</w:t>
      </w:r>
      <w:r w:rsidR="00CC2799" w:rsidRPr="005213F2">
        <w:rPr>
          <w:b/>
        </w:rPr>
        <w:t>L</w:t>
      </w:r>
    </w:p>
    <w:p w:rsidR="005A7C1B" w:rsidRPr="005213F2" w:rsidRDefault="005A7C1B" w:rsidP="005A7C1B">
      <w:pPr>
        <w:widowControl w:val="0"/>
      </w:pPr>
    </w:p>
    <w:p w:rsidR="00EC79B0" w:rsidRPr="005213F2" w:rsidRDefault="000A03A4" w:rsidP="00EC79B0">
      <w:pPr>
        <w:widowControl w:val="0"/>
        <w:rPr>
          <w:b/>
        </w:rPr>
      </w:pPr>
      <w:r w:rsidRPr="005213F2">
        <w:rPr>
          <w:b/>
        </w:rPr>
        <w:t>October</w:t>
      </w:r>
      <w:r w:rsidR="00C86395" w:rsidRPr="005213F2">
        <w:rPr>
          <w:b/>
        </w:rPr>
        <w:t xml:space="preserve"> </w:t>
      </w:r>
      <w:r w:rsidR="00AB1071" w:rsidRPr="005213F2">
        <w:rPr>
          <w:b/>
        </w:rPr>
        <w:t>26</w:t>
      </w:r>
      <w:r w:rsidR="00EC79B0" w:rsidRPr="005213F2">
        <w:rPr>
          <w:b/>
        </w:rPr>
        <w:t>, 2</w:t>
      </w:r>
      <w:r w:rsidR="00E6600C" w:rsidRPr="005213F2">
        <w:rPr>
          <w:b/>
        </w:rPr>
        <w:t>0</w:t>
      </w:r>
      <w:r w:rsidR="00EC79B0" w:rsidRPr="005213F2">
        <w:rPr>
          <w:b/>
        </w:rPr>
        <w:t>1</w:t>
      </w:r>
      <w:r w:rsidR="0088662B" w:rsidRPr="005213F2">
        <w:rPr>
          <w:b/>
        </w:rPr>
        <w:t>8</w:t>
      </w:r>
    </w:p>
    <w:p w:rsidR="00EC79B0" w:rsidRPr="005213F2" w:rsidRDefault="00EC79B0" w:rsidP="00EC79B0">
      <w:pPr>
        <w:widowControl w:val="0"/>
        <w:rPr>
          <w:b/>
        </w:rPr>
      </w:pPr>
      <w:r w:rsidRPr="005213F2">
        <w:rPr>
          <w:b/>
        </w:rPr>
        <w:t>For immediate release</w:t>
      </w:r>
    </w:p>
    <w:p w:rsidR="00EC79B0" w:rsidRPr="005213F2" w:rsidRDefault="00EC79B0" w:rsidP="00EC79B0">
      <w:pPr>
        <w:widowControl w:val="0"/>
      </w:pPr>
    </w:p>
    <w:p w:rsidR="00EC79B0" w:rsidRPr="005213F2" w:rsidRDefault="00EC79B0" w:rsidP="00EC79B0">
      <w:pPr>
        <w:widowControl w:val="0"/>
        <w:rPr>
          <w:lang w:val="fr-CA"/>
        </w:rPr>
      </w:pPr>
      <w:r w:rsidRPr="005213F2">
        <w:rPr>
          <w:b/>
        </w:rPr>
        <w:t>OTTAWA</w:t>
      </w:r>
      <w:r w:rsidRPr="005213F2">
        <w:t xml:space="preserve"> – The Supreme Court of Canad</w:t>
      </w:r>
      <w:r w:rsidR="00455BB9" w:rsidRPr="005213F2">
        <w:t>a announced today that judgment</w:t>
      </w:r>
      <w:r w:rsidRPr="005213F2">
        <w:t xml:space="preserve"> in the following appeal will be delivered at 9:45 a.m. E</w:t>
      </w:r>
      <w:r w:rsidR="00F531CE" w:rsidRPr="005213F2">
        <w:t>D</w:t>
      </w:r>
      <w:r w:rsidR="00DC6C1E" w:rsidRPr="005213F2">
        <w:t>T</w:t>
      </w:r>
      <w:r w:rsidR="00D74667" w:rsidRPr="005213F2">
        <w:t xml:space="preserve"> on</w:t>
      </w:r>
      <w:r w:rsidR="00DC6C1E" w:rsidRPr="005213F2">
        <w:t xml:space="preserve"> </w:t>
      </w:r>
      <w:r w:rsidR="00FB61C0" w:rsidRPr="005213F2">
        <w:t>Fri</w:t>
      </w:r>
      <w:r w:rsidR="00F531CE" w:rsidRPr="005213F2">
        <w:t>day</w:t>
      </w:r>
      <w:r w:rsidR="000A7900" w:rsidRPr="005213F2">
        <w:t xml:space="preserve">, </w:t>
      </w:r>
      <w:r w:rsidR="00AB1071" w:rsidRPr="005213F2">
        <w:t>November</w:t>
      </w:r>
      <w:r w:rsidR="004E605A" w:rsidRPr="005213F2">
        <w:t xml:space="preserve"> </w:t>
      </w:r>
      <w:r w:rsidR="00AB1071" w:rsidRPr="005213F2">
        <w:t>2</w:t>
      </w:r>
      <w:r w:rsidR="00E63199" w:rsidRPr="005213F2">
        <w:t>, 2</w:t>
      </w:r>
      <w:r w:rsidR="0086609D" w:rsidRPr="005213F2">
        <w:t>01</w:t>
      </w:r>
      <w:r w:rsidR="0088662B" w:rsidRPr="005213F2">
        <w:t>8</w:t>
      </w:r>
      <w:r w:rsidR="00455BB9" w:rsidRPr="005213F2">
        <w:t xml:space="preserve">. </w:t>
      </w:r>
      <w:r w:rsidR="00455BB9" w:rsidRPr="005213F2">
        <w:rPr>
          <w:lang w:val="fr-CA"/>
        </w:rPr>
        <w:t>This</w:t>
      </w:r>
      <w:r w:rsidRPr="005213F2">
        <w:rPr>
          <w:lang w:val="fr-CA"/>
        </w:rPr>
        <w:t xml:space="preserve"> list is subject to change.</w:t>
      </w:r>
    </w:p>
    <w:p w:rsidR="001F76DD" w:rsidRPr="005213F2" w:rsidRDefault="001F76DD" w:rsidP="001C4415">
      <w:pPr>
        <w:widowControl w:val="0"/>
        <w:rPr>
          <w:szCs w:val="24"/>
          <w:lang w:val="fr-CA"/>
        </w:rPr>
      </w:pPr>
    </w:p>
    <w:p w:rsidR="001C4415" w:rsidRPr="005213F2" w:rsidRDefault="001C4415" w:rsidP="001C4415">
      <w:pPr>
        <w:widowControl w:val="0"/>
        <w:rPr>
          <w:lang w:val="fr-CA"/>
        </w:rPr>
      </w:pPr>
    </w:p>
    <w:p w:rsidR="001335A1" w:rsidRPr="005213F2" w:rsidRDefault="001335A1" w:rsidP="001335A1">
      <w:pPr>
        <w:widowControl w:val="0"/>
        <w:jc w:val="center"/>
        <w:rPr>
          <w:b/>
          <w:lang w:val="fr-CA"/>
        </w:rPr>
      </w:pPr>
      <w:r w:rsidRPr="005213F2">
        <w:rPr>
          <w:b/>
          <w:lang w:val="fr-CA"/>
        </w:rPr>
        <w:t>PROCHAIN JUGEMENT</w:t>
      </w:r>
      <w:r w:rsidR="00455BB9" w:rsidRPr="005213F2">
        <w:rPr>
          <w:b/>
          <w:lang w:val="fr-CA"/>
        </w:rPr>
        <w:t xml:space="preserve"> SUR APPEL</w:t>
      </w:r>
    </w:p>
    <w:p w:rsidR="001335A1" w:rsidRPr="005213F2" w:rsidRDefault="001335A1" w:rsidP="001335A1">
      <w:pPr>
        <w:widowControl w:val="0"/>
        <w:rPr>
          <w:lang w:val="fr-CA"/>
        </w:rPr>
      </w:pPr>
    </w:p>
    <w:p w:rsidR="00EC79B0" w:rsidRPr="005213F2" w:rsidRDefault="00EC79B0" w:rsidP="00EC79B0">
      <w:pPr>
        <w:widowControl w:val="0"/>
        <w:rPr>
          <w:b/>
          <w:lang w:val="fr-CA"/>
        </w:rPr>
      </w:pPr>
      <w:r w:rsidRPr="005213F2">
        <w:rPr>
          <w:b/>
          <w:lang w:val="fr-CA"/>
        </w:rPr>
        <w:t xml:space="preserve">Le </w:t>
      </w:r>
      <w:r w:rsidR="00AB1071" w:rsidRPr="005213F2">
        <w:rPr>
          <w:b/>
          <w:lang w:val="fr-CA"/>
        </w:rPr>
        <w:t>26</w:t>
      </w:r>
      <w:r w:rsidR="00FA5450" w:rsidRPr="005213F2">
        <w:rPr>
          <w:b/>
          <w:lang w:val="fr-CA"/>
        </w:rPr>
        <w:t xml:space="preserve"> </w:t>
      </w:r>
      <w:r w:rsidR="000A03A4" w:rsidRPr="005213F2">
        <w:rPr>
          <w:b/>
          <w:lang w:val="fr-CA"/>
        </w:rPr>
        <w:t>octobre</w:t>
      </w:r>
      <w:r w:rsidR="00C86395" w:rsidRPr="005213F2">
        <w:rPr>
          <w:b/>
          <w:lang w:val="fr-CA"/>
        </w:rPr>
        <w:t xml:space="preserve"> </w:t>
      </w:r>
      <w:r w:rsidR="0086609D" w:rsidRPr="005213F2">
        <w:rPr>
          <w:b/>
          <w:lang w:val="fr-CA"/>
        </w:rPr>
        <w:t>201</w:t>
      </w:r>
      <w:r w:rsidR="0088662B" w:rsidRPr="005213F2">
        <w:rPr>
          <w:b/>
          <w:lang w:val="fr-CA"/>
        </w:rPr>
        <w:t>8</w:t>
      </w:r>
    </w:p>
    <w:p w:rsidR="00EC79B0" w:rsidRPr="005213F2" w:rsidRDefault="00EC79B0" w:rsidP="00EC79B0">
      <w:pPr>
        <w:widowControl w:val="0"/>
        <w:rPr>
          <w:b/>
          <w:lang w:val="fr-CA"/>
        </w:rPr>
      </w:pPr>
      <w:r w:rsidRPr="005213F2">
        <w:rPr>
          <w:b/>
          <w:lang w:val="fr-CA"/>
        </w:rPr>
        <w:t>Pour diffusion immédiate</w:t>
      </w:r>
    </w:p>
    <w:p w:rsidR="00EC79B0" w:rsidRPr="005213F2" w:rsidRDefault="00EC79B0" w:rsidP="00EC79B0">
      <w:pPr>
        <w:widowControl w:val="0"/>
        <w:rPr>
          <w:b/>
          <w:lang w:val="fr-CA"/>
        </w:rPr>
      </w:pPr>
    </w:p>
    <w:p w:rsidR="00EC79B0" w:rsidRPr="005213F2" w:rsidRDefault="00EC79B0" w:rsidP="00EC79B0">
      <w:pPr>
        <w:widowControl w:val="0"/>
        <w:rPr>
          <w:lang w:val="fr-CA"/>
        </w:rPr>
      </w:pPr>
      <w:r w:rsidRPr="005213F2">
        <w:rPr>
          <w:b/>
          <w:lang w:val="fr-CA"/>
        </w:rPr>
        <w:t>OTTAWA</w:t>
      </w:r>
      <w:r w:rsidRPr="005213F2">
        <w:rPr>
          <w:lang w:val="fr-CA"/>
        </w:rPr>
        <w:t xml:space="preserve"> – La Cour suprême du Canada annonce que jugement ser</w:t>
      </w:r>
      <w:r w:rsidR="00C86395" w:rsidRPr="005213F2">
        <w:rPr>
          <w:lang w:val="fr-CA"/>
        </w:rPr>
        <w:t>a</w:t>
      </w:r>
      <w:r w:rsidRPr="005213F2">
        <w:rPr>
          <w:lang w:val="fr-CA"/>
        </w:rPr>
        <w:t xml:space="preserve"> rendu dans </w:t>
      </w:r>
      <w:r w:rsidR="001F1643" w:rsidRPr="005213F2">
        <w:rPr>
          <w:lang w:val="fr-CA"/>
        </w:rPr>
        <w:t>l</w:t>
      </w:r>
      <w:r w:rsidR="00C86395" w:rsidRPr="005213F2">
        <w:rPr>
          <w:lang w:val="fr-CA"/>
        </w:rPr>
        <w:t>’</w:t>
      </w:r>
      <w:r w:rsidR="001F1643" w:rsidRPr="005213F2">
        <w:rPr>
          <w:lang w:val="fr-CA"/>
        </w:rPr>
        <w:t xml:space="preserve">appel </w:t>
      </w:r>
      <w:r w:rsidRPr="005213F2">
        <w:rPr>
          <w:lang w:val="fr-CA"/>
        </w:rPr>
        <w:t xml:space="preserve">suivant le </w:t>
      </w:r>
      <w:r w:rsidR="00FB61C0" w:rsidRPr="005213F2">
        <w:rPr>
          <w:lang w:val="fr-CA"/>
        </w:rPr>
        <w:t>vendre</w:t>
      </w:r>
      <w:r w:rsidR="00831D1B" w:rsidRPr="005213F2">
        <w:rPr>
          <w:lang w:val="fr-CA"/>
        </w:rPr>
        <w:t>d</w:t>
      </w:r>
      <w:r w:rsidR="00945121" w:rsidRPr="005213F2">
        <w:rPr>
          <w:lang w:val="fr-CA"/>
        </w:rPr>
        <w:t>i</w:t>
      </w:r>
      <w:r w:rsidR="007C1648" w:rsidRPr="005213F2">
        <w:rPr>
          <w:lang w:val="fr-CA"/>
        </w:rPr>
        <w:t xml:space="preserve"> </w:t>
      </w:r>
      <w:r w:rsidR="00AB1071" w:rsidRPr="005213F2">
        <w:rPr>
          <w:lang w:val="fr-CA"/>
        </w:rPr>
        <w:t>2</w:t>
      </w:r>
      <w:r w:rsidR="00C7690C" w:rsidRPr="005213F2">
        <w:rPr>
          <w:lang w:val="fr-CA"/>
        </w:rPr>
        <w:t xml:space="preserve"> </w:t>
      </w:r>
      <w:r w:rsidR="00AB1071" w:rsidRPr="005213F2">
        <w:rPr>
          <w:lang w:val="fr-CA"/>
        </w:rPr>
        <w:t>novembre</w:t>
      </w:r>
      <w:r w:rsidR="00282563" w:rsidRPr="005213F2">
        <w:rPr>
          <w:lang w:val="fr-CA"/>
        </w:rPr>
        <w:t xml:space="preserve"> </w:t>
      </w:r>
      <w:r w:rsidRPr="005213F2">
        <w:rPr>
          <w:lang w:val="fr-CA"/>
        </w:rPr>
        <w:t>201</w:t>
      </w:r>
      <w:r w:rsidR="0088662B" w:rsidRPr="005213F2">
        <w:rPr>
          <w:lang w:val="fr-CA"/>
        </w:rPr>
        <w:t>8</w:t>
      </w:r>
      <w:r w:rsidRPr="005213F2">
        <w:rPr>
          <w:lang w:val="fr-CA"/>
        </w:rPr>
        <w:t>, à 9 h 45 H</w:t>
      </w:r>
      <w:r w:rsidR="00F531CE" w:rsidRPr="005213F2">
        <w:rPr>
          <w:lang w:val="fr-CA"/>
        </w:rPr>
        <w:t>A</w:t>
      </w:r>
      <w:r w:rsidRPr="005213F2">
        <w:rPr>
          <w:lang w:val="fr-CA"/>
        </w:rPr>
        <w:t>E. Cette liste est sujette à modifications.</w:t>
      </w:r>
    </w:p>
    <w:p w:rsidR="001F76DD" w:rsidRPr="005213F2" w:rsidRDefault="001F76DD" w:rsidP="001335A1">
      <w:pPr>
        <w:widowControl w:val="0"/>
        <w:rPr>
          <w:szCs w:val="24"/>
          <w:lang w:val="fr-CA"/>
        </w:rPr>
      </w:pPr>
    </w:p>
    <w:p w:rsidR="001335A1" w:rsidRPr="005213F2" w:rsidRDefault="005C7A4F" w:rsidP="001335A1">
      <w:pPr>
        <w:widowControl w:val="0"/>
        <w:rPr>
          <w:szCs w:val="24"/>
          <w:lang w:val="fr-CA"/>
        </w:rPr>
      </w:pPr>
      <w:r w:rsidRPr="005213F2">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5213F2" w:rsidRDefault="00340C6D" w:rsidP="00340C6D">
      <w:pPr>
        <w:jc w:val="both"/>
        <w:rPr>
          <w:bCs/>
          <w:szCs w:val="24"/>
          <w:lang w:val="fr-CA"/>
        </w:rPr>
      </w:pPr>
    </w:p>
    <w:p w:rsidR="00772636" w:rsidRPr="005213F2" w:rsidRDefault="00DE37D6" w:rsidP="00772636">
      <w:pPr>
        <w:jc w:val="both"/>
        <w:rPr>
          <w:szCs w:val="24"/>
        </w:rPr>
      </w:pPr>
      <w:r w:rsidRPr="005213F2">
        <w:rPr>
          <w:i/>
          <w:szCs w:val="24"/>
          <w:lang w:val="fr-CA"/>
        </w:rPr>
        <w:t>Churchill Falls (Labrador) Corporation Limited v. Hydro-Québec</w:t>
      </w:r>
      <w:r w:rsidR="00735BE0" w:rsidRPr="005213F2">
        <w:rPr>
          <w:i/>
          <w:szCs w:val="24"/>
          <w:lang w:val="fr-CA"/>
        </w:rPr>
        <w:t xml:space="preserve"> </w:t>
      </w:r>
      <w:r w:rsidR="00772636" w:rsidRPr="005213F2">
        <w:rPr>
          <w:szCs w:val="24"/>
          <w:lang w:val="fr-CA"/>
        </w:rPr>
        <w:t>(</w:t>
      </w:r>
      <w:r w:rsidR="00735BE0" w:rsidRPr="005213F2">
        <w:rPr>
          <w:szCs w:val="24"/>
          <w:lang w:val="fr-CA"/>
        </w:rPr>
        <w:t>Q</w:t>
      </w:r>
      <w:r w:rsidRPr="005213F2">
        <w:rPr>
          <w:szCs w:val="24"/>
          <w:lang w:val="fr-CA"/>
        </w:rPr>
        <w:t>ue.</w:t>
      </w:r>
      <w:r w:rsidR="00772636" w:rsidRPr="005213F2">
        <w:rPr>
          <w:szCs w:val="24"/>
          <w:lang w:val="fr-CA"/>
        </w:rPr>
        <w:t xml:space="preserve">) </w:t>
      </w:r>
      <w:r w:rsidR="00772636" w:rsidRPr="005213F2">
        <w:t>(</w:t>
      </w:r>
      <w:hyperlink r:id="rId7" w:history="1">
        <w:r w:rsidR="00772636" w:rsidRPr="005213F2">
          <w:rPr>
            <w:rStyle w:val="Hyperlink"/>
          </w:rPr>
          <w:t>3</w:t>
        </w:r>
        <w:r w:rsidR="00717966" w:rsidRPr="005213F2">
          <w:rPr>
            <w:rStyle w:val="Hyperlink"/>
          </w:rPr>
          <w:t>7</w:t>
        </w:r>
        <w:r w:rsidRPr="005213F2">
          <w:rPr>
            <w:rStyle w:val="Hyperlink"/>
          </w:rPr>
          <w:t>238</w:t>
        </w:r>
      </w:hyperlink>
      <w:r w:rsidR="00772636" w:rsidRPr="005213F2">
        <w:t>)</w:t>
      </w:r>
    </w:p>
    <w:p w:rsidR="009F18D7" w:rsidRPr="005213F2" w:rsidRDefault="009F18D7" w:rsidP="00340C6D">
      <w:pPr>
        <w:jc w:val="both"/>
      </w:pPr>
    </w:p>
    <w:p w:rsidR="00214C6A" w:rsidRPr="005213F2" w:rsidRDefault="00214C6A" w:rsidP="00340C6D">
      <w:pPr>
        <w:jc w:val="both"/>
      </w:pPr>
    </w:p>
    <w:p w:rsidR="00214C6A" w:rsidRPr="005213F2" w:rsidRDefault="00214C6A" w:rsidP="007B7B02">
      <w:pPr>
        <w:rPr>
          <w:b/>
          <w:i/>
          <w:sz w:val="20"/>
          <w:lang w:val="en-CA"/>
        </w:rPr>
      </w:pPr>
      <w:r w:rsidRPr="005213F2">
        <w:rPr>
          <w:b/>
          <w:sz w:val="20"/>
          <w:lang w:val="en-CA"/>
        </w:rPr>
        <w:t>37238</w:t>
      </w:r>
      <w:r w:rsidRPr="005213F2">
        <w:rPr>
          <w:sz w:val="20"/>
          <w:lang w:val="en-CA"/>
        </w:rPr>
        <w:tab/>
      </w:r>
      <w:r w:rsidRPr="005213F2">
        <w:rPr>
          <w:b/>
          <w:i/>
          <w:sz w:val="20"/>
          <w:lang w:val="en-CA"/>
        </w:rPr>
        <w:t>Churchill Falls (Labrador) Corporation Limited v. Hydro-Québec</w:t>
      </w:r>
    </w:p>
    <w:p w:rsidR="00214C6A" w:rsidRPr="005213F2" w:rsidRDefault="00214C6A" w:rsidP="007B7B02">
      <w:pPr>
        <w:ind w:firstLine="720"/>
        <w:rPr>
          <w:sz w:val="20"/>
          <w:lang w:val="en-CA"/>
        </w:rPr>
      </w:pPr>
      <w:r w:rsidRPr="005213F2">
        <w:rPr>
          <w:sz w:val="20"/>
          <w:lang w:val="en-CA"/>
        </w:rPr>
        <w:t>(Que.) (Civil) (By Leave)</w:t>
      </w:r>
    </w:p>
    <w:p w:rsidR="00214C6A" w:rsidRPr="005213F2" w:rsidRDefault="00214C6A">
      <w:pPr>
        <w:rPr>
          <w:sz w:val="20"/>
          <w:lang w:val="en-CA"/>
        </w:rPr>
      </w:pPr>
    </w:p>
    <w:p w:rsidR="00214C6A" w:rsidRPr="005213F2" w:rsidRDefault="00214C6A" w:rsidP="005434B1">
      <w:pPr>
        <w:rPr>
          <w:sz w:val="20"/>
          <w:lang w:val="en-CA"/>
        </w:rPr>
      </w:pPr>
      <w:r w:rsidRPr="005213F2">
        <w:rPr>
          <w:sz w:val="20"/>
          <w:lang w:val="en-CA"/>
        </w:rPr>
        <w:t xml:space="preserve">Contracts - Performance - Good faith - Unforeseen event - Appropriate standard of foreseeability and its effect on intention of parties - Characteristics of relational contracts and whether greater duty of co-operation they involve can include obligation to renegotiate or adjust terms of contract - Appropriate remedy should party fail to discharge obligation to renegotiate - </w:t>
      </w:r>
      <w:r w:rsidRPr="005213F2">
        <w:rPr>
          <w:i/>
          <w:sz w:val="20"/>
          <w:lang w:val="en-CA"/>
        </w:rPr>
        <w:t>Civil Code of Québec</w:t>
      </w:r>
      <w:r w:rsidRPr="005213F2">
        <w:rPr>
          <w:sz w:val="20"/>
          <w:lang w:val="en-CA"/>
        </w:rPr>
        <w:t>, CQLR, c. CCQ-1991, arts. 6, 7 and 1375.</w:t>
      </w:r>
    </w:p>
    <w:p w:rsidR="00214C6A" w:rsidRPr="005213F2" w:rsidRDefault="00214C6A" w:rsidP="005434B1">
      <w:pPr>
        <w:pStyle w:val="NormalWeb"/>
        <w:shd w:val="clear" w:color="auto" w:fill="FFFFFF"/>
        <w:jc w:val="both"/>
        <w:rPr>
          <w:sz w:val="20"/>
          <w:szCs w:val="20"/>
          <w:lang w:val="en-CA"/>
        </w:rPr>
      </w:pPr>
      <w:r w:rsidRPr="005213F2">
        <w:rPr>
          <w:sz w:val="20"/>
          <w:szCs w:val="20"/>
          <w:lang w:val="en-CA"/>
        </w:rPr>
        <w:t xml:space="preserve">On May 12, 1969, the appellant Churchill Falls (Labrador) Corporation Limited and the respondent Hydro-Québec entered into a contract pursuant to which the respondent undertook to purchase almost all the power generated by a hydroelectric plant that was to be built on the Churchill River in Labrador. That contract, which had a 65-year term, set a fixed price for the power that was to decrease in stages over time. The contract contained no price adjustment clause. </w:t>
      </w:r>
    </w:p>
    <w:p w:rsidR="00214C6A" w:rsidRPr="005213F2" w:rsidRDefault="00214C6A" w:rsidP="005434B1">
      <w:pPr>
        <w:pStyle w:val="NormalWeb"/>
        <w:shd w:val="clear" w:color="auto" w:fill="FFFFFF"/>
        <w:jc w:val="both"/>
        <w:rPr>
          <w:sz w:val="20"/>
          <w:szCs w:val="20"/>
          <w:lang w:val="en-CA"/>
        </w:rPr>
      </w:pPr>
      <w:r w:rsidRPr="005213F2">
        <w:rPr>
          <w:sz w:val="20"/>
          <w:szCs w:val="20"/>
          <w:lang w:val="en-CA"/>
        </w:rPr>
        <w:t xml:space="preserve">On February 23, 2010, the appellant instituted an action against the respondent in the Quebec Superior Court, arguing that the magnitude of the respondent’s profits resulting from the current value of electricity had been unforeseeable in 1969 and was causing an injustice. It submitted that the obligation to act in good faith and the obligation to exercise contractual rights reasonably that are provided for in the </w:t>
      </w:r>
      <w:r w:rsidRPr="005213F2">
        <w:rPr>
          <w:i/>
          <w:sz w:val="20"/>
          <w:szCs w:val="20"/>
          <w:lang w:val="en-CA"/>
        </w:rPr>
        <w:t>C.C.Q.</w:t>
      </w:r>
      <w:r w:rsidRPr="005213F2">
        <w:rPr>
          <w:sz w:val="20"/>
          <w:szCs w:val="20"/>
          <w:lang w:val="en-CA"/>
        </w:rPr>
        <w:t xml:space="preserve"> imposed a duty on the respondent to renegotiate the terms of the contract. </w:t>
      </w:r>
    </w:p>
    <w:p w:rsidR="00214C6A" w:rsidRPr="005213F2" w:rsidRDefault="00214C6A" w:rsidP="00214C6A">
      <w:pPr>
        <w:pStyle w:val="NormalWeb"/>
        <w:shd w:val="clear" w:color="auto" w:fill="FFFFFF"/>
        <w:spacing w:before="0" w:beforeAutospacing="0" w:after="0" w:afterAutospacing="0"/>
        <w:jc w:val="both"/>
        <w:rPr>
          <w:sz w:val="20"/>
          <w:szCs w:val="20"/>
          <w:lang w:val="en-CA"/>
        </w:rPr>
      </w:pPr>
      <w:r w:rsidRPr="005213F2">
        <w:rPr>
          <w:sz w:val="20"/>
          <w:szCs w:val="20"/>
          <w:lang w:val="en-CA"/>
        </w:rPr>
        <w:t xml:space="preserve">The Superior Court dismissed the action, and the Court of Appeal affirmed the judgment. It found that, except in cases of real </w:t>
      </w:r>
      <w:r w:rsidRPr="005213F2">
        <w:rPr>
          <w:i/>
          <w:sz w:val="20"/>
          <w:szCs w:val="20"/>
          <w:lang w:val="en-CA"/>
        </w:rPr>
        <w:t>hardship</w:t>
      </w:r>
      <w:r w:rsidRPr="005213F2">
        <w:rPr>
          <w:sz w:val="20"/>
          <w:szCs w:val="20"/>
          <w:lang w:val="en-CA"/>
        </w:rPr>
        <w:t>, the general principle of good faith set out in articles 6, 7 and 1375 C.C.Q. was of no assistance to a party in the appellant’s situation.</w:t>
      </w:r>
    </w:p>
    <w:p w:rsidR="00214C6A" w:rsidRPr="005213F2" w:rsidRDefault="00214C6A" w:rsidP="00214C6A">
      <w:pPr>
        <w:pStyle w:val="NormalWeb"/>
        <w:shd w:val="clear" w:color="auto" w:fill="FFFFFF"/>
        <w:spacing w:before="0" w:beforeAutospacing="0" w:after="0" w:afterAutospacing="0"/>
        <w:jc w:val="both"/>
        <w:rPr>
          <w:sz w:val="20"/>
          <w:szCs w:val="20"/>
          <w:lang w:val="en-CA"/>
        </w:rPr>
      </w:pPr>
    </w:p>
    <w:p w:rsidR="00214C6A" w:rsidRPr="005213F2" w:rsidRDefault="00214C6A" w:rsidP="00214C6A">
      <w:pPr>
        <w:pStyle w:val="NormalWeb"/>
        <w:shd w:val="clear" w:color="auto" w:fill="FFFFFF"/>
        <w:spacing w:before="0" w:beforeAutospacing="0" w:after="0" w:afterAutospacing="0"/>
        <w:jc w:val="both"/>
        <w:rPr>
          <w:sz w:val="20"/>
          <w:szCs w:val="20"/>
          <w:lang w:val="en-CA"/>
        </w:rPr>
      </w:pPr>
    </w:p>
    <w:p w:rsidR="00214C6A" w:rsidRPr="005213F2" w:rsidRDefault="00214C6A" w:rsidP="007B7B02">
      <w:pPr>
        <w:rPr>
          <w:b/>
          <w:i/>
          <w:sz w:val="20"/>
        </w:rPr>
      </w:pPr>
      <w:r w:rsidRPr="005213F2">
        <w:rPr>
          <w:b/>
          <w:sz w:val="20"/>
        </w:rPr>
        <w:t>37238</w:t>
      </w:r>
      <w:r w:rsidRPr="005213F2">
        <w:rPr>
          <w:sz w:val="20"/>
        </w:rPr>
        <w:tab/>
      </w:r>
      <w:r w:rsidRPr="005213F2">
        <w:rPr>
          <w:b/>
          <w:i/>
          <w:sz w:val="20"/>
        </w:rPr>
        <w:t>Churchill Falls (Labrador) Corporation Limited c. Hydro-Québec</w:t>
      </w:r>
    </w:p>
    <w:p w:rsidR="00214C6A" w:rsidRPr="005213F2" w:rsidRDefault="00214C6A" w:rsidP="007B7B02">
      <w:pPr>
        <w:ind w:firstLine="720"/>
        <w:rPr>
          <w:sz w:val="20"/>
          <w:lang w:val="fr-CA"/>
        </w:rPr>
      </w:pPr>
      <w:r w:rsidRPr="005213F2">
        <w:rPr>
          <w:sz w:val="20"/>
          <w:lang w:val="fr-CA"/>
        </w:rPr>
        <w:t>(Qc) (Civile) (Autorisation)</w:t>
      </w:r>
    </w:p>
    <w:p w:rsidR="00214C6A" w:rsidRPr="005213F2" w:rsidRDefault="00214C6A">
      <w:pPr>
        <w:rPr>
          <w:sz w:val="20"/>
          <w:lang w:val="fr-CA"/>
        </w:rPr>
      </w:pPr>
    </w:p>
    <w:p w:rsidR="00214C6A" w:rsidRPr="005213F2" w:rsidRDefault="00214C6A" w:rsidP="005434B1">
      <w:pPr>
        <w:rPr>
          <w:sz w:val="20"/>
          <w:lang w:val="fr-CA"/>
        </w:rPr>
      </w:pPr>
      <w:r w:rsidRPr="005213F2">
        <w:rPr>
          <w:sz w:val="20"/>
          <w:lang w:val="fr-FR"/>
        </w:rPr>
        <w:t xml:space="preserve">Contrats - Exécution - Bonne foi - Imprévision - Quelle est la norme de prévisibilité appropriée et quel est son effet sur l’intention des parties? - Quelles sont les caractéristiques des contrats relationnels et est-ce que les devoirs accrus de coopération qu’ils impliquent peuvent inclure l’obligation de renégocier ou d’ajuster les modalités du contrat? - Si une partie enfreint son obligation de renégocier, quelle est la réparation appropriée? - </w:t>
      </w:r>
      <w:r w:rsidRPr="005213F2">
        <w:rPr>
          <w:i/>
          <w:sz w:val="20"/>
          <w:lang w:val="fr-FR"/>
        </w:rPr>
        <w:t>Code civil du Québec</w:t>
      </w:r>
      <w:r w:rsidRPr="005213F2">
        <w:rPr>
          <w:sz w:val="20"/>
          <w:lang w:val="fr-FR"/>
        </w:rPr>
        <w:t>, RLRQ, ch. CCQ-1991, art. 6, 7 et 1375.</w:t>
      </w:r>
    </w:p>
    <w:p w:rsidR="00214C6A" w:rsidRPr="005213F2" w:rsidRDefault="00214C6A" w:rsidP="005434B1">
      <w:pPr>
        <w:pStyle w:val="NormalWeb"/>
        <w:shd w:val="clear" w:color="auto" w:fill="FFFFFF"/>
        <w:jc w:val="both"/>
        <w:rPr>
          <w:sz w:val="20"/>
          <w:szCs w:val="20"/>
          <w:lang w:val="fr-FR"/>
        </w:rPr>
      </w:pPr>
      <w:r w:rsidRPr="005213F2">
        <w:rPr>
          <w:sz w:val="20"/>
          <w:szCs w:val="20"/>
          <w:lang w:val="fr-FR"/>
        </w:rPr>
        <w:t xml:space="preserve">Le 12 mai 1969, l’appelante, Churchill Falls (Labrador) Corporation Limited, et l’intimée, Hydro-Québec, concluent un contrat par lequel l’intimée s’engage à acheter la quasi-totalité de l’énergie en provenance d’une centrale hydroélectrique à être construite sur le fleuve Churchill au Labrador. Ce contrat, d’une durée de 65 ans, établit, pour l’énergie, un prix fixe décroissant par paliers en fonction de l’écoulement du temps. Le contrat ne prévoit aucune clause d’ajustement du prix de l’énergie. </w:t>
      </w:r>
    </w:p>
    <w:p w:rsidR="00214C6A" w:rsidRPr="005213F2" w:rsidRDefault="00214C6A" w:rsidP="005434B1">
      <w:pPr>
        <w:pStyle w:val="NormalWeb"/>
        <w:shd w:val="clear" w:color="auto" w:fill="FFFFFF"/>
        <w:jc w:val="both"/>
        <w:rPr>
          <w:sz w:val="20"/>
          <w:szCs w:val="20"/>
          <w:lang w:val="fr-FR"/>
        </w:rPr>
      </w:pPr>
      <w:r w:rsidRPr="005213F2">
        <w:rPr>
          <w:sz w:val="20"/>
          <w:szCs w:val="20"/>
          <w:lang w:val="fr-FR"/>
        </w:rPr>
        <w:t>Le 23 février 2010, l’appelante intente devant la Cour supérieure du Québec un recours contre l’intimée. Selon elle, l’ampleur des profits de l’intimée en raison de la valeur actuelle de l’électricité était imprévisible en 1969 et entraîne une injustice. Elle avance que l’obligation d’agir de bonne foi et l’obligation d’exercice raisonnable des droits contractuels prévus au</w:t>
      </w:r>
      <w:r w:rsidRPr="005213F2">
        <w:rPr>
          <w:i/>
          <w:sz w:val="20"/>
          <w:szCs w:val="20"/>
          <w:lang w:val="fr-FR"/>
        </w:rPr>
        <w:t xml:space="preserve"> C.c.Q.</w:t>
      </w:r>
      <w:r w:rsidRPr="005213F2">
        <w:rPr>
          <w:sz w:val="20"/>
          <w:szCs w:val="20"/>
          <w:lang w:val="fr-FR"/>
        </w:rPr>
        <w:t xml:space="preserve"> imposent à l’intimée le devoir de renégocier les modalités du contrat. </w:t>
      </w:r>
    </w:p>
    <w:p w:rsidR="00214C6A" w:rsidRPr="005213F2" w:rsidRDefault="00214C6A" w:rsidP="00B70D50">
      <w:pPr>
        <w:pStyle w:val="NormalWeb"/>
        <w:shd w:val="clear" w:color="auto" w:fill="FFFFFF"/>
        <w:spacing w:before="0" w:beforeAutospacing="0" w:after="0" w:afterAutospacing="0"/>
        <w:jc w:val="both"/>
        <w:rPr>
          <w:sz w:val="20"/>
          <w:szCs w:val="20"/>
          <w:lang w:val="fr-CA"/>
        </w:rPr>
      </w:pPr>
      <w:r w:rsidRPr="005213F2">
        <w:rPr>
          <w:sz w:val="20"/>
          <w:szCs w:val="20"/>
          <w:lang w:val="fr-CA"/>
        </w:rPr>
        <w:t xml:space="preserve">La Cour supérieure rejette le recours, et la Cour d’appel confirme le jugement. Elle estime que, hors les cas de véritable </w:t>
      </w:r>
      <w:proofErr w:type="spellStart"/>
      <w:r w:rsidRPr="005213F2">
        <w:rPr>
          <w:i/>
          <w:sz w:val="20"/>
          <w:szCs w:val="20"/>
          <w:lang w:val="fr-CA"/>
        </w:rPr>
        <w:t>hardship</w:t>
      </w:r>
      <w:proofErr w:type="spellEnd"/>
      <w:r w:rsidRPr="005213F2">
        <w:rPr>
          <w:sz w:val="20"/>
          <w:szCs w:val="20"/>
          <w:lang w:val="fr-CA"/>
        </w:rPr>
        <w:t>, le principe général de bonne foi qu’énoncent les articles 6, 7 et 1375 C.c.Q. n’est d’aucun secours à une partie qui fait face à la même situation que la demanderesse</w:t>
      </w:r>
      <w:r w:rsidR="00B70D50" w:rsidRPr="005213F2">
        <w:rPr>
          <w:sz w:val="20"/>
          <w:szCs w:val="20"/>
          <w:lang w:val="fr-CA"/>
        </w:rPr>
        <w:t>.</w:t>
      </w:r>
    </w:p>
    <w:p w:rsidR="00214C6A" w:rsidRPr="005213F2" w:rsidRDefault="00214C6A" w:rsidP="00340C6D">
      <w:pPr>
        <w:jc w:val="both"/>
        <w:rPr>
          <w:lang w:val="fr-CA"/>
        </w:rPr>
      </w:pPr>
    </w:p>
    <w:p w:rsidR="00072A63" w:rsidRPr="005213F2" w:rsidRDefault="00072A63" w:rsidP="00340C6D">
      <w:pPr>
        <w:jc w:val="both"/>
        <w:rPr>
          <w:szCs w:val="24"/>
          <w:lang w:val="fr-CA"/>
        </w:rPr>
      </w:pPr>
    </w:p>
    <w:p w:rsidR="00072A63" w:rsidRPr="005213F2" w:rsidRDefault="00072A63" w:rsidP="00EC79B0">
      <w:pPr>
        <w:jc w:val="both"/>
        <w:rPr>
          <w:szCs w:val="24"/>
          <w:lang w:val="fr-CA"/>
        </w:rPr>
      </w:pPr>
    </w:p>
    <w:p w:rsidR="001C4415" w:rsidRPr="005213F2" w:rsidRDefault="001C4415" w:rsidP="001C4415">
      <w:pPr>
        <w:widowControl w:val="0"/>
        <w:outlineLvl w:val="0"/>
      </w:pPr>
      <w:r w:rsidRPr="005213F2">
        <w:t xml:space="preserve">Supreme Court of Canada / Cour suprême du </w:t>
      </w:r>
      <w:proofErr w:type="gramStart"/>
      <w:r w:rsidRPr="005213F2">
        <w:t>Canada :</w:t>
      </w:r>
      <w:proofErr w:type="gramEnd"/>
      <w:r w:rsidRPr="005213F2">
        <w:t xml:space="preserve"> </w:t>
      </w:r>
    </w:p>
    <w:p w:rsidR="001C4415" w:rsidRPr="005213F2" w:rsidRDefault="005213F2" w:rsidP="001C4415">
      <w:pPr>
        <w:widowControl w:val="0"/>
        <w:outlineLvl w:val="0"/>
      </w:pPr>
      <w:hyperlink r:id="rId8" w:history="1">
        <w:r w:rsidR="001C4415" w:rsidRPr="005213F2">
          <w:rPr>
            <w:rStyle w:val="Hyperlink"/>
          </w:rPr>
          <w:t>comments-commentaires@scc-csc.ca</w:t>
        </w:r>
      </w:hyperlink>
    </w:p>
    <w:p w:rsidR="001C4415" w:rsidRPr="005213F2" w:rsidRDefault="001C4415" w:rsidP="001C4415">
      <w:pPr>
        <w:widowControl w:val="0"/>
        <w:outlineLvl w:val="0"/>
      </w:pPr>
      <w:r w:rsidRPr="005213F2">
        <w:t>(613) 995-4330</w:t>
      </w:r>
    </w:p>
    <w:p w:rsidR="001C4415" w:rsidRPr="005213F2" w:rsidRDefault="001C4415" w:rsidP="001C4415">
      <w:pPr>
        <w:widowControl w:val="0"/>
        <w:rPr>
          <w:sz w:val="20"/>
        </w:rPr>
      </w:pPr>
    </w:p>
    <w:p w:rsidR="0036476C" w:rsidRPr="00A8502B" w:rsidRDefault="001C4415" w:rsidP="0036476C">
      <w:pPr>
        <w:pStyle w:val="Footer"/>
        <w:jc w:val="center"/>
        <w:rPr>
          <w:lang w:val="fr-CA"/>
        </w:rPr>
      </w:pPr>
      <w:r w:rsidRPr="005213F2">
        <w:rPr>
          <w:lang w:val="fr-CA"/>
        </w:rPr>
        <w:t xml:space="preserve">- 30 </w:t>
      </w:r>
      <w:r w:rsidR="003C1B6E" w:rsidRPr="005213F2">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53111"/>
    <w:rsid w:val="00060140"/>
    <w:rsid w:val="00060B39"/>
    <w:rsid w:val="00061A14"/>
    <w:rsid w:val="00072A63"/>
    <w:rsid w:val="0008116D"/>
    <w:rsid w:val="000855FD"/>
    <w:rsid w:val="00087122"/>
    <w:rsid w:val="0009615F"/>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4C6A"/>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12FB2"/>
    <w:rsid w:val="0051320D"/>
    <w:rsid w:val="005132EC"/>
    <w:rsid w:val="00517F18"/>
    <w:rsid w:val="00520A3C"/>
    <w:rsid w:val="005213F2"/>
    <w:rsid w:val="00525362"/>
    <w:rsid w:val="00525B8E"/>
    <w:rsid w:val="005271AD"/>
    <w:rsid w:val="00531567"/>
    <w:rsid w:val="00534E1E"/>
    <w:rsid w:val="00537187"/>
    <w:rsid w:val="005400BA"/>
    <w:rsid w:val="00542361"/>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4993"/>
    <w:rsid w:val="00666E0D"/>
    <w:rsid w:val="0067017D"/>
    <w:rsid w:val="00676709"/>
    <w:rsid w:val="00680968"/>
    <w:rsid w:val="00682A71"/>
    <w:rsid w:val="00685A30"/>
    <w:rsid w:val="006861E2"/>
    <w:rsid w:val="006942C4"/>
    <w:rsid w:val="00694A7F"/>
    <w:rsid w:val="006A3523"/>
    <w:rsid w:val="006A58E0"/>
    <w:rsid w:val="006A6C0C"/>
    <w:rsid w:val="006B4B4E"/>
    <w:rsid w:val="006B5529"/>
    <w:rsid w:val="006C4A8F"/>
    <w:rsid w:val="006C5AA6"/>
    <w:rsid w:val="006C7633"/>
    <w:rsid w:val="006D08B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3AB2"/>
    <w:rsid w:val="00743CD0"/>
    <w:rsid w:val="007464AD"/>
    <w:rsid w:val="007505FE"/>
    <w:rsid w:val="00753E0D"/>
    <w:rsid w:val="00753FDD"/>
    <w:rsid w:val="00755A54"/>
    <w:rsid w:val="00762239"/>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D03"/>
    <w:rsid w:val="008D2829"/>
    <w:rsid w:val="008D3DE1"/>
    <w:rsid w:val="008D557C"/>
    <w:rsid w:val="008D5B1F"/>
    <w:rsid w:val="008D6BC4"/>
    <w:rsid w:val="008D7257"/>
    <w:rsid w:val="008E0CE6"/>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408A3"/>
    <w:rsid w:val="009421D0"/>
    <w:rsid w:val="009448B0"/>
    <w:rsid w:val="00945121"/>
    <w:rsid w:val="00945199"/>
    <w:rsid w:val="00945849"/>
    <w:rsid w:val="00946EC7"/>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D9A"/>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0D50"/>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65C0"/>
    <w:rsid w:val="00EF778F"/>
    <w:rsid w:val="00EF78B8"/>
    <w:rsid w:val="00EF7999"/>
    <w:rsid w:val="00F006DA"/>
    <w:rsid w:val="00F01ED3"/>
    <w:rsid w:val="00F020DF"/>
    <w:rsid w:val="00F03BFD"/>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styleId="NormalWeb">
    <w:name w:val="Normal (Web)"/>
    <w:basedOn w:val="Normal"/>
    <w:uiPriority w:val="99"/>
    <w:unhideWhenUsed/>
    <w:rsid w:val="00214C6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723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2018-10-23T18:53:00Z</dcterms:created>
  <dcterms:modified xsi:type="dcterms:W3CDTF">2018-10-26T14:50:00Z</dcterms:modified>
</cp:coreProperties>
</file>