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86A35" w:rsidRDefault="003F43E6" w:rsidP="003F43E6">
      <w:pPr>
        <w:pStyle w:val="Header"/>
        <w:jc w:val="center"/>
        <w:rPr>
          <w:b/>
          <w:sz w:val="32"/>
        </w:rPr>
      </w:pPr>
      <w:r w:rsidRPr="00B86A35">
        <w:rPr>
          <w:b/>
          <w:sz w:val="32"/>
        </w:rPr>
        <w:t>Supreme Court of Canada / Cour suprême du Canada</w:t>
      </w:r>
    </w:p>
    <w:p w:rsidR="003F43E6" w:rsidRPr="00B86A35" w:rsidRDefault="003F43E6" w:rsidP="006F2579">
      <w:pPr>
        <w:widowControl w:val="0"/>
        <w:rPr>
          <w:i/>
        </w:rPr>
      </w:pPr>
    </w:p>
    <w:p w:rsidR="003F43E6" w:rsidRPr="00B86A35" w:rsidRDefault="003F43E6" w:rsidP="006F2579">
      <w:pPr>
        <w:widowControl w:val="0"/>
        <w:rPr>
          <w:i/>
        </w:rPr>
      </w:pPr>
    </w:p>
    <w:p w:rsidR="006F2579" w:rsidRPr="00B86A35" w:rsidRDefault="006F2579" w:rsidP="006F2579">
      <w:pPr>
        <w:widowControl w:val="0"/>
        <w:rPr>
          <w:i/>
          <w:lang w:val="fr-CA"/>
        </w:rPr>
      </w:pPr>
      <w:r w:rsidRPr="00B86A35">
        <w:rPr>
          <w:i/>
          <w:lang w:val="fr-CA"/>
        </w:rPr>
        <w:t>(le français suit)</w:t>
      </w:r>
    </w:p>
    <w:p w:rsidR="006F2579" w:rsidRPr="00B86A35" w:rsidRDefault="006F2579" w:rsidP="006F2579">
      <w:pPr>
        <w:widowControl w:val="0"/>
        <w:rPr>
          <w:lang w:val="fr-CA"/>
        </w:rPr>
      </w:pPr>
    </w:p>
    <w:p w:rsidR="006F2579" w:rsidRPr="00B86A35" w:rsidRDefault="00C007C3" w:rsidP="006F2579">
      <w:pPr>
        <w:widowControl w:val="0"/>
        <w:jc w:val="center"/>
        <w:rPr>
          <w:b/>
          <w:lang w:val="fr-CA"/>
        </w:rPr>
      </w:pPr>
      <w:r w:rsidRPr="00B86A35">
        <w:fldChar w:fldCharType="begin"/>
      </w:r>
      <w:r w:rsidR="006F2579" w:rsidRPr="00B86A35">
        <w:rPr>
          <w:lang w:val="fr-CA"/>
        </w:rPr>
        <w:instrText xml:space="preserve"> SEQ CHAPTER \h \r 1</w:instrText>
      </w:r>
      <w:r w:rsidRPr="00B86A35">
        <w:fldChar w:fldCharType="end"/>
      </w:r>
      <w:r w:rsidR="002767DF" w:rsidRPr="00B86A35">
        <w:rPr>
          <w:b/>
          <w:lang w:val="fr-CA"/>
        </w:rPr>
        <w:t xml:space="preserve">JUDGMENTS </w:t>
      </w:r>
      <w:r w:rsidR="004C4C26" w:rsidRPr="00B86A35">
        <w:rPr>
          <w:b/>
          <w:lang w:val="fr-CA"/>
        </w:rPr>
        <w:t>IN LEAVE APPLICATION</w:t>
      </w:r>
      <w:r w:rsidR="00005B6D" w:rsidRPr="00B86A35">
        <w:rPr>
          <w:b/>
          <w:lang w:val="fr-CA"/>
        </w:rPr>
        <w:t>S</w:t>
      </w:r>
    </w:p>
    <w:p w:rsidR="006F2579" w:rsidRPr="00B86A35" w:rsidRDefault="006F2579" w:rsidP="006F2579">
      <w:pPr>
        <w:widowControl w:val="0"/>
        <w:rPr>
          <w:b/>
          <w:lang w:val="fr-CA"/>
        </w:rPr>
      </w:pPr>
    </w:p>
    <w:p w:rsidR="006F2579" w:rsidRPr="00B86A35" w:rsidRDefault="00BA05E7" w:rsidP="006F2579">
      <w:pPr>
        <w:widowControl w:val="0"/>
        <w:rPr>
          <w:b/>
        </w:rPr>
      </w:pPr>
      <w:r w:rsidRPr="00B86A35">
        <w:rPr>
          <w:b/>
        </w:rPr>
        <w:t>November</w:t>
      </w:r>
      <w:r w:rsidR="00C9475D" w:rsidRPr="00B86A35">
        <w:rPr>
          <w:b/>
        </w:rPr>
        <w:t xml:space="preserve"> </w:t>
      </w:r>
      <w:r w:rsidRPr="00B86A35">
        <w:rPr>
          <w:b/>
        </w:rPr>
        <w:t>8</w:t>
      </w:r>
      <w:r w:rsidR="00170148" w:rsidRPr="00B86A35">
        <w:rPr>
          <w:b/>
        </w:rPr>
        <w:t>,</w:t>
      </w:r>
      <w:r w:rsidR="008825DB" w:rsidRPr="00B86A35">
        <w:rPr>
          <w:b/>
        </w:rPr>
        <w:t xml:space="preserve"> 201</w:t>
      </w:r>
      <w:r w:rsidR="00C565E8" w:rsidRPr="00B86A35">
        <w:rPr>
          <w:b/>
        </w:rPr>
        <w:t>8</w:t>
      </w:r>
    </w:p>
    <w:p w:rsidR="006F2579" w:rsidRPr="00B86A35" w:rsidRDefault="006F2579" w:rsidP="006F2579">
      <w:pPr>
        <w:widowControl w:val="0"/>
        <w:rPr>
          <w:b/>
        </w:rPr>
      </w:pPr>
      <w:r w:rsidRPr="00B86A35">
        <w:rPr>
          <w:b/>
        </w:rPr>
        <w:t>For immediate release</w:t>
      </w:r>
      <w:bookmarkStart w:id="0" w:name="_GoBack"/>
      <w:bookmarkEnd w:id="0"/>
    </w:p>
    <w:p w:rsidR="006F2579" w:rsidRPr="00B86A35" w:rsidRDefault="006F2579" w:rsidP="006F2579">
      <w:pPr>
        <w:widowControl w:val="0"/>
      </w:pPr>
    </w:p>
    <w:p w:rsidR="002767DF" w:rsidRPr="00B86A35" w:rsidRDefault="002767DF" w:rsidP="002767DF">
      <w:pPr>
        <w:widowControl w:val="0"/>
      </w:pPr>
      <w:r w:rsidRPr="00B86A35">
        <w:rPr>
          <w:b/>
        </w:rPr>
        <w:t>OTTAWA</w:t>
      </w:r>
      <w:r w:rsidRPr="00B86A35">
        <w:t xml:space="preserve"> – The Suprem</w:t>
      </w:r>
      <w:r w:rsidR="00580213" w:rsidRPr="00B86A35">
        <w:t>e</w:t>
      </w:r>
      <w:r w:rsidRPr="00B86A35">
        <w:t xml:space="preserve"> Court of Canada has today deposited with the Registrar judgment</w:t>
      </w:r>
      <w:r w:rsidR="004D3B41" w:rsidRPr="00B86A35">
        <w:t>s</w:t>
      </w:r>
      <w:r w:rsidRPr="00B86A35">
        <w:t xml:space="preserve"> in the following application</w:t>
      </w:r>
      <w:r w:rsidR="00CC044F" w:rsidRPr="00B86A35">
        <w:t>s</w:t>
      </w:r>
      <w:r w:rsidRPr="00B86A35">
        <w:t xml:space="preserve"> for leave to appe</w:t>
      </w:r>
      <w:r w:rsidR="00DB3E59" w:rsidRPr="00B86A35">
        <w:t>a</w:t>
      </w:r>
      <w:r w:rsidRPr="00B86A35">
        <w:t>l.</w:t>
      </w:r>
    </w:p>
    <w:p w:rsidR="006F2579" w:rsidRPr="00B86A35" w:rsidRDefault="006F2579" w:rsidP="006F2579">
      <w:pPr>
        <w:widowControl w:val="0"/>
      </w:pPr>
    </w:p>
    <w:p w:rsidR="002C79F9" w:rsidRPr="00B86A35" w:rsidRDefault="00CE4D76" w:rsidP="006F2579">
      <w:pPr>
        <w:widowControl w:val="0"/>
        <w:rPr>
          <w:lang w:val="fr-CA"/>
        </w:rPr>
      </w:pPr>
      <w:r w:rsidRPr="00B86A35">
        <w:t>Note: A</w:t>
      </w:r>
      <w:r w:rsidR="002C79F9" w:rsidRPr="00B86A35">
        <w:t xml:space="preserve"> Notice of discontinuance was </w:t>
      </w:r>
      <w:r w:rsidRPr="00B86A35">
        <w:t>filed</w:t>
      </w:r>
      <w:r w:rsidR="002C79F9" w:rsidRPr="00B86A35">
        <w:t xml:space="preserve"> </w:t>
      </w:r>
      <w:r w:rsidRPr="00B86A35">
        <w:t>in</w:t>
      </w:r>
      <w:r w:rsidR="00965606" w:rsidRPr="00B86A35">
        <w:t>:</w:t>
      </w:r>
      <w:r w:rsidR="002C79F9" w:rsidRPr="00B86A35">
        <w:t xml:space="preserve"> </w:t>
      </w:r>
      <w:r w:rsidR="002C79F9" w:rsidRPr="00B86A35">
        <w:rPr>
          <w:i/>
          <w:sz w:val="22"/>
        </w:rPr>
        <w:t>R. Peter Bradley v. Minister of Justice of Quebec et al.</w:t>
      </w:r>
      <w:r w:rsidR="002C79F9" w:rsidRPr="00B86A35">
        <w:rPr>
          <w:sz w:val="22"/>
        </w:rPr>
        <w:t xml:space="preserve"> </w:t>
      </w:r>
      <w:r w:rsidR="002C79F9" w:rsidRPr="00B86A35">
        <w:rPr>
          <w:sz w:val="22"/>
          <w:lang w:val="fr-CA"/>
        </w:rPr>
        <w:t>(Que.) (Civil) (By Leave) (</w:t>
      </w:r>
      <w:hyperlink r:id="rId8" w:history="1">
        <w:r w:rsidR="002C79F9" w:rsidRPr="00B86A35">
          <w:rPr>
            <w:rStyle w:val="Hyperlink"/>
            <w:sz w:val="22"/>
            <w:lang w:val="fr-CA"/>
          </w:rPr>
          <w:t>37852</w:t>
        </w:r>
      </w:hyperlink>
      <w:r w:rsidR="002C79F9" w:rsidRPr="00B86A35">
        <w:rPr>
          <w:sz w:val="22"/>
          <w:lang w:val="fr-CA"/>
        </w:rPr>
        <w:t>).</w:t>
      </w:r>
    </w:p>
    <w:p w:rsidR="006F2579" w:rsidRPr="00B86A35" w:rsidRDefault="006F2579" w:rsidP="006F2579">
      <w:pPr>
        <w:widowControl w:val="0"/>
        <w:rPr>
          <w:lang w:val="fr-CA"/>
        </w:rPr>
      </w:pPr>
    </w:p>
    <w:p w:rsidR="002767DF" w:rsidRPr="00B86A35" w:rsidRDefault="002767DF" w:rsidP="002767DF">
      <w:pPr>
        <w:widowControl w:val="0"/>
        <w:jc w:val="center"/>
        <w:rPr>
          <w:lang w:val="fr-CA"/>
        </w:rPr>
      </w:pPr>
      <w:r w:rsidRPr="00B86A35">
        <w:rPr>
          <w:b/>
          <w:lang w:val="fr-CA"/>
        </w:rPr>
        <w:t>JUGEMENT</w:t>
      </w:r>
      <w:r w:rsidR="004C4C26" w:rsidRPr="00B86A35">
        <w:rPr>
          <w:b/>
          <w:lang w:val="fr-CA"/>
        </w:rPr>
        <w:t>S SUR DEMANDE</w:t>
      </w:r>
      <w:r w:rsidR="00CC044F" w:rsidRPr="00B86A35">
        <w:rPr>
          <w:b/>
          <w:lang w:val="fr-CA"/>
        </w:rPr>
        <w:t>S</w:t>
      </w:r>
      <w:r w:rsidRPr="00B86A35">
        <w:rPr>
          <w:b/>
          <w:lang w:val="fr-CA"/>
        </w:rPr>
        <w:t xml:space="preserve"> D’AUTORISATION</w:t>
      </w:r>
    </w:p>
    <w:p w:rsidR="006F2579" w:rsidRPr="00B86A35" w:rsidRDefault="006F2579" w:rsidP="006F2579">
      <w:pPr>
        <w:widowControl w:val="0"/>
        <w:rPr>
          <w:lang w:val="fr-CA"/>
        </w:rPr>
      </w:pPr>
    </w:p>
    <w:p w:rsidR="006F2579" w:rsidRPr="00B86A35" w:rsidRDefault="006F2579" w:rsidP="006F2579">
      <w:pPr>
        <w:widowControl w:val="0"/>
        <w:rPr>
          <w:b/>
          <w:lang w:val="fr-CA"/>
        </w:rPr>
      </w:pPr>
      <w:r w:rsidRPr="00B86A35">
        <w:rPr>
          <w:b/>
          <w:lang w:val="fr-CA"/>
        </w:rPr>
        <w:t>Le</w:t>
      </w:r>
      <w:r w:rsidR="008825DB" w:rsidRPr="00B86A35">
        <w:rPr>
          <w:b/>
          <w:lang w:val="fr-CA"/>
        </w:rPr>
        <w:t xml:space="preserve"> </w:t>
      </w:r>
      <w:r w:rsidR="00BA05E7" w:rsidRPr="00B86A35">
        <w:rPr>
          <w:b/>
          <w:lang w:val="fr-CA"/>
        </w:rPr>
        <w:t>8</w:t>
      </w:r>
      <w:r w:rsidR="00C9475D" w:rsidRPr="00B86A35">
        <w:rPr>
          <w:b/>
          <w:lang w:val="fr-CA"/>
        </w:rPr>
        <w:t xml:space="preserve"> </w:t>
      </w:r>
      <w:r w:rsidR="00BA05E7" w:rsidRPr="00B86A35">
        <w:rPr>
          <w:b/>
          <w:lang w:val="fr-CA"/>
        </w:rPr>
        <w:t>novembre</w:t>
      </w:r>
      <w:r w:rsidR="004E4B02" w:rsidRPr="00B86A35">
        <w:rPr>
          <w:b/>
          <w:lang w:val="fr-CA"/>
        </w:rPr>
        <w:t xml:space="preserve"> </w:t>
      </w:r>
      <w:r w:rsidR="008825DB" w:rsidRPr="00B86A35">
        <w:rPr>
          <w:b/>
          <w:lang w:val="fr-CA"/>
        </w:rPr>
        <w:t>201</w:t>
      </w:r>
      <w:r w:rsidR="00C565E8" w:rsidRPr="00B86A35">
        <w:rPr>
          <w:b/>
          <w:lang w:val="fr-CA"/>
        </w:rPr>
        <w:t>8</w:t>
      </w:r>
    </w:p>
    <w:p w:rsidR="006F2579" w:rsidRPr="00B86A35" w:rsidRDefault="006F2579" w:rsidP="006F2579">
      <w:pPr>
        <w:widowControl w:val="0"/>
        <w:rPr>
          <w:b/>
          <w:lang w:val="fr-CA"/>
        </w:rPr>
      </w:pPr>
      <w:r w:rsidRPr="00B86A35">
        <w:rPr>
          <w:b/>
          <w:lang w:val="fr-CA"/>
        </w:rPr>
        <w:t>Pour diffusion immédiate</w:t>
      </w:r>
    </w:p>
    <w:p w:rsidR="006F2579" w:rsidRPr="00B86A35" w:rsidRDefault="006F2579" w:rsidP="006F2579">
      <w:pPr>
        <w:widowControl w:val="0"/>
        <w:rPr>
          <w:lang w:val="fr-CA"/>
        </w:rPr>
      </w:pPr>
    </w:p>
    <w:p w:rsidR="002767DF" w:rsidRPr="00B86A35" w:rsidRDefault="002767DF" w:rsidP="002767DF">
      <w:pPr>
        <w:widowControl w:val="0"/>
        <w:rPr>
          <w:lang w:val="fr-CA"/>
        </w:rPr>
      </w:pPr>
      <w:r w:rsidRPr="00B86A35">
        <w:rPr>
          <w:b/>
          <w:lang w:val="fr-CA"/>
        </w:rPr>
        <w:t>OTTAWA</w:t>
      </w:r>
      <w:r w:rsidRPr="00B86A35">
        <w:rPr>
          <w:lang w:val="fr-CA"/>
        </w:rPr>
        <w:t xml:space="preserve"> – La Cour suprême du Canada a déposé aujourd’hui auprès du registraire les jugements dans </w:t>
      </w:r>
      <w:r w:rsidR="00CC044F" w:rsidRPr="00B86A35">
        <w:rPr>
          <w:lang w:val="fr-CA"/>
        </w:rPr>
        <w:t>les</w:t>
      </w:r>
      <w:r w:rsidR="008C7CD9" w:rsidRPr="00B86A35">
        <w:rPr>
          <w:lang w:val="fr-CA"/>
        </w:rPr>
        <w:t xml:space="preserve"> </w:t>
      </w:r>
      <w:r w:rsidR="004C4C26" w:rsidRPr="00B86A35">
        <w:rPr>
          <w:lang w:val="fr-CA"/>
        </w:rPr>
        <w:t>demande</w:t>
      </w:r>
      <w:r w:rsidR="0088435A" w:rsidRPr="00B86A35">
        <w:rPr>
          <w:lang w:val="fr-CA"/>
        </w:rPr>
        <w:t>s</w:t>
      </w:r>
      <w:r w:rsidRPr="00B86A35">
        <w:rPr>
          <w:lang w:val="fr-CA"/>
        </w:rPr>
        <w:t xml:space="preserve"> d’au</w:t>
      </w:r>
      <w:r w:rsidR="00F24EF2" w:rsidRPr="00B86A35">
        <w:rPr>
          <w:lang w:val="fr-CA"/>
        </w:rPr>
        <w:t>torisation d’appel qui suivent.</w:t>
      </w:r>
    </w:p>
    <w:p w:rsidR="00694BDA" w:rsidRPr="00B86A35" w:rsidRDefault="00694BDA" w:rsidP="000B5274">
      <w:pPr>
        <w:jc w:val="both"/>
        <w:rPr>
          <w:sz w:val="20"/>
          <w:lang w:val="fr-CA"/>
        </w:rPr>
      </w:pPr>
    </w:p>
    <w:p w:rsidR="00965606" w:rsidRPr="00B86A35" w:rsidRDefault="007F3654" w:rsidP="00965606">
      <w:pPr>
        <w:widowControl w:val="0"/>
        <w:rPr>
          <w:lang w:val="fr-CA"/>
        </w:rPr>
      </w:pPr>
      <w:r w:rsidRPr="00B86A35">
        <w:rPr>
          <w:lang w:val="fr-CA"/>
        </w:rPr>
        <w:t xml:space="preserve">Note : </w:t>
      </w:r>
      <w:r w:rsidR="00E01155" w:rsidRPr="00B86A35">
        <w:rPr>
          <w:lang w:val="fr-CA"/>
        </w:rPr>
        <w:t xml:space="preserve">Un avis de désistement a été </w:t>
      </w:r>
      <w:r w:rsidRPr="00B86A35">
        <w:rPr>
          <w:lang w:val="fr-CA"/>
        </w:rPr>
        <w:t>déposé</w:t>
      </w:r>
      <w:r w:rsidR="00965606" w:rsidRPr="00B86A35">
        <w:rPr>
          <w:lang w:val="fr-CA"/>
        </w:rPr>
        <w:t xml:space="preserve"> </w:t>
      </w:r>
      <w:r w:rsidRPr="00B86A35">
        <w:rPr>
          <w:lang w:val="fr-CA"/>
        </w:rPr>
        <w:t>dans</w:t>
      </w:r>
      <w:r w:rsidR="00E01155" w:rsidRPr="00B86A35">
        <w:rPr>
          <w:lang w:val="fr-CA"/>
        </w:rPr>
        <w:t> :</w:t>
      </w:r>
      <w:r w:rsidR="00965606" w:rsidRPr="00B86A35">
        <w:rPr>
          <w:lang w:val="fr-CA"/>
        </w:rPr>
        <w:t xml:space="preserve"> </w:t>
      </w:r>
      <w:r w:rsidR="00965606" w:rsidRPr="00B86A35">
        <w:rPr>
          <w:i/>
          <w:sz w:val="22"/>
          <w:lang w:val="fr-CA"/>
        </w:rPr>
        <w:t xml:space="preserve">R. Peter Bradley </w:t>
      </w:r>
      <w:r w:rsidR="0068327D" w:rsidRPr="00B86A35">
        <w:rPr>
          <w:i/>
          <w:sz w:val="22"/>
          <w:lang w:val="fr-CA"/>
        </w:rPr>
        <w:t>c</w:t>
      </w:r>
      <w:r w:rsidR="00965606" w:rsidRPr="00B86A35">
        <w:rPr>
          <w:i/>
          <w:sz w:val="22"/>
          <w:lang w:val="fr-CA"/>
        </w:rPr>
        <w:t>. Ministr</w:t>
      </w:r>
      <w:r w:rsidR="0068327D" w:rsidRPr="00B86A35">
        <w:rPr>
          <w:i/>
          <w:sz w:val="22"/>
          <w:lang w:val="fr-CA"/>
        </w:rPr>
        <w:t>e</w:t>
      </w:r>
      <w:r w:rsidR="00965606" w:rsidRPr="00B86A35">
        <w:rPr>
          <w:i/>
          <w:sz w:val="22"/>
          <w:lang w:val="fr-CA"/>
        </w:rPr>
        <w:t xml:space="preserve"> </w:t>
      </w:r>
      <w:r w:rsidR="0068327D" w:rsidRPr="00B86A35">
        <w:rPr>
          <w:i/>
          <w:sz w:val="22"/>
          <w:lang w:val="fr-CA"/>
        </w:rPr>
        <w:t>de la</w:t>
      </w:r>
      <w:r w:rsidR="00965606" w:rsidRPr="00B86A35">
        <w:rPr>
          <w:i/>
          <w:sz w:val="22"/>
          <w:lang w:val="fr-CA"/>
        </w:rPr>
        <w:t xml:space="preserve"> Justice </w:t>
      </w:r>
      <w:r w:rsidR="0068327D" w:rsidRPr="00B86A35">
        <w:rPr>
          <w:i/>
          <w:sz w:val="22"/>
          <w:lang w:val="fr-CA"/>
        </w:rPr>
        <w:t>du</w:t>
      </w:r>
      <w:r w:rsidR="00965606" w:rsidRPr="00B86A35">
        <w:rPr>
          <w:i/>
          <w:sz w:val="22"/>
          <w:lang w:val="fr-CA"/>
        </w:rPr>
        <w:t xml:space="preserve"> Qu</w:t>
      </w:r>
      <w:r w:rsidR="0068327D" w:rsidRPr="00B86A35">
        <w:rPr>
          <w:i/>
          <w:sz w:val="22"/>
          <w:lang w:val="fr-CA"/>
        </w:rPr>
        <w:t>é</w:t>
      </w:r>
      <w:r w:rsidR="00965606" w:rsidRPr="00B86A35">
        <w:rPr>
          <w:i/>
          <w:sz w:val="22"/>
          <w:lang w:val="fr-CA"/>
        </w:rPr>
        <w:t>bec et a</w:t>
      </w:r>
      <w:r w:rsidR="00235E9E" w:rsidRPr="00B86A35">
        <w:rPr>
          <w:i/>
          <w:sz w:val="22"/>
          <w:lang w:val="fr-CA"/>
        </w:rPr>
        <w:t>utre</w:t>
      </w:r>
      <w:r w:rsidR="00965606" w:rsidRPr="00B86A35">
        <w:rPr>
          <w:sz w:val="22"/>
          <w:lang w:val="fr-CA"/>
        </w:rPr>
        <w:t xml:space="preserve"> (Q</w:t>
      </w:r>
      <w:r w:rsidR="0068327D" w:rsidRPr="00B86A35">
        <w:rPr>
          <w:sz w:val="22"/>
          <w:lang w:val="fr-CA"/>
        </w:rPr>
        <w:t>c</w:t>
      </w:r>
      <w:r w:rsidR="00965606" w:rsidRPr="00B86A35">
        <w:rPr>
          <w:sz w:val="22"/>
          <w:lang w:val="fr-CA"/>
        </w:rPr>
        <w:t>) (Civil</w:t>
      </w:r>
      <w:r w:rsidR="0068327D" w:rsidRPr="00B86A35">
        <w:rPr>
          <w:sz w:val="22"/>
          <w:lang w:val="fr-CA"/>
        </w:rPr>
        <w:t>e</w:t>
      </w:r>
      <w:r w:rsidR="00965606" w:rsidRPr="00B86A35">
        <w:rPr>
          <w:sz w:val="22"/>
          <w:lang w:val="fr-CA"/>
        </w:rPr>
        <w:t>) (</w:t>
      </w:r>
      <w:r w:rsidR="0068327D" w:rsidRPr="00B86A35">
        <w:rPr>
          <w:sz w:val="22"/>
          <w:lang w:val="fr-CA"/>
        </w:rPr>
        <w:t>Autorisation</w:t>
      </w:r>
      <w:r w:rsidR="00965606" w:rsidRPr="00B86A35">
        <w:rPr>
          <w:sz w:val="22"/>
          <w:lang w:val="fr-CA"/>
        </w:rPr>
        <w:t>) (</w:t>
      </w:r>
      <w:hyperlink r:id="rId9" w:history="1">
        <w:r w:rsidR="00965606" w:rsidRPr="00B86A35">
          <w:rPr>
            <w:rStyle w:val="Hyperlink"/>
            <w:sz w:val="22"/>
            <w:lang w:val="fr-CA"/>
          </w:rPr>
          <w:t>37852</w:t>
        </w:r>
      </w:hyperlink>
      <w:r w:rsidR="00965606" w:rsidRPr="00B86A35">
        <w:rPr>
          <w:sz w:val="22"/>
          <w:lang w:val="fr-CA"/>
        </w:rPr>
        <w:t>).</w:t>
      </w:r>
    </w:p>
    <w:p w:rsidR="00BD14AB" w:rsidRPr="00B86A35" w:rsidRDefault="00BD14AB" w:rsidP="000B5274">
      <w:pPr>
        <w:jc w:val="both"/>
        <w:rPr>
          <w:sz w:val="20"/>
          <w:lang w:val="fr-CA"/>
        </w:rPr>
      </w:pPr>
    </w:p>
    <w:p w:rsidR="00B225B0" w:rsidRPr="00B86A35" w:rsidRDefault="00B225B0" w:rsidP="000B5274">
      <w:pPr>
        <w:jc w:val="both"/>
        <w:rPr>
          <w:sz w:val="20"/>
          <w:lang w:val="fr-CA"/>
        </w:rPr>
      </w:pPr>
    </w:p>
    <w:p w:rsidR="00431DE2" w:rsidRPr="00B86A35" w:rsidRDefault="00431DE2" w:rsidP="00431DE2">
      <w:pPr>
        <w:jc w:val="both"/>
        <w:rPr>
          <w:b/>
          <w:sz w:val="22"/>
          <w:szCs w:val="22"/>
          <w:lang w:val="fr-CA"/>
        </w:rPr>
      </w:pPr>
      <w:r w:rsidRPr="00B86A35">
        <w:rPr>
          <w:b/>
          <w:sz w:val="22"/>
          <w:szCs w:val="22"/>
          <w:lang w:val="fr-CA"/>
        </w:rPr>
        <w:t>DISMISSED / REJETÉE</w:t>
      </w:r>
      <w:r w:rsidR="001B1618" w:rsidRPr="00B86A35">
        <w:rPr>
          <w:b/>
          <w:sz w:val="22"/>
          <w:szCs w:val="22"/>
          <w:lang w:val="fr-CA"/>
        </w:rPr>
        <w:t>S</w:t>
      </w:r>
    </w:p>
    <w:p w:rsidR="00431DE2" w:rsidRPr="00B86A35" w:rsidRDefault="00431DE2" w:rsidP="000B5274">
      <w:pPr>
        <w:jc w:val="both"/>
        <w:rPr>
          <w:sz w:val="20"/>
          <w:lang w:val="fr-CA"/>
        </w:rPr>
      </w:pPr>
    </w:p>
    <w:p w:rsidR="00EF7180" w:rsidRPr="00B86A35" w:rsidRDefault="00EF7180" w:rsidP="00EF7180">
      <w:pPr>
        <w:jc w:val="both"/>
        <w:rPr>
          <w:sz w:val="22"/>
          <w:szCs w:val="22"/>
          <w:lang w:val="fr-CA"/>
        </w:rPr>
      </w:pPr>
      <w:r w:rsidRPr="00B86A35">
        <w:rPr>
          <w:i/>
          <w:sz w:val="22"/>
          <w:szCs w:val="22"/>
          <w:lang w:val="fr-CA"/>
        </w:rPr>
        <w:t>Richard Raîche c. Procureure générale du Québec</w:t>
      </w:r>
      <w:r w:rsidRPr="00B86A35">
        <w:rPr>
          <w:sz w:val="22"/>
          <w:szCs w:val="22"/>
          <w:lang w:val="fr-CA"/>
        </w:rPr>
        <w:t xml:space="preserve"> (Qc) (Civile) (Autorisation) (</w:t>
      </w:r>
      <w:hyperlink r:id="rId10" w:history="1">
        <w:r w:rsidRPr="00B86A35">
          <w:rPr>
            <w:rStyle w:val="Hyperlink"/>
            <w:sz w:val="22"/>
            <w:szCs w:val="22"/>
            <w:lang w:val="fr-CA"/>
          </w:rPr>
          <w:t>38029</w:t>
        </w:r>
      </w:hyperlink>
      <w:r w:rsidRPr="00B86A35">
        <w:rPr>
          <w:sz w:val="22"/>
          <w:szCs w:val="22"/>
          <w:lang w:val="fr-CA"/>
        </w:rPr>
        <w:t>)</w:t>
      </w:r>
    </w:p>
    <w:p w:rsidR="00E62A9A" w:rsidRPr="00B86A35" w:rsidRDefault="00EF7180" w:rsidP="00D06AA3">
      <w:pPr>
        <w:jc w:val="both"/>
        <w:rPr>
          <w:sz w:val="20"/>
          <w:lang w:val="fr-CA"/>
        </w:rPr>
      </w:pPr>
      <w:r w:rsidRPr="00B86A35">
        <w:rPr>
          <w:sz w:val="20"/>
          <w:lang w:val="fr-CA"/>
        </w:rPr>
        <w:t xml:space="preserve">(La demande d’autorisation d’appel est rejetée. Il n’est pas nécessaire d’examiner la requête en prorogation du délai. / </w:t>
      </w:r>
    </w:p>
    <w:p w:rsidR="00EF7180" w:rsidRPr="00B86A35" w:rsidRDefault="00EF7180" w:rsidP="00D06AA3">
      <w:pPr>
        <w:jc w:val="both"/>
        <w:rPr>
          <w:sz w:val="20"/>
        </w:rPr>
      </w:pPr>
      <w:r w:rsidRPr="00B86A35">
        <w:rPr>
          <w:sz w:val="20"/>
          <w:lang w:val="en-CA"/>
        </w:rPr>
        <w:t xml:space="preserve">The application for leave to appeal is dismissed. </w:t>
      </w:r>
      <w:r w:rsidRPr="00B86A35">
        <w:rPr>
          <w:sz w:val="20"/>
        </w:rPr>
        <w:t>It is not necessary to consider the motion for an extension of time.)</w:t>
      </w:r>
    </w:p>
    <w:p w:rsidR="00EF7180" w:rsidRPr="00B86A35" w:rsidRDefault="00EF7180" w:rsidP="00D06AA3">
      <w:pPr>
        <w:jc w:val="both"/>
        <w:rPr>
          <w:sz w:val="20"/>
        </w:rPr>
      </w:pPr>
    </w:p>
    <w:p w:rsidR="00807BAD" w:rsidRPr="00B86A35" w:rsidRDefault="00807BAD" w:rsidP="00807BAD">
      <w:pPr>
        <w:jc w:val="both"/>
        <w:rPr>
          <w:sz w:val="22"/>
          <w:szCs w:val="22"/>
        </w:rPr>
      </w:pPr>
      <w:r w:rsidRPr="00B86A35">
        <w:rPr>
          <w:sz w:val="22"/>
          <w:szCs w:val="22"/>
        </w:rPr>
        <w:t>****</w:t>
      </w:r>
    </w:p>
    <w:p w:rsidR="001B1618" w:rsidRPr="00B86A35" w:rsidRDefault="001B1618" w:rsidP="001B1618">
      <w:pPr>
        <w:jc w:val="both"/>
        <w:rPr>
          <w:sz w:val="20"/>
        </w:rPr>
      </w:pPr>
    </w:p>
    <w:p w:rsidR="00727BB6" w:rsidRPr="00B86A35" w:rsidRDefault="00727BB6" w:rsidP="00727BB6">
      <w:pPr>
        <w:jc w:val="both"/>
        <w:rPr>
          <w:sz w:val="22"/>
          <w:szCs w:val="22"/>
        </w:rPr>
      </w:pPr>
      <w:r w:rsidRPr="00B86A35">
        <w:rPr>
          <w:i/>
          <w:sz w:val="22"/>
          <w:szCs w:val="22"/>
        </w:rPr>
        <w:t>Henry George Cole v. RBC Dominion Securities Inc.</w:t>
      </w:r>
      <w:r w:rsidRPr="00B86A35">
        <w:rPr>
          <w:sz w:val="22"/>
          <w:szCs w:val="22"/>
        </w:rPr>
        <w:t xml:space="preserve"> (Ont.) (Civil) (By Leave) (</w:t>
      </w:r>
      <w:hyperlink r:id="rId11" w:history="1">
        <w:r w:rsidRPr="00B86A35">
          <w:rPr>
            <w:rStyle w:val="Hyperlink"/>
            <w:sz w:val="22"/>
            <w:szCs w:val="22"/>
          </w:rPr>
          <w:t>37961</w:t>
        </w:r>
      </w:hyperlink>
      <w:r w:rsidRPr="00B86A35">
        <w:rPr>
          <w:sz w:val="22"/>
          <w:szCs w:val="22"/>
        </w:rPr>
        <w:t>)</w:t>
      </w:r>
    </w:p>
    <w:p w:rsidR="00192DA8" w:rsidRPr="00B86A35" w:rsidRDefault="00727BB6" w:rsidP="001B1618">
      <w:pPr>
        <w:jc w:val="both"/>
        <w:rPr>
          <w:sz w:val="20"/>
        </w:rPr>
      </w:pPr>
      <w:r w:rsidRPr="00B86A35">
        <w:rPr>
          <w:sz w:val="20"/>
        </w:rPr>
        <w:t xml:space="preserve">(The application for leave to appeal is dismissed with costs to the respondent in accordance with the Tariff of fees and disbursements set out in Schedule B of the </w:t>
      </w:r>
      <w:r w:rsidRPr="00B86A35">
        <w:rPr>
          <w:i/>
          <w:sz w:val="20"/>
        </w:rPr>
        <w:t>Rules of the Supreme Court of Canada</w:t>
      </w:r>
      <w:r w:rsidRPr="00B86A35">
        <w:rPr>
          <w:sz w:val="20"/>
        </w:rPr>
        <w:t xml:space="preserve">. / </w:t>
      </w:r>
    </w:p>
    <w:p w:rsidR="0061166E" w:rsidRPr="00B86A35" w:rsidRDefault="00727BB6" w:rsidP="001B1618">
      <w:pPr>
        <w:jc w:val="both"/>
        <w:rPr>
          <w:sz w:val="20"/>
          <w:lang w:val="fr-CA"/>
        </w:rPr>
      </w:pPr>
      <w:r w:rsidRPr="00B86A35">
        <w:rPr>
          <w:sz w:val="20"/>
          <w:lang w:val="fr-CA"/>
        </w:rPr>
        <w:t xml:space="preserve">La demande d’autorisation d’appel est rejetée avec dépens en faveur de l’intimée conformément au tarif des honoraires et débours établi à l’Annexe B des </w:t>
      </w:r>
      <w:r w:rsidRPr="00B86A35">
        <w:rPr>
          <w:i/>
          <w:iCs/>
          <w:sz w:val="20"/>
          <w:lang w:val="fr-CA"/>
        </w:rPr>
        <w:t>Règles de la Cour suprême du Canada</w:t>
      </w:r>
      <w:r w:rsidRPr="00B86A35">
        <w:rPr>
          <w:sz w:val="20"/>
          <w:lang w:val="fr-CA"/>
        </w:rPr>
        <w:t>.)</w:t>
      </w:r>
    </w:p>
    <w:p w:rsidR="0061166E" w:rsidRPr="00B86A35" w:rsidRDefault="0061166E" w:rsidP="001B1618">
      <w:pPr>
        <w:jc w:val="both"/>
        <w:rPr>
          <w:sz w:val="20"/>
          <w:lang w:val="fr-CA"/>
        </w:rPr>
      </w:pPr>
    </w:p>
    <w:p w:rsidR="001B1618" w:rsidRPr="00B86A35" w:rsidRDefault="001B1618" w:rsidP="001B1618">
      <w:pPr>
        <w:jc w:val="both"/>
        <w:rPr>
          <w:sz w:val="22"/>
          <w:szCs w:val="22"/>
        </w:rPr>
      </w:pPr>
      <w:r w:rsidRPr="00B86A35">
        <w:rPr>
          <w:sz w:val="22"/>
          <w:szCs w:val="22"/>
        </w:rPr>
        <w:t>****</w:t>
      </w:r>
    </w:p>
    <w:p w:rsidR="00192DA8" w:rsidRPr="00B86A35" w:rsidRDefault="00192DA8" w:rsidP="00192DA8">
      <w:pPr>
        <w:jc w:val="both"/>
        <w:rPr>
          <w:sz w:val="20"/>
        </w:rPr>
      </w:pPr>
    </w:p>
    <w:p w:rsidR="00AF0329" w:rsidRPr="00B86A35" w:rsidRDefault="00AF0329" w:rsidP="00AF0329">
      <w:pPr>
        <w:jc w:val="both"/>
        <w:rPr>
          <w:sz w:val="22"/>
          <w:szCs w:val="22"/>
        </w:rPr>
      </w:pPr>
      <w:r w:rsidRPr="00B86A35">
        <w:rPr>
          <w:i/>
          <w:sz w:val="22"/>
          <w:szCs w:val="22"/>
        </w:rPr>
        <w:t>Teva Canada Limited v. Janssen Inc. et al.</w:t>
      </w:r>
      <w:r w:rsidRPr="00B86A35">
        <w:rPr>
          <w:sz w:val="22"/>
          <w:szCs w:val="22"/>
        </w:rPr>
        <w:t xml:space="preserve"> (F.C.) (Civil) (By Leave) (</w:t>
      </w:r>
      <w:hyperlink r:id="rId12" w:history="1">
        <w:r w:rsidRPr="00B86A35">
          <w:rPr>
            <w:rStyle w:val="Hyperlink"/>
            <w:sz w:val="22"/>
            <w:szCs w:val="22"/>
          </w:rPr>
          <w:t>38033</w:t>
        </w:r>
      </w:hyperlink>
      <w:r w:rsidRPr="00B86A35">
        <w:rPr>
          <w:sz w:val="22"/>
          <w:szCs w:val="22"/>
        </w:rPr>
        <w:t>)</w:t>
      </w:r>
    </w:p>
    <w:p w:rsidR="0061166E" w:rsidRPr="00B86A35" w:rsidRDefault="00AF0329" w:rsidP="00192DA8">
      <w:pPr>
        <w:jc w:val="both"/>
        <w:rPr>
          <w:sz w:val="20"/>
        </w:rPr>
      </w:pPr>
      <w:r w:rsidRPr="00B86A35">
        <w:rPr>
          <w:sz w:val="20"/>
        </w:rPr>
        <w:t xml:space="preserve">(The motion to add Jansseen-Ortho LLC, Janssen Pharmaceuticals, Inc. and OMJ Pharmaceuticals, Inc. as parties to the application for leave to appeal is granted. The application for leave to appeal is dismissed with costs. / </w:t>
      </w:r>
    </w:p>
    <w:p w:rsidR="0061166E" w:rsidRPr="00B86A35" w:rsidRDefault="00AF0329" w:rsidP="00192DA8">
      <w:pPr>
        <w:jc w:val="both"/>
        <w:rPr>
          <w:sz w:val="20"/>
          <w:lang w:val="fr-CA"/>
        </w:rPr>
      </w:pPr>
      <w:r w:rsidRPr="00B86A35">
        <w:rPr>
          <w:sz w:val="20"/>
          <w:lang w:val="fr-CA"/>
        </w:rPr>
        <w:t>La requête en vue d’ajouter Jansseen-Ortho LLC, Janssen Pharmaceuticals, Inc. et OMJ Pharmaceuticals, Inc. comme parties à la demande d’autorisation d’appel est accueillie. La demande d’autorisation d’appel est rejetée avec dépens.)</w:t>
      </w:r>
    </w:p>
    <w:p w:rsidR="0061166E" w:rsidRPr="00B86A35" w:rsidRDefault="0061166E" w:rsidP="00192DA8">
      <w:pPr>
        <w:jc w:val="both"/>
        <w:rPr>
          <w:sz w:val="20"/>
          <w:lang w:val="fr-CA"/>
        </w:rPr>
      </w:pPr>
    </w:p>
    <w:p w:rsidR="00192DA8" w:rsidRPr="00B86A35" w:rsidRDefault="00192DA8" w:rsidP="00192DA8">
      <w:pPr>
        <w:jc w:val="both"/>
        <w:rPr>
          <w:sz w:val="22"/>
          <w:szCs w:val="22"/>
          <w:lang w:val="fr-CA"/>
        </w:rPr>
      </w:pPr>
      <w:r w:rsidRPr="00B86A35">
        <w:rPr>
          <w:sz w:val="22"/>
          <w:szCs w:val="22"/>
          <w:lang w:val="fr-CA"/>
        </w:rPr>
        <w:t>****</w:t>
      </w:r>
    </w:p>
    <w:p w:rsidR="00192DA8" w:rsidRPr="00B86A35" w:rsidRDefault="00192DA8" w:rsidP="00192DA8">
      <w:pPr>
        <w:jc w:val="both"/>
        <w:rPr>
          <w:sz w:val="20"/>
          <w:lang w:val="fr-CA"/>
        </w:rPr>
      </w:pPr>
    </w:p>
    <w:p w:rsidR="0032231F" w:rsidRPr="00B86A35" w:rsidRDefault="0032231F" w:rsidP="0032231F">
      <w:pPr>
        <w:jc w:val="both"/>
        <w:rPr>
          <w:sz w:val="22"/>
        </w:rPr>
      </w:pPr>
      <w:r w:rsidRPr="00B86A35">
        <w:rPr>
          <w:i/>
          <w:sz w:val="22"/>
          <w:lang w:val="fr-CA"/>
        </w:rPr>
        <w:lastRenderedPageBreak/>
        <w:t>Phi</w:t>
      </w:r>
      <w:r w:rsidR="00BD0CC3" w:rsidRPr="00B86A35">
        <w:rPr>
          <w:i/>
          <w:sz w:val="22"/>
          <w:lang w:val="fr-CA"/>
        </w:rPr>
        <w:t>l</w:t>
      </w:r>
      <w:r w:rsidRPr="00B86A35">
        <w:rPr>
          <w:i/>
          <w:sz w:val="22"/>
          <w:lang w:val="fr-CA"/>
        </w:rPr>
        <w:t>lip Atkins v. Her Majesty the Queen</w:t>
      </w:r>
      <w:r w:rsidRPr="00B86A35">
        <w:rPr>
          <w:sz w:val="22"/>
          <w:lang w:val="fr-CA"/>
        </w:rPr>
        <w:t xml:space="preserve"> (Ont.) </w:t>
      </w:r>
      <w:r w:rsidRPr="00B86A35">
        <w:rPr>
          <w:sz w:val="22"/>
        </w:rPr>
        <w:t>(Criminal) (By Leave) (</w:t>
      </w:r>
      <w:hyperlink r:id="rId13" w:history="1">
        <w:r w:rsidRPr="00B86A35">
          <w:rPr>
            <w:rStyle w:val="Hyperlink"/>
            <w:sz w:val="22"/>
          </w:rPr>
          <w:t>38016</w:t>
        </w:r>
      </w:hyperlink>
      <w:r w:rsidRPr="00B86A35">
        <w:rPr>
          <w:sz w:val="22"/>
        </w:rPr>
        <w:t>)</w:t>
      </w:r>
    </w:p>
    <w:p w:rsidR="00192DA8" w:rsidRPr="00B86A35" w:rsidRDefault="0032231F" w:rsidP="00192DA8">
      <w:pPr>
        <w:jc w:val="both"/>
        <w:rPr>
          <w:sz w:val="16"/>
          <w:lang w:val="fr-CA"/>
        </w:rPr>
      </w:pPr>
      <w:r w:rsidRPr="00B86A35">
        <w:rPr>
          <w:sz w:val="16"/>
        </w:rPr>
        <w:t>(</w:t>
      </w:r>
      <w:r w:rsidRPr="00B86A35">
        <w:rPr>
          <w:sz w:val="20"/>
        </w:rPr>
        <w:t xml:space="preserve">The motion for an extension of time to serve and file the application for leave to appeal is granted. </w:t>
      </w:r>
      <w:r w:rsidRPr="00B86A35">
        <w:rPr>
          <w:sz w:val="20"/>
          <w:lang w:val="fr-CA"/>
        </w:rPr>
        <w:t xml:space="preserve">The application for leave to appeal is dismissed. / </w:t>
      </w:r>
    </w:p>
    <w:p w:rsidR="0061166E" w:rsidRPr="00B86A35" w:rsidRDefault="0032231F" w:rsidP="00192DA8">
      <w:pPr>
        <w:jc w:val="both"/>
        <w:rPr>
          <w:sz w:val="16"/>
          <w:lang w:val="fr-CA"/>
        </w:rPr>
      </w:pPr>
      <w:r w:rsidRPr="00B86A35">
        <w:rPr>
          <w:sz w:val="20"/>
          <w:lang w:val="fr-CA"/>
        </w:rPr>
        <w:t>La requête en prorogation du délai de signification et de dépôt de la demande d’autorisation d’appel est accueillie. La demande d’autorisation d’appel est rejetée.)</w:t>
      </w:r>
    </w:p>
    <w:p w:rsidR="0061166E" w:rsidRPr="00B86A35" w:rsidRDefault="0061166E" w:rsidP="00192DA8">
      <w:pPr>
        <w:jc w:val="both"/>
        <w:rPr>
          <w:sz w:val="18"/>
          <w:lang w:val="fr-CA"/>
        </w:rPr>
      </w:pPr>
    </w:p>
    <w:p w:rsidR="00192DA8" w:rsidRPr="00B86A35" w:rsidRDefault="00192DA8" w:rsidP="00192DA8">
      <w:pPr>
        <w:jc w:val="both"/>
        <w:rPr>
          <w:sz w:val="22"/>
          <w:szCs w:val="22"/>
          <w:lang w:val="fr-CA"/>
        </w:rPr>
      </w:pPr>
      <w:r w:rsidRPr="00B86A35">
        <w:rPr>
          <w:sz w:val="22"/>
          <w:szCs w:val="22"/>
          <w:lang w:val="fr-CA"/>
        </w:rPr>
        <w:t>****</w:t>
      </w:r>
    </w:p>
    <w:p w:rsidR="00192DA8" w:rsidRPr="00B86A35" w:rsidRDefault="00192DA8" w:rsidP="00192DA8">
      <w:pPr>
        <w:jc w:val="both"/>
        <w:rPr>
          <w:sz w:val="20"/>
          <w:lang w:val="fr-CA"/>
        </w:rPr>
      </w:pPr>
    </w:p>
    <w:p w:rsidR="00864149" w:rsidRPr="00B86A35" w:rsidRDefault="00864149" w:rsidP="00864149">
      <w:pPr>
        <w:jc w:val="both"/>
        <w:rPr>
          <w:sz w:val="22"/>
        </w:rPr>
      </w:pPr>
      <w:r w:rsidRPr="00B86A35">
        <w:rPr>
          <w:i/>
          <w:sz w:val="22"/>
          <w:lang w:val="fr-CA"/>
        </w:rPr>
        <w:t xml:space="preserve">Xin Yan v. Riglube </w:t>
      </w:r>
      <w:r w:rsidRPr="00B86A35">
        <w:rPr>
          <w:sz w:val="22"/>
          <w:lang w:val="fr-CA"/>
        </w:rPr>
        <w:t xml:space="preserve">(Ont.) </w:t>
      </w:r>
      <w:r w:rsidRPr="00B86A35">
        <w:rPr>
          <w:sz w:val="22"/>
        </w:rPr>
        <w:t>(Civil) (By Leave) (</w:t>
      </w:r>
      <w:hyperlink r:id="rId14" w:history="1">
        <w:r w:rsidRPr="00B86A35">
          <w:rPr>
            <w:rStyle w:val="Hyperlink"/>
            <w:sz w:val="22"/>
          </w:rPr>
          <w:t>38008</w:t>
        </w:r>
      </w:hyperlink>
      <w:r w:rsidRPr="00B86A35">
        <w:rPr>
          <w:sz w:val="22"/>
        </w:rPr>
        <w:t xml:space="preserve">) </w:t>
      </w:r>
    </w:p>
    <w:p w:rsidR="00192DA8" w:rsidRPr="00B86A35" w:rsidRDefault="00864149" w:rsidP="00192DA8">
      <w:pPr>
        <w:jc w:val="both"/>
        <w:rPr>
          <w:sz w:val="16"/>
          <w:lang w:val="en-CA"/>
        </w:rPr>
      </w:pPr>
      <w:r w:rsidRPr="00B86A35">
        <w:rPr>
          <w:sz w:val="16"/>
          <w:lang w:val="en-CA"/>
        </w:rPr>
        <w:t>(</w:t>
      </w:r>
      <w:r w:rsidRPr="00B86A35">
        <w:rPr>
          <w:sz w:val="20"/>
        </w:rPr>
        <w:t xml:space="preserve">The application for leave to appeal is dismissed with costs in accordance with the tariff of fees and disbursements set out in Schedule B of the </w:t>
      </w:r>
      <w:r w:rsidRPr="00B86A35">
        <w:rPr>
          <w:i/>
          <w:sz w:val="20"/>
        </w:rPr>
        <w:t>Rules of the Supreme Court of Canada</w:t>
      </w:r>
      <w:r w:rsidRPr="00B86A35">
        <w:rPr>
          <w:sz w:val="20"/>
        </w:rPr>
        <w:t xml:space="preserve">. / </w:t>
      </w:r>
    </w:p>
    <w:p w:rsidR="0061166E" w:rsidRPr="00B86A35" w:rsidRDefault="00864149" w:rsidP="00192DA8">
      <w:pPr>
        <w:jc w:val="both"/>
        <w:rPr>
          <w:sz w:val="16"/>
          <w:lang w:val="fr-CA"/>
        </w:rPr>
      </w:pPr>
      <w:r w:rsidRPr="00B86A35">
        <w:rPr>
          <w:sz w:val="20"/>
          <w:lang w:val="fr-CA"/>
        </w:rPr>
        <w:t xml:space="preserve">La demande d’autorisation d’appel est rejetée avec dépens conformément au tarif des honoraires et débours établi à l’Annexe B des </w:t>
      </w:r>
      <w:r w:rsidRPr="00B86A35">
        <w:rPr>
          <w:i/>
          <w:iCs/>
          <w:sz w:val="20"/>
          <w:lang w:val="fr-CA"/>
        </w:rPr>
        <w:t>Règles de la Cour suprême du Canada</w:t>
      </w:r>
      <w:r w:rsidRPr="00B86A35">
        <w:rPr>
          <w:sz w:val="20"/>
          <w:lang w:val="fr-CA"/>
        </w:rPr>
        <w:t>.)</w:t>
      </w:r>
    </w:p>
    <w:p w:rsidR="0061166E" w:rsidRPr="00B86A35" w:rsidRDefault="0061166E" w:rsidP="00192DA8">
      <w:pPr>
        <w:jc w:val="both"/>
        <w:rPr>
          <w:sz w:val="20"/>
          <w:lang w:val="fr-CA"/>
        </w:rPr>
      </w:pPr>
    </w:p>
    <w:p w:rsidR="00192DA8" w:rsidRPr="00B86A35" w:rsidRDefault="00192DA8" w:rsidP="00192DA8">
      <w:pPr>
        <w:jc w:val="both"/>
        <w:rPr>
          <w:sz w:val="22"/>
          <w:szCs w:val="22"/>
        </w:rPr>
      </w:pPr>
      <w:r w:rsidRPr="00B86A35">
        <w:rPr>
          <w:sz w:val="22"/>
          <w:szCs w:val="22"/>
        </w:rPr>
        <w:t>****</w:t>
      </w:r>
    </w:p>
    <w:p w:rsidR="00192DA8" w:rsidRPr="00B86A35" w:rsidRDefault="00192DA8" w:rsidP="00192DA8">
      <w:pPr>
        <w:jc w:val="both"/>
        <w:rPr>
          <w:sz w:val="20"/>
        </w:rPr>
      </w:pPr>
    </w:p>
    <w:p w:rsidR="006F3AA1" w:rsidRPr="00B86A35" w:rsidRDefault="006F3AA1" w:rsidP="006F3AA1">
      <w:pPr>
        <w:jc w:val="both"/>
        <w:rPr>
          <w:sz w:val="22"/>
        </w:rPr>
      </w:pPr>
      <w:r w:rsidRPr="00B86A35">
        <w:rPr>
          <w:i/>
          <w:sz w:val="22"/>
        </w:rPr>
        <w:t xml:space="preserve">2156775 Ontario Inc. o/a D’Angelo Brands </w:t>
      </w:r>
      <w:r w:rsidRPr="00B86A35">
        <w:rPr>
          <w:i/>
          <w:sz w:val="22"/>
          <w:lang w:val="en-CA"/>
        </w:rPr>
        <w:t xml:space="preserve">v. Michael Zigomanis </w:t>
      </w:r>
      <w:r w:rsidRPr="00B86A35">
        <w:rPr>
          <w:sz w:val="22"/>
        </w:rPr>
        <w:t>(Ont.) (Civil) (By Leave) (</w:t>
      </w:r>
      <w:hyperlink r:id="rId15" w:history="1">
        <w:r w:rsidRPr="00B86A35">
          <w:rPr>
            <w:rStyle w:val="Hyperlink"/>
            <w:sz w:val="22"/>
          </w:rPr>
          <w:t>38045</w:t>
        </w:r>
      </w:hyperlink>
      <w:r w:rsidRPr="00B86A35">
        <w:rPr>
          <w:sz w:val="22"/>
        </w:rPr>
        <w:t>)</w:t>
      </w:r>
    </w:p>
    <w:p w:rsidR="0061166E" w:rsidRPr="00B86A35" w:rsidRDefault="006F3AA1" w:rsidP="00192DA8">
      <w:pPr>
        <w:jc w:val="both"/>
        <w:rPr>
          <w:sz w:val="20"/>
        </w:rPr>
      </w:pPr>
      <w:r w:rsidRPr="00B86A35">
        <w:rPr>
          <w:sz w:val="20"/>
        </w:rPr>
        <w:t xml:space="preserve">(The application for leave to appeal is dismissed. / La demande d’autorisation d’appel </w:t>
      </w:r>
      <w:proofErr w:type="gramStart"/>
      <w:r w:rsidRPr="00B86A35">
        <w:rPr>
          <w:sz w:val="20"/>
        </w:rPr>
        <w:t>est</w:t>
      </w:r>
      <w:proofErr w:type="gramEnd"/>
      <w:r w:rsidRPr="00B86A35">
        <w:rPr>
          <w:sz w:val="20"/>
        </w:rPr>
        <w:t xml:space="preserve"> rejetée.)</w:t>
      </w:r>
    </w:p>
    <w:p w:rsidR="0061166E" w:rsidRPr="00B86A35" w:rsidRDefault="0061166E" w:rsidP="00192DA8">
      <w:pPr>
        <w:jc w:val="both"/>
        <w:rPr>
          <w:sz w:val="20"/>
        </w:rPr>
      </w:pPr>
    </w:p>
    <w:p w:rsidR="00192DA8" w:rsidRPr="00B86A35" w:rsidRDefault="00192DA8" w:rsidP="00192DA8">
      <w:pPr>
        <w:jc w:val="both"/>
        <w:rPr>
          <w:sz w:val="22"/>
          <w:szCs w:val="22"/>
        </w:rPr>
      </w:pPr>
      <w:r w:rsidRPr="00B86A35">
        <w:rPr>
          <w:sz w:val="22"/>
          <w:szCs w:val="22"/>
        </w:rPr>
        <w:t>****</w:t>
      </w:r>
    </w:p>
    <w:p w:rsidR="00192DA8" w:rsidRPr="00B86A35" w:rsidRDefault="00192DA8" w:rsidP="00192DA8">
      <w:pPr>
        <w:jc w:val="both"/>
        <w:rPr>
          <w:sz w:val="20"/>
        </w:rPr>
      </w:pPr>
    </w:p>
    <w:p w:rsidR="00165F0F" w:rsidRPr="00B86A35" w:rsidRDefault="00165F0F" w:rsidP="00165F0F">
      <w:pPr>
        <w:jc w:val="both"/>
        <w:rPr>
          <w:sz w:val="22"/>
        </w:rPr>
      </w:pPr>
      <w:r w:rsidRPr="00B86A35">
        <w:rPr>
          <w:i/>
          <w:sz w:val="22"/>
        </w:rPr>
        <w:t xml:space="preserve">E.T. v. Calgary Catholic School District No. 1 et al. </w:t>
      </w:r>
      <w:r w:rsidRPr="00B86A35">
        <w:rPr>
          <w:sz w:val="22"/>
        </w:rPr>
        <w:t>(Alta.) (Civil) (By Leave) (</w:t>
      </w:r>
      <w:hyperlink r:id="rId16" w:history="1">
        <w:r w:rsidRPr="00B86A35">
          <w:rPr>
            <w:rStyle w:val="Hyperlink"/>
            <w:sz w:val="22"/>
          </w:rPr>
          <w:t>38081</w:t>
        </w:r>
      </w:hyperlink>
      <w:r w:rsidRPr="00B86A35">
        <w:rPr>
          <w:sz w:val="22"/>
        </w:rPr>
        <w:t xml:space="preserve">) </w:t>
      </w:r>
    </w:p>
    <w:p w:rsidR="00192DA8" w:rsidRPr="00B86A35" w:rsidRDefault="00165F0F" w:rsidP="00192DA8">
      <w:pPr>
        <w:jc w:val="both"/>
        <w:rPr>
          <w:sz w:val="16"/>
        </w:rPr>
      </w:pPr>
      <w:r w:rsidRPr="00B86A35">
        <w:rPr>
          <w:sz w:val="16"/>
        </w:rPr>
        <w:t>(</w:t>
      </w:r>
      <w:r w:rsidRPr="00B86A35">
        <w:rPr>
          <w:sz w:val="20"/>
        </w:rPr>
        <w:t xml:space="preserve">The motion to join the two Court of Appeal file numbers and the motion to file a lengthy reply are granted. The application for leave to appeal is dismissed with costs. / </w:t>
      </w:r>
    </w:p>
    <w:p w:rsidR="0061166E" w:rsidRPr="00B86A35" w:rsidRDefault="00165F0F" w:rsidP="00192DA8">
      <w:pPr>
        <w:jc w:val="both"/>
        <w:rPr>
          <w:sz w:val="16"/>
          <w:lang w:val="fr-CA"/>
        </w:rPr>
      </w:pPr>
      <w:r w:rsidRPr="00B86A35">
        <w:rPr>
          <w:sz w:val="20"/>
          <w:lang w:val="fr-CA"/>
        </w:rPr>
        <w:t xml:space="preserve">La requête pour </w:t>
      </w:r>
      <w:r w:rsidRPr="00B86A35">
        <w:rPr>
          <w:rStyle w:val="shorttext0"/>
          <w:color w:val="222222"/>
          <w:sz w:val="20"/>
          <w:lang w:val="fr-CA"/>
        </w:rPr>
        <w:t xml:space="preserve">joindre deux numéros de dossier de la cour d’appel et </w:t>
      </w:r>
      <w:r w:rsidRPr="00B86A35">
        <w:rPr>
          <w:sz w:val="20"/>
          <w:lang w:val="fr-CA"/>
        </w:rPr>
        <w:t>la requête pour déposer une réplique volumineuse sont accueillies. La demande d’autorisation d’appel est rejetée avec dépens.)</w:t>
      </w:r>
    </w:p>
    <w:p w:rsidR="0061166E" w:rsidRPr="00B86A35" w:rsidRDefault="0061166E" w:rsidP="00192DA8">
      <w:pPr>
        <w:jc w:val="both"/>
        <w:rPr>
          <w:sz w:val="20"/>
          <w:lang w:val="fr-CA"/>
        </w:rPr>
      </w:pPr>
    </w:p>
    <w:p w:rsidR="00192DA8" w:rsidRPr="00B86A35" w:rsidRDefault="00192DA8" w:rsidP="00192DA8">
      <w:pPr>
        <w:jc w:val="both"/>
        <w:rPr>
          <w:sz w:val="22"/>
          <w:szCs w:val="22"/>
          <w:lang w:val="fr-CA"/>
        </w:rPr>
      </w:pPr>
      <w:r w:rsidRPr="00B86A35">
        <w:rPr>
          <w:sz w:val="22"/>
          <w:szCs w:val="22"/>
          <w:lang w:val="fr-CA"/>
        </w:rPr>
        <w:t>****</w:t>
      </w:r>
    </w:p>
    <w:p w:rsidR="00192DA8" w:rsidRPr="00B86A35" w:rsidRDefault="00192DA8" w:rsidP="00192DA8">
      <w:pPr>
        <w:jc w:val="both"/>
        <w:rPr>
          <w:sz w:val="20"/>
          <w:lang w:val="fr-CA"/>
        </w:rPr>
      </w:pPr>
    </w:p>
    <w:p w:rsidR="00F163B1" w:rsidRPr="00B86A35" w:rsidRDefault="00F163B1" w:rsidP="00F163B1">
      <w:pPr>
        <w:jc w:val="both"/>
        <w:rPr>
          <w:sz w:val="22"/>
        </w:rPr>
      </w:pPr>
      <w:r w:rsidRPr="00B86A35">
        <w:rPr>
          <w:i/>
          <w:sz w:val="22"/>
          <w:lang w:val="fr-CA"/>
        </w:rPr>
        <w:t>Eli Lilly Canada Inc. v. Teva Canada Limited</w:t>
      </w:r>
      <w:r w:rsidRPr="00B86A35">
        <w:rPr>
          <w:sz w:val="22"/>
          <w:lang w:val="fr-CA"/>
        </w:rPr>
        <w:t xml:space="preserve"> (F.C.) </w:t>
      </w:r>
      <w:r w:rsidRPr="00B86A35">
        <w:rPr>
          <w:sz w:val="22"/>
        </w:rPr>
        <w:t>(Civil) (By Leave) (</w:t>
      </w:r>
      <w:hyperlink r:id="rId17" w:history="1">
        <w:r w:rsidRPr="00B86A35">
          <w:rPr>
            <w:rStyle w:val="Hyperlink"/>
            <w:sz w:val="22"/>
          </w:rPr>
          <w:t>38077</w:t>
        </w:r>
      </w:hyperlink>
      <w:r w:rsidRPr="00B86A35">
        <w:rPr>
          <w:sz w:val="22"/>
        </w:rPr>
        <w:t>)</w:t>
      </w:r>
    </w:p>
    <w:p w:rsidR="0061166E" w:rsidRPr="00B86A35" w:rsidRDefault="00F163B1" w:rsidP="00192DA8">
      <w:pPr>
        <w:jc w:val="both"/>
        <w:rPr>
          <w:sz w:val="20"/>
        </w:rPr>
      </w:pPr>
      <w:r w:rsidRPr="00B86A35">
        <w:rPr>
          <w:sz w:val="20"/>
        </w:rPr>
        <w:t xml:space="preserve">(The application for leave to appeal is dismissed with costs. / La demande d’autorisation d’appel </w:t>
      </w:r>
      <w:proofErr w:type="gramStart"/>
      <w:r w:rsidRPr="00B86A35">
        <w:rPr>
          <w:sz w:val="20"/>
        </w:rPr>
        <w:t>est</w:t>
      </w:r>
      <w:proofErr w:type="gramEnd"/>
      <w:r w:rsidRPr="00B86A35">
        <w:rPr>
          <w:sz w:val="20"/>
        </w:rPr>
        <w:t xml:space="preserve"> rejetée avec dépens.)</w:t>
      </w:r>
    </w:p>
    <w:p w:rsidR="0061166E" w:rsidRPr="00B86A35" w:rsidRDefault="0061166E" w:rsidP="00192DA8">
      <w:pPr>
        <w:jc w:val="both"/>
        <w:rPr>
          <w:sz w:val="20"/>
        </w:rPr>
      </w:pPr>
    </w:p>
    <w:p w:rsidR="00192DA8" w:rsidRPr="00B86A35" w:rsidRDefault="00192DA8" w:rsidP="00192DA8">
      <w:pPr>
        <w:jc w:val="both"/>
        <w:rPr>
          <w:sz w:val="22"/>
          <w:szCs w:val="22"/>
        </w:rPr>
      </w:pPr>
      <w:r w:rsidRPr="00B86A35">
        <w:rPr>
          <w:sz w:val="22"/>
          <w:szCs w:val="22"/>
        </w:rPr>
        <w:t>****</w:t>
      </w:r>
    </w:p>
    <w:p w:rsidR="00192DA8" w:rsidRPr="00B86A35" w:rsidRDefault="00192DA8" w:rsidP="00192DA8">
      <w:pPr>
        <w:jc w:val="both"/>
        <w:rPr>
          <w:sz w:val="20"/>
        </w:rPr>
      </w:pPr>
    </w:p>
    <w:p w:rsidR="00F734FD" w:rsidRPr="00B86A35" w:rsidRDefault="00F734FD" w:rsidP="00F734FD">
      <w:pPr>
        <w:jc w:val="both"/>
        <w:rPr>
          <w:sz w:val="22"/>
        </w:rPr>
      </w:pPr>
      <w:r w:rsidRPr="00B86A35">
        <w:rPr>
          <w:i/>
          <w:sz w:val="22"/>
        </w:rPr>
        <w:t>Her Majesty the Queen v. Kristjan H. Pierone</w:t>
      </w:r>
      <w:r w:rsidRPr="00B86A35">
        <w:rPr>
          <w:sz w:val="22"/>
        </w:rPr>
        <w:t xml:space="preserve"> (Sask.) (Criminal) (By Leave) (</w:t>
      </w:r>
      <w:hyperlink r:id="rId18" w:history="1">
        <w:r w:rsidRPr="00B86A35">
          <w:rPr>
            <w:rStyle w:val="Hyperlink"/>
            <w:sz w:val="22"/>
          </w:rPr>
          <w:t>38182</w:t>
        </w:r>
      </w:hyperlink>
      <w:r w:rsidRPr="00B86A35">
        <w:rPr>
          <w:sz w:val="22"/>
        </w:rPr>
        <w:t>)</w:t>
      </w:r>
    </w:p>
    <w:p w:rsidR="0061166E" w:rsidRPr="00B86A35" w:rsidRDefault="00F734FD" w:rsidP="00192DA8">
      <w:pPr>
        <w:jc w:val="both"/>
        <w:rPr>
          <w:sz w:val="20"/>
        </w:rPr>
      </w:pPr>
      <w:r w:rsidRPr="00B86A35">
        <w:rPr>
          <w:sz w:val="20"/>
        </w:rPr>
        <w:t xml:space="preserve">(The application for leave to appeal is dismissed with costs. / La demande d’autorisation d’appel </w:t>
      </w:r>
      <w:proofErr w:type="gramStart"/>
      <w:r w:rsidRPr="00B86A35">
        <w:rPr>
          <w:sz w:val="20"/>
        </w:rPr>
        <w:t>est</w:t>
      </w:r>
      <w:proofErr w:type="gramEnd"/>
      <w:r w:rsidRPr="00B86A35">
        <w:rPr>
          <w:sz w:val="20"/>
        </w:rPr>
        <w:t xml:space="preserve"> rejetée avec dépens.)</w:t>
      </w:r>
    </w:p>
    <w:p w:rsidR="0061166E" w:rsidRPr="00B86A35" w:rsidRDefault="0061166E" w:rsidP="00192DA8">
      <w:pPr>
        <w:jc w:val="both"/>
        <w:rPr>
          <w:sz w:val="20"/>
        </w:rPr>
      </w:pPr>
    </w:p>
    <w:p w:rsidR="00192DA8" w:rsidRPr="00B86A35" w:rsidRDefault="00192DA8" w:rsidP="00192DA8">
      <w:pPr>
        <w:jc w:val="both"/>
        <w:rPr>
          <w:sz w:val="22"/>
          <w:szCs w:val="22"/>
        </w:rPr>
      </w:pPr>
      <w:r w:rsidRPr="00B86A35">
        <w:rPr>
          <w:sz w:val="22"/>
          <w:szCs w:val="22"/>
        </w:rPr>
        <w:t>****</w:t>
      </w:r>
    </w:p>
    <w:p w:rsidR="00192DA8" w:rsidRPr="00B86A35" w:rsidRDefault="00192DA8" w:rsidP="00192DA8">
      <w:pPr>
        <w:jc w:val="both"/>
        <w:rPr>
          <w:sz w:val="20"/>
        </w:rPr>
      </w:pPr>
    </w:p>
    <w:p w:rsidR="00845CAF" w:rsidRPr="00B86A35" w:rsidRDefault="00845CAF" w:rsidP="00845CAF">
      <w:pPr>
        <w:jc w:val="both"/>
        <w:rPr>
          <w:sz w:val="22"/>
        </w:rPr>
      </w:pPr>
      <w:r w:rsidRPr="00B86A35">
        <w:rPr>
          <w:i/>
          <w:sz w:val="22"/>
          <w:lang w:val="fr-CA"/>
        </w:rPr>
        <w:t>Paul Duncan Reilly v. Elaine Lynn Priest</w:t>
      </w:r>
      <w:r w:rsidRPr="00B86A35">
        <w:rPr>
          <w:sz w:val="22"/>
          <w:lang w:val="fr-CA"/>
        </w:rPr>
        <w:t xml:space="preserve"> (Ont.) </w:t>
      </w:r>
      <w:r w:rsidRPr="00B86A35">
        <w:rPr>
          <w:sz w:val="22"/>
        </w:rPr>
        <w:t>(Civil) (By Leave) (</w:t>
      </w:r>
      <w:hyperlink r:id="rId19" w:history="1">
        <w:r w:rsidRPr="00B86A35">
          <w:rPr>
            <w:rStyle w:val="Hyperlink"/>
            <w:sz w:val="22"/>
          </w:rPr>
          <w:t>38216</w:t>
        </w:r>
      </w:hyperlink>
      <w:r w:rsidRPr="00B86A35">
        <w:rPr>
          <w:sz w:val="22"/>
        </w:rPr>
        <w:t>)</w:t>
      </w:r>
    </w:p>
    <w:p w:rsidR="00192DA8" w:rsidRPr="00B86A35" w:rsidRDefault="00845CAF" w:rsidP="00192DA8">
      <w:pPr>
        <w:jc w:val="both"/>
        <w:rPr>
          <w:sz w:val="20"/>
        </w:rPr>
      </w:pPr>
      <w:r w:rsidRPr="00B86A35">
        <w:rPr>
          <w:sz w:val="20"/>
        </w:rPr>
        <w:t xml:space="preserve">(The motion for a stay of execution is dismissed. The application for leave to appeal is dismissed with no order as to costs. / </w:t>
      </w:r>
    </w:p>
    <w:p w:rsidR="0061166E" w:rsidRPr="00B86A35" w:rsidRDefault="00845CAF" w:rsidP="00192DA8">
      <w:pPr>
        <w:jc w:val="both"/>
        <w:rPr>
          <w:sz w:val="20"/>
          <w:lang w:val="fr-CA"/>
        </w:rPr>
      </w:pPr>
      <w:r w:rsidRPr="00B86A35">
        <w:rPr>
          <w:sz w:val="20"/>
          <w:lang w:val="fr-CA"/>
        </w:rPr>
        <w:t>La requête visant à obtenir un sursis d’exécution est rejetée. La demande d’autorisation d’appel est rejetée sans ordonnance quant aux dépens.)</w:t>
      </w:r>
    </w:p>
    <w:p w:rsidR="0061166E" w:rsidRPr="00B86A35" w:rsidRDefault="0061166E" w:rsidP="00192DA8">
      <w:pPr>
        <w:jc w:val="both"/>
        <w:rPr>
          <w:sz w:val="20"/>
          <w:lang w:val="fr-CA"/>
        </w:rPr>
      </w:pPr>
    </w:p>
    <w:p w:rsidR="00192DA8" w:rsidRPr="00B86A35" w:rsidRDefault="00192DA8" w:rsidP="00192DA8">
      <w:pPr>
        <w:jc w:val="both"/>
        <w:rPr>
          <w:sz w:val="22"/>
          <w:szCs w:val="22"/>
        </w:rPr>
      </w:pPr>
      <w:r w:rsidRPr="00B86A35">
        <w:rPr>
          <w:sz w:val="22"/>
          <w:szCs w:val="22"/>
        </w:rPr>
        <w:t>****</w:t>
      </w:r>
    </w:p>
    <w:p w:rsidR="005B26E2" w:rsidRPr="00B86A35" w:rsidRDefault="005B26E2" w:rsidP="005B26E2">
      <w:pPr>
        <w:jc w:val="both"/>
        <w:rPr>
          <w:sz w:val="20"/>
        </w:rPr>
      </w:pPr>
    </w:p>
    <w:p w:rsidR="001453A8" w:rsidRPr="00B86A35" w:rsidRDefault="001453A8" w:rsidP="001453A8">
      <w:pPr>
        <w:jc w:val="both"/>
        <w:rPr>
          <w:sz w:val="22"/>
        </w:rPr>
      </w:pPr>
      <w:r w:rsidRPr="00B86A35">
        <w:rPr>
          <w:i/>
          <w:sz w:val="22"/>
        </w:rPr>
        <w:t>Chin Fong Woon v. Technicon Industries Ltd.</w:t>
      </w:r>
      <w:r w:rsidRPr="00B86A35">
        <w:rPr>
          <w:sz w:val="22"/>
        </w:rPr>
        <w:t xml:space="preserve"> (B.C.) (Civil) (By Leave) (</w:t>
      </w:r>
      <w:hyperlink r:id="rId20" w:history="1">
        <w:r w:rsidRPr="00B86A35">
          <w:rPr>
            <w:rStyle w:val="Hyperlink"/>
            <w:sz w:val="22"/>
          </w:rPr>
          <w:t>37982</w:t>
        </w:r>
      </w:hyperlink>
      <w:r w:rsidRPr="00B86A35">
        <w:rPr>
          <w:sz w:val="22"/>
        </w:rPr>
        <w:t>)</w:t>
      </w:r>
    </w:p>
    <w:p w:rsidR="005B26E2" w:rsidRPr="00B86A35" w:rsidRDefault="001453A8" w:rsidP="005B26E2">
      <w:pPr>
        <w:jc w:val="both"/>
        <w:rPr>
          <w:sz w:val="20"/>
          <w:lang w:val="fr-CA"/>
        </w:rPr>
      </w:pPr>
      <w:r w:rsidRPr="00B86A35">
        <w:rPr>
          <w:sz w:val="20"/>
        </w:rPr>
        <w:t xml:space="preserve">(The motion for an extension of time to serve and file the application for leave to appeal is granted. </w:t>
      </w:r>
      <w:r w:rsidRPr="00B86A35">
        <w:rPr>
          <w:sz w:val="20"/>
          <w:lang w:val="fr-CA"/>
        </w:rPr>
        <w:t xml:space="preserve">The application for leave to appeal is dismissed. / </w:t>
      </w:r>
    </w:p>
    <w:p w:rsidR="005B26E2" w:rsidRPr="00B86A35" w:rsidRDefault="001453A8" w:rsidP="005B26E2">
      <w:pPr>
        <w:jc w:val="both"/>
        <w:rPr>
          <w:sz w:val="20"/>
          <w:lang w:val="fr-CA"/>
        </w:rPr>
      </w:pPr>
      <w:r w:rsidRPr="00B86A35">
        <w:rPr>
          <w:sz w:val="20"/>
          <w:lang w:val="fr-CA"/>
        </w:rPr>
        <w:t>La requête en prorogation du délai de signification et de dépôt de la demande d’autorisation d’appel est accueillie. La demande d’autorisation d’appel est rejetée.)</w:t>
      </w:r>
    </w:p>
    <w:p w:rsidR="005B26E2" w:rsidRPr="00B86A35" w:rsidRDefault="005B26E2" w:rsidP="005B26E2">
      <w:pPr>
        <w:jc w:val="both"/>
        <w:rPr>
          <w:sz w:val="20"/>
          <w:lang w:val="fr-CA"/>
        </w:rPr>
      </w:pPr>
    </w:p>
    <w:p w:rsidR="005B26E2" w:rsidRPr="00B86A35" w:rsidRDefault="005B26E2" w:rsidP="005B26E2">
      <w:pPr>
        <w:jc w:val="both"/>
        <w:rPr>
          <w:sz w:val="22"/>
          <w:szCs w:val="22"/>
          <w:lang w:val="fr-CA"/>
        </w:rPr>
      </w:pPr>
      <w:r w:rsidRPr="00B86A35">
        <w:rPr>
          <w:sz w:val="22"/>
          <w:szCs w:val="22"/>
          <w:lang w:val="fr-CA"/>
        </w:rPr>
        <w:t>****</w:t>
      </w:r>
    </w:p>
    <w:p w:rsidR="005B26E2" w:rsidRPr="00B86A35" w:rsidRDefault="005B26E2" w:rsidP="005B26E2">
      <w:pPr>
        <w:jc w:val="both"/>
        <w:rPr>
          <w:sz w:val="20"/>
          <w:lang w:val="fr-CA"/>
        </w:rPr>
      </w:pPr>
    </w:p>
    <w:p w:rsidR="00360ADB" w:rsidRPr="00B86A35" w:rsidRDefault="00360ADB" w:rsidP="00360ADB">
      <w:pPr>
        <w:jc w:val="both"/>
        <w:rPr>
          <w:sz w:val="22"/>
          <w:lang w:val="en-CA"/>
        </w:rPr>
      </w:pPr>
      <w:r w:rsidRPr="00B86A35">
        <w:rPr>
          <w:i/>
          <w:sz w:val="22"/>
          <w:lang w:val="fr-CA"/>
        </w:rPr>
        <w:lastRenderedPageBreak/>
        <w:t>L.H.E. v. Her Majesty the Queen</w:t>
      </w:r>
      <w:r w:rsidRPr="00B86A35">
        <w:rPr>
          <w:sz w:val="22"/>
          <w:lang w:val="fr-CA"/>
        </w:rPr>
        <w:t xml:space="preserve"> (Ont.) </w:t>
      </w:r>
      <w:r w:rsidRPr="00B86A35">
        <w:rPr>
          <w:sz w:val="22"/>
          <w:lang w:val="en-CA"/>
        </w:rPr>
        <w:t>(Criminal) (By Leave) (</w:t>
      </w:r>
      <w:hyperlink r:id="rId21" w:history="1">
        <w:r w:rsidRPr="00B86A35">
          <w:rPr>
            <w:rStyle w:val="Hyperlink"/>
            <w:sz w:val="22"/>
            <w:lang w:val="en-CA"/>
          </w:rPr>
          <w:t>38158</w:t>
        </w:r>
      </w:hyperlink>
      <w:r w:rsidRPr="00B86A35">
        <w:rPr>
          <w:sz w:val="22"/>
          <w:lang w:val="en-CA"/>
        </w:rPr>
        <w:t>)</w:t>
      </w:r>
    </w:p>
    <w:p w:rsidR="005B26E2" w:rsidRPr="00B86A35" w:rsidRDefault="00360ADB" w:rsidP="005B26E2">
      <w:pPr>
        <w:jc w:val="both"/>
        <w:rPr>
          <w:sz w:val="16"/>
        </w:rPr>
      </w:pPr>
      <w:r w:rsidRPr="00B86A35">
        <w:rPr>
          <w:sz w:val="16"/>
        </w:rPr>
        <w:t>(</w:t>
      </w:r>
      <w:r w:rsidRPr="00B86A35">
        <w:rPr>
          <w:sz w:val="20"/>
        </w:rPr>
        <w:t xml:space="preserve">The application for leave to appeal is dismissed. / La demande d’autorisation d’appel </w:t>
      </w:r>
      <w:proofErr w:type="gramStart"/>
      <w:r w:rsidRPr="00B86A35">
        <w:rPr>
          <w:sz w:val="20"/>
        </w:rPr>
        <w:t>est</w:t>
      </w:r>
      <w:proofErr w:type="gramEnd"/>
      <w:r w:rsidRPr="00B86A35">
        <w:rPr>
          <w:sz w:val="20"/>
        </w:rPr>
        <w:t xml:space="preserve"> rejetée.)</w:t>
      </w:r>
    </w:p>
    <w:p w:rsidR="005B26E2" w:rsidRPr="00B86A35" w:rsidRDefault="005B26E2" w:rsidP="005B26E2">
      <w:pPr>
        <w:jc w:val="both"/>
        <w:rPr>
          <w:sz w:val="20"/>
        </w:rPr>
      </w:pPr>
    </w:p>
    <w:p w:rsidR="005B26E2" w:rsidRPr="00B86A35" w:rsidRDefault="005B26E2" w:rsidP="005B26E2">
      <w:pPr>
        <w:jc w:val="both"/>
        <w:rPr>
          <w:sz w:val="22"/>
          <w:szCs w:val="22"/>
        </w:rPr>
      </w:pPr>
      <w:r w:rsidRPr="00B86A35">
        <w:rPr>
          <w:sz w:val="22"/>
          <w:szCs w:val="22"/>
        </w:rPr>
        <w:t>****</w:t>
      </w:r>
    </w:p>
    <w:p w:rsidR="005B26E2" w:rsidRPr="00B86A35" w:rsidRDefault="005B26E2" w:rsidP="005B26E2">
      <w:pPr>
        <w:jc w:val="both"/>
        <w:rPr>
          <w:sz w:val="20"/>
        </w:rPr>
      </w:pPr>
    </w:p>
    <w:p w:rsidR="00FC70BB" w:rsidRPr="00B86A35" w:rsidRDefault="00FC70BB" w:rsidP="00FC70BB">
      <w:pPr>
        <w:jc w:val="both"/>
        <w:rPr>
          <w:sz w:val="22"/>
          <w:lang w:val="en-CA"/>
        </w:rPr>
      </w:pPr>
      <w:r w:rsidRPr="00B86A35">
        <w:rPr>
          <w:i/>
          <w:sz w:val="22"/>
          <w:lang w:val="en-CA"/>
        </w:rPr>
        <w:t>Elizabeth Bernard v. Canada Revenue Agency</w:t>
      </w:r>
      <w:r w:rsidRPr="00B86A35">
        <w:rPr>
          <w:sz w:val="22"/>
          <w:lang w:val="en-CA"/>
        </w:rPr>
        <w:t xml:space="preserve"> (F.C.) (Civil) (By Leave) (</w:t>
      </w:r>
      <w:hyperlink r:id="rId22" w:history="1">
        <w:r w:rsidRPr="00B86A35">
          <w:rPr>
            <w:rStyle w:val="Hyperlink"/>
            <w:sz w:val="22"/>
            <w:lang w:val="en-CA"/>
          </w:rPr>
          <w:t>38092</w:t>
        </w:r>
      </w:hyperlink>
      <w:r w:rsidRPr="00B86A35">
        <w:rPr>
          <w:sz w:val="22"/>
          <w:lang w:val="en-CA"/>
        </w:rPr>
        <w:t>)</w:t>
      </w:r>
    </w:p>
    <w:p w:rsidR="005B26E2" w:rsidRPr="00B86A35" w:rsidRDefault="00FC70BB" w:rsidP="005B26E2">
      <w:pPr>
        <w:jc w:val="both"/>
        <w:rPr>
          <w:sz w:val="16"/>
        </w:rPr>
      </w:pPr>
      <w:r w:rsidRPr="00B86A35">
        <w:rPr>
          <w:sz w:val="16"/>
        </w:rPr>
        <w:t>(</w:t>
      </w:r>
      <w:r w:rsidRPr="00B86A35">
        <w:rPr>
          <w:sz w:val="20"/>
        </w:rPr>
        <w:t xml:space="preserve">The application for leave to appeal is dismissed with costs. / La demande d’autorisation d’appel </w:t>
      </w:r>
      <w:proofErr w:type="gramStart"/>
      <w:r w:rsidRPr="00B86A35">
        <w:rPr>
          <w:sz w:val="20"/>
        </w:rPr>
        <w:t>est</w:t>
      </w:r>
      <w:proofErr w:type="gramEnd"/>
      <w:r w:rsidRPr="00B86A35">
        <w:rPr>
          <w:sz w:val="20"/>
        </w:rPr>
        <w:t xml:space="preserve"> rejetée avec dépens.)</w:t>
      </w:r>
    </w:p>
    <w:p w:rsidR="005B26E2" w:rsidRPr="00B86A35" w:rsidRDefault="005B26E2" w:rsidP="005B26E2">
      <w:pPr>
        <w:jc w:val="both"/>
        <w:rPr>
          <w:sz w:val="20"/>
        </w:rPr>
      </w:pPr>
    </w:p>
    <w:p w:rsidR="005B26E2" w:rsidRPr="00B86A35" w:rsidRDefault="005B26E2" w:rsidP="005B26E2">
      <w:pPr>
        <w:jc w:val="both"/>
        <w:rPr>
          <w:sz w:val="22"/>
          <w:szCs w:val="22"/>
        </w:rPr>
      </w:pPr>
      <w:r w:rsidRPr="00B86A35">
        <w:rPr>
          <w:sz w:val="22"/>
          <w:szCs w:val="22"/>
        </w:rPr>
        <w:t>****</w:t>
      </w:r>
    </w:p>
    <w:p w:rsidR="005B26E2" w:rsidRPr="00B86A35" w:rsidRDefault="005B26E2" w:rsidP="005B26E2">
      <w:pPr>
        <w:jc w:val="both"/>
        <w:rPr>
          <w:sz w:val="20"/>
        </w:rPr>
      </w:pPr>
    </w:p>
    <w:p w:rsidR="00466AF3" w:rsidRPr="00B86A35" w:rsidRDefault="00466AF3" w:rsidP="00466AF3">
      <w:pPr>
        <w:jc w:val="both"/>
        <w:rPr>
          <w:sz w:val="22"/>
          <w:lang w:val="en-CA"/>
        </w:rPr>
      </w:pPr>
      <w:r w:rsidRPr="00B86A35">
        <w:rPr>
          <w:i/>
          <w:sz w:val="22"/>
          <w:lang w:val="en-CA"/>
        </w:rPr>
        <w:t xml:space="preserve">Judith Isaac as Estate Trustee of the Estate of Glen Michael Isaac, deceased et al. v. Ilona Irena Matuszynska et al. </w:t>
      </w:r>
      <w:r w:rsidRPr="00B86A35">
        <w:rPr>
          <w:sz w:val="22"/>
          <w:lang w:val="en-CA"/>
        </w:rPr>
        <w:t>(Ont.) (Civil) (By Leave) (</w:t>
      </w:r>
      <w:hyperlink r:id="rId23" w:history="1">
        <w:r w:rsidRPr="00B86A35">
          <w:rPr>
            <w:rStyle w:val="Hyperlink"/>
            <w:sz w:val="22"/>
            <w:lang w:val="en-CA"/>
          </w:rPr>
          <w:t>38078</w:t>
        </w:r>
      </w:hyperlink>
      <w:r w:rsidRPr="00B86A35">
        <w:rPr>
          <w:sz w:val="22"/>
          <w:lang w:val="en-CA"/>
        </w:rPr>
        <w:t>)</w:t>
      </w:r>
    </w:p>
    <w:p w:rsidR="005B26E2" w:rsidRPr="00B86A35" w:rsidRDefault="00466AF3" w:rsidP="005B26E2">
      <w:pPr>
        <w:jc w:val="both"/>
        <w:rPr>
          <w:sz w:val="20"/>
        </w:rPr>
      </w:pPr>
      <w:r w:rsidRPr="00B86A35">
        <w:rPr>
          <w:sz w:val="20"/>
        </w:rPr>
        <w:t xml:space="preserve">(The application for leave to appeal is dismissed with costs to the respondent, State Farm Mutual Automobile Insurance Company. / </w:t>
      </w:r>
    </w:p>
    <w:p w:rsidR="005B26E2" w:rsidRPr="00B86A35" w:rsidRDefault="00466AF3" w:rsidP="005B26E2">
      <w:pPr>
        <w:jc w:val="both"/>
        <w:rPr>
          <w:sz w:val="20"/>
          <w:lang w:val="fr-CA"/>
        </w:rPr>
      </w:pPr>
      <w:r w:rsidRPr="00B86A35">
        <w:rPr>
          <w:sz w:val="20"/>
          <w:lang w:val="fr-CA"/>
        </w:rPr>
        <w:t>La demande d’autorisation d’appel est rejetée avec dépens en faveur de l’intimée, State Farm Mutual Automobile Insurance Company.)</w:t>
      </w:r>
    </w:p>
    <w:p w:rsidR="005B26E2" w:rsidRPr="00B86A35" w:rsidRDefault="005B26E2" w:rsidP="005B26E2">
      <w:pPr>
        <w:jc w:val="both"/>
        <w:rPr>
          <w:sz w:val="20"/>
          <w:lang w:val="fr-CA"/>
        </w:rPr>
      </w:pPr>
    </w:p>
    <w:p w:rsidR="005B26E2" w:rsidRPr="00B86A35" w:rsidRDefault="005B26E2" w:rsidP="005B26E2">
      <w:pPr>
        <w:jc w:val="both"/>
        <w:rPr>
          <w:sz w:val="22"/>
          <w:szCs w:val="22"/>
          <w:lang w:val="fr-CA"/>
        </w:rPr>
      </w:pPr>
      <w:r w:rsidRPr="00B86A35">
        <w:rPr>
          <w:sz w:val="22"/>
          <w:szCs w:val="22"/>
          <w:lang w:val="fr-CA"/>
        </w:rPr>
        <w:t>****</w:t>
      </w:r>
    </w:p>
    <w:p w:rsidR="005B26E2" w:rsidRPr="00B86A35" w:rsidRDefault="005B26E2" w:rsidP="005B26E2">
      <w:pPr>
        <w:jc w:val="both"/>
        <w:rPr>
          <w:sz w:val="20"/>
          <w:lang w:val="fr-CA"/>
        </w:rPr>
      </w:pPr>
    </w:p>
    <w:p w:rsidR="00D856E7" w:rsidRPr="00B86A35" w:rsidRDefault="00D856E7" w:rsidP="00D856E7">
      <w:pPr>
        <w:jc w:val="both"/>
        <w:rPr>
          <w:sz w:val="22"/>
          <w:lang w:val="en-CA"/>
        </w:rPr>
      </w:pPr>
      <w:r w:rsidRPr="00B86A35">
        <w:rPr>
          <w:i/>
          <w:sz w:val="22"/>
          <w:lang w:val="fr-CA"/>
        </w:rPr>
        <w:t xml:space="preserve">Michael John Popp et al. v. Cheryl Angela Mucz et al. </w:t>
      </w:r>
      <w:r w:rsidRPr="00B86A35">
        <w:rPr>
          <w:sz w:val="22"/>
          <w:lang w:val="en-CA"/>
        </w:rPr>
        <w:t>(Man.) (Civil) (By Leave) (</w:t>
      </w:r>
      <w:hyperlink r:id="rId24" w:history="1">
        <w:r w:rsidRPr="00B86A35">
          <w:rPr>
            <w:rStyle w:val="Hyperlink"/>
            <w:sz w:val="22"/>
            <w:lang w:val="en-CA"/>
          </w:rPr>
          <w:t>38007</w:t>
        </w:r>
      </w:hyperlink>
      <w:r w:rsidRPr="00B86A35">
        <w:rPr>
          <w:sz w:val="22"/>
          <w:lang w:val="en-CA"/>
        </w:rPr>
        <w:t>)</w:t>
      </w:r>
    </w:p>
    <w:p w:rsidR="005B26E2" w:rsidRPr="00B86A35" w:rsidRDefault="00D856E7" w:rsidP="005B26E2">
      <w:pPr>
        <w:jc w:val="both"/>
        <w:rPr>
          <w:sz w:val="16"/>
        </w:rPr>
      </w:pPr>
      <w:r w:rsidRPr="00B86A35">
        <w:rPr>
          <w:sz w:val="16"/>
        </w:rPr>
        <w:t>(</w:t>
      </w:r>
      <w:r w:rsidRPr="00B86A35">
        <w:rPr>
          <w:sz w:val="20"/>
        </w:rPr>
        <w:t xml:space="preserve">The application for leave to appeal is dismissed with costs. / La demande d’autorisation d’appel </w:t>
      </w:r>
      <w:proofErr w:type="gramStart"/>
      <w:r w:rsidRPr="00B86A35">
        <w:rPr>
          <w:sz w:val="20"/>
        </w:rPr>
        <w:t>est</w:t>
      </w:r>
      <w:proofErr w:type="gramEnd"/>
      <w:r w:rsidRPr="00B86A35">
        <w:rPr>
          <w:sz w:val="20"/>
        </w:rPr>
        <w:t xml:space="preserve"> rejetée avec dépens.)</w:t>
      </w:r>
    </w:p>
    <w:p w:rsidR="005B26E2" w:rsidRPr="00B86A35" w:rsidRDefault="005B26E2" w:rsidP="005B26E2">
      <w:pPr>
        <w:jc w:val="both"/>
        <w:rPr>
          <w:sz w:val="20"/>
        </w:rPr>
      </w:pPr>
    </w:p>
    <w:p w:rsidR="005B26E2" w:rsidRPr="00B86A35" w:rsidRDefault="005B26E2" w:rsidP="005B26E2">
      <w:pPr>
        <w:jc w:val="both"/>
        <w:rPr>
          <w:sz w:val="22"/>
          <w:szCs w:val="22"/>
        </w:rPr>
      </w:pPr>
      <w:r w:rsidRPr="00B86A35">
        <w:rPr>
          <w:sz w:val="22"/>
          <w:szCs w:val="22"/>
        </w:rPr>
        <w:t>****</w:t>
      </w:r>
    </w:p>
    <w:p w:rsidR="005B26E2" w:rsidRPr="00B86A35" w:rsidRDefault="005B26E2" w:rsidP="005B26E2">
      <w:pPr>
        <w:jc w:val="both"/>
        <w:rPr>
          <w:sz w:val="20"/>
        </w:rPr>
      </w:pPr>
    </w:p>
    <w:p w:rsidR="00790D27" w:rsidRPr="00B86A35" w:rsidRDefault="00790D27" w:rsidP="00790D27">
      <w:pPr>
        <w:jc w:val="both"/>
        <w:rPr>
          <w:sz w:val="22"/>
          <w:lang w:val="en-CA"/>
        </w:rPr>
      </w:pPr>
      <w:r w:rsidRPr="00B86A35">
        <w:rPr>
          <w:i/>
          <w:sz w:val="22"/>
          <w:lang w:val="en-CA"/>
        </w:rPr>
        <w:t xml:space="preserve">City of Edmonton v. 689799 Alberta Ltd. et al. </w:t>
      </w:r>
      <w:r w:rsidRPr="00B86A35">
        <w:rPr>
          <w:sz w:val="22"/>
          <w:lang w:val="en-CA"/>
        </w:rPr>
        <w:t>(Alta.) (Civil) (By Leave) (</w:t>
      </w:r>
      <w:hyperlink r:id="rId25" w:history="1">
        <w:r w:rsidRPr="00B86A35">
          <w:rPr>
            <w:rStyle w:val="Hyperlink"/>
            <w:sz w:val="22"/>
            <w:lang w:val="en-CA"/>
          </w:rPr>
          <w:t>38279</w:t>
        </w:r>
      </w:hyperlink>
      <w:r w:rsidRPr="00B86A35">
        <w:rPr>
          <w:sz w:val="22"/>
          <w:lang w:val="en-CA"/>
        </w:rPr>
        <w:t>)</w:t>
      </w:r>
    </w:p>
    <w:p w:rsidR="005B26E2" w:rsidRPr="00B86A35" w:rsidRDefault="00790D27" w:rsidP="005B26E2">
      <w:pPr>
        <w:jc w:val="both"/>
        <w:rPr>
          <w:sz w:val="16"/>
        </w:rPr>
      </w:pPr>
      <w:r w:rsidRPr="00B86A35">
        <w:rPr>
          <w:sz w:val="16"/>
        </w:rPr>
        <w:t>(</w:t>
      </w:r>
      <w:r w:rsidR="00D42984" w:rsidRPr="00B86A35">
        <w:rPr>
          <w:sz w:val="20"/>
        </w:rPr>
        <w:t xml:space="preserve">The motion to expedite the application for leave to appeal is granted. The application for leave to appeal is dismissed with costs in accordance with the tariff of fees and disbursements set out in Schedule B of the </w:t>
      </w:r>
      <w:r w:rsidR="00D42984" w:rsidRPr="00B86A35">
        <w:rPr>
          <w:i/>
          <w:iCs/>
          <w:sz w:val="20"/>
        </w:rPr>
        <w:t>Rules of the Supreme Court of Canada</w:t>
      </w:r>
      <w:r w:rsidR="00D42984" w:rsidRPr="00B86A35">
        <w:rPr>
          <w:iCs/>
          <w:sz w:val="20"/>
        </w:rPr>
        <w:t xml:space="preserve">. / </w:t>
      </w:r>
    </w:p>
    <w:p w:rsidR="005B26E2" w:rsidRPr="00B86A35" w:rsidRDefault="00D42984" w:rsidP="005B26E2">
      <w:pPr>
        <w:jc w:val="both"/>
        <w:rPr>
          <w:sz w:val="16"/>
          <w:lang w:val="fr-CA"/>
        </w:rPr>
      </w:pPr>
      <w:r w:rsidRPr="00B86A35">
        <w:rPr>
          <w:sz w:val="20"/>
          <w:lang w:val="fr-CA"/>
        </w:rPr>
        <w:t>La requête visant à accélérer le traitement</w:t>
      </w:r>
      <w:r w:rsidRPr="00B86A35" w:rsidDel="00AE3F38">
        <w:rPr>
          <w:sz w:val="20"/>
          <w:lang w:val="fr-CA"/>
        </w:rPr>
        <w:t xml:space="preserve"> </w:t>
      </w:r>
      <w:r w:rsidRPr="00B86A35">
        <w:rPr>
          <w:sz w:val="20"/>
          <w:lang w:val="fr-CA"/>
        </w:rPr>
        <w:t xml:space="preserve"> de la demande d’autorisation d’appel est accueillie. La demande d’autorisation d’appel est rejetée avec dépens conformément au tarif des honoraires et débours établi à l’Annexe B des </w:t>
      </w:r>
      <w:r w:rsidRPr="00B86A35">
        <w:rPr>
          <w:i/>
          <w:sz w:val="20"/>
          <w:lang w:val="fr-CA"/>
        </w:rPr>
        <w:t>Règles de la Cour suprême du Canada</w:t>
      </w:r>
      <w:r w:rsidRPr="00B86A35">
        <w:rPr>
          <w:sz w:val="20"/>
          <w:lang w:val="fr-CA"/>
        </w:rPr>
        <w:t>.)</w:t>
      </w:r>
    </w:p>
    <w:p w:rsidR="005B26E2" w:rsidRPr="00B86A35" w:rsidRDefault="005B26E2" w:rsidP="005B26E2">
      <w:pPr>
        <w:jc w:val="both"/>
        <w:rPr>
          <w:sz w:val="20"/>
          <w:lang w:val="fr-CA"/>
        </w:rPr>
      </w:pPr>
    </w:p>
    <w:p w:rsidR="005B26E2" w:rsidRPr="00B86A35" w:rsidRDefault="005B26E2" w:rsidP="005B26E2">
      <w:pPr>
        <w:jc w:val="both"/>
        <w:rPr>
          <w:sz w:val="22"/>
          <w:szCs w:val="22"/>
        </w:rPr>
      </w:pPr>
      <w:r w:rsidRPr="00B86A35">
        <w:rPr>
          <w:sz w:val="22"/>
          <w:szCs w:val="22"/>
        </w:rPr>
        <w:t>****</w:t>
      </w:r>
    </w:p>
    <w:p w:rsidR="0061166E" w:rsidRPr="00B86A35" w:rsidRDefault="0061166E" w:rsidP="00F97208">
      <w:pPr>
        <w:ind w:left="360" w:hanging="360"/>
        <w:contextualSpacing/>
        <w:jc w:val="both"/>
        <w:rPr>
          <w:sz w:val="20"/>
        </w:rPr>
      </w:pPr>
    </w:p>
    <w:p w:rsidR="00FB1098" w:rsidRPr="00B86A35" w:rsidRDefault="00FB1098" w:rsidP="00F97208">
      <w:pPr>
        <w:ind w:left="360" w:hanging="360"/>
        <w:contextualSpacing/>
        <w:jc w:val="both"/>
        <w:rPr>
          <w:sz w:val="20"/>
        </w:rPr>
      </w:pPr>
    </w:p>
    <w:p w:rsidR="00A727FF" w:rsidRPr="00B86A35" w:rsidRDefault="00A727FF" w:rsidP="004D727F">
      <w:pPr>
        <w:ind w:left="360" w:hanging="360"/>
        <w:rPr>
          <w:sz w:val="20"/>
        </w:rPr>
      </w:pPr>
    </w:p>
    <w:p w:rsidR="00D3344A" w:rsidRPr="00B86A35" w:rsidRDefault="00D3344A" w:rsidP="00D3344A">
      <w:pPr>
        <w:widowControl w:val="0"/>
        <w:outlineLvl w:val="0"/>
      </w:pPr>
      <w:r w:rsidRPr="00B86A35">
        <w:t xml:space="preserve">Supreme Court of Canada / Cour suprême du </w:t>
      </w:r>
      <w:proofErr w:type="gramStart"/>
      <w:r w:rsidRPr="00B86A35">
        <w:t>Canada :</w:t>
      </w:r>
      <w:proofErr w:type="gramEnd"/>
      <w:r w:rsidRPr="00B86A35">
        <w:t xml:space="preserve"> </w:t>
      </w:r>
    </w:p>
    <w:p w:rsidR="00D3344A" w:rsidRPr="00B86A35" w:rsidRDefault="00DE7A6C" w:rsidP="00D3344A">
      <w:pPr>
        <w:widowControl w:val="0"/>
        <w:outlineLvl w:val="0"/>
        <w:rPr>
          <w:color w:val="0000FF"/>
          <w:u w:val="single"/>
        </w:rPr>
      </w:pPr>
      <w:hyperlink r:id="rId26" w:history="1">
        <w:r w:rsidR="00D3344A" w:rsidRPr="00B86A35">
          <w:rPr>
            <w:rStyle w:val="Hyperlink"/>
          </w:rPr>
          <w:t>comments-commentaires@scc-csc.ca</w:t>
        </w:r>
      </w:hyperlink>
    </w:p>
    <w:p w:rsidR="00D3344A" w:rsidRPr="00B86A35" w:rsidRDefault="00D3344A" w:rsidP="00D3344A">
      <w:pPr>
        <w:widowControl w:val="0"/>
        <w:outlineLvl w:val="0"/>
      </w:pPr>
      <w:r w:rsidRPr="00B86A35">
        <w:t>(613) 995-4330</w:t>
      </w:r>
    </w:p>
    <w:p w:rsidR="00497B5E" w:rsidRPr="00B86A35" w:rsidRDefault="00497B5E" w:rsidP="00497B5E">
      <w:pPr>
        <w:widowControl w:val="0"/>
        <w:rPr>
          <w:sz w:val="20"/>
        </w:rPr>
      </w:pPr>
    </w:p>
    <w:p w:rsidR="003F43E6" w:rsidRPr="00B86A35" w:rsidRDefault="003F43E6" w:rsidP="00497B5E">
      <w:pPr>
        <w:widowControl w:val="0"/>
        <w:rPr>
          <w:sz w:val="20"/>
        </w:rPr>
      </w:pPr>
    </w:p>
    <w:p w:rsidR="00224F26" w:rsidRPr="00910AEC" w:rsidRDefault="003F43E6" w:rsidP="00DE0F77">
      <w:pPr>
        <w:pStyle w:val="Footer"/>
        <w:jc w:val="center"/>
      </w:pPr>
      <w:r w:rsidRPr="00B86A35">
        <w:t>- 30</w:t>
      </w:r>
      <w:r w:rsidR="00312438" w:rsidRPr="00B86A35">
        <w:t xml:space="preserve"> -</w:t>
      </w:r>
    </w:p>
    <w:p w:rsidR="00C711D9" w:rsidRPr="00910AEC" w:rsidRDefault="00C711D9">
      <w:pPr>
        <w:pStyle w:val="Footer"/>
        <w:jc w:val="center"/>
      </w:pPr>
    </w:p>
    <w:sectPr w:rsidR="00C711D9" w:rsidRPr="00910AEC" w:rsidSect="007C3E99">
      <w:headerReference w:type="even" r:id="rId27"/>
      <w:headerReference w:type="default" r:id="rId28"/>
      <w:footerReference w:type="even" r:id="rId29"/>
      <w:footerReference w:type="default" r:id="rId30"/>
      <w:headerReference w:type="first" r:id="rId31"/>
      <w:footerReference w:type="first" r:id="rId3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167"/>
    <w:multiLevelType w:val="hybridMultilevel"/>
    <w:tmpl w:val="8868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56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07B4E"/>
    <w:rsid w:val="00110987"/>
    <w:rsid w:val="0011144F"/>
    <w:rsid w:val="001117A2"/>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E1F"/>
    <w:rsid w:val="0012630B"/>
    <w:rsid w:val="0012634E"/>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53A8"/>
    <w:rsid w:val="001474EA"/>
    <w:rsid w:val="00147BE4"/>
    <w:rsid w:val="00147DE3"/>
    <w:rsid w:val="001502ED"/>
    <w:rsid w:val="00150453"/>
    <w:rsid w:val="00151336"/>
    <w:rsid w:val="00151662"/>
    <w:rsid w:val="00152C5C"/>
    <w:rsid w:val="00154156"/>
    <w:rsid w:val="0015605D"/>
    <w:rsid w:val="001560EC"/>
    <w:rsid w:val="00157C03"/>
    <w:rsid w:val="001601AF"/>
    <w:rsid w:val="0016129E"/>
    <w:rsid w:val="00161CCB"/>
    <w:rsid w:val="00164962"/>
    <w:rsid w:val="00165F0F"/>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4F9"/>
    <w:rsid w:val="00190C7A"/>
    <w:rsid w:val="00190F7F"/>
    <w:rsid w:val="00192DA8"/>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E6C"/>
    <w:rsid w:val="001C663B"/>
    <w:rsid w:val="001C76BF"/>
    <w:rsid w:val="001C7F81"/>
    <w:rsid w:val="001D0423"/>
    <w:rsid w:val="001D14DD"/>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E9E"/>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1CB3"/>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C79F9"/>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F06D0"/>
    <w:rsid w:val="002F1658"/>
    <w:rsid w:val="002F3830"/>
    <w:rsid w:val="002F455E"/>
    <w:rsid w:val="002F4929"/>
    <w:rsid w:val="002F4C2A"/>
    <w:rsid w:val="002F5A46"/>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C9A"/>
    <w:rsid w:val="00312D0B"/>
    <w:rsid w:val="00313652"/>
    <w:rsid w:val="003151B5"/>
    <w:rsid w:val="00316DFA"/>
    <w:rsid w:val="00316F29"/>
    <w:rsid w:val="003203A3"/>
    <w:rsid w:val="003205B7"/>
    <w:rsid w:val="0032231F"/>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64DA"/>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ADB"/>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40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E0AAC"/>
    <w:rsid w:val="003E0CC8"/>
    <w:rsid w:val="003E1031"/>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981"/>
    <w:rsid w:val="00403FE3"/>
    <w:rsid w:val="00404DEA"/>
    <w:rsid w:val="0040709C"/>
    <w:rsid w:val="00407B63"/>
    <w:rsid w:val="0041032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AF3"/>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60C"/>
    <w:rsid w:val="0049411B"/>
    <w:rsid w:val="00494738"/>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26E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3EF1"/>
    <w:rsid w:val="005E42AD"/>
    <w:rsid w:val="005E45F2"/>
    <w:rsid w:val="005E4785"/>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66E"/>
    <w:rsid w:val="00611CF5"/>
    <w:rsid w:val="006127C2"/>
    <w:rsid w:val="0061282A"/>
    <w:rsid w:val="00612D5F"/>
    <w:rsid w:val="006132AE"/>
    <w:rsid w:val="0061351E"/>
    <w:rsid w:val="006144E2"/>
    <w:rsid w:val="00615E61"/>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4178"/>
    <w:rsid w:val="006442C8"/>
    <w:rsid w:val="00644642"/>
    <w:rsid w:val="00645CDC"/>
    <w:rsid w:val="00646273"/>
    <w:rsid w:val="00646CCD"/>
    <w:rsid w:val="00650536"/>
    <w:rsid w:val="006505D0"/>
    <w:rsid w:val="00650965"/>
    <w:rsid w:val="00652013"/>
    <w:rsid w:val="00652DEF"/>
    <w:rsid w:val="006543C0"/>
    <w:rsid w:val="006549F8"/>
    <w:rsid w:val="00655090"/>
    <w:rsid w:val="00656A0C"/>
    <w:rsid w:val="00657072"/>
    <w:rsid w:val="006571ED"/>
    <w:rsid w:val="00657259"/>
    <w:rsid w:val="006601F6"/>
    <w:rsid w:val="00660486"/>
    <w:rsid w:val="00660B99"/>
    <w:rsid w:val="00660E43"/>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27D"/>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670"/>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AA1"/>
    <w:rsid w:val="006F3D81"/>
    <w:rsid w:val="006F4F34"/>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27BB6"/>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0D27"/>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5E4"/>
    <w:rsid w:val="007E4D53"/>
    <w:rsid w:val="007E5C9C"/>
    <w:rsid w:val="007E6196"/>
    <w:rsid w:val="007E6535"/>
    <w:rsid w:val="007E6FE2"/>
    <w:rsid w:val="007E70BF"/>
    <w:rsid w:val="007E735A"/>
    <w:rsid w:val="007F0F01"/>
    <w:rsid w:val="007F157B"/>
    <w:rsid w:val="007F215C"/>
    <w:rsid w:val="007F22ED"/>
    <w:rsid w:val="007F3654"/>
    <w:rsid w:val="007F4473"/>
    <w:rsid w:val="007F4F42"/>
    <w:rsid w:val="007F62A2"/>
    <w:rsid w:val="007F7756"/>
    <w:rsid w:val="007F7D6F"/>
    <w:rsid w:val="008008E4"/>
    <w:rsid w:val="00800DF8"/>
    <w:rsid w:val="008021FD"/>
    <w:rsid w:val="008024BB"/>
    <w:rsid w:val="008036BE"/>
    <w:rsid w:val="0080470A"/>
    <w:rsid w:val="00804FE6"/>
    <w:rsid w:val="00805B15"/>
    <w:rsid w:val="00805D73"/>
    <w:rsid w:val="008061AB"/>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CAF"/>
    <w:rsid w:val="00847B4D"/>
    <w:rsid w:val="00847EFC"/>
    <w:rsid w:val="00847FD1"/>
    <w:rsid w:val="00850263"/>
    <w:rsid w:val="008502C4"/>
    <w:rsid w:val="00850BE7"/>
    <w:rsid w:val="0085127E"/>
    <w:rsid w:val="008514F2"/>
    <w:rsid w:val="008515FA"/>
    <w:rsid w:val="00851AB5"/>
    <w:rsid w:val="00853153"/>
    <w:rsid w:val="00853253"/>
    <w:rsid w:val="00853924"/>
    <w:rsid w:val="00853C98"/>
    <w:rsid w:val="00855361"/>
    <w:rsid w:val="0085543E"/>
    <w:rsid w:val="00857C7B"/>
    <w:rsid w:val="008608D2"/>
    <w:rsid w:val="0086191C"/>
    <w:rsid w:val="00861CAB"/>
    <w:rsid w:val="00863AA5"/>
    <w:rsid w:val="00863DCB"/>
    <w:rsid w:val="00864149"/>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2C7E"/>
    <w:rsid w:val="008736DB"/>
    <w:rsid w:val="00874308"/>
    <w:rsid w:val="008743C8"/>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2850"/>
    <w:rsid w:val="008F302C"/>
    <w:rsid w:val="008F400D"/>
    <w:rsid w:val="008F43D1"/>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0FCB"/>
    <w:rsid w:val="0093166D"/>
    <w:rsid w:val="00931CFE"/>
    <w:rsid w:val="009329B7"/>
    <w:rsid w:val="00933086"/>
    <w:rsid w:val="00933CA3"/>
    <w:rsid w:val="009340AB"/>
    <w:rsid w:val="00934102"/>
    <w:rsid w:val="00934D48"/>
    <w:rsid w:val="00935BC2"/>
    <w:rsid w:val="009360C1"/>
    <w:rsid w:val="00936192"/>
    <w:rsid w:val="00936642"/>
    <w:rsid w:val="009367AC"/>
    <w:rsid w:val="00936A76"/>
    <w:rsid w:val="00936D03"/>
    <w:rsid w:val="009370CC"/>
    <w:rsid w:val="00940C53"/>
    <w:rsid w:val="009416E1"/>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560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AB"/>
    <w:rsid w:val="00AA3ED6"/>
    <w:rsid w:val="00AA53AA"/>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721"/>
    <w:rsid w:val="00AE62B2"/>
    <w:rsid w:val="00AE7321"/>
    <w:rsid w:val="00AE747B"/>
    <w:rsid w:val="00AF0329"/>
    <w:rsid w:val="00AF0591"/>
    <w:rsid w:val="00AF1653"/>
    <w:rsid w:val="00AF1960"/>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787"/>
    <w:rsid w:val="00B1417A"/>
    <w:rsid w:val="00B1445B"/>
    <w:rsid w:val="00B14593"/>
    <w:rsid w:val="00B1644E"/>
    <w:rsid w:val="00B16CE5"/>
    <w:rsid w:val="00B17516"/>
    <w:rsid w:val="00B2027C"/>
    <w:rsid w:val="00B225B0"/>
    <w:rsid w:val="00B227D4"/>
    <w:rsid w:val="00B2328F"/>
    <w:rsid w:val="00B244C8"/>
    <w:rsid w:val="00B245B8"/>
    <w:rsid w:val="00B24A51"/>
    <w:rsid w:val="00B24ABA"/>
    <w:rsid w:val="00B24CC6"/>
    <w:rsid w:val="00B254D5"/>
    <w:rsid w:val="00B25939"/>
    <w:rsid w:val="00B25FB2"/>
    <w:rsid w:val="00B2621E"/>
    <w:rsid w:val="00B264DA"/>
    <w:rsid w:val="00B26AD7"/>
    <w:rsid w:val="00B279DD"/>
    <w:rsid w:val="00B30861"/>
    <w:rsid w:val="00B32031"/>
    <w:rsid w:val="00B3266D"/>
    <w:rsid w:val="00B32C0C"/>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3C09"/>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A35"/>
    <w:rsid w:val="00B86E92"/>
    <w:rsid w:val="00B905DA"/>
    <w:rsid w:val="00B908B6"/>
    <w:rsid w:val="00B90F3B"/>
    <w:rsid w:val="00B91F79"/>
    <w:rsid w:val="00B9309E"/>
    <w:rsid w:val="00B9554D"/>
    <w:rsid w:val="00B95683"/>
    <w:rsid w:val="00B95EB7"/>
    <w:rsid w:val="00B9752D"/>
    <w:rsid w:val="00BA01C1"/>
    <w:rsid w:val="00BA0516"/>
    <w:rsid w:val="00BA05E7"/>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2D2"/>
    <w:rsid w:val="00BC5F67"/>
    <w:rsid w:val="00BC6C6D"/>
    <w:rsid w:val="00BC6D90"/>
    <w:rsid w:val="00BC6F58"/>
    <w:rsid w:val="00BC7134"/>
    <w:rsid w:val="00BC7230"/>
    <w:rsid w:val="00BC7C9E"/>
    <w:rsid w:val="00BD07C7"/>
    <w:rsid w:val="00BD0CC3"/>
    <w:rsid w:val="00BD14AB"/>
    <w:rsid w:val="00BD14CE"/>
    <w:rsid w:val="00BD1951"/>
    <w:rsid w:val="00BD2FFA"/>
    <w:rsid w:val="00BD31DE"/>
    <w:rsid w:val="00BD3E65"/>
    <w:rsid w:val="00BD4376"/>
    <w:rsid w:val="00BD4652"/>
    <w:rsid w:val="00BD4942"/>
    <w:rsid w:val="00BD55D8"/>
    <w:rsid w:val="00BD62A2"/>
    <w:rsid w:val="00BD7F32"/>
    <w:rsid w:val="00BE037A"/>
    <w:rsid w:val="00BE1542"/>
    <w:rsid w:val="00BE17E6"/>
    <w:rsid w:val="00BE2188"/>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27B31"/>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B12"/>
    <w:rsid w:val="00C47EA1"/>
    <w:rsid w:val="00C50614"/>
    <w:rsid w:val="00C50ADB"/>
    <w:rsid w:val="00C50DD6"/>
    <w:rsid w:val="00C5207F"/>
    <w:rsid w:val="00C52D21"/>
    <w:rsid w:val="00C52EF8"/>
    <w:rsid w:val="00C54910"/>
    <w:rsid w:val="00C54E0E"/>
    <w:rsid w:val="00C5547C"/>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3C8C"/>
    <w:rsid w:val="00C84303"/>
    <w:rsid w:val="00C8493F"/>
    <w:rsid w:val="00C85915"/>
    <w:rsid w:val="00C85F5E"/>
    <w:rsid w:val="00C8630C"/>
    <w:rsid w:val="00C87D3E"/>
    <w:rsid w:val="00C87EE9"/>
    <w:rsid w:val="00C90F9B"/>
    <w:rsid w:val="00C935F6"/>
    <w:rsid w:val="00C9475D"/>
    <w:rsid w:val="00C947C4"/>
    <w:rsid w:val="00C94C07"/>
    <w:rsid w:val="00C95D6B"/>
    <w:rsid w:val="00C95EA0"/>
    <w:rsid w:val="00C96747"/>
    <w:rsid w:val="00C96CB2"/>
    <w:rsid w:val="00C9788C"/>
    <w:rsid w:val="00C97C59"/>
    <w:rsid w:val="00CA02C3"/>
    <w:rsid w:val="00CA2379"/>
    <w:rsid w:val="00CA348D"/>
    <w:rsid w:val="00CA40AB"/>
    <w:rsid w:val="00CA5408"/>
    <w:rsid w:val="00CB1766"/>
    <w:rsid w:val="00CB196C"/>
    <w:rsid w:val="00CB1E90"/>
    <w:rsid w:val="00CB2909"/>
    <w:rsid w:val="00CB3A03"/>
    <w:rsid w:val="00CB3B10"/>
    <w:rsid w:val="00CB3B77"/>
    <w:rsid w:val="00CB469F"/>
    <w:rsid w:val="00CB4831"/>
    <w:rsid w:val="00CB4EAC"/>
    <w:rsid w:val="00CB4F3E"/>
    <w:rsid w:val="00CB5DBA"/>
    <w:rsid w:val="00CB5FBD"/>
    <w:rsid w:val="00CB61A2"/>
    <w:rsid w:val="00CB6701"/>
    <w:rsid w:val="00CB7D6D"/>
    <w:rsid w:val="00CB7F2D"/>
    <w:rsid w:val="00CC0090"/>
    <w:rsid w:val="00CC044F"/>
    <w:rsid w:val="00CC0D62"/>
    <w:rsid w:val="00CC3084"/>
    <w:rsid w:val="00CC57C1"/>
    <w:rsid w:val="00CC594E"/>
    <w:rsid w:val="00CC759C"/>
    <w:rsid w:val="00CD0363"/>
    <w:rsid w:val="00CD171A"/>
    <w:rsid w:val="00CD1CCD"/>
    <w:rsid w:val="00CD4BBB"/>
    <w:rsid w:val="00CD4F9A"/>
    <w:rsid w:val="00CD507B"/>
    <w:rsid w:val="00CD79F7"/>
    <w:rsid w:val="00CE10A1"/>
    <w:rsid w:val="00CE113C"/>
    <w:rsid w:val="00CE138D"/>
    <w:rsid w:val="00CE1C3A"/>
    <w:rsid w:val="00CE31E2"/>
    <w:rsid w:val="00CE3714"/>
    <w:rsid w:val="00CE37E6"/>
    <w:rsid w:val="00CE3FA5"/>
    <w:rsid w:val="00CE4C48"/>
    <w:rsid w:val="00CE4D76"/>
    <w:rsid w:val="00CE6B98"/>
    <w:rsid w:val="00CE6C1C"/>
    <w:rsid w:val="00CE7071"/>
    <w:rsid w:val="00CE708F"/>
    <w:rsid w:val="00CE7839"/>
    <w:rsid w:val="00CE7B3F"/>
    <w:rsid w:val="00CF0EF2"/>
    <w:rsid w:val="00CF1DF2"/>
    <w:rsid w:val="00CF1F81"/>
    <w:rsid w:val="00CF22B3"/>
    <w:rsid w:val="00CF294C"/>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20732"/>
    <w:rsid w:val="00D207B2"/>
    <w:rsid w:val="00D22584"/>
    <w:rsid w:val="00D240C0"/>
    <w:rsid w:val="00D24454"/>
    <w:rsid w:val="00D24A6C"/>
    <w:rsid w:val="00D25A76"/>
    <w:rsid w:val="00D25C14"/>
    <w:rsid w:val="00D27486"/>
    <w:rsid w:val="00D2762C"/>
    <w:rsid w:val="00D308D8"/>
    <w:rsid w:val="00D31681"/>
    <w:rsid w:val="00D320C1"/>
    <w:rsid w:val="00D3344A"/>
    <w:rsid w:val="00D35525"/>
    <w:rsid w:val="00D35659"/>
    <w:rsid w:val="00D35C17"/>
    <w:rsid w:val="00D36BE9"/>
    <w:rsid w:val="00D36D61"/>
    <w:rsid w:val="00D3722A"/>
    <w:rsid w:val="00D37A9E"/>
    <w:rsid w:val="00D42984"/>
    <w:rsid w:val="00D432C2"/>
    <w:rsid w:val="00D436B4"/>
    <w:rsid w:val="00D43E13"/>
    <w:rsid w:val="00D43F58"/>
    <w:rsid w:val="00D44893"/>
    <w:rsid w:val="00D44A74"/>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E1F"/>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2E4"/>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56E7"/>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6166"/>
    <w:rsid w:val="00DF0B9B"/>
    <w:rsid w:val="00DF0E05"/>
    <w:rsid w:val="00DF14FC"/>
    <w:rsid w:val="00DF2C09"/>
    <w:rsid w:val="00DF2C1F"/>
    <w:rsid w:val="00DF3931"/>
    <w:rsid w:val="00DF3EA8"/>
    <w:rsid w:val="00DF4032"/>
    <w:rsid w:val="00DF421B"/>
    <w:rsid w:val="00DF54CD"/>
    <w:rsid w:val="00DF55BC"/>
    <w:rsid w:val="00DF58D8"/>
    <w:rsid w:val="00DF631D"/>
    <w:rsid w:val="00DF6C2D"/>
    <w:rsid w:val="00E010DC"/>
    <w:rsid w:val="00E01155"/>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41F"/>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A41"/>
    <w:rsid w:val="00E65D1C"/>
    <w:rsid w:val="00E70D0F"/>
    <w:rsid w:val="00E710C9"/>
    <w:rsid w:val="00E715B3"/>
    <w:rsid w:val="00E724E4"/>
    <w:rsid w:val="00E73312"/>
    <w:rsid w:val="00E735CB"/>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18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3B1"/>
    <w:rsid w:val="00F200E3"/>
    <w:rsid w:val="00F210BA"/>
    <w:rsid w:val="00F21AF7"/>
    <w:rsid w:val="00F22AFE"/>
    <w:rsid w:val="00F230D5"/>
    <w:rsid w:val="00F24EF2"/>
    <w:rsid w:val="00F257BD"/>
    <w:rsid w:val="00F265F6"/>
    <w:rsid w:val="00F26BE7"/>
    <w:rsid w:val="00F27291"/>
    <w:rsid w:val="00F3092D"/>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18"/>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34FD"/>
    <w:rsid w:val="00F7512F"/>
    <w:rsid w:val="00F755C8"/>
    <w:rsid w:val="00F76A83"/>
    <w:rsid w:val="00F77105"/>
    <w:rsid w:val="00F7777F"/>
    <w:rsid w:val="00F779B3"/>
    <w:rsid w:val="00F77C69"/>
    <w:rsid w:val="00F805B2"/>
    <w:rsid w:val="00F80ECE"/>
    <w:rsid w:val="00F81139"/>
    <w:rsid w:val="00F818C7"/>
    <w:rsid w:val="00F81900"/>
    <w:rsid w:val="00F828B8"/>
    <w:rsid w:val="00F829D3"/>
    <w:rsid w:val="00F82CC0"/>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9698D"/>
    <w:rsid w:val="00F97208"/>
    <w:rsid w:val="00FA0210"/>
    <w:rsid w:val="00FA325A"/>
    <w:rsid w:val="00FA37CA"/>
    <w:rsid w:val="00FA3AA3"/>
    <w:rsid w:val="00FA3ECA"/>
    <w:rsid w:val="00FA4061"/>
    <w:rsid w:val="00FA4D44"/>
    <w:rsid w:val="00FA5D62"/>
    <w:rsid w:val="00FB0131"/>
    <w:rsid w:val="00FB08C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70C"/>
    <w:rsid w:val="00FC3956"/>
    <w:rsid w:val="00FC39EA"/>
    <w:rsid w:val="00FC4ECC"/>
    <w:rsid w:val="00FC67B1"/>
    <w:rsid w:val="00FC70BB"/>
    <w:rsid w:val="00FD12FA"/>
    <w:rsid w:val="00FD147A"/>
    <w:rsid w:val="00FD15AF"/>
    <w:rsid w:val="00FD23EE"/>
    <w:rsid w:val="00FD2699"/>
    <w:rsid w:val="00FD2F1A"/>
    <w:rsid w:val="00FD41E0"/>
    <w:rsid w:val="00FD46F2"/>
    <w:rsid w:val="00FD5B12"/>
    <w:rsid w:val="00FD5F57"/>
    <w:rsid w:val="00FD733C"/>
    <w:rsid w:val="00FD73EE"/>
    <w:rsid w:val="00FD7F01"/>
    <w:rsid w:val="00FE0418"/>
    <w:rsid w:val="00FE28CF"/>
    <w:rsid w:val="00FE30CA"/>
    <w:rsid w:val="00FE386C"/>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6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7852" TargetMode="External"/><Relationship Id="rId13" Type="http://schemas.openxmlformats.org/officeDocument/2006/relationships/hyperlink" Target="https://www.scc-csc.ca/case-dossier/info/sum-som-eng.aspx?cas=38016" TargetMode="External"/><Relationship Id="rId18" Type="http://schemas.openxmlformats.org/officeDocument/2006/relationships/hyperlink" Target="https://www.scc-csc.ca/case-dossier/info/sum-som-eng.aspx?cas=38182" TargetMode="External"/><Relationship Id="rId26" Type="http://schemas.openxmlformats.org/officeDocument/2006/relationships/hyperlink" Target="mailto:comments-commentaires@scc-csc.ca" TargetMode="External"/><Relationship Id="rId3" Type="http://schemas.openxmlformats.org/officeDocument/2006/relationships/styles" Target="styles.xml"/><Relationship Id="rId21" Type="http://schemas.openxmlformats.org/officeDocument/2006/relationships/hyperlink" Target="https://www.scc-csc.ca/case-dossier/info/sum-som-eng.aspx?cas=3815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8033" TargetMode="External"/><Relationship Id="rId17" Type="http://schemas.openxmlformats.org/officeDocument/2006/relationships/hyperlink" Target="https://www.scc-csc.ca/case-dossier/info/sum-som-eng.aspx?cas=38077" TargetMode="External"/><Relationship Id="rId25" Type="http://schemas.openxmlformats.org/officeDocument/2006/relationships/hyperlink" Target="https://www.scc-csc.ca/case-dossier/info/sum-som-eng.aspx?cas=3827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38081" TargetMode="External"/><Relationship Id="rId20" Type="http://schemas.openxmlformats.org/officeDocument/2006/relationships/hyperlink" Target="https://www.scc-csc.ca/case-dossier/info/sum-som-eng.aspx?cas=3798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7961" TargetMode="External"/><Relationship Id="rId24" Type="http://schemas.openxmlformats.org/officeDocument/2006/relationships/hyperlink" Target="https://www.scc-csc.ca/case-dossier/info/sum-som-eng.aspx?cas=38007"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38045" TargetMode="External"/><Relationship Id="rId23" Type="http://schemas.openxmlformats.org/officeDocument/2006/relationships/hyperlink" Target="https://www.scc-csc.ca/case-dossier/info/sum-som-eng.aspx?cas=38078" TargetMode="External"/><Relationship Id="rId28" Type="http://schemas.openxmlformats.org/officeDocument/2006/relationships/header" Target="header2.xml"/><Relationship Id="rId10" Type="http://schemas.openxmlformats.org/officeDocument/2006/relationships/hyperlink" Target="https://www.scc-csc.ca/case-dossier/info/sum-som-fra.aspx?cas=38029" TargetMode="External"/><Relationship Id="rId19" Type="http://schemas.openxmlformats.org/officeDocument/2006/relationships/hyperlink" Target="https://www.scc-csc.ca/case-dossier/info/sum-som-eng.aspx?cas=38216"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fra.aspx?cas=37852" TargetMode="External"/><Relationship Id="rId14" Type="http://schemas.openxmlformats.org/officeDocument/2006/relationships/hyperlink" Target="https://www.scc-csc.ca/case-dossier/info/sum-som-eng.aspx?cas=38008" TargetMode="External"/><Relationship Id="rId22" Type="http://schemas.openxmlformats.org/officeDocument/2006/relationships/hyperlink" Target="https://www.scc-csc.ca/case-dossier/info/sum-som-eng.aspx?cas=38092"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5806-1297-4948-9098-CAEFD174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8190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2018-11-08T13:07:00Z</dcterms:created>
  <dcterms:modified xsi:type="dcterms:W3CDTF">2018-11-08T13:07:00Z</dcterms:modified>
</cp:coreProperties>
</file>