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0A43F5" w:rsidP="006F2579">
      <w:pPr>
        <w:widowControl w:val="0"/>
        <w:rPr>
          <w:b/>
        </w:rPr>
      </w:pPr>
      <w:r>
        <w:rPr>
          <w:b/>
        </w:rPr>
        <w:t>Decem</w:t>
      </w:r>
      <w:r w:rsidR="00A15B66">
        <w:rPr>
          <w:b/>
        </w:rPr>
        <w:t xml:space="preserve">ber </w:t>
      </w:r>
      <w:r>
        <w:rPr>
          <w:b/>
        </w:rPr>
        <w:t>3</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F44D1D"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0A43F5">
        <w:t>Dece</w:t>
      </w:r>
      <w:r w:rsidR="00A7047F">
        <w:t>mber</w:t>
      </w:r>
      <w:r w:rsidR="00455912" w:rsidRPr="006C319D">
        <w:t xml:space="preserve"> </w:t>
      </w:r>
      <w:r w:rsidR="000A43F5">
        <w:t>6</w:t>
      </w:r>
      <w:r w:rsidR="007E112F" w:rsidRPr="006C319D">
        <w:t>,</w:t>
      </w:r>
      <w:r w:rsidR="002F38D7" w:rsidRPr="006C319D">
        <w:t xml:space="preserve"> </w:t>
      </w:r>
      <w:r w:rsidR="006648D1" w:rsidRPr="008F3C46">
        <w:t>201</w:t>
      </w:r>
      <w:r w:rsidR="00685F7C" w:rsidRPr="008F3C46">
        <w:t>8</w:t>
      </w:r>
      <w:r w:rsidRPr="008F3C46">
        <w:t xml:space="preserve">. </w:t>
      </w:r>
      <w:r w:rsidRPr="00F44D1D">
        <w:rPr>
          <w:lang w:val="fr-CA"/>
        </w:rPr>
        <w:t>This list is subject to chang</w:t>
      </w:r>
      <w:r w:rsidR="00192F7F" w:rsidRPr="00F44D1D">
        <w:rPr>
          <w:lang w:val="fr-CA"/>
        </w:rPr>
        <w:t>e</w:t>
      </w:r>
      <w:r w:rsidRPr="00F44D1D">
        <w:rPr>
          <w:lang w:val="fr-CA"/>
        </w:rPr>
        <w:t>.</w:t>
      </w:r>
    </w:p>
    <w:p w:rsidR="00EF2A9D" w:rsidRPr="00F44D1D" w:rsidRDefault="00EF2A9D" w:rsidP="006F2579">
      <w:pPr>
        <w:widowControl w:val="0"/>
        <w:rPr>
          <w:sz w:val="20"/>
          <w:lang w:val="fr-CA"/>
        </w:rPr>
      </w:pPr>
    </w:p>
    <w:p w:rsidR="00B43418" w:rsidRPr="00F44D1D"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0A43F5">
        <w:rPr>
          <w:b/>
          <w:lang w:val="fr-CA"/>
        </w:rPr>
        <w:t>3</w:t>
      </w:r>
      <w:r w:rsidR="00A15B66">
        <w:rPr>
          <w:b/>
          <w:lang w:val="fr-CA"/>
        </w:rPr>
        <w:t xml:space="preserve"> </w:t>
      </w:r>
      <w:r w:rsidR="000A43F5">
        <w:rPr>
          <w:b/>
          <w:lang w:val="fr-CA"/>
        </w:rPr>
        <w:t>décembre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0A43F5">
        <w:rPr>
          <w:lang w:val="fr-CA"/>
        </w:rPr>
        <w:t>6</w:t>
      </w:r>
      <w:r w:rsidR="00780317" w:rsidRPr="008F3C46">
        <w:rPr>
          <w:lang w:val="fr-CA"/>
        </w:rPr>
        <w:t xml:space="preserve"> </w:t>
      </w:r>
      <w:r w:rsidR="000A43F5">
        <w:rPr>
          <w:lang w:val="fr-CA"/>
        </w:rPr>
        <w:t>déc</w:t>
      </w:r>
      <w:r w:rsidR="000A43F5" w:rsidRPr="008F3C46">
        <w:rPr>
          <w:lang w:val="fr-CA"/>
        </w:rPr>
        <w:t>embre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95545C" w:rsidRPr="009649FF" w:rsidRDefault="0095545C" w:rsidP="009649FF">
      <w:pPr>
        <w:pStyle w:val="ListParagraph"/>
        <w:numPr>
          <w:ilvl w:val="0"/>
          <w:numId w:val="49"/>
        </w:numPr>
        <w:ind w:left="357" w:hanging="357"/>
        <w:rPr>
          <w:sz w:val="20"/>
          <w:lang w:val="en-CA"/>
        </w:rPr>
      </w:pPr>
      <w:r w:rsidRPr="009649FF">
        <w:rPr>
          <w:i/>
          <w:sz w:val="20"/>
          <w:lang w:val="en-CA"/>
        </w:rPr>
        <w:t xml:space="preserve">Leslie Lonsbary et al. v. Her Majesty the Queen </w:t>
      </w:r>
      <w:r w:rsidRPr="009649FF">
        <w:rPr>
          <w:sz w:val="20"/>
          <w:lang w:val="en-CA"/>
        </w:rPr>
        <w:t xml:space="preserve">(Ont.) (Criminal) (By Leave) </w:t>
      </w:r>
      <w:r w:rsidRPr="009649FF">
        <w:rPr>
          <w:sz w:val="20"/>
        </w:rPr>
        <w:t>(</w:t>
      </w:r>
      <w:hyperlink r:id="rId8" w:history="1">
        <w:r w:rsidRPr="009649FF">
          <w:rPr>
            <w:rStyle w:val="Hyperlink"/>
            <w:sz w:val="20"/>
            <w:szCs w:val="20"/>
          </w:rPr>
          <w:t>38255</w:t>
        </w:r>
      </w:hyperlink>
      <w:r w:rsidRPr="009649FF">
        <w:rPr>
          <w:sz w:val="20"/>
        </w:rPr>
        <w:t>)</w:t>
      </w:r>
    </w:p>
    <w:p w:rsidR="0095545C" w:rsidRPr="009649FF" w:rsidRDefault="0095545C" w:rsidP="009649FF">
      <w:pPr>
        <w:ind w:left="357" w:hanging="357"/>
        <w:rPr>
          <w:sz w:val="20"/>
          <w:lang w:val="en-CA"/>
        </w:rPr>
      </w:pPr>
    </w:p>
    <w:p w:rsidR="0095545C" w:rsidRPr="009649FF" w:rsidRDefault="0095545C" w:rsidP="009649FF">
      <w:pPr>
        <w:pStyle w:val="ListParagraph"/>
        <w:numPr>
          <w:ilvl w:val="0"/>
          <w:numId w:val="49"/>
        </w:numPr>
        <w:ind w:left="357" w:hanging="357"/>
        <w:rPr>
          <w:sz w:val="20"/>
        </w:rPr>
      </w:pPr>
      <w:r w:rsidRPr="009649FF">
        <w:rPr>
          <w:i/>
          <w:sz w:val="20"/>
        </w:rPr>
        <w:t xml:space="preserve">Lawyers’ Professional Indemnity Company et al. v. Mauricio Rodriguez </w:t>
      </w:r>
      <w:r w:rsidRPr="009649FF">
        <w:rPr>
          <w:sz w:val="20"/>
        </w:rPr>
        <w:t>(Ont.) (Civil) (By Leave) (</w:t>
      </w:r>
      <w:hyperlink r:id="rId9" w:history="1">
        <w:r w:rsidRPr="009649FF">
          <w:rPr>
            <w:rStyle w:val="Hyperlink"/>
            <w:sz w:val="20"/>
            <w:szCs w:val="20"/>
          </w:rPr>
          <w:t>38076</w:t>
        </w:r>
      </w:hyperlink>
      <w:r w:rsidRPr="009649FF">
        <w:rPr>
          <w:sz w:val="20"/>
        </w:rPr>
        <w:t>)</w:t>
      </w:r>
    </w:p>
    <w:p w:rsidR="00147DDC" w:rsidRPr="009649FF" w:rsidRDefault="00147DDC" w:rsidP="009649FF">
      <w:pPr>
        <w:ind w:left="357" w:hanging="357"/>
        <w:rPr>
          <w:sz w:val="20"/>
        </w:rPr>
      </w:pPr>
    </w:p>
    <w:p w:rsidR="007B5D4F" w:rsidRPr="009649FF" w:rsidRDefault="007B5D4F" w:rsidP="009649FF">
      <w:pPr>
        <w:pStyle w:val="SCCAppellantInfoAppellantInfo"/>
        <w:numPr>
          <w:ilvl w:val="0"/>
          <w:numId w:val="49"/>
        </w:numPr>
        <w:ind w:left="357" w:hanging="357"/>
        <w:rPr>
          <w:sz w:val="20"/>
          <w:szCs w:val="20"/>
        </w:rPr>
      </w:pPr>
      <w:r w:rsidRPr="009649FF">
        <w:rPr>
          <w:i/>
          <w:sz w:val="20"/>
          <w:szCs w:val="20"/>
        </w:rPr>
        <w:t>James Forcillo v. Her Majesty the Queen</w:t>
      </w:r>
      <w:r w:rsidRPr="009649FF">
        <w:rPr>
          <w:sz w:val="20"/>
          <w:szCs w:val="20"/>
        </w:rPr>
        <w:t xml:space="preserve"> (Ont.) (Criminal) (By Leave) (</w:t>
      </w:r>
      <w:hyperlink r:id="rId10" w:history="1">
        <w:r w:rsidRPr="009649FF">
          <w:rPr>
            <w:rStyle w:val="Hyperlink"/>
            <w:sz w:val="20"/>
            <w:szCs w:val="20"/>
          </w:rPr>
          <w:t>38184</w:t>
        </w:r>
      </w:hyperlink>
      <w:r w:rsidRPr="009649FF">
        <w:rPr>
          <w:sz w:val="20"/>
          <w:szCs w:val="20"/>
        </w:rPr>
        <w:t>)</w:t>
      </w:r>
    </w:p>
    <w:p w:rsidR="007B5D4F" w:rsidRPr="009649FF" w:rsidRDefault="007B5D4F" w:rsidP="009649FF">
      <w:pPr>
        <w:ind w:left="357" w:hanging="357"/>
        <w:rPr>
          <w:sz w:val="20"/>
          <w:lang w:val="en-CA"/>
        </w:rPr>
      </w:pPr>
    </w:p>
    <w:p w:rsidR="007B5D4F" w:rsidRPr="009649FF" w:rsidRDefault="007B5D4F" w:rsidP="009649FF">
      <w:pPr>
        <w:pStyle w:val="SCCAppellantInfoAppellantInfo"/>
        <w:numPr>
          <w:ilvl w:val="0"/>
          <w:numId w:val="49"/>
        </w:numPr>
        <w:ind w:left="357" w:hanging="357"/>
        <w:rPr>
          <w:sz w:val="20"/>
          <w:szCs w:val="20"/>
        </w:rPr>
      </w:pPr>
      <w:r w:rsidRPr="009649FF">
        <w:rPr>
          <w:i/>
          <w:sz w:val="20"/>
          <w:szCs w:val="20"/>
        </w:rPr>
        <w:t>Mitra Javanmardi v. Her Majesty the Queen et al.</w:t>
      </w:r>
      <w:r w:rsidRPr="009649FF">
        <w:rPr>
          <w:sz w:val="20"/>
          <w:szCs w:val="20"/>
        </w:rPr>
        <w:t xml:space="preserve"> (Que.) (Criminal) (As of Right / By Leave)</w:t>
      </w:r>
      <w:r w:rsidR="009649FF" w:rsidRPr="009649FF">
        <w:rPr>
          <w:sz w:val="20"/>
          <w:szCs w:val="20"/>
        </w:rPr>
        <w:t xml:space="preserve"> (</w:t>
      </w:r>
      <w:hyperlink r:id="rId11" w:history="1">
        <w:r w:rsidR="009649FF" w:rsidRPr="009649FF">
          <w:rPr>
            <w:rStyle w:val="Hyperlink"/>
            <w:sz w:val="20"/>
            <w:szCs w:val="20"/>
          </w:rPr>
          <w:t>38188</w:t>
        </w:r>
      </w:hyperlink>
      <w:r w:rsidR="009649FF" w:rsidRPr="009649FF">
        <w:rPr>
          <w:sz w:val="20"/>
          <w:szCs w:val="20"/>
        </w:rPr>
        <w:t>)</w:t>
      </w:r>
    </w:p>
    <w:p w:rsidR="00147DDC" w:rsidRPr="007B5D4F" w:rsidRDefault="00147DDC" w:rsidP="006A22CA">
      <w:pPr>
        <w:ind w:left="142" w:hanging="142"/>
        <w:jc w:val="both"/>
        <w:rPr>
          <w:sz w:val="20"/>
          <w:lang w:val="en-CA"/>
        </w:rPr>
      </w:pPr>
    </w:p>
    <w:p w:rsidR="00147DDC" w:rsidRDefault="00147DDC" w:rsidP="006A22CA">
      <w:pPr>
        <w:ind w:left="142" w:hanging="142"/>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2F9A" w:rsidRPr="00862F9A" w:rsidTr="00E95A6A">
        <w:tc>
          <w:tcPr>
            <w:tcW w:w="543" w:type="pct"/>
          </w:tcPr>
          <w:p w:rsidR="00862F9A" w:rsidRPr="00862F9A" w:rsidRDefault="00862F9A" w:rsidP="00862F9A">
            <w:pPr>
              <w:jc w:val="both"/>
              <w:rPr>
                <w:sz w:val="20"/>
              </w:rPr>
            </w:pPr>
            <w:r w:rsidRPr="00862F9A">
              <w:rPr>
                <w:rStyle w:val="SCCFileNumberChar"/>
                <w:sz w:val="20"/>
                <w:szCs w:val="20"/>
              </w:rPr>
              <w:t>38255</w:t>
            </w:r>
          </w:p>
        </w:tc>
        <w:tc>
          <w:tcPr>
            <w:tcW w:w="4457" w:type="pct"/>
            <w:gridSpan w:val="3"/>
          </w:tcPr>
          <w:p w:rsidR="00862F9A" w:rsidRPr="008B0713" w:rsidRDefault="00862F9A" w:rsidP="00862F9A">
            <w:pPr>
              <w:pStyle w:val="SCCLsocParty"/>
              <w:jc w:val="both"/>
              <w:rPr>
                <w:b/>
                <w:sz w:val="20"/>
                <w:szCs w:val="20"/>
                <w:lang w:val="en-US"/>
              </w:rPr>
            </w:pPr>
            <w:r w:rsidRPr="008B0713">
              <w:rPr>
                <w:b/>
                <w:sz w:val="20"/>
                <w:szCs w:val="20"/>
                <w:lang w:val="en-US"/>
              </w:rPr>
              <w:t>Leslie Lonsbary v. Her Majesty the Queen</w:t>
            </w:r>
          </w:p>
          <w:p w:rsidR="00862F9A" w:rsidRPr="008B0713" w:rsidRDefault="00862F9A" w:rsidP="00862F9A">
            <w:pPr>
              <w:pStyle w:val="SCCLsocSubfileSeparator"/>
              <w:rPr>
                <w:sz w:val="20"/>
                <w:szCs w:val="20"/>
              </w:rPr>
            </w:pPr>
            <w:r w:rsidRPr="008B0713">
              <w:rPr>
                <w:sz w:val="20"/>
                <w:szCs w:val="20"/>
              </w:rPr>
              <w:t>- and between -</w:t>
            </w:r>
          </w:p>
          <w:p w:rsidR="00862F9A" w:rsidRPr="008B0713" w:rsidRDefault="00862F9A" w:rsidP="00862F9A">
            <w:pPr>
              <w:pStyle w:val="SCCLsocParty"/>
              <w:jc w:val="both"/>
              <w:rPr>
                <w:b/>
                <w:sz w:val="20"/>
                <w:szCs w:val="20"/>
                <w:lang w:val="en-US"/>
              </w:rPr>
            </w:pPr>
            <w:r w:rsidRPr="008B0713">
              <w:rPr>
                <w:b/>
                <w:sz w:val="20"/>
                <w:szCs w:val="20"/>
                <w:lang w:val="en-US"/>
              </w:rPr>
              <w:t xml:space="preserve">Stephen </w:t>
            </w:r>
            <w:proofErr w:type="spellStart"/>
            <w:r w:rsidRPr="008B0713">
              <w:rPr>
                <w:b/>
                <w:sz w:val="20"/>
                <w:szCs w:val="20"/>
                <w:lang w:val="en-US"/>
              </w:rPr>
              <w:t>Jurkus</w:t>
            </w:r>
            <w:proofErr w:type="spellEnd"/>
            <w:r w:rsidRPr="008B0713">
              <w:rPr>
                <w:b/>
                <w:sz w:val="20"/>
                <w:szCs w:val="20"/>
                <w:lang w:val="en-US"/>
              </w:rPr>
              <w:t xml:space="preserve"> v. Her Majesty the Queen</w:t>
            </w:r>
          </w:p>
          <w:p w:rsidR="00862F9A" w:rsidRPr="00862F9A" w:rsidRDefault="00862F9A" w:rsidP="008B0713">
            <w:pPr>
              <w:jc w:val="both"/>
              <w:rPr>
                <w:sz w:val="20"/>
              </w:rPr>
            </w:pPr>
            <w:r w:rsidRPr="00862F9A">
              <w:rPr>
                <w:sz w:val="20"/>
              </w:rPr>
              <w:t>(Ont.) (Criminal) (By Leave)</w:t>
            </w:r>
          </w:p>
        </w:tc>
      </w:tr>
      <w:tr w:rsidR="00862F9A" w:rsidRPr="00862F9A" w:rsidTr="00E95A6A">
        <w:tc>
          <w:tcPr>
            <w:tcW w:w="5000" w:type="pct"/>
            <w:gridSpan w:val="4"/>
          </w:tcPr>
          <w:p w:rsidR="00862F9A" w:rsidRDefault="00862F9A" w:rsidP="00862F9A">
            <w:pPr>
              <w:autoSpaceDE w:val="0"/>
              <w:autoSpaceDN w:val="0"/>
              <w:adjustRightInd w:val="0"/>
              <w:jc w:val="both"/>
              <w:rPr>
                <w:sz w:val="20"/>
              </w:rPr>
            </w:pPr>
            <w:r w:rsidRPr="00862F9A">
              <w:rPr>
                <w:i/>
                <w:sz w:val="20"/>
              </w:rPr>
              <w:t>Charter of Rights</w:t>
            </w:r>
            <w:r w:rsidRPr="00862F9A">
              <w:rPr>
                <w:sz w:val="20"/>
              </w:rPr>
              <w:t xml:space="preserve"> – Right to be tried within reasonable time – Criminal law – Appeals – Powers of Court of Appeal – Standard of review – Whether the applicants’ right to be tried within reasonable time was infringed – Whether the Court of Appeal erred by relying on </w:t>
            </w:r>
            <w:r w:rsidRPr="00862F9A">
              <w:rPr>
                <w:i/>
                <w:iCs/>
                <w:sz w:val="20"/>
              </w:rPr>
              <w:t>Morin</w:t>
            </w:r>
            <w:r w:rsidRPr="00862F9A">
              <w:rPr>
                <w:sz w:val="20"/>
              </w:rPr>
              <w:t xml:space="preserve">-era case law and adopting a correctness standard of review for the trial judge’s reasonable factual findings regarding defence delay and exceptional circumstances – Whether the applicability of </w:t>
            </w:r>
            <w:r w:rsidRPr="00862F9A">
              <w:rPr>
                <w:i/>
                <w:iCs/>
                <w:sz w:val="20"/>
              </w:rPr>
              <w:t>Morin</w:t>
            </w:r>
            <w:r w:rsidRPr="00862F9A">
              <w:rPr>
                <w:sz w:val="20"/>
              </w:rPr>
              <w:t xml:space="preserve">-era case law concerning the appellate review of s. 11(b) </w:t>
            </w:r>
            <w:r w:rsidRPr="00862F9A">
              <w:rPr>
                <w:i/>
                <w:sz w:val="20"/>
              </w:rPr>
              <w:t xml:space="preserve">Charter </w:t>
            </w:r>
            <w:r w:rsidRPr="00862F9A">
              <w:rPr>
                <w:sz w:val="20"/>
              </w:rPr>
              <w:t xml:space="preserve">decisions is a matter of public importance – Whether the Court of Appeal erred in applying the incorrect standard of review for the trial judge’s reasonable findings of fact regarding exceptional circumstances and rendered a decision that is inconsistent with the decisions of other appellate courts – Whether the consistent application of the appropriate standard of review for s. 11 (b) </w:t>
            </w:r>
            <w:r w:rsidRPr="00862F9A">
              <w:rPr>
                <w:i/>
                <w:sz w:val="20"/>
              </w:rPr>
              <w:t xml:space="preserve">Charter </w:t>
            </w:r>
            <w:r w:rsidRPr="00862F9A">
              <w:rPr>
                <w:sz w:val="20"/>
              </w:rPr>
              <w:t>decisions is a matter of public importance.</w:t>
            </w:r>
          </w:p>
          <w:p w:rsidR="008B0713" w:rsidRPr="00862F9A" w:rsidRDefault="008B0713" w:rsidP="00862F9A">
            <w:pPr>
              <w:autoSpaceDE w:val="0"/>
              <w:autoSpaceDN w:val="0"/>
              <w:adjustRightInd w:val="0"/>
              <w:jc w:val="both"/>
              <w:rPr>
                <w:sz w:val="20"/>
              </w:rPr>
            </w:pPr>
          </w:p>
        </w:tc>
      </w:tr>
      <w:tr w:rsidR="00862F9A" w:rsidRPr="00862F9A" w:rsidTr="00E95A6A">
        <w:tc>
          <w:tcPr>
            <w:tcW w:w="5000" w:type="pct"/>
            <w:gridSpan w:val="4"/>
          </w:tcPr>
          <w:p w:rsidR="00862F9A" w:rsidRPr="00862F9A" w:rsidRDefault="00862F9A" w:rsidP="008B0713">
            <w:pPr>
              <w:pStyle w:val="aparanumbering1"/>
              <w:spacing w:before="0" w:after="0"/>
              <w:rPr>
                <w:sz w:val="20"/>
                <w:szCs w:val="20"/>
                <w:lang w:val="en"/>
              </w:rPr>
            </w:pPr>
            <w:r w:rsidRPr="00862F9A">
              <w:rPr>
                <w:rFonts w:ascii="Times New Roman" w:hAnsi="Times New Roman" w:cs="Times New Roman"/>
                <w:sz w:val="20"/>
                <w:szCs w:val="20"/>
                <w:lang w:val="en-CA"/>
              </w:rPr>
              <w:t>T</w:t>
            </w:r>
            <w:r w:rsidRPr="00862F9A">
              <w:rPr>
                <w:rFonts w:ascii="Times New Roman" w:hAnsi="Times New Roman" w:cs="Times New Roman"/>
                <w:sz w:val="20"/>
                <w:szCs w:val="20"/>
                <w:lang w:val="en"/>
              </w:rPr>
              <w:t>he applicants were on duty when a cellmate beat the victim to death. The applicants were charged with failing to provide the necessaries of life to the deceased.</w:t>
            </w:r>
            <w:r w:rsidRPr="00862F9A">
              <w:rPr>
                <w:rFonts w:cs="Times New Roman"/>
                <w:sz w:val="20"/>
                <w:szCs w:val="20"/>
                <w:lang w:val="en"/>
              </w:rPr>
              <w:t xml:space="preserve"> </w:t>
            </w:r>
            <w:r w:rsidRPr="00862F9A">
              <w:rPr>
                <w:rFonts w:ascii="Times New Roman" w:hAnsi="Times New Roman" w:cs="Times New Roman"/>
                <w:sz w:val="20"/>
                <w:szCs w:val="20"/>
                <w:lang w:val="en"/>
              </w:rPr>
              <w:t xml:space="preserve">The applicants’ application for a stay of proceedings was granted on </w:t>
            </w:r>
            <w:r w:rsidRPr="00862F9A">
              <w:rPr>
                <w:rFonts w:ascii="Times New Roman" w:hAnsi="Times New Roman" w:cs="Times New Roman"/>
                <w:sz w:val="20"/>
                <w:szCs w:val="20"/>
                <w:lang w:val="en"/>
              </w:rPr>
              <w:lastRenderedPageBreak/>
              <w:t xml:space="preserve">the basis of unreasonable delay pursuant to s. 11(b) of the </w:t>
            </w:r>
            <w:r w:rsidRPr="00862F9A">
              <w:rPr>
                <w:rFonts w:ascii="Times New Roman" w:hAnsi="Times New Roman" w:cs="Times New Roman"/>
                <w:i/>
                <w:sz w:val="20"/>
                <w:szCs w:val="20"/>
                <w:lang w:val="en"/>
              </w:rPr>
              <w:t>Charter</w:t>
            </w:r>
            <w:r w:rsidRPr="00862F9A">
              <w:rPr>
                <w:rFonts w:ascii="Times New Roman" w:hAnsi="Times New Roman" w:cs="Times New Roman"/>
                <w:sz w:val="20"/>
                <w:szCs w:val="20"/>
                <w:lang w:val="en"/>
              </w:rPr>
              <w:t xml:space="preserve">. The Court of Appeal held that the application judge erred in her s. 11(b) </w:t>
            </w:r>
            <w:r w:rsidRPr="00862F9A">
              <w:rPr>
                <w:rFonts w:ascii="Times New Roman" w:hAnsi="Times New Roman" w:cs="Times New Roman"/>
                <w:i/>
                <w:iCs/>
                <w:sz w:val="20"/>
                <w:szCs w:val="20"/>
                <w:lang w:val="en"/>
              </w:rPr>
              <w:t xml:space="preserve">Charter </w:t>
            </w:r>
            <w:r w:rsidRPr="00862F9A">
              <w:rPr>
                <w:rFonts w:ascii="Times New Roman" w:hAnsi="Times New Roman" w:cs="Times New Roman"/>
                <w:sz w:val="20"/>
                <w:szCs w:val="20"/>
                <w:lang w:val="en"/>
              </w:rPr>
              <w:t>analysis and there was no unreasonable delay. The respondent’s appeal was allowed: the stays of proceeding were set aside and the matter was remitted for trial.</w:t>
            </w:r>
          </w:p>
        </w:tc>
      </w:tr>
      <w:tr w:rsidR="00862F9A" w:rsidRPr="00862F9A" w:rsidTr="00E95A6A">
        <w:tc>
          <w:tcPr>
            <w:tcW w:w="5000" w:type="pct"/>
            <w:gridSpan w:val="4"/>
          </w:tcPr>
          <w:p w:rsidR="00862F9A" w:rsidRPr="00862F9A" w:rsidRDefault="00862F9A" w:rsidP="00862F9A">
            <w:pPr>
              <w:jc w:val="both"/>
              <w:rPr>
                <w:sz w:val="20"/>
              </w:rPr>
            </w:pPr>
          </w:p>
        </w:tc>
      </w:tr>
      <w:tr w:rsidR="00862F9A" w:rsidRPr="00862F9A" w:rsidTr="00E95A6A">
        <w:tc>
          <w:tcPr>
            <w:tcW w:w="2427" w:type="pct"/>
            <w:gridSpan w:val="2"/>
          </w:tcPr>
          <w:p w:rsidR="00862F9A" w:rsidRPr="00862F9A" w:rsidRDefault="00862F9A" w:rsidP="00862F9A">
            <w:pPr>
              <w:jc w:val="both"/>
              <w:rPr>
                <w:sz w:val="20"/>
              </w:rPr>
            </w:pPr>
            <w:r w:rsidRPr="00862F9A">
              <w:rPr>
                <w:sz w:val="20"/>
              </w:rPr>
              <w:t>February 13, 2017</w:t>
            </w:r>
          </w:p>
          <w:p w:rsidR="00862F9A" w:rsidRPr="00862F9A" w:rsidRDefault="00862F9A" w:rsidP="00862F9A">
            <w:pPr>
              <w:jc w:val="both"/>
              <w:rPr>
                <w:sz w:val="20"/>
              </w:rPr>
            </w:pPr>
            <w:r w:rsidRPr="00862F9A">
              <w:rPr>
                <w:sz w:val="20"/>
              </w:rPr>
              <w:t>Ontario Superior Court of Justice</w:t>
            </w:r>
          </w:p>
          <w:p w:rsidR="00862F9A" w:rsidRPr="00862F9A" w:rsidRDefault="00862F9A" w:rsidP="00862F9A">
            <w:pPr>
              <w:jc w:val="both"/>
              <w:rPr>
                <w:sz w:val="20"/>
              </w:rPr>
            </w:pPr>
            <w:r w:rsidRPr="00862F9A">
              <w:rPr>
                <w:sz w:val="20"/>
              </w:rPr>
              <w:t>(Mitchell J.)</w:t>
            </w:r>
          </w:p>
          <w:p w:rsidR="00862F9A" w:rsidRPr="00862F9A" w:rsidRDefault="00862F9A" w:rsidP="00862F9A">
            <w:pPr>
              <w:jc w:val="both"/>
              <w:rPr>
                <w:sz w:val="20"/>
              </w:rPr>
            </w:pPr>
            <w:hyperlink r:id="rId12" w:history="1">
              <w:r w:rsidRPr="00862F9A">
                <w:rPr>
                  <w:rStyle w:val="Hyperlink"/>
                  <w:sz w:val="20"/>
                </w:rPr>
                <w:t>2017 ONSC 1025</w:t>
              </w:r>
            </w:hyperlink>
          </w:p>
          <w:p w:rsidR="00862F9A" w:rsidRPr="00862F9A" w:rsidRDefault="00862F9A"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Applicants’ applications for stay of proceedings granted</w:t>
            </w:r>
          </w:p>
          <w:p w:rsidR="00862F9A" w:rsidRPr="00862F9A" w:rsidRDefault="00862F9A" w:rsidP="00862F9A">
            <w:pPr>
              <w:jc w:val="both"/>
              <w:rPr>
                <w:sz w:val="20"/>
              </w:rPr>
            </w:pPr>
          </w:p>
        </w:tc>
      </w:tr>
      <w:tr w:rsidR="00862F9A" w:rsidRPr="00862F9A" w:rsidTr="00E95A6A">
        <w:tc>
          <w:tcPr>
            <w:tcW w:w="2427" w:type="pct"/>
            <w:gridSpan w:val="2"/>
          </w:tcPr>
          <w:p w:rsidR="00862F9A" w:rsidRPr="00862F9A" w:rsidRDefault="00862F9A" w:rsidP="00862F9A">
            <w:pPr>
              <w:jc w:val="both"/>
              <w:rPr>
                <w:sz w:val="20"/>
              </w:rPr>
            </w:pPr>
            <w:r w:rsidRPr="00862F9A">
              <w:rPr>
                <w:sz w:val="20"/>
              </w:rPr>
              <w:t>May 28, 2018</w:t>
            </w:r>
          </w:p>
          <w:p w:rsidR="00862F9A" w:rsidRPr="00862F9A" w:rsidRDefault="00862F9A" w:rsidP="00862F9A">
            <w:pPr>
              <w:jc w:val="both"/>
              <w:rPr>
                <w:sz w:val="20"/>
              </w:rPr>
            </w:pPr>
            <w:r w:rsidRPr="00862F9A">
              <w:rPr>
                <w:sz w:val="20"/>
              </w:rPr>
              <w:t>Court of Appeal for Ontario</w:t>
            </w:r>
          </w:p>
          <w:p w:rsidR="00862F9A" w:rsidRPr="00862F9A" w:rsidRDefault="00862F9A" w:rsidP="00862F9A">
            <w:pPr>
              <w:jc w:val="both"/>
              <w:rPr>
                <w:sz w:val="20"/>
              </w:rPr>
            </w:pPr>
            <w:r w:rsidRPr="00862F9A">
              <w:rPr>
                <w:sz w:val="20"/>
              </w:rPr>
              <w:t xml:space="preserve">(Sharpe, </w:t>
            </w:r>
            <w:proofErr w:type="spellStart"/>
            <w:r w:rsidRPr="00862F9A">
              <w:rPr>
                <w:sz w:val="20"/>
              </w:rPr>
              <w:t>Pepall</w:t>
            </w:r>
            <w:proofErr w:type="spellEnd"/>
            <w:r w:rsidRPr="00862F9A">
              <w:rPr>
                <w:sz w:val="20"/>
              </w:rPr>
              <w:t>, Fairburn JJ.A.)</w:t>
            </w:r>
          </w:p>
          <w:p w:rsidR="00862F9A" w:rsidRPr="00862F9A" w:rsidRDefault="00862F9A" w:rsidP="00862F9A">
            <w:pPr>
              <w:jc w:val="both"/>
              <w:rPr>
                <w:sz w:val="20"/>
              </w:rPr>
            </w:pPr>
            <w:hyperlink r:id="rId13" w:history="1">
              <w:r w:rsidRPr="00862F9A">
                <w:rPr>
                  <w:rStyle w:val="Hyperlink"/>
                  <w:sz w:val="20"/>
                </w:rPr>
                <w:t>2018 ONCA 489</w:t>
              </w:r>
            </w:hyperlink>
            <w:r w:rsidRPr="00862F9A">
              <w:rPr>
                <w:sz w:val="20"/>
              </w:rPr>
              <w:t>; C63479</w:t>
            </w:r>
          </w:p>
          <w:p w:rsidR="00862F9A" w:rsidRPr="00862F9A" w:rsidRDefault="00862F9A"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Respondent’s appeal allowed: stays of proceedings set aside; matter remitted for trial</w:t>
            </w:r>
          </w:p>
          <w:p w:rsidR="00862F9A" w:rsidRPr="00862F9A" w:rsidRDefault="00862F9A" w:rsidP="00862F9A">
            <w:pPr>
              <w:jc w:val="both"/>
              <w:rPr>
                <w:sz w:val="20"/>
              </w:rPr>
            </w:pPr>
          </w:p>
        </w:tc>
      </w:tr>
      <w:tr w:rsidR="00862F9A" w:rsidRPr="00862F9A" w:rsidTr="00E95A6A">
        <w:tc>
          <w:tcPr>
            <w:tcW w:w="2427" w:type="pct"/>
            <w:gridSpan w:val="2"/>
          </w:tcPr>
          <w:p w:rsidR="00862F9A" w:rsidRPr="00862F9A" w:rsidRDefault="00862F9A" w:rsidP="00862F9A">
            <w:pPr>
              <w:jc w:val="both"/>
              <w:rPr>
                <w:sz w:val="20"/>
              </w:rPr>
            </w:pPr>
            <w:r w:rsidRPr="00862F9A">
              <w:rPr>
                <w:sz w:val="20"/>
              </w:rPr>
              <w:t>August 23, 2018</w:t>
            </w:r>
          </w:p>
          <w:p w:rsidR="00862F9A" w:rsidRDefault="00862F9A" w:rsidP="00862F9A">
            <w:pPr>
              <w:jc w:val="both"/>
              <w:rPr>
                <w:sz w:val="20"/>
              </w:rPr>
            </w:pPr>
            <w:r w:rsidRPr="00862F9A">
              <w:rPr>
                <w:sz w:val="20"/>
              </w:rPr>
              <w:t>Supreme Court of Canada</w:t>
            </w:r>
          </w:p>
          <w:p w:rsidR="008B0713" w:rsidRPr="00862F9A" w:rsidRDefault="008B0713"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Application for leave to appeal filed by Mr. Lonsbary</w:t>
            </w:r>
          </w:p>
          <w:p w:rsidR="00862F9A" w:rsidRPr="00862F9A" w:rsidRDefault="00862F9A" w:rsidP="00862F9A">
            <w:pPr>
              <w:jc w:val="both"/>
              <w:rPr>
                <w:sz w:val="20"/>
              </w:rPr>
            </w:pPr>
          </w:p>
        </w:tc>
      </w:tr>
      <w:tr w:rsidR="00862F9A" w:rsidRPr="00862F9A" w:rsidTr="00E95A6A">
        <w:tc>
          <w:tcPr>
            <w:tcW w:w="2427" w:type="pct"/>
            <w:gridSpan w:val="2"/>
          </w:tcPr>
          <w:p w:rsidR="00862F9A" w:rsidRPr="00862F9A" w:rsidRDefault="00862F9A" w:rsidP="00862F9A">
            <w:pPr>
              <w:jc w:val="both"/>
              <w:rPr>
                <w:sz w:val="20"/>
              </w:rPr>
            </w:pPr>
            <w:r w:rsidRPr="00862F9A">
              <w:rPr>
                <w:sz w:val="20"/>
              </w:rPr>
              <w:t>August 28, 2018</w:t>
            </w:r>
          </w:p>
          <w:p w:rsidR="00862F9A" w:rsidRPr="00862F9A" w:rsidRDefault="00862F9A" w:rsidP="00862F9A">
            <w:pPr>
              <w:jc w:val="both"/>
              <w:rPr>
                <w:sz w:val="20"/>
              </w:rPr>
            </w:pPr>
            <w:r w:rsidRPr="00862F9A">
              <w:rPr>
                <w:sz w:val="20"/>
              </w:rPr>
              <w:t>Supreme Court of Canada</w:t>
            </w:r>
          </w:p>
          <w:p w:rsidR="00862F9A" w:rsidRPr="00862F9A" w:rsidRDefault="00862F9A"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Application for leave to appeal filed by Mr. </w:t>
            </w:r>
            <w:proofErr w:type="spellStart"/>
            <w:r w:rsidRPr="00862F9A">
              <w:rPr>
                <w:sz w:val="20"/>
              </w:rPr>
              <w:t>Jurkus</w:t>
            </w:r>
            <w:proofErr w:type="spellEnd"/>
          </w:p>
        </w:tc>
      </w:tr>
      <w:tr w:rsidR="00862F9A" w:rsidRPr="00862F9A" w:rsidTr="00E95A6A">
        <w:tc>
          <w:tcPr>
            <w:tcW w:w="2427" w:type="pct"/>
            <w:gridSpan w:val="2"/>
          </w:tcPr>
          <w:p w:rsidR="00862F9A" w:rsidRPr="00862F9A" w:rsidRDefault="00862F9A" w:rsidP="00862F9A">
            <w:pPr>
              <w:jc w:val="both"/>
              <w:rPr>
                <w:sz w:val="20"/>
              </w:rPr>
            </w:pPr>
            <w:r w:rsidRPr="00862F9A">
              <w:rPr>
                <w:sz w:val="20"/>
              </w:rPr>
              <w:t>September 7, 2018</w:t>
            </w:r>
          </w:p>
          <w:p w:rsidR="00862F9A" w:rsidRPr="00862F9A" w:rsidRDefault="00862F9A" w:rsidP="008B0713">
            <w:pPr>
              <w:jc w:val="both"/>
              <w:rPr>
                <w:sz w:val="20"/>
              </w:rPr>
            </w:pPr>
            <w:r w:rsidRPr="00862F9A">
              <w:rPr>
                <w:sz w:val="20"/>
              </w:rPr>
              <w:t>Supreme Court of Canada</w:t>
            </w: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Motion for an extension of time to serve and file the application for leave to appeal filed by Mr. </w:t>
            </w:r>
            <w:proofErr w:type="spellStart"/>
            <w:r w:rsidRPr="00862F9A">
              <w:rPr>
                <w:sz w:val="20"/>
              </w:rPr>
              <w:t>Jurkus</w:t>
            </w:r>
            <w:proofErr w:type="spellEnd"/>
          </w:p>
        </w:tc>
      </w:tr>
    </w:tbl>
    <w:p w:rsidR="00862F9A" w:rsidRDefault="00862F9A" w:rsidP="00862F9A">
      <w:pPr>
        <w:jc w:val="both"/>
        <w:rPr>
          <w:sz w:val="20"/>
        </w:rPr>
      </w:pPr>
    </w:p>
    <w:p w:rsidR="008B0713" w:rsidRPr="00862F9A" w:rsidRDefault="008B0713" w:rsidP="00862F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2F9A" w:rsidRPr="00862F9A" w:rsidTr="00E95A6A">
        <w:tc>
          <w:tcPr>
            <w:tcW w:w="543" w:type="pct"/>
          </w:tcPr>
          <w:p w:rsidR="00862F9A" w:rsidRPr="00862F9A" w:rsidRDefault="00862F9A" w:rsidP="00862F9A">
            <w:pPr>
              <w:jc w:val="both"/>
              <w:rPr>
                <w:sz w:val="20"/>
                <w:lang w:val="fr-CA"/>
              </w:rPr>
            </w:pPr>
            <w:r w:rsidRPr="00862F9A">
              <w:rPr>
                <w:rStyle w:val="SCCFileNumberChar"/>
                <w:sz w:val="20"/>
                <w:szCs w:val="20"/>
                <w:lang w:val="fr-CA"/>
              </w:rPr>
              <w:t>38255</w:t>
            </w:r>
          </w:p>
        </w:tc>
        <w:tc>
          <w:tcPr>
            <w:tcW w:w="4457" w:type="pct"/>
            <w:gridSpan w:val="3"/>
          </w:tcPr>
          <w:p w:rsidR="00862F9A" w:rsidRPr="008B0713" w:rsidRDefault="00862F9A" w:rsidP="00862F9A">
            <w:pPr>
              <w:pStyle w:val="SCCLsocParty"/>
              <w:jc w:val="both"/>
              <w:rPr>
                <w:b/>
                <w:sz w:val="20"/>
                <w:szCs w:val="20"/>
              </w:rPr>
            </w:pPr>
            <w:r w:rsidRPr="008B0713">
              <w:rPr>
                <w:b/>
                <w:sz w:val="20"/>
                <w:szCs w:val="20"/>
              </w:rPr>
              <w:t>Leslie Lonsbary c. Sa Majesté la Reine</w:t>
            </w:r>
          </w:p>
          <w:p w:rsidR="00862F9A" w:rsidRPr="008B0713" w:rsidRDefault="00862F9A" w:rsidP="00862F9A">
            <w:pPr>
              <w:pStyle w:val="SCCLsocSubfileSeparator"/>
              <w:rPr>
                <w:sz w:val="20"/>
                <w:szCs w:val="20"/>
                <w:lang w:val="fr-CA"/>
              </w:rPr>
            </w:pPr>
            <w:r w:rsidRPr="008B0713">
              <w:rPr>
                <w:sz w:val="20"/>
                <w:szCs w:val="20"/>
                <w:lang w:val="fr-CA"/>
              </w:rPr>
              <w:t>- et entre -</w:t>
            </w:r>
          </w:p>
          <w:p w:rsidR="00862F9A" w:rsidRPr="008B0713" w:rsidRDefault="00862F9A" w:rsidP="00862F9A">
            <w:pPr>
              <w:pStyle w:val="SCCLsocParty"/>
              <w:jc w:val="both"/>
              <w:rPr>
                <w:b/>
                <w:sz w:val="20"/>
                <w:szCs w:val="20"/>
              </w:rPr>
            </w:pPr>
            <w:r w:rsidRPr="008B0713">
              <w:rPr>
                <w:b/>
                <w:sz w:val="20"/>
                <w:szCs w:val="20"/>
              </w:rPr>
              <w:t xml:space="preserve">Stephen </w:t>
            </w:r>
            <w:proofErr w:type="spellStart"/>
            <w:r w:rsidRPr="008B0713">
              <w:rPr>
                <w:b/>
                <w:sz w:val="20"/>
                <w:szCs w:val="20"/>
              </w:rPr>
              <w:t>Jurkus</w:t>
            </w:r>
            <w:proofErr w:type="spellEnd"/>
            <w:r w:rsidRPr="008B0713">
              <w:rPr>
                <w:b/>
                <w:sz w:val="20"/>
                <w:szCs w:val="20"/>
              </w:rPr>
              <w:t xml:space="preserve"> c. Sa Majesté la Reine</w:t>
            </w:r>
          </w:p>
          <w:p w:rsidR="00862F9A" w:rsidRPr="00862F9A" w:rsidRDefault="00862F9A" w:rsidP="00862F9A">
            <w:pPr>
              <w:jc w:val="both"/>
              <w:rPr>
                <w:sz w:val="20"/>
                <w:lang w:val="fr-CA"/>
              </w:rPr>
            </w:pPr>
            <w:r w:rsidRPr="00862F9A">
              <w:rPr>
                <w:sz w:val="20"/>
                <w:lang w:val="fr-CA"/>
              </w:rPr>
              <w:t>(Ont.) (Criminelle) (Autorisation)</w:t>
            </w:r>
          </w:p>
        </w:tc>
      </w:tr>
      <w:tr w:rsidR="00862F9A" w:rsidRPr="00862F9A" w:rsidTr="00E95A6A">
        <w:tc>
          <w:tcPr>
            <w:tcW w:w="5000" w:type="pct"/>
            <w:gridSpan w:val="4"/>
          </w:tcPr>
          <w:p w:rsidR="00862F9A" w:rsidRDefault="00862F9A" w:rsidP="00862F9A">
            <w:pPr>
              <w:autoSpaceDE w:val="0"/>
              <w:autoSpaceDN w:val="0"/>
              <w:adjustRightInd w:val="0"/>
              <w:jc w:val="both"/>
              <w:rPr>
                <w:sz w:val="20"/>
                <w:lang w:val="fr-CA"/>
              </w:rPr>
            </w:pPr>
            <w:r w:rsidRPr="00862F9A">
              <w:rPr>
                <w:i/>
                <w:sz w:val="20"/>
                <w:lang w:val="fr-CA"/>
              </w:rPr>
              <w:t>Charte des droits</w:t>
            </w:r>
            <w:r w:rsidRPr="00862F9A">
              <w:rPr>
                <w:sz w:val="20"/>
                <w:lang w:val="fr-CA"/>
              </w:rPr>
              <w:t xml:space="preserve"> – Procès dans un délai raisonnable – Droit criminel – Appels – Pouvoirs de la Cour d’appel – Norme de contrôle – Y a-t-il eu atteinte au droit des demandeurs de subir leur procès dans un délai raisonnable? – La Cour d’appel a-t-elle eu tort de s’appuyer sur la jurisprudence en vigueur à l’époque de l’arrêt </w:t>
            </w:r>
            <w:r w:rsidRPr="00862F9A">
              <w:rPr>
                <w:i/>
                <w:iCs/>
                <w:sz w:val="20"/>
                <w:lang w:val="fr-CA"/>
              </w:rPr>
              <w:t xml:space="preserve">Morin </w:t>
            </w:r>
            <w:r w:rsidRPr="00862F9A">
              <w:rPr>
                <w:sz w:val="20"/>
                <w:lang w:val="fr-CA"/>
              </w:rPr>
              <w:t xml:space="preserve">et en adoptant la norme de contrôle de la décision correcte en ce qui concerne les conclusions de fait raisonnables du juge du procès relativement aux délais imputables à la défense et aux circonstances exceptionnelles? – L’applicabilité de la jurisprudence en vigueur à l’époque de l’arrêt </w:t>
            </w:r>
            <w:r w:rsidRPr="00862F9A">
              <w:rPr>
                <w:i/>
                <w:iCs/>
                <w:sz w:val="20"/>
                <w:lang w:val="fr-CA"/>
              </w:rPr>
              <w:t>Morin</w:t>
            </w:r>
            <w:r w:rsidRPr="00862F9A">
              <w:rPr>
                <w:sz w:val="20"/>
                <w:lang w:val="fr-CA"/>
              </w:rPr>
              <w:t xml:space="preserve"> en ce qui concerne le contrôle en appel des décisions au regard de l’al. 11b) de la </w:t>
            </w:r>
            <w:r w:rsidRPr="00862F9A">
              <w:rPr>
                <w:i/>
                <w:sz w:val="20"/>
                <w:lang w:val="fr-CA"/>
              </w:rPr>
              <w:t xml:space="preserve">Charte </w:t>
            </w:r>
            <w:r w:rsidRPr="00862F9A">
              <w:rPr>
                <w:sz w:val="20"/>
                <w:lang w:val="fr-CA"/>
              </w:rPr>
              <w:t xml:space="preserve">est-elle une question d’importance pour le public? – La Cour d’appel a-t-elle commis une erreur en appliquant la mauvaise norme de contrôle aux conclusions de fait raisonnables du juge du procès relativement aux circonstances exceptionnelles et rendu un arrêt incompatible avec les arrêts d’autres juridictions d’appel? – L’application uniforme de la norme de contrôle appropriée de décisions au regard de l’al. 11b) de la </w:t>
            </w:r>
            <w:r w:rsidRPr="00862F9A">
              <w:rPr>
                <w:i/>
                <w:sz w:val="20"/>
                <w:lang w:val="fr-CA"/>
              </w:rPr>
              <w:t xml:space="preserve">Charte </w:t>
            </w:r>
            <w:r w:rsidRPr="00862F9A">
              <w:rPr>
                <w:sz w:val="20"/>
                <w:lang w:val="fr-CA"/>
              </w:rPr>
              <w:t>est-elle une affaire d’importance pour le public?</w:t>
            </w:r>
          </w:p>
          <w:p w:rsidR="008B0713" w:rsidRPr="00862F9A" w:rsidRDefault="008B0713" w:rsidP="00862F9A">
            <w:pPr>
              <w:autoSpaceDE w:val="0"/>
              <w:autoSpaceDN w:val="0"/>
              <w:adjustRightInd w:val="0"/>
              <w:jc w:val="both"/>
              <w:rPr>
                <w:sz w:val="20"/>
                <w:lang w:val="fr-CA"/>
              </w:rPr>
            </w:pPr>
          </w:p>
        </w:tc>
      </w:tr>
      <w:tr w:rsidR="00862F9A" w:rsidRPr="00862F9A" w:rsidTr="00E95A6A">
        <w:tc>
          <w:tcPr>
            <w:tcW w:w="5000" w:type="pct"/>
            <w:gridSpan w:val="4"/>
          </w:tcPr>
          <w:p w:rsidR="00862F9A" w:rsidRPr="00862F9A" w:rsidRDefault="00862F9A" w:rsidP="008B0713">
            <w:pPr>
              <w:pStyle w:val="aparanumbering1"/>
              <w:spacing w:before="0" w:after="0"/>
              <w:rPr>
                <w:sz w:val="20"/>
                <w:szCs w:val="20"/>
                <w:lang w:val="fr-CA"/>
              </w:rPr>
            </w:pPr>
            <w:r w:rsidRPr="00862F9A">
              <w:rPr>
                <w:rFonts w:ascii="Times New Roman" w:hAnsi="Times New Roman" w:cs="Times New Roman"/>
                <w:sz w:val="20"/>
                <w:szCs w:val="20"/>
                <w:lang w:val="fr-CA"/>
              </w:rPr>
              <w:t>Les demandeurs étaient de service lorsqu’un compagnon de cellule a battu à mort la victime. Les demandeurs ont été accusés d’omission de fournir à la victime les choses nécessaires à l’existence.</w:t>
            </w:r>
            <w:r w:rsidRPr="00862F9A">
              <w:rPr>
                <w:rFonts w:cs="Times New Roman"/>
                <w:sz w:val="20"/>
                <w:szCs w:val="20"/>
                <w:lang w:val="fr-CA"/>
              </w:rPr>
              <w:t xml:space="preserve"> </w:t>
            </w:r>
            <w:r w:rsidRPr="00862F9A">
              <w:rPr>
                <w:rFonts w:ascii="Times New Roman" w:hAnsi="Times New Roman" w:cs="Times New Roman"/>
                <w:sz w:val="20"/>
                <w:szCs w:val="20"/>
                <w:lang w:val="fr-CA"/>
              </w:rPr>
              <w:t xml:space="preserve">La demande d’arrêt des procédures présentée par les demandeurs a été accueillie pour cause de délai déraisonnable en application de l’al. 11b) de la </w:t>
            </w:r>
            <w:r w:rsidRPr="00862F9A">
              <w:rPr>
                <w:rFonts w:ascii="Times New Roman" w:hAnsi="Times New Roman" w:cs="Times New Roman"/>
                <w:i/>
                <w:sz w:val="20"/>
                <w:szCs w:val="20"/>
                <w:lang w:val="fr-CA"/>
              </w:rPr>
              <w:t>Charte</w:t>
            </w:r>
            <w:r w:rsidRPr="00862F9A">
              <w:rPr>
                <w:rFonts w:ascii="Times New Roman" w:hAnsi="Times New Roman" w:cs="Times New Roman"/>
                <w:sz w:val="20"/>
                <w:szCs w:val="20"/>
                <w:lang w:val="fr-CA"/>
              </w:rPr>
              <w:t xml:space="preserve">. La Cour d’appel a statué que la juge de première instance avait commis une erreur dans son analyse au regard de l’al. 11b) de la </w:t>
            </w:r>
            <w:r w:rsidRPr="00862F9A">
              <w:rPr>
                <w:rFonts w:ascii="Times New Roman" w:hAnsi="Times New Roman" w:cs="Times New Roman"/>
                <w:i/>
                <w:sz w:val="20"/>
                <w:szCs w:val="20"/>
                <w:lang w:val="fr-CA"/>
              </w:rPr>
              <w:t>Charte</w:t>
            </w:r>
            <w:r w:rsidRPr="00862F9A">
              <w:rPr>
                <w:rFonts w:ascii="Times New Roman" w:hAnsi="Times New Roman" w:cs="Times New Roman"/>
                <w:sz w:val="20"/>
                <w:szCs w:val="20"/>
                <w:lang w:val="fr-CA"/>
              </w:rPr>
              <w:t xml:space="preserve"> et qu’il n’y avait pas eu de délai déraisonnable. L’appel de l’intimée a été accueilli : les arrêts des procédures ont été annulés et l’affaire a été renvoyée pour la tenue d’un procès.</w:t>
            </w:r>
          </w:p>
        </w:tc>
      </w:tr>
      <w:tr w:rsidR="00862F9A" w:rsidRPr="00862F9A" w:rsidTr="00E95A6A">
        <w:tc>
          <w:tcPr>
            <w:tcW w:w="5000" w:type="pct"/>
            <w:gridSpan w:val="4"/>
          </w:tcPr>
          <w:p w:rsidR="00862F9A" w:rsidRPr="00862F9A" w:rsidRDefault="00862F9A" w:rsidP="00862F9A">
            <w:pPr>
              <w:jc w:val="both"/>
              <w:rPr>
                <w:sz w:val="20"/>
                <w:lang w:val="fr-CA"/>
              </w:rPr>
            </w:pPr>
          </w:p>
        </w:tc>
      </w:tr>
      <w:tr w:rsidR="00862F9A" w:rsidRPr="00862F9A" w:rsidTr="00E95A6A">
        <w:tc>
          <w:tcPr>
            <w:tcW w:w="2427" w:type="pct"/>
            <w:gridSpan w:val="2"/>
          </w:tcPr>
          <w:p w:rsidR="00862F9A" w:rsidRPr="00862F9A" w:rsidRDefault="00862F9A" w:rsidP="00862F9A">
            <w:pPr>
              <w:jc w:val="both"/>
              <w:rPr>
                <w:sz w:val="20"/>
                <w:lang w:val="fr-CA"/>
              </w:rPr>
            </w:pPr>
            <w:r w:rsidRPr="00862F9A">
              <w:rPr>
                <w:sz w:val="20"/>
                <w:lang w:val="fr-CA"/>
              </w:rPr>
              <w:t>13 février 2017</w:t>
            </w:r>
          </w:p>
          <w:p w:rsidR="00862F9A" w:rsidRPr="00862F9A" w:rsidRDefault="00862F9A" w:rsidP="00862F9A">
            <w:pPr>
              <w:jc w:val="both"/>
              <w:rPr>
                <w:sz w:val="20"/>
                <w:lang w:val="fr-CA"/>
              </w:rPr>
            </w:pPr>
            <w:r w:rsidRPr="00862F9A">
              <w:rPr>
                <w:sz w:val="20"/>
                <w:lang w:val="fr-CA"/>
              </w:rPr>
              <w:t>Cour supérieure de justice de l’Ontario</w:t>
            </w:r>
          </w:p>
          <w:p w:rsidR="00862F9A" w:rsidRPr="00862F9A" w:rsidRDefault="00862F9A" w:rsidP="00862F9A">
            <w:pPr>
              <w:jc w:val="both"/>
              <w:rPr>
                <w:sz w:val="20"/>
                <w:lang w:val="fr-CA"/>
              </w:rPr>
            </w:pPr>
            <w:r w:rsidRPr="00862F9A">
              <w:rPr>
                <w:sz w:val="20"/>
                <w:lang w:val="fr-CA"/>
              </w:rPr>
              <w:t>(Juge Mitchell)</w:t>
            </w:r>
          </w:p>
          <w:p w:rsidR="00862F9A" w:rsidRPr="00862F9A" w:rsidRDefault="00862F9A" w:rsidP="00862F9A">
            <w:pPr>
              <w:jc w:val="both"/>
              <w:rPr>
                <w:sz w:val="20"/>
                <w:lang w:val="fr-CA"/>
              </w:rPr>
            </w:pPr>
            <w:hyperlink r:id="rId14" w:history="1">
              <w:r w:rsidRPr="00862F9A">
                <w:rPr>
                  <w:rStyle w:val="Hyperlink"/>
                  <w:sz w:val="20"/>
                  <w:lang w:val="fr-CA"/>
                </w:rPr>
                <w:t>2017 ONSC 1025</w:t>
              </w:r>
            </w:hyperlink>
          </w:p>
          <w:p w:rsidR="00862F9A" w:rsidRPr="00862F9A" w:rsidRDefault="00862F9A" w:rsidP="00862F9A">
            <w:pPr>
              <w:jc w:val="both"/>
              <w:rPr>
                <w:sz w:val="20"/>
                <w:lang w:val="fr-CA"/>
              </w:rPr>
            </w:pP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Jugement accueillant les demandes d’arrêt des procédures présentées par les demandeurs</w:t>
            </w:r>
          </w:p>
          <w:p w:rsidR="00862F9A" w:rsidRPr="00862F9A" w:rsidRDefault="00862F9A" w:rsidP="00862F9A">
            <w:pPr>
              <w:jc w:val="both"/>
              <w:rPr>
                <w:sz w:val="20"/>
                <w:lang w:val="fr-CA"/>
              </w:rPr>
            </w:pPr>
          </w:p>
        </w:tc>
      </w:tr>
      <w:tr w:rsidR="00862F9A" w:rsidRPr="00862F9A" w:rsidTr="00E95A6A">
        <w:tc>
          <w:tcPr>
            <w:tcW w:w="2427" w:type="pct"/>
            <w:gridSpan w:val="2"/>
          </w:tcPr>
          <w:p w:rsidR="00862F9A" w:rsidRPr="00862F9A" w:rsidRDefault="00862F9A" w:rsidP="00862F9A">
            <w:pPr>
              <w:jc w:val="both"/>
              <w:rPr>
                <w:sz w:val="20"/>
                <w:lang w:val="fr-CA"/>
              </w:rPr>
            </w:pPr>
            <w:r w:rsidRPr="00862F9A">
              <w:rPr>
                <w:sz w:val="20"/>
                <w:lang w:val="fr-CA"/>
              </w:rPr>
              <w:lastRenderedPageBreak/>
              <w:t>28 mai 2018</w:t>
            </w:r>
          </w:p>
          <w:p w:rsidR="00862F9A" w:rsidRPr="00862F9A" w:rsidRDefault="00862F9A" w:rsidP="00862F9A">
            <w:pPr>
              <w:jc w:val="both"/>
              <w:rPr>
                <w:sz w:val="20"/>
                <w:lang w:val="fr-CA"/>
              </w:rPr>
            </w:pPr>
            <w:r w:rsidRPr="00862F9A">
              <w:rPr>
                <w:sz w:val="20"/>
                <w:lang w:val="fr-CA"/>
              </w:rPr>
              <w:t>Cour d’appel de l’Ontario</w:t>
            </w:r>
          </w:p>
          <w:p w:rsidR="00862F9A" w:rsidRPr="00862F9A" w:rsidRDefault="00862F9A" w:rsidP="00862F9A">
            <w:pPr>
              <w:jc w:val="both"/>
              <w:rPr>
                <w:sz w:val="20"/>
                <w:lang w:val="fr-CA"/>
              </w:rPr>
            </w:pPr>
            <w:r w:rsidRPr="00862F9A">
              <w:rPr>
                <w:sz w:val="20"/>
                <w:lang w:val="fr-CA"/>
              </w:rPr>
              <w:t xml:space="preserve">(Juges Sharpe, </w:t>
            </w:r>
            <w:proofErr w:type="spellStart"/>
            <w:r w:rsidRPr="00862F9A">
              <w:rPr>
                <w:sz w:val="20"/>
                <w:lang w:val="fr-CA"/>
              </w:rPr>
              <w:t>Pepall</w:t>
            </w:r>
            <w:proofErr w:type="spellEnd"/>
            <w:r w:rsidRPr="00862F9A">
              <w:rPr>
                <w:sz w:val="20"/>
                <w:lang w:val="fr-CA"/>
              </w:rPr>
              <w:t xml:space="preserve"> et </w:t>
            </w:r>
            <w:proofErr w:type="spellStart"/>
            <w:r w:rsidRPr="00862F9A">
              <w:rPr>
                <w:sz w:val="20"/>
                <w:lang w:val="fr-CA"/>
              </w:rPr>
              <w:t>Fairburn</w:t>
            </w:r>
            <w:proofErr w:type="spellEnd"/>
            <w:r w:rsidRPr="00862F9A">
              <w:rPr>
                <w:sz w:val="20"/>
                <w:lang w:val="fr-CA"/>
              </w:rPr>
              <w:t>)</w:t>
            </w:r>
          </w:p>
          <w:p w:rsidR="00862F9A" w:rsidRPr="00862F9A" w:rsidRDefault="00862F9A" w:rsidP="00862F9A">
            <w:pPr>
              <w:jc w:val="both"/>
              <w:rPr>
                <w:sz w:val="20"/>
                <w:lang w:val="fr-CA"/>
              </w:rPr>
            </w:pPr>
            <w:hyperlink r:id="rId15" w:history="1">
              <w:r w:rsidRPr="00862F9A">
                <w:rPr>
                  <w:rStyle w:val="Hyperlink"/>
                  <w:sz w:val="20"/>
                  <w:lang w:val="fr-CA"/>
                </w:rPr>
                <w:t>2018 ONCA 489</w:t>
              </w:r>
            </w:hyperlink>
            <w:r w:rsidRPr="00862F9A">
              <w:rPr>
                <w:sz w:val="20"/>
                <w:lang w:val="fr-CA"/>
              </w:rPr>
              <w:t>; C63479</w:t>
            </w:r>
          </w:p>
          <w:p w:rsidR="00862F9A" w:rsidRPr="00862F9A" w:rsidRDefault="00862F9A" w:rsidP="00862F9A">
            <w:pPr>
              <w:jc w:val="both"/>
              <w:rPr>
                <w:sz w:val="20"/>
                <w:lang w:val="fr-CA"/>
              </w:rPr>
            </w:pP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Arrêt accueillant l’appel de l’intimée, annulant les arrêts des procédures et renvoyant l’affaire pour la tenue d’un procès</w:t>
            </w:r>
          </w:p>
          <w:p w:rsidR="00862F9A" w:rsidRPr="00862F9A" w:rsidRDefault="00862F9A" w:rsidP="00862F9A">
            <w:pPr>
              <w:jc w:val="both"/>
              <w:rPr>
                <w:sz w:val="20"/>
                <w:lang w:val="fr-CA"/>
              </w:rPr>
            </w:pPr>
          </w:p>
        </w:tc>
      </w:tr>
      <w:tr w:rsidR="00862F9A" w:rsidRPr="00862F9A" w:rsidTr="00E95A6A">
        <w:tc>
          <w:tcPr>
            <w:tcW w:w="2427" w:type="pct"/>
            <w:gridSpan w:val="2"/>
          </w:tcPr>
          <w:p w:rsidR="00862F9A" w:rsidRPr="00862F9A" w:rsidRDefault="00862F9A" w:rsidP="00862F9A">
            <w:pPr>
              <w:jc w:val="both"/>
              <w:rPr>
                <w:sz w:val="20"/>
                <w:lang w:val="fr-CA"/>
              </w:rPr>
            </w:pPr>
            <w:r w:rsidRPr="00862F9A">
              <w:rPr>
                <w:sz w:val="20"/>
                <w:lang w:val="fr-CA"/>
              </w:rPr>
              <w:t>23 août 2018</w:t>
            </w:r>
          </w:p>
          <w:p w:rsidR="00862F9A" w:rsidRPr="00862F9A" w:rsidRDefault="00862F9A" w:rsidP="00862F9A">
            <w:pPr>
              <w:jc w:val="both"/>
              <w:rPr>
                <w:sz w:val="20"/>
                <w:lang w:val="fr-CA"/>
              </w:rPr>
            </w:pPr>
            <w:r w:rsidRPr="00862F9A">
              <w:rPr>
                <w:sz w:val="20"/>
                <w:lang w:val="fr-CA"/>
              </w:rPr>
              <w:t>Cour suprême du Canada</w:t>
            </w: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Dépôt par M. Lonsbary de la demande d’autorisation d’appel</w:t>
            </w:r>
          </w:p>
          <w:p w:rsidR="00862F9A" w:rsidRPr="00862F9A" w:rsidRDefault="00862F9A" w:rsidP="00862F9A">
            <w:pPr>
              <w:jc w:val="both"/>
              <w:rPr>
                <w:sz w:val="20"/>
                <w:lang w:val="fr-CA"/>
              </w:rPr>
            </w:pPr>
          </w:p>
        </w:tc>
      </w:tr>
      <w:tr w:rsidR="00862F9A" w:rsidRPr="00862F9A" w:rsidTr="00E95A6A">
        <w:tc>
          <w:tcPr>
            <w:tcW w:w="2427" w:type="pct"/>
            <w:gridSpan w:val="2"/>
          </w:tcPr>
          <w:p w:rsidR="00862F9A" w:rsidRPr="00862F9A" w:rsidRDefault="00862F9A" w:rsidP="00862F9A">
            <w:pPr>
              <w:jc w:val="both"/>
              <w:rPr>
                <w:sz w:val="20"/>
                <w:lang w:val="fr-CA"/>
              </w:rPr>
            </w:pPr>
            <w:r w:rsidRPr="00862F9A">
              <w:rPr>
                <w:sz w:val="20"/>
                <w:lang w:val="fr-CA"/>
              </w:rPr>
              <w:t>28 août 2018</w:t>
            </w:r>
          </w:p>
          <w:p w:rsidR="00862F9A" w:rsidRPr="00862F9A" w:rsidRDefault="00862F9A" w:rsidP="00862F9A">
            <w:pPr>
              <w:jc w:val="both"/>
              <w:rPr>
                <w:sz w:val="20"/>
                <w:lang w:val="fr-CA"/>
              </w:rPr>
            </w:pPr>
            <w:r w:rsidRPr="00862F9A">
              <w:rPr>
                <w:sz w:val="20"/>
                <w:lang w:val="fr-CA"/>
              </w:rPr>
              <w:t>Cour suprême du Canada</w:t>
            </w:r>
          </w:p>
          <w:p w:rsidR="00862F9A" w:rsidRPr="00862F9A" w:rsidRDefault="00862F9A" w:rsidP="00862F9A">
            <w:pPr>
              <w:jc w:val="both"/>
              <w:rPr>
                <w:sz w:val="20"/>
                <w:lang w:val="fr-CA"/>
              </w:rPr>
            </w:pP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Dépôt par M. </w:t>
            </w:r>
            <w:proofErr w:type="spellStart"/>
            <w:r w:rsidRPr="00862F9A">
              <w:rPr>
                <w:sz w:val="20"/>
                <w:lang w:val="fr-CA"/>
              </w:rPr>
              <w:t>Jurkus</w:t>
            </w:r>
            <w:proofErr w:type="spellEnd"/>
            <w:r w:rsidRPr="00862F9A">
              <w:rPr>
                <w:sz w:val="20"/>
                <w:lang w:val="fr-CA"/>
              </w:rPr>
              <w:t xml:space="preserve"> de la demande d’autorisation d’appel</w:t>
            </w:r>
          </w:p>
        </w:tc>
      </w:tr>
      <w:tr w:rsidR="00862F9A" w:rsidRPr="00862F9A" w:rsidTr="00E95A6A">
        <w:tc>
          <w:tcPr>
            <w:tcW w:w="2427" w:type="pct"/>
            <w:gridSpan w:val="2"/>
          </w:tcPr>
          <w:p w:rsidR="00862F9A" w:rsidRPr="00862F9A" w:rsidRDefault="00862F9A" w:rsidP="00862F9A">
            <w:pPr>
              <w:jc w:val="both"/>
              <w:rPr>
                <w:sz w:val="20"/>
                <w:lang w:val="fr-CA"/>
              </w:rPr>
            </w:pPr>
            <w:r w:rsidRPr="00862F9A">
              <w:rPr>
                <w:sz w:val="20"/>
                <w:lang w:val="fr-CA"/>
              </w:rPr>
              <w:t>7 septembre 2018</w:t>
            </w:r>
          </w:p>
          <w:p w:rsidR="00862F9A" w:rsidRPr="00862F9A" w:rsidRDefault="00862F9A" w:rsidP="008B0713">
            <w:pPr>
              <w:jc w:val="both"/>
              <w:rPr>
                <w:sz w:val="20"/>
                <w:lang w:val="fr-CA"/>
              </w:rPr>
            </w:pPr>
            <w:r w:rsidRPr="00862F9A">
              <w:rPr>
                <w:sz w:val="20"/>
                <w:lang w:val="fr-CA"/>
              </w:rPr>
              <w:t>Cour suprême du Canada</w:t>
            </w: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Dépôt par M. </w:t>
            </w:r>
            <w:proofErr w:type="spellStart"/>
            <w:r w:rsidRPr="00862F9A">
              <w:rPr>
                <w:sz w:val="20"/>
                <w:lang w:val="fr-CA"/>
              </w:rPr>
              <w:t>Jurkus</w:t>
            </w:r>
            <w:proofErr w:type="spellEnd"/>
            <w:r w:rsidRPr="00862F9A">
              <w:rPr>
                <w:sz w:val="20"/>
                <w:lang w:val="fr-CA"/>
              </w:rPr>
              <w:t xml:space="preserve"> de la requête en prorogation du délai de signification et de dépôt de la demande d’autorisation d’appel</w:t>
            </w:r>
          </w:p>
        </w:tc>
      </w:tr>
    </w:tbl>
    <w:p w:rsidR="00862F9A" w:rsidRPr="00862F9A" w:rsidRDefault="00862F9A" w:rsidP="00862F9A">
      <w:pPr>
        <w:jc w:val="both"/>
        <w:rPr>
          <w:sz w:val="20"/>
          <w:lang w:val="fr-CA"/>
        </w:rPr>
      </w:pPr>
    </w:p>
    <w:p w:rsidR="00F44D1D" w:rsidRPr="00862F9A" w:rsidRDefault="00F44D1D" w:rsidP="00862F9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62F9A" w:rsidRPr="00862F9A" w:rsidTr="00DC648A">
        <w:trPr>
          <w:gridAfter w:val="1"/>
          <w:wAfter w:w="48" w:type="pct"/>
        </w:trPr>
        <w:tc>
          <w:tcPr>
            <w:tcW w:w="538" w:type="pct"/>
          </w:tcPr>
          <w:p w:rsidR="00862F9A" w:rsidRPr="00862F9A" w:rsidRDefault="00862F9A" w:rsidP="00862F9A">
            <w:pPr>
              <w:jc w:val="both"/>
              <w:rPr>
                <w:sz w:val="20"/>
              </w:rPr>
            </w:pPr>
            <w:r w:rsidRPr="00862F9A">
              <w:rPr>
                <w:rStyle w:val="SCCFileNumberChar"/>
                <w:sz w:val="20"/>
                <w:szCs w:val="20"/>
              </w:rPr>
              <w:t>38076</w:t>
            </w:r>
          </w:p>
        </w:tc>
        <w:tc>
          <w:tcPr>
            <w:tcW w:w="4414" w:type="pct"/>
            <w:gridSpan w:val="3"/>
          </w:tcPr>
          <w:p w:rsidR="00862F9A" w:rsidRPr="008B0713" w:rsidRDefault="00862F9A" w:rsidP="00862F9A">
            <w:pPr>
              <w:pStyle w:val="SCCLsocParty"/>
              <w:jc w:val="both"/>
              <w:rPr>
                <w:b/>
                <w:sz w:val="20"/>
                <w:szCs w:val="20"/>
                <w:lang w:val="en-US"/>
              </w:rPr>
            </w:pPr>
            <w:r w:rsidRPr="008B0713">
              <w:rPr>
                <w:b/>
                <w:sz w:val="20"/>
                <w:szCs w:val="20"/>
                <w:lang w:val="en-US"/>
              </w:rPr>
              <w:t>Lawyers’ Professional Indemnity Company, FCT Insurance Company Ltd. v. Mauricio Rodriguez</w:t>
            </w:r>
          </w:p>
          <w:p w:rsidR="00862F9A" w:rsidRPr="00862F9A" w:rsidRDefault="00862F9A" w:rsidP="00862F9A">
            <w:pPr>
              <w:jc w:val="both"/>
              <w:rPr>
                <w:sz w:val="20"/>
              </w:rPr>
            </w:pPr>
            <w:r w:rsidRPr="00862F9A">
              <w:rPr>
                <w:sz w:val="20"/>
              </w:rPr>
              <w:t>(Ont.) (Civil) (By Leave)</w:t>
            </w:r>
          </w:p>
        </w:tc>
      </w:tr>
      <w:tr w:rsidR="00862F9A" w:rsidRPr="00862F9A" w:rsidTr="00DC648A">
        <w:trPr>
          <w:gridAfter w:val="1"/>
          <w:wAfter w:w="48" w:type="pct"/>
        </w:trPr>
        <w:tc>
          <w:tcPr>
            <w:tcW w:w="4952" w:type="pct"/>
            <w:gridSpan w:val="4"/>
          </w:tcPr>
          <w:p w:rsidR="00862F9A" w:rsidRDefault="00862F9A" w:rsidP="00862F9A">
            <w:pPr>
              <w:jc w:val="both"/>
              <w:rPr>
                <w:sz w:val="20"/>
              </w:rPr>
            </w:pPr>
            <w:r w:rsidRPr="00862F9A">
              <w:rPr>
                <w:sz w:val="20"/>
              </w:rPr>
              <w:t xml:space="preserve">Bankruptcy and insolvency – Evidence – What evidence is required to preserve a debt beyond bankruptcy – Should creditors anticipate the prospective bankruptcy of a debtor in their pleadings – Will the purpose of s. 178 of the </w:t>
            </w:r>
            <w:r w:rsidRPr="00862F9A">
              <w:rPr>
                <w:i/>
                <w:sz w:val="20"/>
              </w:rPr>
              <w:t>Bankruptcy and Insolvency Act</w:t>
            </w:r>
            <w:r w:rsidRPr="00862F9A">
              <w:rPr>
                <w:sz w:val="20"/>
              </w:rPr>
              <w:t>, R.S.C. 1985, c. B-3, be thwarted if Canadian bankruptcy laws allow debtors to profit from their own misdeeds and then escape debts through non-participation in default judgment proceedings – Are creditors obligated to participate in summary bankruptcy proceedings instead of seeking to obtain a declaration under s. 178(1)(d) that the debt survives bankruptcy.</w:t>
            </w:r>
          </w:p>
          <w:p w:rsidR="008B0713" w:rsidRPr="00862F9A" w:rsidRDefault="008B0713" w:rsidP="00862F9A">
            <w:pPr>
              <w:jc w:val="both"/>
              <w:rPr>
                <w:sz w:val="20"/>
              </w:rPr>
            </w:pPr>
          </w:p>
        </w:tc>
      </w:tr>
      <w:tr w:rsidR="00862F9A" w:rsidRPr="00862F9A" w:rsidTr="00DC648A">
        <w:trPr>
          <w:gridAfter w:val="1"/>
          <w:wAfter w:w="48" w:type="pct"/>
        </w:trPr>
        <w:tc>
          <w:tcPr>
            <w:tcW w:w="4952" w:type="pct"/>
            <w:gridSpan w:val="4"/>
          </w:tcPr>
          <w:p w:rsidR="00862F9A" w:rsidRPr="00862F9A" w:rsidRDefault="00862F9A" w:rsidP="00862F9A">
            <w:pPr>
              <w:jc w:val="both"/>
              <w:rPr>
                <w:sz w:val="20"/>
              </w:rPr>
            </w:pPr>
            <w:r w:rsidRPr="00862F9A">
              <w:rPr>
                <w:sz w:val="20"/>
              </w:rPr>
              <w:t>The Lawyers’ Professional Indemnity Corporation and FCT Insurance Company Ltd. sought a declaration pursuant to s. 178(1</w:t>
            </w:r>
            <w:proofErr w:type="gramStart"/>
            <w:r w:rsidRPr="00862F9A">
              <w:rPr>
                <w:sz w:val="20"/>
              </w:rPr>
              <w:t>)(</w:t>
            </w:r>
            <w:proofErr w:type="gramEnd"/>
            <w:r w:rsidRPr="00862F9A">
              <w:rPr>
                <w:sz w:val="20"/>
              </w:rPr>
              <w:t xml:space="preserve">d) of the </w:t>
            </w:r>
            <w:r w:rsidRPr="00862F9A">
              <w:rPr>
                <w:i/>
                <w:sz w:val="20"/>
              </w:rPr>
              <w:t>Bankruptcy and Insolvency Act</w:t>
            </w:r>
            <w:r w:rsidRPr="00862F9A">
              <w:rPr>
                <w:sz w:val="20"/>
              </w:rPr>
              <w:t>, R.S.C. 1985, c. B-3, that the default judgment obtained in 2006 against Mauricio Rodriguez survived his bankruptcy, because it arose out of misappropriation while acting in a fiduciary capacity. The default judgment that established Mr. Rodriguez’s debt was based on his failure to comply with his payment obligations under a mortgage. The applicants’ pleadings relied on to secure that default judgment had not alleged or disclosed that Mr. Rodriguez had misappropriated funds. On the s. 178(1</w:t>
            </w:r>
            <w:proofErr w:type="gramStart"/>
            <w:r w:rsidRPr="00862F9A">
              <w:rPr>
                <w:sz w:val="20"/>
              </w:rPr>
              <w:t>)(</w:t>
            </w:r>
            <w:proofErr w:type="gramEnd"/>
            <w:r w:rsidRPr="00862F9A">
              <w:rPr>
                <w:sz w:val="20"/>
              </w:rPr>
              <w:t xml:space="preserve">d) application, the applicants furnished new evidence showing that Mr. Rodriguez had not only breached his mortgage obligations, but had misappropriated trust funds from sale proceeds that were paid to him by his lawyer in error, and which were being held by the lawyer in trust for the benefit of the mortgagee. </w:t>
            </w:r>
          </w:p>
          <w:p w:rsidR="00862F9A" w:rsidRPr="00862F9A" w:rsidRDefault="00862F9A" w:rsidP="00862F9A">
            <w:pPr>
              <w:jc w:val="both"/>
              <w:rPr>
                <w:sz w:val="20"/>
              </w:rPr>
            </w:pPr>
          </w:p>
        </w:tc>
      </w:tr>
      <w:tr w:rsidR="00862F9A" w:rsidRPr="00862F9A" w:rsidTr="00DC648A">
        <w:trPr>
          <w:gridAfter w:val="1"/>
          <w:wAfter w:w="48" w:type="pct"/>
        </w:trPr>
        <w:tc>
          <w:tcPr>
            <w:tcW w:w="4952" w:type="pct"/>
            <w:gridSpan w:val="4"/>
          </w:tcPr>
          <w:p w:rsidR="00862F9A" w:rsidRPr="00862F9A" w:rsidRDefault="00862F9A" w:rsidP="00862F9A">
            <w:pPr>
              <w:jc w:val="both"/>
              <w:rPr>
                <w:sz w:val="20"/>
              </w:rPr>
            </w:pPr>
            <w:r w:rsidRPr="00862F9A">
              <w:rPr>
                <w:sz w:val="20"/>
              </w:rPr>
              <w:t>Allowing the introduction of extraneous evidence that was not before the court in the summary judgment proceedings, the Ontario Superior Court of Justice application judge made an order declaring that the default judgment against Mauricio Rodriguez, a discharged bankrupt, was a debt within the meaning of s. 178(1</w:t>
            </w:r>
            <w:proofErr w:type="gramStart"/>
            <w:r w:rsidRPr="00862F9A">
              <w:rPr>
                <w:sz w:val="20"/>
              </w:rPr>
              <w:t>)(</w:t>
            </w:r>
            <w:proofErr w:type="gramEnd"/>
            <w:r w:rsidRPr="00862F9A">
              <w:rPr>
                <w:sz w:val="20"/>
              </w:rPr>
              <w:t xml:space="preserve">d) of the </w:t>
            </w:r>
            <w:r w:rsidRPr="00862F9A">
              <w:rPr>
                <w:i/>
                <w:sz w:val="20"/>
              </w:rPr>
              <w:t>Bankruptcy and Insolvency Act</w:t>
            </w:r>
            <w:r w:rsidRPr="00862F9A">
              <w:rPr>
                <w:sz w:val="20"/>
              </w:rPr>
              <w:t>, R.S.C. 1985, c. B-3, and therefore survived his discharge from bankruptcy. The Ontario Court of Appeal allowed Mr. Rodriguez’s appeal, finding that the application judge erred by going beyond the information linked to the judgment debt and considering the extraneous evidence.</w:t>
            </w:r>
          </w:p>
          <w:p w:rsidR="00862F9A" w:rsidRPr="00862F9A" w:rsidRDefault="00862F9A" w:rsidP="00862F9A">
            <w:pPr>
              <w:jc w:val="both"/>
              <w:rPr>
                <w:sz w:val="20"/>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rPr>
            </w:pPr>
            <w:r w:rsidRPr="00862F9A">
              <w:rPr>
                <w:sz w:val="20"/>
              </w:rPr>
              <w:t>July 19, 2017</w:t>
            </w:r>
          </w:p>
          <w:p w:rsidR="00862F9A" w:rsidRPr="00862F9A" w:rsidRDefault="00862F9A" w:rsidP="00862F9A">
            <w:pPr>
              <w:jc w:val="both"/>
              <w:rPr>
                <w:sz w:val="20"/>
              </w:rPr>
            </w:pPr>
            <w:r w:rsidRPr="00862F9A">
              <w:rPr>
                <w:sz w:val="20"/>
              </w:rPr>
              <w:t>Ontario Superior Court of Justice</w:t>
            </w:r>
          </w:p>
          <w:p w:rsidR="00862F9A" w:rsidRPr="00862F9A" w:rsidRDefault="00862F9A" w:rsidP="00862F9A">
            <w:pPr>
              <w:jc w:val="both"/>
              <w:rPr>
                <w:sz w:val="20"/>
              </w:rPr>
            </w:pPr>
            <w:r w:rsidRPr="00862F9A">
              <w:rPr>
                <w:sz w:val="20"/>
              </w:rPr>
              <w:t>(Gibson J.)</w:t>
            </w:r>
          </w:p>
          <w:p w:rsidR="00862F9A" w:rsidRPr="00862F9A" w:rsidRDefault="00862F9A" w:rsidP="00862F9A">
            <w:pPr>
              <w:jc w:val="both"/>
              <w:rPr>
                <w:sz w:val="20"/>
              </w:rPr>
            </w:pPr>
            <w:hyperlink r:id="rId16" w:history="1">
              <w:r w:rsidRPr="00862F9A">
                <w:rPr>
                  <w:rStyle w:val="Hyperlink"/>
                  <w:sz w:val="20"/>
                </w:rPr>
                <w:t>2017 ONSC 7742</w:t>
              </w:r>
            </w:hyperlink>
            <w:r w:rsidRPr="00862F9A">
              <w:rPr>
                <w:sz w:val="20"/>
              </w:rPr>
              <w:t xml:space="preserve"> </w:t>
            </w:r>
          </w:p>
          <w:p w:rsidR="00862F9A" w:rsidRPr="00862F9A" w:rsidRDefault="00862F9A" w:rsidP="00862F9A">
            <w:pPr>
              <w:jc w:val="both"/>
              <w:rPr>
                <w:sz w:val="20"/>
              </w:rPr>
            </w:pPr>
          </w:p>
        </w:tc>
        <w:tc>
          <w:tcPr>
            <w:tcW w:w="267" w:type="pct"/>
          </w:tcPr>
          <w:p w:rsidR="00862F9A" w:rsidRPr="00862F9A" w:rsidRDefault="00862F9A" w:rsidP="00862F9A">
            <w:pPr>
              <w:jc w:val="both"/>
              <w:rPr>
                <w:sz w:val="20"/>
              </w:rPr>
            </w:pPr>
          </w:p>
        </w:tc>
        <w:tc>
          <w:tcPr>
            <w:tcW w:w="2366" w:type="pct"/>
            <w:gridSpan w:val="2"/>
          </w:tcPr>
          <w:p w:rsidR="00862F9A" w:rsidRPr="00862F9A" w:rsidRDefault="00862F9A" w:rsidP="00862F9A">
            <w:pPr>
              <w:jc w:val="both"/>
              <w:rPr>
                <w:sz w:val="20"/>
              </w:rPr>
            </w:pPr>
            <w:r w:rsidRPr="00862F9A">
              <w:rPr>
                <w:sz w:val="20"/>
              </w:rPr>
              <w:t xml:space="preserve">Applicants’ application for declaration that default judgment against respondent is a debt within meaning of s. 178(1)(d) of </w:t>
            </w:r>
            <w:r w:rsidRPr="00862F9A">
              <w:rPr>
                <w:i/>
                <w:sz w:val="20"/>
              </w:rPr>
              <w:t>Bankruptcy and Insolvency Act</w:t>
            </w:r>
            <w:r w:rsidRPr="00862F9A">
              <w:rPr>
                <w:sz w:val="20"/>
              </w:rPr>
              <w:t>, R.S.C. 1985, c. B-3, and therefore survives respondent’s discharge from bankruptcy, granted.</w:t>
            </w:r>
          </w:p>
          <w:p w:rsidR="00862F9A" w:rsidRPr="00862F9A" w:rsidRDefault="00862F9A" w:rsidP="00862F9A">
            <w:pPr>
              <w:jc w:val="both"/>
              <w:rPr>
                <w:sz w:val="20"/>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rPr>
            </w:pPr>
            <w:r w:rsidRPr="00862F9A">
              <w:rPr>
                <w:sz w:val="20"/>
              </w:rPr>
              <w:lastRenderedPageBreak/>
              <w:t>February 21, 2018</w:t>
            </w:r>
          </w:p>
          <w:p w:rsidR="00862F9A" w:rsidRPr="00862F9A" w:rsidRDefault="00862F9A" w:rsidP="00862F9A">
            <w:pPr>
              <w:jc w:val="both"/>
              <w:rPr>
                <w:sz w:val="20"/>
              </w:rPr>
            </w:pPr>
            <w:r w:rsidRPr="00862F9A">
              <w:rPr>
                <w:sz w:val="20"/>
              </w:rPr>
              <w:t>Court of Appeal for Ontario</w:t>
            </w:r>
          </w:p>
          <w:p w:rsidR="00862F9A" w:rsidRPr="00862F9A" w:rsidRDefault="00862F9A" w:rsidP="00862F9A">
            <w:pPr>
              <w:jc w:val="both"/>
              <w:rPr>
                <w:sz w:val="20"/>
              </w:rPr>
            </w:pPr>
            <w:r w:rsidRPr="00862F9A">
              <w:rPr>
                <w:sz w:val="20"/>
              </w:rPr>
              <w:t xml:space="preserve">(Doherty, </w:t>
            </w:r>
            <w:proofErr w:type="spellStart"/>
            <w:r w:rsidRPr="00862F9A">
              <w:rPr>
                <w:sz w:val="20"/>
              </w:rPr>
              <w:t>Paciocco</w:t>
            </w:r>
            <w:proofErr w:type="spellEnd"/>
            <w:r w:rsidRPr="00862F9A">
              <w:rPr>
                <w:sz w:val="20"/>
              </w:rPr>
              <w:t xml:space="preserve"> and </w:t>
            </w:r>
            <w:proofErr w:type="spellStart"/>
            <w:r w:rsidRPr="00862F9A">
              <w:rPr>
                <w:sz w:val="20"/>
              </w:rPr>
              <w:t>Nordheimer</w:t>
            </w:r>
            <w:proofErr w:type="spellEnd"/>
            <w:r w:rsidRPr="00862F9A">
              <w:rPr>
                <w:sz w:val="20"/>
              </w:rPr>
              <w:t xml:space="preserve"> JJ.A.)</w:t>
            </w:r>
          </w:p>
          <w:p w:rsidR="00862F9A" w:rsidRPr="00862F9A" w:rsidRDefault="00862F9A" w:rsidP="00862F9A">
            <w:pPr>
              <w:jc w:val="both"/>
              <w:rPr>
                <w:sz w:val="20"/>
              </w:rPr>
            </w:pPr>
            <w:hyperlink r:id="rId17" w:history="1">
              <w:r w:rsidRPr="00862F9A">
                <w:rPr>
                  <w:rStyle w:val="Hyperlink"/>
                  <w:sz w:val="20"/>
                </w:rPr>
                <w:t>2018 ONCA 171</w:t>
              </w:r>
            </w:hyperlink>
            <w:r w:rsidRPr="00862F9A">
              <w:rPr>
                <w:sz w:val="20"/>
              </w:rPr>
              <w:t xml:space="preserve"> </w:t>
            </w:r>
          </w:p>
          <w:p w:rsidR="00862F9A" w:rsidRPr="00862F9A" w:rsidRDefault="00862F9A" w:rsidP="00862F9A">
            <w:pPr>
              <w:jc w:val="both"/>
              <w:rPr>
                <w:sz w:val="20"/>
              </w:rPr>
            </w:pPr>
          </w:p>
        </w:tc>
        <w:tc>
          <w:tcPr>
            <w:tcW w:w="267" w:type="pct"/>
          </w:tcPr>
          <w:p w:rsidR="00862F9A" w:rsidRPr="00862F9A" w:rsidRDefault="00862F9A" w:rsidP="00862F9A">
            <w:pPr>
              <w:jc w:val="both"/>
              <w:rPr>
                <w:sz w:val="20"/>
              </w:rPr>
            </w:pPr>
          </w:p>
        </w:tc>
        <w:tc>
          <w:tcPr>
            <w:tcW w:w="2366" w:type="pct"/>
            <w:gridSpan w:val="2"/>
          </w:tcPr>
          <w:p w:rsidR="00862F9A" w:rsidRPr="00862F9A" w:rsidRDefault="00862F9A" w:rsidP="00862F9A">
            <w:pPr>
              <w:jc w:val="both"/>
              <w:rPr>
                <w:sz w:val="20"/>
              </w:rPr>
            </w:pPr>
            <w:r w:rsidRPr="00862F9A">
              <w:rPr>
                <w:sz w:val="20"/>
              </w:rPr>
              <w:t>Respondent’s appeal, allowed; application judge erred by going beyond information linked to judgment debt and considering extraneous evidence.</w:t>
            </w:r>
          </w:p>
          <w:p w:rsidR="00862F9A" w:rsidRPr="00862F9A" w:rsidRDefault="00862F9A" w:rsidP="00862F9A">
            <w:pPr>
              <w:jc w:val="both"/>
              <w:rPr>
                <w:sz w:val="20"/>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rPr>
            </w:pPr>
            <w:r w:rsidRPr="00862F9A">
              <w:rPr>
                <w:sz w:val="20"/>
              </w:rPr>
              <w:t>April 23, 2018</w:t>
            </w:r>
          </w:p>
          <w:p w:rsidR="00862F9A" w:rsidRPr="00862F9A" w:rsidRDefault="00862F9A" w:rsidP="00862F9A">
            <w:pPr>
              <w:jc w:val="both"/>
              <w:rPr>
                <w:sz w:val="20"/>
              </w:rPr>
            </w:pPr>
            <w:r w:rsidRPr="00862F9A">
              <w:rPr>
                <w:sz w:val="20"/>
              </w:rPr>
              <w:t>Supreme Court of Canada</w:t>
            </w:r>
          </w:p>
        </w:tc>
        <w:tc>
          <w:tcPr>
            <w:tcW w:w="267" w:type="pct"/>
          </w:tcPr>
          <w:p w:rsidR="00862F9A" w:rsidRPr="00862F9A" w:rsidRDefault="00862F9A" w:rsidP="00862F9A">
            <w:pPr>
              <w:jc w:val="both"/>
              <w:rPr>
                <w:sz w:val="20"/>
              </w:rPr>
            </w:pPr>
          </w:p>
        </w:tc>
        <w:tc>
          <w:tcPr>
            <w:tcW w:w="2366" w:type="pct"/>
            <w:gridSpan w:val="2"/>
          </w:tcPr>
          <w:p w:rsidR="00862F9A" w:rsidRPr="00862F9A" w:rsidRDefault="00862F9A" w:rsidP="00862F9A">
            <w:pPr>
              <w:jc w:val="both"/>
              <w:rPr>
                <w:sz w:val="20"/>
              </w:rPr>
            </w:pPr>
            <w:r w:rsidRPr="00862F9A">
              <w:rPr>
                <w:sz w:val="20"/>
              </w:rPr>
              <w:t>Motion for extension of time and application for leave to appeal, filed.</w:t>
            </w:r>
          </w:p>
        </w:tc>
      </w:tr>
    </w:tbl>
    <w:p w:rsidR="00862F9A" w:rsidRDefault="00862F9A" w:rsidP="00862F9A">
      <w:pPr>
        <w:jc w:val="both"/>
        <w:rPr>
          <w:sz w:val="20"/>
        </w:rPr>
      </w:pPr>
    </w:p>
    <w:p w:rsidR="008B0713" w:rsidRPr="00862F9A" w:rsidRDefault="008B0713" w:rsidP="00862F9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862F9A" w:rsidRPr="00862F9A" w:rsidTr="00DC648A">
        <w:trPr>
          <w:gridAfter w:val="1"/>
          <w:wAfter w:w="48" w:type="pct"/>
        </w:trPr>
        <w:tc>
          <w:tcPr>
            <w:tcW w:w="538" w:type="pct"/>
          </w:tcPr>
          <w:p w:rsidR="00862F9A" w:rsidRPr="00862F9A" w:rsidRDefault="00862F9A" w:rsidP="00862F9A">
            <w:pPr>
              <w:jc w:val="both"/>
              <w:rPr>
                <w:sz w:val="20"/>
                <w:lang w:val="fr-CA"/>
              </w:rPr>
            </w:pPr>
            <w:r w:rsidRPr="00862F9A">
              <w:rPr>
                <w:rStyle w:val="SCCFileNumberChar"/>
                <w:sz w:val="20"/>
                <w:szCs w:val="20"/>
                <w:lang w:val="fr-CA"/>
              </w:rPr>
              <w:t>38076</w:t>
            </w:r>
          </w:p>
        </w:tc>
        <w:tc>
          <w:tcPr>
            <w:tcW w:w="4414" w:type="pct"/>
            <w:gridSpan w:val="3"/>
          </w:tcPr>
          <w:p w:rsidR="00862F9A" w:rsidRPr="008B0713" w:rsidRDefault="00862F9A" w:rsidP="00862F9A">
            <w:pPr>
              <w:pStyle w:val="SCCLsocParty"/>
              <w:jc w:val="both"/>
              <w:rPr>
                <w:b/>
                <w:sz w:val="20"/>
                <w:szCs w:val="20"/>
                <w:lang w:val="en-US"/>
              </w:rPr>
            </w:pPr>
            <w:r w:rsidRPr="008B0713">
              <w:rPr>
                <w:b/>
                <w:sz w:val="20"/>
                <w:szCs w:val="20"/>
                <w:lang w:val="en-US"/>
              </w:rPr>
              <w:t>Lawyers’ Professional Indemnity Company, FCT Insurance Company Ltd. c. Mauricio Rodriguez</w:t>
            </w:r>
          </w:p>
          <w:p w:rsidR="00862F9A" w:rsidRPr="00862F9A" w:rsidRDefault="00862F9A" w:rsidP="00862F9A">
            <w:pPr>
              <w:jc w:val="both"/>
              <w:rPr>
                <w:sz w:val="20"/>
                <w:lang w:val="fr-CA"/>
              </w:rPr>
            </w:pPr>
            <w:r w:rsidRPr="00862F9A">
              <w:rPr>
                <w:sz w:val="20"/>
                <w:lang w:val="fr-CA"/>
              </w:rPr>
              <w:t>(Ont.) (Civile) (Autorisation)</w:t>
            </w:r>
          </w:p>
        </w:tc>
      </w:tr>
      <w:tr w:rsidR="00862F9A" w:rsidRPr="00862F9A" w:rsidTr="00DC648A">
        <w:trPr>
          <w:gridAfter w:val="1"/>
          <w:wAfter w:w="48" w:type="pct"/>
        </w:trPr>
        <w:tc>
          <w:tcPr>
            <w:tcW w:w="4952" w:type="pct"/>
            <w:gridSpan w:val="4"/>
          </w:tcPr>
          <w:p w:rsidR="00862F9A" w:rsidRDefault="00862F9A" w:rsidP="00862F9A">
            <w:pPr>
              <w:jc w:val="both"/>
              <w:rPr>
                <w:sz w:val="20"/>
                <w:lang w:val="fr-CA"/>
              </w:rPr>
            </w:pPr>
            <w:r w:rsidRPr="00862F9A">
              <w:rPr>
                <w:sz w:val="20"/>
                <w:lang w:val="fr-CA"/>
              </w:rPr>
              <w:t xml:space="preserve">Faillite et insolvabilité – Preuve – Quelle preuve est nécessaire pour conserver une dette après la faillite? – Les créanciers doivent-ils anticiper la faillite éventuelle d’un débiteur dans leurs actes de procédure? – L’objet de l’art. 178 de la </w:t>
            </w:r>
            <w:r w:rsidRPr="00862F9A">
              <w:rPr>
                <w:i/>
                <w:sz w:val="20"/>
                <w:lang w:val="fr-CA"/>
              </w:rPr>
              <w:t>Loi sur la faillite et l’insolvabilité</w:t>
            </w:r>
            <w:r w:rsidRPr="00862F9A">
              <w:rPr>
                <w:sz w:val="20"/>
                <w:lang w:val="fr-CA"/>
              </w:rPr>
              <w:t>, L.R.C. 1985, ch. B-3, sera-t-il contrecarré si les lois canadiennes sur la faillite permettent aux débiteurs de profiter de leurs propres méfaits, puis d’échapper à leurs dettes par leur non-participation dans une instance qui a donné lieu à jugement par défaut? – Les créanciers sont-ils tenus de participer à une procédure sommaire de faillite, plutôt que d’obtenir un jugement, en application de l’al. 178(1)d), déclarant que la dette survit à la faillite?</w:t>
            </w:r>
          </w:p>
          <w:p w:rsidR="008B0713" w:rsidRPr="00862F9A" w:rsidRDefault="008B0713" w:rsidP="00862F9A">
            <w:pPr>
              <w:jc w:val="both"/>
              <w:rPr>
                <w:sz w:val="20"/>
                <w:lang w:val="fr-CA"/>
              </w:rPr>
            </w:pPr>
          </w:p>
        </w:tc>
      </w:tr>
      <w:tr w:rsidR="00862F9A" w:rsidRPr="00862F9A" w:rsidTr="00DC648A">
        <w:trPr>
          <w:gridAfter w:val="1"/>
          <w:wAfter w:w="48" w:type="pct"/>
        </w:trPr>
        <w:tc>
          <w:tcPr>
            <w:tcW w:w="4952" w:type="pct"/>
            <w:gridSpan w:val="4"/>
          </w:tcPr>
          <w:p w:rsidR="00862F9A" w:rsidRPr="00862F9A" w:rsidRDefault="00862F9A" w:rsidP="00862F9A">
            <w:pPr>
              <w:jc w:val="both"/>
              <w:rPr>
                <w:sz w:val="20"/>
                <w:lang w:val="fr-CA"/>
              </w:rPr>
            </w:pPr>
            <w:r w:rsidRPr="00862F9A">
              <w:rPr>
                <w:sz w:val="20"/>
                <w:lang w:val="fr-CA"/>
              </w:rPr>
              <w:t xml:space="preserve">Lawyers’ Professional </w:t>
            </w:r>
            <w:proofErr w:type="spellStart"/>
            <w:r w:rsidRPr="00862F9A">
              <w:rPr>
                <w:sz w:val="20"/>
                <w:lang w:val="fr-CA"/>
              </w:rPr>
              <w:t>Indemnity</w:t>
            </w:r>
            <w:proofErr w:type="spellEnd"/>
            <w:r w:rsidRPr="00862F9A">
              <w:rPr>
                <w:sz w:val="20"/>
                <w:lang w:val="fr-CA"/>
              </w:rPr>
              <w:t xml:space="preserve"> Corporation et FCT Insurance Company Ltd. ont sollicité un jugement en application de l’al. 178(1)d) de la </w:t>
            </w:r>
            <w:r w:rsidRPr="00862F9A">
              <w:rPr>
                <w:i/>
                <w:sz w:val="20"/>
                <w:lang w:val="fr-CA"/>
              </w:rPr>
              <w:t>Loi sur la faillite et l’insolvabilité</w:t>
            </w:r>
            <w:r w:rsidRPr="00862F9A">
              <w:rPr>
                <w:sz w:val="20"/>
                <w:lang w:val="fr-CA"/>
              </w:rPr>
              <w:t xml:space="preserve">, L.R.C. 1985, ch. B-3, déclarant que le jugement par défaut obtenu en 2006 contre Mauricio Rodriguez a survécu à la faillite, parce qu’il a découlé d’une concussion alors que ce dernier agissait à titre de fiduciaire. Le jugement par défaut qui a établi la dette de M. Rodriguez était fondé sur son omission de s’être conformé à ses obligations de paiement en vertu d’un emprunt hypothécaire. Les actes de procédure sur lesquels les demanderesses sont appuyées pour obtenir ce jugement par défaut n’avaient pas allégué ou établi que M. Rodriguez avait détourné des fonds. En présentant leur demande fondée sur l’al. 178(1)d), les demanderesses ont présenté une preuve nouvelle établissant que M. Rodriguez avait, en plus d’avoir manqué à ses obligations hypothécaires, détourné des fonds en fiducie provenant du produit de la vente qui lui avaient été versés par erreur par son avocat, mais qui étaient détenus par l’avocat en fiducie au profit du créancier hypothécaire. </w:t>
            </w:r>
          </w:p>
          <w:p w:rsidR="00862F9A" w:rsidRPr="00862F9A" w:rsidRDefault="00862F9A" w:rsidP="00862F9A">
            <w:pPr>
              <w:jc w:val="both"/>
              <w:rPr>
                <w:sz w:val="20"/>
                <w:lang w:val="fr-CA"/>
              </w:rPr>
            </w:pPr>
          </w:p>
        </w:tc>
      </w:tr>
      <w:tr w:rsidR="00862F9A" w:rsidRPr="00862F9A" w:rsidTr="00DC648A">
        <w:trPr>
          <w:gridAfter w:val="1"/>
          <w:wAfter w:w="48" w:type="pct"/>
        </w:trPr>
        <w:tc>
          <w:tcPr>
            <w:tcW w:w="4952" w:type="pct"/>
            <w:gridSpan w:val="4"/>
          </w:tcPr>
          <w:p w:rsidR="00862F9A" w:rsidRPr="00862F9A" w:rsidRDefault="00862F9A" w:rsidP="00862F9A">
            <w:pPr>
              <w:jc w:val="both"/>
              <w:rPr>
                <w:sz w:val="20"/>
                <w:lang w:val="fr-CA"/>
              </w:rPr>
            </w:pPr>
            <w:r w:rsidRPr="00862F9A">
              <w:rPr>
                <w:sz w:val="20"/>
                <w:lang w:val="fr-CA"/>
              </w:rPr>
              <w:t xml:space="preserve">Autorisant l’introduction d’une preuve extrinsèque qui n’avait pas été présentée devant le tribunal dans l’instance qui a donné lieu au jugement par défaut, le juge de première instance de la Cour supérieure de justice de l’Ontario a rendu une ordonnance déclarant que le jugement par défaut prononcé contre Mauricio Rodriguez, un failli libéré, était une dette au sens de l’al. 178(1)d) de la </w:t>
            </w:r>
            <w:r w:rsidRPr="00862F9A">
              <w:rPr>
                <w:i/>
                <w:sz w:val="20"/>
                <w:lang w:val="fr-CA"/>
              </w:rPr>
              <w:t>Loi sur la faillite et l’insolvabilité</w:t>
            </w:r>
            <w:r w:rsidRPr="00862F9A">
              <w:rPr>
                <w:sz w:val="20"/>
                <w:lang w:val="fr-CA"/>
              </w:rPr>
              <w:t>, L.R.C. 1985, ch. B-3, et qu’il a donc survécu à sa libération de la faillite. La Cour d’appel de l’Ontario a accueilli l’appel de M. Rodriguez, concluant que le juge de première instance avait commis une erreur en allant plus loin que l’information liée à la dette résultant du jugement et en ayant examiné la preuve extrinsèque.</w:t>
            </w:r>
          </w:p>
          <w:p w:rsidR="00862F9A" w:rsidRPr="00862F9A" w:rsidRDefault="00862F9A" w:rsidP="00862F9A">
            <w:pPr>
              <w:jc w:val="both"/>
              <w:rPr>
                <w:sz w:val="20"/>
                <w:lang w:val="fr-CA"/>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lang w:val="fr-CA"/>
              </w:rPr>
            </w:pPr>
            <w:r w:rsidRPr="00862F9A">
              <w:rPr>
                <w:sz w:val="20"/>
                <w:lang w:val="fr-CA"/>
              </w:rPr>
              <w:t>19 juillet 2017</w:t>
            </w:r>
          </w:p>
          <w:p w:rsidR="00862F9A" w:rsidRPr="00862F9A" w:rsidRDefault="00862F9A" w:rsidP="00862F9A">
            <w:pPr>
              <w:jc w:val="both"/>
              <w:rPr>
                <w:sz w:val="20"/>
                <w:lang w:val="fr-CA"/>
              </w:rPr>
            </w:pPr>
            <w:r w:rsidRPr="00862F9A">
              <w:rPr>
                <w:sz w:val="20"/>
                <w:lang w:val="fr-CA"/>
              </w:rPr>
              <w:t>Cour supérieure de justice de l’Ontario</w:t>
            </w:r>
          </w:p>
          <w:p w:rsidR="00862F9A" w:rsidRPr="00862F9A" w:rsidRDefault="00862F9A" w:rsidP="00862F9A">
            <w:pPr>
              <w:jc w:val="both"/>
              <w:rPr>
                <w:sz w:val="20"/>
                <w:lang w:val="fr-CA"/>
              </w:rPr>
            </w:pPr>
            <w:r w:rsidRPr="00862F9A">
              <w:rPr>
                <w:sz w:val="20"/>
                <w:lang w:val="fr-CA"/>
              </w:rPr>
              <w:t>(Juge Gibson)</w:t>
            </w:r>
          </w:p>
          <w:p w:rsidR="00862F9A" w:rsidRPr="00862F9A" w:rsidRDefault="00862F9A" w:rsidP="00862F9A">
            <w:pPr>
              <w:jc w:val="both"/>
              <w:rPr>
                <w:sz w:val="20"/>
                <w:lang w:val="fr-CA"/>
              </w:rPr>
            </w:pPr>
            <w:hyperlink r:id="rId18" w:history="1">
              <w:r w:rsidRPr="00862F9A">
                <w:rPr>
                  <w:rStyle w:val="Hyperlink"/>
                  <w:sz w:val="20"/>
                  <w:lang w:val="fr-CA"/>
                </w:rPr>
                <w:t>2017 ONSC 7742</w:t>
              </w:r>
            </w:hyperlink>
            <w:r w:rsidRPr="00862F9A">
              <w:rPr>
                <w:sz w:val="20"/>
                <w:lang w:val="fr-CA"/>
              </w:rPr>
              <w:t xml:space="preserve"> </w:t>
            </w:r>
          </w:p>
          <w:p w:rsidR="00862F9A" w:rsidRPr="00862F9A" w:rsidRDefault="00862F9A" w:rsidP="00862F9A">
            <w:pPr>
              <w:jc w:val="both"/>
              <w:rPr>
                <w:sz w:val="20"/>
                <w:lang w:val="fr-CA"/>
              </w:rPr>
            </w:pPr>
          </w:p>
        </w:tc>
        <w:tc>
          <w:tcPr>
            <w:tcW w:w="267" w:type="pct"/>
          </w:tcPr>
          <w:p w:rsidR="00862F9A" w:rsidRPr="00862F9A" w:rsidRDefault="00862F9A" w:rsidP="00862F9A">
            <w:pPr>
              <w:jc w:val="both"/>
              <w:rPr>
                <w:sz w:val="20"/>
                <w:lang w:val="fr-CA"/>
              </w:rPr>
            </w:pPr>
          </w:p>
        </w:tc>
        <w:tc>
          <w:tcPr>
            <w:tcW w:w="2366" w:type="pct"/>
            <w:gridSpan w:val="2"/>
          </w:tcPr>
          <w:p w:rsidR="00862F9A" w:rsidRPr="00862F9A" w:rsidRDefault="00862F9A" w:rsidP="00862F9A">
            <w:pPr>
              <w:jc w:val="both"/>
              <w:rPr>
                <w:sz w:val="20"/>
                <w:lang w:val="fr-CA"/>
              </w:rPr>
            </w:pPr>
            <w:r w:rsidRPr="00862F9A">
              <w:rPr>
                <w:sz w:val="20"/>
                <w:lang w:val="fr-CA"/>
              </w:rPr>
              <w:t xml:space="preserve">Jugement accueillant la demande des demanderesses en vue d’obtenir un jugement déclarant que le jugement par défaut prononcé contre l’intimé est une dette au sens de l’al. 178(1)d) de la </w:t>
            </w:r>
            <w:r w:rsidRPr="00862F9A">
              <w:rPr>
                <w:i/>
                <w:sz w:val="20"/>
                <w:lang w:val="fr-CA"/>
              </w:rPr>
              <w:t>Loi sur la faillite et l’insolvabilité</w:t>
            </w:r>
            <w:r w:rsidRPr="00862F9A">
              <w:rPr>
                <w:sz w:val="20"/>
                <w:lang w:val="fr-CA"/>
              </w:rPr>
              <w:t>, L.R.C. 1985, ch. B-3, si bien qu’il survit à la libération de la faillite de l’intimé.</w:t>
            </w:r>
          </w:p>
          <w:p w:rsidR="00862F9A" w:rsidRPr="00862F9A" w:rsidRDefault="00862F9A" w:rsidP="00862F9A">
            <w:pPr>
              <w:jc w:val="both"/>
              <w:rPr>
                <w:sz w:val="20"/>
                <w:lang w:val="fr-CA"/>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lang w:val="fr-CA"/>
              </w:rPr>
            </w:pPr>
            <w:r w:rsidRPr="00862F9A">
              <w:rPr>
                <w:sz w:val="20"/>
                <w:lang w:val="fr-CA"/>
              </w:rPr>
              <w:t>21 février 2018</w:t>
            </w:r>
          </w:p>
          <w:p w:rsidR="00862F9A" w:rsidRPr="00862F9A" w:rsidRDefault="00862F9A" w:rsidP="00862F9A">
            <w:pPr>
              <w:jc w:val="both"/>
              <w:rPr>
                <w:sz w:val="20"/>
                <w:lang w:val="fr-CA"/>
              </w:rPr>
            </w:pPr>
            <w:r w:rsidRPr="00862F9A">
              <w:rPr>
                <w:sz w:val="20"/>
                <w:lang w:val="fr-CA"/>
              </w:rPr>
              <w:t>Cour d’appel de l’Ontario</w:t>
            </w:r>
          </w:p>
          <w:p w:rsidR="00862F9A" w:rsidRPr="00862F9A" w:rsidRDefault="00862F9A" w:rsidP="00862F9A">
            <w:pPr>
              <w:jc w:val="both"/>
              <w:rPr>
                <w:sz w:val="20"/>
                <w:lang w:val="fr-CA"/>
              </w:rPr>
            </w:pPr>
            <w:r w:rsidRPr="00862F9A">
              <w:rPr>
                <w:sz w:val="20"/>
                <w:lang w:val="fr-CA"/>
              </w:rPr>
              <w:t xml:space="preserve">(Juges Doherty, </w:t>
            </w:r>
            <w:proofErr w:type="spellStart"/>
            <w:r w:rsidRPr="00862F9A">
              <w:rPr>
                <w:sz w:val="20"/>
                <w:lang w:val="fr-CA"/>
              </w:rPr>
              <w:t>Paciocco</w:t>
            </w:r>
            <w:proofErr w:type="spellEnd"/>
            <w:r w:rsidRPr="00862F9A">
              <w:rPr>
                <w:sz w:val="20"/>
                <w:lang w:val="fr-CA"/>
              </w:rPr>
              <w:t xml:space="preserve"> et </w:t>
            </w:r>
            <w:proofErr w:type="spellStart"/>
            <w:r w:rsidRPr="00862F9A">
              <w:rPr>
                <w:sz w:val="20"/>
                <w:lang w:val="fr-CA"/>
              </w:rPr>
              <w:t>Nordheimer</w:t>
            </w:r>
            <w:proofErr w:type="spellEnd"/>
            <w:r w:rsidRPr="00862F9A">
              <w:rPr>
                <w:sz w:val="20"/>
                <w:lang w:val="fr-CA"/>
              </w:rPr>
              <w:t>)</w:t>
            </w:r>
          </w:p>
          <w:p w:rsidR="00862F9A" w:rsidRPr="00862F9A" w:rsidRDefault="00862F9A" w:rsidP="00862F9A">
            <w:pPr>
              <w:jc w:val="both"/>
              <w:rPr>
                <w:sz w:val="20"/>
                <w:lang w:val="fr-CA"/>
              </w:rPr>
            </w:pPr>
            <w:hyperlink r:id="rId19" w:history="1">
              <w:r w:rsidRPr="00862F9A">
                <w:rPr>
                  <w:rStyle w:val="Hyperlink"/>
                  <w:sz w:val="20"/>
                  <w:lang w:val="fr-CA"/>
                </w:rPr>
                <w:t>2018 ONCA 171</w:t>
              </w:r>
            </w:hyperlink>
            <w:r w:rsidRPr="00862F9A">
              <w:rPr>
                <w:sz w:val="20"/>
                <w:lang w:val="fr-CA"/>
              </w:rPr>
              <w:t xml:space="preserve"> </w:t>
            </w:r>
          </w:p>
          <w:p w:rsidR="00862F9A" w:rsidRPr="00862F9A" w:rsidRDefault="00862F9A" w:rsidP="00862F9A">
            <w:pPr>
              <w:jc w:val="both"/>
              <w:rPr>
                <w:sz w:val="20"/>
                <w:lang w:val="fr-CA"/>
              </w:rPr>
            </w:pPr>
          </w:p>
        </w:tc>
        <w:tc>
          <w:tcPr>
            <w:tcW w:w="267" w:type="pct"/>
          </w:tcPr>
          <w:p w:rsidR="00862F9A" w:rsidRPr="00862F9A" w:rsidRDefault="00862F9A" w:rsidP="00862F9A">
            <w:pPr>
              <w:jc w:val="both"/>
              <w:rPr>
                <w:sz w:val="20"/>
                <w:lang w:val="fr-CA"/>
              </w:rPr>
            </w:pPr>
          </w:p>
        </w:tc>
        <w:tc>
          <w:tcPr>
            <w:tcW w:w="2366" w:type="pct"/>
            <w:gridSpan w:val="2"/>
          </w:tcPr>
          <w:p w:rsidR="00862F9A" w:rsidRPr="00862F9A" w:rsidRDefault="00862F9A" w:rsidP="00862F9A">
            <w:pPr>
              <w:jc w:val="both"/>
              <w:rPr>
                <w:sz w:val="20"/>
                <w:lang w:val="fr-CA"/>
              </w:rPr>
            </w:pPr>
            <w:r w:rsidRPr="00862F9A">
              <w:rPr>
                <w:sz w:val="20"/>
                <w:lang w:val="fr-CA"/>
              </w:rPr>
              <w:t>Arrêt accueillant l’appel de l’intimé et statuant que le juge de première instance avait commis une erreur en allant plus loin que l’information liée à la dette résultant du jugement et en ayant examiné la preuve extrinsèque.</w:t>
            </w:r>
          </w:p>
          <w:p w:rsidR="00862F9A" w:rsidRPr="00862F9A" w:rsidRDefault="00862F9A" w:rsidP="00862F9A">
            <w:pPr>
              <w:jc w:val="both"/>
              <w:rPr>
                <w:sz w:val="20"/>
                <w:lang w:val="fr-CA"/>
              </w:rPr>
            </w:pPr>
          </w:p>
        </w:tc>
      </w:tr>
      <w:tr w:rsidR="00862F9A" w:rsidRPr="00862F9A" w:rsidTr="00DC648A">
        <w:tblPrEx>
          <w:tblCellMar>
            <w:bottom w:w="0" w:type="dxa"/>
          </w:tblCellMar>
        </w:tblPrEx>
        <w:tc>
          <w:tcPr>
            <w:tcW w:w="2367" w:type="pct"/>
            <w:gridSpan w:val="2"/>
          </w:tcPr>
          <w:p w:rsidR="00862F9A" w:rsidRPr="00862F9A" w:rsidRDefault="00862F9A" w:rsidP="00862F9A">
            <w:pPr>
              <w:jc w:val="both"/>
              <w:rPr>
                <w:sz w:val="20"/>
                <w:lang w:val="fr-CA"/>
              </w:rPr>
            </w:pPr>
            <w:r w:rsidRPr="00862F9A">
              <w:rPr>
                <w:sz w:val="20"/>
                <w:lang w:val="fr-CA"/>
              </w:rPr>
              <w:t>23 avril 2018</w:t>
            </w:r>
          </w:p>
          <w:p w:rsidR="00862F9A" w:rsidRPr="00862F9A" w:rsidRDefault="00862F9A" w:rsidP="00862F9A">
            <w:pPr>
              <w:jc w:val="both"/>
              <w:rPr>
                <w:sz w:val="20"/>
                <w:lang w:val="fr-CA"/>
              </w:rPr>
            </w:pPr>
            <w:r w:rsidRPr="00862F9A">
              <w:rPr>
                <w:sz w:val="20"/>
                <w:lang w:val="fr-CA"/>
              </w:rPr>
              <w:t>Cour suprême du Canada</w:t>
            </w:r>
          </w:p>
        </w:tc>
        <w:tc>
          <w:tcPr>
            <w:tcW w:w="267" w:type="pct"/>
          </w:tcPr>
          <w:p w:rsidR="00862F9A" w:rsidRPr="00862F9A" w:rsidRDefault="00862F9A" w:rsidP="00862F9A">
            <w:pPr>
              <w:jc w:val="both"/>
              <w:rPr>
                <w:sz w:val="20"/>
                <w:lang w:val="fr-CA"/>
              </w:rPr>
            </w:pPr>
          </w:p>
        </w:tc>
        <w:tc>
          <w:tcPr>
            <w:tcW w:w="2366" w:type="pct"/>
            <w:gridSpan w:val="2"/>
          </w:tcPr>
          <w:p w:rsidR="00862F9A" w:rsidRPr="00862F9A" w:rsidRDefault="00862F9A" w:rsidP="00862F9A">
            <w:pPr>
              <w:jc w:val="both"/>
              <w:rPr>
                <w:sz w:val="20"/>
                <w:lang w:val="fr-CA"/>
              </w:rPr>
            </w:pPr>
            <w:r w:rsidRPr="00862F9A">
              <w:rPr>
                <w:sz w:val="20"/>
                <w:lang w:val="fr-CA"/>
              </w:rPr>
              <w:t>Dépôt de la requête en prorogation de délai et de la demande d’autorisation d’appel.</w:t>
            </w:r>
          </w:p>
        </w:tc>
      </w:tr>
    </w:tbl>
    <w:p w:rsidR="00862F9A" w:rsidRPr="00862F9A" w:rsidRDefault="00862F9A" w:rsidP="00862F9A">
      <w:pPr>
        <w:jc w:val="both"/>
        <w:rPr>
          <w:sz w:val="20"/>
          <w:lang w:val="fr-CA"/>
        </w:rPr>
      </w:pPr>
    </w:p>
    <w:p w:rsidR="00F44D1D" w:rsidRPr="00862F9A" w:rsidRDefault="00F44D1D" w:rsidP="00862F9A">
      <w:pPr>
        <w:ind w:left="142" w:hanging="142"/>
        <w:jc w:val="both"/>
        <w:rPr>
          <w:sz w:val="20"/>
          <w:lang w:val="fr-CA"/>
        </w:rPr>
      </w:pPr>
    </w:p>
    <w:tbl>
      <w:tblPr>
        <w:tblW w:w="4998" w:type="pct"/>
        <w:tblLayout w:type="fixed"/>
        <w:tblCellMar>
          <w:left w:w="0" w:type="dxa"/>
          <w:bottom w:w="99" w:type="dxa"/>
          <w:right w:w="0" w:type="dxa"/>
        </w:tblCellMar>
        <w:tblLook w:val="04A0" w:firstRow="1" w:lastRow="0" w:firstColumn="1" w:lastColumn="0" w:noHBand="0" w:noVBand="1"/>
      </w:tblPr>
      <w:tblGrid>
        <w:gridCol w:w="996"/>
        <w:gridCol w:w="3458"/>
        <w:gridCol w:w="445"/>
        <w:gridCol w:w="4457"/>
      </w:tblGrid>
      <w:tr w:rsidR="00862F9A" w:rsidRPr="00862F9A" w:rsidTr="00862F9A">
        <w:tc>
          <w:tcPr>
            <w:tcW w:w="532" w:type="pct"/>
          </w:tcPr>
          <w:p w:rsidR="00862F9A" w:rsidRPr="00862F9A" w:rsidRDefault="00862F9A" w:rsidP="00862F9A">
            <w:pPr>
              <w:jc w:val="both"/>
              <w:rPr>
                <w:sz w:val="20"/>
              </w:rPr>
            </w:pPr>
            <w:r w:rsidRPr="00862F9A">
              <w:rPr>
                <w:rStyle w:val="SCCFileNumberChar"/>
                <w:sz w:val="20"/>
                <w:szCs w:val="20"/>
              </w:rPr>
              <w:lastRenderedPageBreak/>
              <w:t>38184</w:t>
            </w:r>
          </w:p>
        </w:tc>
        <w:tc>
          <w:tcPr>
            <w:tcW w:w="4468" w:type="pct"/>
            <w:gridSpan w:val="3"/>
          </w:tcPr>
          <w:p w:rsidR="00862F9A" w:rsidRPr="008B0713" w:rsidRDefault="00862F9A" w:rsidP="00862F9A">
            <w:pPr>
              <w:pStyle w:val="SCCLsocParty"/>
              <w:jc w:val="both"/>
              <w:rPr>
                <w:b/>
                <w:sz w:val="20"/>
                <w:szCs w:val="20"/>
                <w:lang w:val="en-US"/>
              </w:rPr>
            </w:pPr>
            <w:r w:rsidRPr="008B0713">
              <w:rPr>
                <w:b/>
                <w:sz w:val="20"/>
                <w:szCs w:val="20"/>
                <w:lang w:val="en-US"/>
              </w:rPr>
              <w:t xml:space="preserve">James </w:t>
            </w:r>
            <w:proofErr w:type="spellStart"/>
            <w:r w:rsidRPr="008B0713">
              <w:rPr>
                <w:b/>
                <w:sz w:val="20"/>
                <w:szCs w:val="20"/>
                <w:lang w:val="en-US"/>
              </w:rPr>
              <w:t>Forcillo</w:t>
            </w:r>
            <w:proofErr w:type="spellEnd"/>
            <w:r w:rsidRPr="008B0713">
              <w:rPr>
                <w:b/>
                <w:sz w:val="20"/>
                <w:szCs w:val="20"/>
                <w:lang w:val="en-US"/>
              </w:rPr>
              <w:t xml:space="preserve"> v. Her Majesty the Queen</w:t>
            </w:r>
          </w:p>
          <w:p w:rsidR="00862F9A" w:rsidRPr="00862F9A" w:rsidRDefault="00862F9A" w:rsidP="00862F9A">
            <w:pPr>
              <w:jc w:val="both"/>
              <w:rPr>
                <w:sz w:val="20"/>
              </w:rPr>
            </w:pPr>
            <w:r w:rsidRPr="00862F9A">
              <w:rPr>
                <w:sz w:val="20"/>
              </w:rPr>
              <w:t>(Ont.) (Criminal) (By Leave)</w:t>
            </w:r>
          </w:p>
        </w:tc>
      </w:tr>
      <w:tr w:rsidR="00862F9A" w:rsidRPr="00862F9A" w:rsidTr="00862F9A">
        <w:tc>
          <w:tcPr>
            <w:tcW w:w="5000" w:type="pct"/>
            <w:gridSpan w:val="4"/>
          </w:tcPr>
          <w:p w:rsidR="00862F9A" w:rsidRDefault="00862F9A" w:rsidP="00862F9A">
            <w:pPr>
              <w:jc w:val="both"/>
              <w:rPr>
                <w:sz w:val="20"/>
              </w:rPr>
            </w:pPr>
            <w:r w:rsidRPr="00862F9A">
              <w:rPr>
                <w:i/>
                <w:sz w:val="20"/>
              </w:rPr>
              <w:t xml:space="preserve">Charter of Rights and Freedoms </w:t>
            </w:r>
            <w:r w:rsidRPr="00862F9A">
              <w:rPr>
                <w:sz w:val="20"/>
              </w:rPr>
              <w:t xml:space="preserve">— Cruel and unusual treatment or punishment — Fundamental justice — Criminal law — Sentencing — Elements of offence — Mandatory minimum sentence— Following fatal shooting, police officer acquitted of second degree murder and convicted of attempted murder — Whether Crown required to prove attempt murder was based on discrete transaction in order to support different verdict on charge of second-degree — Additional protections against mandatory minimum sentences provided by s. 7 of </w:t>
            </w:r>
            <w:r w:rsidRPr="00862F9A">
              <w:rPr>
                <w:i/>
                <w:sz w:val="20"/>
              </w:rPr>
              <w:t>Charter</w:t>
            </w:r>
            <w:r w:rsidRPr="00862F9A">
              <w:rPr>
                <w:sz w:val="20"/>
              </w:rPr>
              <w:t xml:space="preserve">, beyond s. 12 of </w:t>
            </w:r>
            <w:r w:rsidRPr="00862F9A">
              <w:rPr>
                <w:i/>
                <w:sz w:val="20"/>
              </w:rPr>
              <w:t xml:space="preserve">Charter </w:t>
            </w:r>
            <w:r w:rsidRPr="00862F9A">
              <w:rPr>
                <w:sz w:val="20"/>
              </w:rPr>
              <w:t xml:space="preserve">— Whether mandatory minimum sentence of 5 years’ for attempted murder with a restricted or prohibited firearm violates s. 12 of </w:t>
            </w:r>
            <w:r w:rsidRPr="00862F9A">
              <w:rPr>
                <w:i/>
                <w:sz w:val="20"/>
              </w:rPr>
              <w:t xml:space="preserve">Charter </w:t>
            </w:r>
            <w:r w:rsidRPr="00862F9A">
              <w:rPr>
                <w:sz w:val="20"/>
              </w:rPr>
              <w:t xml:space="preserve">— Whether </w:t>
            </w:r>
            <w:r w:rsidRPr="00862F9A">
              <w:rPr>
                <w:i/>
                <w:sz w:val="20"/>
              </w:rPr>
              <w:t>R. v. Ferguson</w:t>
            </w:r>
            <w:r w:rsidRPr="00862F9A">
              <w:rPr>
                <w:sz w:val="20"/>
              </w:rPr>
              <w:t>, 2008 SCC 6, should be reconsidered?</w:t>
            </w:r>
          </w:p>
          <w:p w:rsidR="008B0713" w:rsidRPr="00862F9A" w:rsidRDefault="008B0713" w:rsidP="00862F9A">
            <w:pPr>
              <w:jc w:val="both"/>
              <w:rPr>
                <w:sz w:val="20"/>
              </w:rPr>
            </w:pPr>
          </w:p>
        </w:tc>
      </w:tr>
      <w:tr w:rsidR="00862F9A" w:rsidRPr="00862F9A" w:rsidTr="00862F9A">
        <w:tc>
          <w:tcPr>
            <w:tcW w:w="5000" w:type="pct"/>
            <w:gridSpan w:val="4"/>
          </w:tcPr>
          <w:p w:rsidR="00862F9A" w:rsidRPr="00862F9A" w:rsidRDefault="00862F9A" w:rsidP="00862F9A">
            <w:pPr>
              <w:jc w:val="both"/>
              <w:rPr>
                <w:sz w:val="20"/>
              </w:rPr>
            </w:pPr>
            <w:r w:rsidRPr="00862F9A">
              <w:rPr>
                <w:sz w:val="20"/>
              </w:rPr>
              <w:t xml:space="preserve">On July 27, 2013, on a crowded streetcar in Toronto, Sammy </w:t>
            </w:r>
            <w:proofErr w:type="spellStart"/>
            <w:r w:rsidRPr="00862F9A">
              <w:rPr>
                <w:sz w:val="20"/>
              </w:rPr>
              <w:t>Yatim</w:t>
            </w:r>
            <w:proofErr w:type="spellEnd"/>
            <w:r w:rsidRPr="00862F9A">
              <w:rPr>
                <w:sz w:val="20"/>
              </w:rPr>
              <w:t xml:space="preserve"> exposed himself, threatened a woman and chased everyone off the streetcar with a knife. Officer </w:t>
            </w:r>
            <w:proofErr w:type="spellStart"/>
            <w:r w:rsidRPr="00862F9A">
              <w:rPr>
                <w:sz w:val="20"/>
              </w:rPr>
              <w:t>Forcillo</w:t>
            </w:r>
            <w:proofErr w:type="spellEnd"/>
            <w:r w:rsidRPr="00862F9A">
              <w:rPr>
                <w:sz w:val="20"/>
              </w:rPr>
              <w:t xml:space="preserve"> and his partner were the first responding officers. They approached with firearms drawn and took up a position about 10 feet from the streetcar door. They yelled at Mr. </w:t>
            </w:r>
            <w:proofErr w:type="spellStart"/>
            <w:r w:rsidRPr="00862F9A">
              <w:rPr>
                <w:sz w:val="20"/>
              </w:rPr>
              <w:t>Yatim</w:t>
            </w:r>
            <w:proofErr w:type="spellEnd"/>
            <w:r w:rsidRPr="00862F9A">
              <w:rPr>
                <w:sz w:val="20"/>
              </w:rPr>
              <w:t xml:space="preserve"> to put down the knife but he refused. He retreated into the streetcar but then stepped forward. Officer </w:t>
            </w:r>
            <w:proofErr w:type="spellStart"/>
            <w:r w:rsidRPr="00862F9A">
              <w:rPr>
                <w:sz w:val="20"/>
              </w:rPr>
              <w:t>Forcillo</w:t>
            </w:r>
            <w:proofErr w:type="spellEnd"/>
            <w:r w:rsidRPr="00862F9A">
              <w:rPr>
                <w:sz w:val="20"/>
              </w:rPr>
              <w:t xml:space="preserve"> shot him three times. One bullet proved fatal but Mr. </w:t>
            </w:r>
            <w:proofErr w:type="spellStart"/>
            <w:r w:rsidRPr="00862F9A">
              <w:rPr>
                <w:sz w:val="20"/>
              </w:rPr>
              <w:t>Yatim</w:t>
            </w:r>
            <w:proofErr w:type="spellEnd"/>
            <w:r w:rsidRPr="00862F9A">
              <w:rPr>
                <w:sz w:val="20"/>
              </w:rPr>
              <w:t xml:space="preserve"> did not die immediately. Mr. </w:t>
            </w:r>
            <w:proofErr w:type="spellStart"/>
            <w:r w:rsidRPr="00862F9A">
              <w:rPr>
                <w:sz w:val="20"/>
              </w:rPr>
              <w:t>Yatim</w:t>
            </w:r>
            <w:proofErr w:type="spellEnd"/>
            <w:r w:rsidRPr="00862F9A">
              <w:rPr>
                <w:sz w:val="20"/>
              </w:rPr>
              <w:t xml:space="preserve"> fell backwards onto the floor of the streetcar. He picked up his knife. Officer </w:t>
            </w:r>
            <w:proofErr w:type="spellStart"/>
            <w:r w:rsidRPr="00862F9A">
              <w:rPr>
                <w:sz w:val="20"/>
              </w:rPr>
              <w:t>Forcillo</w:t>
            </w:r>
            <w:proofErr w:type="spellEnd"/>
            <w:r w:rsidRPr="00862F9A">
              <w:rPr>
                <w:sz w:val="20"/>
              </w:rPr>
              <w:t xml:space="preserve"> later testified that he perceived Mr. </w:t>
            </w:r>
            <w:proofErr w:type="spellStart"/>
            <w:r w:rsidRPr="00862F9A">
              <w:rPr>
                <w:sz w:val="20"/>
              </w:rPr>
              <w:t>Yatim</w:t>
            </w:r>
            <w:proofErr w:type="spellEnd"/>
            <w:r w:rsidRPr="00862F9A">
              <w:rPr>
                <w:sz w:val="20"/>
              </w:rPr>
              <w:t xml:space="preserve"> raise himself to a 45 degree angle but video surveillance footage is not consistent with this perception. 5.5 seconds after the first shots, Officer </w:t>
            </w:r>
            <w:proofErr w:type="spellStart"/>
            <w:r w:rsidRPr="00862F9A">
              <w:rPr>
                <w:sz w:val="20"/>
              </w:rPr>
              <w:t>Forcillo</w:t>
            </w:r>
            <w:proofErr w:type="spellEnd"/>
            <w:r w:rsidRPr="00862F9A">
              <w:rPr>
                <w:sz w:val="20"/>
              </w:rPr>
              <w:t xml:space="preserve"> fired 6 more shots, five of which hit Mr. </w:t>
            </w:r>
            <w:proofErr w:type="spellStart"/>
            <w:r w:rsidRPr="00862F9A">
              <w:rPr>
                <w:sz w:val="20"/>
              </w:rPr>
              <w:t>Yatim</w:t>
            </w:r>
            <w:proofErr w:type="spellEnd"/>
            <w:r w:rsidRPr="00862F9A">
              <w:rPr>
                <w:sz w:val="20"/>
              </w:rPr>
              <w:t xml:space="preserve">. None accelerated his death. Officer </w:t>
            </w:r>
            <w:proofErr w:type="spellStart"/>
            <w:r w:rsidRPr="00862F9A">
              <w:rPr>
                <w:sz w:val="20"/>
              </w:rPr>
              <w:t>Forcillo</w:t>
            </w:r>
            <w:proofErr w:type="spellEnd"/>
            <w:r w:rsidRPr="00862F9A">
              <w:rPr>
                <w:sz w:val="20"/>
              </w:rPr>
              <w:t xml:space="preserve"> was charged with second degree murder based on the first three shots and attempted murder based on the subsequent six shots. The defence argued justified force and self-defence. A jury acquitted Officer </w:t>
            </w:r>
            <w:proofErr w:type="spellStart"/>
            <w:r w:rsidRPr="00862F9A">
              <w:rPr>
                <w:sz w:val="20"/>
              </w:rPr>
              <w:t>Forcillo</w:t>
            </w:r>
            <w:proofErr w:type="spellEnd"/>
            <w:r w:rsidRPr="00862F9A">
              <w:rPr>
                <w:sz w:val="20"/>
              </w:rPr>
              <w:t xml:space="preserve"> of second degree murder and convicted him of attempted murder. The sentencing judge dismissed an application to declare the mandatory minimum sentence required by ss. 239(1)(a) and 239(1)(a.1) of the </w:t>
            </w:r>
            <w:r w:rsidRPr="00862F9A">
              <w:rPr>
                <w:i/>
                <w:sz w:val="20"/>
              </w:rPr>
              <w:t xml:space="preserve">Criminal Code </w:t>
            </w:r>
            <w:r w:rsidRPr="00862F9A">
              <w:rPr>
                <w:sz w:val="20"/>
              </w:rPr>
              <w:t xml:space="preserve">to be in violation of the </w:t>
            </w:r>
            <w:r w:rsidRPr="00862F9A">
              <w:rPr>
                <w:i/>
                <w:sz w:val="20"/>
              </w:rPr>
              <w:t>Charter of Rights and Freedoms</w:t>
            </w:r>
            <w:r w:rsidRPr="00862F9A">
              <w:rPr>
                <w:sz w:val="20"/>
              </w:rPr>
              <w:t xml:space="preserve"> and sentenced Officer </w:t>
            </w:r>
            <w:proofErr w:type="spellStart"/>
            <w:r w:rsidRPr="00862F9A">
              <w:rPr>
                <w:sz w:val="20"/>
              </w:rPr>
              <w:t>Forcillo</w:t>
            </w:r>
            <w:proofErr w:type="spellEnd"/>
            <w:r w:rsidRPr="00862F9A">
              <w:rPr>
                <w:sz w:val="20"/>
              </w:rPr>
              <w:t xml:space="preserve"> to six years imprisonment. The Court of Appeal dismissed an appeal from the conviction and sentence. </w:t>
            </w:r>
          </w:p>
        </w:tc>
      </w:tr>
      <w:tr w:rsidR="00862F9A" w:rsidRPr="00862F9A" w:rsidTr="00862F9A">
        <w:tc>
          <w:tcPr>
            <w:tcW w:w="5000" w:type="pct"/>
            <w:gridSpan w:val="4"/>
          </w:tcPr>
          <w:p w:rsidR="00862F9A" w:rsidRPr="00862F9A" w:rsidRDefault="00862F9A" w:rsidP="00862F9A">
            <w:pPr>
              <w:jc w:val="both"/>
              <w:rPr>
                <w:sz w:val="20"/>
              </w:rPr>
            </w:pPr>
          </w:p>
        </w:tc>
      </w:tr>
      <w:tr w:rsidR="00862F9A" w:rsidRPr="00862F9A" w:rsidTr="00862F9A">
        <w:tc>
          <w:tcPr>
            <w:tcW w:w="2380" w:type="pct"/>
            <w:gridSpan w:val="2"/>
          </w:tcPr>
          <w:p w:rsidR="00862F9A" w:rsidRPr="00862F9A" w:rsidRDefault="00862F9A" w:rsidP="00862F9A">
            <w:pPr>
              <w:jc w:val="both"/>
              <w:rPr>
                <w:sz w:val="20"/>
              </w:rPr>
            </w:pPr>
            <w:r w:rsidRPr="00862F9A">
              <w:rPr>
                <w:sz w:val="20"/>
              </w:rPr>
              <w:t>January 25, 2016</w:t>
            </w:r>
          </w:p>
          <w:p w:rsidR="00862F9A" w:rsidRPr="00862F9A" w:rsidRDefault="00862F9A" w:rsidP="00862F9A">
            <w:pPr>
              <w:jc w:val="both"/>
              <w:rPr>
                <w:sz w:val="20"/>
              </w:rPr>
            </w:pPr>
            <w:r w:rsidRPr="00862F9A">
              <w:rPr>
                <w:sz w:val="20"/>
              </w:rPr>
              <w:t>Ontario Superior Court of Justice</w:t>
            </w:r>
          </w:p>
          <w:p w:rsidR="00862F9A" w:rsidRPr="00862F9A" w:rsidRDefault="00862F9A" w:rsidP="00862F9A">
            <w:pPr>
              <w:spacing w:after="120"/>
              <w:jc w:val="both"/>
              <w:rPr>
                <w:sz w:val="20"/>
              </w:rPr>
            </w:pPr>
            <w:r w:rsidRPr="00862F9A">
              <w:rPr>
                <w:sz w:val="20"/>
              </w:rPr>
              <w:t>(Then J.)(Unreported)</w:t>
            </w:r>
          </w:p>
        </w:tc>
        <w:tc>
          <w:tcPr>
            <w:tcW w:w="238" w:type="pct"/>
          </w:tcPr>
          <w:p w:rsidR="00862F9A" w:rsidRPr="00862F9A" w:rsidRDefault="00862F9A" w:rsidP="00862F9A">
            <w:pPr>
              <w:jc w:val="both"/>
              <w:rPr>
                <w:sz w:val="20"/>
              </w:rPr>
            </w:pPr>
          </w:p>
        </w:tc>
        <w:tc>
          <w:tcPr>
            <w:tcW w:w="2381" w:type="pct"/>
          </w:tcPr>
          <w:p w:rsidR="00862F9A" w:rsidRPr="00862F9A" w:rsidRDefault="00862F9A" w:rsidP="00862F9A">
            <w:pPr>
              <w:jc w:val="both"/>
              <w:rPr>
                <w:sz w:val="20"/>
              </w:rPr>
            </w:pPr>
            <w:r w:rsidRPr="00862F9A">
              <w:rPr>
                <w:sz w:val="20"/>
              </w:rPr>
              <w:t>Conviction by jury of attempted murder; acquittal of second degree murder</w:t>
            </w:r>
          </w:p>
          <w:p w:rsidR="00862F9A" w:rsidRPr="00862F9A" w:rsidRDefault="00862F9A" w:rsidP="00862F9A">
            <w:pPr>
              <w:jc w:val="both"/>
              <w:rPr>
                <w:sz w:val="20"/>
              </w:rPr>
            </w:pPr>
          </w:p>
        </w:tc>
      </w:tr>
      <w:tr w:rsidR="00862F9A" w:rsidRPr="00862F9A" w:rsidTr="00862F9A">
        <w:tc>
          <w:tcPr>
            <w:tcW w:w="2380" w:type="pct"/>
            <w:gridSpan w:val="2"/>
          </w:tcPr>
          <w:p w:rsidR="00862F9A" w:rsidRPr="00862F9A" w:rsidRDefault="00862F9A" w:rsidP="00862F9A">
            <w:pPr>
              <w:jc w:val="both"/>
              <w:rPr>
                <w:sz w:val="20"/>
              </w:rPr>
            </w:pPr>
            <w:r w:rsidRPr="00862F9A">
              <w:rPr>
                <w:sz w:val="20"/>
              </w:rPr>
              <w:t>July 28, 2016</w:t>
            </w:r>
          </w:p>
          <w:p w:rsidR="00862F9A" w:rsidRPr="00862F9A" w:rsidRDefault="00862F9A" w:rsidP="00862F9A">
            <w:pPr>
              <w:jc w:val="both"/>
              <w:rPr>
                <w:sz w:val="20"/>
              </w:rPr>
            </w:pPr>
            <w:r w:rsidRPr="00862F9A">
              <w:rPr>
                <w:sz w:val="20"/>
              </w:rPr>
              <w:t>Ontario Superior Court of Justice</w:t>
            </w:r>
          </w:p>
          <w:p w:rsidR="00862F9A" w:rsidRPr="00862F9A" w:rsidRDefault="00862F9A" w:rsidP="00862F9A">
            <w:pPr>
              <w:jc w:val="both"/>
              <w:rPr>
                <w:sz w:val="20"/>
              </w:rPr>
            </w:pPr>
            <w:r w:rsidRPr="00862F9A">
              <w:rPr>
                <w:sz w:val="20"/>
              </w:rPr>
              <w:t>(Then J.)</w:t>
            </w:r>
          </w:p>
          <w:p w:rsidR="00862F9A" w:rsidRPr="00862F9A" w:rsidRDefault="00862F9A" w:rsidP="00862F9A">
            <w:pPr>
              <w:spacing w:after="120"/>
              <w:jc w:val="both"/>
              <w:rPr>
                <w:sz w:val="20"/>
              </w:rPr>
            </w:pPr>
            <w:hyperlink r:id="rId20" w:history="1">
              <w:r w:rsidRPr="00862F9A">
                <w:rPr>
                  <w:rStyle w:val="Hyperlink"/>
                  <w:sz w:val="20"/>
                </w:rPr>
                <w:t>2016 ONSC 4896</w:t>
              </w:r>
            </w:hyperlink>
            <w:r w:rsidRPr="00862F9A">
              <w:rPr>
                <w:sz w:val="20"/>
              </w:rPr>
              <w:t xml:space="preserve">, </w:t>
            </w:r>
            <w:hyperlink r:id="rId21" w:history="1">
              <w:r w:rsidRPr="00862F9A">
                <w:rPr>
                  <w:rStyle w:val="Hyperlink"/>
                  <w:sz w:val="20"/>
                </w:rPr>
                <w:t>2016 ONSC 4850</w:t>
              </w:r>
            </w:hyperlink>
          </w:p>
        </w:tc>
        <w:tc>
          <w:tcPr>
            <w:tcW w:w="238" w:type="pct"/>
          </w:tcPr>
          <w:p w:rsidR="00862F9A" w:rsidRPr="00862F9A" w:rsidRDefault="00862F9A" w:rsidP="00862F9A">
            <w:pPr>
              <w:jc w:val="both"/>
              <w:rPr>
                <w:sz w:val="20"/>
              </w:rPr>
            </w:pPr>
          </w:p>
        </w:tc>
        <w:tc>
          <w:tcPr>
            <w:tcW w:w="2381" w:type="pct"/>
          </w:tcPr>
          <w:p w:rsidR="00862F9A" w:rsidRPr="00862F9A" w:rsidRDefault="00862F9A" w:rsidP="00862F9A">
            <w:pPr>
              <w:jc w:val="both"/>
              <w:rPr>
                <w:sz w:val="20"/>
              </w:rPr>
            </w:pPr>
            <w:r w:rsidRPr="00862F9A">
              <w:rPr>
                <w:sz w:val="20"/>
              </w:rPr>
              <w:t>Constitutional challenge to mandatory minimum sentence dismissed and Sentence to 6 years imprisonment</w:t>
            </w:r>
          </w:p>
        </w:tc>
      </w:tr>
      <w:tr w:rsidR="00862F9A" w:rsidRPr="00862F9A" w:rsidTr="00862F9A">
        <w:tc>
          <w:tcPr>
            <w:tcW w:w="2380" w:type="pct"/>
            <w:gridSpan w:val="2"/>
          </w:tcPr>
          <w:p w:rsidR="00862F9A" w:rsidRPr="00862F9A" w:rsidRDefault="00862F9A" w:rsidP="00862F9A">
            <w:pPr>
              <w:jc w:val="both"/>
              <w:rPr>
                <w:sz w:val="20"/>
              </w:rPr>
            </w:pPr>
            <w:r w:rsidRPr="00862F9A">
              <w:rPr>
                <w:sz w:val="20"/>
              </w:rPr>
              <w:t>April 30, 2018</w:t>
            </w:r>
          </w:p>
          <w:p w:rsidR="00862F9A" w:rsidRPr="00862F9A" w:rsidRDefault="00862F9A" w:rsidP="00862F9A">
            <w:pPr>
              <w:jc w:val="both"/>
              <w:rPr>
                <w:sz w:val="20"/>
              </w:rPr>
            </w:pPr>
            <w:r w:rsidRPr="00862F9A">
              <w:rPr>
                <w:sz w:val="20"/>
              </w:rPr>
              <w:t>Court of Appeal for Ontario</w:t>
            </w:r>
          </w:p>
          <w:p w:rsidR="00862F9A" w:rsidRPr="00862F9A" w:rsidRDefault="00862F9A" w:rsidP="00862F9A">
            <w:pPr>
              <w:jc w:val="both"/>
              <w:rPr>
                <w:sz w:val="20"/>
              </w:rPr>
            </w:pPr>
            <w:r w:rsidRPr="00862F9A">
              <w:rPr>
                <w:sz w:val="20"/>
              </w:rPr>
              <w:t>(Strathy, Doherty David H., Trotter Gary T.)</w:t>
            </w:r>
          </w:p>
          <w:p w:rsidR="00862F9A" w:rsidRPr="00862F9A" w:rsidRDefault="00862F9A" w:rsidP="00862F9A">
            <w:pPr>
              <w:spacing w:after="120"/>
              <w:jc w:val="both"/>
              <w:rPr>
                <w:sz w:val="20"/>
              </w:rPr>
            </w:pPr>
            <w:r w:rsidRPr="00862F9A">
              <w:rPr>
                <w:sz w:val="20"/>
              </w:rPr>
              <w:t xml:space="preserve">C62370; </w:t>
            </w:r>
            <w:hyperlink r:id="rId22" w:history="1">
              <w:r w:rsidRPr="00862F9A">
                <w:rPr>
                  <w:rStyle w:val="Hyperlink"/>
                  <w:sz w:val="20"/>
                </w:rPr>
                <w:t>2018 ONCA 402</w:t>
              </w:r>
            </w:hyperlink>
          </w:p>
        </w:tc>
        <w:tc>
          <w:tcPr>
            <w:tcW w:w="238" w:type="pct"/>
          </w:tcPr>
          <w:p w:rsidR="00862F9A" w:rsidRPr="00862F9A" w:rsidRDefault="00862F9A" w:rsidP="00862F9A">
            <w:pPr>
              <w:jc w:val="both"/>
              <w:rPr>
                <w:sz w:val="20"/>
              </w:rPr>
            </w:pPr>
          </w:p>
        </w:tc>
        <w:tc>
          <w:tcPr>
            <w:tcW w:w="2381" w:type="pct"/>
          </w:tcPr>
          <w:p w:rsidR="00862F9A" w:rsidRPr="00862F9A" w:rsidRDefault="00862F9A" w:rsidP="00862F9A">
            <w:pPr>
              <w:jc w:val="both"/>
              <w:rPr>
                <w:sz w:val="20"/>
              </w:rPr>
            </w:pPr>
            <w:r w:rsidRPr="00862F9A">
              <w:rPr>
                <w:sz w:val="20"/>
              </w:rPr>
              <w:t>Appeal from conviction and sentence dismissed</w:t>
            </w:r>
          </w:p>
          <w:p w:rsidR="00862F9A" w:rsidRPr="00862F9A" w:rsidRDefault="00862F9A" w:rsidP="00862F9A">
            <w:pPr>
              <w:jc w:val="both"/>
              <w:rPr>
                <w:sz w:val="20"/>
              </w:rPr>
            </w:pPr>
          </w:p>
        </w:tc>
      </w:tr>
      <w:tr w:rsidR="00862F9A" w:rsidRPr="00862F9A" w:rsidTr="00862F9A">
        <w:tc>
          <w:tcPr>
            <w:tcW w:w="2380" w:type="pct"/>
            <w:gridSpan w:val="2"/>
          </w:tcPr>
          <w:p w:rsidR="00862F9A" w:rsidRPr="00862F9A" w:rsidRDefault="00862F9A" w:rsidP="00862F9A">
            <w:pPr>
              <w:jc w:val="both"/>
              <w:rPr>
                <w:sz w:val="20"/>
              </w:rPr>
            </w:pPr>
            <w:r w:rsidRPr="00862F9A">
              <w:rPr>
                <w:sz w:val="20"/>
              </w:rPr>
              <w:t>June 27, 2018</w:t>
            </w:r>
          </w:p>
          <w:p w:rsidR="00862F9A" w:rsidRPr="00862F9A" w:rsidRDefault="00862F9A" w:rsidP="00862F9A">
            <w:pPr>
              <w:jc w:val="both"/>
              <w:rPr>
                <w:sz w:val="20"/>
              </w:rPr>
            </w:pPr>
            <w:r w:rsidRPr="00862F9A">
              <w:rPr>
                <w:sz w:val="20"/>
              </w:rPr>
              <w:t>Supreme Court of Canada</w:t>
            </w:r>
          </w:p>
        </w:tc>
        <w:tc>
          <w:tcPr>
            <w:tcW w:w="238" w:type="pct"/>
          </w:tcPr>
          <w:p w:rsidR="00862F9A" w:rsidRPr="00862F9A" w:rsidRDefault="00862F9A" w:rsidP="00862F9A">
            <w:pPr>
              <w:jc w:val="both"/>
              <w:rPr>
                <w:sz w:val="20"/>
              </w:rPr>
            </w:pPr>
          </w:p>
        </w:tc>
        <w:tc>
          <w:tcPr>
            <w:tcW w:w="2381" w:type="pct"/>
          </w:tcPr>
          <w:p w:rsidR="00862F9A" w:rsidRPr="00862F9A" w:rsidRDefault="00862F9A" w:rsidP="00862F9A">
            <w:pPr>
              <w:jc w:val="both"/>
              <w:rPr>
                <w:sz w:val="20"/>
              </w:rPr>
            </w:pPr>
            <w:r w:rsidRPr="00862F9A">
              <w:rPr>
                <w:sz w:val="20"/>
              </w:rPr>
              <w:t>Application for leave to appeal filed</w:t>
            </w:r>
          </w:p>
          <w:p w:rsidR="00862F9A" w:rsidRPr="00862F9A" w:rsidRDefault="00862F9A" w:rsidP="00862F9A">
            <w:pPr>
              <w:jc w:val="both"/>
              <w:rPr>
                <w:sz w:val="20"/>
              </w:rPr>
            </w:pPr>
          </w:p>
        </w:tc>
      </w:tr>
    </w:tbl>
    <w:p w:rsidR="00862F9A" w:rsidRDefault="00862F9A" w:rsidP="00862F9A">
      <w:pPr>
        <w:jc w:val="both"/>
        <w:rPr>
          <w:sz w:val="20"/>
        </w:rPr>
      </w:pPr>
    </w:p>
    <w:p w:rsidR="008B0713" w:rsidRPr="00862F9A" w:rsidRDefault="008B0713" w:rsidP="00862F9A">
      <w:pPr>
        <w:jc w:val="both"/>
        <w:rPr>
          <w:sz w:val="20"/>
        </w:rPr>
      </w:pPr>
    </w:p>
    <w:tbl>
      <w:tblPr>
        <w:tblW w:w="4998" w:type="pct"/>
        <w:tblLayout w:type="fixed"/>
        <w:tblCellMar>
          <w:left w:w="0" w:type="dxa"/>
          <w:bottom w:w="99" w:type="dxa"/>
          <w:right w:w="0" w:type="dxa"/>
        </w:tblCellMar>
        <w:tblLook w:val="04A0" w:firstRow="1" w:lastRow="0" w:firstColumn="1" w:lastColumn="0" w:noHBand="0" w:noVBand="1"/>
      </w:tblPr>
      <w:tblGrid>
        <w:gridCol w:w="996"/>
        <w:gridCol w:w="3458"/>
        <w:gridCol w:w="445"/>
        <w:gridCol w:w="4457"/>
      </w:tblGrid>
      <w:tr w:rsidR="00862F9A" w:rsidRPr="00862F9A" w:rsidTr="00862F9A">
        <w:tc>
          <w:tcPr>
            <w:tcW w:w="532" w:type="pct"/>
          </w:tcPr>
          <w:p w:rsidR="00862F9A" w:rsidRPr="00862F9A" w:rsidRDefault="00862F9A" w:rsidP="00862F9A">
            <w:pPr>
              <w:jc w:val="both"/>
              <w:rPr>
                <w:sz w:val="20"/>
                <w:lang w:val="fr-CA"/>
              </w:rPr>
            </w:pPr>
            <w:r w:rsidRPr="00862F9A">
              <w:rPr>
                <w:rStyle w:val="SCCFileNumberChar"/>
                <w:sz w:val="20"/>
                <w:szCs w:val="20"/>
                <w:lang w:val="fr-CA"/>
              </w:rPr>
              <w:t>38184</w:t>
            </w:r>
          </w:p>
        </w:tc>
        <w:tc>
          <w:tcPr>
            <w:tcW w:w="4468" w:type="pct"/>
            <w:gridSpan w:val="3"/>
          </w:tcPr>
          <w:p w:rsidR="00862F9A" w:rsidRPr="008B0713" w:rsidRDefault="00862F9A" w:rsidP="00862F9A">
            <w:pPr>
              <w:pStyle w:val="SCCLsocParty"/>
              <w:jc w:val="both"/>
              <w:rPr>
                <w:b/>
                <w:sz w:val="20"/>
                <w:szCs w:val="20"/>
              </w:rPr>
            </w:pPr>
            <w:r w:rsidRPr="008B0713">
              <w:rPr>
                <w:b/>
                <w:sz w:val="20"/>
                <w:szCs w:val="20"/>
              </w:rPr>
              <w:t xml:space="preserve">James </w:t>
            </w:r>
            <w:proofErr w:type="spellStart"/>
            <w:r w:rsidRPr="008B0713">
              <w:rPr>
                <w:b/>
                <w:sz w:val="20"/>
                <w:szCs w:val="20"/>
              </w:rPr>
              <w:t>Forcillo</w:t>
            </w:r>
            <w:proofErr w:type="spellEnd"/>
            <w:r w:rsidRPr="008B0713">
              <w:rPr>
                <w:b/>
                <w:sz w:val="20"/>
                <w:szCs w:val="20"/>
              </w:rPr>
              <w:t xml:space="preserve"> c. Sa Majesté la Reine</w:t>
            </w:r>
          </w:p>
          <w:p w:rsidR="00862F9A" w:rsidRPr="00862F9A" w:rsidRDefault="00862F9A" w:rsidP="00862F9A">
            <w:pPr>
              <w:jc w:val="both"/>
              <w:rPr>
                <w:sz w:val="20"/>
                <w:lang w:val="fr-CA"/>
              </w:rPr>
            </w:pPr>
            <w:r w:rsidRPr="00862F9A">
              <w:rPr>
                <w:sz w:val="20"/>
                <w:lang w:val="fr-CA"/>
              </w:rPr>
              <w:t>(Ont.) (Criminelle) (Autorisation)</w:t>
            </w:r>
          </w:p>
        </w:tc>
      </w:tr>
      <w:tr w:rsidR="00862F9A" w:rsidRPr="00862F9A" w:rsidTr="00862F9A">
        <w:tc>
          <w:tcPr>
            <w:tcW w:w="5000" w:type="pct"/>
            <w:gridSpan w:val="4"/>
          </w:tcPr>
          <w:p w:rsidR="00862F9A" w:rsidRDefault="00862F9A" w:rsidP="00862F9A">
            <w:pPr>
              <w:jc w:val="both"/>
              <w:rPr>
                <w:sz w:val="20"/>
                <w:lang w:val="fr-CA"/>
              </w:rPr>
            </w:pPr>
            <w:r w:rsidRPr="00862F9A">
              <w:rPr>
                <w:i/>
                <w:sz w:val="20"/>
                <w:lang w:val="fr-CA"/>
              </w:rPr>
              <w:t xml:space="preserve">Charte des droits et libertés </w:t>
            </w:r>
            <w:r w:rsidRPr="00862F9A">
              <w:rPr>
                <w:sz w:val="20"/>
                <w:lang w:val="fr-CA"/>
              </w:rPr>
              <w:t xml:space="preserve">— Traitements et peines cruels et inusités — Justice fondamentale — Droit criminel — Détermination de la peine — Éléments de l’infraction — Peine minimale obligatoire — À la suite d’une fusillade mortelle, un policier a été acquitté de meurtre au deuxième degré et déclaré coupable de tentative de meurtre — Le ministère public était-il tenu de prouver que la tentative de meurtre était fondée sur un acte distinct pour étayer un verdict différent sur l’accusation de meurtre au deuxième degré? — Protections additionnelles contre les peines minimales obligatoires prévues à l’art. 7 de la </w:t>
            </w:r>
            <w:r w:rsidRPr="00862F9A">
              <w:rPr>
                <w:i/>
                <w:sz w:val="20"/>
                <w:lang w:val="fr-CA"/>
              </w:rPr>
              <w:t>Charte</w:t>
            </w:r>
            <w:r w:rsidRPr="00862F9A">
              <w:rPr>
                <w:sz w:val="20"/>
                <w:lang w:val="fr-CA"/>
              </w:rPr>
              <w:t xml:space="preserve">, au-delà celles prévues à l’art. 12 de la </w:t>
            </w:r>
            <w:r w:rsidRPr="00862F9A">
              <w:rPr>
                <w:i/>
                <w:sz w:val="20"/>
                <w:lang w:val="fr-CA"/>
              </w:rPr>
              <w:t xml:space="preserve">Charte </w:t>
            </w:r>
            <w:r w:rsidRPr="00862F9A">
              <w:rPr>
                <w:sz w:val="20"/>
                <w:lang w:val="fr-CA"/>
              </w:rPr>
              <w:t xml:space="preserve">— La peine obligatoire minimale de cinq ans pour tentative de meurtre avec une arme à feu à autorisation restreinte ou prohibée viole-t-elle l’art. 12 de la </w:t>
            </w:r>
            <w:r w:rsidRPr="00862F9A">
              <w:rPr>
                <w:i/>
                <w:sz w:val="20"/>
                <w:lang w:val="fr-CA"/>
              </w:rPr>
              <w:t>Charte</w:t>
            </w:r>
            <w:r w:rsidRPr="00862F9A">
              <w:rPr>
                <w:sz w:val="20"/>
                <w:lang w:val="fr-CA"/>
              </w:rPr>
              <w:t>?</w:t>
            </w:r>
            <w:r w:rsidRPr="00862F9A">
              <w:rPr>
                <w:i/>
                <w:sz w:val="20"/>
                <w:lang w:val="fr-CA"/>
              </w:rPr>
              <w:t xml:space="preserve"> </w:t>
            </w:r>
            <w:r w:rsidRPr="00862F9A">
              <w:rPr>
                <w:sz w:val="20"/>
                <w:lang w:val="fr-CA"/>
              </w:rPr>
              <w:t xml:space="preserve">— Convient-il de réexaminer l’arrêt </w:t>
            </w:r>
            <w:r w:rsidRPr="00862F9A">
              <w:rPr>
                <w:i/>
                <w:sz w:val="20"/>
                <w:lang w:val="fr-CA"/>
              </w:rPr>
              <w:t>R. c. Ferguson</w:t>
            </w:r>
            <w:r w:rsidRPr="00862F9A">
              <w:rPr>
                <w:sz w:val="20"/>
                <w:lang w:val="fr-CA"/>
              </w:rPr>
              <w:t>, 2008 CSC 6?</w:t>
            </w:r>
          </w:p>
          <w:p w:rsidR="008B0713" w:rsidRPr="00862F9A" w:rsidRDefault="008B0713" w:rsidP="00862F9A">
            <w:pPr>
              <w:jc w:val="both"/>
              <w:rPr>
                <w:sz w:val="20"/>
                <w:lang w:val="fr-CA"/>
              </w:rPr>
            </w:pPr>
          </w:p>
        </w:tc>
      </w:tr>
      <w:tr w:rsidR="00862F9A" w:rsidRPr="00862F9A" w:rsidTr="00862F9A">
        <w:tc>
          <w:tcPr>
            <w:tcW w:w="5000" w:type="pct"/>
            <w:gridSpan w:val="4"/>
          </w:tcPr>
          <w:p w:rsidR="00862F9A" w:rsidRPr="00862F9A" w:rsidRDefault="00862F9A" w:rsidP="00862F9A">
            <w:pPr>
              <w:jc w:val="both"/>
              <w:rPr>
                <w:sz w:val="20"/>
                <w:lang w:val="fr-CA"/>
              </w:rPr>
            </w:pPr>
            <w:r w:rsidRPr="00862F9A">
              <w:rPr>
                <w:sz w:val="20"/>
                <w:lang w:val="fr-CA"/>
              </w:rPr>
              <w:lastRenderedPageBreak/>
              <w:t xml:space="preserve">Le 27 juillet 2013, à bord d’un tramway bondé à Toronto, Sammy </w:t>
            </w:r>
            <w:proofErr w:type="spellStart"/>
            <w:r w:rsidRPr="00862F9A">
              <w:rPr>
                <w:sz w:val="20"/>
                <w:lang w:val="fr-CA"/>
              </w:rPr>
              <w:t>Yatim</w:t>
            </w:r>
            <w:proofErr w:type="spellEnd"/>
            <w:r w:rsidRPr="00862F9A">
              <w:rPr>
                <w:sz w:val="20"/>
                <w:lang w:val="fr-CA"/>
              </w:rPr>
              <w:t xml:space="preserve"> s’est exhibé, a menacé une femme et a fait fuir tous les passagers avec un couteau. L’agent </w:t>
            </w:r>
            <w:proofErr w:type="spellStart"/>
            <w:r w:rsidRPr="00862F9A">
              <w:rPr>
                <w:sz w:val="20"/>
                <w:lang w:val="fr-CA"/>
              </w:rPr>
              <w:t>Forcillo</w:t>
            </w:r>
            <w:proofErr w:type="spellEnd"/>
            <w:r w:rsidRPr="00862F9A">
              <w:rPr>
                <w:sz w:val="20"/>
                <w:lang w:val="fr-CA"/>
              </w:rPr>
              <w:t xml:space="preserve"> et son partenaire ont été les premiers agents à intervenir. Ils se approchés, armes à feu dégainées, et ils se sont positionnés à environ dix pieds de la portière du tramway. Ils ont crié à M. </w:t>
            </w:r>
            <w:proofErr w:type="spellStart"/>
            <w:r w:rsidRPr="00862F9A">
              <w:rPr>
                <w:sz w:val="20"/>
                <w:lang w:val="fr-CA"/>
              </w:rPr>
              <w:t>Yatim</w:t>
            </w:r>
            <w:proofErr w:type="spellEnd"/>
            <w:r w:rsidRPr="00862F9A">
              <w:rPr>
                <w:sz w:val="20"/>
                <w:lang w:val="fr-CA"/>
              </w:rPr>
              <w:t xml:space="preserve"> de déposer son couteau, mais ce dernier a refusé. Il s’est retiré à l’intérieur dans le tramway, mais a ensuite fait un pas en avant. L’agent </w:t>
            </w:r>
            <w:proofErr w:type="spellStart"/>
            <w:r w:rsidRPr="00862F9A">
              <w:rPr>
                <w:sz w:val="20"/>
                <w:lang w:val="fr-CA"/>
              </w:rPr>
              <w:t>Forcillo</w:t>
            </w:r>
            <w:proofErr w:type="spellEnd"/>
            <w:r w:rsidRPr="00862F9A">
              <w:rPr>
                <w:sz w:val="20"/>
                <w:lang w:val="fr-CA"/>
              </w:rPr>
              <w:t xml:space="preserve"> lui a tiré trois coups de feu. Une des balles s’est révélée mortelle, mais M. </w:t>
            </w:r>
            <w:proofErr w:type="spellStart"/>
            <w:r w:rsidRPr="00862F9A">
              <w:rPr>
                <w:sz w:val="20"/>
                <w:lang w:val="fr-CA"/>
              </w:rPr>
              <w:t>Yatim</w:t>
            </w:r>
            <w:proofErr w:type="spellEnd"/>
            <w:r w:rsidRPr="00862F9A">
              <w:rPr>
                <w:sz w:val="20"/>
                <w:lang w:val="fr-CA"/>
              </w:rPr>
              <w:t xml:space="preserve"> n’est pas décédé immédiatement. Monsieur </w:t>
            </w:r>
            <w:proofErr w:type="spellStart"/>
            <w:r w:rsidRPr="00862F9A">
              <w:rPr>
                <w:sz w:val="20"/>
                <w:lang w:val="fr-CA"/>
              </w:rPr>
              <w:t>Yatim</w:t>
            </w:r>
            <w:proofErr w:type="spellEnd"/>
            <w:r w:rsidRPr="00862F9A">
              <w:rPr>
                <w:sz w:val="20"/>
                <w:lang w:val="fr-CA"/>
              </w:rPr>
              <w:t xml:space="preserve"> est tombé par terre à la renverse dans le tramway. Il a ramassé son couteau. Plus tard, l’agent </w:t>
            </w:r>
            <w:proofErr w:type="spellStart"/>
            <w:r w:rsidRPr="00862F9A">
              <w:rPr>
                <w:sz w:val="20"/>
                <w:lang w:val="fr-CA"/>
              </w:rPr>
              <w:t>Forcillo</w:t>
            </w:r>
            <w:proofErr w:type="spellEnd"/>
            <w:r w:rsidRPr="00862F9A">
              <w:rPr>
                <w:sz w:val="20"/>
                <w:lang w:val="fr-CA"/>
              </w:rPr>
              <w:t xml:space="preserve"> a témoigné qu’il avait eu l’impression que M. </w:t>
            </w:r>
            <w:proofErr w:type="spellStart"/>
            <w:r w:rsidRPr="00862F9A">
              <w:rPr>
                <w:sz w:val="20"/>
                <w:lang w:val="fr-CA"/>
              </w:rPr>
              <w:t>Yatim</w:t>
            </w:r>
            <w:proofErr w:type="spellEnd"/>
            <w:r w:rsidRPr="00862F9A">
              <w:rPr>
                <w:sz w:val="20"/>
                <w:lang w:val="fr-CA"/>
              </w:rPr>
              <w:t xml:space="preserve"> s’était relevé à un angle de 45 degrés, mais un extrait d’une vidéo de surveillance ne confirme pas cette perception. Cinq secondes et demie après les premiers coups de feu, l’agent </w:t>
            </w:r>
            <w:proofErr w:type="spellStart"/>
            <w:r w:rsidRPr="00862F9A">
              <w:rPr>
                <w:sz w:val="20"/>
                <w:lang w:val="fr-CA"/>
              </w:rPr>
              <w:t>Forcillo</w:t>
            </w:r>
            <w:proofErr w:type="spellEnd"/>
            <w:r w:rsidRPr="00862F9A">
              <w:rPr>
                <w:sz w:val="20"/>
                <w:lang w:val="fr-CA"/>
              </w:rPr>
              <w:t xml:space="preserve"> a tiré six autres coups de feu, dont cinq ont atteint M. </w:t>
            </w:r>
            <w:proofErr w:type="spellStart"/>
            <w:r w:rsidRPr="00862F9A">
              <w:rPr>
                <w:sz w:val="20"/>
                <w:lang w:val="fr-CA"/>
              </w:rPr>
              <w:t>YatiM</w:t>
            </w:r>
            <w:proofErr w:type="spellEnd"/>
            <w:r w:rsidRPr="00862F9A">
              <w:rPr>
                <w:sz w:val="20"/>
                <w:lang w:val="fr-CA"/>
              </w:rPr>
              <w:t xml:space="preserve">. Aucun de ces nouveaux coups de feu n’a eu pour effet d’accélérer la mort. L’agent </w:t>
            </w:r>
            <w:proofErr w:type="spellStart"/>
            <w:r w:rsidRPr="00862F9A">
              <w:rPr>
                <w:sz w:val="20"/>
                <w:lang w:val="fr-CA"/>
              </w:rPr>
              <w:t>Forcillo</w:t>
            </w:r>
            <w:proofErr w:type="spellEnd"/>
            <w:r w:rsidRPr="00862F9A">
              <w:rPr>
                <w:sz w:val="20"/>
                <w:lang w:val="fr-CA"/>
              </w:rPr>
              <w:t xml:space="preserve"> a été accusé de meurtre au deuxième degré relativement aux trois premiers coups de feu et de tentative de meurtre relativement aux six coups de feu subséquents. La défense a plaidé la force justifiée et la légitime défense. Un jury a acquitté M. </w:t>
            </w:r>
            <w:proofErr w:type="spellStart"/>
            <w:r w:rsidRPr="00862F9A">
              <w:rPr>
                <w:sz w:val="20"/>
                <w:lang w:val="fr-CA"/>
              </w:rPr>
              <w:t>Forcillo</w:t>
            </w:r>
            <w:proofErr w:type="spellEnd"/>
            <w:r w:rsidRPr="00862F9A">
              <w:rPr>
                <w:sz w:val="20"/>
                <w:lang w:val="fr-CA"/>
              </w:rPr>
              <w:t xml:space="preserve"> de meurtre au deuxième degré et l’a déclaré coupable de tentative de meurtre. Le juge chargé de la détermination de la peine a rejeté une demande de déclaration portant que la peine minimale obligatoire prescrite par les al. 239(1)a) et 239(1</w:t>
            </w:r>
            <w:proofErr w:type="gramStart"/>
            <w:r w:rsidRPr="00862F9A">
              <w:rPr>
                <w:sz w:val="20"/>
                <w:lang w:val="fr-CA"/>
              </w:rPr>
              <w:t>)a.1</w:t>
            </w:r>
            <w:proofErr w:type="gramEnd"/>
            <w:r w:rsidRPr="00862F9A">
              <w:rPr>
                <w:sz w:val="20"/>
                <w:lang w:val="fr-CA"/>
              </w:rPr>
              <w:t xml:space="preserve">) du </w:t>
            </w:r>
            <w:r w:rsidRPr="00862F9A">
              <w:rPr>
                <w:i/>
                <w:sz w:val="20"/>
                <w:lang w:val="fr-CA"/>
              </w:rPr>
              <w:t xml:space="preserve">Code criminel </w:t>
            </w:r>
            <w:r w:rsidRPr="00862F9A">
              <w:rPr>
                <w:sz w:val="20"/>
                <w:lang w:val="fr-CA"/>
              </w:rPr>
              <w:t xml:space="preserve">violaient la </w:t>
            </w:r>
            <w:r w:rsidRPr="00862F9A">
              <w:rPr>
                <w:i/>
                <w:sz w:val="20"/>
                <w:lang w:val="fr-CA"/>
              </w:rPr>
              <w:t>Charte des droits et libertés</w:t>
            </w:r>
            <w:r w:rsidRPr="00862F9A">
              <w:rPr>
                <w:sz w:val="20"/>
                <w:lang w:val="fr-CA"/>
              </w:rPr>
              <w:t xml:space="preserve"> et il a condamné l’agent </w:t>
            </w:r>
            <w:proofErr w:type="spellStart"/>
            <w:r w:rsidRPr="00862F9A">
              <w:rPr>
                <w:sz w:val="20"/>
                <w:lang w:val="fr-CA"/>
              </w:rPr>
              <w:t>Forcillo</w:t>
            </w:r>
            <w:proofErr w:type="spellEnd"/>
            <w:r w:rsidRPr="00862F9A">
              <w:rPr>
                <w:sz w:val="20"/>
                <w:lang w:val="fr-CA"/>
              </w:rPr>
              <w:t xml:space="preserve"> à une peine d’emprisonnement de six ans. La Cour d’appel a rejeté un appel de la déclaration de culpabilité et de la peine. </w:t>
            </w:r>
          </w:p>
        </w:tc>
      </w:tr>
      <w:tr w:rsidR="00862F9A" w:rsidRPr="00862F9A" w:rsidTr="00862F9A">
        <w:tc>
          <w:tcPr>
            <w:tcW w:w="5000" w:type="pct"/>
            <w:gridSpan w:val="4"/>
          </w:tcPr>
          <w:p w:rsidR="00862F9A" w:rsidRPr="00862F9A" w:rsidRDefault="00862F9A" w:rsidP="00862F9A">
            <w:pPr>
              <w:jc w:val="both"/>
              <w:rPr>
                <w:sz w:val="20"/>
                <w:lang w:val="fr-CA"/>
              </w:rPr>
            </w:pPr>
          </w:p>
        </w:tc>
      </w:tr>
      <w:tr w:rsidR="00862F9A" w:rsidRPr="00862F9A" w:rsidTr="00862F9A">
        <w:tc>
          <w:tcPr>
            <w:tcW w:w="2380" w:type="pct"/>
            <w:gridSpan w:val="2"/>
          </w:tcPr>
          <w:p w:rsidR="00862F9A" w:rsidRPr="00862F9A" w:rsidRDefault="00862F9A" w:rsidP="00862F9A">
            <w:pPr>
              <w:jc w:val="both"/>
              <w:rPr>
                <w:sz w:val="20"/>
                <w:lang w:val="fr-CA"/>
              </w:rPr>
            </w:pPr>
            <w:r w:rsidRPr="00862F9A">
              <w:rPr>
                <w:sz w:val="20"/>
                <w:lang w:val="fr-CA"/>
              </w:rPr>
              <w:t>25 janvier 2016</w:t>
            </w:r>
          </w:p>
          <w:p w:rsidR="00862F9A" w:rsidRPr="00862F9A" w:rsidRDefault="00862F9A" w:rsidP="00862F9A">
            <w:pPr>
              <w:jc w:val="both"/>
              <w:rPr>
                <w:sz w:val="20"/>
                <w:lang w:val="fr-CA"/>
              </w:rPr>
            </w:pPr>
            <w:r w:rsidRPr="00862F9A">
              <w:rPr>
                <w:sz w:val="20"/>
                <w:lang w:val="fr-CA"/>
              </w:rPr>
              <w:t>Cour supérieure de justice de l’Ontario</w:t>
            </w:r>
          </w:p>
          <w:p w:rsidR="00862F9A" w:rsidRPr="00862F9A" w:rsidRDefault="00862F9A" w:rsidP="00862F9A">
            <w:pPr>
              <w:spacing w:after="120"/>
              <w:jc w:val="both"/>
              <w:rPr>
                <w:sz w:val="20"/>
                <w:lang w:val="fr-CA"/>
              </w:rPr>
            </w:pPr>
            <w:r w:rsidRPr="00862F9A">
              <w:rPr>
                <w:sz w:val="20"/>
                <w:lang w:val="fr-CA"/>
              </w:rPr>
              <w:t xml:space="preserve">(Juge </w:t>
            </w:r>
            <w:proofErr w:type="spellStart"/>
            <w:r w:rsidRPr="00862F9A">
              <w:rPr>
                <w:sz w:val="20"/>
                <w:lang w:val="fr-CA"/>
              </w:rPr>
              <w:t>Then</w:t>
            </w:r>
            <w:proofErr w:type="spellEnd"/>
            <w:r w:rsidRPr="00862F9A">
              <w:rPr>
                <w:sz w:val="20"/>
                <w:lang w:val="fr-CA"/>
              </w:rPr>
              <w:t>)(Non publié)</w:t>
            </w:r>
          </w:p>
        </w:tc>
        <w:tc>
          <w:tcPr>
            <w:tcW w:w="238" w:type="pct"/>
          </w:tcPr>
          <w:p w:rsidR="00862F9A" w:rsidRPr="00862F9A" w:rsidRDefault="00862F9A" w:rsidP="00862F9A">
            <w:pPr>
              <w:jc w:val="both"/>
              <w:rPr>
                <w:sz w:val="20"/>
                <w:lang w:val="fr-CA"/>
              </w:rPr>
            </w:pPr>
          </w:p>
        </w:tc>
        <w:tc>
          <w:tcPr>
            <w:tcW w:w="2381" w:type="pct"/>
          </w:tcPr>
          <w:p w:rsidR="00862F9A" w:rsidRPr="00862F9A" w:rsidRDefault="00862F9A" w:rsidP="00862F9A">
            <w:pPr>
              <w:jc w:val="both"/>
              <w:rPr>
                <w:sz w:val="20"/>
                <w:lang w:val="fr-CA"/>
              </w:rPr>
            </w:pPr>
            <w:r w:rsidRPr="00862F9A">
              <w:rPr>
                <w:sz w:val="20"/>
                <w:lang w:val="fr-CA"/>
              </w:rPr>
              <w:t>Déclaration de culpabilité par un jury de tentative de meurtre; acquittement de meurtre au deuxième degré</w:t>
            </w:r>
          </w:p>
          <w:p w:rsidR="00862F9A" w:rsidRPr="00862F9A" w:rsidRDefault="00862F9A" w:rsidP="00862F9A">
            <w:pPr>
              <w:jc w:val="both"/>
              <w:rPr>
                <w:sz w:val="20"/>
                <w:lang w:val="fr-CA"/>
              </w:rPr>
            </w:pPr>
          </w:p>
        </w:tc>
      </w:tr>
      <w:tr w:rsidR="00862F9A" w:rsidRPr="00862F9A" w:rsidTr="00862F9A">
        <w:tc>
          <w:tcPr>
            <w:tcW w:w="2380" w:type="pct"/>
            <w:gridSpan w:val="2"/>
          </w:tcPr>
          <w:p w:rsidR="00862F9A" w:rsidRPr="00862F9A" w:rsidRDefault="00862F9A" w:rsidP="00862F9A">
            <w:pPr>
              <w:jc w:val="both"/>
              <w:rPr>
                <w:sz w:val="20"/>
                <w:lang w:val="fr-CA"/>
              </w:rPr>
            </w:pPr>
            <w:r w:rsidRPr="00862F9A">
              <w:rPr>
                <w:sz w:val="20"/>
                <w:lang w:val="fr-CA"/>
              </w:rPr>
              <w:t>28 juillet 2016</w:t>
            </w:r>
          </w:p>
          <w:p w:rsidR="00862F9A" w:rsidRPr="00862F9A" w:rsidRDefault="00862F9A" w:rsidP="00862F9A">
            <w:pPr>
              <w:jc w:val="both"/>
              <w:rPr>
                <w:sz w:val="20"/>
                <w:lang w:val="fr-CA"/>
              </w:rPr>
            </w:pPr>
            <w:r w:rsidRPr="00862F9A">
              <w:rPr>
                <w:sz w:val="20"/>
                <w:lang w:val="fr-CA"/>
              </w:rPr>
              <w:t>Cour supérieure de justice de l’Ontario</w:t>
            </w:r>
          </w:p>
          <w:p w:rsidR="00862F9A" w:rsidRPr="00862F9A" w:rsidRDefault="00862F9A" w:rsidP="00862F9A">
            <w:pPr>
              <w:jc w:val="both"/>
              <w:rPr>
                <w:sz w:val="20"/>
                <w:lang w:val="fr-CA"/>
              </w:rPr>
            </w:pPr>
            <w:r w:rsidRPr="00862F9A">
              <w:rPr>
                <w:sz w:val="20"/>
                <w:lang w:val="fr-CA"/>
              </w:rPr>
              <w:t xml:space="preserve">(Juge </w:t>
            </w:r>
            <w:proofErr w:type="spellStart"/>
            <w:r w:rsidRPr="00862F9A">
              <w:rPr>
                <w:sz w:val="20"/>
                <w:lang w:val="fr-CA"/>
              </w:rPr>
              <w:t>Then</w:t>
            </w:r>
            <w:proofErr w:type="spellEnd"/>
            <w:r w:rsidRPr="00862F9A">
              <w:rPr>
                <w:sz w:val="20"/>
                <w:lang w:val="fr-CA"/>
              </w:rPr>
              <w:t>)</w:t>
            </w:r>
          </w:p>
          <w:p w:rsidR="00862F9A" w:rsidRPr="00862F9A" w:rsidRDefault="00862F9A" w:rsidP="00862F9A">
            <w:pPr>
              <w:spacing w:after="120"/>
              <w:jc w:val="both"/>
              <w:rPr>
                <w:sz w:val="20"/>
                <w:lang w:val="fr-CA"/>
              </w:rPr>
            </w:pPr>
            <w:hyperlink r:id="rId23" w:history="1">
              <w:r w:rsidRPr="00862F9A">
                <w:rPr>
                  <w:rStyle w:val="Hyperlink"/>
                  <w:sz w:val="20"/>
                  <w:lang w:val="fr-CA"/>
                </w:rPr>
                <w:t>2016 ONSC 4896</w:t>
              </w:r>
            </w:hyperlink>
            <w:r w:rsidRPr="00862F9A">
              <w:rPr>
                <w:sz w:val="20"/>
                <w:lang w:val="fr-CA"/>
              </w:rPr>
              <w:t xml:space="preserve">, </w:t>
            </w:r>
            <w:hyperlink r:id="rId24" w:history="1">
              <w:r w:rsidRPr="00862F9A">
                <w:rPr>
                  <w:rStyle w:val="Hyperlink"/>
                  <w:sz w:val="20"/>
                  <w:lang w:val="fr-CA"/>
                </w:rPr>
                <w:t>2016 ONSC 4850</w:t>
              </w:r>
            </w:hyperlink>
          </w:p>
        </w:tc>
        <w:tc>
          <w:tcPr>
            <w:tcW w:w="238" w:type="pct"/>
          </w:tcPr>
          <w:p w:rsidR="00862F9A" w:rsidRPr="00862F9A" w:rsidRDefault="00862F9A" w:rsidP="00862F9A">
            <w:pPr>
              <w:jc w:val="both"/>
              <w:rPr>
                <w:sz w:val="20"/>
                <w:lang w:val="fr-CA"/>
              </w:rPr>
            </w:pPr>
          </w:p>
        </w:tc>
        <w:tc>
          <w:tcPr>
            <w:tcW w:w="2381" w:type="pct"/>
          </w:tcPr>
          <w:p w:rsidR="00862F9A" w:rsidRPr="00862F9A" w:rsidRDefault="00862F9A" w:rsidP="00862F9A">
            <w:pPr>
              <w:jc w:val="both"/>
              <w:rPr>
                <w:sz w:val="20"/>
                <w:lang w:val="fr-CA"/>
              </w:rPr>
            </w:pPr>
            <w:r w:rsidRPr="00862F9A">
              <w:rPr>
                <w:sz w:val="20"/>
                <w:lang w:val="fr-CA"/>
              </w:rPr>
              <w:t>Rejet de la contestation constitutionnelle de la peine minimale obligatoire et peine d’emprisonnement de six ans</w:t>
            </w:r>
          </w:p>
        </w:tc>
      </w:tr>
      <w:tr w:rsidR="00862F9A" w:rsidRPr="00862F9A" w:rsidTr="00862F9A">
        <w:tc>
          <w:tcPr>
            <w:tcW w:w="2380" w:type="pct"/>
            <w:gridSpan w:val="2"/>
          </w:tcPr>
          <w:p w:rsidR="00862F9A" w:rsidRPr="00862F9A" w:rsidRDefault="00862F9A" w:rsidP="00862F9A">
            <w:pPr>
              <w:jc w:val="both"/>
              <w:rPr>
                <w:sz w:val="20"/>
                <w:lang w:val="fr-CA"/>
              </w:rPr>
            </w:pPr>
            <w:r w:rsidRPr="00862F9A">
              <w:rPr>
                <w:sz w:val="20"/>
                <w:lang w:val="fr-CA"/>
              </w:rPr>
              <w:t>30 avril 2018</w:t>
            </w:r>
          </w:p>
          <w:p w:rsidR="00862F9A" w:rsidRPr="00862F9A" w:rsidRDefault="00862F9A" w:rsidP="00862F9A">
            <w:pPr>
              <w:jc w:val="both"/>
              <w:rPr>
                <w:sz w:val="20"/>
                <w:lang w:val="fr-CA"/>
              </w:rPr>
            </w:pPr>
            <w:r w:rsidRPr="00862F9A">
              <w:rPr>
                <w:sz w:val="20"/>
                <w:lang w:val="fr-CA"/>
              </w:rPr>
              <w:t>Cour d’appel de l’Ontario</w:t>
            </w:r>
          </w:p>
          <w:p w:rsidR="00862F9A" w:rsidRPr="00862F9A" w:rsidRDefault="00862F9A" w:rsidP="00862F9A">
            <w:pPr>
              <w:jc w:val="both"/>
              <w:rPr>
                <w:sz w:val="20"/>
                <w:lang w:val="fr-CA"/>
              </w:rPr>
            </w:pPr>
            <w:r w:rsidRPr="00862F9A">
              <w:rPr>
                <w:sz w:val="20"/>
                <w:lang w:val="fr-CA"/>
              </w:rPr>
              <w:t xml:space="preserve">(Juges </w:t>
            </w:r>
            <w:proofErr w:type="spellStart"/>
            <w:r w:rsidRPr="00862F9A">
              <w:rPr>
                <w:sz w:val="20"/>
                <w:lang w:val="fr-CA"/>
              </w:rPr>
              <w:t>Strathy</w:t>
            </w:r>
            <w:proofErr w:type="spellEnd"/>
            <w:r w:rsidRPr="00862F9A">
              <w:rPr>
                <w:sz w:val="20"/>
                <w:lang w:val="fr-CA"/>
              </w:rPr>
              <w:t>, Doherty et Trotter)</w:t>
            </w:r>
          </w:p>
          <w:p w:rsidR="00862F9A" w:rsidRPr="00862F9A" w:rsidRDefault="00862F9A" w:rsidP="00862F9A">
            <w:pPr>
              <w:spacing w:after="120"/>
              <w:jc w:val="both"/>
              <w:rPr>
                <w:sz w:val="20"/>
                <w:lang w:val="fr-CA"/>
              </w:rPr>
            </w:pPr>
            <w:r w:rsidRPr="00862F9A">
              <w:rPr>
                <w:sz w:val="20"/>
                <w:lang w:val="fr-CA"/>
              </w:rPr>
              <w:t xml:space="preserve">C62370; </w:t>
            </w:r>
            <w:hyperlink r:id="rId25" w:history="1">
              <w:r w:rsidRPr="00862F9A">
                <w:rPr>
                  <w:rStyle w:val="Hyperlink"/>
                  <w:sz w:val="20"/>
                  <w:lang w:val="fr-CA"/>
                </w:rPr>
                <w:t>2018 ONCA 402</w:t>
              </w:r>
            </w:hyperlink>
          </w:p>
        </w:tc>
        <w:tc>
          <w:tcPr>
            <w:tcW w:w="238" w:type="pct"/>
          </w:tcPr>
          <w:p w:rsidR="00862F9A" w:rsidRPr="00862F9A" w:rsidRDefault="00862F9A" w:rsidP="00862F9A">
            <w:pPr>
              <w:jc w:val="both"/>
              <w:rPr>
                <w:sz w:val="20"/>
                <w:lang w:val="fr-CA"/>
              </w:rPr>
            </w:pPr>
          </w:p>
        </w:tc>
        <w:tc>
          <w:tcPr>
            <w:tcW w:w="2381" w:type="pct"/>
          </w:tcPr>
          <w:p w:rsidR="00862F9A" w:rsidRPr="00862F9A" w:rsidRDefault="00862F9A" w:rsidP="00862F9A">
            <w:pPr>
              <w:jc w:val="both"/>
              <w:rPr>
                <w:sz w:val="20"/>
                <w:lang w:val="fr-CA"/>
              </w:rPr>
            </w:pPr>
            <w:r w:rsidRPr="00862F9A">
              <w:rPr>
                <w:sz w:val="20"/>
                <w:lang w:val="fr-CA"/>
              </w:rPr>
              <w:t>Rejet de l’appel de la déclaration de culpabilité et de la peine</w:t>
            </w:r>
          </w:p>
          <w:p w:rsidR="00862F9A" w:rsidRPr="00862F9A" w:rsidRDefault="00862F9A" w:rsidP="00862F9A">
            <w:pPr>
              <w:jc w:val="both"/>
              <w:rPr>
                <w:sz w:val="20"/>
                <w:lang w:val="fr-CA"/>
              </w:rPr>
            </w:pPr>
          </w:p>
        </w:tc>
      </w:tr>
      <w:tr w:rsidR="00862F9A" w:rsidRPr="00862F9A" w:rsidTr="00862F9A">
        <w:tc>
          <w:tcPr>
            <w:tcW w:w="2380" w:type="pct"/>
            <w:gridSpan w:val="2"/>
          </w:tcPr>
          <w:p w:rsidR="00862F9A" w:rsidRPr="00862F9A" w:rsidRDefault="00862F9A" w:rsidP="00862F9A">
            <w:pPr>
              <w:jc w:val="both"/>
              <w:rPr>
                <w:sz w:val="20"/>
                <w:lang w:val="fr-CA"/>
              </w:rPr>
            </w:pPr>
            <w:r w:rsidRPr="00862F9A">
              <w:rPr>
                <w:sz w:val="20"/>
                <w:lang w:val="fr-CA"/>
              </w:rPr>
              <w:t>27 juin 2018</w:t>
            </w:r>
          </w:p>
          <w:p w:rsidR="00862F9A" w:rsidRPr="00862F9A" w:rsidRDefault="00862F9A" w:rsidP="00862F9A">
            <w:pPr>
              <w:jc w:val="both"/>
              <w:rPr>
                <w:sz w:val="20"/>
                <w:lang w:val="fr-CA"/>
              </w:rPr>
            </w:pPr>
            <w:r w:rsidRPr="00862F9A">
              <w:rPr>
                <w:sz w:val="20"/>
                <w:lang w:val="fr-CA"/>
              </w:rPr>
              <w:t>Cour suprême du Canada</w:t>
            </w:r>
          </w:p>
        </w:tc>
        <w:tc>
          <w:tcPr>
            <w:tcW w:w="238" w:type="pct"/>
          </w:tcPr>
          <w:p w:rsidR="00862F9A" w:rsidRPr="00862F9A" w:rsidRDefault="00862F9A" w:rsidP="00862F9A">
            <w:pPr>
              <w:jc w:val="both"/>
              <w:rPr>
                <w:sz w:val="20"/>
                <w:lang w:val="fr-CA"/>
              </w:rPr>
            </w:pPr>
          </w:p>
        </w:tc>
        <w:tc>
          <w:tcPr>
            <w:tcW w:w="2381" w:type="pct"/>
          </w:tcPr>
          <w:p w:rsidR="00862F9A" w:rsidRPr="00862F9A" w:rsidRDefault="00862F9A" w:rsidP="00862F9A">
            <w:pPr>
              <w:jc w:val="both"/>
              <w:rPr>
                <w:sz w:val="20"/>
                <w:lang w:val="fr-CA"/>
              </w:rPr>
            </w:pPr>
            <w:r w:rsidRPr="00862F9A">
              <w:rPr>
                <w:sz w:val="20"/>
                <w:lang w:val="fr-CA"/>
              </w:rPr>
              <w:t>Dépôt de la demande d’autorisation d’appel</w:t>
            </w:r>
          </w:p>
          <w:p w:rsidR="00862F9A" w:rsidRPr="00862F9A" w:rsidRDefault="00862F9A" w:rsidP="00862F9A">
            <w:pPr>
              <w:jc w:val="both"/>
              <w:rPr>
                <w:sz w:val="20"/>
                <w:lang w:val="fr-CA"/>
              </w:rPr>
            </w:pPr>
          </w:p>
        </w:tc>
      </w:tr>
    </w:tbl>
    <w:p w:rsidR="00862F9A" w:rsidRPr="00862F9A" w:rsidRDefault="00862F9A" w:rsidP="00862F9A">
      <w:pPr>
        <w:jc w:val="both"/>
        <w:rPr>
          <w:sz w:val="20"/>
          <w:lang w:val="fr-CA"/>
        </w:rPr>
      </w:pPr>
    </w:p>
    <w:p w:rsidR="00F44D1D" w:rsidRPr="00862F9A" w:rsidRDefault="00F44D1D" w:rsidP="00862F9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2F9A" w:rsidRPr="00862F9A" w:rsidTr="007915CC">
        <w:tc>
          <w:tcPr>
            <w:tcW w:w="543" w:type="pct"/>
          </w:tcPr>
          <w:p w:rsidR="00862F9A" w:rsidRPr="00862F9A" w:rsidRDefault="00862F9A" w:rsidP="00862F9A">
            <w:pPr>
              <w:jc w:val="both"/>
              <w:rPr>
                <w:sz w:val="20"/>
              </w:rPr>
            </w:pPr>
            <w:r w:rsidRPr="00862F9A">
              <w:rPr>
                <w:rStyle w:val="SCCFileNumberChar"/>
                <w:sz w:val="20"/>
                <w:szCs w:val="20"/>
              </w:rPr>
              <w:t>38188</w:t>
            </w:r>
          </w:p>
        </w:tc>
        <w:tc>
          <w:tcPr>
            <w:tcW w:w="4457" w:type="pct"/>
            <w:gridSpan w:val="3"/>
          </w:tcPr>
          <w:p w:rsidR="00862F9A" w:rsidRPr="008B0713" w:rsidRDefault="00862F9A" w:rsidP="00862F9A">
            <w:pPr>
              <w:pStyle w:val="SCCLsocParty"/>
              <w:jc w:val="both"/>
              <w:rPr>
                <w:b/>
                <w:sz w:val="20"/>
                <w:szCs w:val="20"/>
                <w:lang w:val="en-US"/>
              </w:rPr>
            </w:pPr>
            <w:r w:rsidRPr="008B0713">
              <w:rPr>
                <w:b/>
                <w:sz w:val="20"/>
                <w:szCs w:val="20"/>
                <w:lang w:val="en-US"/>
              </w:rPr>
              <w:t>Mitra Javanmardi v. Her Majesty the Queen, Attorney General of Quebec</w:t>
            </w:r>
          </w:p>
          <w:p w:rsidR="00862F9A" w:rsidRPr="008B0713" w:rsidRDefault="00862F9A" w:rsidP="00862F9A">
            <w:pPr>
              <w:pStyle w:val="SCCLsocOtherPartySeparator"/>
              <w:rPr>
                <w:sz w:val="20"/>
                <w:szCs w:val="20"/>
              </w:rPr>
            </w:pPr>
            <w:r w:rsidRPr="008B0713">
              <w:rPr>
                <w:sz w:val="20"/>
                <w:szCs w:val="20"/>
              </w:rPr>
              <w:t>- and -</w:t>
            </w:r>
          </w:p>
          <w:p w:rsidR="00862F9A" w:rsidRPr="008B0713" w:rsidRDefault="00862F9A" w:rsidP="00862F9A">
            <w:pPr>
              <w:pStyle w:val="SCCLsocParty"/>
              <w:jc w:val="both"/>
              <w:rPr>
                <w:b/>
                <w:sz w:val="20"/>
                <w:szCs w:val="20"/>
                <w:lang w:val="en-US"/>
              </w:rPr>
            </w:pPr>
            <w:r w:rsidRPr="008B0713">
              <w:rPr>
                <w:b/>
                <w:sz w:val="20"/>
                <w:szCs w:val="20"/>
                <w:lang w:val="en-US"/>
              </w:rPr>
              <w:t>Attorney General of Canada</w:t>
            </w:r>
          </w:p>
          <w:p w:rsidR="00862F9A" w:rsidRPr="00862F9A" w:rsidRDefault="00862F9A" w:rsidP="00862F9A">
            <w:pPr>
              <w:jc w:val="both"/>
              <w:rPr>
                <w:sz w:val="20"/>
              </w:rPr>
            </w:pPr>
            <w:r w:rsidRPr="00862F9A">
              <w:rPr>
                <w:sz w:val="20"/>
              </w:rPr>
              <w:t>(Que.) (Criminal) (As of Right / By Leave)</w:t>
            </w:r>
          </w:p>
        </w:tc>
      </w:tr>
      <w:tr w:rsidR="00862F9A" w:rsidRPr="00862F9A" w:rsidTr="007915CC">
        <w:tc>
          <w:tcPr>
            <w:tcW w:w="5000" w:type="pct"/>
            <w:gridSpan w:val="4"/>
          </w:tcPr>
          <w:p w:rsidR="00862F9A" w:rsidRDefault="00862F9A" w:rsidP="00862F9A">
            <w:pPr>
              <w:jc w:val="both"/>
              <w:rPr>
                <w:sz w:val="20"/>
              </w:rPr>
            </w:pPr>
            <w:r w:rsidRPr="00862F9A">
              <w:rPr>
                <w:sz w:val="20"/>
              </w:rPr>
              <w:t>Criminal law – Manslaughter – Criminal negligence causing death – Naturopath charged with manslaughter in death of patient and with having by criminal negligence caused death to patient – Whether Court of Appeal erred in substituting its own assessment of evidence for that of trial judge – Whether Court of Appeal erred in concluding that trial judge had personalized modified objective standard – Whether Court of Appeal erred in holding that errors of law at issue had affected verdict – Whether Court of Appeal erred in holding that there was sufficient evidence to conclude that causal connection had been established.</w:t>
            </w:r>
          </w:p>
          <w:p w:rsidR="008B0713" w:rsidRPr="00862F9A" w:rsidRDefault="008B0713" w:rsidP="00862F9A">
            <w:pPr>
              <w:jc w:val="both"/>
              <w:rPr>
                <w:sz w:val="20"/>
              </w:rPr>
            </w:pPr>
          </w:p>
        </w:tc>
      </w:tr>
      <w:tr w:rsidR="00862F9A" w:rsidRPr="00862F9A" w:rsidTr="007915CC">
        <w:tc>
          <w:tcPr>
            <w:tcW w:w="5000" w:type="pct"/>
            <w:gridSpan w:val="4"/>
          </w:tcPr>
          <w:p w:rsidR="00862F9A" w:rsidRPr="00862F9A" w:rsidRDefault="00862F9A" w:rsidP="00862F9A">
            <w:pPr>
              <w:widowControl w:val="0"/>
              <w:jc w:val="both"/>
              <w:rPr>
                <w:sz w:val="20"/>
              </w:rPr>
            </w:pPr>
            <w:r w:rsidRPr="00862F9A">
              <w:rPr>
                <w:sz w:val="20"/>
              </w:rPr>
              <w:t>In June 2008, Roger Matern consulted the applicant, Mitra Javanmardi, a naturopath. Ms. Javanmardi administered an intravenous injection treatment. Mr. Matern died not long after the treatment. Ms. Javanmardi was charged, in connection with his death, with criminal negligence causing death and manslaughter.</w:t>
            </w:r>
          </w:p>
          <w:p w:rsidR="00862F9A" w:rsidRPr="00862F9A" w:rsidRDefault="00862F9A" w:rsidP="00862F9A">
            <w:pPr>
              <w:jc w:val="both"/>
              <w:rPr>
                <w:sz w:val="20"/>
              </w:rPr>
            </w:pPr>
          </w:p>
          <w:p w:rsidR="00862F9A" w:rsidRPr="00862F9A" w:rsidRDefault="00862F9A" w:rsidP="00862F9A">
            <w:pPr>
              <w:jc w:val="both"/>
              <w:rPr>
                <w:sz w:val="20"/>
              </w:rPr>
            </w:pPr>
            <w:r w:rsidRPr="00862F9A">
              <w:rPr>
                <w:sz w:val="20"/>
              </w:rPr>
              <w:lastRenderedPageBreak/>
              <w:t>The Court of Québec found on the basis of the evidence that the cause of Mr. Matern’s death was the injection administered by Ms. Javanmardi. But it acquitted her on both counts on the basis that, among other things, Ms. Javanmardi’s conduct had not involved a marked departure and her actions had not been objectively dangerous.</w:t>
            </w:r>
          </w:p>
          <w:p w:rsidR="00862F9A" w:rsidRPr="00862F9A" w:rsidRDefault="00862F9A" w:rsidP="00862F9A">
            <w:pPr>
              <w:jc w:val="both"/>
              <w:rPr>
                <w:sz w:val="20"/>
              </w:rPr>
            </w:pPr>
          </w:p>
          <w:p w:rsidR="00862F9A" w:rsidRPr="00862F9A" w:rsidRDefault="00862F9A" w:rsidP="00862F9A">
            <w:pPr>
              <w:jc w:val="both"/>
              <w:rPr>
                <w:sz w:val="20"/>
              </w:rPr>
            </w:pPr>
            <w:r w:rsidRPr="00862F9A">
              <w:rPr>
                <w:sz w:val="20"/>
              </w:rPr>
              <w:t>The Court of Appeal was of the opinion that errors of law had been made at trial. It found that all the essential elements of the offence of manslaughter had been established beyond a reasonable doubt and found Ms. Javanmardi guilty on that count. As for the count of criminal negligence, it found that a reassessment of the whole of the evidence was necessary and ordered a new trial for that purpose.</w:t>
            </w:r>
          </w:p>
        </w:tc>
      </w:tr>
      <w:tr w:rsidR="00862F9A" w:rsidRPr="00862F9A" w:rsidTr="007915CC">
        <w:tc>
          <w:tcPr>
            <w:tcW w:w="5000" w:type="pct"/>
            <w:gridSpan w:val="4"/>
          </w:tcPr>
          <w:p w:rsidR="00862F9A" w:rsidRPr="00862F9A" w:rsidRDefault="00862F9A" w:rsidP="00862F9A">
            <w:pPr>
              <w:jc w:val="both"/>
              <w:rPr>
                <w:sz w:val="20"/>
              </w:rPr>
            </w:pPr>
          </w:p>
        </w:tc>
      </w:tr>
      <w:tr w:rsidR="00862F9A" w:rsidRPr="00862F9A" w:rsidTr="007915CC">
        <w:tc>
          <w:tcPr>
            <w:tcW w:w="2427" w:type="pct"/>
            <w:gridSpan w:val="2"/>
          </w:tcPr>
          <w:p w:rsidR="00862F9A" w:rsidRPr="00862F9A" w:rsidRDefault="00862F9A" w:rsidP="00862F9A">
            <w:pPr>
              <w:jc w:val="both"/>
              <w:rPr>
                <w:sz w:val="20"/>
              </w:rPr>
            </w:pPr>
            <w:r w:rsidRPr="00862F9A">
              <w:rPr>
                <w:sz w:val="20"/>
              </w:rPr>
              <w:t>April 8, 2015</w:t>
            </w:r>
          </w:p>
          <w:p w:rsidR="00862F9A" w:rsidRPr="00862F9A" w:rsidRDefault="00862F9A" w:rsidP="00862F9A">
            <w:pPr>
              <w:jc w:val="both"/>
              <w:rPr>
                <w:sz w:val="20"/>
              </w:rPr>
            </w:pPr>
            <w:r w:rsidRPr="00862F9A">
              <w:rPr>
                <w:sz w:val="20"/>
              </w:rPr>
              <w:t>Court of Québec</w:t>
            </w:r>
          </w:p>
          <w:p w:rsidR="00862F9A" w:rsidRPr="00862F9A" w:rsidRDefault="00862F9A" w:rsidP="00862F9A">
            <w:pPr>
              <w:jc w:val="both"/>
              <w:rPr>
                <w:sz w:val="20"/>
              </w:rPr>
            </w:pPr>
            <w:r w:rsidRPr="00862F9A">
              <w:rPr>
                <w:sz w:val="20"/>
              </w:rPr>
              <w:t>(Judge Villemure)</w:t>
            </w:r>
          </w:p>
          <w:p w:rsidR="00862F9A" w:rsidRPr="00862F9A" w:rsidRDefault="00862F9A" w:rsidP="00862F9A">
            <w:pPr>
              <w:jc w:val="both"/>
              <w:rPr>
                <w:sz w:val="20"/>
              </w:rPr>
            </w:pPr>
            <w:r w:rsidRPr="00862F9A">
              <w:rPr>
                <w:sz w:val="20"/>
              </w:rPr>
              <w:t>500-01-013474-082</w:t>
            </w:r>
          </w:p>
          <w:p w:rsidR="00862F9A" w:rsidRPr="00862F9A" w:rsidRDefault="00862F9A"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 xml:space="preserve">Applicant acquitted on counts of manslaughter and criminal negligence causing death </w:t>
            </w:r>
          </w:p>
        </w:tc>
      </w:tr>
      <w:tr w:rsidR="00862F9A" w:rsidRPr="00862F9A" w:rsidTr="007915CC">
        <w:tc>
          <w:tcPr>
            <w:tcW w:w="2427" w:type="pct"/>
            <w:gridSpan w:val="2"/>
          </w:tcPr>
          <w:p w:rsidR="00862F9A" w:rsidRPr="00862F9A" w:rsidRDefault="00862F9A" w:rsidP="00862F9A">
            <w:pPr>
              <w:jc w:val="both"/>
              <w:rPr>
                <w:sz w:val="20"/>
              </w:rPr>
            </w:pPr>
            <w:r w:rsidRPr="00862F9A">
              <w:rPr>
                <w:sz w:val="20"/>
              </w:rPr>
              <w:t>May 31, 2018</w:t>
            </w:r>
          </w:p>
          <w:p w:rsidR="00862F9A" w:rsidRPr="00862F9A" w:rsidRDefault="00862F9A" w:rsidP="00862F9A">
            <w:pPr>
              <w:jc w:val="both"/>
              <w:rPr>
                <w:sz w:val="20"/>
              </w:rPr>
            </w:pPr>
            <w:r w:rsidRPr="00862F9A">
              <w:rPr>
                <w:sz w:val="20"/>
              </w:rPr>
              <w:t>Quebec Court of Appeal (Montréal)</w:t>
            </w:r>
          </w:p>
          <w:p w:rsidR="00862F9A" w:rsidRPr="00862F9A" w:rsidRDefault="00862F9A" w:rsidP="00862F9A">
            <w:pPr>
              <w:jc w:val="both"/>
              <w:rPr>
                <w:sz w:val="20"/>
              </w:rPr>
            </w:pPr>
            <w:r w:rsidRPr="00862F9A">
              <w:rPr>
                <w:sz w:val="20"/>
              </w:rPr>
              <w:t>(Hilton, Gagnon and Marcotte JJ.A.)</w:t>
            </w:r>
          </w:p>
          <w:p w:rsidR="00862F9A" w:rsidRPr="00862F9A" w:rsidRDefault="00862F9A" w:rsidP="00862F9A">
            <w:pPr>
              <w:jc w:val="both"/>
              <w:rPr>
                <w:sz w:val="20"/>
              </w:rPr>
            </w:pPr>
            <w:hyperlink r:id="rId26" w:history="1">
              <w:r w:rsidRPr="00862F9A">
                <w:rPr>
                  <w:rStyle w:val="Hyperlink"/>
                  <w:sz w:val="20"/>
                </w:rPr>
                <w:t>2018 QCCA 856</w:t>
              </w:r>
            </w:hyperlink>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 xml:space="preserve">Appeal allowed: applicant found guilty on manslaughter charge, and new trial ordered on criminal negligence charge </w:t>
            </w:r>
          </w:p>
          <w:p w:rsidR="00862F9A" w:rsidRPr="00862F9A" w:rsidRDefault="00862F9A" w:rsidP="00862F9A">
            <w:pPr>
              <w:jc w:val="both"/>
              <w:rPr>
                <w:sz w:val="20"/>
              </w:rPr>
            </w:pPr>
          </w:p>
          <w:p w:rsidR="00862F9A" w:rsidRPr="00862F9A" w:rsidRDefault="00862F9A" w:rsidP="00862F9A">
            <w:pPr>
              <w:jc w:val="both"/>
              <w:rPr>
                <w:sz w:val="20"/>
              </w:rPr>
            </w:pPr>
          </w:p>
        </w:tc>
      </w:tr>
      <w:tr w:rsidR="00862F9A" w:rsidRPr="00862F9A" w:rsidTr="007915CC">
        <w:tc>
          <w:tcPr>
            <w:tcW w:w="2427" w:type="pct"/>
            <w:gridSpan w:val="2"/>
          </w:tcPr>
          <w:p w:rsidR="00862F9A" w:rsidRPr="00862F9A" w:rsidRDefault="00862F9A" w:rsidP="00862F9A">
            <w:pPr>
              <w:jc w:val="both"/>
              <w:rPr>
                <w:sz w:val="20"/>
              </w:rPr>
            </w:pPr>
            <w:r w:rsidRPr="00862F9A">
              <w:rPr>
                <w:sz w:val="20"/>
              </w:rPr>
              <w:t>June 28, 2018</w:t>
            </w:r>
          </w:p>
          <w:p w:rsidR="00862F9A" w:rsidRPr="00862F9A" w:rsidRDefault="00862F9A" w:rsidP="00862F9A">
            <w:pPr>
              <w:jc w:val="both"/>
              <w:rPr>
                <w:sz w:val="20"/>
              </w:rPr>
            </w:pPr>
            <w:r w:rsidRPr="00862F9A">
              <w:rPr>
                <w:sz w:val="20"/>
              </w:rPr>
              <w:t>Supreme Court of Canada</w:t>
            </w:r>
          </w:p>
          <w:p w:rsidR="00862F9A" w:rsidRPr="00862F9A" w:rsidRDefault="00862F9A" w:rsidP="00862F9A">
            <w:pPr>
              <w:jc w:val="both"/>
              <w:rPr>
                <w:sz w:val="20"/>
              </w:rPr>
            </w:pP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 xml:space="preserve">Notice of appeal filed under s. 691(2)(b) of </w:t>
            </w:r>
            <w:r w:rsidRPr="00862F9A">
              <w:rPr>
                <w:i/>
                <w:sz w:val="20"/>
              </w:rPr>
              <w:t xml:space="preserve">Criminal Code </w:t>
            </w:r>
          </w:p>
        </w:tc>
      </w:tr>
      <w:tr w:rsidR="00862F9A" w:rsidRPr="00862F9A" w:rsidTr="007915CC">
        <w:tc>
          <w:tcPr>
            <w:tcW w:w="2427" w:type="pct"/>
            <w:gridSpan w:val="2"/>
          </w:tcPr>
          <w:p w:rsidR="00862F9A" w:rsidRPr="00862F9A" w:rsidRDefault="00862F9A" w:rsidP="00862F9A">
            <w:pPr>
              <w:jc w:val="both"/>
              <w:rPr>
                <w:sz w:val="20"/>
              </w:rPr>
            </w:pPr>
            <w:r w:rsidRPr="00862F9A">
              <w:rPr>
                <w:sz w:val="20"/>
              </w:rPr>
              <w:t>August 28, 2018</w:t>
            </w:r>
          </w:p>
          <w:p w:rsidR="00862F9A" w:rsidRPr="00862F9A" w:rsidRDefault="00862F9A" w:rsidP="00862F9A">
            <w:pPr>
              <w:jc w:val="both"/>
              <w:rPr>
                <w:sz w:val="20"/>
              </w:rPr>
            </w:pPr>
            <w:r w:rsidRPr="00862F9A">
              <w:rPr>
                <w:sz w:val="20"/>
              </w:rPr>
              <w:t>Supreme Court of Canada</w:t>
            </w:r>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rPr>
            </w:pPr>
            <w:r w:rsidRPr="00862F9A">
              <w:rPr>
                <w:sz w:val="20"/>
              </w:rPr>
              <w:t xml:space="preserve">Application for leave to appeal filed under s. 691(2)(c) of </w:t>
            </w:r>
            <w:r w:rsidRPr="00862F9A">
              <w:rPr>
                <w:i/>
                <w:sz w:val="20"/>
              </w:rPr>
              <w:t>Criminal Code</w:t>
            </w:r>
          </w:p>
        </w:tc>
      </w:tr>
    </w:tbl>
    <w:p w:rsidR="00862F9A" w:rsidRPr="00862F9A" w:rsidRDefault="00862F9A" w:rsidP="00862F9A">
      <w:pPr>
        <w:jc w:val="both"/>
        <w:rPr>
          <w:sz w:val="20"/>
        </w:rPr>
      </w:pPr>
    </w:p>
    <w:p w:rsidR="00862F9A" w:rsidRPr="00862F9A" w:rsidRDefault="00862F9A" w:rsidP="00862F9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2F9A" w:rsidRPr="00862F9A" w:rsidTr="007915CC">
        <w:tc>
          <w:tcPr>
            <w:tcW w:w="543" w:type="pct"/>
          </w:tcPr>
          <w:p w:rsidR="00862F9A" w:rsidRPr="00862F9A" w:rsidRDefault="00862F9A" w:rsidP="00862F9A">
            <w:pPr>
              <w:jc w:val="both"/>
              <w:rPr>
                <w:sz w:val="20"/>
              </w:rPr>
            </w:pPr>
            <w:r w:rsidRPr="00862F9A">
              <w:rPr>
                <w:rStyle w:val="SCCFileNumberChar"/>
                <w:sz w:val="20"/>
                <w:szCs w:val="20"/>
              </w:rPr>
              <w:t>38188</w:t>
            </w:r>
          </w:p>
        </w:tc>
        <w:tc>
          <w:tcPr>
            <w:tcW w:w="4457" w:type="pct"/>
            <w:gridSpan w:val="3"/>
          </w:tcPr>
          <w:p w:rsidR="00862F9A" w:rsidRPr="008B0713" w:rsidRDefault="00862F9A" w:rsidP="00862F9A">
            <w:pPr>
              <w:pStyle w:val="SCCLsocParty"/>
              <w:jc w:val="both"/>
              <w:rPr>
                <w:b/>
                <w:sz w:val="20"/>
                <w:szCs w:val="20"/>
              </w:rPr>
            </w:pPr>
            <w:r w:rsidRPr="008B0713">
              <w:rPr>
                <w:b/>
                <w:sz w:val="20"/>
                <w:szCs w:val="20"/>
              </w:rPr>
              <w:t>Mitra Javanmardi c. Sa Majesté la Reine, Procureure générale du Québec</w:t>
            </w:r>
          </w:p>
          <w:p w:rsidR="00862F9A" w:rsidRPr="008B0713" w:rsidRDefault="00862F9A" w:rsidP="00862F9A">
            <w:pPr>
              <w:pStyle w:val="SCCLsocOtherPartySeparator"/>
              <w:rPr>
                <w:sz w:val="20"/>
                <w:szCs w:val="20"/>
                <w:lang w:val="fr-CA"/>
              </w:rPr>
            </w:pPr>
            <w:r w:rsidRPr="008B0713">
              <w:rPr>
                <w:sz w:val="20"/>
                <w:szCs w:val="20"/>
                <w:lang w:val="fr-CA"/>
              </w:rPr>
              <w:t>- et -</w:t>
            </w:r>
          </w:p>
          <w:p w:rsidR="00862F9A" w:rsidRPr="008B0713" w:rsidRDefault="00862F9A" w:rsidP="00862F9A">
            <w:pPr>
              <w:pStyle w:val="SCCLsocParty"/>
              <w:jc w:val="both"/>
              <w:rPr>
                <w:b/>
                <w:sz w:val="20"/>
                <w:szCs w:val="20"/>
              </w:rPr>
            </w:pPr>
            <w:r w:rsidRPr="008B0713">
              <w:rPr>
                <w:b/>
                <w:sz w:val="20"/>
                <w:szCs w:val="20"/>
              </w:rPr>
              <w:t>Procureur général du Canada</w:t>
            </w:r>
          </w:p>
          <w:p w:rsidR="00862F9A" w:rsidRPr="00862F9A" w:rsidRDefault="00862F9A" w:rsidP="00862F9A">
            <w:pPr>
              <w:jc w:val="both"/>
              <w:rPr>
                <w:sz w:val="20"/>
                <w:lang w:val="fr-CA"/>
              </w:rPr>
            </w:pPr>
            <w:r w:rsidRPr="00862F9A">
              <w:rPr>
                <w:sz w:val="20"/>
                <w:lang w:val="fr-CA"/>
              </w:rPr>
              <w:t>(Qc) (Criminelle) (De plein droit / Autorisation)</w:t>
            </w:r>
          </w:p>
        </w:tc>
      </w:tr>
      <w:tr w:rsidR="00862F9A" w:rsidRPr="00862F9A" w:rsidTr="007915CC">
        <w:tc>
          <w:tcPr>
            <w:tcW w:w="5000" w:type="pct"/>
            <w:gridSpan w:val="4"/>
          </w:tcPr>
          <w:p w:rsidR="00862F9A" w:rsidRDefault="00862F9A" w:rsidP="00862F9A">
            <w:pPr>
              <w:jc w:val="both"/>
              <w:rPr>
                <w:sz w:val="20"/>
                <w:lang w:val="fr-CA"/>
              </w:rPr>
            </w:pPr>
            <w:r w:rsidRPr="00862F9A">
              <w:rPr>
                <w:sz w:val="20"/>
                <w:lang w:val="fr-CA"/>
              </w:rPr>
              <w:t xml:space="preserve">Droit criminel – Homicide involontaire coupable – Négligence criminelle causant la mort – Naturopathe accusée de l’homicide involontaire d’un patient et d’avoir, par négligence criminelle, causé la mort de ce dernier – La Cour d’appel a-t-elle erré en substituant sa propre évaluation de la preuve à celle de la juge du procès? – La Cour d’appel a-t-elle erré en concluant que la juge du procès a personnalisé le critère objectif modifié? – La Cour d’appel a-t-elle erré en concluant que les erreurs de droit constatées avaient affecté le verdict? – La Cour d’appel a-t-elle erré en concluant qu’une preuve suffisante existait pour conclure que le lien de causalité avait été établi? </w:t>
            </w:r>
          </w:p>
          <w:p w:rsidR="008B0713" w:rsidRPr="00862F9A" w:rsidRDefault="008B0713" w:rsidP="00862F9A">
            <w:pPr>
              <w:jc w:val="both"/>
              <w:rPr>
                <w:sz w:val="20"/>
                <w:lang w:val="fr-CA"/>
              </w:rPr>
            </w:pPr>
          </w:p>
        </w:tc>
      </w:tr>
      <w:tr w:rsidR="00862F9A" w:rsidRPr="00862F9A" w:rsidTr="007915CC">
        <w:tc>
          <w:tcPr>
            <w:tcW w:w="5000" w:type="pct"/>
            <w:gridSpan w:val="4"/>
          </w:tcPr>
          <w:p w:rsidR="00862F9A" w:rsidRPr="00862F9A" w:rsidRDefault="00862F9A" w:rsidP="00862F9A">
            <w:pPr>
              <w:widowControl w:val="0"/>
              <w:jc w:val="both"/>
              <w:rPr>
                <w:sz w:val="20"/>
                <w:lang w:val="fr-CA"/>
              </w:rPr>
            </w:pPr>
            <w:bookmarkStart w:id="0" w:name="_GoBack"/>
            <w:bookmarkEnd w:id="0"/>
            <w:r w:rsidRPr="00862F9A">
              <w:rPr>
                <w:sz w:val="20"/>
                <w:lang w:val="fr-CA"/>
              </w:rPr>
              <w:t xml:space="preserve">En juin 2008, M. Roger </w:t>
            </w:r>
            <w:proofErr w:type="spellStart"/>
            <w:r w:rsidRPr="00862F9A">
              <w:rPr>
                <w:sz w:val="20"/>
                <w:lang w:val="fr-CA"/>
              </w:rPr>
              <w:t>Matern</w:t>
            </w:r>
            <w:proofErr w:type="spellEnd"/>
            <w:r w:rsidRPr="00862F9A">
              <w:rPr>
                <w:sz w:val="20"/>
                <w:lang w:val="fr-CA"/>
              </w:rPr>
              <w:t xml:space="preserve"> consulte la demanderesse, Mme Mitra Javanmardi, naturopathe. Cette dernière lui administre un traitement par intraveineuse. Peu après le traitement, M. </w:t>
            </w:r>
            <w:proofErr w:type="spellStart"/>
            <w:r w:rsidRPr="00862F9A">
              <w:rPr>
                <w:sz w:val="20"/>
                <w:lang w:val="fr-CA"/>
              </w:rPr>
              <w:t>Matern</w:t>
            </w:r>
            <w:proofErr w:type="spellEnd"/>
            <w:r w:rsidRPr="00862F9A">
              <w:rPr>
                <w:sz w:val="20"/>
                <w:lang w:val="fr-CA"/>
              </w:rPr>
              <w:t xml:space="preserve"> décède. Mme Javanmardi est accusée, en lien avec ce décès, de négligence criminelle ayant causé la mort et d’homicide involontaire coupable.</w:t>
            </w:r>
          </w:p>
          <w:p w:rsidR="00862F9A" w:rsidRPr="00862F9A" w:rsidRDefault="00862F9A" w:rsidP="00862F9A">
            <w:pPr>
              <w:jc w:val="both"/>
              <w:rPr>
                <w:sz w:val="20"/>
                <w:lang w:val="fr-CA"/>
              </w:rPr>
            </w:pPr>
          </w:p>
          <w:p w:rsidR="00862F9A" w:rsidRPr="00862F9A" w:rsidRDefault="00862F9A" w:rsidP="00862F9A">
            <w:pPr>
              <w:jc w:val="both"/>
              <w:rPr>
                <w:sz w:val="20"/>
                <w:lang w:val="fr-CA"/>
              </w:rPr>
            </w:pPr>
            <w:r w:rsidRPr="00862F9A">
              <w:rPr>
                <w:sz w:val="20"/>
                <w:lang w:val="fr-CA"/>
              </w:rPr>
              <w:t>La Cour du Québec conclut de la preuve que la cause du décès de M. </w:t>
            </w:r>
            <w:proofErr w:type="spellStart"/>
            <w:r w:rsidRPr="00862F9A">
              <w:rPr>
                <w:sz w:val="20"/>
                <w:lang w:val="fr-CA"/>
              </w:rPr>
              <w:t>Matern</w:t>
            </w:r>
            <w:proofErr w:type="spellEnd"/>
            <w:r w:rsidRPr="00862F9A">
              <w:rPr>
                <w:sz w:val="20"/>
                <w:lang w:val="fr-CA"/>
              </w:rPr>
              <w:t xml:space="preserve"> est l’injection administrée par Mme Javanmardi. Elle acquitte par ailleurs cette dernière des deux chefs d’accusation car elle estime entres-autres que la conduite de Mme Javanmardi ne révèle pas un écart marqué de comportement et que les actes posés par Mme Javanmardi n’étaient pas objectivement dangereux.</w:t>
            </w:r>
          </w:p>
          <w:p w:rsidR="00862F9A" w:rsidRPr="00862F9A" w:rsidRDefault="00862F9A" w:rsidP="00862F9A">
            <w:pPr>
              <w:jc w:val="both"/>
              <w:rPr>
                <w:sz w:val="20"/>
                <w:lang w:val="fr-CA"/>
              </w:rPr>
            </w:pPr>
          </w:p>
          <w:p w:rsidR="00862F9A" w:rsidRPr="00862F9A" w:rsidRDefault="00862F9A" w:rsidP="00862F9A">
            <w:pPr>
              <w:jc w:val="both"/>
              <w:rPr>
                <w:sz w:val="20"/>
                <w:lang w:val="fr-CA"/>
              </w:rPr>
            </w:pPr>
            <w:r w:rsidRPr="00862F9A">
              <w:rPr>
                <w:sz w:val="20"/>
                <w:lang w:val="fr-CA"/>
              </w:rPr>
              <w:t>La Cour d’appel est d’avis que des erreurs de droit ont été commises en première instance. Elle estime que tous les éléments essentiels de l’infraction d’homicide involontaire coupable ont été établis hors de tout doute raisonnable, et déclare Mme Javanmardi coupable à l’égard de ce chef. Pour ce qui est du chef de négligence criminelle, elle estime qu’une nouvelle évaluation globale de la preuve s’impose et ordonne un nouveau procès à cette fin.</w:t>
            </w:r>
          </w:p>
        </w:tc>
      </w:tr>
      <w:tr w:rsidR="00862F9A" w:rsidRPr="00862F9A" w:rsidTr="007915CC">
        <w:tc>
          <w:tcPr>
            <w:tcW w:w="5000" w:type="pct"/>
            <w:gridSpan w:val="4"/>
          </w:tcPr>
          <w:p w:rsidR="00862F9A" w:rsidRPr="00862F9A" w:rsidRDefault="00862F9A" w:rsidP="00862F9A">
            <w:pPr>
              <w:jc w:val="both"/>
              <w:rPr>
                <w:sz w:val="20"/>
                <w:lang w:val="fr-CA"/>
              </w:rPr>
            </w:pPr>
          </w:p>
        </w:tc>
      </w:tr>
      <w:tr w:rsidR="00862F9A" w:rsidRPr="00862F9A" w:rsidTr="007915CC">
        <w:tc>
          <w:tcPr>
            <w:tcW w:w="2427" w:type="pct"/>
            <w:gridSpan w:val="2"/>
          </w:tcPr>
          <w:p w:rsidR="00862F9A" w:rsidRPr="00862F9A" w:rsidRDefault="00862F9A" w:rsidP="00862F9A">
            <w:pPr>
              <w:jc w:val="both"/>
              <w:rPr>
                <w:sz w:val="20"/>
                <w:lang w:val="fr-CA"/>
              </w:rPr>
            </w:pPr>
            <w:r w:rsidRPr="00862F9A">
              <w:rPr>
                <w:sz w:val="20"/>
                <w:lang w:val="fr-CA"/>
              </w:rPr>
              <w:lastRenderedPageBreak/>
              <w:t>Le 8 avril 2015</w:t>
            </w:r>
          </w:p>
          <w:p w:rsidR="00862F9A" w:rsidRPr="00862F9A" w:rsidRDefault="00862F9A" w:rsidP="00862F9A">
            <w:pPr>
              <w:jc w:val="both"/>
              <w:rPr>
                <w:sz w:val="20"/>
                <w:lang w:val="fr-CA"/>
              </w:rPr>
            </w:pPr>
            <w:r w:rsidRPr="00862F9A">
              <w:rPr>
                <w:sz w:val="20"/>
                <w:lang w:val="fr-CA"/>
              </w:rPr>
              <w:t>Cour du Québec</w:t>
            </w:r>
          </w:p>
          <w:p w:rsidR="00862F9A" w:rsidRPr="00862F9A" w:rsidRDefault="00862F9A" w:rsidP="00862F9A">
            <w:pPr>
              <w:jc w:val="both"/>
              <w:rPr>
                <w:sz w:val="20"/>
                <w:lang w:val="fr-CA"/>
              </w:rPr>
            </w:pPr>
            <w:r w:rsidRPr="00862F9A">
              <w:rPr>
                <w:sz w:val="20"/>
                <w:lang w:val="fr-CA"/>
              </w:rPr>
              <w:t xml:space="preserve">(la juge </w:t>
            </w:r>
            <w:proofErr w:type="spellStart"/>
            <w:r w:rsidRPr="00862F9A">
              <w:rPr>
                <w:sz w:val="20"/>
                <w:lang w:val="fr-CA"/>
              </w:rPr>
              <w:t>Villemure</w:t>
            </w:r>
            <w:proofErr w:type="spellEnd"/>
            <w:r w:rsidRPr="00862F9A">
              <w:rPr>
                <w:sz w:val="20"/>
                <w:lang w:val="fr-CA"/>
              </w:rPr>
              <w:t>)</w:t>
            </w:r>
          </w:p>
          <w:p w:rsidR="00862F9A" w:rsidRPr="00862F9A" w:rsidRDefault="00862F9A" w:rsidP="00862F9A">
            <w:pPr>
              <w:jc w:val="both"/>
              <w:rPr>
                <w:sz w:val="20"/>
              </w:rPr>
            </w:pPr>
            <w:r w:rsidRPr="00862F9A">
              <w:rPr>
                <w:sz w:val="20"/>
              </w:rPr>
              <w:t>500-01-013474-082</w:t>
            </w:r>
          </w:p>
          <w:p w:rsidR="00862F9A" w:rsidRPr="00862F9A" w:rsidRDefault="00862F9A" w:rsidP="00862F9A">
            <w:pPr>
              <w:jc w:val="both"/>
              <w:rPr>
                <w:sz w:val="20"/>
                <w:lang w:val="fr-CA"/>
              </w:rPr>
            </w:pP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 xml:space="preserve">Demanderesse acquittée des chefs d’accusation d’homicide involontaire coupable et de négligence criminelle causant la mort </w:t>
            </w:r>
          </w:p>
        </w:tc>
      </w:tr>
      <w:tr w:rsidR="00862F9A" w:rsidRPr="00862F9A" w:rsidTr="007915CC">
        <w:tc>
          <w:tcPr>
            <w:tcW w:w="2427" w:type="pct"/>
            <w:gridSpan w:val="2"/>
          </w:tcPr>
          <w:p w:rsidR="00862F9A" w:rsidRPr="00862F9A" w:rsidRDefault="00862F9A" w:rsidP="00862F9A">
            <w:pPr>
              <w:jc w:val="both"/>
              <w:rPr>
                <w:sz w:val="20"/>
                <w:lang w:val="fr-CA"/>
              </w:rPr>
            </w:pPr>
            <w:r w:rsidRPr="00862F9A">
              <w:rPr>
                <w:sz w:val="20"/>
                <w:lang w:val="fr-CA"/>
              </w:rPr>
              <w:t>Le 31 mai 2018</w:t>
            </w:r>
          </w:p>
          <w:p w:rsidR="00862F9A" w:rsidRPr="00862F9A" w:rsidRDefault="00862F9A" w:rsidP="00862F9A">
            <w:pPr>
              <w:jc w:val="both"/>
              <w:rPr>
                <w:sz w:val="20"/>
                <w:lang w:val="fr-CA"/>
              </w:rPr>
            </w:pPr>
            <w:r w:rsidRPr="00862F9A">
              <w:rPr>
                <w:sz w:val="20"/>
                <w:lang w:val="fr-CA"/>
              </w:rPr>
              <w:t>Cour d’appel du Québec (Montréal)</w:t>
            </w:r>
          </w:p>
          <w:p w:rsidR="00862F9A" w:rsidRPr="00862F9A" w:rsidRDefault="00862F9A" w:rsidP="00862F9A">
            <w:pPr>
              <w:jc w:val="both"/>
              <w:rPr>
                <w:sz w:val="20"/>
                <w:lang w:val="fr-CA"/>
              </w:rPr>
            </w:pPr>
            <w:r w:rsidRPr="00862F9A">
              <w:rPr>
                <w:sz w:val="20"/>
                <w:lang w:val="fr-CA"/>
              </w:rPr>
              <w:t>(les juges Hilton, Gagnon et Marcotte)</w:t>
            </w:r>
          </w:p>
          <w:p w:rsidR="00862F9A" w:rsidRPr="00862F9A" w:rsidRDefault="00862F9A" w:rsidP="00862F9A">
            <w:pPr>
              <w:jc w:val="both"/>
              <w:rPr>
                <w:sz w:val="20"/>
              </w:rPr>
            </w:pPr>
            <w:hyperlink r:id="rId27" w:history="1">
              <w:r w:rsidRPr="00862F9A">
                <w:rPr>
                  <w:rStyle w:val="Hyperlink"/>
                  <w:sz w:val="20"/>
                </w:rPr>
                <w:t>2018 QCCA 856</w:t>
              </w:r>
            </w:hyperlink>
          </w:p>
        </w:tc>
        <w:tc>
          <w:tcPr>
            <w:tcW w:w="243" w:type="pct"/>
          </w:tcPr>
          <w:p w:rsidR="00862F9A" w:rsidRPr="00862F9A" w:rsidRDefault="00862F9A" w:rsidP="00862F9A">
            <w:pPr>
              <w:jc w:val="both"/>
              <w:rPr>
                <w:sz w:val="20"/>
              </w:rPr>
            </w:pPr>
          </w:p>
        </w:tc>
        <w:tc>
          <w:tcPr>
            <w:tcW w:w="2330" w:type="pct"/>
          </w:tcPr>
          <w:p w:rsidR="00862F9A" w:rsidRPr="00862F9A" w:rsidRDefault="00862F9A" w:rsidP="00862F9A">
            <w:pPr>
              <w:jc w:val="both"/>
              <w:rPr>
                <w:sz w:val="20"/>
                <w:lang w:val="fr-CA"/>
              </w:rPr>
            </w:pPr>
            <w:r w:rsidRPr="00862F9A">
              <w:rPr>
                <w:sz w:val="20"/>
                <w:lang w:val="fr-CA"/>
              </w:rPr>
              <w:t>Appel accueilli: déclaration de culpabilité à l’accusation d’homicide involontaire coupable et nouveau procès ordonné quant à l’accusation de négligence criminelle</w:t>
            </w:r>
          </w:p>
          <w:p w:rsidR="00862F9A" w:rsidRPr="00862F9A" w:rsidRDefault="00862F9A" w:rsidP="00862F9A">
            <w:pPr>
              <w:jc w:val="both"/>
              <w:rPr>
                <w:sz w:val="20"/>
                <w:lang w:val="fr-CA"/>
              </w:rPr>
            </w:pPr>
          </w:p>
        </w:tc>
      </w:tr>
      <w:tr w:rsidR="00862F9A" w:rsidRPr="00862F9A" w:rsidTr="007915CC">
        <w:tc>
          <w:tcPr>
            <w:tcW w:w="2427" w:type="pct"/>
            <w:gridSpan w:val="2"/>
          </w:tcPr>
          <w:p w:rsidR="00862F9A" w:rsidRPr="00862F9A" w:rsidRDefault="00862F9A" w:rsidP="00862F9A">
            <w:pPr>
              <w:jc w:val="both"/>
              <w:rPr>
                <w:sz w:val="20"/>
                <w:lang w:val="fr-CA"/>
              </w:rPr>
            </w:pPr>
            <w:r w:rsidRPr="00862F9A">
              <w:rPr>
                <w:sz w:val="20"/>
                <w:lang w:val="fr-CA"/>
              </w:rPr>
              <w:t>Le 28 juin 2018</w:t>
            </w:r>
          </w:p>
          <w:p w:rsidR="00862F9A" w:rsidRPr="00862F9A" w:rsidRDefault="00862F9A" w:rsidP="00862F9A">
            <w:pPr>
              <w:jc w:val="both"/>
              <w:rPr>
                <w:sz w:val="20"/>
                <w:lang w:val="fr-CA"/>
              </w:rPr>
            </w:pPr>
            <w:r w:rsidRPr="00862F9A">
              <w:rPr>
                <w:sz w:val="20"/>
                <w:lang w:val="fr-CA"/>
              </w:rPr>
              <w:t>Cour suprême du Canada</w:t>
            </w:r>
          </w:p>
          <w:p w:rsidR="00862F9A" w:rsidRPr="00862F9A" w:rsidRDefault="00862F9A" w:rsidP="00862F9A">
            <w:pPr>
              <w:jc w:val="both"/>
              <w:rPr>
                <w:sz w:val="20"/>
                <w:lang w:val="fr-CA"/>
              </w:rPr>
            </w:pP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 xml:space="preserve">Avis d’appel déposé sous l’al. 691(2)b) du </w:t>
            </w:r>
            <w:r w:rsidRPr="00862F9A">
              <w:rPr>
                <w:i/>
                <w:sz w:val="20"/>
                <w:lang w:val="fr-CA"/>
              </w:rPr>
              <w:t xml:space="preserve">Code criminel </w:t>
            </w:r>
          </w:p>
        </w:tc>
      </w:tr>
      <w:tr w:rsidR="00862F9A" w:rsidRPr="00862F9A" w:rsidTr="007915CC">
        <w:tc>
          <w:tcPr>
            <w:tcW w:w="2427" w:type="pct"/>
            <w:gridSpan w:val="2"/>
          </w:tcPr>
          <w:p w:rsidR="00862F9A" w:rsidRPr="00862F9A" w:rsidRDefault="00862F9A" w:rsidP="00862F9A">
            <w:pPr>
              <w:jc w:val="both"/>
              <w:rPr>
                <w:sz w:val="20"/>
                <w:lang w:val="fr-CA"/>
              </w:rPr>
            </w:pPr>
            <w:r w:rsidRPr="00862F9A">
              <w:rPr>
                <w:sz w:val="20"/>
                <w:lang w:val="fr-CA"/>
              </w:rPr>
              <w:t>Le 28 août 2018</w:t>
            </w:r>
          </w:p>
          <w:p w:rsidR="00862F9A" w:rsidRPr="00862F9A" w:rsidRDefault="00862F9A" w:rsidP="00862F9A">
            <w:pPr>
              <w:jc w:val="both"/>
              <w:rPr>
                <w:sz w:val="20"/>
                <w:lang w:val="fr-CA"/>
              </w:rPr>
            </w:pPr>
            <w:r w:rsidRPr="00862F9A">
              <w:rPr>
                <w:sz w:val="20"/>
                <w:lang w:val="fr-CA"/>
              </w:rPr>
              <w:t>Cour suprême du Canada</w:t>
            </w:r>
          </w:p>
        </w:tc>
        <w:tc>
          <w:tcPr>
            <w:tcW w:w="243" w:type="pct"/>
          </w:tcPr>
          <w:p w:rsidR="00862F9A" w:rsidRPr="00862F9A" w:rsidRDefault="00862F9A" w:rsidP="00862F9A">
            <w:pPr>
              <w:jc w:val="both"/>
              <w:rPr>
                <w:sz w:val="20"/>
                <w:lang w:val="fr-CA"/>
              </w:rPr>
            </w:pPr>
          </w:p>
        </w:tc>
        <w:tc>
          <w:tcPr>
            <w:tcW w:w="2330" w:type="pct"/>
          </w:tcPr>
          <w:p w:rsidR="00862F9A" w:rsidRPr="00862F9A" w:rsidRDefault="00862F9A" w:rsidP="00862F9A">
            <w:pPr>
              <w:jc w:val="both"/>
              <w:rPr>
                <w:sz w:val="20"/>
                <w:lang w:val="fr-CA"/>
              </w:rPr>
            </w:pPr>
            <w:r w:rsidRPr="00862F9A">
              <w:rPr>
                <w:sz w:val="20"/>
                <w:lang w:val="fr-CA"/>
              </w:rPr>
              <w:t xml:space="preserve">Demande d’autorisation d’appel déposée sous l’al. 691(2)c) du </w:t>
            </w:r>
            <w:r w:rsidRPr="00862F9A">
              <w:rPr>
                <w:i/>
                <w:sz w:val="20"/>
                <w:lang w:val="fr-CA"/>
              </w:rPr>
              <w:t>Code criminel</w:t>
            </w:r>
          </w:p>
        </w:tc>
      </w:tr>
    </w:tbl>
    <w:p w:rsidR="00F44D1D" w:rsidRPr="00862F9A" w:rsidRDefault="00F44D1D" w:rsidP="006A22CA">
      <w:pPr>
        <w:ind w:left="142" w:hanging="142"/>
        <w:jc w:val="both"/>
        <w:rPr>
          <w:sz w:val="20"/>
          <w:lang w:val="fr-CA"/>
        </w:rPr>
      </w:pPr>
    </w:p>
    <w:p w:rsidR="00F44D1D" w:rsidRPr="00862F9A" w:rsidRDefault="00F44D1D" w:rsidP="006A22CA">
      <w:pPr>
        <w:ind w:left="142" w:hanging="142"/>
        <w:jc w:val="both"/>
        <w:rPr>
          <w:sz w:val="20"/>
          <w:lang w:val="fr-CA"/>
        </w:rPr>
      </w:pPr>
    </w:p>
    <w:p w:rsidR="00987F32" w:rsidRPr="00862F9A" w:rsidRDefault="00987F32" w:rsidP="00D3344A">
      <w:pPr>
        <w:widowControl w:val="0"/>
        <w:outlineLvl w:val="0"/>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8B0713" w:rsidP="00D3344A">
      <w:pPr>
        <w:widowControl w:val="0"/>
        <w:outlineLvl w:val="0"/>
        <w:rPr>
          <w:u w:val="single"/>
        </w:rPr>
      </w:pPr>
      <w:hyperlink r:id="rId28"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2506634"/>
    <w:multiLevelType w:val="hybridMultilevel"/>
    <w:tmpl w:val="9D12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20A94"/>
    <w:multiLevelType w:val="hybridMultilevel"/>
    <w:tmpl w:val="9544D636"/>
    <w:lvl w:ilvl="0" w:tplc="5C1AA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D70D6"/>
    <w:multiLevelType w:val="hybridMultilevel"/>
    <w:tmpl w:val="3414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533F6"/>
    <w:multiLevelType w:val="hybridMultilevel"/>
    <w:tmpl w:val="C14C08EE"/>
    <w:lvl w:ilvl="0" w:tplc="EAD0CA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26067"/>
    <w:multiLevelType w:val="hybridMultilevel"/>
    <w:tmpl w:val="E996D61E"/>
    <w:lvl w:ilvl="0" w:tplc="D13A3F26">
      <w:start w:val="1"/>
      <w:numFmt w:val="decimal"/>
      <w:lvlText w:val="%1."/>
      <w:lvlJc w:val="left"/>
      <w:pPr>
        <w:ind w:left="720" w:hanging="360"/>
      </w:pPr>
      <w:rPr>
        <w:rFonts w:hint="default"/>
        <w:i w:val="0"/>
        <w:sz w:val="20"/>
        <w:szCs w:val="2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4"/>
  </w:num>
  <w:num w:numId="3">
    <w:abstractNumId w:val="22"/>
  </w:num>
  <w:num w:numId="4">
    <w:abstractNumId w:val="26"/>
  </w:num>
  <w:num w:numId="5">
    <w:abstractNumId w:val="29"/>
  </w:num>
  <w:num w:numId="6">
    <w:abstractNumId w:val="47"/>
  </w:num>
  <w:num w:numId="7">
    <w:abstractNumId w:val="18"/>
  </w:num>
  <w:num w:numId="8">
    <w:abstractNumId w:val="11"/>
  </w:num>
  <w:num w:numId="9">
    <w:abstractNumId w:val="46"/>
  </w:num>
  <w:num w:numId="10">
    <w:abstractNumId w:val="8"/>
  </w:num>
  <w:num w:numId="11">
    <w:abstractNumId w:val="6"/>
  </w:num>
  <w:num w:numId="12">
    <w:abstractNumId w:val="41"/>
  </w:num>
  <w:num w:numId="13">
    <w:abstractNumId w:val="19"/>
  </w:num>
  <w:num w:numId="14">
    <w:abstractNumId w:val="24"/>
  </w:num>
  <w:num w:numId="15">
    <w:abstractNumId w:val="34"/>
  </w:num>
  <w:num w:numId="16">
    <w:abstractNumId w:val="43"/>
  </w:num>
  <w:num w:numId="17">
    <w:abstractNumId w:val="3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35"/>
  </w:num>
  <w:num w:numId="22">
    <w:abstractNumId w:val="23"/>
  </w:num>
  <w:num w:numId="23">
    <w:abstractNumId w:val="27"/>
  </w:num>
  <w:num w:numId="24">
    <w:abstractNumId w:val="2"/>
  </w:num>
  <w:num w:numId="25">
    <w:abstractNumId w:val="0"/>
  </w:num>
  <w:num w:numId="26">
    <w:abstractNumId w:val="1"/>
  </w:num>
  <w:num w:numId="27">
    <w:abstractNumId w:val="28"/>
  </w:num>
  <w:num w:numId="28">
    <w:abstractNumId w:val="12"/>
  </w:num>
  <w:num w:numId="29">
    <w:abstractNumId w:val="16"/>
  </w:num>
  <w:num w:numId="30">
    <w:abstractNumId w:val="31"/>
  </w:num>
  <w:num w:numId="31">
    <w:abstractNumId w:val="7"/>
  </w:num>
  <w:num w:numId="32">
    <w:abstractNumId w:val="37"/>
  </w:num>
  <w:num w:numId="33">
    <w:abstractNumId w:val="13"/>
  </w:num>
  <w:num w:numId="34">
    <w:abstractNumId w:val="45"/>
  </w:num>
  <w:num w:numId="35">
    <w:abstractNumId w:val="15"/>
  </w:num>
  <w:num w:numId="36">
    <w:abstractNumId w:val="38"/>
  </w:num>
  <w:num w:numId="37">
    <w:abstractNumId w:val="42"/>
  </w:num>
  <w:num w:numId="38">
    <w:abstractNumId w:val="40"/>
  </w:num>
  <w:num w:numId="39">
    <w:abstractNumId w:val="10"/>
  </w:num>
  <w:num w:numId="40">
    <w:abstractNumId w:val="33"/>
  </w:num>
  <w:num w:numId="41">
    <w:abstractNumId w:val="9"/>
  </w:num>
  <w:num w:numId="42">
    <w:abstractNumId w:val="20"/>
  </w:num>
  <w:num w:numId="43">
    <w:abstractNumId w:val="36"/>
  </w:num>
  <w:num w:numId="44">
    <w:abstractNumId w:val="25"/>
  </w:num>
  <w:num w:numId="45">
    <w:abstractNumId w:val="32"/>
  </w:num>
  <w:num w:numId="46">
    <w:abstractNumId w:val="4"/>
  </w:num>
  <w:num w:numId="47">
    <w:abstractNumId w:val="3"/>
  </w:num>
  <w:num w:numId="48">
    <w:abstractNumId w:val="21"/>
  </w:num>
  <w:num w:numId="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9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88D"/>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A06"/>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2F9A"/>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0713"/>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1D"/>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0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862F9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862F9A"/>
    <w:rPr>
      <w:rFonts w:ascii="Times New Roman" w:eastAsiaTheme="minorHAnsi" w:hAnsi="Times New Roman"/>
      <w:b/>
      <w:sz w:val="24"/>
      <w:szCs w:val="24"/>
      <w:lang w:val="en-CA"/>
    </w:rPr>
  </w:style>
  <w:style w:type="paragraph" w:customStyle="1" w:styleId="aparanumbering1">
    <w:name w:val="aparanumbering1"/>
    <w:basedOn w:val="Normal"/>
    <w:rsid w:val="00862F9A"/>
    <w:pPr>
      <w:spacing w:before="120" w:after="120"/>
      <w:jc w:val="both"/>
    </w:pPr>
    <w:rPr>
      <w:rFonts w:ascii="Arial" w:hAnsi="Arial" w:cs="Arial"/>
      <w:sz w:val="26"/>
      <w:szCs w:val="26"/>
    </w:rPr>
  </w:style>
  <w:style w:type="paragraph" w:customStyle="1" w:styleId="SCCLsocOtherPartySeparator">
    <w:name w:val="SCC.Lsoc.OtherPartySeparator"/>
    <w:basedOn w:val="Normal"/>
    <w:next w:val="Normal"/>
    <w:link w:val="SCCLsocOtherPartySeparatorChar"/>
    <w:rsid w:val="00862F9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62F9A"/>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255" TargetMode="External"/><Relationship Id="rId13" Type="http://schemas.openxmlformats.org/officeDocument/2006/relationships/hyperlink" Target="https://www.canlii.org/en/on/onca/doc/2018/2018onca489/2018onca489.html?searchUrlHash=AAAAAQAITG9uc2JhcnkAAAAAAQ&amp;resultIndex=4" TargetMode="External"/><Relationship Id="rId18" Type="http://schemas.openxmlformats.org/officeDocument/2006/relationships/hyperlink" Target="https://www.canlii.org/en/on/onsc/doc/2017/2017onsc7742/2017onsc7742.html?resultIndex=1" TargetMode="External"/><Relationship Id="rId26" Type="http://schemas.openxmlformats.org/officeDocument/2006/relationships/hyperlink" Target="https://www.canlii.org/fr/qc/qcca/doc/2018/2018qcca856/2018qcca856.html?resultIndex=1" TargetMode="External"/><Relationship Id="rId3" Type="http://schemas.openxmlformats.org/officeDocument/2006/relationships/styles" Target="styles.xml"/><Relationship Id="rId21" Type="http://schemas.openxmlformats.org/officeDocument/2006/relationships/hyperlink" Target="https://www.canlii.org/en/on/onsc/doc/2016/2016onsc4850/2016onsc4850.html?resultIndex=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nlii.org/en/on/onsc/doc/2017/2017onsc1025/2017onsc1025.html?searchUrlHash=AAAAAQAOMjAxNyBPTlNDIDEwMjUAAAAAAQ&amp;resultIndex=2" TargetMode="External"/><Relationship Id="rId17" Type="http://schemas.openxmlformats.org/officeDocument/2006/relationships/hyperlink" Target="https://www.canlii.org/en/on/onca/doc/2018/2018onca171/2018onca171.html?resultIndex=1" TargetMode="External"/><Relationship Id="rId25" Type="http://schemas.openxmlformats.org/officeDocument/2006/relationships/hyperlink" Target="https://www.canlii.org/en/on/onca/doc/2018/2018onca402/2018onca402.html?resultIndex=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on/onsc/doc/2017/2017onsc7742/2017onsc7742.html?resultIndex=1" TargetMode="External"/><Relationship Id="rId20" Type="http://schemas.openxmlformats.org/officeDocument/2006/relationships/hyperlink" Target="https://www.canlii.org/en/on/onsc/doc/2016/2016onsc4896/2016onsc4896.html?resultIndex=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188" TargetMode="External"/><Relationship Id="rId24" Type="http://schemas.openxmlformats.org/officeDocument/2006/relationships/hyperlink" Target="https://www.canlii.org/en/on/onsc/doc/2016/2016onsc4850/2016onsc4850.html?resultIndex=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on/onca/doc/2018/2018onca489/2018onca489.html?searchUrlHash=AAAAAQAITG9uc2JhcnkAAAAAAQ&amp;resultIndex=4" TargetMode="External"/><Relationship Id="rId23" Type="http://schemas.openxmlformats.org/officeDocument/2006/relationships/hyperlink" Target="https://www.canlii.org/en/on/onsc/doc/2016/2016onsc4896/2016onsc4896.html?resultIndex=1"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s://www.scc-csc.ca/case-dossier/info/sum-som-eng.aspx?cas=38184" TargetMode="External"/><Relationship Id="rId19" Type="http://schemas.openxmlformats.org/officeDocument/2006/relationships/hyperlink" Target="https://www.canlii.org/en/on/onca/doc/2018/2018onca171/2018onca171.html?resultIndex=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076" TargetMode="External"/><Relationship Id="rId14" Type="http://schemas.openxmlformats.org/officeDocument/2006/relationships/hyperlink" Target="https://www.canlii.org/en/on/onsc/doc/2017/2017onsc1025/2017onsc1025.html?searchUrlHash=AAAAAQAOMjAxNyBPTlNDIDEwMjUAAAAAAQ&amp;resultIndex=2" TargetMode="External"/><Relationship Id="rId22" Type="http://schemas.openxmlformats.org/officeDocument/2006/relationships/hyperlink" Target="https://www.canlii.org/en/on/onca/doc/2018/2018onca402/2018onca402.html?resultIndex=1" TargetMode="External"/><Relationship Id="rId27" Type="http://schemas.openxmlformats.org/officeDocument/2006/relationships/hyperlink" Target="https://www.canlii.org/fr/qc/qcca/doc/2018/2018qcca856/2018qcca856.html?resultIndex=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6DBE-2B4C-4FFE-8ACD-301113DB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26751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2018-11-30T17:14:00Z</dcterms:created>
  <dcterms:modified xsi:type="dcterms:W3CDTF">2018-11-30T17:24:00Z</dcterms:modified>
</cp:coreProperties>
</file>