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547302" w:rsidRDefault="00F61846" w:rsidP="00122CE1">
      <w:pPr>
        <w:pStyle w:val="Header"/>
        <w:tabs>
          <w:tab w:val="left" w:pos="1620"/>
          <w:tab w:val="left" w:pos="1710"/>
        </w:tabs>
        <w:jc w:val="center"/>
        <w:rPr>
          <w:b/>
          <w:sz w:val="32"/>
        </w:rPr>
      </w:pPr>
      <w:r w:rsidRPr="00547302">
        <w:rPr>
          <w:b/>
          <w:sz w:val="32"/>
        </w:rPr>
        <w:t>S</w:t>
      </w:r>
      <w:r w:rsidR="003F43E6" w:rsidRPr="00547302">
        <w:rPr>
          <w:b/>
          <w:sz w:val="32"/>
        </w:rPr>
        <w:t>upreme Court of Canada / Cour suprême du Canada</w:t>
      </w:r>
    </w:p>
    <w:p w:rsidR="003F43E6" w:rsidRPr="00547302" w:rsidRDefault="003F43E6" w:rsidP="006F2579">
      <w:pPr>
        <w:widowControl w:val="0"/>
        <w:rPr>
          <w:i/>
        </w:rPr>
      </w:pPr>
    </w:p>
    <w:p w:rsidR="006F2579" w:rsidRPr="00547302" w:rsidRDefault="006F2579" w:rsidP="006F2579">
      <w:pPr>
        <w:widowControl w:val="0"/>
        <w:rPr>
          <w:i/>
        </w:rPr>
      </w:pPr>
      <w:r w:rsidRPr="00547302">
        <w:rPr>
          <w:i/>
        </w:rPr>
        <w:t>(le français suit)</w:t>
      </w:r>
    </w:p>
    <w:p w:rsidR="006F2579" w:rsidRPr="00547302" w:rsidRDefault="006F2579" w:rsidP="006F2579">
      <w:pPr>
        <w:widowControl w:val="0"/>
      </w:pPr>
    </w:p>
    <w:p w:rsidR="006F2579" w:rsidRPr="00547302" w:rsidRDefault="00B07908" w:rsidP="006F2579">
      <w:pPr>
        <w:widowControl w:val="0"/>
        <w:jc w:val="center"/>
        <w:rPr>
          <w:b/>
        </w:rPr>
      </w:pPr>
      <w:r w:rsidRPr="00547302">
        <w:fldChar w:fldCharType="begin"/>
      </w:r>
      <w:r w:rsidR="006F2579" w:rsidRPr="00547302">
        <w:instrText xml:space="preserve"> SEQ CHAPTER \h \r 1</w:instrText>
      </w:r>
      <w:r w:rsidRPr="00547302">
        <w:fldChar w:fldCharType="end"/>
      </w:r>
      <w:r w:rsidR="006F2579" w:rsidRPr="00547302">
        <w:rPr>
          <w:b/>
        </w:rPr>
        <w:t>JUDGMENT</w:t>
      </w:r>
      <w:r w:rsidR="00B17AAC" w:rsidRPr="00547302">
        <w:rPr>
          <w:b/>
        </w:rPr>
        <w:t>S</w:t>
      </w:r>
      <w:r w:rsidR="006F2579" w:rsidRPr="00547302">
        <w:rPr>
          <w:b/>
        </w:rPr>
        <w:t xml:space="preserve"> TO B</w:t>
      </w:r>
      <w:r w:rsidR="00001846" w:rsidRPr="00547302">
        <w:rPr>
          <w:b/>
        </w:rPr>
        <w:t>E RENDERED IN LE</w:t>
      </w:r>
      <w:r w:rsidR="00A0288A" w:rsidRPr="00547302">
        <w:rPr>
          <w:b/>
        </w:rPr>
        <w:t>A</w:t>
      </w:r>
      <w:r w:rsidR="00001846" w:rsidRPr="00547302">
        <w:rPr>
          <w:b/>
        </w:rPr>
        <w:t>VE APPLICATION</w:t>
      </w:r>
      <w:r w:rsidR="00E94FDF" w:rsidRPr="00547302">
        <w:rPr>
          <w:b/>
        </w:rPr>
        <w:t>S</w:t>
      </w:r>
    </w:p>
    <w:p w:rsidR="006F2579" w:rsidRPr="00547302" w:rsidRDefault="006F2579" w:rsidP="006F2579">
      <w:pPr>
        <w:widowControl w:val="0"/>
      </w:pPr>
    </w:p>
    <w:p w:rsidR="006F2579" w:rsidRPr="00547302" w:rsidRDefault="00136C09" w:rsidP="006F2579">
      <w:pPr>
        <w:widowControl w:val="0"/>
        <w:rPr>
          <w:b/>
        </w:rPr>
      </w:pPr>
      <w:r w:rsidRPr="00547302">
        <w:rPr>
          <w:b/>
        </w:rPr>
        <w:t>April</w:t>
      </w:r>
      <w:r w:rsidR="00A15B66" w:rsidRPr="00547302">
        <w:rPr>
          <w:b/>
        </w:rPr>
        <w:t xml:space="preserve"> </w:t>
      </w:r>
      <w:r w:rsidR="00BF6BD1" w:rsidRPr="00547302">
        <w:rPr>
          <w:b/>
        </w:rPr>
        <w:t>15</w:t>
      </w:r>
      <w:r w:rsidR="004441C7" w:rsidRPr="00547302">
        <w:rPr>
          <w:b/>
        </w:rPr>
        <w:t>,</w:t>
      </w:r>
      <w:r w:rsidR="006F2579" w:rsidRPr="00547302">
        <w:rPr>
          <w:b/>
        </w:rPr>
        <w:t xml:space="preserve"> </w:t>
      </w:r>
      <w:r w:rsidR="0054689F" w:rsidRPr="00547302">
        <w:rPr>
          <w:b/>
        </w:rPr>
        <w:t>201</w:t>
      </w:r>
      <w:r w:rsidR="00313D36" w:rsidRPr="00547302">
        <w:rPr>
          <w:b/>
        </w:rPr>
        <w:t>9</w:t>
      </w:r>
    </w:p>
    <w:p w:rsidR="006F2579" w:rsidRPr="00547302" w:rsidRDefault="00674F39" w:rsidP="006F2579">
      <w:pPr>
        <w:widowControl w:val="0"/>
        <w:rPr>
          <w:b/>
        </w:rPr>
      </w:pPr>
      <w:r w:rsidRPr="00547302">
        <w:rPr>
          <w:b/>
        </w:rPr>
        <w:t>For immediate release</w:t>
      </w:r>
    </w:p>
    <w:p w:rsidR="006F2579" w:rsidRPr="00547302" w:rsidRDefault="006F2579" w:rsidP="006F2579">
      <w:pPr>
        <w:widowControl w:val="0"/>
      </w:pPr>
    </w:p>
    <w:p w:rsidR="006F2579" w:rsidRPr="00025AF5" w:rsidRDefault="006F2579" w:rsidP="006F2579">
      <w:pPr>
        <w:widowControl w:val="0"/>
        <w:rPr>
          <w:lang w:val="fr-CA"/>
        </w:rPr>
      </w:pPr>
      <w:r w:rsidRPr="00547302">
        <w:rPr>
          <w:b/>
        </w:rPr>
        <w:t>OTTAWA</w:t>
      </w:r>
      <w:r w:rsidRPr="00547302">
        <w:t xml:space="preserve"> – The Supreme Court of Canad</w:t>
      </w:r>
      <w:r w:rsidR="006246E4" w:rsidRPr="00547302">
        <w:t>a</w:t>
      </w:r>
      <w:r w:rsidRPr="00547302">
        <w:t xml:space="preserve"> announced today that judgment in the following application</w:t>
      </w:r>
      <w:r w:rsidR="008600ED" w:rsidRPr="00547302">
        <w:t>s</w:t>
      </w:r>
      <w:r w:rsidRPr="00547302">
        <w:t xml:space="preserve"> for leave to appeal will be delivered at 9:45 a.m. </w:t>
      </w:r>
      <w:r w:rsidR="00E05816" w:rsidRPr="00547302">
        <w:t>E</w:t>
      </w:r>
      <w:r w:rsidR="005B48B5" w:rsidRPr="00547302">
        <w:t>D</w:t>
      </w:r>
      <w:r w:rsidR="00E05816" w:rsidRPr="00547302">
        <w:t>T</w:t>
      </w:r>
      <w:r w:rsidRPr="00547302">
        <w:t xml:space="preserve"> on Thursday, </w:t>
      </w:r>
      <w:r w:rsidR="00136C09" w:rsidRPr="00547302">
        <w:t>April</w:t>
      </w:r>
      <w:r w:rsidR="00455912" w:rsidRPr="00547302">
        <w:t xml:space="preserve"> </w:t>
      </w:r>
      <w:r w:rsidR="00E677B3" w:rsidRPr="00547302">
        <w:t>1</w:t>
      </w:r>
      <w:r w:rsidR="00BF6BD1" w:rsidRPr="00547302">
        <w:t>8</w:t>
      </w:r>
      <w:r w:rsidR="007E112F" w:rsidRPr="00547302">
        <w:t>,</w:t>
      </w:r>
      <w:r w:rsidR="002F38D7" w:rsidRPr="00547302">
        <w:t xml:space="preserve"> </w:t>
      </w:r>
      <w:r w:rsidR="006648D1" w:rsidRPr="00547302">
        <w:t>201</w:t>
      </w:r>
      <w:r w:rsidR="00313D36" w:rsidRPr="00547302">
        <w:t>9</w:t>
      </w:r>
      <w:r w:rsidRPr="00547302">
        <w:t xml:space="preserve">. </w:t>
      </w:r>
      <w:r w:rsidRPr="00025AF5">
        <w:rPr>
          <w:lang w:val="fr-CA"/>
        </w:rPr>
        <w:t>This list is subject to chang</w:t>
      </w:r>
      <w:r w:rsidR="00192F7F" w:rsidRPr="00025AF5">
        <w:rPr>
          <w:lang w:val="fr-CA"/>
        </w:rPr>
        <w:t>e</w:t>
      </w:r>
      <w:r w:rsidRPr="00025AF5">
        <w:rPr>
          <w:lang w:val="fr-CA"/>
        </w:rPr>
        <w:t>.</w:t>
      </w:r>
    </w:p>
    <w:p w:rsidR="00EF2A9D" w:rsidRPr="00025AF5" w:rsidRDefault="00EF2A9D" w:rsidP="006F2579">
      <w:pPr>
        <w:widowControl w:val="0"/>
        <w:rPr>
          <w:sz w:val="20"/>
          <w:lang w:val="fr-CA"/>
        </w:rPr>
      </w:pPr>
    </w:p>
    <w:p w:rsidR="00B43418" w:rsidRPr="00025AF5" w:rsidRDefault="00B43418" w:rsidP="006F2579">
      <w:pPr>
        <w:widowControl w:val="0"/>
        <w:rPr>
          <w:sz w:val="20"/>
          <w:lang w:val="fr-CA"/>
        </w:rPr>
      </w:pPr>
    </w:p>
    <w:p w:rsidR="006F2579" w:rsidRPr="00547302" w:rsidRDefault="006F2579" w:rsidP="006F2579">
      <w:pPr>
        <w:widowControl w:val="0"/>
        <w:jc w:val="center"/>
        <w:rPr>
          <w:lang w:val="fr-CA"/>
        </w:rPr>
      </w:pPr>
      <w:r w:rsidRPr="00547302">
        <w:rPr>
          <w:b/>
          <w:lang w:val="fr-CA"/>
        </w:rPr>
        <w:t>PROCHAIN</w:t>
      </w:r>
      <w:r w:rsidR="00B17AAC" w:rsidRPr="00547302">
        <w:rPr>
          <w:b/>
          <w:lang w:val="fr-CA"/>
        </w:rPr>
        <w:t>S</w:t>
      </w:r>
      <w:r w:rsidRPr="00547302">
        <w:rPr>
          <w:b/>
          <w:lang w:val="fr-CA"/>
        </w:rPr>
        <w:t xml:space="preserve"> JUGEMENT</w:t>
      </w:r>
      <w:r w:rsidR="00B17AAC" w:rsidRPr="00547302">
        <w:rPr>
          <w:b/>
          <w:lang w:val="fr-CA"/>
        </w:rPr>
        <w:t>S</w:t>
      </w:r>
      <w:r w:rsidR="00001846" w:rsidRPr="00547302">
        <w:rPr>
          <w:b/>
          <w:lang w:val="fr-CA"/>
        </w:rPr>
        <w:t xml:space="preserve"> SUR DEMANDE</w:t>
      </w:r>
      <w:r w:rsidR="00B17AAC" w:rsidRPr="00547302">
        <w:rPr>
          <w:b/>
          <w:lang w:val="fr-CA"/>
        </w:rPr>
        <w:t>S</w:t>
      </w:r>
      <w:r w:rsidRPr="00547302">
        <w:rPr>
          <w:b/>
          <w:lang w:val="fr-CA"/>
        </w:rPr>
        <w:t xml:space="preserve"> D’AUTORISATION</w:t>
      </w:r>
    </w:p>
    <w:p w:rsidR="006F2579" w:rsidRPr="00547302" w:rsidRDefault="006F2579" w:rsidP="006F2579">
      <w:pPr>
        <w:widowControl w:val="0"/>
        <w:rPr>
          <w:lang w:val="fr-CA"/>
        </w:rPr>
      </w:pPr>
    </w:p>
    <w:p w:rsidR="006F2579" w:rsidRPr="00547302" w:rsidRDefault="006F2579" w:rsidP="006F2579">
      <w:pPr>
        <w:widowControl w:val="0"/>
        <w:rPr>
          <w:b/>
          <w:lang w:val="fr-CA"/>
        </w:rPr>
      </w:pPr>
      <w:r w:rsidRPr="00547302">
        <w:rPr>
          <w:b/>
          <w:lang w:val="fr-CA"/>
        </w:rPr>
        <w:t>Le</w:t>
      </w:r>
      <w:r w:rsidR="00957A76" w:rsidRPr="00547302">
        <w:rPr>
          <w:b/>
          <w:lang w:val="fr-CA"/>
        </w:rPr>
        <w:t xml:space="preserve"> </w:t>
      </w:r>
      <w:r w:rsidR="00BF6BD1" w:rsidRPr="00547302">
        <w:rPr>
          <w:b/>
          <w:lang w:val="fr-CA"/>
        </w:rPr>
        <w:t>15</w:t>
      </w:r>
      <w:r w:rsidR="00136C09" w:rsidRPr="00547302">
        <w:rPr>
          <w:b/>
          <w:lang w:val="fr-CA"/>
        </w:rPr>
        <w:t xml:space="preserve"> av</w:t>
      </w:r>
      <w:r w:rsidR="00AA7874" w:rsidRPr="00547302">
        <w:rPr>
          <w:b/>
          <w:lang w:val="fr-CA"/>
        </w:rPr>
        <w:t>r</w:t>
      </w:r>
      <w:r w:rsidR="00136C09" w:rsidRPr="00547302">
        <w:rPr>
          <w:b/>
          <w:lang w:val="fr-CA"/>
        </w:rPr>
        <w:t>il</w:t>
      </w:r>
      <w:r w:rsidR="00A151D1" w:rsidRPr="00547302">
        <w:rPr>
          <w:b/>
          <w:lang w:val="fr-CA"/>
        </w:rPr>
        <w:t xml:space="preserve"> 201</w:t>
      </w:r>
      <w:r w:rsidR="00313D36" w:rsidRPr="00547302">
        <w:rPr>
          <w:b/>
          <w:lang w:val="fr-CA"/>
        </w:rPr>
        <w:t>9</w:t>
      </w:r>
    </w:p>
    <w:p w:rsidR="006F2579" w:rsidRPr="00547302" w:rsidRDefault="006F2579" w:rsidP="006F2579">
      <w:pPr>
        <w:widowControl w:val="0"/>
        <w:rPr>
          <w:b/>
          <w:lang w:val="fr-CA"/>
        </w:rPr>
      </w:pPr>
      <w:r w:rsidRPr="00547302">
        <w:rPr>
          <w:b/>
          <w:lang w:val="fr-CA"/>
        </w:rPr>
        <w:t>Pour diffusion immédiate</w:t>
      </w:r>
    </w:p>
    <w:p w:rsidR="006F2579" w:rsidRPr="00547302" w:rsidRDefault="006F2579" w:rsidP="006F2579">
      <w:pPr>
        <w:widowControl w:val="0"/>
        <w:rPr>
          <w:lang w:val="fr-CA"/>
        </w:rPr>
      </w:pPr>
    </w:p>
    <w:p w:rsidR="006F2579" w:rsidRPr="00547302" w:rsidRDefault="006F2579" w:rsidP="006F2579">
      <w:pPr>
        <w:widowControl w:val="0"/>
        <w:rPr>
          <w:lang w:val="fr-CA"/>
        </w:rPr>
      </w:pPr>
      <w:r w:rsidRPr="00547302">
        <w:rPr>
          <w:b/>
          <w:lang w:val="fr-CA"/>
        </w:rPr>
        <w:t>OTTAWA</w:t>
      </w:r>
      <w:r w:rsidRPr="00547302">
        <w:rPr>
          <w:lang w:val="fr-CA"/>
        </w:rPr>
        <w:t xml:space="preserve"> – La Cour suprême du Canada annonce que jugement ser</w:t>
      </w:r>
      <w:r w:rsidR="004259F9" w:rsidRPr="00547302">
        <w:rPr>
          <w:lang w:val="fr-CA"/>
        </w:rPr>
        <w:t>a</w:t>
      </w:r>
      <w:r w:rsidRPr="00547302">
        <w:rPr>
          <w:lang w:val="fr-CA"/>
        </w:rPr>
        <w:t xml:space="preserve"> rendu dans l</w:t>
      </w:r>
      <w:r w:rsidR="008600ED" w:rsidRPr="00547302">
        <w:rPr>
          <w:lang w:val="fr-CA"/>
        </w:rPr>
        <w:t>es</w:t>
      </w:r>
      <w:r w:rsidRPr="00547302">
        <w:rPr>
          <w:lang w:val="fr-CA"/>
        </w:rPr>
        <w:t xml:space="preserve"> demande</w:t>
      </w:r>
      <w:r w:rsidR="008600ED" w:rsidRPr="00547302">
        <w:rPr>
          <w:lang w:val="fr-CA"/>
        </w:rPr>
        <w:t>s</w:t>
      </w:r>
      <w:r w:rsidRPr="00547302">
        <w:rPr>
          <w:lang w:val="fr-CA"/>
        </w:rPr>
        <w:t xml:space="preserve"> d</w:t>
      </w:r>
      <w:r w:rsidR="00001846" w:rsidRPr="00547302">
        <w:rPr>
          <w:lang w:val="fr-CA"/>
        </w:rPr>
        <w:t>’autorisation d’appel suivante</w:t>
      </w:r>
      <w:r w:rsidR="008600ED" w:rsidRPr="00547302">
        <w:rPr>
          <w:lang w:val="fr-CA"/>
        </w:rPr>
        <w:t>s</w:t>
      </w:r>
      <w:r w:rsidRPr="00547302">
        <w:rPr>
          <w:lang w:val="fr-CA"/>
        </w:rPr>
        <w:t xml:space="preserve"> le jeudi </w:t>
      </w:r>
      <w:r w:rsidR="00E677B3" w:rsidRPr="00547302">
        <w:rPr>
          <w:lang w:val="fr-CA"/>
        </w:rPr>
        <w:t>1</w:t>
      </w:r>
      <w:r w:rsidR="00BF6BD1" w:rsidRPr="00547302">
        <w:rPr>
          <w:lang w:val="fr-CA"/>
        </w:rPr>
        <w:t>8</w:t>
      </w:r>
      <w:r w:rsidR="00780317" w:rsidRPr="00547302">
        <w:rPr>
          <w:lang w:val="fr-CA"/>
        </w:rPr>
        <w:t xml:space="preserve"> </w:t>
      </w:r>
      <w:r w:rsidR="00AA7874" w:rsidRPr="00547302">
        <w:rPr>
          <w:lang w:val="fr-CA"/>
        </w:rPr>
        <w:t>a</w:t>
      </w:r>
      <w:r w:rsidR="00136C09" w:rsidRPr="00547302">
        <w:rPr>
          <w:lang w:val="fr-CA"/>
        </w:rPr>
        <w:t>v</w:t>
      </w:r>
      <w:r w:rsidR="00AA7874" w:rsidRPr="00547302">
        <w:rPr>
          <w:lang w:val="fr-CA"/>
        </w:rPr>
        <w:t>r</w:t>
      </w:r>
      <w:r w:rsidR="00136C09" w:rsidRPr="00547302">
        <w:rPr>
          <w:lang w:val="fr-CA"/>
        </w:rPr>
        <w:t>il</w:t>
      </w:r>
      <w:r w:rsidR="00694391" w:rsidRPr="00547302">
        <w:rPr>
          <w:lang w:val="fr-CA"/>
        </w:rPr>
        <w:t xml:space="preserve"> 2</w:t>
      </w:r>
      <w:r w:rsidR="006648D1" w:rsidRPr="00547302">
        <w:rPr>
          <w:lang w:val="fr-CA"/>
        </w:rPr>
        <w:t>01</w:t>
      </w:r>
      <w:r w:rsidR="00313D36" w:rsidRPr="00547302">
        <w:rPr>
          <w:lang w:val="fr-CA"/>
        </w:rPr>
        <w:t>9</w:t>
      </w:r>
      <w:r w:rsidRPr="00547302">
        <w:rPr>
          <w:lang w:val="fr-CA"/>
        </w:rPr>
        <w:t xml:space="preserve">, à 9 h 45 </w:t>
      </w:r>
      <w:r w:rsidR="000627A2" w:rsidRPr="00547302">
        <w:rPr>
          <w:lang w:val="fr-CA"/>
        </w:rPr>
        <w:t>H</w:t>
      </w:r>
      <w:r w:rsidR="005B48B5" w:rsidRPr="00547302">
        <w:rPr>
          <w:lang w:val="fr-CA"/>
        </w:rPr>
        <w:t>A</w:t>
      </w:r>
      <w:r w:rsidRPr="00547302">
        <w:rPr>
          <w:lang w:val="fr-CA"/>
        </w:rPr>
        <w:t>E. Cette liste est sujette à modifications.</w:t>
      </w:r>
    </w:p>
    <w:p w:rsidR="00EF2A9D" w:rsidRPr="00547302" w:rsidRDefault="00EF2A9D" w:rsidP="009B14F4">
      <w:pPr>
        <w:widowControl w:val="0"/>
        <w:jc w:val="both"/>
        <w:rPr>
          <w:sz w:val="20"/>
          <w:lang w:val="fr-CA"/>
        </w:rPr>
      </w:pPr>
    </w:p>
    <w:p w:rsidR="001838E0" w:rsidRPr="00547302" w:rsidRDefault="003D353C" w:rsidP="009B14F4">
      <w:pPr>
        <w:widowControl w:val="0"/>
        <w:jc w:val="both"/>
        <w:rPr>
          <w:sz w:val="20"/>
          <w:lang w:val="fr-CA"/>
        </w:rPr>
      </w:pPr>
      <w:r w:rsidRPr="00547302">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714B95" w:rsidRPr="00547302" w:rsidRDefault="00714B95" w:rsidP="006A22CA">
      <w:pPr>
        <w:ind w:left="142" w:hanging="142"/>
        <w:jc w:val="both"/>
        <w:rPr>
          <w:sz w:val="20"/>
          <w:lang w:val="fr-CA"/>
        </w:rPr>
      </w:pPr>
    </w:p>
    <w:p w:rsidR="001C65BB" w:rsidRPr="00547302" w:rsidRDefault="001C65BB" w:rsidP="00293FB0">
      <w:pPr>
        <w:pStyle w:val="ListParagraph"/>
        <w:numPr>
          <w:ilvl w:val="0"/>
          <w:numId w:val="24"/>
        </w:numPr>
        <w:ind w:left="357" w:hanging="357"/>
        <w:rPr>
          <w:sz w:val="20"/>
          <w:szCs w:val="20"/>
          <w:lang w:val="en-CA"/>
        </w:rPr>
      </w:pPr>
      <w:r w:rsidRPr="00547302">
        <w:rPr>
          <w:i/>
          <w:sz w:val="20"/>
          <w:szCs w:val="20"/>
          <w:lang w:val="en-CA"/>
        </w:rPr>
        <w:t>Errol Massiah v. Justices of the Peace Review Council, et al.</w:t>
      </w:r>
      <w:r w:rsidRPr="00547302">
        <w:rPr>
          <w:sz w:val="20"/>
          <w:szCs w:val="20"/>
        </w:rPr>
        <w:t xml:space="preserve"> </w:t>
      </w:r>
      <w:r w:rsidRPr="00547302">
        <w:rPr>
          <w:sz w:val="20"/>
          <w:szCs w:val="20"/>
          <w:lang w:val="en-CA"/>
        </w:rPr>
        <w:t>(Ont.) (Civil) (By Leave)</w:t>
      </w:r>
      <w:r w:rsidR="00AF2AEF" w:rsidRPr="00547302">
        <w:rPr>
          <w:sz w:val="20"/>
          <w:lang w:val="en-CA"/>
        </w:rPr>
        <w:t xml:space="preserve"> </w:t>
      </w:r>
      <w:r w:rsidR="00AF2AEF" w:rsidRPr="00547302">
        <w:rPr>
          <w:sz w:val="20"/>
        </w:rPr>
        <w:t>(</w:t>
      </w:r>
      <w:hyperlink r:id="rId8" w:history="1">
        <w:r w:rsidR="00AF2AEF" w:rsidRPr="00547302">
          <w:rPr>
            <w:rStyle w:val="Hyperlink"/>
            <w:sz w:val="20"/>
          </w:rPr>
          <w:t>384</w:t>
        </w:r>
        <w:r w:rsidR="00C3367F" w:rsidRPr="00547302">
          <w:rPr>
            <w:rStyle w:val="Hyperlink"/>
            <w:sz w:val="20"/>
          </w:rPr>
          <w:t>49</w:t>
        </w:r>
      </w:hyperlink>
      <w:r w:rsidR="00AF2AEF" w:rsidRPr="00547302">
        <w:rPr>
          <w:sz w:val="20"/>
        </w:rPr>
        <w:t>)</w:t>
      </w:r>
    </w:p>
    <w:p w:rsidR="001C65BB" w:rsidRPr="00547302" w:rsidRDefault="001C65BB" w:rsidP="00293FB0">
      <w:pPr>
        <w:ind w:left="357" w:hanging="357"/>
        <w:rPr>
          <w:sz w:val="20"/>
          <w:lang w:val="fr-CA"/>
        </w:rPr>
      </w:pPr>
    </w:p>
    <w:p w:rsidR="001C65BB" w:rsidRPr="00547302" w:rsidRDefault="001C65BB" w:rsidP="00293FB0">
      <w:pPr>
        <w:pStyle w:val="ListParagraph"/>
        <w:numPr>
          <w:ilvl w:val="0"/>
          <w:numId w:val="24"/>
        </w:numPr>
        <w:ind w:left="357" w:hanging="357"/>
        <w:rPr>
          <w:sz w:val="20"/>
          <w:lang w:val="fr-CA"/>
        </w:rPr>
      </w:pPr>
      <w:r w:rsidRPr="00547302">
        <w:rPr>
          <w:i/>
          <w:sz w:val="20"/>
          <w:lang w:val="fr-CA"/>
        </w:rPr>
        <w:t>Industrielle Alliance, Assurance et services financiers inc. c. Pascale Forest</w:t>
      </w:r>
      <w:r w:rsidRPr="00547302">
        <w:rPr>
          <w:sz w:val="20"/>
          <w:lang w:val="fr-CA"/>
        </w:rPr>
        <w:t xml:space="preserve"> (Qc) (Civile) (Autorisation)</w:t>
      </w:r>
      <w:r w:rsidR="00AF2AEF" w:rsidRPr="00547302">
        <w:rPr>
          <w:sz w:val="20"/>
          <w:lang w:val="fr-CA"/>
        </w:rPr>
        <w:t xml:space="preserve"> (</w:t>
      </w:r>
      <w:hyperlink r:id="rId9" w:history="1">
        <w:r w:rsidR="00AF2AEF" w:rsidRPr="00547302">
          <w:rPr>
            <w:rStyle w:val="Hyperlink"/>
            <w:sz w:val="20"/>
            <w:lang w:val="fr-CA"/>
          </w:rPr>
          <w:t>38</w:t>
        </w:r>
        <w:r w:rsidR="00642292" w:rsidRPr="00547302">
          <w:rPr>
            <w:rStyle w:val="Hyperlink"/>
            <w:sz w:val="20"/>
            <w:lang w:val="fr-CA"/>
          </w:rPr>
          <w:t>268</w:t>
        </w:r>
      </w:hyperlink>
      <w:r w:rsidR="00AF2AEF" w:rsidRPr="00547302">
        <w:rPr>
          <w:sz w:val="20"/>
          <w:lang w:val="fr-CA"/>
        </w:rPr>
        <w:t>)</w:t>
      </w:r>
    </w:p>
    <w:p w:rsidR="001C65BB" w:rsidRPr="00547302" w:rsidRDefault="001C65BB" w:rsidP="00293FB0">
      <w:pPr>
        <w:ind w:left="357" w:hanging="357"/>
        <w:rPr>
          <w:sz w:val="20"/>
          <w:lang w:val="fr-CA"/>
        </w:rPr>
      </w:pPr>
    </w:p>
    <w:p w:rsidR="001C65BB" w:rsidRPr="00547302" w:rsidRDefault="001C65BB" w:rsidP="00293FB0">
      <w:pPr>
        <w:pStyle w:val="ListParagraph"/>
        <w:numPr>
          <w:ilvl w:val="0"/>
          <w:numId w:val="24"/>
        </w:numPr>
        <w:ind w:left="357" w:hanging="357"/>
        <w:rPr>
          <w:sz w:val="20"/>
          <w:szCs w:val="20"/>
          <w:lang w:val="fr-CA"/>
        </w:rPr>
      </w:pPr>
      <w:r w:rsidRPr="00547302">
        <w:rPr>
          <w:i/>
          <w:sz w:val="20"/>
          <w:szCs w:val="20"/>
          <w:lang w:val="fr-CA"/>
        </w:rPr>
        <w:t>Hitesh Tailor c. Prisca Chiassi</w:t>
      </w:r>
      <w:r w:rsidRPr="00547302">
        <w:rPr>
          <w:sz w:val="20"/>
          <w:szCs w:val="20"/>
          <w:lang w:val="fr-CA"/>
        </w:rPr>
        <w:t xml:space="preserve"> (Qc) (Civile) (Autorisation)</w:t>
      </w:r>
      <w:r w:rsidR="00AF2AEF" w:rsidRPr="00547302">
        <w:rPr>
          <w:sz w:val="20"/>
          <w:lang w:val="fr-CA"/>
        </w:rPr>
        <w:t xml:space="preserve"> (</w:t>
      </w:r>
      <w:hyperlink r:id="rId10" w:history="1">
        <w:r w:rsidR="00AF2AEF" w:rsidRPr="00547302">
          <w:rPr>
            <w:rStyle w:val="Hyperlink"/>
            <w:sz w:val="20"/>
            <w:lang w:val="fr-CA"/>
          </w:rPr>
          <w:t>383</w:t>
        </w:r>
        <w:r w:rsidR="00BF0ED5" w:rsidRPr="00547302">
          <w:rPr>
            <w:rStyle w:val="Hyperlink"/>
            <w:sz w:val="20"/>
            <w:lang w:val="fr-CA"/>
          </w:rPr>
          <w:t>11</w:t>
        </w:r>
      </w:hyperlink>
      <w:r w:rsidR="00AF2AEF" w:rsidRPr="00547302">
        <w:rPr>
          <w:sz w:val="20"/>
          <w:lang w:val="fr-CA"/>
        </w:rPr>
        <w:t>)</w:t>
      </w:r>
    </w:p>
    <w:p w:rsidR="001C65BB" w:rsidRPr="00547302" w:rsidRDefault="001C65BB" w:rsidP="00293FB0">
      <w:pPr>
        <w:ind w:left="357" w:hanging="357"/>
        <w:rPr>
          <w:sz w:val="20"/>
          <w:lang w:val="fr-CA"/>
        </w:rPr>
      </w:pPr>
    </w:p>
    <w:p w:rsidR="001C65BB" w:rsidRPr="00547302" w:rsidRDefault="001C65BB" w:rsidP="00293FB0">
      <w:pPr>
        <w:pStyle w:val="ListParagraph"/>
        <w:numPr>
          <w:ilvl w:val="0"/>
          <w:numId w:val="24"/>
        </w:numPr>
        <w:ind w:left="357" w:hanging="357"/>
        <w:rPr>
          <w:sz w:val="20"/>
          <w:szCs w:val="20"/>
          <w:lang w:val="fr-CA"/>
        </w:rPr>
      </w:pPr>
      <w:r w:rsidRPr="00547302">
        <w:rPr>
          <w:i/>
          <w:sz w:val="20"/>
          <w:szCs w:val="20"/>
          <w:lang w:val="fr-CA"/>
        </w:rPr>
        <w:t>9179-0717 Québec inc., et al. c. Ville de Saint-Colomban</w:t>
      </w:r>
      <w:r w:rsidRPr="00547302">
        <w:rPr>
          <w:sz w:val="20"/>
          <w:szCs w:val="20"/>
          <w:lang w:val="fr-CA"/>
        </w:rPr>
        <w:t xml:space="preserve"> (Qc) (Civile) (Autorisation)</w:t>
      </w:r>
      <w:r w:rsidR="00AF2AEF" w:rsidRPr="00547302">
        <w:rPr>
          <w:sz w:val="20"/>
          <w:lang w:val="fr-CA"/>
        </w:rPr>
        <w:t xml:space="preserve"> (</w:t>
      </w:r>
      <w:hyperlink r:id="rId11" w:history="1">
        <w:r w:rsidR="00AF2AEF" w:rsidRPr="00547302">
          <w:rPr>
            <w:rStyle w:val="Hyperlink"/>
            <w:sz w:val="20"/>
            <w:lang w:val="fr-CA"/>
          </w:rPr>
          <w:t>3843</w:t>
        </w:r>
        <w:r w:rsidR="003F069F" w:rsidRPr="00547302">
          <w:rPr>
            <w:rStyle w:val="Hyperlink"/>
            <w:sz w:val="20"/>
            <w:lang w:val="fr-CA"/>
          </w:rPr>
          <w:t>0</w:t>
        </w:r>
      </w:hyperlink>
      <w:r w:rsidR="00AF2AEF" w:rsidRPr="00547302">
        <w:rPr>
          <w:sz w:val="20"/>
          <w:lang w:val="fr-CA"/>
        </w:rPr>
        <w:t>)</w:t>
      </w:r>
    </w:p>
    <w:p w:rsidR="001C65BB" w:rsidRPr="00547302" w:rsidRDefault="001C65BB" w:rsidP="00293FB0">
      <w:pPr>
        <w:ind w:left="357" w:hanging="357"/>
        <w:rPr>
          <w:sz w:val="20"/>
          <w:lang w:val="fr-CA"/>
        </w:rPr>
      </w:pPr>
    </w:p>
    <w:p w:rsidR="001C65BB" w:rsidRPr="00547302" w:rsidRDefault="001C65BB" w:rsidP="00293FB0">
      <w:pPr>
        <w:pStyle w:val="ListParagraph"/>
        <w:numPr>
          <w:ilvl w:val="0"/>
          <w:numId w:val="24"/>
        </w:numPr>
        <w:ind w:left="357" w:hanging="357"/>
        <w:rPr>
          <w:sz w:val="20"/>
          <w:szCs w:val="20"/>
        </w:rPr>
      </w:pPr>
      <w:r w:rsidRPr="00547302">
        <w:rPr>
          <w:i/>
          <w:sz w:val="20"/>
          <w:szCs w:val="20"/>
        </w:rPr>
        <w:t>Mariam Adam v. Canadian Imperial Bank of Commerce</w:t>
      </w:r>
      <w:r w:rsidRPr="00547302">
        <w:rPr>
          <w:sz w:val="20"/>
          <w:szCs w:val="20"/>
        </w:rPr>
        <w:t xml:space="preserve"> (Man.) (Civil) (By Leave)</w:t>
      </w:r>
      <w:r w:rsidR="00AF2AEF" w:rsidRPr="00547302">
        <w:rPr>
          <w:sz w:val="20"/>
        </w:rPr>
        <w:t xml:space="preserve"> (</w:t>
      </w:r>
      <w:hyperlink r:id="rId12" w:history="1">
        <w:r w:rsidR="00AF2AEF" w:rsidRPr="00547302">
          <w:rPr>
            <w:rStyle w:val="Hyperlink"/>
            <w:sz w:val="20"/>
          </w:rPr>
          <w:t>384</w:t>
        </w:r>
        <w:r w:rsidR="003B2062" w:rsidRPr="00547302">
          <w:rPr>
            <w:rStyle w:val="Hyperlink"/>
            <w:sz w:val="20"/>
          </w:rPr>
          <w:t>77</w:t>
        </w:r>
      </w:hyperlink>
      <w:r w:rsidR="00AF2AEF" w:rsidRPr="00547302">
        <w:rPr>
          <w:sz w:val="20"/>
        </w:rPr>
        <w:t>)</w:t>
      </w:r>
    </w:p>
    <w:p w:rsidR="001C65BB" w:rsidRPr="00547302" w:rsidRDefault="001C65BB" w:rsidP="00293FB0">
      <w:pPr>
        <w:ind w:left="357" w:hanging="357"/>
        <w:rPr>
          <w:sz w:val="20"/>
        </w:rPr>
      </w:pPr>
    </w:p>
    <w:p w:rsidR="001C65BB" w:rsidRPr="00547302" w:rsidRDefault="001C65BB" w:rsidP="00293FB0">
      <w:pPr>
        <w:pStyle w:val="ListParagraph"/>
        <w:numPr>
          <w:ilvl w:val="0"/>
          <w:numId w:val="24"/>
        </w:numPr>
        <w:ind w:left="357" w:hanging="357"/>
        <w:rPr>
          <w:sz w:val="20"/>
          <w:szCs w:val="20"/>
          <w:lang w:val="fr-CA"/>
        </w:rPr>
      </w:pPr>
      <w:r w:rsidRPr="00547302">
        <w:rPr>
          <w:i/>
          <w:sz w:val="20"/>
          <w:szCs w:val="20"/>
        </w:rPr>
        <w:t>Mariam Adam v. Manufacturers Life Insurance Company</w:t>
      </w:r>
      <w:r w:rsidRPr="00547302">
        <w:rPr>
          <w:sz w:val="20"/>
          <w:szCs w:val="20"/>
        </w:rPr>
        <w:t xml:space="preserve"> </w:t>
      </w:r>
      <w:r w:rsidRPr="00547302">
        <w:rPr>
          <w:i/>
          <w:sz w:val="20"/>
          <w:szCs w:val="20"/>
        </w:rPr>
        <w:t>(Manulife)</w:t>
      </w:r>
      <w:r w:rsidRPr="00547302">
        <w:rPr>
          <w:sz w:val="20"/>
          <w:szCs w:val="20"/>
        </w:rPr>
        <w:t xml:space="preserve"> (Man.) </w:t>
      </w:r>
      <w:r w:rsidRPr="00547302">
        <w:rPr>
          <w:sz w:val="20"/>
          <w:szCs w:val="20"/>
          <w:lang w:val="fr-CA"/>
        </w:rPr>
        <w:t>(Civil) (By Leave)</w:t>
      </w:r>
      <w:r w:rsidR="00AF2AEF" w:rsidRPr="00547302">
        <w:rPr>
          <w:sz w:val="20"/>
          <w:lang w:val="fr-CA"/>
        </w:rPr>
        <w:t xml:space="preserve"> (</w:t>
      </w:r>
      <w:hyperlink r:id="rId13" w:history="1">
        <w:r w:rsidR="00AF2AEF" w:rsidRPr="00547302">
          <w:rPr>
            <w:rStyle w:val="Hyperlink"/>
            <w:sz w:val="20"/>
            <w:lang w:val="fr-CA"/>
          </w:rPr>
          <w:t>384</w:t>
        </w:r>
        <w:r w:rsidR="003B2062" w:rsidRPr="00547302">
          <w:rPr>
            <w:rStyle w:val="Hyperlink"/>
            <w:sz w:val="20"/>
            <w:lang w:val="fr-CA"/>
          </w:rPr>
          <w:t>60</w:t>
        </w:r>
      </w:hyperlink>
      <w:r w:rsidR="00AF2AEF" w:rsidRPr="00547302">
        <w:rPr>
          <w:sz w:val="20"/>
          <w:lang w:val="fr-CA"/>
        </w:rPr>
        <w:t>)</w:t>
      </w:r>
    </w:p>
    <w:p w:rsidR="001C65BB" w:rsidRPr="00547302" w:rsidRDefault="001C65BB" w:rsidP="00293FB0">
      <w:pPr>
        <w:ind w:left="357" w:hanging="357"/>
        <w:rPr>
          <w:sz w:val="20"/>
          <w:lang w:val="fr-CA"/>
        </w:rPr>
      </w:pPr>
    </w:p>
    <w:p w:rsidR="001C65BB" w:rsidRPr="00547302" w:rsidRDefault="001C65BB" w:rsidP="00293FB0">
      <w:pPr>
        <w:pStyle w:val="ListParagraph"/>
        <w:numPr>
          <w:ilvl w:val="0"/>
          <w:numId w:val="24"/>
        </w:numPr>
        <w:ind w:left="357" w:hanging="357"/>
        <w:rPr>
          <w:sz w:val="20"/>
          <w:lang w:val="fr-CA"/>
        </w:rPr>
      </w:pPr>
      <w:r w:rsidRPr="00547302">
        <w:rPr>
          <w:i/>
          <w:sz w:val="20"/>
          <w:lang w:val="fr-CA"/>
        </w:rPr>
        <w:t xml:space="preserve">Wilfrid Nguesso c. </w:t>
      </w:r>
      <w:r w:rsidR="00BC193B" w:rsidRPr="00547302">
        <w:rPr>
          <w:i/>
          <w:sz w:val="20"/>
          <w:lang w:val="fr-CA"/>
        </w:rPr>
        <w:t>M</w:t>
      </w:r>
      <w:r w:rsidRPr="00547302">
        <w:rPr>
          <w:i/>
          <w:sz w:val="20"/>
          <w:lang w:val="fr-CA"/>
        </w:rPr>
        <w:t xml:space="preserve">inistre de la </w:t>
      </w:r>
      <w:r w:rsidR="00F47398" w:rsidRPr="00547302">
        <w:rPr>
          <w:i/>
          <w:sz w:val="20"/>
          <w:lang w:val="fr-CA"/>
        </w:rPr>
        <w:t>C</w:t>
      </w:r>
      <w:r w:rsidRPr="00547302">
        <w:rPr>
          <w:i/>
          <w:sz w:val="20"/>
          <w:lang w:val="fr-CA"/>
        </w:rPr>
        <w:t>itoyenneté et de l’</w:t>
      </w:r>
      <w:r w:rsidR="00F47398" w:rsidRPr="00547302">
        <w:rPr>
          <w:i/>
          <w:sz w:val="20"/>
          <w:lang w:val="fr-CA"/>
        </w:rPr>
        <w:t>I</w:t>
      </w:r>
      <w:r w:rsidRPr="00547302">
        <w:rPr>
          <w:i/>
          <w:sz w:val="20"/>
          <w:lang w:val="fr-CA"/>
        </w:rPr>
        <w:t xml:space="preserve">mmigration </w:t>
      </w:r>
      <w:r w:rsidRPr="00547302">
        <w:rPr>
          <w:sz w:val="20"/>
          <w:lang w:val="fr-CA"/>
        </w:rPr>
        <w:t>(C.F.) (Civile) (Autorisation)</w:t>
      </w:r>
      <w:r w:rsidR="00AF2AEF" w:rsidRPr="00547302">
        <w:rPr>
          <w:sz w:val="20"/>
          <w:lang w:val="fr-CA"/>
        </w:rPr>
        <w:t xml:space="preserve"> </w:t>
      </w:r>
      <w:r w:rsidR="00AF2AEF" w:rsidRPr="00547302">
        <w:rPr>
          <w:sz w:val="20"/>
        </w:rPr>
        <w:t>(</w:t>
      </w:r>
      <w:hyperlink r:id="rId14" w:history="1">
        <w:r w:rsidR="00AF2AEF" w:rsidRPr="00547302">
          <w:rPr>
            <w:rStyle w:val="Hyperlink"/>
            <w:sz w:val="20"/>
          </w:rPr>
          <w:t>383</w:t>
        </w:r>
        <w:r w:rsidR="0082040A" w:rsidRPr="00547302">
          <w:rPr>
            <w:rStyle w:val="Hyperlink"/>
            <w:sz w:val="20"/>
          </w:rPr>
          <w:t>30</w:t>
        </w:r>
      </w:hyperlink>
      <w:r w:rsidR="00AF2AEF" w:rsidRPr="00547302">
        <w:rPr>
          <w:sz w:val="20"/>
        </w:rPr>
        <w:t>)</w:t>
      </w:r>
    </w:p>
    <w:p w:rsidR="001C65BB" w:rsidRPr="00547302" w:rsidRDefault="001C65BB" w:rsidP="00293FB0">
      <w:pPr>
        <w:ind w:left="357" w:hanging="357"/>
        <w:rPr>
          <w:sz w:val="20"/>
          <w:lang w:val="fr-CA"/>
        </w:rPr>
      </w:pPr>
    </w:p>
    <w:p w:rsidR="001C65BB" w:rsidRPr="00547302" w:rsidRDefault="001C65BB" w:rsidP="00293FB0">
      <w:pPr>
        <w:pStyle w:val="ListParagraph"/>
        <w:numPr>
          <w:ilvl w:val="0"/>
          <w:numId w:val="24"/>
        </w:numPr>
        <w:ind w:left="357" w:hanging="357"/>
        <w:rPr>
          <w:sz w:val="20"/>
          <w:szCs w:val="20"/>
        </w:rPr>
      </w:pPr>
      <w:r w:rsidRPr="00547302">
        <w:rPr>
          <w:i/>
          <w:sz w:val="20"/>
          <w:szCs w:val="20"/>
        </w:rPr>
        <w:t>Claudette Wood, et al. v. CTS of Canada Co., et al.</w:t>
      </w:r>
      <w:r w:rsidRPr="00547302">
        <w:rPr>
          <w:sz w:val="20"/>
          <w:szCs w:val="20"/>
        </w:rPr>
        <w:t xml:space="preserve"> (Ont.) (Civil) (By Leave)</w:t>
      </w:r>
      <w:r w:rsidR="00AF2AEF" w:rsidRPr="00547302">
        <w:rPr>
          <w:sz w:val="20"/>
        </w:rPr>
        <w:t xml:space="preserve"> (</w:t>
      </w:r>
      <w:hyperlink r:id="rId15" w:history="1">
        <w:r w:rsidR="00AF2AEF" w:rsidRPr="00547302">
          <w:rPr>
            <w:rStyle w:val="Hyperlink"/>
            <w:sz w:val="20"/>
          </w:rPr>
          <w:t>384</w:t>
        </w:r>
        <w:r w:rsidR="003E1DA0" w:rsidRPr="00547302">
          <w:rPr>
            <w:rStyle w:val="Hyperlink"/>
            <w:sz w:val="20"/>
          </w:rPr>
          <w:t>04</w:t>
        </w:r>
      </w:hyperlink>
      <w:r w:rsidR="00AF2AEF" w:rsidRPr="00547302">
        <w:rPr>
          <w:sz w:val="20"/>
        </w:rPr>
        <w:t>)</w:t>
      </w:r>
    </w:p>
    <w:p w:rsidR="001C65BB" w:rsidRPr="00547302" w:rsidRDefault="001C65BB" w:rsidP="00293FB0">
      <w:pPr>
        <w:ind w:left="357" w:hanging="357"/>
        <w:rPr>
          <w:sz w:val="20"/>
        </w:rPr>
      </w:pPr>
    </w:p>
    <w:p w:rsidR="001C65BB" w:rsidRPr="00547302" w:rsidRDefault="001C65BB" w:rsidP="00293FB0">
      <w:pPr>
        <w:pStyle w:val="ListParagraph"/>
        <w:numPr>
          <w:ilvl w:val="0"/>
          <w:numId w:val="24"/>
        </w:numPr>
        <w:ind w:left="357" w:hanging="357"/>
        <w:rPr>
          <w:sz w:val="20"/>
        </w:rPr>
      </w:pPr>
      <w:r w:rsidRPr="00547302">
        <w:rPr>
          <w:i/>
          <w:sz w:val="20"/>
        </w:rPr>
        <w:t xml:space="preserve">Tim Wood, Litigation Representative of K.S., an Infant v. David Willox, et al. </w:t>
      </w:r>
      <w:r w:rsidRPr="00547302">
        <w:rPr>
          <w:sz w:val="20"/>
        </w:rPr>
        <w:t>(Alta.) (Civil) (By Leave)</w:t>
      </w:r>
      <w:r w:rsidR="00AF2AEF" w:rsidRPr="00547302">
        <w:rPr>
          <w:sz w:val="20"/>
        </w:rPr>
        <w:t xml:space="preserve"> (</w:t>
      </w:r>
      <w:hyperlink r:id="rId16" w:history="1">
        <w:r w:rsidR="00AF2AEF" w:rsidRPr="00547302">
          <w:rPr>
            <w:rStyle w:val="Hyperlink"/>
            <w:sz w:val="20"/>
          </w:rPr>
          <w:t>38</w:t>
        </w:r>
        <w:r w:rsidR="000F352C" w:rsidRPr="00547302">
          <w:rPr>
            <w:rStyle w:val="Hyperlink"/>
            <w:sz w:val="20"/>
          </w:rPr>
          <w:t>3</w:t>
        </w:r>
        <w:r w:rsidR="00AF2AEF" w:rsidRPr="00547302">
          <w:rPr>
            <w:rStyle w:val="Hyperlink"/>
            <w:sz w:val="20"/>
          </w:rPr>
          <w:t>4</w:t>
        </w:r>
        <w:r w:rsidR="000F352C" w:rsidRPr="00547302">
          <w:rPr>
            <w:rStyle w:val="Hyperlink"/>
            <w:sz w:val="20"/>
          </w:rPr>
          <w:t>6</w:t>
        </w:r>
      </w:hyperlink>
      <w:r w:rsidR="00AF2AEF" w:rsidRPr="00547302">
        <w:rPr>
          <w:sz w:val="20"/>
        </w:rPr>
        <w:t>)</w:t>
      </w:r>
    </w:p>
    <w:p w:rsidR="00BF6BD1" w:rsidRPr="00547302" w:rsidRDefault="00BF6BD1" w:rsidP="00293FB0">
      <w:pPr>
        <w:ind w:left="357" w:hanging="357"/>
        <w:rPr>
          <w:sz w:val="20"/>
        </w:rPr>
      </w:pPr>
    </w:p>
    <w:p w:rsidR="0031042A" w:rsidRPr="00547302" w:rsidRDefault="0031042A" w:rsidP="00293FB0">
      <w:pPr>
        <w:pStyle w:val="ListParagraph"/>
        <w:numPr>
          <w:ilvl w:val="0"/>
          <w:numId w:val="24"/>
        </w:numPr>
        <w:ind w:left="357" w:hanging="357"/>
        <w:rPr>
          <w:sz w:val="20"/>
          <w:szCs w:val="20"/>
        </w:rPr>
      </w:pPr>
      <w:r w:rsidRPr="00547302">
        <w:rPr>
          <w:i/>
          <w:sz w:val="20"/>
          <w:szCs w:val="20"/>
        </w:rPr>
        <w:t>Saju Begum v. Minister of Citizenship and Immigration</w:t>
      </w:r>
      <w:r w:rsidRPr="00547302">
        <w:rPr>
          <w:sz w:val="20"/>
          <w:szCs w:val="20"/>
        </w:rPr>
        <w:t xml:space="preserve"> (F</w:t>
      </w:r>
      <w:r w:rsidRPr="00547302">
        <w:rPr>
          <w:sz w:val="20"/>
        </w:rPr>
        <w:t>.</w:t>
      </w:r>
      <w:r w:rsidRPr="00547302">
        <w:rPr>
          <w:sz w:val="20"/>
          <w:szCs w:val="20"/>
        </w:rPr>
        <w:t>C</w:t>
      </w:r>
      <w:r w:rsidRPr="00547302">
        <w:rPr>
          <w:sz w:val="20"/>
        </w:rPr>
        <w:t>.</w:t>
      </w:r>
      <w:r w:rsidRPr="00547302">
        <w:rPr>
          <w:sz w:val="20"/>
          <w:szCs w:val="20"/>
        </w:rPr>
        <w:t>) (Civil) (By Leave)</w:t>
      </w:r>
      <w:r w:rsidR="00AF2AEF" w:rsidRPr="00547302">
        <w:rPr>
          <w:sz w:val="20"/>
        </w:rPr>
        <w:t xml:space="preserve"> (</w:t>
      </w:r>
      <w:hyperlink r:id="rId17" w:history="1">
        <w:r w:rsidR="00AF2AEF" w:rsidRPr="00547302">
          <w:rPr>
            <w:rStyle w:val="Hyperlink"/>
            <w:sz w:val="20"/>
          </w:rPr>
          <w:t>3843</w:t>
        </w:r>
        <w:r w:rsidR="00F91FB8" w:rsidRPr="00547302">
          <w:rPr>
            <w:rStyle w:val="Hyperlink"/>
            <w:sz w:val="20"/>
          </w:rPr>
          <w:t>9</w:t>
        </w:r>
      </w:hyperlink>
      <w:r w:rsidR="00AF2AEF" w:rsidRPr="00547302">
        <w:rPr>
          <w:sz w:val="20"/>
        </w:rPr>
        <w:t>)</w:t>
      </w:r>
    </w:p>
    <w:p w:rsidR="0031042A" w:rsidRPr="00547302" w:rsidRDefault="0031042A" w:rsidP="00293FB0">
      <w:pPr>
        <w:ind w:left="357" w:hanging="357"/>
        <w:rPr>
          <w:sz w:val="20"/>
          <w:lang w:val="en-CA"/>
        </w:rPr>
      </w:pPr>
    </w:p>
    <w:p w:rsidR="0031042A" w:rsidRPr="00547302" w:rsidRDefault="0031042A" w:rsidP="00293FB0">
      <w:pPr>
        <w:pStyle w:val="SCCAppellantInfoAppellantInfo"/>
        <w:numPr>
          <w:ilvl w:val="0"/>
          <w:numId w:val="24"/>
        </w:numPr>
        <w:ind w:left="357" w:hanging="357"/>
        <w:rPr>
          <w:sz w:val="20"/>
          <w:szCs w:val="20"/>
        </w:rPr>
      </w:pPr>
      <w:r w:rsidRPr="00547302">
        <w:rPr>
          <w:i/>
          <w:sz w:val="20"/>
          <w:szCs w:val="20"/>
        </w:rPr>
        <w:t>Chief of Police of the Calgary Police Service v. Marc Strong</w:t>
      </w:r>
      <w:r w:rsidRPr="00547302">
        <w:rPr>
          <w:sz w:val="20"/>
          <w:szCs w:val="20"/>
        </w:rPr>
        <w:t xml:space="preserve"> (Alta.) (Civil) (By Leave)</w:t>
      </w:r>
      <w:r w:rsidR="00AF2AEF" w:rsidRPr="00547302">
        <w:rPr>
          <w:sz w:val="20"/>
          <w:szCs w:val="20"/>
        </w:rPr>
        <w:t xml:space="preserve"> </w:t>
      </w:r>
      <w:r w:rsidR="00AF2AEF" w:rsidRPr="00547302">
        <w:rPr>
          <w:sz w:val="20"/>
        </w:rPr>
        <w:t>(</w:t>
      </w:r>
      <w:hyperlink r:id="rId18" w:history="1">
        <w:r w:rsidR="00AF2AEF" w:rsidRPr="00547302">
          <w:rPr>
            <w:rStyle w:val="Hyperlink"/>
            <w:sz w:val="20"/>
          </w:rPr>
          <w:t>384</w:t>
        </w:r>
        <w:r w:rsidR="00CC0989" w:rsidRPr="00547302">
          <w:rPr>
            <w:rStyle w:val="Hyperlink"/>
            <w:sz w:val="20"/>
          </w:rPr>
          <w:t>46</w:t>
        </w:r>
      </w:hyperlink>
      <w:r w:rsidR="00AF2AEF" w:rsidRPr="00547302">
        <w:rPr>
          <w:sz w:val="20"/>
        </w:rPr>
        <w:t>)</w:t>
      </w:r>
    </w:p>
    <w:p w:rsidR="0031042A" w:rsidRPr="00547302" w:rsidRDefault="0031042A" w:rsidP="00293FB0">
      <w:pPr>
        <w:ind w:left="357" w:hanging="357"/>
        <w:rPr>
          <w:sz w:val="20"/>
          <w:lang w:val="en-CA"/>
        </w:rPr>
      </w:pPr>
    </w:p>
    <w:p w:rsidR="0031042A" w:rsidRPr="00547302" w:rsidRDefault="0031042A" w:rsidP="00293FB0">
      <w:pPr>
        <w:pStyle w:val="SCCAppellantInfoAppellantInfo"/>
        <w:numPr>
          <w:ilvl w:val="0"/>
          <w:numId w:val="24"/>
        </w:numPr>
        <w:ind w:left="357" w:hanging="357"/>
        <w:rPr>
          <w:sz w:val="20"/>
          <w:szCs w:val="20"/>
          <w:lang w:val="fr-CA"/>
        </w:rPr>
      </w:pPr>
      <w:r w:rsidRPr="00547302">
        <w:rPr>
          <w:i/>
          <w:sz w:val="20"/>
          <w:szCs w:val="20"/>
        </w:rPr>
        <w:t>Chief of Police of the Edmonton Police Service, et al. v. Cst. T. Deluca</w:t>
      </w:r>
      <w:r w:rsidRPr="00547302">
        <w:rPr>
          <w:sz w:val="20"/>
          <w:szCs w:val="20"/>
        </w:rPr>
        <w:t xml:space="preserve"> </w:t>
      </w:r>
      <w:r w:rsidRPr="00547302">
        <w:rPr>
          <w:i/>
          <w:sz w:val="20"/>
          <w:szCs w:val="20"/>
        </w:rPr>
        <w:t>(No. 2393), et al.</w:t>
      </w:r>
      <w:r w:rsidRPr="00547302">
        <w:rPr>
          <w:sz w:val="20"/>
          <w:szCs w:val="20"/>
        </w:rPr>
        <w:t xml:space="preserve"> </w:t>
      </w:r>
      <w:r w:rsidRPr="00547302">
        <w:rPr>
          <w:sz w:val="20"/>
          <w:szCs w:val="20"/>
          <w:lang w:val="fr-CA"/>
        </w:rPr>
        <w:t>(Alta.) (Civil) (By Leave)</w:t>
      </w:r>
      <w:r w:rsidR="00AF2AEF" w:rsidRPr="00547302">
        <w:rPr>
          <w:sz w:val="20"/>
          <w:szCs w:val="20"/>
          <w:lang w:val="fr-CA"/>
        </w:rPr>
        <w:t xml:space="preserve"> </w:t>
      </w:r>
      <w:r w:rsidR="00AF2AEF" w:rsidRPr="00547302">
        <w:rPr>
          <w:sz w:val="20"/>
        </w:rPr>
        <w:t>(</w:t>
      </w:r>
      <w:hyperlink r:id="rId19" w:history="1">
        <w:r w:rsidR="00AF2AEF" w:rsidRPr="00547302">
          <w:rPr>
            <w:rStyle w:val="Hyperlink"/>
            <w:sz w:val="20"/>
          </w:rPr>
          <w:t>384</w:t>
        </w:r>
        <w:r w:rsidR="00CB1F6C" w:rsidRPr="00547302">
          <w:rPr>
            <w:rStyle w:val="Hyperlink"/>
            <w:sz w:val="20"/>
          </w:rPr>
          <w:t>47</w:t>
        </w:r>
      </w:hyperlink>
      <w:r w:rsidR="00AF2AEF" w:rsidRPr="00547302">
        <w:rPr>
          <w:sz w:val="20"/>
        </w:rPr>
        <w:t>)</w:t>
      </w:r>
    </w:p>
    <w:p w:rsidR="0031042A" w:rsidRPr="00547302" w:rsidRDefault="0031042A" w:rsidP="00293FB0">
      <w:pPr>
        <w:ind w:left="357" w:hanging="357"/>
        <w:rPr>
          <w:sz w:val="20"/>
          <w:lang w:val="fr-CA"/>
        </w:rPr>
      </w:pPr>
    </w:p>
    <w:p w:rsidR="0031042A" w:rsidRPr="00547302" w:rsidRDefault="0031042A" w:rsidP="00293FB0">
      <w:pPr>
        <w:pStyle w:val="SCCAppellantInfoAppellantInfo"/>
        <w:numPr>
          <w:ilvl w:val="0"/>
          <w:numId w:val="24"/>
        </w:numPr>
        <w:ind w:left="357" w:hanging="357"/>
        <w:rPr>
          <w:sz w:val="20"/>
          <w:szCs w:val="20"/>
          <w:lang w:val="fr-CA"/>
        </w:rPr>
      </w:pPr>
      <w:r w:rsidRPr="00547302">
        <w:rPr>
          <w:i/>
          <w:sz w:val="20"/>
          <w:szCs w:val="20"/>
          <w:lang w:val="fr-CA"/>
        </w:rPr>
        <w:lastRenderedPageBreak/>
        <w:t>Rossita Stoyanova c. Litwin Boyadjian inc., ès qualités de syndic dans la faill</w:t>
      </w:r>
      <w:r w:rsidR="008F42FB" w:rsidRPr="00547302">
        <w:rPr>
          <w:i/>
          <w:sz w:val="20"/>
          <w:szCs w:val="20"/>
          <w:lang w:val="fr-CA"/>
        </w:rPr>
        <w:t>ite</w:t>
      </w:r>
      <w:r w:rsidRPr="00547302">
        <w:rPr>
          <w:i/>
          <w:sz w:val="20"/>
          <w:szCs w:val="20"/>
          <w:lang w:val="fr-CA"/>
        </w:rPr>
        <w:t xml:space="preserve"> de Les Disques Mile End inc., et al.</w:t>
      </w:r>
      <w:r w:rsidRPr="00547302">
        <w:rPr>
          <w:sz w:val="20"/>
          <w:szCs w:val="20"/>
          <w:lang w:val="fr-CA"/>
        </w:rPr>
        <w:t xml:space="preserve"> (Qc) (Civile) (Autorisation) </w:t>
      </w:r>
      <w:r w:rsidR="00AF2AEF" w:rsidRPr="00547302">
        <w:rPr>
          <w:sz w:val="20"/>
          <w:lang w:val="fr-CA"/>
        </w:rPr>
        <w:t>(</w:t>
      </w:r>
      <w:hyperlink r:id="rId20" w:history="1">
        <w:r w:rsidR="00AF2AEF" w:rsidRPr="00547302">
          <w:rPr>
            <w:rStyle w:val="Hyperlink"/>
            <w:sz w:val="20"/>
            <w:lang w:val="fr-CA"/>
          </w:rPr>
          <w:t>384</w:t>
        </w:r>
        <w:r w:rsidR="00E24A15" w:rsidRPr="00547302">
          <w:rPr>
            <w:rStyle w:val="Hyperlink"/>
            <w:sz w:val="20"/>
            <w:lang w:val="fr-CA"/>
          </w:rPr>
          <w:t>56</w:t>
        </w:r>
      </w:hyperlink>
      <w:r w:rsidR="00AF2AEF" w:rsidRPr="00547302">
        <w:rPr>
          <w:sz w:val="20"/>
          <w:lang w:val="fr-CA"/>
        </w:rPr>
        <w:t>)</w:t>
      </w:r>
    </w:p>
    <w:p w:rsidR="0031042A" w:rsidRPr="00547302" w:rsidRDefault="0031042A" w:rsidP="00293FB0">
      <w:pPr>
        <w:ind w:left="357" w:hanging="357"/>
        <w:rPr>
          <w:sz w:val="20"/>
          <w:lang w:val="fr-CA"/>
        </w:rPr>
      </w:pPr>
    </w:p>
    <w:p w:rsidR="0031042A" w:rsidRPr="00547302" w:rsidRDefault="0031042A" w:rsidP="00293FB0">
      <w:pPr>
        <w:pStyle w:val="SCCAppellantInfoAppellantInfo"/>
        <w:numPr>
          <w:ilvl w:val="0"/>
          <w:numId w:val="24"/>
        </w:numPr>
        <w:ind w:left="357" w:hanging="357"/>
        <w:rPr>
          <w:sz w:val="20"/>
          <w:szCs w:val="20"/>
          <w:lang w:val="en-US"/>
        </w:rPr>
      </w:pPr>
      <w:r w:rsidRPr="00025AF5">
        <w:rPr>
          <w:i/>
          <w:sz w:val="20"/>
          <w:szCs w:val="20"/>
          <w:lang w:val="en-US"/>
        </w:rPr>
        <w:t>Emil Mihaylov, et al. v. Long Beach Residents’ Association, et al.</w:t>
      </w:r>
      <w:r w:rsidRPr="00025AF5">
        <w:rPr>
          <w:sz w:val="20"/>
          <w:szCs w:val="20"/>
          <w:lang w:val="en-US"/>
        </w:rPr>
        <w:t xml:space="preserve"> (Ont.) (Civil) (By Leave) </w:t>
      </w:r>
      <w:r w:rsidR="00AF2AEF" w:rsidRPr="00025AF5">
        <w:rPr>
          <w:sz w:val="20"/>
          <w:lang w:val="en-US"/>
        </w:rPr>
        <w:t>(</w:t>
      </w:r>
      <w:hyperlink r:id="rId21" w:history="1">
        <w:r w:rsidR="00AF2AEF" w:rsidRPr="00547302">
          <w:rPr>
            <w:rStyle w:val="Hyperlink"/>
            <w:sz w:val="20"/>
          </w:rPr>
          <w:t>384</w:t>
        </w:r>
        <w:r w:rsidR="00E0675C" w:rsidRPr="00547302">
          <w:rPr>
            <w:rStyle w:val="Hyperlink"/>
            <w:sz w:val="20"/>
          </w:rPr>
          <w:t>62</w:t>
        </w:r>
      </w:hyperlink>
      <w:r w:rsidR="00AF2AEF" w:rsidRPr="00547302">
        <w:rPr>
          <w:sz w:val="20"/>
        </w:rPr>
        <w:t>)</w:t>
      </w:r>
    </w:p>
    <w:p w:rsidR="0031042A" w:rsidRPr="00547302" w:rsidRDefault="0031042A" w:rsidP="00293FB0">
      <w:pPr>
        <w:ind w:left="357" w:hanging="357"/>
        <w:rPr>
          <w:sz w:val="20"/>
        </w:rPr>
      </w:pPr>
    </w:p>
    <w:p w:rsidR="00BF6BD1" w:rsidRPr="00547302" w:rsidRDefault="00BF6BD1" w:rsidP="006A22CA">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04A6F" w:rsidRPr="00547302" w:rsidTr="00D04A6F">
        <w:tc>
          <w:tcPr>
            <w:tcW w:w="543" w:type="pct"/>
          </w:tcPr>
          <w:p w:rsidR="00D04A6F" w:rsidRPr="00547302" w:rsidRDefault="00D04A6F" w:rsidP="00AA1FE0">
            <w:pPr>
              <w:jc w:val="both"/>
              <w:rPr>
                <w:sz w:val="20"/>
              </w:rPr>
            </w:pPr>
            <w:r w:rsidRPr="00547302">
              <w:rPr>
                <w:rStyle w:val="SCCFileNumberChar"/>
                <w:sz w:val="20"/>
                <w:szCs w:val="20"/>
              </w:rPr>
              <w:t>38449</w:t>
            </w:r>
          </w:p>
        </w:tc>
        <w:tc>
          <w:tcPr>
            <w:tcW w:w="4457" w:type="pct"/>
            <w:gridSpan w:val="3"/>
          </w:tcPr>
          <w:p w:rsidR="00D04A6F" w:rsidRPr="00025AF5" w:rsidRDefault="00D04A6F" w:rsidP="00AA1FE0">
            <w:pPr>
              <w:pStyle w:val="SCCLsocParty"/>
              <w:jc w:val="both"/>
              <w:rPr>
                <w:b/>
                <w:sz w:val="20"/>
                <w:szCs w:val="20"/>
                <w:lang w:val="en-US"/>
              </w:rPr>
            </w:pPr>
            <w:r w:rsidRPr="00547302">
              <w:rPr>
                <w:b/>
                <w:sz w:val="20"/>
                <w:szCs w:val="20"/>
                <w:lang w:val="en-US"/>
              </w:rPr>
              <w:t xml:space="preserve">Errol Massiah v. </w:t>
            </w:r>
            <w:r w:rsidR="00025AF5" w:rsidRPr="00025AF5">
              <w:rPr>
                <w:b/>
                <w:sz w:val="20"/>
                <w:szCs w:val="20"/>
                <w:lang w:val="en-US"/>
              </w:rPr>
              <w:t>Justices of the Peace Review Council, Lieutenant Governor by and with the advice and concurrence of the Executive Council of the Legislative Assembly for the Province of Ontario and Attorney General for Ontario</w:t>
            </w:r>
          </w:p>
          <w:p w:rsidR="00D04A6F" w:rsidRPr="00547302" w:rsidRDefault="00D04A6F" w:rsidP="00AA1FE0">
            <w:pPr>
              <w:pStyle w:val="SCCLsocOtherPartySeparator"/>
              <w:rPr>
                <w:sz w:val="20"/>
                <w:szCs w:val="20"/>
              </w:rPr>
            </w:pPr>
            <w:r w:rsidRPr="00547302">
              <w:rPr>
                <w:sz w:val="20"/>
                <w:szCs w:val="20"/>
              </w:rPr>
              <w:t>— and —</w:t>
            </w:r>
          </w:p>
          <w:p w:rsidR="00D04A6F" w:rsidRPr="00547302" w:rsidRDefault="00D04A6F" w:rsidP="00AA1FE0">
            <w:pPr>
              <w:pStyle w:val="SCCLsocParty"/>
              <w:jc w:val="both"/>
              <w:rPr>
                <w:b/>
                <w:sz w:val="20"/>
                <w:szCs w:val="20"/>
                <w:lang w:val="en-US"/>
              </w:rPr>
            </w:pPr>
            <w:r w:rsidRPr="00547302">
              <w:rPr>
                <w:b/>
                <w:sz w:val="20"/>
                <w:szCs w:val="20"/>
                <w:lang w:val="en-US"/>
              </w:rPr>
              <w:t>Raj Anand</w:t>
            </w:r>
            <w:r w:rsidR="00025AF5">
              <w:rPr>
                <w:b/>
                <w:sz w:val="20"/>
                <w:szCs w:val="20"/>
                <w:lang w:val="en-US"/>
              </w:rPr>
              <w:t xml:space="preserve"> and </w:t>
            </w:r>
            <w:r w:rsidRPr="00547302">
              <w:rPr>
                <w:b/>
                <w:sz w:val="20"/>
                <w:szCs w:val="20"/>
                <w:lang w:val="en-US"/>
              </w:rPr>
              <w:t>Weir Foulds LLP</w:t>
            </w:r>
          </w:p>
          <w:p w:rsidR="00D04A6F" w:rsidRPr="00547302" w:rsidRDefault="00D04A6F" w:rsidP="00AA1FE0">
            <w:pPr>
              <w:jc w:val="both"/>
              <w:rPr>
                <w:sz w:val="20"/>
              </w:rPr>
            </w:pPr>
            <w:r w:rsidRPr="00547302">
              <w:rPr>
                <w:sz w:val="20"/>
              </w:rPr>
              <w:t>(Ont.) (Civil) (By Leave)</w:t>
            </w:r>
          </w:p>
        </w:tc>
      </w:tr>
      <w:tr w:rsidR="00D04A6F" w:rsidRPr="00547302" w:rsidTr="00D04A6F">
        <w:tc>
          <w:tcPr>
            <w:tcW w:w="5000" w:type="pct"/>
            <w:gridSpan w:val="4"/>
          </w:tcPr>
          <w:p w:rsidR="00D04A6F" w:rsidRPr="00547302" w:rsidRDefault="00D04A6F" w:rsidP="00AA1FE0">
            <w:pPr>
              <w:jc w:val="both"/>
              <w:rPr>
                <w:sz w:val="20"/>
              </w:rPr>
            </w:pPr>
            <w:r w:rsidRPr="00547302">
              <w:rPr>
                <w:sz w:val="20"/>
              </w:rPr>
              <w:t xml:space="preserve">Civil procedure — Abuse of process — Representation by counsel — Does the Ontario Court of Appeal’s refusal to grant leave raise a question of public importance? — </w:t>
            </w:r>
            <w:r w:rsidRPr="00547302">
              <w:rPr>
                <w:i/>
                <w:sz w:val="20"/>
              </w:rPr>
              <w:t>Rules of Civil Procedure</w:t>
            </w:r>
            <w:r w:rsidRPr="00547302">
              <w:rPr>
                <w:sz w:val="20"/>
              </w:rPr>
              <w:t xml:space="preserve">, RRO 1990, </w:t>
            </w:r>
            <w:proofErr w:type="spellStart"/>
            <w:r w:rsidRPr="00547302">
              <w:rPr>
                <w:sz w:val="20"/>
              </w:rPr>
              <w:t>Reg</w:t>
            </w:r>
            <w:proofErr w:type="spellEnd"/>
            <w:r w:rsidRPr="00547302">
              <w:rPr>
                <w:sz w:val="20"/>
              </w:rPr>
              <w:t xml:space="preserve"> 194, Rule 59.06</w:t>
            </w:r>
          </w:p>
          <w:p w:rsidR="00D04A6F" w:rsidRPr="00547302" w:rsidRDefault="00D04A6F" w:rsidP="00AA1FE0">
            <w:pPr>
              <w:jc w:val="both"/>
              <w:rPr>
                <w:sz w:val="20"/>
              </w:rPr>
            </w:pPr>
          </w:p>
        </w:tc>
      </w:tr>
      <w:tr w:rsidR="00D04A6F" w:rsidRPr="00547302" w:rsidTr="00D04A6F">
        <w:tc>
          <w:tcPr>
            <w:tcW w:w="5000" w:type="pct"/>
            <w:gridSpan w:val="4"/>
          </w:tcPr>
          <w:p w:rsidR="00D04A6F" w:rsidRPr="00547302" w:rsidRDefault="00D04A6F" w:rsidP="00AA1FE0">
            <w:pPr>
              <w:jc w:val="both"/>
              <w:rPr>
                <w:sz w:val="20"/>
              </w:rPr>
            </w:pPr>
            <w:proofErr w:type="spellStart"/>
            <w:r w:rsidRPr="00547302">
              <w:rPr>
                <w:sz w:val="20"/>
              </w:rPr>
              <w:t>Erroll</w:t>
            </w:r>
            <w:proofErr w:type="spellEnd"/>
            <w:r w:rsidRPr="00547302">
              <w:rPr>
                <w:sz w:val="20"/>
              </w:rPr>
              <w:t xml:space="preserve"> Massiah is a former justice of the peace. In 2011 and 2012 he faced two separate hearings before the Justices of the Peace Review Council for misconduct towards multiple women at two courthouses. The first hearing resulted in mandated training plus a ten day suspension without pay. The second hearing resulted in a recommendation that Mr. Massiah be removed from office. By way of an Order in Council, he was removed from office on April 29, 2015. Mr. Massiah applied to the Ontario Superior Court of Justice for judicial review of his removal which was partially allowed on the issue of compensation for litigation costs. In June 2017, the Court of Appeal of Ontario denied leave to appeal the judicial review decision. Mr. Massiah then moved to reopen the judicial review at the Ontario Superior Court of Justice on the basis of Rule 59.06 of the </w:t>
            </w:r>
            <w:r w:rsidRPr="00547302">
              <w:rPr>
                <w:i/>
                <w:sz w:val="20"/>
              </w:rPr>
              <w:t>Rules of Civil Procedure</w:t>
            </w:r>
            <w:r w:rsidRPr="00547302">
              <w:rPr>
                <w:sz w:val="20"/>
              </w:rPr>
              <w:t xml:space="preserve">, RRO 1990, </w:t>
            </w:r>
            <w:proofErr w:type="spellStart"/>
            <w:proofErr w:type="gramStart"/>
            <w:r w:rsidRPr="00547302">
              <w:rPr>
                <w:sz w:val="20"/>
              </w:rPr>
              <w:t>Reg</w:t>
            </w:r>
            <w:proofErr w:type="spellEnd"/>
            <w:proofErr w:type="gramEnd"/>
            <w:r w:rsidRPr="00547302">
              <w:rPr>
                <w:sz w:val="20"/>
              </w:rPr>
              <w:t> 194. His motion was dismissed as an abuse of process. Leave for appeal was then dismissed by the Court of Appeal for Ontario.</w:t>
            </w:r>
          </w:p>
        </w:tc>
      </w:tr>
      <w:tr w:rsidR="00D04A6F" w:rsidRPr="00547302" w:rsidTr="00D04A6F">
        <w:tc>
          <w:tcPr>
            <w:tcW w:w="5000" w:type="pct"/>
            <w:gridSpan w:val="4"/>
          </w:tcPr>
          <w:p w:rsidR="00D04A6F" w:rsidRPr="00547302" w:rsidRDefault="00D04A6F" w:rsidP="00AA1FE0">
            <w:pPr>
              <w:jc w:val="both"/>
              <w:rPr>
                <w:sz w:val="20"/>
              </w:rPr>
            </w:pPr>
          </w:p>
        </w:tc>
      </w:tr>
      <w:tr w:rsidR="00D04A6F" w:rsidRPr="00547302" w:rsidTr="00D04A6F">
        <w:tc>
          <w:tcPr>
            <w:tcW w:w="2427" w:type="pct"/>
            <w:gridSpan w:val="2"/>
          </w:tcPr>
          <w:p w:rsidR="00D04A6F" w:rsidRPr="00547302" w:rsidRDefault="00D04A6F" w:rsidP="00AA1FE0">
            <w:pPr>
              <w:jc w:val="both"/>
              <w:rPr>
                <w:sz w:val="20"/>
              </w:rPr>
            </w:pPr>
            <w:r w:rsidRPr="00547302">
              <w:rPr>
                <w:sz w:val="20"/>
              </w:rPr>
              <w:t>April 9, 2018</w:t>
            </w:r>
          </w:p>
          <w:p w:rsidR="00D04A6F" w:rsidRPr="00547302" w:rsidRDefault="00D04A6F" w:rsidP="00AA1FE0">
            <w:pPr>
              <w:jc w:val="both"/>
              <w:rPr>
                <w:sz w:val="20"/>
              </w:rPr>
            </w:pPr>
            <w:r w:rsidRPr="00547302">
              <w:rPr>
                <w:sz w:val="20"/>
              </w:rPr>
              <w:t>Ontario Superior Court of Justice</w:t>
            </w:r>
          </w:p>
          <w:p w:rsidR="00D04A6F" w:rsidRPr="00547302" w:rsidRDefault="00D04A6F" w:rsidP="00AA1FE0">
            <w:pPr>
              <w:jc w:val="both"/>
              <w:rPr>
                <w:sz w:val="20"/>
              </w:rPr>
            </w:pPr>
            <w:r w:rsidRPr="00547302">
              <w:rPr>
                <w:sz w:val="20"/>
              </w:rPr>
              <w:t xml:space="preserve">(Conway, </w:t>
            </w:r>
            <w:proofErr w:type="spellStart"/>
            <w:r w:rsidRPr="00547302">
              <w:rPr>
                <w:sz w:val="20"/>
              </w:rPr>
              <w:t>McKelvey</w:t>
            </w:r>
            <w:proofErr w:type="spellEnd"/>
            <w:r w:rsidRPr="00547302">
              <w:rPr>
                <w:sz w:val="20"/>
              </w:rPr>
              <w:t>, and Myers JJ.)</w:t>
            </w:r>
          </w:p>
          <w:p w:rsidR="00D04A6F" w:rsidRPr="00547302" w:rsidRDefault="00FC1FD2" w:rsidP="00AA1FE0">
            <w:pPr>
              <w:jc w:val="both"/>
              <w:rPr>
                <w:sz w:val="20"/>
              </w:rPr>
            </w:pPr>
            <w:hyperlink r:id="rId22" w:history="1">
              <w:r w:rsidR="00D04A6F" w:rsidRPr="00547302">
                <w:rPr>
                  <w:rStyle w:val="Hyperlink"/>
                  <w:sz w:val="20"/>
                </w:rPr>
                <w:t>2018 ONSC 2179</w:t>
              </w:r>
            </w:hyperlink>
          </w:p>
          <w:p w:rsidR="00D04A6F" w:rsidRPr="00547302" w:rsidRDefault="00D04A6F" w:rsidP="00AA1FE0">
            <w:pPr>
              <w:jc w:val="both"/>
              <w:rPr>
                <w:sz w:val="20"/>
              </w:rPr>
            </w:pPr>
          </w:p>
        </w:tc>
        <w:tc>
          <w:tcPr>
            <w:tcW w:w="243" w:type="pct"/>
          </w:tcPr>
          <w:p w:rsidR="00D04A6F" w:rsidRPr="00547302" w:rsidRDefault="00D04A6F" w:rsidP="00AA1FE0">
            <w:pPr>
              <w:jc w:val="both"/>
              <w:rPr>
                <w:sz w:val="20"/>
              </w:rPr>
            </w:pPr>
          </w:p>
        </w:tc>
        <w:tc>
          <w:tcPr>
            <w:tcW w:w="2330" w:type="pct"/>
          </w:tcPr>
          <w:p w:rsidR="00D04A6F" w:rsidRPr="00547302" w:rsidRDefault="00D04A6F" w:rsidP="00AA1FE0">
            <w:pPr>
              <w:jc w:val="both"/>
              <w:rPr>
                <w:sz w:val="20"/>
              </w:rPr>
            </w:pPr>
            <w:r w:rsidRPr="00547302">
              <w:rPr>
                <w:sz w:val="20"/>
              </w:rPr>
              <w:t>Motion to reopen dismissed.</w:t>
            </w:r>
          </w:p>
        </w:tc>
      </w:tr>
      <w:tr w:rsidR="00D04A6F" w:rsidRPr="00547302" w:rsidTr="00D04A6F">
        <w:tc>
          <w:tcPr>
            <w:tcW w:w="2427" w:type="pct"/>
            <w:gridSpan w:val="2"/>
          </w:tcPr>
          <w:p w:rsidR="00D04A6F" w:rsidRPr="00547302" w:rsidRDefault="00D04A6F" w:rsidP="00AA1FE0">
            <w:pPr>
              <w:jc w:val="both"/>
              <w:rPr>
                <w:sz w:val="20"/>
              </w:rPr>
            </w:pPr>
            <w:r w:rsidRPr="00547302">
              <w:rPr>
                <w:sz w:val="20"/>
              </w:rPr>
              <w:t>July 24, 2018</w:t>
            </w:r>
          </w:p>
          <w:p w:rsidR="00D04A6F" w:rsidRPr="00547302" w:rsidRDefault="00D04A6F" w:rsidP="00AA1FE0">
            <w:pPr>
              <w:jc w:val="both"/>
              <w:rPr>
                <w:sz w:val="20"/>
              </w:rPr>
            </w:pPr>
            <w:r w:rsidRPr="00547302">
              <w:rPr>
                <w:sz w:val="20"/>
              </w:rPr>
              <w:t>Court of Appeal for Ontario</w:t>
            </w:r>
          </w:p>
          <w:p w:rsidR="00D04A6F" w:rsidRPr="00547302" w:rsidRDefault="00D04A6F" w:rsidP="00AA1FE0">
            <w:pPr>
              <w:jc w:val="both"/>
              <w:rPr>
                <w:sz w:val="20"/>
              </w:rPr>
            </w:pPr>
            <w:r w:rsidRPr="00547302">
              <w:rPr>
                <w:sz w:val="20"/>
              </w:rPr>
              <w:t>(</w:t>
            </w:r>
            <w:proofErr w:type="spellStart"/>
            <w:r w:rsidRPr="00547302">
              <w:rPr>
                <w:sz w:val="20"/>
              </w:rPr>
              <w:t>MacFarland</w:t>
            </w:r>
            <w:proofErr w:type="spellEnd"/>
            <w:r w:rsidRPr="00547302">
              <w:rPr>
                <w:sz w:val="20"/>
              </w:rPr>
              <w:t xml:space="preserve"> J.A.)</w:t>
            </w:r>
          </w:p>
          <w:p w:rsidR="00D04A6F" w:rsidRPr="00547302" w:rsidRDefault="00D04A6F" w:rsidP="00AA1FE0">
            <w:pPr>
              <w:jc w:val="both"/>
              <w:rPr>
                <w:sz w:val="20"/>
              </w:rPr>
            </w:pPr>
            <w:r w:rsidRPr="00547302">
              <w:rPr>
                <w:sz w:val="20"/>
              </w:rPr>
              <w:t>M49430 (Unreported)</w:t>
            </w:r>
          </w:p>
          <w:p w:rsidR="00D04A6F" w:rsidRPr="00547302" w:rsidRDefault="00D04A6F" w:rsidP="00AA1FE0">
            <w:pPr>
              <w:jc w:val="both"/>
              <w:rPr>
                <w:sz w:val="20"/>
              </w:rPr>
            </w:pPr>
          </w:p>
        </w:tc>
        <w:tc>
          <w:tcPr>
            <w:tcW w:w="243" w:type="pct"/>
          </w:tcPr>
          <w:p w:rsidR="00D04A6F" w:rsidRPr="00547302" w:rsidRDefault="00D04A6F" w:rsidP="00AA1FE0">
            <w:pPr>
              <w:jc w:val="both"/>
              <w:rPr>
                <w:sz w:val="20"/>
              </w:rPr>
            </w:pPr>
          </w:p>
        </w:tc>
        <w:tc>
          <w:tcPr>
            <w:tcW w:w="2330" w:type="pct"/>
          </w:tcPr>
          <w:p w:rsidR="00D04A6F" w:rsidRPr="00547302" w:rsidRDefault="00D04A6F" w:rsidP="00AA1FE0">
            <w:pPr>
              <w:jc w:val="both"/>
              <w:rPr>
                <w:sz w:val="20"/>
              </w:rPr>
            </w:pPr>
            <w:r w:rsidRPr="00547302">
              <w:rPr>
                <w:sz w:val="20"/>
              </w:rPr>
              <w:t>Motion for an extension of time to perfect application granted.</w:t>
            </w:r>
          </w:p>
        </w:tc>
      </w:tr>
      <w:tr w:rsidR="00D04A6F" w:rsidRPr="00547302" w:rsidTr="00D04A6F">
        <w:tc>
          <w:tcPr>
            <w:tcW w:w="2427" w:type="pct"/>
            <w:gridSpan w:val="2"/>
          </w:tcPr>
          <w:p w:rsidR="00D04A6F" w:rsidRPr="00547302" w:rsidRDefault="00D04A6F" w:rsidP="00AA1FE0">
            <w:pPr>
              <w:jc w:val="both"/>
              <w:rPr>
                <w:sz w:val="20"/>
              </w:rPr>
            </w:pPr>
            <w:r w:rsidRPr="00547302">
              <w:rPr>
                <w:sz w:val="20"/>
              </w:rPr>
              <w:t>October 19, 2018</w:t>
            </w:r>
          </w:p>
          <w:p w:rsidR="00D04A6F" w:rsidRPr="00547302" w:rsidRDefault="00D04A6F" w:rsidP="00AA1FE0">
            <w:pPr>
              <w:jc w:val="both"/>
              <w:rPr>
                <w:sz w:val="20"/>
              </w:rPr>
            </w:pPr>
            <w:r w:rsidRPr="00547302">
              <w:rPr>
                <w:sz w:val="20"/>
              </w:rPr>
              <w:t>Court of Appeal for Ontario</w:t>
            </w:r>
          </w:p>
          <w:p w:rsidR="00D04A6F" w:rsidRPr="00547302" w:rsidRDefault="00D04A6F" w:rsidP="00AA1FE0">
            <w:pPr>
              <w:jc w:val="both"/>
              <w:rPr>
                <w:sz w:val="20"/>
              </w:rPr>
            </w:pPr>
            <w:r w:rsidRPr="00547302">
              <w:rPr>
                <w:sz w:val="20"/>
              </w:rPr>
              <w:t xml:space="preserve">(Feldman, </w:t>
            </w:r>
            <w:proofErr w:type="spellStart"/>
            <w:r w:rsidRPr="00547302">
              <w:rPr>
                <w:sz w:val="20"/>
              </w:rPr>
              <w:t>Pepall</w:t>
            </w:r>
            <w:proofErr w:type="spellEnd"/>
            <w:r w:rsidRPr="00547302">
              <w:rPr>
                <w:sz w:val="20"/>
              </w:rPr>
              <w:t>, and Pardu JJ.A.)</w:t>
            </w:r>
          </w:p>
          <w:p w:rsidR="00D04A6F" w:rsidRPr="00547302" w:rsidRDefault="00D04A6F" w:rsidP="00AA1FE0">
            <w:pPr>
              <w:jc w:val="both"/>
              <w:rPr>
                <w:sz w:val="20"/>
              </w:rPr>
            </w:pPr>
            <w:r w:rsidRPr="00547302">
              <w:rPr>
                <w:sz w:val="20"/>
              </w:rPr>
              <w:t>M49113 (Unreported)</w:t>
            </w:r>
          </w:p>
          <w:p w:rsidR="00D04A6F" w:rsidRPr="00547302" w:rsidRDefault="00D04A6F" w:rsidP="00AA1FE0">
            <w:pPr>
              <w:jc w:val="both"/>
              <w:rPr>
                <w:sz w:val="20"/>
              </w:rPr>
            </w:pPr>
          </w:p>
        </w:tc>
        <w:tc>
          <w:tcPr>
            <w:tcW w:w="243" w:type="pct"/>
          </w:tcPr>
          <w:p w:rsidR="00D04A6F" w:rsidRPr="00547302" w:rsidRDefault="00D04A6F" w:rsidP="00AA1FE0">
            <w:pPr>
              <w:jc w:val="both"/>
              <w:rPr>
                <w:sz w:val="20"/>
              </w:rPr>
            </w:pPr>
          </w:p>
        </w:tc>
        <w:tc>
          <w:tcPr>
            <w:tcW w:w="2330" w:type="pct"/>
          </w:tcPr>
          <w:p w:rsidR="00D04A6F" w:rsidRPr="00547302" w:rsidRDefault="00D04A6F" w:rsidP="00AA1FE0">
            <w:pPr>
              <w:jc w:val="both"/>
              <w:rPr>
                <w:sz w:val="20"/>
              </w:rPr>
            </w:pPr>
            <w:r w:rsidRPr="00547302">
              <w:rPr>
                <w:sz w:val="20"/>
              </w:rPr>
              <w:t>Application for leave to appeal dismissed.</w:t>
            </w:r>
          </w:p>
        </w:tc>
      </w:tr>
      <w:tr w:rsidR="00D04A6F" w:rsidRPr="00547302" w:rsidTr="00D04A6F">
        <w:tc>
          <w:tcPr>
            <w:tcW w:w="2427" w:type="pct"/>
            <w:gridSpan w:val="2"/>
          </w:tcPr>
          <w:p w:rsidR="00D04A6F" w:rsidRPr="00547302" w:rsidRDefault="00D04A6F" w:rsidP="00AA1FE0">
            <w:pPr>
              <w:jc w:val="both"/>
              <w:rPr>
                <w:sz w:val="20"/>
              </w:rPr>
            </w:pPr>
            <w:r w:rsidRPr="00547302">
              <w:rPr>
                <w:sz w:val="20"/>
              </w:rPr>
              <w:t>December 18, 2018</w:t>
            </w:r>
          </w:p>
          <w:p w:rsidR="00D04A6F" w:rsidRPr="00547302" w:rsidRDefault="00D04A6F" w:rsidP="00AA1FE0">
            <w:pPr>
              <w:jc w:val="both"/>
              <w:rPr>
                <w:sz w:val="20"/>
              </w:rPr>
            </w:pPr>
            <w:r w:rsidRPr="00547302">
              <w:rPr>
                <w:sz w:val="20"/>
              </w:rPr>
              <w:t>Supreme Court of Canada</w:t>
            </w:r>
          </w:p>
        </w:tc>
        <w:tc>
          <w:tcPr>
            <w:tcW w:w="243" w:type="pct"/>
          </w:tcPr>
          <w:p w:rsidR="00D04A6F" w:rsidRPr="00547302" w:rsidRDefault="00D04A6F" w:rsidP="00AA1FE0">
            <w:pPr>
              <w:jc w:val="both"/>
              <w:rPr>
                <w:sz w:val="20"/>
              </w:rPr>
            </w:pPr>
          </w:p>
        </w:tc>
        <w:tc>
          <w:tcPr>
            <w:tcW w:w="2330" w:type="pct"/>
          </w:tcPr>
          <w:p w:rsidR="00D04A6F" w:rsidRPr="00547302" w:rsidRDefault="00D04A6F" w:rsidP="00AA1FE0">
            <w:pPr>
              <w:jc w:val="both"/>
              <w:rPr>
                <w:sz w:val="20"/>
              </w:rPr>
            </w:pPr>
            <w:r w:rsidRPr="00547302">
              <w:rPr>
                <w:sz w:val="20"/>
              </w:rPr>
              <w:t>Application for leave to appeal filed</w:t>
            </w:r>
          </w:p>
          <w:p w:rsidR="00D04A6F" w:rsidRPr="00547302" w:rsidRDefault="00D04A6F" w:rsidP="00AA1FE0">
            <w:pPr>
              <w:jc w:val="both"/>
              <w:rPr>
                <w:sz w:val="20"/>
              </w:rPr>
            </w:pPr>
          </w:p>
        </w:tc>
      </w:tr>
    </w:tbl>
    <w:p w:rsidR="00D04A6F" w:rsidRPr="00547302" w:rsidRDefault="00D04A6F" w:rsidP="00AA1FE0">
      <w:pPr>
        <w:jc w:val="both"/>
        <w:rPr>
          <w:sz w:val="20"/>
        </w:rPr>
      </w:pPr>
    </w:p>
    <w:p w:rsidR="00A165A5" w:rsidRPr="00547302" w:rsidRDefault="00A165A5" w:rsidP="00AA1FE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04A6F" w:rsidRPr="00547302" w:rsidTr="00D04A6F">
        <w:tc>
          <w:tcPr>
            <w:tcW w:w="543" w:type="pct"/>
          </w:tcPr>
          <w:p w:rsidR="00D04A6F" w:rsidRPr="00547302" w:rsidRDefault="00D04A6F" w:rsidP="00AA1FE0">
            <w:pPr>
              <w:jc w:val="both"/>
              <w:rPr>
                <w:sz w:val="20"/>
                <w:lang w:val="fr-CA"/>
              </w:rPr>
            </w:pPr>
            <w:r w:rsidRPr="00547302">
              <w:rPr>
                <w:rStyle w:val="SCCFileNumberChar"/>
                <w:sz w:val="20"/>
                <w:szCs w:val="20"/>
                <w:lang w:val="fr-CA"/>
              </w:rPr>
              <w:t>38449</w:t>
            </w:r>
          </w:p>
        </w:tc>
        <w:tc>
          <w:tcPr>
            <w:tcW w:w="4457" w:type="pct"/>
            <w:gridSpan w:val="3"/>
          </w:tcPr>
          <w:p w:rsidR="00D04A6F" w:rsidRPr="00547302" w:rsidRDefault="00D04A6F" w:rsidP="00AA1FE0">
            <w:pPr>
              <w:pStyle w:val="SCCLsocParty"/>
              <w:jc w:val="both"/>
              <w:rPr>
                <w:b/>
                <w:sz w:val="20"/>
                <w:szCs w:val="20"/>
              </w:rPr>
            </w:pPr>
            <w:r w:rsidRPr="00547302">
              <w:rPr>
                <w:b/>
                <w:sz w:val="20"/>
                <w:szCs w:val="20"/>
              </w:rPr>
              <w:t xml:space="preserve">Errol Massiah c. </w:t>
            </w:r>
            <w:r w:rsidR="00452651" w:rsidRPr="00452651">
              <w:rPr>
                <w:b/>
                <w:sz w:val="20"/>
                <w:szCs w:val="20"/>
              </w:rPr>
              <w:t>Conseil d’évaluation des juges de paix, Lieutenant-gouverneur sur l’avis et avec le consentement du Conseil des ministres de l’Assemblée législative de la Province de l’Ontario et Procureur général de l’Ontario</w:t>
            </w:r>
          </w:p>
          <w:p w:rsidR="00D04A6F" w:rsidRPr="00B655EA" w:rsidRDefault="00D04A6F" w:rsidP="00AA1FE0">
            <w:pPr>
              <w:pStyle w:val="SCCLsocOtherPartySeparator"/>
              <w:rPr>
                <w:sz w:val="20"/>
                <w:szCs w:val="20"/>
                <w:lang w:val="fr-CA"/>
              </w:rPr>
            </w:pPr>
            <w:r w:rsidRPr="00B655EA">
              <w:rPr>
                <w:sz w:val="20"/>
                <w:szCs w:val="20"/>
                <w:lang w:val="fr-CA"/>
              </w:rPr>
              <w:t>— et —</w:t>
            </w:r>
          </w:p>
          <w:p w:rsidR="00D04A6F" w:rsidRPr="00B655EA" w:rsidRDefault="00D04A6F" w:rsidP="00AA1FE0">
            <w:pPr>
              <w:pStyle w:val="SCCLsocParty"/>
              <w:jc w:val="both"/>
              <w:rPr>
                <w:b/>
                <w:sz w:val="20"/>
                <w:szCs w:val="20"/>
              </w:rPr>
            </w:pPr>
            <w:r w:rsidRPr="00B655EA">
              <w:rPr>
                <w:b/>
                <w:sz w:val="20"/>
                <w:szCs w:val="20"/>
              </w:rPr>
              <w:t>Raj Anand</w:t>
            </w:r>
            <w:r w:rsidR="00452651" w:rsidRPr="00B655EA">
              <w:rPr>
                <w:b/>
                <w:sz w:val="20"/>
                <w:szCs w:val="20"/>
              </w:rPr>
              <w:t xml:space="preserve"> et</w:t>
            </w:r>
            <w:r w:rsidRPr="00B655EA">
              <w:rPr>
                <w:b/>
                <w:sz w:val="20"/>
                <w:szCs w:val="20"/>
              </w:rPr>
              <w:t xml:space="preserve"> Weir Foulds LLP</w:t>
            </w:r>
          </w:p>
          <w:p w:rsidR="00D04A6F" w:rsidRPr="00547302" w:rsidRDefault="00D04A6F" w:rsidP="00AA1FE0">
            <w:pPr>
              <w:jc w:val="both"/>
              <w:rPr>
                <w:sz w:val="20"/>
                <w:lang w:val="fr-CA"/>
              </w:rPr>
            </w:pPr>
            <w:r w:rsidRPr="00547302">
              <w:rPr>
                <w:sz w:val="20"/>
                <w:lang w:val="fr-CA"/>
              </w:rPr>
              <w:t>(Ont.) (Civile) (Autorisation)</w:t>
            </w:r>
          </w:p>
        </w:tc>
      </w:tr>
      <w:tr w:rsidR="00D04A6F" w:rsidRPr="003D50B9" w:rsidTr="00D04A6F">
        <w:tc>
          <w:tcPr>
            <w:tcW w:w="5000" w:type="pct"/>
            <w:gridSpan w:val="4"/>
          </w:tcPr>
          <w:p w:rsidR="00D04A6F" w:rsidRPr="00547302" w:rsidRDefault="00D04A6F" w:rsidP="00AA1FE0">
            <w:pPr>
              <w:jc w:val="both"/>
              <w:rPr>
                <w:sz w:val="20"/>
                <w:lang w:val="fr-CA"/>
              </w:rPr>
            </w:pPr>
            <w:r w:rsidRPr="00547302">
              <w:rPr>
                <w:sz w:val="20"/>
                <w:lang w:val="fr-CA"/>
              </w:rPr>
              <w:lastRenderedPageBreak/>
              <w:t>Procédure civile — Abus de procédures — Représentation par avocat — Le refus de la Cour d’appel de l’Ontario d’accorder l’autorisation soulève</w:t>
            </w:r>
            <w:r w:rsidRPr="00547302">
              <w:rPr>
                <w:sz w:val="20"/>
                <w:lang w:val="fr-CA"/>
              </w:rPr>
              <w:noBreakHyphen/>
              <w:t>t</w:t>
            </w:r>
            <w:r w:rsidRPr="00547302">
              <w:rPr>
                <w:sz w:val="20"/>
                <w:lang w:val="fr-CA"/>
              </w:rPr>
              <w:noBreakHyphen/>
              <w:t xml:space="preserve">il une question d’importance pour le public? — </w:t>
            </w:r>
            <w:r w:rsidRPr="00547302">
              <w:rPr>
                <w:i/>
                <w:sz w:val="20"/>
                <w:lang w:val="fr-CA"/>
              </w:rPr>
              <w:t>Règles de procédure civile</w:t>
            </w:r>
            <w:r w:rsidRPr="00547302">
              <w:rPr>
                <w:sz w:val="20"/>
                <w:lang w:val="fr-CA"/>
              </w:rPr>
              <w:t xml:space="preserve">, RRO 1990, </w:t>
            </w:r>
            <w:proofErr w:type="spellStart"/>
            <w:r w:rsidRPr="00547302">
              <w:rPr>
                <w:sz w:val="20"/>
                <w:lang w:val="fr-CA"/>
              </w:rPr>
              <w:t>Règl</w:t>
            </w:r>
            <w:proofErr w:type="spellEnd"/>
            <w:r w:rsidRPr="00547302">
              <w:rPr>
                <w:sz w:val="20"/>
                <w:lang w:val="fr-CA"/>
              </w:rPr>
              <w:t>. 194, règle 59.06</w:t>
            </w:r>
          </w:p>
          <w:p w:rsidR="00D04A6F" w:rsidRPr="00547302" w:rsidRDefault="00D04A6F" w:rsidP="00AA1FE0">
            <w:pPr>
              <w:jc w:val="both"/>
              <w:rPr>
                <w:sz w:val="20"/>
                <w:lang w:val="fr-CA"/>
              </w:rPr>
            </w:pPr>
          </w:p>
        </w:tc>
      </w:tr>
      <w:tr w:rsidR="00D04A6F" w:rsidRPr="003D50B9" w:rsidTr="00D04A6F">
        <w:tc>
          <w:tcPr>
            <w:tcW w:w="5000" w:type="pct"/>
            <w:gridSpan w:val="4"/>
          </w:tcPr>
          <w:p w:rsidR="00D04A6F" w:rsidRPr="00547302" w:rsidRDefault="00D04A6F" w:rsidP="00AA1FE0">
            <w:pPr>
              <w:jc w:val="both"/>
              <w:rPr>
                <w:sz w:val="20"/>
                <w:lang w:val="fr-CA"/>
              </w:rPr>
            </w:pPr>
            <w:proofErr w:type="spellStart"/>
            <w:r w:rsidRPr="00547302">
              <w:rPr>
                <w:sz w:val="20"/>
                <w:lang w:val="fr-CA"/>
              </w:rPr>
              <w:t>Erroll</w:t>
            </w:r>
            <w:proofErr w:type="spellEnd"/>
            <w:r w:rsidRPr="00547302">
              <w:rPr>
                <w:sz w:val="20"/>
                <w:lang w:val="fr-CA"/>
              </w:rPr>
              <w:t xml:space="preserve"> Massiah est un ancien juge de paix. En 2011 et 2012, il a été convoqué à deux audiences devant le Conseil d’évaluation des juges de paix pour répondre à des allégations d’inconduite à l’égard de plusieurs femmes à deux palais de justice. La première audience a donné lieu à l’obligation de suivre une formation et à une suspension sans solde de dix jours. La deuxième audience a donné lieu à une recommandation de destitution de M. Massiah. Par voie de décret, il a été destitué le 29 avril 2015. Monsieur Massiah a présenté à la Cour supérieure de justice de l’Ontario une demande de contrôle judiciaire de sa destitution, une demande qui a été partiellement accueillie sur la question de l’indemnisation des frais du litige. En juin 2017, la Cour d’appel de l’Ontario a refusé l’autorisation d’en appeler de la décision en contrôle judiciaire. Monsieur Massiah a alors demandé par motion de rouvrir le contrôle judiciaire en Cour supérieure de justice de l’Ontario, s’appuyant sur la règle 59.06 des </w:t>
            </w:r>
            <w:r w:rsidRPr="00547302">
              <w:rPr>
                <w:i/>
                <w:sz w:val="20"/>
                <w:lang w:val="fr-CA"/>
              </w:rPr>
              <w:t>Règles de procédure civile</w:t>
            </w:r>
            <w:r w:rsidRPr="00547302">
              <w:rPr>
                <w:sz w:val="20"/>
                <w:lang w:val="fr-CA"/>
              </w:rPr>
              <w:t>, RRO 1990, Règl. 194. Sa motion a été rejetée comme abus de procédures. La Cour d’appel de l’Ontario a ensuite rejeté la requête en autorisation d’interjeter appel.</w:t>
            </w:r>
          </w:p>
        </w:tc>
      </w:tr>
      <w:tr w:rsidR="00D04A6F" w:rsidRPr="003D50B9" w:rsidTr="00D04A6F">
        <w:tc>
          <w:tcPr>
            <w:tcW w:w="5000" w:type="pct"/>
            <w:gridSpan w:val="4"/>
          </w:tcPr>
          <w:p w:rsidR="00D04A6F" w:rsidRPr="00547302" w:rsidRDefault="00D04A6F" w:rsidP="00AA1FE0">
            <w:pPr>
              <w:jc w:val="both"/>
              <w:rPr>
                <w:sz w:val="20"/>
                <w:lang w:val="fr-CA"/>
              </w:rPr>
            </w:pPr>
          </w:p>
        </w:tc>
      </w:tr>
      <w:tr w:rsidR="00D04A6F" w:rsidRPr="003D50B9" w:rsidTr="00D04A6F">
        <w:tc>
          <w:tcPr>
            <w:tcW w:w="2427" w:type="pct"/>
            <w:gridSpan w:val="2"/>
          </w:tcPr>
          <w:p w:rsidR="00D04A6F" w:rsidRPr="00547302" w:rsidRDefault="00D04A6F" w:rsidP="00AA1FE0">
            <w:pPr>
              <w:jc w:val="both"/>
              <w:rPr>
                <w:sz w:val="20"/>
                <w:lang w:val="fr-CA"/>
              </w:rPr>
            </w:pPr>
            <w:r w:rsidRPr="00547302">
              <w:rPr>
                <w:sz w:val="20"/>
                <w:lang w:val="fr-CA"/>
              </w:rPr>
              <w:t>9 avril 2018</w:t>
            </w:r>
          </w:p>
          <w:p w:rsidR="00D04A6F" w:rsidRPr="00547302" w:rsidRDefault="00D04A6F" w:rsidP="00AA1FE0">
            <w:pPr>
              <w:jc w:val="both"/>
              <w:rPr>
                <w:sz w:val="20"/>
                <w:lang w:val="fr-CA"/>
              </w:rPr>
            </w:pPr>
            <w:r w:rsidRPr="00547302">
              <w:rPr>
                <w:sz w:val="20"/>
                <w:lang w:val="fr-CA"/>
              </w:rPr>
              <w:t>Cour supérieure de justice de l’Ontario</w:t>
            </w:r>
          </w:p>
          <w:p w:rsidR="00D04A6F" w:rsidRPr="00547302" w:rsidRDefault="00D04A6F" w:rsidP="00AA1FE0">
            <w:pPr>
              <w:jc w:val="both"/>
              <w:rPr>
                <w:sz w:val="20"/>
                <w:lang w:val="fr-CA"/>
              </w:rPr>
            </w:pPr>
            <w:r w:rsidRPr="00547302">
              <w:rPr>
                <w:sz w:val="20"/>
                <w:lang w:val="fr-CA"/>
              </w:rPr>
              <w:t>(Juges Conway, McKelvey et Myers)</w:t>
            </w:r>
          </w:p>
          <w:p w:rsidR="00D04A6F" w:rsidRPr="00547302" w:rsidRDefault="00FC1FD2" w:rsidP="00AA1FE0">
            <w:pPr>
              <w:jc w:val="both"/>
              <w:rPr>
                <w:sz w:val="20"/>
                <w:lang w:val="fr-CA"/>
              </w:rPr>
            </w:pPr>
            <w:hyperlink r:id="rId23" w:history="1">
              <w:r w:rsidR="00D04A6F" w:rsidRPr="00547302">
                <w:rPr>
                  <w:rStyle w:val="Hyperlink"/>
                  <w:sz w:val="20"/>
                  <w:lang w:val="fr-CA"/>
                </w:rPr>
                <w:t>2018 ONSC 2179</w:t>
              </w:r>
            </w:hyperlink>
          </w:p>
          <w:p w:rsidR="00D04A6F" w:rsidRPr="00547302" w:rsidRDefault="00D04A6F" w:rsidP="00AA1FE0">
            <w:pPr>
              <w:jc w:val="both"/>
              <w:rPr>
                <w:sz w:val="20"/>
                <w:lang w:val="fr-CA"/>
              </w:rPr>
            </w:pPr>
          </w:p>
        </w:tc>
        <w:tc>
          <w:tcPr>
            <w:tcW w:w="243" w:type="pct"/>
          </w:tcPr>
          <w:p w:rsidR="00D04A6F" w:rsidRPr="00547302" w:rsidRDefault="00D04A6F" w:rsidP="00AA1FE0">
            <w:pPr>
              <w:jc w:val="both"/>
              <w:rPr>
                <w:sz w:val="20"/>
                <w:lang w:val="fr-CA"/>
              </w:rPr>
            </w:pPr>
          </w:p>
        </w:tc>
        <w:tc>
          <w:tcPr>
            <w:tcW w:w="2330" w:type="pct"/>
          </w:tcPr>
          <w:p w:rsidR="00D04A6F" w:rsidRPr="00547302" w:rsidRDefault="00D04A6F" w:rsidP="00AA1FE0">
            <w:pPr>
              <w:jc w:val="both"/>
              <w:rPr>
                <w:sz w:val="20"/>
                <w:lang w:val="fr-CA"/>
              </w:rPr>
            </w:pPr>
            <w:r w:rsidRPr="00547302">
              <w:rPr>
                <w:sz w:val="20"/>
                <w:lang w:val="fr-CA"/>
              </w:rPr>
              <w:t>Rejet de la motion en réouverture.</w:t>
            </w:r>
          </w:p>
        </w:tc>
      </w:tr>
      <w:tr w:rsidR="00D04A6F" w:rsidRPr="003D50B9" w:rsidTr="00D04A6F">
        <w:tc>
          <w:tcPr>
            <w:tcW w:w="2427" w:type="pct"/>
            <w:gridSpan w:val="2"/>
          </w:tcPr>
          <w:p w:rsidR="00D04A6F" w:rsidRPr="00547302" w:rsidRDefault="00D04A6F" w:rsidP="00AA1FE0">
            <w:pPr>
              <w:jc w:val="both"/>
              <w:rPr>
                <w:sz w:val="20"/>
                <w:lang w:val="fr-CA"/>
              </w:rPr>
            </w:pPr>
            <w:r w:rsidRPr="00547302">
              <w:rPr>
                <w:sz w:val="20"/>
                <w:lang w:val="fr-CA"/>
              </w:rPr>
              <w:t>24 juillet 2018</w:t>
            </w:r>
          </w:p>
          <w:p w:rsidR="00D04A6F" w:rsidRPr="00547302" w:rsidRDefault="00D04A6F" w:rsidP="00AA1FE0">
            <w:pPr>
              <w:jc w:val="both"/>
              <w:rPr>
                <w:sz w:val="20"/>
                <w:lang w:val="fr-CA"/>
              </w:rPr>
            </w:pPr>
            <w:r w:rsidRPr="00547302">
              <w:rPr>
                <w:sz w:val="20"/>
                <w:lang w:val="fr-CA"/>
              </w:rPr>
              <w:t>Cour d’appel de l’Ontario</w:t>
            </w:r>
          </w:p>
          <w:p w:rsidR="00D04A6F" w:rsidRPr="00547302" w:rsidRDefault="00D04A6F" w:rsidP="00AA1FE0">
            <w:pPr>
              <w:jc w:val="both"/>
              <w:rPr>
                <w:sz w:val="20"/>
                <w:lang w:val="fr-CA"/>
              </w:rPr>
            </w:pPr>
            <w:r w:rsidRPr="00547302">
              <w:rPr>
                <w:sz w:val="20"/>
                <w:lang w:val="fr-CA"/>
              </w:rPr>
              <w:t>(Juge MacFarland)</w:t>
            </w:r>
          </w:p>
          <w:p w:rsidR="00D04A6F" w:rsidRPr="00547302" w:rsidRDefault="00D04A6F" w:rsidP="00AA1FE0">
            <w:pPr>
              <w:jc w:val="both"/>
              <w:rPr>
                <w:sz w:val="20"/>
                <w:lang w:val="fr-CA"/>
              </w:rPr>
            </w:pPr>
            <w:r w:rsidRPr="00547302">
              <w:rPr>
                <w:sz w:val="20"/>
                <w:lang w:val="fr-CA"/>
              </w:rPr>
              <w:t>M49430 (Non publié)</w:t>
            </w:r>
          </w:p>
          <w:p w:rsidR="00D04A6F" w:rsidRPr="00547302" w:rsidRDefault="00D04A6F" w:rsidP="00AA1FE0">
            <w:pPr>
              <w:jc w:val="both"/>
              <w:rPr>
                <w:sz w:val="20"/>
                <w:lang w:val="fr-CA"/>
              </w:rPr>
            </w:pPr>
          </w:p>
        </w:tc>
        <w:tc>
          <w:tcPr>
            <w:tcW w:w="243" w:type="pct"/>
          </w:tcPr>
          <w:p w:rsidR="00D04A6F" w:rsidRPr="00547302" w:rsidRDefault="00D04A6F" w:rsidP="00AA1FE0">
            <w:pPr>
              <w:jc w:val="both"/>
              <w:rPr>
                <w:sz w:val="20"/>
                <w:lang w:val="fr-CA"/>
              </w:rPr>
            </w:pPr>
          </w:p>
        </w:tc>
        <w:tc>
          <w:tcPr>
            <w:tcW w:w="2330" w:type="pct"/>
          </w:tcPr>
          <w:p w:rsidR="00D04A6F" w:rsidRPr="00547302" w:rsidRDefault="00D04A6F" w:rsidP="00AA1FE0">
            <w:pPr>
              <w:jc w:val="both"/>
              <w:rPr>
                <w:sz w:val="20"/>
                <w:lang w:val="fr-CA"/>
              </w:rPr>
            </w:pPr>
            <w:r w:rsidRPr="00547302">
              <w:rPr>
                <w:sz w:val="20"/>
                <w:lang w:val="fr-CA"/>
              </w:rPr>
              <w:t>Arrêt accueillant la motion en prorogation du délai pour mettre en état la demande.</w:t>
            </w:r>
          </w:p>
        </w:tc>
      </w:tr>
      <w:tr w:rsidR="00D04A6F" w:rsidRPr="003D50B9" w:rsidTr="00D04A6F">
        <w:tc>
          <w:tcPr>
            <w:tcW w:w="2427" w:type="pct"/>
            <w:gridSpan w:val="2"/>
          </w:tcPr>
          <w:p w:rsidR="00D04A6F" w:rsidRPr="00547302" w:rsidRDefault="00D04A6F" w:rsidP="00AA1FE0">
            <w:pPr>
              <w:jc w:val="both"/>
              <w:rPr>
                <w:sz w:val="20"/>
                <w:lang w:val="fr-CA"/>
              </w:rPr>
            </w:pPr>
            <w:r w:rsidRPr="00547302">
              <w:rPr>
                <w:sz w:val="20"/>
                <w:lang w:val="fr-CA"/>
              </w:rPr>
              <w:t>19 octobre 2018</w:t>
            </w:r>
          </w:p>
          <w:p w:rsidR="00D04A6F" w:rsidRPr="00547302" w:rsidRDefault="00D04A6F" w:rsidP="00AA1FE0">
            <w:pPr>
              <w:jc w:val="both"/>
              <w:rPr>
                <w:sz w:val="20"/>
                <w:lang w:val="fr-CA"/>
              </w:rPr>
            </w:pPr>
            <w:r w:rsidRPr="00547302">
              <w:rPr>
                <w:sz w:val="20"/>
                <w:lang w:val="fr-CA"/>
              </w:rPr>
              <w:t>Cour d’appel de l’Ontario</w:t>
            </w:r>
          </w:p>
          <w:p w:rsidR="00D04A6F" w:rsidRPr="00547302" w:rsidRDefault="00D04A6F" w:rsidP="00AA1FE0">
            <w:pPr>
              <w:jc w:val="both"/>
              <w:rPr>
                <w:sz w:val="20"/>
                <w:lang w:val="fr-CA"/>
              </w:rPr>
            </w:pPr>
            <w:r w:rsidRPr="00547302">
              <w:rPr>
                <w:sz w:val="20"/>
                <w:lang w:val="fr-CA"/>
              </w:rPr>
              <w:t>(Juges Feldman, Pepall et Pardu)</w:t>
            </w:r>
          </w:p>
          <w:p w:rsidR="00D04A6F" w:rsidRPr="00547302" w:rsidRDefault="00D04A6F" w:rsidP="00AA1FE0">
            <w:pPr>
              <w:jc w:val="both"/>
              <w:rPr>
                <w:sz w:val="20"/>
                <w:lang w:val="fr-CA"/>
              </w:rPr>
            </w:pPr>
            <w:r w:rsidRPr="00547302">
              <w:rPr>
                <w:sz w:val="20"/>
                <w:lang w:val="fr-CA"/>
              </w:rPr>
              <w:t>M49113 (Non publié)</w:t>
            </w:r>
          </w:p>
          <w:p w:rsidR="00D04A6F" w:rsidRPr="00547302" w:rsidRDefault="00D04A6F" w:rsidP="00AA1FE0">
            <w:pPr>
              <w:jc w:val="both"/>
              <w:rPr>
                <w:sz w:val="20"/>
                <w:lang w:val="fr-CA"/>
              </w:rPr>
            </w:pPr>
          </w:p>
        </w:tc>
        <w:tc>
          <w:tcPr>
            <w:tcW w:w="243" w:type="pct"/>
          </w:tcPr>
          <w:p w:rsidR="00D04A6F" w:rsidRPr="00547302" w:rsidRDefault="00D04A6F" w:rsidP="00AA1FE0">
            <w:pPr>
              <w:jc w:val="both"/>
              <w:rPr>
                <w:sz w:val="20"/>
                <w:lang w:val="fr-CA"/>
              </w:rPr>
            </w:pPr>
          </w:p>
        </w:tc>
        <w:tc>
          <w:tcPr>
            <w:tcW w:w="2330" w:type="pct"/>
          </w:tcPr>
          <w:p w:rsidR="00D04A6F" w:rsidRPr="00547302" w:rsidRDefault="00D04A6F" w:rsidP="00AA1FE0">
            <w:pPr>
              <w:jc w:val="both"/>
              <w:rPr>
                <w:sz w:val="20"/>
                <w:lang w:val="fr-CA"/>
              </w:rPr>
            </w:pPr>
            <w:r w:rsidRPr="00547302">
              <w:rPr>
                <w:sz w:val="20"/>
                <w:lang w:val="fr-CA"/>
              </w:rPr>
              <w:t>Rejet de la requête en autorisation d’interjeter appel.</w:t>
            </w:r>
          </w:p>
        </w:tc>
      </w:tr>
      <w:tr w:rsidR="00D04A6F" w:rsidRPr="003D50B9" w:rsidTr="00D04A6F">
        <w:tc>
          <w:tcPr>
            <w:tcW w:w="2427" w:type="pct"/>
            <w:gridSpan w:val="2"/>
          </w:tcPr>
          <w:p w:rsidR="00D04A6F" w:rsidRPr="00547302" w:rsidRDefault="00D04A6F" w:rsidP="00AA1FE0">
            <w:pPr>
              <w:jc w:val="both"/>
              <w:rPr>
                <w:sz w:val="20"/>
                <w:lang w:val="fr-CA"/>
              </w:rPr>
            </w:pPr>
            <w:r w:rsidRPr="00547302">
              <w:rPr>
                <w:sz w:val="20"/>
                <w:lang w:val="fr-CA"/>
              </w:rPr>
              <w:t>18 décembre 2018</w:t>
            </w:r>
          </w:p>
          <w:p w:rsidR="00D04A6F" w:rsidRPr="00547302" w:rsidRDefault="00D04A6F" w:rsidP="00AA1FE0">
            <w:pPr>
              <w:jc w:val="both"/>
              <w:rPr>
                <w:sz w:val="20"/>
                <w:lang w:val="fr-CA"/>
              </w:rPr>
            </w:pPr>
            <w:r w:rsidRPr="00547302">
              <w:rPr>
                <w:sz w:val="20"/>
                <w:lang w:val="fr-CA"/>
              </w:rPr>
              <w:t>Cour suprême du Canada</w:t>
            </w:r>
          </w:p>
        </w:tc>
        <w:tc>
          <w:tcPr>
            <w:tcW w:w="243" w:type="pct"/>
          </w:tcPr>
          <w:p w:rsidR="00D04A6F" w:rsidRPr="00547302" w:rsidRDefault="00D04A6F" w:rsidP="00AA1FE0">
            <w:pPr>
              <w:jc w:val="both"/>
              <w:rPr>
                <w:sz w:val="20"/>
                <w:lang w:val="fr-CA"/>
              </w:rPr>
            </w:pPr>
          </w:p>
        </w:tc>
        <w:tc>
          <w:tcPr>
            <w:tcW w:w="2330" w:type="pct"/>
          </w:tcPr>
          <w:p w:rsidR="00D04A6F" w:rsidRPr="00547302" w:rsidRDefault="00D04A6F" w:rsidP="00AA1FE0">
            <w:pPr>
              <w:jc w:val="both"/>
              <w:rPr>
                <w:sz w:val="20"/>
                <w:lang w:val="fr-CA"/>
              </w:rPr>
            </w:pPr>
            <w:r w:rsidRPr="00547302">
              <w:rPr>
                <w:sz w:val="20"/>
                <w:lang w:val="fr-CA"/>
              </w:rPr>
              <w:t>Dépôt de la requête en autorisation d’appel</w:t>
            </w:r>
          </w:p>
          <w:p w:rsidR="00D04A6F" w:rsidRPr="00547302" w:rsidRDefault="00D04A6F" w:rsidP="00AA1FE0">
            <w:pPr>
              <w:jc w:val="both"/>
              <w:rPr>
                <w:sz w:val="20"/>
                <w:lang w:val="fr-CA"/>
              </w:rPr>
            </w:pPr>
          </w:p>
        </w:tc>
      </w:tr>
    </w:tbl>
    <w:p w:rsidR="00D04A6F" w:rsidRPr="00547302" w:rsidRDefault="00D04A6F" w:rsidP="00AA1FE0">
      <w:pPr>
        <w:jc w:val="both"/>
        <w:rPr>
          <w:sz w:val="20"/>
          <w:lang w:val="fr-CA"/>
        </w:rPr>
      </w:pPr>
    </w:p>
    <w:p w:rsidR="00D04A6F" w:rsidRPr="00547302" w:rsidRDefault="00D04A6F" w:rsidP="00AA1FE0">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04A6F" w:rsidRPr="00547302" w:rsidTr="00D04A6F">
        <w:tc>
          <w:tcPr>
            <w:tcW w:w="543" w:type="pct"/>
          </w:tcPr>
          <w:p w:rsidR="00D04A6F" w:rsidRPr="00547302" w:rsidRDefault="00D04A6F" w:rsidP="00AA1FE0">
            <w:pPr>
              <w:jc w:val="both"/>
              <w:rPr>
                <w:sz w:val="20"/>
                <w:lang w:val="en-CA"/>
              </w:rPr>
            </w:pPr>
            <w:r w:rsidRPr="00547302">
              <w:rPr>
                <w:rStyle w:val="SCCFileNumberChar"/>
                <w:sz w:val="20"/>
                <w:szCs w:val="20"/>
              </w:rPr>
              <w:t>38268</w:t>
            </w:r>
          </w:p>
        </w:tc>
        <w:tc>
          <w:tcPr>
            <w:tcW w:w="4457" w:type="pct"/>
            <w:gridSpan w:val="3"/>
          </w:tcPr>
          <w:p w:rsidR="00D04A6F" w:rsidRPr="00547302" w:rsidRDefault="00D04A6F" w:rsidP="00AA1FE0">
            <w:pPr>
              <w:pStyle w:val="SCCLsocParty"/>
              <w:jc w:val="both"/>
              <w:rPr>
                <w:b/>
                <w:sz w:val="20"/>
                <w:szCs w:val="20"/>
                <w:lang w:val="en-CA"/>
              </w:rPr>
            </w:pPr>
            <w:r w:rsidRPr="00547302">
              <w:rPr>
                <w:b/>
                <w:sz w:val="20"/>
                <w:szCs w:val="20"/>
                <w:lang w:val="en-CA"/>
              </w:rPr>
              <w:t>Industrielle Alliance, Insurance and Financial Services Inc. v. Pascale Forest</w:t>
            </w:r>
          </w:p>
          <w:p w:rsidR="00D04A6F" w:rsidRPr="00547302" w:rsidRDefault="00D04A6F" w:rsidP="00AA1FE0">
            <w:pPr>
              <w:jc w:val="both"/>
              <w:rPr>
                <w:sz w:val="20"/>
                <w:lang w:val="en-CA"/>
              </w:rPr>
            </w:pPr>
            <w:r w:rsidRPr="00547302">
              <w:rPr>
                <w:sz w:val="20"/>
                <w:lang w:val="en-CA"/>
              </w:rPr>
              <w:t>(Que.) (Civil) (By Leave)</w:t>
            </w:r>
          </w:p>
        </w:tc>
      </w:tr>
      <w:tr w:rsidR="00D04A6F" w:rsidRPr="00547302" w:rsidTr="00D04A6F">
        <w:tc>
          <w:tcPr>
            <w:tcW w:w="5000" w:type="pct"/>
            <w:gridSpan w:val="4"/>
          </w:tcPr>
          <w:p w:rsidR="00D04A6F" w:rsidRPr="00547302" w:rsidRDefault="00D04A6F" w:rsidP="00AA1FE0">
            <w:pPr>
              <w:jc w:val="both"/>
              <w:rPr>
                <w:sz w:val="20"/>
                <w:lang w:val="en-CA"/>
              </w:rPr>
            </w:pPr>
            <w:proofErr w:type="gramStart"/>
            <w:r w:rsidRPr="00547302">
              <w:rPr>
                <w:iCs/>
                <w:sz w:val="20"/>
                <w:lang w:val="en-CA"/>
              </w:rPr>
              <w:t xml:space="preserve">Insurance — Disability insurance — Insured who has subjective type illness </w:t>
            </w:r>
            <w:r w:rsidRPr="00547302">
              <w:rPr>
                <w:sz w:val="20"/>
                <w:lang w:val="en-CA"/>
              </w:rPr>
              <w:t>— Burden of proof — Whether, for application of group disability insurance contract in case of dispute relating to obligation to pay disability benefits to insured with subjective type illness, burden of proof on parties requires establishment of preponderance of objective and scientific evidence — Extent to which insurer’s obligation to pay disability benefits to insured with subjective type illness depends on credibility of insured.</w:t>
            </w:r>
            <w:proofErr w:type="gramEnd"/>
          </w:p>
          <w:p w:rsidR="00D04A6F" w:rsidRPr="00547302" w:rsidRDefault="00D04A6F" w:rsidP="00AA1FE0">
            <w:pPr>
              <w:jc w:val="both"/>
              <w:rPr>
                <w:sz w:val="20"/>
                <w:lang w:val="en-CA"/>
              </w:rPr>
            </w:pPr>
          </w:p>
        </w:tc>
      </w:tr>
      <w:tr w:rsidR="00D04A6F" w:rsidRPr="00547302" w:rsidTr="00D04A6F">
        <w:tc>
          <w:tcPr>
            <w:tcW w:w="5000" w:type="pct"/>
            <w:gridSpan w:val="4"/>
          </w:tcPr>
          <w:p w:rsidR="00D04A6F" w:rsidRPr="00547302" w:rsidRDefault="00D04A6F" w:rsidP="00AA1FE0">
            <w:pPr>
              <w:jc w:val="both"/>
              <w:rPr>
                <w:sz w:val="20"/>
                <w:lang w:val="en-CA"/>
              </w:rPr>
            </w:pPr>
            <w:r w:rsidRPr="00547302">
              <w:rPr>
                <w:sz w:val="20"/>
                <w:lang w:val="en-CA"/>
              </w:rPr>
              <w:t xml:space="preserve">Ms. Forest, the respondent, stopped working in November 2007 after a diagnosis of chronic fatigue syndrome. She availed herself of the group disability insurance plan guaranteed by the applicant, Industrielle Alliance (“insurer”), first by receiving short-term disability benefits. She then received benefits under the long-term plan, but in </w:t>
            </w:r>
            <w:proofErr w:type="gramStart"/>
            <w:r w:rsidRPr="00547302">
              <w:rPr>
                <w:sz w:val="20"/>
                <w:lang w:val="en-CA"/>
              </w:rPr>
              <w:t>2011</w:t>
            </w:r>
            <w:proofErr w:type="gramEnd"/>
            <w:r w:rsidRPr="00547302">
              <w:rPr>
                <w:sz w:val="20"/>
                <w:lang w:val="en-CA"/>
              </w:rPr>
              <w:t xml:space="preserve"> the insurer stopped paying benefits on the basis that Ms. Forest no longer met the eligibility criteria. Ms. Forest instituted an action for restoration of the disability benefits and for damages against the insurer, but was unsuccessful. The Court of Appeal allowed her appeal in part.</w:t>
            </w:r>
          </w:p>
        </w:tc>
      </w:tr>
      <w:tr w:rsidR="00D04A6F" w:rsidRPr="00547302" w:rsidTr="00D04A6F">
        <w:tc>
          <w:tcPr>
            <w:tcW w:w="5000" w:type="pct"/>
            <w:gridSpan w:val="4"/>
          </w:tcPr>
          <w:p w:rsidR="00D04A6F" w:rsidRPr="00547302" w:rsidRDefault="00D04A6F" w:rsidP="00AA1FE0">
            <w:pPr>
              <w:jc w:val="both"/>
              <w:rPr>
                <w:sz w:val="20"/>
                <w:lang w:val="en-CA"/>
              </w:rPr>
            </w:pPr>
          </w:p>
        </w:tc>
      </w:tr>
      <w:tr w:rsidR="00D04A6F" w:rsidRPr="00547302" w:rsidTr="00D04A6F">
        <w:tc>
          <w:tcPr>
            <w:tcW w:w="2427" w:type="pct"/>
            <w:gridSpan w:val="2"/>
          </w:tcPr>
          <w:p w:rsidR="00D04A6F" w:rsidRPr="00547302" w:rsidRDefault="00D04A6F" w:rsidP="00AA1FE0">
            <w:pPr>
              <w:jc w:val="both"/>
              <w:rPr>
                <w:sz w:val="20"/>
                <w:lang w:val="en-CA"/>
              </w:rPr>
            </w:pPr>
            <w:r w:rsidRPr="00547302">
              <w:rPr>
                <w:sz w:val="20"/>
                <w:lang w:val="en-CA"/>
              </w:rPr>
              <w:lastRenderedPageBreak/>
              <w:t>January 25, 2016</w:t>
            </w:r>
          </w:p>
          <w:p w:rsidR="00D04A6F" w:rsidRPr="00547302" w:rsidRDefault="00D04A6F" w:rsidP="00AA1FE0">
            <w:pPr>
              <w:jc w:val="both"/>
              <w:rPr>
                <w:sz w:val="20"/>
                <w:lang w:val="en-CA"/>
              </w:rPr>
            </w:pPr>
            <w:r w:rsidRPr="00547302">
              <w:rPr>
                <w:sz w:val="20"/>
                <w:lang w:val="en-CA"/>
              </w:rPr>
              <w:t>Quebec Superior Court</w:t>
            </w:r>
          </w:p>
          <w:p w:rsidR="00D04A6F" w:rsidRPr="00547302" w:rsidRDefault="00D04A6F" w:rsidP="00AA1FE0">
            <w:pPr>
              <w:jc w:val="both"/>
              <w:rPr>
                <w:sz w:val="20"/>
                <w:lang w:val="en-CA"/>
              </w:rPr>
            </w:pPr>
            <w:r w:rsidRPr="00547302">
              <w:rPr>
                <w:sz w:val="20"/>
                <w:lang w:val="en-CA"/>
              </w:rPr>
              <w:t>(April J.)</w:t>
            </w:r>
          </w:p>
          <w:p w:rsidR="00D04A6F" w:rsidRPr="00547302" w:rsidRDefault="00FC1FD2" w:rsidP="00AA1FE0">
            <w:pPr>
              <w:jc w:val="both"/>
              <w:rPr>
                <w:sz w:val="20"/>
                <w:lang w:val="en-CA"/>
              </w:rPr>
            </w:pPr>
            <w:hyperlink r:id="rId24" w:history="1">
              <w:r w:rsidR="00D04A6F" w:rsidRPr="00547302">
                <w:rPr>
                  <w:rStyle w:val="Hyperlink"/>
                  <w:sz w:val="20"/>
                  <w:lang w:val="en-CA"/>
                </w:rPr>
                <w:t>2016 QCCS 497</w:t>
              </w:r>
            </w:hyperlink>
          </w:p>
          <w:p w:rsidR="00D04A6F" w:rsidRPr="00547302" w:rsidRDefault="00D04A6F" w:rsidP="00AA1FE0">
            <w:pPr>
              <w:jc w:val="both"/>
              <w:rPr>
                <w:sz w:val="20"/>
                <w:lang w:val="en-CA"/>
              </w:rPr>
            </w:pPr>
          </w:p>
        </w:tc>
        <w:tc>
          <w:tcPr>
            <w:tcW w:w="243" w:type="pct"/>
          </w:tcPr>
          <w:p w:rsidR="00D04A6F" w:rsidRPr="00547302" w:rsidRDefault="00D04A6F" w:rsidP="00AA1FE0">
            <w:pPr>
              <w:jc w:val="both"/>
              <w:rPr>
                <w:sz w:val="20"/>
                <w:lang w:val="en-CA"/>
              </w:rPr>
            </w:pPr>
          </w:p>
        </w:tc>
        <w:tc>
          <w:tcPr>
            <w:tcW w:w="2330" w:type="pct"/>
          </w:tcPr>
          <w:p w:rsidR="00D04A6F" w:rsidRPr="00547302" w:rsidRDefault="00D04A6F" w:rsidP="00AA1FE0">
            <w:pPr>
              <w:jc w:val="both"/>
              <w:rPr>
                <w:sz w:val="20"/>
                <w:lang w:val="en-CA"/>
              </w:rPr>
            </w:pPr>
            <w:r w:rsidRPr="00547302">
              <w:rPr>
                <w:sz w:val="20"/>
                <w:lang w:val="en-CA"/>
              </w:rPr>
              <w:t>Action for restoration of disability benefits and for damages dismissed</w:t>
            </w:r>
          </w:p>
        </w:tc>
      </w:tr>
      <w:tr w:rsidR="00D04A6F" w:rsidRPr="00547302" w:rsidTr="00D04A6F">
        <w:tc>
          <w:tcPr>
            <w:tcW w:w="2427" w:type="pct"/>
            <w:gridSpan w:val="2"/>
          </w:tcPr>
          <w:p w:rsidR="00D04A6F" w:rsidRPr="00547302" w:rsidRDefault="00D04A6F" w:rsidP="00AA1FE0">
            <w:pPr>
              <w:jc w:val="both"/>
              <w:rPr>
                <w:sz w:val="20"/>
                <w:lang w:val="en-CA"/>
              </w:rPr>
            </w:pPr>
            <w:r w:rsidRPr="00547302">
              <w:rPr>
                <w:sz w:val="20"/>
                <w:lang w:val="en-CA"/>
              </w:rPr>
              <w:t>May 31, 2018</w:t>
            </w:r>
          </w:p>
          <w:p w:rsidR="00D04A6F" w:rsidRPr="00547302" w:rsidRDefault="00D04A6F" w:rsidP="00AA1FE0">
            <w:pPr>
              <w:jc w:val="both"/>
              <w:rPr>
                <w:sz w:val="20"/>
                <w:lang w:val="en-CA"/>
              </w:rPr>
            </w:pPr>
            <w:r w:rsidRPr="00547302">
              <w:rPr>
                <w:sz w:val="20"/>
                <w:lang w:val="en-CA"/>
              </w:rPr>
              <w:t>Quebec Court of Appeal (Québec)</w:t>
            </w:r>
          </w:p>
          <w:p w:rsidR="00D04A6F" w:rsidRPr="00547302" w:rsidRDefault="00D04A6F" w:rsidP="00AA1FE0">
            <w:pPr>
              <w:jc w:val="both"/>
              <w:rPr>
                <w:sz w:val="20"/>
                <w:lang w:val="fr-CA"/>
              </w:rPr>
            </w:pPr>
            <w:r w:rsidRPr="00547302">
              <w:rPr>
                <w:sz w:val="20"/>
                <w:lang w:val="fr-CA"/>
              </w:rPr>
              <w:t>(Morissette, Gagnon and Gagné JJ.A.)</w:t>
            </w:r>
          </w:p>
          <w:p w:rsidR="00D04A6F" w:rsidRPr="00547302" w:rsidRDefault="00FC1FD2" w:rsidP="00AA1FE0">
            <w:pPr>
              <w:jc w:val="both"/>
              <w:rPr>
                <w:sz w:val="20"/>
                <w:lang w:val="en-CA"/>
              </w:rPr>
            </w:pPr>
            <w:hyperlink r:id="rId25" w:history="1">
              <w:r w:rsidR="00D04A6F" w:rsidRPr="00547302">
                <w:rPr>
                  <w:rStyle w:val="Hyperlink"/>
                  <w:sz w:val="20"/>
                  <w:lang w:val="en-CA"/>
                </w:rPr>
                <w:t>2018 QCCA 875</w:t>
              </w:r>
            </w:hyperlink>
          </w:p>
          <w:p w:rsidR="00D04A6F" w:rsidRPr="00547302" w:rsidRDefault="00D04A6F" w:rsidP="00AA1FE0">
            <w:pPr>
              <w:jc w:val="both"/>
              <w:rPr>
                <w:sz w:val="20"/>
                <w:lang w:val="en-CA"/>
              </w:rPr>
            </w:pPr>
          </w:p>
        </w:tc>
        <w:tc>
          <w:tcPr>
            <w:tcW w:w="243" w:type="pct"/>
          </w:tcPr>
          <w:p w:rsidR="00D04A6F" w:rsidRPr="00547302" w:rsidRDefault="00D04A6F" w:rsidP="00AA1FE0">
            <w:pPr>
              <w:jc w:val="both"/>
              <w:rPr>
                <w:sz w:val="20"/>
                <w:lang w:val="en-CA"/>
              </w:rPr>
            </w:pPr>
          </w:p>
        </w:tc>
        <w:tc>
          <w:tcPr>
            <w:tcW w:w="2330" w:type="pct"/>
          </w:tcPr>
          <w:p w:rsidR="00D04A6F" w:rsidRPr="00547302" w:rsidRDefault="00D04A6F" w:rsidP="00AA1FE0">
            <w:pPr>
              <w:jc w:val="both"/>
              <w:rPr>
                <w:sz w:val="20"/>
                <w:lang w:val="en-CA"/>
              </w:rPr>
            </w:pPr>
            <w:r w:rsidRPr="00547302">
              <w:rPr>
                <w:sz w:val="20"/>
                <w:lang w:val="en-CA"/>
              </w:rPr>
              <w:t xml:space="preserve">Appeal allowed in part </w:t>
            </w:r>
          </w:p>
        </w:tc>
      </w:tr>
      <w:tr w:rsidR="00D04A6F" w:rsidRPr="00547302" w:rsidTr="00D04A6F">
        <w:tc>
          <w:tcPr>
            <w:tcW w:w="2427" w:type="pct"/>
            <w:gridSpan w:val="2"/>
          </w:tcPr>
          <w:p w:rsidR="00D04A6F" w:rsidRPr="00547302" w:rsidRDefault="00D04A6F" w:rsidP="00AA1FE0">
            <w:pPr>
              <w:jc w:val="both"/>
              <w:rPr>
                <w:sz w:val="20"/>
                <w:lang w:val="en-CA"/>
              </w:rPr>
            </w:pPr>
            <w:r w:rsidRPr="00547302">
              <w:rPr>
                <w:sz w:val="20"/>
                <w:lang w:val="en-CA"/>
              </w:rPr>
              <w:t>August 30, 2018</w:t>
            </w:r>
          </w:p>
          <w:p w:rsidR="00D04A6F" w:rsidRPr="00547302" w:rsidRDefault="00D04A6F" w:rsidP="00AA1FE0">
            <w:pPr>
              <w:jc w:val="both"/>
              <w:rPr>
                <w:sz w:val="20"/>
                <w:lang w:val="en-CA"/>
              </w:rPr>
            </w:pPr>
            <w:r w:rsidRPr="00547302">
              <w:rPr>
                <w:sz w:val="20"/>
                <w:lang w:val="en-CA"/>
              </w:rPr>
              <w:t>Supreme Court of Canada</w:t>
            </w:r>
          </w:p>
        </w:tc>
        <w:tc>
          <w:tcPr>
            <w:tcW w:w="243" w:type="pct"/>
          </w:tcPr>
          <w:p w:rsidR="00D04A6F" w:rsidRPr="00547302" w:rsidRDefault="00D04A6F" w:rsidP="00AA1FE0">
            <w:pPr>
              <w:jc w:val="both"/>
              <w:rPr>
                <w:sz w:val="20"/>
                <w:lang w:val="en-CA"/>
              </w:rPr>
            </w:pPr>
          </w:p>
        </w:tc>
        <w:tc>
          <w:tcPr>
            <w:tcW w:w="2330" w:type="pct"/>
          </w:tcPr>
          <w:p w:rsidR="00D04A6F" w:rsidRPr="00547302" w:rsidRDefault="00D04A6F" w:rsidP="00AA1FE0">
            <w:pPr>
              <w:jc w:val="both"/>
              <w:rPr>
                <w:sz w:val="20"/>
                <w:lang w:val="en-CA"/>
              </w:rPr>
            </w:pPr>
            <w:r w:rsidRPr="00547302">
              <w:rPr>
                <w:sz w:val="20"/>
                <w:lang w:val="en-CA"/>
              </w:rPr>
              <w:t>Application for leave to appeal filed</w:t>
            </w:r>
          </w:p>
          <w:p w:rsidR="00D04A6F" w:rsidRPr="00547302" w:rsidRDefault="00D04A6F" w:rsidP="00AA1FE0">
            <w:pPr>
              <w:jc w:val="both"/>
              <w:rPr>
                <w:sz w:val="20"/>
                <w:lang w:val="en-CA"/>
              </w:rPr>
            </w:pPr>
          </w:p>
        </w:tc>
      </w:tr>
    </w:tbl>
    <w:p w:rsidR="00D04A6F" w:rsidRPr="00547302" w:rsidRDefault="00D04A6F" w:rsidP="00AA1FE0">
      <w:pPr>
        <w:jc w:val="both"/>
        <w:rPr>
          <w:sz w:val="20"/>
          <w:lang w:val="en-CA"/>
        </w:rPr>
      </w:pPr>
    </w:p>
    <w:p w:rsidR="00323756" w:rsidRPr="00547302" w:rsidRDefault="00323756" w:rsidP="00AA1FE0">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04A6F" w:rsidRPr="00547302" w:rsidTr="00D04A6F">
        <w:tc>
          <w:tcPr>
            <w:tcW w:w="543" w:type="pct"/>
          </w:tcPr>
          <w:p w:rsidR="00D04A6F" w:rsidRPr="00547302" w:rsidRDefault="00D04A6F" w:rsidP="00AA1FE0">
            <w:pPr>
              <w:jc w:val="both"/>
              <w:rPr>
                <w:sz w:val="20"/>
              </w:rPr>
            </w:pPr>
            <w:r w:rsidRPr="00547302">
              <w:rPr>
                <w:rStyle w:val="SCCFileNumberChar"/>
                <w:sz w:val="20"/>
                <w:szCs w:val="20"/>
              </w:rPr>
              <w:t>38268</w:t>
            </w:r>
          </w:p>
        </w:tc>
        <w:tc>
          <w:tcPr>
            <w:tcW w:w="4457" w:type="pct"/>
            <w:gridSpan w:val="3"/>
          </w:tcPr>
          <w:p w:rsidR="00D04A6F" w:rsidRPr="00547302" w:rsidRDefault="00D04A6F" w:rsidP="00AA1FE0">
            <w:pPr>
              <w:pStyle w:val="SCCLsocParty"/>
              <w:jc w:val="both"/>
              <w:rPr>
                <w:b/>
                <w:sz w:val="20"/>
                <w:szCs w:val="20"/>
              </w:rPr>
            </w:pPr>
            <w:r w:rsidRPr="00547302">
              <w:rPr>
                <w:b/>
                <w:sz w:val="20"/>
                <w:szCs w:val="20"/>
              </w:rPr>
              <w:t>Industrielle Alliance, Assurance et services financiers inc. c. Pascale Forest</w:t>
            </w:r>
          </w:p>
          <w:p w:rsidR="00D04A6F" w:rsidRPr="00547302" w:rsidRDefault="00D04A6F" w:rsidP="00AA1FE0">
            <w:pPr>
              <w:jc w:val="both"/>
              <w:rPr>
                <w:sz w:val="20"/>
              </w:rPr>
            </w:pPr>
            <w:r w:rsidRPr="00547302">
              <w:rPr>
                <w:sz w:val="20"/>
              </w:rPr>
              <w:t>(Qc) (Civile) (Autorisation)</w:t>
            </w:r>
          </w:p>
        </w:tc>
      </w:tr>
      <w:tr w:rsidR="00D04A6F" w:rsidRPr="003D50B9" w:rsidTr="00D04A6F">
        <w:tc>
          <w:tcPr>
            <w:tcW w:w="5000" w:type="pct"/>
            <w:gridSpan w:val="4"/>
          </w:tcPr>
          <w:p w:rsidR="00D04A6F" w:rsidRPr="00547302" w:rsidRDefault="00D04A6F" w:rsidP="00AA1FE0">
            <w:pPr>
              <w:jc w:val="both"/>
              <w:rPr>
                <w:sz w:val="20"/>
                <w:lang w:val="fr-CA"/>
              </w:rPr>
            </w:pPr>
            <w:r w:rsidRPr="00547302">
              <w:rPr>
                <w:iCs/>
                <w:sz w:val="20"/>
                <w:lang w:val="fr-CA"/>
              </w:rPr>
              <w:t>Assurances — Assurance</w:t>
            </w:r>
            <w:r w:rsidRPr="00547302">
              <w:rPr>
                <w:iCs/>
                <w:sz w:val="20"/>
                <w:lang w:val="fr-CA"/>
              </w:rPr>
              <w:noBreakHyphen/>
              <w:t xml:space="preserve">invalidité — </w:t>
            </w:r>
            <w:r w:rsidRPr="00547302">
              <w:rPr>
                <w:sz w:val="20"/>
                <w:lang w:val="fr-CA"/>
              </w:rPr>
              <w:t>Personne assurée atteinte d’un syndrome établi à partir de symptômes subjectifs (« SESS ») — Fardeau de la preuve — Pour l’application d’un contrat d’assurance invalidité collective, en cas de litige portant sur l’obligation de verser des prestations d’invalidité à une personne assurée atteinte d’un syndrome établi à partir de symptômes subjectifs, le fardeau de la preuve qui incombe aux parties exige-t-il une démonstration de prépondérance d’éléments objectifs et scientifiques? — Dans quelle mesure l’obligation de l’assureur de verser des prestations d’invalidité à une personne assurée atteinte d’un SESS est-elle tributaire de la crédibilité de la personne assurée?</w:t>
            </w:r>
          </w:p>
          <w:p w:rsidR="00D04A6F" w:rsidRPr="00547302" w:rsidRDefault="00D04A6F" w:rsidP="00AA1FE0">
            <w:pPr>
              <w:jc w:val="both"/>
              <w:rPr>
                <w:sz w:val="20"/>
                <w:lang w:val="fr-CA"/>
              </w:rPr>
            </w:pPr>
          </w:p>
        </w:tc>
      </w:tr>
      <w:tr w:rsidR="00D04A6F" w:rsidRPr="00547302" w:rsidTr="00D04A6F">
        <w:tc>
          <w:tcPr>
            <w:tcW w:w="5000" w:type="pct"/>
            <w:gridSpan w:val="4"/>
          </w:tcPr>
          <w:p w:rsidR="00D04A6F" w:rsidRPr="00547302" w:rsidRDefault="00D04A6F" w:rsidP="00AA1FE0">
            <w:pPr>
              <w:jc w:val="both"/>
              <w:rPr>
                <w:sz w:val="20"/>
              </w:rPr>
            </w:pPr>
            <w:r w:rsidRPr="00547302">
              <w:rPr>
                <w:sz w:val="20"/>
                <w:lang w:val="fr-CA"/>
              </w:rPr>
              <w:t xml:space="preserve">Madame Forest, intimée, a cessé de travailler en novembre 2007, en raison d’un diagnostic de syndrome de fatigue chronique. Elle s’est prévalue du régime collectif d’assurance invalidité garanti par la demanderesse, Industrielle Alliance (« assureur »), touchant d’abord des prestations d’invalidité de courte durée. Elle a ensuite bénéficié du régime de longue durée, mais en 2011 l’assureur a cessé de verser des prestations au motif que Mme Forest ne répondait plus aux critères d’admissibilité. Madame Forest a intenté sans succès une action en rétablissement des prestations d’assurance invalidité et en dommages-intérêts contre l’assureur. </w:t>
            </w:r>
            <w:r w:rsidRPr="00547302">
              <w:rPr>
                <w:sz w:val="20"/>
              </w:rPr>
              <w:t xml:space="preserve">La Cour d’appel </w:t>
            </w:r>
            <w:proofErr w:type="gramStart"/>
            <w:r w:rsidRPr="00547302">
              <w:rPr>
                <w:sz w:val="20"/>
              </w:rPr>
              <w:t>a</w:t>
            </w:r>
            <w:proofErr w:type="gramEnd"/>
            <w:r w:rsidRPr="00547302">
              <w:rPr>
                <w:sz w:val="20"/>
              </w:rPr>
              <w:t xml:space="preserve"> accueilli l’appel en partie. </w:t>
            </w:r>
          </w:p>
        </w:tc>
      </w:tr>
      <w:tr w:rsidR="00D04A6F" w:rsidRPr="00547302" w:rsidTr="00D04A6F">
        <w:tc>
          <w:tcPr>
            <w:tcW w:w="5000" w:type="pct"/>
            <w:gridSpan w:val="4"/>
          </w:tcPr>
          <w:p w:rsidR="00D04A6F" w:rsidRPr="00547302" w:rsidRDefault="00D04A6F" w:rsidP="00AA1FE0">
            <w:pPr>
              <w:jc w:val="both"/>
              <w:rPr>
                <w:sz w:val="20"/>
              </w:rPr>
            </w:pPr>
          </w:p>
        </w:tc>
      </w:tr>
      <w:tr w:rsidR="00D04A6F" w:rsidRPr="003D50B9" w:rsidTr="00D04A6F">
        <w:tc>
          <w:tcPr>
            <w:tcW w:w="2427" w:type="pct"/>
            <w:gridSpan w:val="2"/>
          </w:tcPr>
          <w:p w:rsidR="00D04A6F" w:rsidRPr="00547302" w:rsidRDefault="00D04A6F" w:rsidP="00AA1FE0">
            <w:pPr>
              <w:jc w:val="both"/>
              <w:rPr>
                <w:sz w:val="20"/>
                <w:lang w:val="fr-CA"/>
              </w:rPr>
            </w:pPr>
            <w:r w:rsidRPr="00547302">
              <w:rPr>
                <w:sz w:val="20"/>
                <w:lang w:val="fr-CA"/>
              </w:rPr>
              <w:t>Le 25 janvier 2016</w:t>
            </w:r>
          </w:p>
          <w:p w:rsidR="00D04A6F" w:rsidRPr="00547302" w:rsidRDefault="00D04A6F" w:rsidP="00AA1FE0">
            <w:pPr>
              <w:jc w:val="both"/>
              <w:rPr>
                <w:sz w:val="20"/>
                <w:lang w:val="fr-CA"/>
              </w:rPr>
            </w:pPr>
            <w:r w:rsidRPr="00547302">
              <w:rPr>
                <w:sz w:val="20"/>
                <w:lang w:val="fr-CA"/>
              </w:rPr>
              <w:t>Cour supérieure du Québec</w:t>
            </w:r>
          </w:p>
          <w:p w:rsidR="00D04A6F" w:rsidRPr="00547302" w:rsidRDefault="00D04A6F" w:rsidP="00AA1FE0">
            <w:pPr>
              <w:jc w:val="both"/>
              <w:rPr>
                <w:sz w:val="20"/>
              </w:rPr>
            </w:pPr>
            <w:r w:rsidRPr="00547302">
              <w:rPr>
                <w:sz w:val="20"/>
              </w:rPr>
              <w:t>(La juge April)</w:t>
            </w:r>
          </w:p>
          <w:p w:rsidR="00D04A6F" w:rsidRPr="00547302" w:rsidRDefault="00FC1FD2" w:rsidP="00AA1FE0">
            <w:pPr>
              <w:jc w:val="both"/>
              <w:rPr>
                <w:sz w:val="20"/>
              </w:rPr>
            </w:pPr>
            <w:hyperlink r:id="rId26" w:history="1">
              <w:r w:rsidR="00D04A6F" w:rsidRPr="00547302">
                <w:rPr>
                  <w:rStyle w:val="Hyperlink"/>
                  <w:sz w:val="20"/>
                </w:rPr>
                <w:t>2016 QCCS 497</w:t>
              </w:r>
            </w:hyperlink>
          </w:p>
          <w:p w:rsidR="00D04A6F" w:rsidRPr="00547302" w:rsidRDefault="00D04A6F" w:rsidP="00AA1FE0">
            <w:pPr>
              <w:jc w:val="both"/>
              <w:rPr>
                <w:sz w:val="20"/>
              </w:rPr>
            </w:pPr>
          </w:p>
        </w:tc>
        <w:tc>
          <w:tcPr>
            <w:tcW w:w="243" w:type="pct"/>
          </w:tcPr>
          <w:p w:rsidR="00D04A6F" w:rsidRPr="00547302" w:rsidRDefault="00D04A6F" w:rsidP="00AA1FE0">
            <w:pPr>
              <w:jc w:val="both"/>
              <w:rPr>
                <w:sz w:val="20"/>
              </w:rPr>
            </w:pPr>
          </w:p>
        </w:tc>
        <w:tc>
          <w:tcPr>
            <w:tcW w:w="2330" w:type="pct"/>
          </w:tcPr>
          <w:p w:rsidR="00D04A6F" w:rsidRPr="00547302" w:rsidRDefault="00D04A6F" w:rsidP="00AA1FE0">
            <w:pPr>
              <w:jc w:val="both"/>
              <w:rPr>
                <w:sz w:val="20"/>
                <w:lang w:val="fr-CA"/>
              </w:rPr>
            </w:pPr>
            <w:r w:rsidRPr="00547302">
              <w:rPr>
                <w:sz w:val="20"/>
                <w:lang w:val="fr-CA"/>
              </w:rPr>
              <w:t xml:space="preserve">Action en rétablissement de prestations d’assurance invalidité et dommages rejetée </w:t>
            </w:r>
          </w:p>
        </w:tc>
      </w:tr>
      <w:tr w:rsidR="00D04A6F" w:rsidRPr="00547302" w:rsidTr="00D04A6F">
        <w:tc>
          <w:tcPr>
            <w:tcW w:w="2427" w:type="pct"/>
            <w:gridSpan w:val="2"/>
          </w:tcPr>
          <w:p w:rsidR="00D04A6F" w:rsidRPr="00547302" w:rsidRDefault="00D04A6F" w:rsidP="00AA1FE0">
            <w:pPr>
              <w:jc w:val="both"/>
              <w:rPr>
                <w:sz w:val="20"/>
                <w:lang w:val="fr-CA"/>
              </w:rPr>
            </w:pPr>
            <w:r w:rsidRPr="00547302">
              <w:rPr>
                <w:sz w:val="20"/>
                <w:lang w:val="fr-CA"/>
              </w:rPr>
              <w:t>Le 31 mai 2018</w:t>
            </w:r>
          </w:p>
          <w:p w:rsidR="00D04A6F" w:rsidRPr="00547302" w:rsidRDefault="00D04A6F" w:rsidP="00AA1FE0">
            <w:pPr>
              <w:jc w:val="both"/>
              <w:rPr>
                <w:sz w:val="20"/>
                <w:lang w:val="fr-CA"/>
              </w:rPr>
            </w:pPr>
            <w:r w:rsidRPr="00547302">
              <w:rPr>
                <w:sz w:val="20"/>
                <w:lang w:val="fr-CA"/>
              </w:rPr>
              <w:t>Cour d’appel du Québec (Québec)</w:t>
            </w:r>
          </w:p>
          <w:p w:rsidR="00D04A6F" w:rsidRPr="00547302" w:rsidRDefault="00D04A6F" w:rsidP="00AA1FE0">
            <w:pPr>
              <w:jc w:val="both"/>
              <w:rPr>
                <w:sz w:val="20"/>
                <w:lang w:val="fr-CA"/>
              </w:rPr>
            </w:pPr>
            <w:r w:rsidRPr="00547302">
              <w:rPr>
                <w:sz w:val="20"/>
                <w:lang w:val="fr-CA"/>
              </w:rPr>
              <w:t>(Les juges Morissette, Gagnon et Gagné)</w:t>
            </w:r>
          </w:p>
          <w:p w:rsidR="00D04A6F" w:rsidRPr="00547302" w:rsidRDefault="00FC1FD2" w:rsidP="00AA1FE0">
            <w:pPr>
              <w:jc w:val="both"/>
              <w:rPr>
                <w:sz w:val="20"/>
              </w:rPr>
            </w:pPr>
            <w:hyperlink r:id="rId27" w:history="1">
              <w:r w:rsidR="00D04A6F" w:rsidRPr="00547302">
                <w:rPr>
                  <w:rStyle w:val="Hyperlink"/>
                  <w:sz w:val="20"/>
                </w:rPr>
                <w:t>2018 QCCA 875</w:t>
              </w:r>
            </w:hyperlink>
          </w:p>
          <w:p w:rsidR="00D04A6F" w:rsidRPr="00547302" w:rsidRDefault="00D04A6F" w:rsidP="00AA1FE0">
            <w:pPr>
              <w:jc w:val="both"/>
              <w:rPr>
                <w:sz w:val="20"/>
              </w:rPr>
            </w:pPr>
          </w:p>
        </w:tc>
        <w:tc>
          <w:tcPr>
            <w:tcW w:w="243" w:type="pct"/>
          </w:tcPr>
          <w:p w:rsidR="00D04A6F" w:rsidRPr="00547302" w:rsidRDefault="00D04A6F" w:rsidP="00AA1FE0">
            <w:pPr>
              <w:jc w:val="both"/>
              <w:rPr>
                <w:sz w:val="20"/>
              </w:rPr>
            </w:pPr>
          </w:p>
        </w:tc>
        <w:tc>
          <w:tcPr>
            <w:tcW w:w="2330" w:type="pct"/>
          </w:tcPr>
          <w:p w:rsidR="00D04A6F" w:rsidRPr="00547302" w:rsidRDefault="00D04A6F" w:rsidP="00AA1FE0">
            <w:pPr>
              <w:jc w:val="both"/>
              <w:rPr>
                <w:sz w:val="20"/>
              </w:rPr>
            </w:pPr>
            <w:r w:rsidRPr="00547302">
              <w:rPr>
                <w:sz w:val="20"/>
              </w:rPr>
              <w:t xml:space="preserve">Appel accueilli en partie </w:t>
            </w:r>
          </w:p>
        </w:tc>
      </w:tr>
      <w:tr w:rsidR="00D04A6F" w:rsidRPr="00547302" w:rsidTr="00D04A6F">
        <w:tc>
          <w:tcPr>
            <w:tcW w:w="2427" w:type="pct"/>
            <w:gridSpan w:val="2"/>
          </w:tcPr>
          <w:p w:rsidR="00D04A6F" w:rsidRPr="00547302" w:rsidRDefault="00D04A6F" w:rsidP="00AA1FE0">
            <w:pPr>
              <w:jc w:val="both"/>
              <w:rPr>
                <w:sz w:val="20"/>
                <w:lang w:val="fr-CA"/>
              </w:rPr>
            </w:pPr>
            <w:r w:rsidRPr="00547302">
              <w:rPr>
                <w:sz w:val="20"/>
                <w:lang w:val="fr-CA"/>
              </w:rPr>
              <w:t>Le 30 août 2018</w:t>
            </w:r>
          </w:p>
          <w:p w:rsidR="00D04A6F" w:rsidRPr="00547302" w:rsidRDefault="00D04A6F" w:rsidP="00AA1FE0">
            <w:pPr>
              <w:jc w:val="both"/>
              <w:rPr>
                <w:sz w:val="20"/>
                <w:lang w:val="fr-CA"/>
              </w:rPr>
            </w:pPr>
            <w:r w:rsidRPr="00547302">
              <w:rPr>
                <w:sz w:val="20"/>
                <w:lang w:val="fr-CA"/>
              </w:rPr>
              <w:t>Cour suprême du Canada</w:t>
            </w:r>
          </w:p>
        </w:tc>
        <w:tc>
          <w:tcPr>
            <w:tcW w:w="243" w:type="pct"/>
          </w:tcPr>
          <w:p w:rsidR="00D04A6F" w:rsidRPr="00547302" w:rsidRDefault="00D04A6F" w:rsidP="00AA1FE0">
            <w:pPr>
              <w:jc w:val="both"/>
              <w:rPr>
                <w:sz w:val="20"/>
                <w:lang w:val="fr-CA"/>
              </w:rPr>
            </w:pPr>
          </w:p>
        </w:tc>
        <w:tc>
          <w:tcPr>
            <w:tcW w:w="2330" w:type="pct"/>
          </w:tcPr>
          <w:p w:rsidR="00D04A6F" w:rsidRPr="00547302" w:rsidRDefault="00D04A6F" w:rsidP="00AA1FE0">
            <w:pPr>
              <w:jc w:val="both"/>
              <w:rPr>
                <w:sz w:val="20"/>
              </w:rPr>
            </w:pPr>
            <w:r w:rsidRPr="00547302">
              <w:rPr>
                <w:sz w:val="20"/>
              </w:rPr>
              <w:t xml:space="preserve">Demande d’autorisation d’appel </w:t>
            </w:r>
            <w:proofErr w:type="spellStart"/>
            <w:r w:rsidRPr="00547302">
              <w:rPr>
                <w:sz w:val="20"/>
              </w:rPr>
              <w:t>déposée</w:t>
            </w:r>
            <w:proofErr w:type="spellEnd"/>
          </w:p>
          <w:p w:rsidR="00D04A6F" w:rsidRPr="00547302" w:rsidRDefault="00D04A6F" w:rsidP="00AA1FE0">
            <w:pPr>
              <w:jc w:val="both"/>
              <w:rPr>
                <w:sz w:val="20"/>
              </w:rPr>
            </w:pPr>
          </w:p>
        </w:tc>
      </w:tr>
    </w:tbl>
    <w:p w:rsidR="00D04A6F" w:rsidRPr="00547302" w:rsidRDefault="00D04A6F" w:rsidP="00AA1FE0">
      <w:pPr>
        <w:jc w:val="both"/>
        <w:rPr>
          <w:sz w:val="20"/>
        </w:rPr>
      </w:pPr>
    </w:p>
    <w:p w:rsidR="00D04A6F" w:rsidRPr="00547302" w:rsidRDefault="00D04A6F" w:rsidP="00AA1FE0">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04A6F" w:rsidRPr="00547302" w:rsidTr="00D04A6F">
        <w:tc>
          <w:tcPr>
            <w:tcW w:w="543" w:type="pct"/>
          </w:tcPr>
          <w:p w:rsidR="00D04A6F" w:rsidRPr="00547302" w:rsidRDefault="00D04A6F" w:rsidP="00AA1FE0">
            <w:pPr>
              <w:jc w:val="both"/>
              <w:rPr>
                <w:sz w:val="20"/>
                <w:lang w:val="en-CA"/>
              </w:rPr>
            </w:pPr>
            <w:r w:rsidRPr="00547302">
              <w:rPr>
                <w:rStyle w:val="SCCFileNumberChar"/>
                <w:sz w:val="20"/>
                <w:szCs w:val="20"/>
              </w:rPr>
              <w:t>38311</w:t>
            </w:r>
          </w:p>
        </w:tc>
        <w:tc>
          <w:tcPr>
            <w:tcW w:w="4457" w:type="pct"/>
            <w:gridSpan w:val="3"/>
          </w:tcPr>
          <w:p w:rsidR="00D04A6F" w:rsidRPr="00547302" w:rsidRDefault="00D04A6F" w:rsidP="00AA1FE0">
            <w:pPr>
              <w:pStyle w:val="SCCLsocParty"/>
              <w:jc w:val="both"/>
              <w:rPr>
                <w:b/>
                <w:sz w:val="20"/>
                <w:szCs w:val="20"/>
                <w:lang w:val="en-CA"/>
              </w:rPr>
            </w:pPr>
            <w:r w:rsidRPr="00547302">
              <w:rPr>
                <w:b/>
                <w:sz w:val="20"/>
                <w:szCs w:val="20"/>
                <w:lang w:val="en-CA"/>
              </w:rPr>
              <w:t>Hitesh Tailor v. Prisca Chiassi</w:t>
            </w:r>
          </w:p>
          <w:p w:rsidR="00D04A6F" w:rsidRPr="00547302" w:rsidRDefault="00D04A6F" w:rsidP="00AA1FE0">
            <w:pPr>
              <w:jc w:val="both"/>
              <w:rPr>
                <w:sz w:val="20"/>
                <w:lang w:val="en-CA"/>
              </w:rPr>
            </w:pPr>
            <w:r w:rsidRPr="00547302">
              <w:rPr>
                <w:sz w:val="20"/>
                <w:lang w:val="en-CA"/>
              </w:rPr>
              <w:t>(Que.) (Civil) (By Leave)</w:t>
            </w:r>
          </w:p>
        </w:tc>
      </w:tr>
      <w:tr w:rsidR="00D04A6F" w:rsidRPr="00547302" w:rsidTr="00D04A6F">
        <w:tc>
          <w:tcPr>
            <w:tcW w:w="5000" w:type="pct"/>
            <w:gridSpan w:val="4"/>
          </w:tcPr>
          <w:p w:rsidR="00D04A6F" w:rsidRPr="00547302" w:rsidRDefault="00D04A6F" w:rsidP="00AA1FE0">
            <w:pPr>
              <w:jc w:val="both"/>
              <w:rPr>
                <w:sz w:val="20"/>
                <w:lang w:val="en-CA"/>
              </w:rPr>
            </w:pPr>
            <w:r w:rsidRPr="00547302">
              <w:rPr>
                <w:sz w:val="20"/>
                <w:lang w:val="en-CA"/>
              </w:rPr>
              <w:t xml:space="preserve">Private international law — Jurisdiction of Quebec court — </w:t>
            </w:r>
            <w:r w:rsidRPr="00547302">
              <w:rPr>
                <w:i/>
                <w:sz w:val="20"/>
                <w:lang w:val="en-CA"/>
              </w:rPr>
              <w:t xml:space="preserve">Forum </w:t>
            </w:r>
            <w:proofErr w:type="gramStart"/>
            <w:r w:rsidRPr="00547302">
              <w:rPr>
                <w:i/>
                <w:sz w:val="20"/>
                <w:lang w:val="en-CA"/>
              </w:rPr>
              <w:t>non conveniens</w:t>
            </w:r>
            <w:proofErr w:type="gramEnd"/>
            <w:r w:rsidRPr="00547302">
              <w:rPr>
                <w:sz w:val="20"/>
                <w:lang w:val="en-CA"/>
              </w:rPr>
              <w:t xml:space="preserve"> — Succession — Domicile of deceased — Proper interpretation of art. 78 of </w:t>
            </w:r>
            <w:r w:rsidRPr="00547302">
              <w:rPr>
                <w:i/>
                <w:sz w:val="20"/>
                <w:lang w:val="en-CA"/>
              </w:rPr>
              <w:t>Civil Code of Québec</w:t>
            </w:r>
            <w:r w:rsidRPr="00547302">
              <w:rPr>
                <w:sz w:val="20"/>
                <w:lang w:val="en-CA"/>
              </w:rPr>
              <w:t xml:space="preserve"> — Whether courts below erred in finding that </w:t>
            </w:r>
            <w:r w:rsidRPr="00547302">
              <w:rPr>
                <w:sz w:val="20"/>
                <w:lang w:val="en-CA"/>
              </w:rPr>
              <w:lastRenderedPageBreak/>
              <w:t xml:space="preserve">deceased had been domiciled in Italy — Whether courts below erred in declining jurisdiction — </w:t>
            </w:r>
            <w:r w:rsidRPr="00547302">
              <w:rPr>
                <w:i/>
                <w:sz w:val="20"/>
                <w:lang w:val="en-CA"/>
              </w:rPr>
              <w:t>Civil Code of Québec</w:t>
            </w:r>
            <w:r w:rsidRPr="00547302">
              <w:rPr>
                <w:sz w:val="20"/>
                <w:lang w:val="en-CA"/>
              </w:rPr>
              <w:t xml:space="preserve">, art. 78. </w:t>
            </w:r>
          </w:p>
        </w:tc>
      </w:tr>
      <w:tr w:rsidR="00D04A6F" w:rsidRPr="00547302" w:rsidTr="00D04A6F">
        <w:tc>
          <w:tcPr>
            <w:tcW w:w="5000" w:type="pct"/>
            <w:gridSpan w:val="4"/>
          </w:tcPr>
          <w:p w:rsidR="00D04A6F" w:rsidRPr="00547302" w:rsidRDefault="00D04A6F" w:rsidP="00AA1FE0">
            <w:pPr>
              <w:jc w:val="both"/>
              <w:rPr>
                <w:sz w:val="20"/>
                <w:lang w:val="en-CA"/>
              </w:rPr>
            </w:pPr>
          </w:p>
        </w:tc>
      </w:tr>
      <w:tr w:rsidR="00D04A6F" w:rsidRPr="00547302" w:rsidTr="00D04A6F">
        <w:tc>
          <w:tcPr>
            <w:tcW w:w="5000" w:type="pct"/>
            <w:gridSpan w:val="4"/>
          </w:tcPr>
          <w:p w:rsidR="00D04A6F" w:rsidRPr="00547302" w:rsidRDefault="00D04A6F" w:rsidP="00AA1FE0">
            <w:pPr>
              <w:jc w:val="both"/>
              <w:rPr>
                <w:sz w:val="20"/>
                <w:lang w:val="en-CA"/>
              </w:rPr>
            </w:pPr>
            <w:r w:rsidRPr="00547302">
              <w:rPr>
                <w:sz w:val="20"/>
                <w:lang w:val="en-CA"/>
              </w:rPr>
              <w:t xml:space="preserve">The applicant, Mr. Tailor, resides in London. He was a very close friend of the deceased, Duc Roberto Ferretti (“Mr. Ferretti”), who died in Italy in 2005. During various </w:t>
            </w:r>
            <w:proofErr w:type="gramStart"/>
            <w:r w:rsidRPr="00547302">
              <w:rPr>
                <w:sz w:val="20"/>
                <w:lang w:val="en-CA"/>
              </w:rPr>
              <w:t>periods of time</w:t>
            </w:r>
            <w:proofErr w:type="gramEnd"/>
            <w:r w:rsidRPr="00547302">
              <w:rPr>
                <w:sz w:val="20"/>
                <w:lang w:val="en-CA"/>
              </w:rPr>
              <w:t xml:space="preserve">, they cohabited as a couple. The respondent, Ms. Chiassi, is the sister of Mr. Ferretti’s late wife. Mr. Ferretti </w:t>
            </w:r>
            <w:proofErr w:type="gramStart"/>
            <w:r w:rsidRPr="00547302">
              <w:rPr>
                <w:sz w:val="20"/>
                <w:lang w:val="en-CA"/>
              </w:rPr>
              <w:t>emigrated</w:t>
            </w:r>
            <w:proofErr w:type="gramEnd"/>
            <w:r w:rsidRPr="00547302">
              <w:rPr>
                <w:sz w:val="20"/>
                <w:lang w:val="en-CA"/>
              </w:rPr>
              <w:t xml:space="preserve"> to Canada in 1975 without his wife. He purchased a number of immovable properties in Canada and eventually became a Canadian citizen, but he still spent a great deal of time abroad over the years. In his will, he declared that he resided in London but that he </w:t>
            </w:r>
            <w:proofErr w:type="gramStart"/>
            <w:r w:rsidRPr="00547302">
              <w:rPr>
                <w:sz w:val="20"/>
                <w:lang w:val="en-CA"/>
              </w:rPr>
              <w:t>was domiciled</w:t>
            </w:r>
            <w:proofErr w:type="gramEnd"/>
            <w:r w:rsidRPr="00547302">
              <w:rPr>
                <w:sz w:val="20"/>
                <w:lang w:val="en-CA"/>
              </w:rPr>
              <w:t xml:space="preserve"> in Castelfidardo, Italy. In the same will, he left his nephew, Marco Ferretti, his furniture in Canada (the value and quantity of which were unknown). The will stated that it </w:t>
            </w:r>
            <w:proofErr w:type="gramStart"/>
            <w:r w:rsidRPr="00547302">
              <w:rPr>
                <w:sz w:val="20"/>
                <w:lang w:val="en-CA"/>
              </w:rPr>
              <w:t>had been drawn up</w:t>
            </w:r>
            <w:proofErr w:type="gramEnd"/>
            <w:r w:rsidRPr="00547302">
              <w:rPr>
                <w:sz w:val="20"/>
                <w:lang w:val="en-CA"/>
              </w:rPr>
              <w:t xml:space="preserve"> in England, but it had been in the possession of a notary in Italy since 2005. Mr. Tailor filed a motion for the issuance of letters of verification for Mr. Ferretti’s will in Quebec. Ms. Chiassi, who was challenging the will in Italy, sought a declaration that the Quebec Superior Court had no jurisdiction to hear Mr. Tailor’s motion because there was no connection with the Quebec forum. In the alternative, she argued that even if there was some connection with Quebec, the Quebec court should refer the matter to Italy pursuant to the </w:t>
            </w:r>
            <w:r w:rsidRPr="00547302">
              <w:rPr>
                <w:i/>
                <w:sz w:val="20"/>
                <w:lang w:val="en-CA"/>
              </w:rPr>
              <w:t xml:space="preserve">forum </w:t>
            </w:r>
            <w:proofErr w:type="gramStart"/>
            <w:r w:rsidRPr="00547302">
              <w:rPr>
                <w:i/>
                <w:sz w:val="20"/>
                <w:lang w:val="en-CA"/>
              </w:rPr>
              <w:t>non conveniens</w:t>
            </w:r>
            <w:proofErr w:type="gramEnd"/>
            <w:r w:rsidRPr="00547302">
              <w:rPr>
                <w:sz w:val="20"/>
                <w:lang w:val="en-CA"/>
              </w:rPr>
              <w:t xml:space="preserve"> principle codified in art. 3135 of the </w:t>
            </w:r>
            <w:r w:rsidRPr="00547302">
              <w:rPr>
                <w:i/>
                <w:sz w:val="20"/>
                <w:lang w:val="en-CA"/>
              </w:rPr>
              <w:t xml:space="preserve">Civil Code of Québec </w:t>
            </w:r>
            <w:r w:rsidRPr="00547302">
              <w:rPr>
                <w:sz w:val="20"/>
                <w:lang w:val="en-CA"/>
              </w:rPr>
              <w:t>(“</w:t>
            </w:r>
            <w:r w:rsidRPr="00547302">
              <w:rPr>
                <w:i/>
                <w:sz w:val="20"/>
                <w:lang w:val="en-CA"/>
              </w:rPr>
              <w:t>C.C.Q.</w:t>
            </w:r>
            <w:r w:rsidRPr="00547302">
              <w:rPr>
                <w:sz w:val="20"/>
                <w:lang w:val="en-CA"/>
              </w:rPr>
              <w:t xml:space="preserve">”). The Quebec Superior Court allowed Ms. Chiassi’s application and declined jurisdiction in favour of the Italian forum. The Court of Appeal dismissed Mr. Tailor’s appeal and allowed Ms. Chiassi’s incidental appeal, finding that the Superior Court had erred in assuming jurisdiction under the second paragraph of art. 3153 </w:t>
            </w:r>
            <w:r w:rsidRPr="00547302">
              <w:rPr>
                <w:i/>
                <w:sz w:val="20"/>
                <w:lang w:val="en-CA"/>
              </w:rPr>
              <w:t>C.C.Q.</w:t>
            </w:r>
            <w:r w:rsidRPr="00547302">
              <w:rPr>
                <w:sz w:val="20"/>
                <w:lang w:val="en-CA"/>
              </w:rPr>
              <w:t xml:space="preserve"> because there was no evidence of “</w:t>
            </w:r>
            <w:proofErr w:type="gramStart"/>
            <w:r w:rsidRPr="00547302">
              <w:rPr>
                <w:sz w:val="20"/>
                <w:lang w:val="en"/>
              </w:rPr>
              <w:t>property .</w:t>
            </w:r>
            <w:proofErr w:type="gramEnd"/>
            <w:r w:rsidRPr="00547302">
              <w:rPr>
                <w:sz w:val="20"/>
                <w:lang w:val="en"/>
              </w:rPr>
              <w:t> . . situated in Québec</w:t>
            </w:r>
            <w:r w:rsidRPr="00547302">
              <w:rPr>
                <w:sz w:val="20"/>
                <w:lang w:val="en-CA"/>
              </w:rPr>
              <w:t xml:space="preserve">” for the purposes of applying that provision.  </w:t>
            </w:r>
          </w:p>
          <w:p w:rsidR="00D04A6F" w:rsidRPr="00547302" w:rsidRDefault="00D04A6F" w:rsidP="00AA1FE0">
            <w:pPr>
              <w:jc w:val="both"/>
              <w:rPr>
                <w:sz w:val="20"/>
                <w:lang w:val="en-CA"/>
              </w:rPr>
            </w:pPr>
          </w:p>
        </w:tc>
      </w:tr>
      <w:tr w:rsidR="00D04A6F" w:rsidRPr="00547302" w:rsidTr="00D04A6F">
        <w:tc>
          <w:tcPr>
            <w:tcW w:w="2427" w:type="pct"/>
            <w:gridSpan w:val="2"/>
          </w:tcPr>
          <w:p w:rsidR="00D04A6F" w:rsidRPr="00547302" w:rsidRDefault="00D04A6F" w:rsidP="00AA1FE0">
            <w:pPr>
              <w:jc w:val="both"/>
              <w:rPr>
                <w:sz w:val="20"/>
                <w:lang w:val="en-CA"/>
              </w:rPr>
            </w:pPr>
            <w:r w:rsidRPr="00547302">
              <w:rPr>
                <w:sz w:val="20"/>
                <w:lang w:val="en-CA"/>
              </w:rPr>
              <w:t>July 19, 2016</w:t>
            </w:r>
          </w:p>
          <w:p w:rsidR="00D04A6F" w:rsidRPr="00547302" w:rsidRDefault="00D04A6F" w:rsidP="00AA1FE0">
            <w:pPr>
              <w:jc w:val="both"/>
              <w:rPr>
                <w:sz w:val="20"/>
                <w:lang w:val="en-CA"/>
              </w:rPr>
            </w:pPr>
            <w:r w:rsidRPr="00547302">
              <w:rPr>
                <w:sz w:val="20"/>
                <w:lang w:val="en-CA"/>
              </w:rPr>
              <w:t>Quebec Superior Court</w:t>
            </w:r>
          </w:p>
          <w:p w:rsidR="00D04A6F" w:rsidRPr="00547302" w:rsidRDefault="00D04A6F" w:rsidP="00AA1FE0">
            <w:pPr>
              <w:jc w:val="both"/>
              <w:rPr>
                <w:sz w:val="20"/>
                <w:lang w:val="en-CA"/>
              </w:rPr>
            </w:pPr>
            <w:r w:rsidRPr="00547302">
              <w:rPr>
                <w:sz w:val="20"/>
                <w:lang w:val="en-CA"/>
              </w:rPr>
              <w:t>(Blanchard J.)</w:t>
            </w:r>
          </w:p>
          <w:p w:rsidR="00D04A6F" w:rsidRPr="00547302" w:rsidRDefault="00FC1FD2" w:rsidP="00AA1FE0">
            <w:pPr>
              <w:jc w:val="both"/>
              <w:rPr>
                <w:sz w:val="20"/>
                <w:lang w:val="en-CA"/>
              </w:rPr>
            </w:pPr>
            <w:hyperlink r:id="rId28" w:history="1">
              <w:r w:rsidR="00D04A6F" w:rsidRPr="00547302">
                <w:rPr>
                  <w:rStyle w:val="Hyperlink"/>
                  <w:sz w:val="20"/>
                  <w:lang w:val="en-CA"/>
                </w:rPr>
                <w:t>2016 QCCS 3470</w:t>
              </w:r>
            </w:hyperlink>
          </w:p>
          <w:p w:rsidR="00D04A6F" w:rsidRPr="00547302" w:rsidRDefault="00D04A6F" w:rsidP="00AA1FE0">
            <w:pPr>
              <w:jc w:val="both"/>
              <w:rPr>
                <w:sz w:val="20"/>
                <w:lang w:val="en-CA"/>
              </w:rPr>
            </w:pPr>
          </w:p>
        </w:tc>
        <w:tc>
          <w:tcPr>
            <w:tcW w:w="243" w:type="pct"/>
          </w:tcPr>
          <w:p w:rsidR="00D04A6F" w:rsidRPr="00547302" w:rsidRDefault="00D04A6F" w:rsidP="00AA1FE0">
            <w:pPr>
              <w:jc w:val="both"/>
              <w:rPr>
                <w:sz w:val="20"/>
                <w:lang w:val="en-CA"/>
              </w:rPr>
            </w:pPr>
          </w:p>
        </w:tc>
        <w:tc>
          <w:tcPr>
            <w:tcW w:w="2330" w:type="pct"/>
          </w:tcPr>
          <w:p w:rsidR="00D04A6F" w:rsidRPr="00547302" w:rsidRDefault="00D04A6F" w:rsidP="00AA1FE0">
            <w:pPr>
              <w:jc w:val="both"/>
              <w:rPr>
                <w:sz w:val="20"/>
                <w:lang w:val="en-CA"/>
              </w:rPr>
            </w:pPr>
            <w:r w:rsidRPr="00547302">
              <w:rPr>
                <w:sz w:val="20"/>
                <w:lang w:val="en-CA"/>
              </w:rPr>
              <w:t>Motion for declinatory exception allowed</w:t>
            </w:r>
          </w:p>
          <w:p w:rsidR="00D04A6F" w:rsidRPr="00547302" w:rsidRDefault="00D04A6F" w:rsidP="00AA1FE0">
            <w:pPr>
              <w:jc w:val="both"/>
              <w:rPr>
                <w:sz w:val="20"/>
                <w:lang w:val="en-CA"/>
              </w:rPr>
            </w:pPr>
          </w:p>
        </w:tc>
      </w:tr>
      <w:tr w:rsidR="00D04A6F" w:rsidRPr="00547302" w:rsidTr="00D04A6F">
        <w:tc>
          <w:tcPr>
            <w:tcW w:w="2427" w:type="pct"/>
            <w:gridSpan w:val="2"/>
          </w:tcPr>
          <w:p w:rsidR="00D04A6F" w:rsidRPr="00547302" w:rsidRDefault="00D04A6F" w:rsidP="00AA1FE0">
            <w:pPr>
              <w:jc w:val="both"/>
              <w:rPr>
                <w:sz w:val="20"/>
                <w:lang w:val="en-CA"/>
              </w:rPr>
            </w:pPr>
            <w:r w:rsidRPr="00547302">
              <w:rPr>
                <w:sz w:val="20"/>
                <w:lang w:val="en-CA"/>
              </w:rPr>
              <w:t>June 26, 2018</w:t>
            </w:r>
          </w:p>
          <w:p w:rsidR="00D04A6F" w:rsidRPr="00547302" w:rsidRDefault="00D04A6F" w:rsidP="00AA1FE0">
            <w:pPr>
              <w:jc w:val="both"/>
              <w:rPr>
                <w:sz w:val="20"/>
                <w:lang w:val="en-CA"/>
              </w:rPr>
            </w:pPr>
            <w:r w:rsidRPr="00547302">
              <w:rPr>
                <w:sz w:val="20"/>
                <w:lang w:val="en-CA"/>
              </w:rPr>
              <w:t>Quebec Court of Appeal (Montréal)</w:t>
            </w:r>
          </w:p>
          <w:p w:rsidR="00D04A6F" w:rsidRPr="00547302" w:rsidRDefault="00D04A6F" w:rsidP="00AA1FE0">
            <w:pPr>
              <w:jc w:val="both"/>
              <w:rPr>
                <w:sz w:val="20"/>
                <w:lang w:val="en-CA"/>
              </w:rPr>
            </w:pPr>
            <w:r w:rsidRPr="00547302">
              <w:rPr>
                <w:sz w:val="20"/>
                <w:lang w:val="en-CA"/>
              </w:rPr>
              <w:t>(Hilton, Vauclair and Marcotte JJ.A.)</w:t>
            </w:r>
          </w:p>
          <w:p w:rsidR="00D04A6F" w:rsidRPr="00547302" w:rsidRDefault="00D04A6F" w:rsidP="00AA1FE0">
            <w:pPr>
              <w:jc w:val="both"/>
              <w:rPr>
                <w:sz w:val="20"/>
                <w:lang w:val="en-CA"/>
              </w:rPr>
            </w:pPr>
            <w:r w:rsidRPr="00547302">
              <w:rPr>
                <w:sz w:val="20"/>
                <w:lang w:val="en-CA"/>
              </w:rPr>
              <w:t xml:space="preserve">File No. </w:t>
            </w:r>
            <w:r w:rsidRPr="00547302">
              <w:rPr>
                <w:rStyle w:val="nowrap"/>
                <w:sz w:val="20"/>
                <w:lang w:val="en-CA"/>
              </w:rPr>
              <w:t>500-09-026295-162</w:t>
            </w:r>
          </w:p>
          <w:p w:rsidR="00D04A6F" w:rsidRPr="00547302" w:rsidRDefault="00FC1FD2" w:rsidP="00AA1FE0">
            <w:pPr>
              <w:jc w:val="both"/>
              <w:rPr>
                <w:sz w:val="20"/>
                <w:lang w:val="en-CA"/>
              </w:rPr>
            </w:pPr>
            <w:hyperlink r:id="rId29" w:history="1">
              <w:r w:rsidR="00D04A6F" w:rsidRPr="00547302">
                <w:rPr>
                  <w:rStyle w:val="Hyperlink"/>
                  <w:sz w:val="20"/>
                  <w:lang w:val="en-CA"/>
                </w:rPr>
                <w:t>2018 QCCA 1067</w:t>
              </w:r>
            </w:hyperlink>
            <w:r w:rsidR="00D04A6F" w:rsidRPr="00547302">
              <w:rPr>
                <w:sz w:val="20"/>
                <w:lang w:val="en-CA"/>
              </w:rPr>
              <w:t xml:space="preserve"> </w:t>
            </w:r>
          </w:p>
          <w:p w:rsidR="00D04A6F" w:rsidRPr="00547302" w:rsidRDefault="00D04A6F" w:rsidP="00AA1FE0">
            <w:pPr>
              <w:jc w:val="both"/>
              <w:rPr>
                <w:sz w:val="20"/>
                <w:lang w:val="en-CA"/>
              </w:rPr>
            </w:pPr>
          </w:p>
        </w:tc>
        <w:tc>
          <w:tcPr>
            <w:tcW w:w="243" w:type="pct"/>
          </w:tcPr>
          <w:p w:rsidR="00D04A6F" w:rsidRPr="00547302" w:rsidRDefault="00D04A6F" w:rsidP="00AA1FE0">
            <w:pPr>
              <w:jc w:val="both"/>
              <w:rPr>
                <w:sz w:val="20"/>
                <w:lang w:val="en-CA"/>
              </w:rPr>
            </w:pPr>
          </w:p>
        </w:tc>
        <w:tc>
          <w:tcPr>
            <w:tcW w:w="2330" w:type="pct"/>
          </w:tcPr>
          <w:p w:rsidR="00D04A6F" w:rsidRPr="00547302" w:rsidRDefault="00D04A6F" w:rsidP="00AA1FE0">
            <w:pPr>
              <w:jc w:val="both"/>
              <w:rPr>
                <w:sz w:val="20"/>
                <w:lang w:val="en-CA"/>
              </w:rPr>
            </w:pPr>
            <w:r w:rsidRPr="00547302">
              <w:rPr>
                <w:sz w:val="20"/>
                <w:lang w:val="en-CA"/>
              </w:rPr>
              <w:t>Appeal dismissed; incidental appeal allowed</w:t>
            </w:r>
          </w:p>
          <w:p w:rsidR="00D04A6F" w:rsidRPr="00547302" w:rsidRDefault="00D04A6F" w:rsidP="00AA1FE0">
            <w:pPr>
              <w:jc w:val="both"/>
              <w:rPr>
                <w:sz w:val="20"/>
                <w:lang w:val="en-CA"/>
              </w:rPr>
            </w:pPr>
          </w:p>
        </w:tc>
      </w:tr>
      <w:tr w:rsidR="00D04A6F" w:rsidRPr="00547302" w:rsidTr="00D04A6F">
        <w:tc>
          <w:tcPr>
            <w:tcW w:w="2427" w:type="pct"/>
            <w:gridSpan w:val="2"/>
          </w:tcPr>
          <w:p w:rsidR="00D04A6F" w:rsidRPr="00547302" w:rsidRDefault="00D04A6F" w:rsidP="00AA1FE0">
            <w:pPr>
              <w:jc w:val="both"/>
              <w:rPr>
                <w:sz w:val="20"/>
                <w:lang w:val="en-CA"/>
              </w:rPr>
            </w:pPr>
            <w:r w:rsidRPr="00547302">
              <w:rPr>
                <w:sz w:val="20"/>
                <w:lang w:val="en-CA"/>
              </w:rPr>
              <w:t>September 25, 2018</w:t>
            </w:r>
          </w:p>
          <w:p w:rsidR="00D04A6F" w:rsidRPr="00547302" w:rsidRDefault="00D04A6F" w:rsidP="00AA1FE0">
            <w:pPr>
              <w:jc w:val="both"/>
              <w:rPr>
                <w:sz w:val="20"/>
                <w:lang w:val="en-CA"/>
              </w:rPr>
            </w:pPr>
            <w:r w:rsidRPr="00547302">
              <w:rPr>
                <w:sz w:val="20"/>
                <w:lang w:val="en-CA"/>
              </w:rPr>
              <w:t>Supreme Court of Canada</w:t>
            </w:r>
          </w:p>
        </w:tc>
        <w:tc>
          <w:tcPr>
            <w:tcW w:w="243" w:type="pct"/>
          </w:tcPr>
          <w:p w:rsidR="00D04A6F" w:rsidRPr="00547302" w:rsidRDefault="00D04A6F" w:rsidP="00AA1FE0">
            <w:pPr>
              <w:jc w:val="both"/>
              <w:rPr>
                <w:sz w:val="20"/>
                <w:lang w:val="en-CA"/>
              </w:rPr>
            </w:pPr>
          </w:p>
        </w:tc>
        <w:tc>
          <w:tcPr>
            <w:tcW w:w="2330" w:type="pct"/>
          </w:tcPr>
          <w:p w:rsidR="00D04A6F" w:rsidRPr="00547302" w:rsidRDefault="00D04A6F" w:rsidP="00AA1FE0">
            <w:pPr>
              <w:jc w:val="both"/>
              <w:rPr>
                <w:sz w:val="20"/>
                <w:lang w:val="en-CA"/>
              </w:rPr>
            </w:pPr>
            <w:r w:rsidRPr="00547302">
              <w:rPr>
                <w:sz w:val="20"/>
                <w:lang w:val="en-CA"/>
              </w:rPr>
              <w:t>Application for leave to appeal filed</w:t>
            </w:r>
          </w:p>
          <w:p w:rsidR="00D04A6F" w:rsidRPr="00547302" w:rsidRDefault="00D04A6F" w:rsidP="00AA1FE0">
            <w:pPr>
              <w:jc w:val="both"/>
              <w:rPr>
                <w:sz w:val="20"/>
                <w:lang w:val="en-CA"/>
              </w:rPr>
            </w:pPr>
          </w:p>
        </w:tc>
      </w:tr>
    </w:tbl>
    <w:p w:rsidR="00D04A6F" w:rsidRPr="00547302" w:rsidRDefault="00D04A6F" w:rsidP="00AA1FE0">
      <w:pPr>
        <w:jc w:val="both"/>
        <w:rPr>
          <w:sz w:val="20"/>
          <w:lang w:val="en-CA"/>
        </w:rPr>
      </w:pPr>
    </w:p>
    <w:p w:rsidR="00C508BB" w:rsidRPr="00547302" w:rsidRDefault="00C508BB" w:rsidP="00AA1FE0">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04A6F" w:rsidRPr="00547302" w:rsidTr="00D04A6F">
        <w:tc>
          <w:tcPr>
            <w:tcW w:w="543" w:type="pct"/>
          </w:tcPr>
          <w:p w:rsidR="00D04A6F" w:rsidRPr="00547302" w:rsidRDefault="00D04A6F" w:rsidP="00AA1FE0">
            <w:pPr>
              <w:jc w:val="both"/>
              <w:rPr>
                <w:sz w:val="20"/>
              </w:rPr>
            </w:pPr>
            <w:r w:rsidRPr="00547302">
              <w:rPr>
                <w:rStyle w:val="SCCFileNumberChar"/>
                <w:sz w:val="20"/>
                <w:szCs w:val="20"/>
              </w:rPr>
              <w:t>38311</w:t>
            </w:r>
          </w:p>
        </w:tc>
        <w:tc>
          <w:tcPr>
            <w:tcW w:w="4457" w:type="pct"/>
            <w:gridSpan w:val="3"/>
          </w:tcPr>
          <w:p w:rsidR="00D04A6F" w:rsidRPr="00547302" w:rsidRDefault="00D04A6F" w:rsidP="00AA1FE0">
            <w:pPr>
              <w:pStyle w:val="SCCLsocParty"/>
              <w:jc w:val="both"/>
              <w:rPr>
                <w:b/>
                <w:sz w:val="20"/>
                <w:szCs w:val="20"/>
              </w:rPr>
            </w:pPr>
            <w:r w:rsidRPr="00547302">
              <w:rPr>
                <w:b/>
                <w:sz w:val="20"/>
                <w:szCs w:val="20"/>
              </w:rPr>
              <w:t>Hitesh Tailor c. Prisca Chiassi</w:t>
            </w:r>
          </w:p>
          <w:p w:rsidR="00D04A6F" w:rsidRPr="00547302" w:rsidRDefault="00D04A6F" w:rsidP="00AA1FE0">
            <w:pPr>
              <w:jc w:val="both"/>
              <w:rPr>
                <w:sz w:val="20"/>
              </w:rPr>
            </w:pPr>
            <w:r w:rsidRPr="00547302">
              <w:rPr>
                <w:sz w:val="20"/>
              </w:rPr>
              <w:t>(Qc) (Civile) (Autorisation)</w:t>
            </w:r>
          </w:p>
        </w:tc>
      </w:tr>
      <w:tr w:rsidR="00D04A6F" w:rsidRPr="003D50B9" w:rsidTr="00D04A6F">
        <w:tc>
          <w:tcPr>
            <w:tcW w:w="5000" w:type="pct"/>
            <w:gridSpan w:val="4"/>
          </w:tcPr>
          <w:p w:rsidR="00D04A6F" w:rsidRPr="00547302" w:rsidRDefault="00D04A6F" w:rsidP="00AA1FE0">
            <w:pPr>
              <w:jc w:val="both"/>
              <w:rPr>
                <w:sz w:val="20"/>
                <w:lang w:val="fr-CA"/>
              </w:rPr>
            </w:pPr>
            <w:r w:rsidRPr="00547302">
              <w:rPr>
                <w:sz w:val="20"/>
                <w:lang w:val="fr-CA"/>
              </w:rPr>
              <w:t xml:space="preserve">Droit international privé — Compétence du tribunal québécois — </w:t>
            </w:r>
            <w:r w:rsidRPr="00547302">
              <w:rPr>
                <w:i/>
                <w:sz w:val="20"/>
                <w:lang w:val="fr-CA"/>
              </w:rPr>
              <w:t xml:space="preserve">Forum non </w:t>
            </w:r>
            <w:proofErr w:type="spellStart"/>
            <w:r w:rsidRPr="00547302">
              <w:rPr>
                <w:i/>
                <w:sz w:val="20"/>
                <w:lang w:val="fr-CA"/>
              </w:rPr>
              <w:t>conveniens</w:t>
            </w:r>
            <w:proofErr w:type="spellEnd"/>
            <w:r w:rsidRPr="00547302">
              <w:rPr>
                <w:sz w:val="20"/>
                <w:lang w:val="fr-CA"/>
              </w:rPr>
              <w:t xml:space="preserve"> —Succession — Domicile du défunt — Quelle interprétation doit être donnée à l’article 78 du </w:t>
            </w:r>
            <w:r w:rsidRPr="00547302">
              <w:rPr>
                <w:i/>
                <w:sz w:val="20"/>
                <w:lang w:val="fr-CA"/>
              </w:rPr>
              <w:t>Code civil du Québec</w:t>
            </w:r>
            <w:r w:rsidRPr="00547302">
              <w:rPr>
                <w:sz w:val="20"/>
                <w:lang w:val="fr-CA"/>
              </w:rPr>
              <w:t xml:space="preserve">? — Les instances inférieures </w:t>
            </w:r>
            <w:proofErr w:type="spellStart"/>
            <w:r w:rsidRPr="00547302">
              <w:rPr>
                <w:sz w:val="20"/>
                <w:lang w:val="fr-CA"/>
              </w:rPr>
              <w:t>ont-elles</w:t>
            </w:r>
            <w:proofErr w:type="spellEnd"/>
            <w:r w:rsidRPr="00547302">
              <w:rPr>
                <w:sz w:val="20"/>
                <w:lang w:val="fr-CA"/>
              </w:rPr>
              <w:t xml:space="preserve"> erré en concluant que le défunt était domicilié en Italie? — Les juridictions inférieures </w:t>
            </w:r>
            <w:proofErr w:type="spellStart"/>
            <w:r w:rsidRPr="00547302">
              <w:rPr>
                <w:sz w:val="20"/>
                <w:lang w:val="fr-CA"/>
              </w:rPr>
              <w:t>ont-elles</w:t>
            </w:r>
            <w:proofErr w:type="spellEnd"/>
            <w:r w:rsidRPr="00547302">
              <w:rPr>
                <w:sz w:val="20"/>
                <w:lang w:val="fr-CA"/>
              </w:rPr>
              <w:t xml:space="preserve"> erré en déclinant compétence? — </w:t>
            </w:r>
            <w:r w:rsidRPr="00547302">
              <w:rPr>
                <w:i/>
                <w:sz w:val="20"/>
                <w:lang w:val="fr-CA"/>
              </w:rPr>
              <w:t>Code civil du Québec</w:t>
            </w:r>
            <w:r w:rsidRPr="00547302">
              <w:rPr>
                <w:sz w:val="20"/>
                <w:lang w:val="fr-CA"/>
              </w:rPr>
              <w:t>, art. 78</w:t>
            </w:r>
          </w:p>
        </w:tc>
      </w:tr>
      <w:tr w:rsidR="00D04A6F" w:rsidRPr="003D50B9" w:rsidTr="00D04A6F">
        <w:tc>
          <w:tcPr>
            <w:tcW w:w="5000" w:type="pct"/>
            <w:gridSpan w:val="4"/>
          </w:tcPr>
          <w:p w:rsidR="00D04A6F" w:rsidRPr="00547302" w:rsidRDefault="00D04A6F" w:rsidP="00AA1FE0">
            <w:pPr>
              <w:jc w:val="both"/>
              <w:rPr>
                <w:sz w:val="20"/>
                <w:lang w:val="fr-CA"/>
              </w:rPr>
            </w:pPr>
          </w:p>
        </w:tc>
      </w:tr>
      <w:tr w:rsidR="00D04A6F" w:rsidRPr="003D50B9" w:rsidTr="00D04A6F">
        <w:tc>
          <w:tcPr>
            <w:tcW w:w="5000" w:type="pct"/>
            <w:gridSpan w:val="4"/>
          </w:tcPr>
          <w:p w:rsidR="00D04A6F" w:rsidRPr="00547302" w:rsidRDefault="00D04A6F" w:rsidP="00AA1FE0">
            <w:pPr>
              <w:jc w:val="both"/>
              <w:rPr>
                <w:sz w:val="20"/>
                <w:lang w:val="fr-CA"/>
              </w:rPr>
            </w:pPr>
            <w:r w:rsidRPr="00547302">
              <w:rPr>
                <w:sz w:val="20"/>
                <w:lang w:val="fr-FR"/>
              </w:rPr>
              <w:t xml:space="preserve">Le demandeur, M. Tailor, est un résident de Londres. Il était un ami très proche du défunt Duc Roberto </w:t>
            </w:r>
            <w:proofErr w:type="spellStart"/>
            <w:r w:rsidRPr="00547302">
              <w:rPr>
                <w:sz w:val="20"/>
                <w:lang w:val="fr-FR"/>
              </w:rPr>
              <w:t>Ferretti</w:t>
            </w:r>
            <w:proofErr w:type="spellEnd"/>
            <w:r w:rsidRPr="00547302">
              <w:rPr>
                <w:sz w:val="20"/>
                <w:lang w:val="fr-FR"/>
              </w:rPr>
              <w:t xml:space="preserve"> (« M. </w:t>
            </w:r>
            <w:proofErr w:type="spellStart"/>
            <w:r w:rsidRPr="00547302">
              <w:rPr>
                <w:sz w:val="20"/>
                <w:lang w:val="fr-FR"/>
              </w:rPr>
              <w:t>Ferretti</w:t>
            </w:r>
            <w:proofErr w:type="spellEnd"/>
            <w:r w:rsidRPr="00547302">
              <w:rPr>
                <w:sz w:val="20"/>
                <w:lang w:val="fr-FR"/>
              </w:rPr>
              <w:t> »), décédé en Italie en 2005, et à diverses périodes de temps, ils ont cohabité ensemble en tant que couple. L’intimée, Mme Chiassi, est la sœur de la défunte épouse de M. </w:t>
            </w:r>
            <w:proofErr w:type="spellStart"/>
            <w:r w:rsidRPr="00547302">
              <w:rPr>
                <w:sz w:val="20"/>
                <w:lang w:val="fr-FR"/>
              </w:rPr>
              <w:t>Ferretti</w:t>
            </w:r>
            <w:proofErr w:type="spellEnd"/>
            <w:r w:rsidRPr="00547302">
              <w:rPr>
                <w:sz w:val="20"/>
                <w:lang w:val="fr-FR"/>
              </w:rPr>
              <w:t>. M. </w:t>
            </w:r>
            <w:proofErr w:type="spellStart"/>
            <w:r w:rsidRPr="00547302">
              <w:rPr>
                <w:sz w:val="20"/>
                <w:lang w:val="fr-FR"/>
              </w:rPr>
              <w:t>Ferretti</w:t>
            </w:r>
            <w:proofErr w:type="spellEnd"/>
            <w:r w:rsidRPr="00547302">
              <w:rPr>
                <w:sz w:val="20"/>
                <w:lang w:val="fr-FR"/>
              </w:rPr>
              <w:t xml:space="preserve"> a émigré au Canada sans son épouse en 1975. Il a acquis un nombre d’immeubles au Canada et éventuellement la citoyenneté canadienne, mais a quand même passé, à travers les années, beaucoup de temps à l’étranger. Dans son testament, M. </w:t>
            </w:r>
            <w:proofErr w:type="spellStart"/>
            <w:r w:rsidRPr="00547302">
              <w:rPr>
                <w:sz w:val="20"/>
                <w:lang w:val="fr-FR"/>
              </w:rPr>
              <w:t>Ferretti</w:t>
            </w:r>
            <w:proofErr w:type="spellEnd"/>
            <w:r w:rsidRPr="00547302">
              <w:rPr>
                <w:sz w:val="20"/>
                <w:lang w:val="fr-FR"/>
              </w:rPr>
              <w:t xml:space="preserve"> déclare résider à Londres, mais être domicilié à Castelfidardo en Italie.  Dans ce même testament, M. </w:t>
            </w:r>
            <w:proofErr w:type="spellStart"/>
            <w:r w:rsidRPr="00547302">
              <w:rPr>
                <w:sz w:val="20"/>
                <w:lang w:val="fr-FR"/>
              </w:rPr>
              <w:t>Ferretti</w:t>
            </w:r>
            <w:proofErr w:type="spellEnd"/>
            <w:r w:rsidRPr="00547302">
              <w:rPr>
                <w:sz w:val="20"/>
                <w:lang w:val="fr-FR"/>
              </w:rPr>
              <w:t xml:space="preserve"> cède à son neveu, Marco Ferretti, ses meubles qui se trouvent au Canada (mais dont on ne sait rien quant à leur valeur ou quantité). Le testament porte la mention de sa rédaction en Angleterre, mais est en la possession d’un notaire en Italie depuis 2005. </w:t>
            </w:r>
            <w:r w:rsidRPr="00547302">
              <w:rPr>
                <w:sz w:val="20"/>
                <w:lang w:val="fr-CA"/>
              </w:rPr>
              <w:t xml:space="preserve">M. Tailor a déposé une requête </w:t>
            </w:r>
            <w:r w:rsidRPr="00547302">
              <w:rPr>
                <w:sz w:val="20"/>
                <w:lang w:val="fr-FR"/>
              </w:rPr>
              <w:t>pour l’émission de lettres de vérification du testament de M. </w:t>
            </w:r>
            <w:proofErr w:type="spellStart"/>
            <w:r w:rsidRPr="00547302">
              <w:rPr>
                <w:sz w:val="20"/>
                <w:lang w:val="fr-FR"/>
              </w:rPr>
              <w:t>Ferretti</w:t>
            </w:r>
            <w:proofErr w:type="spellEnd"/>
            <w:r w:rsidRPr="00547302">
              <w:rPr>
                <w:sz w:val="20"/>
                <w:lang w:val="fr-FR"/>
              </w:rPr>
              <w:t xml:space="preserve"> </w:t>
            </w:r>
            <w:r w:rsidRPr="00547302">
              <w:rPr>
                <w:sz w:val="20"/>
                <w:lang w:val="fr-CA"/>
              </w:rPr>
              <w:t xml:space="preserve">au </w:t>
            </w:r>
            <w:r w:rsidRPr="00547302">
              <w:rPr>
                <w:sz w:val="20"/>
                <w:lang w:val="fr-CA"/>
              </w:rPr>
              <w:lastRenderedPageBreak/>
              <w:t xml:space="preserve">Québec. </w:t>
            </w:r>
            <w:r w:rsidRPr="00547302">
              <w:rPr>
                <w:sz w:val="20"/>
                <w:lang w:val="fr-FR"/>
              </w:rPr>
              <w:t xml:space="preserve">Mme Chiassi, qui conteste le testament en Italie, a cherché à faire déclarer la Cour supérieure du Québec incompétente pour entendre la requête de M. Tailor au motif qu’il n’existerait aucun élément de rattachement avec la juridiction québécoise. Subsidiairement, Mme Chiassi invoque que même s’il existe certains éléments de rattachement avec le Québec, le tribunal québécois devrait néanmoins renvoyer l’affaire en Italie en application du principe du </w:t>
            </w:r>
            <w:r w:rsidRPr="00547302">
              <w:rPr>
                <w:i/>
                <w:sz w:val="20"/>
                <w:lang w:val="fr-FR"/>
              </w:rPr>
              <w:t xml:space="preserve">forum non </w:t>
            </w:r>
            <w:proofErr w:type="spellStart"/>
            <w:r w:rsidRPr="00547302">
              <w:rPr>
                <w:i/>
                <w:sz w:val="20"/>
                <w:lang w:val="fr-FR"/>
              </w:rPr>
              <w:t>conveniens</w:t>
            </w:r>
            <w:proofErr w:type="spellEnd"/>
            <w:r w:rsidRPr="00547302">
              <w:rPr>
                <w:sz w:val="20"/>
                <w:lang w:val="fr-FR"/>
              </w:rPr>
              <w:t xml:space="preserve"> codifié à l’article 3135 du </w:t>
            </w:r>
            <w:r w:rsidRPr="00547302">
              <w:rPr>
                <w:i/>
                <w:sz w:val="20"/>
                <w:lang w:val="fr-FR"/>
              </w:rPr>
              <w:t>Code civil du Québec</w:t>
            </w:r>
            <w:r w:rsidRPr="00547302">
              <w:rPr>
                <w:sz w:val="20"/>
                <w:lang w:val="fr-FR"/>
              </w:rPr>
              <w:t xml:space="preserve"> (« </w:t>
            </w:r>
            <w:r w:rsidRPr="00547302">
              <w:rPr>
                <w:i/>
                <w:sz w:val="20"/>
                <w:lang w:val="fr-FR"/>
              </w:rPr>
              <w:t>C.c.Q.</w:t>
            </w:r>
            <w:r w:rsidRPr="00547302">
              <w:rPr>
                <w:sz w:val="20"/>
                <w:lang w:val="fr-FR"/>
              </w:rPr>
              <w:t> »). La Cour supérieure du Québec a donné droit à la demande</w:t>
            </w:r>
            <w:r w:rsidRPr="00547302">
              <w:rPr>
                <w:sz w:val="20"/>
                <w:lang w:val="fr-CA"/>
              </w:rPr>
              <w:t xml:space="preserve"> de Mme Chiassi et a décliné compétence en faveur du for italien. La Cour d’appel a rejeté l’appel de M. Tailor et a accueilli l’appel incident de Mme Chiassi. Pour la Cour d’appel, la Cour supérieure avait erré en se déclarant compétente </w:t>
            </w:r>
            <w:r w:rsidRPr="00547302">
              <w:rPr>
                <w:sz w:val="20"/>
                <w:lang w:val="fr-FR"/>
              </w:rPr>
              <w:t xml:space="preserve">en vertu de l’article 3153 al. 2 </w:t>
            </w:r>
            <w:r w:rsidRPr="00547302">
              <w:rPr>
                <w:i/>
                <w:sz w:val="20"/>
                <w:lang w:val="fr-FR"/>
              </w:rPr>
              <w:t>C.c.Q.</w:t>
            </w:r>
            <w:r w:rsidRPr="00547302">
              <w:rPr>
                <w:sz w:val="20"/>
                <w:lang w:val="fr-FR"/>
              </w:rPr>
              <w:t>, comme il n’y avait aucune preuve de</w:t>
            </w:r>
            <w:r w:rsidRPr="00547302">
              <w:rPr>
                <w:i/>
                <w:sz w:val="20"/>
                <w:lang w:val="fr-FR"/>
              </w:rPr>
              <w:t xml:space="preserve"> </w:t>
            </w:r>
            <w:r w:rsidRPr="00547302">
              <w:rPr>
                <w:sz w:val="20"/>
                <w:lang w:val="fr-FR"/>
              </w:rPr>
              <w:t xml:space="preserve">« biens situés au Québec » pour les fins d’application de cette disposition. </w:t>
            </w:r>
            <w:r w:rsidRPr="00547302">
              <w:rPr>
                <w:sz w:val="20"/>
                <w:lang w:val="fr-CA"/>
              </w:rPr>
              <w:t xml:space="preserve"> </w:t>
            </w:r>
          </w:p>
          <w:p w:rsidR="00D04A6F" w:rsidRPr="00547302" w:rsidRDefault="00D04A6F" w:rsidP="00AA1FE0">
            <w:pPr>
              <w:jc w:val="both"/>
              <w:rPr>
                <w:sz w:val="20"/>
                <w:lang w:val="fr-CA"/>
              </w:rPr>
            </w:pPr>
          </w:p>
        </w:tc>
      </w:tr>
      <w:tr w:rsidR="00D04A6F" w:rsidRPr="00547302" w:rsidTr="00D04A6F">
        <w:tc>
          <w:tcPr>
            <w:tcW w:w="2427" w:type="pct"/>
            <w:gridSpan w:val="2"/>
          </w:tcPr>
          <w:p w:rsidR="00D04A6F" w:rsidRPr="00547302" w:rsidRDefault="00D04A6F" w:rsidP="00AA1FE0">
            <w:pPr>
              <w:jc w:val="both"/>
              <w:rPr>
                <w:sz w:val="20"/>
                <w:lang w:val="fr-CA"/>
              </w:rPr>
            </w:pPr>
            <w:r w:rsidRPr="00547302">
              <w:rPr>
                <w:sz w:val="20"/>
                <w:lang w:val="fr-CA"/>
              </w:rPr>
              <w:lastRenderedPageBreak/>
              <w:t>Le 19 juillet 2016</w:t>
            </w:r>
          </w:p>
          <w:p w:rsidR="00D04A6F" w:rsidRPr="00547302" w:rsidRDefault="00D04A6F" w:rsidP="00AA1FE0">
            <w:pPr>
              <w:jc w:val="both"/>
              <w:rPr>
                <w:sz w:val="20"/>
                <w:lang w:val="fr-CA"/>
              </w:rPr>
            </w:pPr>
            <w:r w:rsidRPr="00547302">
              <w:rPr>
                <w:sz w:val="20"/>
                <w:lang w:val="fr-CA"/>
              </w:rPr>
              <w:t>Cour supérieure du Québec</w:t>
            </w:r>
          </w:p>
          <w:p w:rsidR="00D04A6F" w:rsidRPr="00547302" w:rsidRDefault="00D04A6F" w:rsidP="00AA1FE0">
            <w:pPr>
              <w:jc w:val="both"/>
              <w:rPr>
                <w:sz w:val="20"/>
              </w:rPr>
            </w:pPr>
            <w:r w:rsidRPr="00547302">
              <w:rPr>
                <w:sz w:val="20"/>
              </w:rPr>
              <w:t>(le juge Blanchard)</w:t>
            </w:r>
          </w:p>
          <w:p w:rsidR="00D04A6F" w:rsidRPr="00547302" w:rsidRDefault="00FC1FD2" w:rsidP="00AA1FE0">
            <w:pPr>
              <w:jc w:val="both"/>
              <w:rPr>
                <w:sz w:val="20"/>
              </w:rPr>
            </w:pPr>
            <w:hyperlink r:id="rId30" w:history="1">
              <w:r w:rsidR="00D04A6F" w:rsidRPr="00547302">
                <w:rPr>
                  <w:rStyle w:val="Hyperlink"/>
                  <w:sz w:val="20"/>
                </w:rPr>
                <w:t>2016 QCCS 3470</w:t>
              </w:r>
            </w:hyperlink>
          </w:p>
          <w:p w:rsidR="00D04A6F" w:rsidRPr="00547302" w:rsidRDefault="00D04A6F" w:rsidP="00AA1FE0">
            <w:pPr>
              <w:jc w:val="both"/>
              <w:rPr>
                <w:sz w:val="20"/>
              </w:rPr>
            </w:pPr>
          </w:p>
        </w:tc>
        <w:tc>
          <w:tcPr>
            <w:tcW w:w="243" w:type="pct"/>
          </w:tcPr>
          <w:p w:rsidR="00D04A6F" w:rsidRPr="00547302" w:rsidRDefault="00D04A6F" w:rsidP="00AA1FE0">
            <w:pPr>
              <w:jc w:val="both"/>
              <w:rPr>
                <w:sz w:val="20"/>
              </w:rPr>
            </w:pPr>
          </w:p>
        </w:tc>
        <w:tc>
          <w:tcPr>
            <w:tcW w:w="2330" w:type="pct"/>
          </w:tcPr>
          <w:p w:rsidR="00D04A6F" w:rsidRPr="00547302" w:rsidRDefault="00D04A6F" w:rsidP="00AA1FE0">
            <w:pPr>
              <w:jc w:val="both"/>
              <w:rPr>
                <w:sz w:val="20"/>
              </w:rPr>
            </w:pPr>
            <w:r w:rsidRPr="00547302">
              <w:rPr>
                <w:sz w:val="20"/>
              </w:rPr>
              <w:t>Requête en exception déclinatoire accueillie</w:t>
            </w:r>
          </w:p>
          <w:p w:rsidR="00D04A6F" w:rsidRPr="00547302" w:rsidRDefault="00D04A6F" w:rsidP="00AA1FE0">
            <w:pPr>
              <w:jc w:val="both"/>
              <w:rPr>
                <w:sz w:val="20"/>
              </w:rPr>
            </w:pPr>
          </w:p>
        </w:tc>
      </w:tr>
      <w:tr w:rsidR="00D04A6F" w:rsidRPr="00547302" w:rsidTr="00D04A6F">
        <w:tc>
          <w:tcPr>
            <w:tcW w:w="2427" w:type="pct"/>
            <w:gridSpan w:val="2"/>
          </w:tcPr>
          <w:p w:rsidR="00D04A6F" w:rsidRPr="00547302" w:rsidRDefault="00D04A6F" w:rsidP="00AA1FE0">
            <w:pPr>
              <w:jc w:val="both"/>
              <w:rPr>
                <w:sz w:val="20"/>
                <w:lang w:val="fr-CA"/>
              </w:rPr>
            </w:pPr>
            <w:r w:rsidRPr="00547302">
              <w:rPr>
                <w:sz w:val="20"/>
                <w:lang w:val="fr-CA"/>
              </w:rPr>
              <w:t>Le 26 juin 2018</w:t>
            </w:r>
          </w:p>
          <w:p w:rsidR="00D04A6F" w:rsidRPr="00547302" w:rsidRDefault="00D04A6F" w:rsidP="00AA1FE0">
            <w:pPr>
              <w:jc w:val="both"/>
              <w:rPr>
                <w:sz w:val="20"/>
                <w:lang w:val="fr-CA"/>
              </w:rPr>
            </w:pPr>
            <w:r w:rsidRPr="00547302">
              <w:rPr>
                <w:sz w:val="20"/>
                <w:lang w:val="fr-CA"/>
              </w:rPr>
              <w:t>Cour d’appel du Québec (Montréal)</w:t>
            </w:r>
          </w:p>
          <w:p w:rsidR="00D04A6F" w:rsidRPr="00547302" w:rsidRDefault="00D04A6F" w:rsidP="00AA1FE0">
            <w:pPr>
              <w:jc w:val="both"/>
              <w:rPr>
                <w:sz w:val="20"/>
                <w:lang w:val="fr-CA"/>
              </w:rPr>
            </w:pPr>
            <w:r w:rsidRPr="00547302">
              <w:rPr>
                <w:sz w:val="20"/>
                <w:lang w:val="fr-CA"/>
              </w:rPr>
              <w:t xml:space="preserve">(les juges Hilton, </w:t>
            </w:r>
            <w:proofErr w:type="spellStart"/>
            <w:r w:rsidRPr="00547302">
              <w:rPr>
                <w:sz w:val="20"/>
                <w:lang w:val="fr-CA"/>
              </w:rPr>
              <w:t>Vauclair</w:t>
            </w:r>
            <w:proofErr w:type="spellEnd"/>
            <w:r w:rsidRPr="00547302">
              <w:rPr>
                <w:sz w:val="20"/>
                <w:lang w:val="fr-CA"/>
              </w:rPr>
              <w:t xml:space="preserve"> et Marcotte)</w:t>
            </w:r>
          </w:p>
          <w:p w:rsidR="00D04A6F" w:rsidRPr="00547302" w:rsidRDefault="00D04A6F" w:rsidP="00AA1FE0">
            <w:pPr>
              <w:jc w:val="both"/>
              <w:rPr>
                <w:sz w:val="20"/>
              </w:rPr>
            </w:pPr>
            <w:r w:rsidRPr="00547302">
              <w:rPr>
                <w:sz w:val="20"/>
              </w:rPr>
              <w:t xml:space="preserve">No. dossier </w:t>
            </w:r>
            <w:r w:rsidRPr="00547302">
              <w:rPr>
                <w:rStyle w:val="nowrap"/>
                <w:sz w:val="20"/>
              </w:rPr>
              <w:t>500-09-026295-162</w:t>
            </w:r>
          </w:p>
          <w:p w:rsidR="00D04A6F" w:rsidRPr="00547302" w:rsidRDefault="00FC1FD2" w:rsidP="00AA1FE0">
            <w:pPr>
              <w:jc w:val="both"/>
              <w:rPr>
                <w:sz w:val="20"/>
              </w:rPr>
            </w:pPr>
            <w:hyperlink r:id="rId31" w:history="1">
              <w:r w:rsidR="00D04A6F" w:rsidRPr="00547302">
                <w:rPr>
                  <w:rStyle w:val="Hyperlink"/>
                  <w:sz w:val="20"/>
                </w:rPr>
                <w:t>2018 QCCA 1067</w:t>
              </w:r>
            </w:hyperlink>
            <w:r w:rsidR="00D04A6F" w:rsidRPr="00547302">
              <w:rPr>
                <w:sz w:val="20"/>
              </w:rPr>
              <w:t xml:space="preserve"> </w:t>
            </w:r>
          </w:p>
          <w:p w:rsidR="00D04A6F" w:rsidRPr="00547302" w:rsidRDefault="00D04A6F" w:rsidP="00AA1FE0">
            <w:pPr>
              <w:jc w:val="both"/>
              <w:rPr>
                <w:sz w:val="20"/>
              </w:rPr>
            </w:pPr>
          </w:p>
        </w:tc>
        <w:tc>
          <w:tcPr>
            <w:tcW w:w="243" w:type="pct"/>
          </w:tcPr>
          <w:p w:rsidR="00D04A6F" w:rsidRPr="00547302" w:rsidRDefault="00D04A6F" w:rsidP="00AA1FE0">
            <w:pPr>
              <w:jc w:val="both"/>
              <w:rPr>
                <w:sz w:val="20"/>
              </w:rPr>
            </w:pPr>
          </w:p>
        </w:tc>
        <w:tc>
          <w:tcPr>
            <w:tcW w:w="2330" w:type="pct"/>
          </w:tcPr>
          <w:p w:rsidR="00D04A6F" w:rsidRPr="00547302" w:rsidRDefault="00D04A6F" w:rsidP="00AA1FE0">
            <w:pPr>
              <w:jc w:val="both"/>
              <w:rPr>
                <w:sz w:val="20"/>
              </w:rPr>
            </w:pPr>
            <w:r w:rsidRPr="00547302">
              <w:rPr>
                <w:sz w:val="20"/>
              </w:rPr>
              <w:t>Appel rejeté; appel incident accueilli</w:t>
            </w:r>
          </w:p>
          <w:p w:rsidR="00D04A6F" w:rsidRPr="00547302" w:rsidRDefault="00D04A6F" w:rsidP="00AA1FE0">
            <w:pPr>
              <w:jc w:val="both"/>
              <w:rPr>
                <w:sz w:val="20"/>
              </w:rPr>
            </w:pPr>
          </w:p>
        </w:tc>
      </w:tr>
      <w:tr w:rsidR="00D04A6F" w:rsidRPr="00547302" w:rsidTr="00D04A6F">
        <w:tc>
          <w:tcPr>
            <w:tcW w:w="2427" w:type="pct"/>
            <w:gridSpan w:val="2"/>
          </w:tcPr>
          <w:p w:rsidR="00D04A6F" w:rsidRPr="00547302" w:rsidRDefault="00D04A6F" w:rsidP="00AA1FE0">
            <w:pPr>
              <w:jc w:val="both"/>
              <w:rPr>
                <w:sz w:val="20"/>
                <w:lang w:val="fr-CA"/>
              </w:rPr>
            </w:pPr>
            <w:r w:rsidRPr="00547302">
              <w:rPr>
                <w:sz w:val="20"/>
                <w:lang w:val="fr-CA"/>
              </w:rPr>
              <w:t>Le 25 septembre 2018</w:t>
            </w:r>
          </w:p>
          <w:p w:rsidR="00D04A6F" w:rsidRPr="00547302" w:rsidRDefault="00D04A6F" w:rsidP="00AA1FE0">
            <w:pPr>
              <w:jc w:val="both"/>
              <w:rPr>
                <w:sz w:val="20"/>
                <w:lang w:val="fr-CA"/>
              </w:rPr>
            </w:pPr>
            <w:r w:rsidRPr="00547302">
              <w:rPr>
                <w:sz w:val="20"/>
                <w:lang w:val="fr-CA"/>
              </w:rPr>
              <w:t>Cour suprême du Canada</w:t>
            </w:r>
          </w:p>
        </w:tc>
        <w:tc>
          <w:tcPr>
            <w:tcW w:w="243" w:type="pct"/>
          </w:tcPr>
          <w:p w:rsidR="00D04A6F" w:rsidRPr="00547302" w:rsidRDefault="00D04A6F" w:rsidP="00AA1FE0">
            <w:pPr>
              <w:jc w:val="both"/>
              <w:rPr>
                <w:sz w:val="20"/>
                <w:lang w:val="fr-CA"/>
              </w:rPr>
            </w:pPr>
          </w:p>
        </w:tc>
        <w:tc>
          <w:tcPr>
            <w:tcW w:w="2330" w:type="pct"/>
          </w:tcPr>
          <w:p w:rsidR="00D04A6F" w:rsidRPr="00547302" w:rsidRDefault="00D04A6F" w:rsidP="00AA1FE0">
            <w:pPr>
              <w:jc w:val="both"/>
              <w:rPr>
                <w:sz w:val="20"/>
              </w:rPr>
            </w:pPr>
            <w:r w:rsidRPr="00547302">
              <w:rPr>
                <w:sz w:val="20"/>
              </w:rPr>
              <w:t xml:space="preserve">Demande d’autorisation d’appel </w:t>
            </w:r>
            <w:proofErr w:type="spellStart"/>
            <w:r w:rsidRPr="00547302">
              <w:rPr>
                <w:sz w:val="20"/>
              </w:rPr>
              <w:t>déposée</w:t>
            </w:r>
            <w:proofErr w:type="spellEnd"/>
          </w:p>
          <w:p w:rsidR="00D04A6F" w:rsidRPr="00547302" w:rsidRDefault="00D04A6F" w:rsidP="00AA1FE0">
            <w:pPr>
              <w:jc w:val="both"/>
              <w:rPr>
                <w:sz w:val="20"/>
              </w:rPr>
            </w:pPr>
          </w:p>
        </w:tc>
      </w:tr>
    </w:tbl>
    <w:p w:rsidR="00D04A6F" w:rsidRPr="00547302" w:rsidRDefault="00D04A6F" w:rsidP="00AA1FE0">
      <w:pPr>
        <w:jc w:val="both"/>
        <w:rPr>
          <w:sz w:val="20"/>
        </w:rPr>
      </w:pPr>
    </w:p>
    <w:p w:rsidR="00D04A6F" w:rsidRPr="00547302" w:rsidRDefault="00D04A6F" w:rsidP="00AA1FE0">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04A6F" w:rsidRPr="00547302" w:rsidTr="00D04A6F">
        <w:tc>
          <w:tcPr>
            <w:tcW w:w="543" w:type="pct"/>
          </w:tcPr>
          <w:p w:rsidR="00D04A6F" w:rsidRPr="00547302" w:rsidRDefault="00D04A6F" w:rsidP="00AA1FE0">
            <w:pPr>
              <w:jc w:val="both"/>
              <w:rPr>
                <w:sz w:val="20"/>
                <w:lang w:val="en-CA"/>
              </w:rPr>
            </w:pPr>
            <w:r w:rsidRPr="00547302">
              <w:rPr>
                <w:rStyle w:val="SCCFileNumberChar"/>
                <w:sz w:val="20"/>
                <w:szCs w:val="20"/>
              </w:rPr>
              <w:t>38430</w:t>
            </w:r>
          </w:p>
        </w:tc>
        <w:tc>
          <w:tcPr>
            <w:tcW w:w="4457" w:type="pct"/>
            <w:gridSpan w:val="3"/>
          </w:tcPr>
          <w:p w:rsidR="00D04A6F" w:rsidRPr="00BD4C76" w:rsidRDefault="00D04A6F" w:rsidP="00AA1FE0">
            <w:pPr>
              <w:pStyle w:val="SCCLsocParty"/>
              <w:jc w:val="both"/>
              <w:rPr>
                <w:b/>
                <w:sz w:val="20"/>
                <w:szCs w:val="20"/>
              </w:rPr>
            </w:pPr>
            <w:r w:rsidRPr="00BD4C76">
              <w:rPr>
                <w:b/>
                <w:sz w:val="20"/>
                <w:szCs w:val="20"/>
              </w:rPr>
              <w:t>9179-0717 Québec inc.</w:t>
            </w:r>
            <w:r w:rsidR="00BD4C76" w:rsidRPr="00BD4C76">
              <w:rPr>
                <w:b/>
                <w:sz w:val="20"/>
                <w:szCs w:val="20"/>
              </w:rPr>
              <w:t xml:space="preserve"> and</w:t>
            </w:r>
            <w:r w:rsidRPr="00BD4C76">
              <w:rPr>
                <w:b/>
                <w:sz w:val="20"/>
                <w:szCs w:val="20"/>
              </w:rPr>
              <w:t xml:space="preserve"> LEGD inc. v. Ville de Saint</w:t>
            </w:r>
            <w:r w:rsidRPr="00BD4C76">
              <w:rPr>
                <w:b/>
                <w:sz w:val="20"/>
                <w:szCs w:val="20"/>
              </w:rPr>
              <w:noBreakHyphen/>
              <w:t>Colomban</w:t>
            </w:r>
          </w:p>
          <w:p w:rsidR="00D04A6F" w:rsidRPr="00547302" w:rsidRDefault="00D04A6F" w:rsidP="005439B3">
            <w:pPr>
              <w:jc w:val="both"/>
              <w:rPr>
                <w:sz w:val="20"/>
                <w:lang w:val="en-CA"/>
              </w:rPr>
            </w:pPr>
            <w:r w:rsidRPr="00547302">
              <w:rPr>
                <w:sz w:val="20"/>
                <w:lang w:val="en-CA"/>
              </w:rPr>
              <w:t>(Que.) (Civil) (By Leave)</w:t>
            </w:r>
          </w:p>
        </w:tc>
      </w:tr>
      <w:tr w:rsidR="00D04A6F" w:rsidRPr="00547302" w:rsidTr="006604ED">
        <w:trPr>
          <w:trHeight w:val="1843"/>
        </w:trPr>
        <w:tc>
          <w:tcPr>
            <w:tcW w:w="5000" w:type="pct"/>
            <w:gridSpan w:val="4"/>
          </w:tcPr>
          <w:p w:rsidR="00D04A6F" w:rsidRPr="00547302" w:rsidRDefault="00D04A6F" w:rsidP="00AA1FE0">
            <w:pPr>
              <w:jc w:val="both"/>
              <w:rPr>
                <w:sz w:val="20"/>
                <w:lang w:val="en-CA"/>
              </w:rPr>
            </w:pPr>
            <w:r w:rsidRPr="00547302">
              <w:rPr>
                <w:sz w:val="20"/>
                <w:lang w:val="en-CA"/>
              </w:rPr>
              <w:t>Municipal law — By-laws — Validity — Zoning — Subdivision — Public works — Development project approved by City — Memorandum of agreement not signed — Amendment to municipal subdivision by</w:t>
            </w:r>
            <w:r w:rsidRPr="00547302">
              <w:rPr>
                <w:sz w:val="20"/>
                <w:lang w:val="en-CA"/>
              </w:rPr>
              <w:noBreakHyphen/>
              <w:t xml:space="preserve">law preventing project from being carried out because minimum area standard not met — Proper interpretation of s. 115 of </w:t>
            </w:r>
            <w:r w:rsidRPr="00547302">
              <w:rPr>
                <w:i/>
                <w:sz w:val="20"/>
                <w:lang w:val="en-CA"/>
              </w:rPr>
              <w:t>Act respecting land use planning and development</w:t>
            </w:r>
            <w:r w:rsidRPr="00547302">
              <w:rPr>
                <w:sz w:val="20"/>
                <w:lang w:val="en-CA"/>
              </w:rPr>
              <w:t xml:space="preserve"> — Whether term “public works” in s. 115 of </w:t>
            </w:r>
            <w:r w:rsidRPr="00547302">
              <w:rPr>
                <w:i/>
                <w:sz w:val="20"/>
                <w:lang w:val="en-CA"/>
              </w:rPr>
              <w:t>Act</w:t>
            </w:r>
            <w:r w:rsidRPr="00547302">
              <w:rPr>
                <w:sz w:val="20"/>
                <w:lang w:val="en-CA"/>
              </w:rPr>
              <w:t xml:space="preserve"> includes street — Whether rule that subdivision standards must be uniform within same zone exists under s. 115 of </w:t>
            </w:r>
            <w:r w:rsidRPr="00547302">
              <w:rPr>
                <w:i/>
                <w:sz w:val="20"/>
                <w:lang w:val="en-CA"/>
              </w:rPr>
              <w:t>Act</w:t>
            </w:r>
            <w:r w:rsidRPr="00547302">
              <w:rPr>
                <w:sz w:val="20"/>
                <w:lang w:val="en-CA"/>
              </w:rPr>
              <w:t xml:space="preserve"> — Whether it is error of law to say that municipality can adopt unlawful subdivision standard under s. 115 of </w:t>
            </w:r>
            <w:r w:rsidRPr="00547302">
              <w:rPr>
                <w:i/>
                <w:sz w:val="20"/>
                <w:lang w:val="en-CA"/>
              </w:rPr>
              <w:t>Act</w:t>
            </w:r>
            <w:r w:rsidRPr="00547302">
              <w:rPr>
                <w:sz w:val="20"/>
                <w:lang w:val="en-CA"/>
              </w:rPr>
              <w:t xml:space="preserve"> if its purpose in doing so is to ensure that particular by</w:t>
            </w:r>
            <w:r w:rsidRPr="00547302">
              <w:rPr>
                <w:sz w:val="20"/>
                <w:lang w:val="en-CA"/>
              </w:rPr>
              <w:noBreakHyphen/>
              <w:t xml:space="preserve">law is consistent with land use and development plan of regional county municipality — </w:t>
            </w:r>
            <w:r w:rsidRPr="00547302">
              <w:rPr>
                <w:i/>
                <w:sz w:val="20"/>
                <w:lang w:val="en-CA"/>
              </w:rPr>
              <w:t>Act respecting land use planning and development</w:t>
            </w:r>
            <w:r w:rsidRPr="00547302">
              <w:rPr>
                <w:sz w:val="20"/>
                <w:lang w:val="en-CA"/>
              </w:rPr>
              <w:t>, CQLR, c. A</w:t>
            </w:r>
            <w:r w:rsidRPr="00547302">
              <w:rPr>
                <w:sz w:val="20"/>
                <w:lang w:val="en-CA"/>
              </w:rPr>
              <w:noBreakHyphen/>
              <w:t>19.1, s. 115.</w:t>
            </w:r>
          </w:p>
          <w:p w:rsidR="006604ED" w:rsidRPr="00547302" w:rsidRDefault="006604ED" w:rsidP="00AA1FE0">
            <w:pPr>
              <w:jc w:val="both"/>
              <w:rPr>
                <w:sz w:val="20"/>
                <w:lang w:val="en-CA"/>
              </w:rPr>
            </w:pPr>
          </w:p>
        </w:tc>
      </w:tr>
      <w:tr w:rsidR="00D04A6F" w:rsidRPr="00547302" w:rsidTr="002F6856">
        <w:trPr>
          <w:trHeight w:val="142"/>
        </w:trPr>
        <w:tc>
          <w:tcPr>
            <w:tcW w:w="5000" w:type="pct"/>
            <w:gridSpan w:val="4"/>
          </w:tcPr>
          <w:p w:rsidR="00D04A6F" w:rsidRPr="00547302" w:rsidRDefault="00D04A6F" w:rsidP="00AA1FE0">
            <w:pPr>
              <w:jc w:val="both"/>
              <w:rPr>
                <w:sz w:val="20"/>
                <w:lang w:val="en-CA"/>
              </w:rPr>
            </w:pPr>
            <w:r w:rsidRPr="00547302">
              <w:rPr>
                <w:sz w:val="20"/>
                <w:lang w:val="en-CA"/>
              </w:rPr>
              <w:t>The respondent, Ville de Saint</w:t>
            </w:r>
            <w:r w:rsidRPr="00547302">
              <w:rPr>
                <w:sz w:val="20"/>
                <w:lang w:val="en-CA"/>
              </w:rPr>
              <w:noBreakHyphen/>
              <w:t xml:space="preserve">Colomban (“City”), approved a project on land belonging to one of the applicants. The project required public works, which were to </w:t>
            </w:r>
            <w:proofErr w:type="gramStart"/>
            <w:r w:rsidRPr="00547302">
              <w:rPr>
                <w:sz w:val="20"/>
                <w:lang w:val="en-CA"/>
              </w:rPr>
              <w:t>be performed</w:t>
            </w:r>
            <w:proofErr w:type="gramEnd"/>
            <w:r w:rsidRPr="00547302">
              <w:rPr>
                <w:sz w:val="20"/>
                <w:lang w:val="en-CA"/>
              </w:rPr>
              <w:t xml:space="preserve"> by the other applicant; the City therefore authorized the mayor to sign a memorandum of agreement with the first applicant, which had to provide amounts to guarantee the performance of the works. However, the memorandum of agreement </w:t>
            </w:r>
            <w:proofErr w:type="gramStart"/>
            <w:r w:rsidRPr="00547302">
              <w:rPr>
                <w:sz w:val="20"/>
                <w:lang w:val="en-CA"/>
              </w:rPr>
              <w:t>was never signed</w:t>
            </w:r>
            <w:proofErr w:type="gramEnd"/>
            <w:r w:rsidRPr="00547302">
              <w:rPr>
                <w:sz w:val="20"/>
                <w:lang w:val="en-CA"/>
              </w:rPr>
              <w:t>. Following an amendment to the municipal subdivision by</w:t>
            </w:r>
            <w:r w:rsidRPr="00547302">
              <w:rPr>
                <w:sz w:val="20"/>
                <w:lang w:val="en-CA"/>
              </w:rPr>
              <w:noBreakHyphen/>
              <w:t>law, the City indicated that it would be impossible to carry out the project because the lots concerned did not have the minimum area required. The applicants commenced legal proceedings, including an application for mandamus to force the City to sign the memorandum of agreement and an application to have the amendment to the subdivision by</w:t>
            </w:r>
            <w:r w:rsidRPr="00547302">
              <w:rPr>
                <w:sz w:val="20"/>
                <w:lang w:val="en-CA"/>
              </w:rPr>
              <w:noBreakHyphen/>
              <w:t>law declared null on the ground that it was unlawful because it distinguished between lots on a discriminatory basis, namely proximity to an existing street.</w:t>
            </w:r>
          </w:p>
          <w:p w:rsidR="00D04A6F" w:rsidRPr="00547302" w:rsidRDefault="00D04A6F" w:rsidP="00AA1FE0">
            <w:pPr>
              <w:jc w:val="both"/>
              <w:rPr>
                <w:sz w:val="20"/>
                <w:lang w:val="en-CA"/>
              </w:rPr>
            </w:pPr>
          </w:p>
          <w:p w:rsidR="00D04A6F" w:rsidRPr="00547302" w:rsidRDefault="00D04A6F" w:rsidP="00AA1FE0">
            <w:pPr>
              <w:jc w:val="both"/>
              <w:rPr>
                <w:sz w:val="20"/>
                <w:lang w:val="en-CA"/>
              </w:rPr>
            </w:pPr>
            <w:r w:rsidRPr="00547302">
              <w:rPr>
                <w:sz w:val="20"/>
                <w:lang w:val="en-CA"/>
              </w:rPr>
              <w:t>The trial judge ruled in the City’s favour and dismissed the application for mandamus.</w:t>
            </w:r>
            <w:r w:rsidRPr="00547302">
              <w:rPr>
                <w:i/>
                <w:sz w:val="20"/>
                <w:lang w:val="en-CA"/>
              </w:rPr>
              <w:t xml:space="preserve"> </w:t>
            </w:r>
            <w:r w:rsidRPr="00547302">
              <w:rPr>
                <w:sz w:val="20"/>
                <w:lang w:val="en-CA"/>
              </w:rPr>
              <w:t xml:space="preserve">On the application for a declaration of nullity, the judge found that a municipality </w:t>
            </w:r>
            <w:proofErr w:type="gramStart"/>
            <w:r w:rsidRPr="00547302">
              <w:rPr>
                <w:sz w:val="20"/>
                <w:lang w:val="en-CA"/>
              </w:rPr>
              <w:t>can</w:t>
            </w:r>
            <w:proofErr w:type="gramEnd"/>
            <w:r w:rsidRPr="00547302">
              <w:rPr>
                <w:sz w:val="20"/>
                <w:lang w:val="en-CA"/>
              </w:rPr>
              <w:t xml:space="preserve"> adopt a subdivision by</w:t>
            </w:r>
            <w:r w:rsidRPr="00547302">
              <w:rPr>
                <w:sz w:val="20"/>
                <w:lang w:val="en-CA"/>
              </w:rPr>
              <w:noBreakHyphen/>
              <w:t>law providing for minimum area standards that vary based on the proximity of the land to “public works”, including a street. The City was also required to adopt standards corresponding to the minimum standards set by the regional county municipality. The Court of Appeal dismissed the applicants’ appeal, finding that the trial judge had not made any error. It also stated that the rule cited by the applicants, to the effect that uses must be uniform within the same zone, applied to the zoning by</w:t>
            </w:r>
            <w:r w:rsidRPr="00547302">
              <w:rPr>
                <w:sz w:val="20"/>
                <w:lang w:val="en-CA"/>
              </w:rPr>
              <w:noBreakHyphen/>
              <w:t>law, not the subdivision by</w:t>
            </w:r>
            <w:r w:rsidRPr="00547302">
              <w:rPr>
                <w:sz w:val="20"/>
                <w:lang w:val="en-CA"/>
              </w:rPr>
              <w:noBreakHyphen/>
              <w:t xml:space="preserve">law. The distinctions drawn </w:t>
            </w:r>
            <w:proofErr w:type="gramStart"/>
            <w:r w:rsidRPr="00547302">
              <w:rPr>
                <w:sz w:val="20"/>
                <w:lang w:val="en-CA"/>
              </w:rPr>
              <w:t>were expressly authorized</w:t>
            </w:r>
            <w:proofErr w:type="gramEnd"/>
            <w:r w:rsidRPr="00547302">
              <w:rPr>
                <w:sz w:val="20"/>
                <w:lang w:val="en-CA"/>
              </w:rPr>
              <w:t xml:space="preserve"> by the legislature.</w:t>
            </w:r>
          </w:p>
          <w:p w:rsidR="00D648E7" w:rsidRPr="00547302" w:rsidRDefault="00D648E7" w:rsidP="00AA1FE0">
            <w:pPr>
              <w:jc w:val="both"/>
              <w:rPr>
                <w:sz w:val="20"/>
                <w:lang w:val="en-CA"/>
              </w:rPr>
            </w:pPr>
          </w:p>
        </w:tc>
      </w:tr>
      <w:tr w:rsidR="00D04A6F" w:rsidRPr="00547302" w:rsidTr="00D04A6F">
        <w:tc>
          <w:tcPr>
            <w:tcW w:w="2427" w:type="pct"/>
            <w:gridSpan w:val="2"/>
          </w:tcPr>
          <w:p w:rsidR="00D04A6F" w:rsidRPr="00547302" w:rsidRDefault="00D04A6F" w:rsidP="00AA1FE0">
            <w:pPr>
              <w:jc w:val="both"/>
              <w:rPr>
                <w:sz w:val="20"/>
                <w:lang w:val="en-CA"/>
              </w:rPr>
            </w:pPr>
            <w:r w:rsidRPr="00547302">
              <w:rPr>
                <w:sz w:val="20"/>
                <w:lang w:val="en-CA"/>
              </w:rPr>
              <w:lastRenderedPageBreak/>
              <w:t>June 7, 2017</w:t>
            </w:r>
          </w:p>
          <w:p w:rsidR="00D04A6F" w:rsidRPr="00547302" w:rsidRDefault="00D04A6F" w:rsidP="00AA1FE0">
            <w:pPr>
              <w:jc w:val="both"/>
              <w:rPr>
                <w:sz w:val="20"/>
                <w:lang w:val="en-CA"/>
              </w:rPr>
            </w:pPr>
            <w:r w:rsidRPr="00547302">
              <w:rPr>
                <w:sz w:val="20"/>
                <w:lang w:val="en-CA"/>
              </w:rPr>
              <w:t>Quebec Superior Court</w:t>
            </w:r>
          </w:p>
          <w:p w:rsidR="00D04A6F" w:rsidRPr="00547302" w:rsidRDefault="00D04A6F" w:rsidP="00AA1FE0">
            <w:pPr>
              <w:jc w:val="both"/>
              <w:rPr>
                <w:sz w:val="20"/>
                <w:lang w:val="en-CA"/>
              </w:rPr>
            </w:pPr>
            <w:r w:rsidRPr="00547302">
              <w:rPr>
                <w:sz w:val="20"/>
                <w:lang w:val="en-CA"/>
              </w:rPr>
              <w:t>(Gaudet J.)</w:t>
            </w:r>
          </w:p>
          <w:p w:rsidR="00D04A6F" w:rsidRPr="00547302" w:rsidRDefault="00FC1FD2" w:rsidP="00AA1FE0">
            <w:pPr>
              <w:jc w:val="both"/>
              <w:rPr>
                <w:sz w:val="20"/>
                <w:lang w:val="en-CA"/>
              </w:rPr>
            </w:pPr>
            <w:hyperlink r:id="rId32" w:history="1">
              <w:r w:rsidR="00D04A6F" w:rsidRPr="00547302">
                <w:rPr>
                  <w:rStyle w:val="Hyperlink"/>
                  <w:sz w:val="20"/>
                  <w:lang w:val="en-CA"/>
                </w:rPr>
                <w:t>2017 QCCS 2528</w:t>
              </w:r>
            </w:hyperlink>
          </w:p>
          <w:p w:rsidR="00D04A6F" w:rsidRPr="00547302" w:rsidRDefault="00D04A6F" w:rsidP="00AA1FE0">
            <w:pPr>
              <w:jc w:val="both"/>
              <w:rPr>
                <w:sz w:val="20"/>
                <w:lang w:val="en-CA"/>
              </w:rPr>
            </w:pPr>
          </w:p>
        </w:tc>
        <w:tc>
          <w:tcPr>
            <w:tcW w:w="243" w:type="pct"/>
          </w:tcPr>
          <w:p w:rsidR="00D04A6F" w:rsidRPr="00547302" w:rsidRDefault="00D04A6F" w:rsidP="00AA1FE0">
            <w:pPr>
              <w:jc w:val="both"/>
              <w:rPr>
                <w:sz w:val="20"/>
                <w:lang w:val="en-CA"/>
              </w:rPr>
            </w:pPr>
          </w:p>
        </w:tc>
        <w:tc>
          <w:tcPr>
            <w:tcW w:w="2330" w:type="pct"/>
          </w:tcPr>
          <w:p w:rsidR="00D04A6F" w:rsidRPr="00547302" w:rsidRDefault="00D04A6F" w:rsidP="00AA1FE0">
            <w:pPr>
              <w:jc w:val="both"/>
              <w:rPr>
                <w:sz w:val="20"/>
                <w:lang w:val="en-CA"/>
              </w:rPr>
            </w:pPr>
            <w:r w:rsidRPr="00547302">
              <w:rPr>
                <w:sz w:val="20"/>
                <w:lang w:val="en-CA"/>
              </w:rPr>
              <w:t>Application for mandamus and for declaration of nullity dismissed</w:t>
            </w:r>
          </w:p>
          <w:p w:rsidR="00D04A6F" w:rsidRPr="00547302" w:rsidRDefault="00D04A6F" w:rsidP="00AA1FE0">
            <w:pPr>
              <w:jc w:val="both"/>
              <w:rPr>
                <w:sz w:val="20"/>
                <w:lang w:val="en-CA"/>
              </w:rPr>
            </w:pPr>
          </w:p>
        </w:tc>
      </w:tr>
      <w:tr w:rsidR="00D04A6F" w:rsidRPr="00547302" w:rsidTr="00D04A6F">
        <w:tc>
          <w:tcPr>
            <w:tcW w:w="2427" w:type="pct"/>
            <w:gridSpan w:val="2"/>
          </w:tcPr>
          <w:p w:rsidR="00D04A6F" w:rsidRPr="00547302" w:rsidRDefault="00D04A6F" w:rsidP="00AA1FE0">
            <w:pPr>
              <w:jc w:val="both"/>
              <w:rPr>
                <w:sz w:val="20"/>
                <w:lang w:val="en-CA"/>
              </w:rPr>
            </w:pPr>
            <w:r w:rsidRPr="00547302">
              <w:rPr>
                <w:sz w:val="20"/>
                <w:lang w:val="en-CA"/>
              </w:rPr>
              <w:t>October 4, 2018</w:t>
            </w:r>
          </w:p>
          <w:p w:rsidR="00D04A6F" w:rsidRPr="00547302" w:rsidRDefault="00D04A6F" w:rsidP="00AA1FE0">
            <w:pPr>
              <w:jc w:val="both"/>
              <w:rPr>
                <w:sz w:val="20"/>
                <w:lang w:val="en-CA"/>
              </w:rPr>
            </w:pPr>
            <w:r w:rsidRPr="00547302">
              <w:rPr>
                <w:sz w:val="20"/>
                <w:lang w:val="en-CA"/>
              </w:rPr>
              <w:t>Quebec Court of Appeal (Montréal)</w:t>
            </w:r>
          </w:p>
          <w:p w:rsidR="00D04A6F" w:rsidRPr="00547302" w:rsidRDefault="00D04A6F" w:rsidP="00AA1FE0">
            <w:pPr>
              <w:jc w:val="both"/>
              <w:rPr>
                <w:sz w:val="20"/>
                <w:lang w:val="en-CA"/>
              </w:rPr>
            </w:pPr>
            <w:r w:rsidRPr="00547302">
              <w:rPr>
                <w:sz w:val="20"/>
                <w:lang w:val="en-CA"/>
              </w:rPr>
              <w:t>(Vauclair, Roy and Gagné JJ.A.)</w:t>
            </w:r>
          </w:p>
          <w:p w:rsidR="00D04A6F" w:rsidRPr="00547302" w:rsidRDefault="00FC1FD2" w:rsidP="00AA1FE0">
            <w:pPr>
              <w:jc w:val="both"/>
              <w:rPr>
                <w:rStyle w:val="Hyperlink"/>
                <w:sz w:val="20"/>
                <w:lang w:val="en-CA"/>
              </w:rPr>
            </w:pPr>
            <w:hyperlink r:id="rId33" w:history="1">
              <w:r w:rsidR="00D04A6F" w:rsidRPr="00547302">
                <w:rPr>
                  <w:rStyle w:val="Hyperlink"/>
                  <w:sz w:val="20"/>
                  <w:lang w:val="en-CA"/>
                </w:rPr>
                <w:t>2018 QCCA 1828</w:t>
              </w:r>
            </w:hyperlink>
          </w:p>
          <w:p w:rsidR="00D04A6F" w:rsidRPr="00547302" w:rsidRDefault="00D04A6F" w:rsidP="00AA1FE0">
            <w:pPr>
              <w:jc w:val="both"/>
              <w:rPr>
                <w:sz w:val="20"/>
                <w:lang w:val="en-CA"/>
              </w:rPr>
            </w:pPr>
          </w:p>
        </w:tc>
        <w:tc>
          <w:tcPr>
            <w:tcW w:w="243" w:type="pct"/>
          </w:tcPr>
          <w:p w:rsidR="00D04A6F" w:rsidRPr="00547302" w:rsidRDefault="00D04A6F" w:rsidP="00AA1FE0">
            <w:pPr>
              <w:jc w:val="both"/>
              <w:rPr>
                <w:sz w:val="20"/>
                <w:lang w:val="en-CA"/>
              </w:rPr>
            </w:pPr>
          </w:p>
        </w:tc>
        <w:tc>
          <w:tcPr>
            <w:tcW w:w="2330" w:type="pct"/>
          </w:tcPr>
          <w:p w:rsidR="00D04A6F" w:rsidRPr="00547302" w:rsidRDefault="00D04A6F" w:rsidP="00AA1FE0">
            <w:pPr>
              <w:jc w:val="both"/>
              <w:rPr>
                <w:sz w:val="20"/>
                <w:lang w:val="en-CA"/>
              </w:rPr>
            </w:pPr>
            <w:r w:rsidRPr="00547302">
              <w:rPr>
                <w:sz w:val="20"/>
                <w:lang w:val="en-CA"/>
              </w:rPr>
              <w:t>Appeal dismissed</w:t>
            </w:r>
          </w:p>
          <w:p w:rsidR="00D04A6F" w:rsidRPr="00547302" w:rsidRDefault="00D04A6F" w:rsidP="00AA1FE0">
            <w:pPr>
              <w:jc w:val="both"/>
              <w:rPr>
                <w:sz w:val="20"/>
                <w:lang w:val="en-CA"/>
              </w:rPr>
            </w:pPr>
          </w:p>
        </w:tc>
      </w:tr>
      <w:tr w:rsidR="00D04A6F" w:rsidRPr="00547302" w:rsidTr="00D04A6F">
        <w:tc>
          <w:tcPr>
            <w:tcW w:w="2427" w:type="pct"/>
            <w:gridSpan w:val="2"/>
          </w:tcPr>
          <w:p w:rsidR="00D04A6F" w:rsidRPr="00547302" w:rsidRDefault="00D04A6F" w:rsidP="00AA1FE0">
            <w:pPr>
              <w:jc w:val="both"/>
              <w:rPr>
                <w:sz w:val="20"/>
                <w:lang w:val="en-CA"/>
              </w:rPr>
            </w:pPr>
            <w:r w:rsidRPr="00547302">
              <w:rPr>
                <w:sz w:val="20"/>
                <w:lang w:val="en-CA"/>
              </w:rPr>
              <w:t>December 3, 2018</w:t>
            </w:r>
          </w:p>
          <w:p w:rsidR="00D04A6F" w:rsidRPr="00547302" w:rsidRDefault="00D04A6F" w:rsidP="00AA1FE0">
            <w:pPr>
              <w:jc w:val="both"/>
              <w:rPr>
                <w:sz w:val="20"/>
                <w:lang w:val="en-CA"/>
              </w:rPr>
            </w:pPr>
            <w:r w:rsidRPr="00547302">
              <w:rPr>
                <w:sz w:val="20"/>
                <w:lang w:val="en-CA"/>
              </w:rPr>
              <w:t>Supreme Court of Canada</w:t>
            </w:r>
          </w:p>
        </w:tc>
        <w:tc>
          <w:tcPr>
            <w:tcW w:w="243" w:type="pct"/>
          </w:tcPr>
          <w:p w:rsidR="00D04A6F" w:rsidRPr="00547302" w:rsidRDefault="00D04A6F" w:rsidP="00AA1FE0">
            <w:pPr>
              <w:jc w:val="both"/>
              <w:rPr>
                <w:sz w:val="20"/>
                <w:lang w:val="en-CA"/>
              </w:rPr>
            </w:pPr>
          </w:p>
        </w:tc>
        <w:tc>
          <w:tcPr>
            <w:tcW w:w="2330" w:type="pct"/>
          </w:tcPr>
          <w:p w:rsidR="00D04A6F" w:rsidRPr="00547302" w:rsidRDefault="00D04A6F" w:rsidP="00AA1FE0">
            <w:pPr>
              <w:jc w:val="both"/>
              <w:rPr>
                <w:sz w:val="20"/>
                <w:lang w:val="en-CA"/>
              </w:rPr>
            </w:pPr>
            <w:r w:rsidRPr="00547302">
              <w:rPr>
                <w:sz w:val="20"/>
                <w:lang w:val="en-CA"/>
              </w:rPr>
              <w:t xml:space="preserve">Application for leave to appeal filed </w:t>
            </w:r>
          </w:p>
        </w:tc>
      </w:tr>
    </w:tbl>
    <w:p w:rsidR="00D04A6F" w:rsidRPr="00547302" w:rsidRDefault="00D04A6F" w:rsidP="00AA1FE0">
      <w:pPr>
        <w:autoSpaceDE w:val="0"/>
        <w:autoSpaceDN w:val="0"/>
        <w:adjustRightInd w:val="0"/>
        <w:jc w:val="both"/>
        <w:rPr>
          <w:sz w:val="20"/>
          <w:lang w:val="en-CA"/>
        </w:rPr>
      </w:pPr>
    </w:p>
    <w:p w:rsidR="002F6856" w:rsidRPr="00547302" w:rsidRDefault="002F6856" w:rsidP="00AA1FE0">
      <w:pPr>
        <w:autoSpaceDE w:val="0"/>
        <w:autoSpaceDN w:val="0"/>
        <w:adjustRightInd w:val="0"/>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04A6F" w:rsidRPr="00014EE1" w:rsidTr="00D04A6F">
        <w:tc>
          <w:tcPr>
            <w:tcW w:w="543" w:type="pct"/>
          </w:tcPr>
          <w:p w:rsidR="00D04A6F" w:rsidRPr="00547302" w:rsidRDefault="00D04A6F" w:rsidP="00AA1FE0">
            <w:pPr>
              <w:jc w:val="both"/>
              <w:rPr>
                <w:sz w:val="20"/>
              </w:rPr>
            </w:pPr>
            <w:r w:rsidRPr="00547302">
              <w:rPr>
                <w:rStyle w:val="SCCFileNumberChar"/>
                <w:sz w:val="20"/>
                <w:szCs w:val="20"/>
              </w:rPr>
              <w:t>38430</w:t>
            </w:r>
          </w:p>
        </w:tc>
        <w:tc>
          <w:tcPr>
            <w:tcW w:w="4457" w:type="pct"/>
            <w:gridSpan w:val="3"/>
          </w:tcPr>
          <w:p w:rsidR="00D04A6F" w:rsidRPr="00547302" w:rsidRDefault="00D04A6F" w:rsidP="00AA1FE0">
            <w:pPr>
              <w:pStyle w:val="SCCLsocParty"/>
              <w:jc w:val="both"/>
              <w:rPr>
                <w:b/>
                <w:sz w:val="20"/>
                <w:szCs w:val="20"/>
              </w:rPr>
            </w:pPr>
            <w:r w:rsidRPr="00547302">
              <w:rPr>
                <w:b/>
                <w:sz w:val="20"/>
                <w:szCs w:val="20"/>
              </w:rPr>
              <w:t>9179-0717 Québec inc.</w:t>
            </w:r>
            <w:r w:rsidR="00014EE1">
              <w:rPr>
                <w:b/>
                <w:sz w:val="20"/>
                <w:szCs w:val="20"/>
              </w:rPr>
              <w:t xml:space="preserve"> et</w:t>
            </w:r>
            <w:r w:rsidRPr="00547302">
              <w:rPr>
                <w:b/>
                <w:sz w:val="20"/>
                <w:szCs w:val="20"/>
              </w:rPr>
              <w:t xml:space="preserve"> LEGD </w:t>
            </w:r>
            <w:r w:rsidR="00014EE1">
              <w:rPr>
                <w:b/>
                <w:sz w:val="20"/>
                <w:szCs w:val="20"/>
              </w:rPr>
              <w:t>i</w:t>
            </w:r>
            <w:r w:rsidRPr="00547302">
              <w:rPr>
                <w:b/>
                <w:sz w:val="20"/>
                <w:szCs w:val="20"/>
              </w:rPr>
              <w:t>nc. c. Ville de Saint</w:t>
            </w:r>
            <w:r w:rsidRPr="00547302">
              <w:rPr>
                <w:b/>
                <w:sz w:val="20"/>
                <w:szCs w:val="20"/>
              </w:rPr>
              <w:noBreakHyphen/>
              <w:t>Colomban</w:t>
            </w:r>
          </w:p>
          <w:p w:rsidR="00D04A6F" w:rsidRPr="00014EE1" w:rsidRDefault="00D04A6F" w:rsidP="002F6856">
            <w:pPr>
              <w:jc w:val="both"/>
              <w:rPr>
                <w:sz w:val="20"/>
                <w:lang w:val="fr-CA"/>
              </w:rPr>
            </w:pPr>
            <w:r w:rsidRPr="00014EE1">
              <w:rPr>
                <w:sz w:val="20"/>
                <w:lang w:val="fr-CA"/>
              </w:rPr>
              <w:t>(Qc) (Civile) (Autorisation)</w:t>
            </w:r>
          </w:p>
        </w:tc>
      </w:tr>
      <w:tr w:rsidR="00D04A6F" w:rsidRPr="003D50B9" w:rsidTr="002F6856">
        <w:trPr>
          <w:trHeight w:val="2118"/>
        </w:trPr>
        <w:tc>
          <w:tcPr>
            <w:tcW w:w="5000" w:type="pct"/>
            <w:gridSpan w:val="4"/>
          </w:tcPr>
          <w:p w:rsidR="00D04A6F" w:rsidRPr="00547302" w:rsidRDefault="00D04A6F" w:rsidP="00AA1FE0">
            <w:pPr>
              <w:jc w:val="both"/>
              <w:rPr>
                <w:sz w:val="20"/>
                <w:lang w:val="fr-CA"/>
              </w:rPr>
            </w:pPr>
            <w:r w:rsidRPr="00547302">
              <w:rPr>
                <w:sz w:val="20"/>
                <w:lang w:val="fr-CA"/>
              </w:rPr>
              <w:t xml:space="preserve">Droit municipal — Règlements —Validité — Zonage — Lotissement —Ouvrages publics — Projet de développement approuvé par la Ville — Protocole d’entente non signé — Modification au règlement de lotissement municipal, empêchant la réalisation du projet en raison d’un manquement à la norme de superficie minimale — Comment l’art. 115 de la </w:t>
            </w:r>
            <w:r w:rsidRPr="00547302">
              <w:rPr>
                <w:i/>
                <w:sz w:val="20"/>
                <w:lang w:val="fr-CA"/>
              </w:rPr>
              <w:t>Loi sur l’aménagement et l’urbanisme</w:t>
            </w:r>
            <w:r w:rsidRPr="00547302">
              <w:rPr>
                <w:sz w:val="20"/>
                <w:lang w:val="fr-CA"/>
              </w:rPr>
              <w:t xml:space="preserve"> doit-il être interprété ? — L’expression « ouvrage public » à l’art. 115 de la </w:t>
            </w:r>
            <w:r w:rsidRPr="00547302">
              <w:rPr>
                <w:i/>
                <w:sz w:val="20"/>
                <w:lang w:val="fr-CA"/>
              </w:rPr>
              <w:t>Loi</w:t>
            </w:r>
            <w:r w:rsidRPr="00547302">
              <w:rPr>
                <w:sz w:val="20"/>
                <w:lang w:val="fr-CA"/>
              </w:rPr>
              <w:t xml:space="preserve"> inclut-elle une rue ? — La règle de l’uniformité des normes de lotissement à l’intérieur d’une même zone existe-t-elle en vertu de l’art. 115 de la </w:t>
            </w:r>
            <w:r w:rsidRPr="00547302">
              <w:rPr>
                <w:i/>
                <w:sz w:val="20"/>
                <w:lang w:val="fr-CA"/>
              </w:rPr>
              <w:t>Loi</w:t>
            </w:r>
            <w:r w:rsidRPr="00547302">
              <w:rPr>
                <w:sz w:val="20"/>
                <w:lang w:val="fr-CA"/>
              </w:rPr>
              <w:t xml:space="preserve"> ? — Est-ce une erreur de droit d’affirmer qu’une municipalité peut adopter une norme de lotissement illégale en vertu de l’art. 115 de la </w:t>
            </w:r>
            <w:r w:rsidRPr="00547302">
              <w:rPr>
                <w:i/>
                <w:sz w:val="20"/>
                <w:lang w:val="fr-CA"/>
              </w:rPr>
              <w:t>Loi</w:t>
            </w:r>
            <w:r w:rsidRPr="00547302">
              <w:rPr>
                <w:sz w:val="20"/>
                <w:lang w:val="fr-CA"/>
              </w:rPr>
              <w:t>,</w:t>
            </w:r>
            <w:r w:rsidRPr="00547302">
              <w:rPr>
                <w:i/>
                <w:sz w:val="20"/>
                <w:lang w:val="fr-CA"/>
              </w:rPr>
              <w:t xml:space="preserve"> </w:t>
            </w:r>
            <w:r w:rsidRPr="00547302">
              <w:rPr>
                <w:sz w:val="20"/>
                <w:lang w:val="fr-CA"/>
              </w:rPr>
              <w:t xml:space="preserve">si elle le fait pour qu’un tel règlement soit conforme à un schéma d’aménagement et de développement d’une municipalité régionale de comté ? — </w:t>
            </w:r>
            <w:r w:rsidRPr="00547302">
              <w:rPr>
                <w:i/>
                <w:sz w:val="20"/>
                <w:lang w:val="fr-CA"/>
              </w:rPr>
              <w:t>Loi sur l’aménagement et l’urbanisme</w:t>
            </w:r>
            <w:r w:rsidRPr="00547302">
              <w:rPr>
                <w:sz w:val="20"/>
                <w:lang w:val="fr-CA"/>
              </w:rPr>
              <w:t>, RLRQ, c. A</w:t>
            </w:r>
            <w:r w:rsidRPr="00547302">
              <w:rPr>
                <w:sz w:val="20"/>
                <w:lang w:val="fr-CA"/>
              </w:rPr>
              <w:noBreakHyphen/>
              <w:t>19.1, art. 115.</w:t>
            </w:r>
          </w:p>
          <w:p w:rsidR="002F6856" w:rsidRPr="00547302" w:rsidRDefault="002F6856" w:rsidP="00AA1FE0">
            <w:pPr>
              <w:jc w:val="both"/>
              <w:rPr>
                <w:sz w:val="20"/>
                <w:lang w:val="fr-CA"/>
              </w:rPr>
            </w:pPr>
          </w:p>
        </w:tc>
      </w:tr>
      <w:tr w:rsidR="00D04A6F" w:rsidRPr="00547302" w:rsidTr="002F6856">
        <w:trPr>
          <w:trHeight w:val="4395"/>
        </w:trPr>
        <w:tc>
          <w:tcPr>
            <w:tcW w:w="5000" w:type="pct"/>
            <w:gridSpan w:val="4"/>
          </w:tcPr>
          <w:p w:rsidR="00D04A6F" w:rsidRPr="00547302" w:rsidRDefault="00D04A6F" w:rsidP="00AA1FE0">
            <w:pPr>
              <w:jc w:val="both"/>
              <w:rPr>
                <w:sz w:val="20"/>
                <w:lang w:val="fr-CA"/>
              </w:rPr>
            </w:pPr>
            <w:r w:rsidRPr="00547302">
              <w:rPr>
                <w:sz w:val="20"/>
                <w:lang w:val="fr-CA"/>
              </w:rPr>
              <w:t xml:space="preserve">L’intimée, la Ville de Saint-Colomban (« la Ville »), approuve un projet sur des terrains apparentant à une des demanderesses. Le projet nécessite des travaux publics, qui seront effectués par l’autre demanderesse; la Ville autorise donc le maire à signer un protocole d’entente avec la première demanderesse, qui doit fournir des sommes pour garantir la réalisation de ces travaux. Par contre, le protocole d’entente n’est jamais signé. Suite à une modification au règlement de lotissement municipal, la Ville indique qu’il sera impossible de réaliser le projet, puisque les terrains visés n’ont pas la superficie minimale requise. Les demanderesses intentent des procédures judiciaires, y compris une demande en </w:t>
            </w:r>
            <w:r w:rsidRPr="00547302">
              <w:rPr>
                <w:i/>
                <w:sz w:val="20"/>
                <w:lang w:val="fr-CA"/>
              </w:rPr>
              <w:t>mandamus</w:t>
            </w:r>
            <w:r w:rsidRPr="00547302">
              <w:rPr>
                <w:sz w:val="20"/>
                <w:lang w:val="fr-CA"/>
              </w:rPr>
              <w:t xml:space="preserve"> pour obliger la Ville à signer le protocole d’entente, ainsi qu’une demande visant à faire déclarer nulle la modification au règlement de lotissement, au motif que cette dernière est illégale parce qu’elle distingue entre différents terrains sur une base discriminatoire — </w:t>
            </w:r>
            <w:proofErr w:type="gramStart"/>
            <w:r w:rsidRPr="00547302">
              <w:rPr>
                <w:sz w:val="20"/>
                <w:lang w:val="fr-CA"/>
              </w:rPr>
              <w:t>c.</w:t>
            </w:r>
            <w:r w:rsidRPr="00547302">
              <w:rPr>
                <w:sz w:val="20"/>
                <w:lang w:val="fr-CA"/>
              </w:rPr>
              <w:noBreakHyphen/>
              <w:t>à</w:t>
            </w:r>
            <w:r w:rsidRPr="00547302">
              <w:rPr>
                <w:sz w:val="20"/>
                <w:lang w:val="fr-CA"/>
              </w:rPr>
              <w:noBreakHyphen/>
              <w:t>d.,</w:t>
            </w:r>
            <w:proofErr w:type="gramEnd"/>
            <w:r w:rsidRPr="00547302">
              <w:rPr>
                <w:sz w:val="20"/>
                <w:lang w:val="fr-CA"/>
              </w:rPr>
              <w:t xml:space="preserve"> s’il y a une rue existante à proximité.</w:t>
            </w:r>
          </w:p>
          <w:p w:rsidR="00D04A6F" w:rsidRPr="00547302" w:rsidRDefault="00D04A6F" w:rsidP="00AA1FE0">
            <w:pPr>
              <w:jc w:val="both"/>
              <w:rPr>
                <w:sz w:val="20"/>
                <w:lang w:val="fr-CA"/>
              </w:rPr>
            </w:pPr>
          </w:p>
          <w:p w:rsidR="00D04A6F" w:rsidRPr="00547302" w:rsidRDefault="00D04A6F" w:rsidP="00AA1FE0">
            <w:pPr>
              <w:jc w:val="both"/>
              <w:rPr>
                <w:sz w:val="20"/>
              </w:rPr>
            </w:pPr>
            <w:r w:rsidRPr="00547302">
              <w:rPr>
                <w:sz w:val="20"/>
                <w:lang w:val="fr-CA"/>
              </w:rPr>
              <w:t xml:space="preserve">Le juge de première instance tranche l’affaire en faveur de la Ville, et rejette la demande en </w:t>
            </w:r>
            <w:r w:rsidRPr="00547302">
              <w:rPr>
                <w:i/>
                <w:sz w:val="20"/>
                <w:lang w:val="fr-CA"/>
              </w:rPr>
              <w:t>mandamus</w:t>
            </w:r>
            <w:r w:rsidRPr="00547302">
              <w:rPr>
                <w:sz w:val="20"/>
                <w:lang w:val="fr-CA"/>
              </w:rPr>
              <w:t xml:space="preserve">. Quant à la demande en déclaration de nullité, le juge conclut qu’une municipalité peut adopter un règlement de lotissement dont les normes de superficie minimales peuvent varier selon la proximité du terrain à un « ouvrage public », y compris une rue. De plus, la Ville était obligée d’adopter des normes correspondant aux normes minimales fixées par la municipalité régionale du comté. La Cour d’appel rejette le pourvoi des demanderesses; le juge de première instance n’a commis aucune erreur. De plus, la règle d’uniformité d’usages à l’intérieur d’une même zone, citée par les demanderesses, s’applique au règlement de zonage et non pas au règlement de lotissement. </w:t>
            </w:r>
            <w:r w:rsidRPr="00547302">
              <w:rPr>
                <w:sz w:val="20"/>
              </w:rPr>
              <w:t xml:space="preserve">Les distinctions </w:t>
            </w:r>
            <w:proofErr w:type="spellStart"/>
            <w:r w:rsidRPr="00547302">
              <w:rPr>
                <w:sz w:val="20"/>
              </w:rPr>
              <w:t>prévues</w:t>
            </w:r>
            <w:proofErr w:type="spellEnd"/>
            <w:r w:rsidRPr="00547302">
              <w:rPr>
                <w:sz w:val="20"/>
              </w:rPr>
              <w:t xml:space="preserve"> sont </w:t>
            </w:r>
            <w:proofErr w:type="spellStart"/>
            <w:r w:rsidRPr="00547302">
              <w:rPr>
                <w:sz w:val="20"/>
              </w:rPr>
              <w:t>expressément</w:t>
            </w:r>
            <w:proofErr w:type="spellEnd"/>
            <w:r w:rsidRPr="00547302">
              <w:rPr>
                <w:sz w:val="20"/>
              </w:rPr>
              <w:t xml:space="preserve"> </w:t>
            </w:r>
            <w:proofErr w:type="spellStart"/>
            <w:r w:rsidRPr="00547302">
              <w:rPr>
                <w:sz w:val="20"/>
              </w:rPr>
              <w:t>autorisées</w:t>
            </w:r>
            <w:proofErr w:type="spellEnd"/>
            <w:r w:rsidRPr="00547302">
              <w:rPr>
                <w:sz w:val="20"/>
              </w:rPr>
              <w:t xml:space="preserve"> par le </w:t>
            </w:r>
            <w:proofErr w:type="spellStart"/>
            <w:r w:rsidRPr="00547302">
              <w:rPr>
                <w:sz w:val="20"/>
              </w:rPr>
              <w:t>législateur</w:t>
            </w:r>
            <w:proofErr w:type="spellEnd"/>
            <w:r w:rsidRPr="00547302">
              <w:rPr>
                <w:sz w:val="20"/>
              </w:rPr>
              <w:t>.</w:t>
            </w:r>
          </w:p>
          <w:p w:rsidR="002F6856" w:rsidRPr="00547302" w:rsidRDefault="002F6856" w:rsidP="00AA1FE0">
            <w:pPr>
              <w:jc w:val="both"/>
              <w:rPr>
                <w:sz w:val="20"/>
              </w:rPr>
            </w:pPr>
          </w:p>
        </w:tc>
      </w:tr>
      <w:tr w:rsidR="00D04A6F" w:rsidRPr="003D50B9" w:rsidTr="00D04A6F">
        <w:tc>
          <w:tcPr>
            <w:tcW w:w="2427" w:type="pct"/>
            <w:gridSpan w:val="2"/>
          </w:tcPr>
          <w:p w:rsidR="00D04A6F" w:rsidRPr="00547302" w:rsidRDefault="00D04A6F" w:rsidP="00AA1FE0">
            <w:pPr>
              <w:jc w:val="both"/>
              <w:rPr>
                <w:sz w:val="20"/>
                <w:lang w:val="fr-CA"/>
              </w:rPr>
            </w:pPr>
            <w:r w:rsidRPr="00547302">
              <w:rPr>
                <w:sz w:val="20"/>
                <w:lang w:val="fr-CA"/>
              </w:rPr>
              <w:t>Le 7 juin 2017</w:t>
            </w:r>
          </w:p>
          <w:p w:rsidR="00D04A6F" w:rsidRPr="00547302" w:rsidRDefault="00D04A6F" w:rsidP="00AA1FE0">
            <w:pPr>
              <w:jc w:val="both"/>
              <w:rPr>
                <w:sz w:val="20"/>
                <w:lang w:val="fr-CA"/>
              </w:rPr>
            </w:pPr>
            <w:r w:rsidRPr="00547302">
              <w:rPr>
                <w:sz w:val="20"/>
                <w:lang w:val="fr-CA"/>
              </w:rPr>
              <w:t>Cour supérieure du Québec</w:t>
            </w:r>
          </w:p>
          <w:p w:rsidR="00D04A6F" w:rsidRPr="00547302" w:rsidRDefault="00D04A6F" w:rsidP="00AA1FE0">
            <w:pPr>
              <w:jc w:val="both"/>
              <w:rPr>
                <w:sz w:val="20"/>
              </w:rPr>
            </w:pPr>
            <w:r w:rsidRPr="00547302">
              <w:rPr>
                <w:sz w:val="20"/>
              </w:rPr>
              <w:t>(Le juge Gaudet)</w:t>
            </w:r>
          </w:p>
          <w:p w:rsidR="00D04A6F" w:rsidRPr="00547302" w:rsidRDefault="00FC1FD2" w:rsidP="00AA1FE0">
            <w:pPr>
              <w:jc w:val="both"/>
              <w:rPr>
                <w:sz w:val="20"/>
              </w:rPr>
            </w:pPr>
            <w:hyperlink r:id="rId34" w:history="1">
              <w:r w:rsidR="00D04A6F" w:rsidRPr="00547302">
                <w:rPr>
                  <w:rStyle w:val="Hyperlink"/>
                  <w:sz w:val="20"/>
                </w:rPr>
                <w:t>2017 QCCS 2528</w:t>
              </w:r>
            </w:hyperlink>
          </w:p>
          <w:p w:rsidR="00D04A6F" w:rsidRPr="00547302" w:rsidRDefault="00D04A6F" w:rsidP="00AA1FE0">
            <w:pPr>
              <w:jc w:val="both"/>
              <w:rPr>
                <w:sz w:val="20"/>
              </w:rPr>
            </w:pPr>
          </w:p>
        </w:tc>
        <w:tc>
          <w:tcPr>
            <w:tcW w:w="243" w:type="pct"/>
          </w:tcPr>
          <w:p w:rsidR="00D04A6F" w:rsidRPr="00547302" w:rsidRDefault="00D04A6F" w:rsidP="00AA1FE0">
            <w:pPr>
              <w:jc w:val="both"/>
              <w:rPr>
                <w:sz w:val="20"/>
              </w:rPr>
            </w:pPr>
          </w:p>
        </w:tc>
        <w:tc>
          <w:tcPr>
            <w:tcW w:w="2330" w:type="pct"/>
          </w:tcPr>
          <w:p w:rsidR="00D04A6F" w:rsidRPr="00547302" w:rsidRDefault="00D04A6F" w:rsidP="00AA1FE0">
            <w:pPr>
              <w:jc w:val="both"/>
              <w:rPr>
                <w:sz w:val="20"/>
                <w:lang w:val="fr-CA"/>
              </w:rPr>
            </w:pPr>
            <w:r w:rsidRPr="00547302">
              <w:rPr>
                <w:sz w:val="20"/>
                <w:lang w:val="fr-CA"/>
              </w:rPr>
              <w:t xml:space="preserve">Demande en </w:t>
            </w:r>
            <w:r w:rsidRPr="00547302">
              <w:rPr>
                <w:i/>
                <w:sz w:val="20"/>
                <w:lang w:val="fr-CA"/>
              </w:rPr>
              <w:t>mandamus</w:t>
            </w:r>
            <w:r w:rsidRPr="00547302">
              <w:rPr>
                <w:sz w:val="20"/>
                <w:lang w:val="fr-CA"/>
              </w:rPr>
              <w:t xml:space="preserve"> et en déclaration de nullité — rejetée</w:t>
            </w:r>
          </w:p>
          <w:p w:rsidR="00D04A6F" w:rsidRPr="00547302" w:rsidRDefault="00D04A6F" w:rsidP="00AA1FE0">
            <w:pPr>
              <w:jc w:val="both"/>
              <w:rPr>
                <w:sz w:val="20"/>
                <w:lang w:val="fr-CA"/>
              </w:rPr>
            </w:pPr>
          </w:p>
        </w:tc>
      </w:tr>
      <w:tr w:rsidR="00D04A6F" w:rsidRPr="00547302" w:rsidTr="00D04A6F">
        <w:tc>
          <w:tcPr>
            <w:tcW w:w="2427" w:type="pct"/>
            <w:gridSpan w:val="2"/>
          </w:tcPr>
          <w:p w:rsidR="00D04A6F" w:rsidRPr="00547302" w:rsidRDefault="00D04A6F" w:rsidP="00AA1FE0">
            <w:pPr>
              <w:jc w:val="both"/>
              <w:rPr>
                <w:sz w:val="20"/>
                <w:lang w:val="fr-CA"/>
              </w:rPr>
            </w:pPr>
            <w:r w:rsidRPr="00547302">
              <w:rPr>
                <w:sz w:val="20"/>
                <w:lang w:val="fr-CA"/>
              </w:rPr>
              <w:lastRenderedPageBreak/>
              <w:t>Le 4 octobre 2018</w:t>
            </w:r>
          </w:p>
          <w:p w:rsidR="00D04A6F" w:rsidRPr="00547302" w:rsidRDefault="00D04A6F" w:rsidP="00AA1FE0">
            <w:pPr>
              <w:jc w:val="both"/>
              <w:rPr>
                <w:sz w:val="20"/>
                <w:lang w:val="fr-CA"/>
              </w:rPr>
            </w:pPr>
            <w:r w:rsidRPr="00547302">
              <w:rPr>
                <w:sz w:val="20"/>
                <w:lang w:val="fr-CA"/>
              </w:rPr>
              <w:t>Cour d’appel du Québec (Montréal)</w:t>
            </w:r>
          </w:p>
          <w:p w:rsidR="00D04A6F" w:rsidRPr="00547302" w:rsidRDefault="00D04A6F" w:rsidP="00AA1FE0">
            <w:pPr>
              <w:jc w:val="both"/>
              <w:rPr>
                <w:sz w:val="20"/>
                <w:lang w:val="fr-CA"/>
              </w:rPr>
            </w:pPr>
            <w:r w:rsidRPr="00547302">
              <w:rPr>
                <w:sz w:val="20"/>
                <w:lang w:val="fr-CA"/>
              </w:rPr>
              <w:t xml:space="preserve">(Les juges </w:t>
            </w:r>
            <w:proofErr w:type="spellStart"/>
            <w:r w:rsidRPr="00547302">
              <w:rPr>
                <w:sz w:val="20"/>
                <w:lang w:val="fr-CA"/>
              </w:rPr>
              <w:t>Vauclair</w:t>
            </w:r>
            <w:proofErr w:type="spellEnd"/>
            <w:r w:rsidRPr="00547302">
              <w:rPr>
                <w:sz w:val="20"/>
                <w:lang w:val="fr-CA"/>
              </w:rPr>
              <w:t>, Roy et Gagné)</w:t>
            </w:r>
          </w:p>
          <w:p w:rsidR="00D04A6F" w:rsidRPr="00547302" w:rsidRDefault="00FC1FD2" w:rsidP="00AA1FE0">
            <w:pPr>
              <w:jc w:val="both"/>
              <w:rPr>
                <w:rStyle w:val="Hyperlink"/>
                <w:sz w:val="20"/>
              </w:rPr>
            </w:pPr>
            <w:hyperlink r:id="rId35" w:history="1">
              <w:r w:rsidR="00D04A6F" w:rsidRPr="00547302">
                <w:rPr>
                  <w:rStyle w:val="Hyperlink"/>
                  <w:sz w:val="20"/>
                </w:rPr>
                <w:t>2018 QCCA 1828</w:t>
              </w:r>
            </w:hyperlink>
          </w:p>
          <w:p w:rsidR="00D04A6F" w:rsidRPr="00547302" w:rsidRDefault="00D04A6F" w:rsidP="00AA1FE0">
            <w:pPr>
              <w:jc w:val="both"/>
              <w:rPr>
                <w:sz w:val="20"/>
              </w:rPr>
            </w:pPr>
          </w:p>
        </w:tc>
        <w:tc>
          <w:tcPr>
            <w:tcW w:w="243" w:type="pct"/>
          </w:tcPr>
          <w:p w:rsidR="00D04A6F" w:rsidRPr="00547302" w:rsidRDefault="00D04A6F" w:rsidP="00AA1FE0">
            <w:pPr>
              <w:jc w:val="both"/>
              <w:rPr>
                <w:sz w:val="20"/>
              </w:rPr>
            </w:pPr>
          </w:p>
        </w:tc>
        <w:tc>
          <w:tcPr>
            <w:tcW w:w="2330" w:type="pct"/>
          </w:tcPr>
          <w:p w:rsidR="00D04A6F" w:rsidRPr="00547302" w:rsidRDefault="00D04A6F" w:rsidP="00AA1FE0">
            <w:pPr>
              <w:jc w:val="both"/>
              <w:rPr>
                <w:sz w:val="20"/>
              </w:rPr>
            </w:pPr>
            <w:r w:rsidRPr="00547302">
              <w:rPr>
                <w:sz w:val="20"/>
              </w:rPr>
              <w:t>Appel — rejeté</w:t>
            </w:r>
          </w:p>
          <w:p w:rsidR="00D04A6F" w:rsidRPr="00547302" w:rsidRDefault="00D04A6F" w:rsidP="00AA1FE0">
            <w:pPr>
              <w:jc w:val="both"/>
              <w:rPr>
                <w:sz w:val="20"/>
              </w:rPr>
            </w:pPr>
          </w:p>
        </w:tc>
      </w:tr>
      <w:tr w:rsidR="00D04A6F" w:rsidRPr="00547302" w:rsidTr="00D04A6F">
        <w:tc>
          <w:tcPr>
            <w:tcW w:w="2427" w:type="pct"/>
            <w:gridSpan w:val="2"/>
          </w:tcPr>
          <w:p w:rsidR="00D04A6F" w:rsidRPr="00547302" w:rsidRDefault="00D04A6F" w:rsidP="00AA1FE0">
            <w:pPr>
              <w:jc w:val="both"/>
              <w:rPr>
                <w:sz w:val="20"/>
                <w:lang w:val="fr-CA"/>
              </w:rPr>
            </w:pPr>
            <w:r w:rsidRPr="00547302">
              <w:rPr>
                <w:sz w:val="20"/>
                <w:lang w:val="fr-CA"/>
              </w:rPr>
              <w:t>Le 3 décembre 2018</w:t>
            </w:r>
          </w:p>
          <w:p w:rsidR="00D04A6F" w:rsidRPr="00547302" w:rsidRDefault="00D04A6F" w:rsidP="00AA1FE0">
            <w:pPr>
              <w:jc w:val="both"/>
              <w:rPr>
                <w:sz w:val="20"/>
                <w:lang w:val="fr-CA"/>
              </w:rPr>
            </w:pPr>
            <w:r w:rsidRPr="00547302">
              <w:rPr>
                <w:sz w:val="20"/>
                <w:lang w:val="fr-CA"/>
              </w:rPr>
              <w:t>Cour suprême du Canada</w:t>
            </w:r>
          </w:p>
        </w:tc>
        <w:tc>
          <w:tcPr>
            <w:tcW w:w="243" w:type="pct"/>
          </w:tcPr>
          <w:p w:rsidR="00D04A6F" w:rsidRPr="00547302" w:rsidRDefault="00D04A6F" w:rsidP="00AA1FE0">
            <w:pPr>
              <w:jc w:val="both"/>
              <w:rPr>
                <w:sz w:val="20"/>
                <w:lang w:val="fr-CA"/>
              </w:rPr>
            </w:pPr>
          </w:p>
        </w:tc>
        <w:tc>
          <w:tcPr>
            <w:tcW w:w="2330" w:type="pct"/>
          </w:tcPr>
          <w:p w:rsidR="00D04A6F" w:rsidRPr="00547302" w:rsidRDefault="00D04A6F" w:rsidP="00AA1FE0">
            <w:pPr>
              <w:jc w:val="both"/>
              <w:rPr>
                <w:sz w:val="20"/>
              </w:rPr>
            </w:pPr>
            <w:r w:rsidRPr="00547302">
              <w:rPr>
                <w:sz w:val="20"/>
              </w:rPr>
              <w:t xml:space="preserve">Demande d’autorisation d’appel </w:t>
            </w:r>
            <w:proofErr w:type="spellStart"/>
            <w:r w:rsidRPr="00547302">
              <w:rPr>
                <w:sz w:val="20"/>
              </w:rPr>
              <w:t>déposée</w:t>
            </w:r>
            <w:proofErr w:type="spellEnd"/>
            <w:r w:rsidRPr="00547302">
              <w:rPr>
                <w:sz w:val="20"/>
              </w:rPr>
              <w:t xml:space="preserve"> </w:t>
            </w:r>
          </w:p>
        </w:tc>
      </w:tr>
    </w:tbl>
    <w:p w:rsidR="00D04A6F" w:rsidRPr="00547302" w:rsidRDefault="00D04A6F" w:rsidP="00AA1FE0">
      <w:pPr>
        <w:ind w:left="142" w:hanging="142"/>
        <w:jc w:val="both"/>
        <w:rPr>
          <w:sz w:val="20"/>
          <w:lang w:val="fr-CA"/>
        </w:rPr>
      </w:pPr>
    </w:p>
    <w:p w:rsidR="00D04A6F" w:rsidRPr="00547302" w:rsidRDefault="00D04A6F" w:rsidP="00AA1FE0">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13F22" w:rsidRPr="00547302" w:rsidTr="00460DF0">
        <w:tc>
          <w:tcPr>
            <w:tcW w:w="543" w:type="pct"/>
          </w:tcPr>
          <w:p w:rsidR="00013F22" w:rsidRPr="00547302" w:rsidRDefault="00013F22" w:rsidP="00460DF0">
            <w:pPr>
              <w:jc w:val="both"/>
              <w:rPr>
                <w:sz w:val="20"/>
              </w:rPr>
            </w:pPr>
            <w:r w:rsidRPr="00547302">
              <w:rPr>
                <w:rStyle w:val="SCCFileNumberChar"/>
                <w:sz w:val="20"/>
                <w:szCs w:val="20"/>
              </w:rPr>
              <w:t>38477</w:t>
            </w:r>
          </w:p>
        </w:tc>
        <w:tc>
          <w:tcPr>
            <w:tcW w:w="4457" w:type="pct"/>
            <w:gridSpan w:val="3"/>
          </w:tcPr>
          <w:p w:rsidR="00013F22" w:rsidRPr="00547302" w:rsidRDefault="00013F22" w:rsidP="00460DF0">
            <w:pPr>
              <w:pStyle w:val="SCCLsocParty"/>
              <w:jc w:val="both"/>
              <w:rPr>
                <w:b/>
                <w:sz w:val="20"/>
                <w:szCs w:val="20"/>
                <w:lang w:val="en-US"/>
              </w:rPr>
            </w:pPr>
            <w:r w:rsidRPr="00547302">
              <w:rPr>
                <w:b/>
                <w:sz w:val="20"/>
                <w:szCs w:val="20"/>
                <w:lang w:val="en-US"/>
              </w:rPr>
              <w:t>Mariam Adam v. Canadian Imperial Bank of Commerce</w:t>
            </w:r>
          </w:p>
          <w:p w:rsidR="00013F22" w:rsidRPr="00547302" w:rsidRDefault="00013F22" w:rsidP="00460DF0">
            <w:pPr>
              <w:jc w:val="both"/>
              <w:rPr>
                <w:sz w:val="20"/>
              </w:rPr>
            </w:pPr>
            <w:r w:rsidRPr="00547302">
              <w:rPr>
                <w:sz w:val="20"/>
              </w:rPr>
              <w:t>(Man.) (Civil) (By Leave)</w:t>
            </w:r>
          </w:p>
        </w:tc>
      </w:tr>
      <w:tr w:rsidR="00013F22" w:rsidRPr="00547302" w:rsidTr="00460DF0">
        <w:tc>
          <w:tcPr>
            <w:tcW w:w="5000" w:type="pct"/>
            <w:gridSpan w:val="4"/>
          </w:tcPr>
          <w:p w:rsidR="00013F22" w:rsidRPr="00547302" w:rsidRDefault="00013F22" w:rsidP="00460DF0">
            <w:pPr>
              <w:jc w:val="both"/>
              <w:rPr>
                <w:sz w:val="20"/>
              </w:rPr>
            </w:pPr>
            <w:r w:rsidRPr="00547302">
              <w:rPr>
                <w:sz w:val="20"/>
              </w:rPr>
              <w:t>Civil procedure — Summary judgment — Limitations — When does a limitation period start to run in the context of credit card debt.</w:t>
            </w:r>
          </w:p>
          <w:p w:rsidR="00013F22" w:rsidRPr="00547302" w:rsidRDefault="00013F22" w:rsidP="00460DF0">
            <w:pPr>
              <w:jc w:val="both"/>
              <w:rPr>
                <w:sz w:val="20"/>
              </w:rPr>
            </w:pPr>
          </w:p>
        </w:tc>
      </w:tr>
      <w:tr w:rsidR="00013F22" w:rsidRPr="00547302" w:rsidTr="00460DF0">
        <w:tc>
          <w:tcPr>
            <w:tcW w:w="5000" w:type="pct"/>
            <w:gridSpan w:val="4"/>
          </w:tcPr>
          <w:p w:rsidR="00013F22" w:rsidRPr="00547302" w:rsidRDefault="00013F22" w:rsidP="00460DF0">
            <w:pPr>
              <w:jc w:val="both"/>
              <w:rPr>
                <w:sz w:val="20"/>
              </w:rPr>
            </w:pPr>
            <w:r w:rsidRPr="00547302">
              <w:rPr>
                <w:sz w:val="20"/>
              </w:rPr>
              <w:t xml:space="preserve">The applicant, Mariam Adam, had two credit cards with CIBC, and was sued by the bank when the accounts went into arrears. She defended on the basis that the </w:t>
            </w:r>
            <w:r w:rsidRPr="00547302">
              <w:rPr>
                <w:i/>
                <w:sz w:val="20"/>
              </w:rPr>
              <w:t>Limitations Act</w:t>
            </w:r>
            <w:r w:rsidRPr="00547302">
              <w:rPr>
                <w:sz w:val="20"/>
              </w:rPr>
              <w:t xml:space="preserve"> was applicable to debt incurred more than six years prior to the action and that the interest rates were too high.</w:t>
            </w:r>
          </w:p>
          <w:p w:rsidR="00013F22" w:rsidRPr="00547302" w:rsidRDefault="00013F22" w:rsidP="00460DF0">
            <w:pPr>
              <w:jc w:val="both"/>
              <w:rPr>
                <w:sz w:val="20"/>
              </w:rPr>
            </w:pPr>
          </w:p>
          <w:p w:rsidR="00013F22" w:rsidRPr="00547302" w:rsidRDefault="00013F22" w:rsidP="00460DF0">
            <w:pPr>
              <w:jc w:val="both"/>
              <w:rPr>
                <w:sz w:val="20"/>
              </w:rPr>
            </w:pPr>
            <w:r w:rsidRPr="00547302">
              <w:rPr>
                <w:sz w:val="20"/>
              </w:rPr>
              <w:t>A motion for summary judgment was granted, and judgment was granted in favour of CIBC. An appeal to the Court of Appeal was dismissed.</w:t>
            </w:r>
          </w:p>
          <w:p w:rsidR="00013F22" w:rsidRPr="00547302" w:rsidRDefault="00013F22" w:rsidP="00460DF0">
            <w:pPr>
              <w:jc w:val="both"/>
              <w:rPr>
                <w:sz w:val="20"/>
              </w:rPr>
            </w:pPr>
          </w:p>
        </w:tc>
      </w:tr>
      <w:tr w:rsidR="00013F22" w:rsidRPr="00547302" w:rsidTr="00460DF0">
        <w:tc>
          <w:tcPr>
            <w:tcW w:w="2427" w:type="pct"/>
            <w:gridSpan w:val="2"/>
          </w:tcPr>
          <w:p w:rsidR="00013F22" w:rsidRPr="00547302" w:rsidRDefault="00013F22" w:rsidP="00460DF0">
            <w:pPr>
              <w:jc w:val="both"/>
              <w:rPr>
                <w:sz w:val="20"/>
              </w:rPr>
            </w:pPr>
            <w:r w:rsidRPr="00547302">
              <w:rPr>
                <w:sz w:val="20"/>
              </w:rPr>
              <w:t>February 21, 2017</w:t>
            </w:r>
          </w:p>
          <w:p w:rsidR="00013F22" w:rsidRPr="00547302" w:rsidRDefault="00013F22" w:rsidP="00460DF0">
            <w:pPr>
              <w:jc w:val="both"/>
              <w:rPr>
                <w:sz w:val="20"/>
              </w:rPr>
            </w:pPr>
            <w:r w:rsidRPr="00547302">
              <w:rPr>
                <w:sz w:val="20"/>
              </w:rPr>
              <w:t>Court of Queen’s Bench of Manitoba</w:t>
            </w:r>
          </w:p>
          <w:p w:rsidR="00013F22" w:rsidRPr="00547302" w:rsidRDefault="00013F22" w:rsidP="00460DF0">
            <w:pPr>
              <w:jc w:val="both"/>
              <w:rPr>
                <w:sz w:val="20"/>
              </w:rPr>
            </w:pPr>
            <w:r w:rsidRPr="00547302">
              <w:rPr>
                <w:sz w:val="20"/>
              </w:rPr>
              <w:t>(</w:t>
            </w:r>
            <w:proofErr w:type="spellStart"/>
            <w:r w:rsidRPr="00547302">
              <w:rPr>
                <w:sz w:val="20"/>
              </w:rPr>
              <w:t>Abra</w:t>
            </w:r>
            <w:proofErr w:type="spellEnd"/>
            <w:r w:rsidRPr="00547302">
              <w:rPr>
                <w:sz w:val="20"/>
              </w:rPr>
              <w:t xml:space="preserve"> J.)</w:t>
            </w:r>
          </w:p>
          <w:p w:rsidR="00013F22" w:rsidRPr="00547302" w:rsidRDefault="00013F22" w:rsidP="00460DF0">
            <w:pPr>
              <w:jc w:val="both"/>
              <w:rPr>
                <w:sz w:val="20"/>
              </w:rPr>
            </w:pPr>
          </w:p>
        </w:tc>
        <w:tc>
          <w:tcPr>
            <w:tcW w:w="243" w:type="pct"/>
          </w:tcPr>
          <w:p w:rsidR="00013F22" w:rsidRPr="00547302" w:rsidRDefault="00013F22" w:rsidP="00460DF0">
            <w:pPr>
              <w:jc w:val="both"/>
              <w:rPr>
                <w:sz w:val="20"/>
              </w:rPr>
            </w:pPr>
          </w:p>
        </w:tc>
        <w:tc>
          <w:tcPr>
            <w:tcW w:w="2330" w:type="pct"/>
          </w:tcPr>
          <w:p w:rsidR="00013F22" w:rsidRPr="00547302" w:rsidRDefault="00013F22" w:rsidP="00460DF0">
            <w:pPr>
              <w:jc w:val="both"/>
              <w:rPr>
                <w:sz w:val="20"/>
              </w:rPr>
            </w:pPr>
            <w:r w:rsidRPr="00547302">
              <w:rPr>
                <w:sz w:val="20"/>
              </w:rPr>
              <w:t xml:space="preserve">Summary judgment in favour of respondent granted </w:t>
            </w:r>
          </w:p>
        </w:tc>
      </w:tr>
      <w:tr w:rsidR="00013F22" w:rsidRPr="00547302" w:rsidTr="00460DF0">
        <w:tc>
          <w:tcPr>
            <w:tcW w:w="2427" w:type="pct"/>
            <w:gridSpan w:val="2"/>
          </w:tcPr>
          <w:p w:rsidR="00013F22" w:rsidRPr="00547302" w:rsidRDefault="00013F22" w:rsidP="00460DF0">
            <w:pPr>
              <w:jc w:val="both"/>
              <w:rPr>
                <w:sz w:val="20"/>
              </w:rPr>
            </w:pPr>
            <w:r w:rsidRPr="00547302">
              <w:rPr>
                <w:sz w:val="20"/>
              </w:rPr>
              <w:t>April 9, 2018</w:t>
            </w:r>
          </w:p>
          <w:p w:rsidR="00013F22" w:rsidRPr="00547302" w:rsidRDefault="00013F22" w:rsidP="00460DF0">
            <w:pPr>
              <w:jc w:val="both"/>
              <w:rPr>
                <w:sz w:val="20"/>
              </w:rPr>
            </w:pPr>
            <w:r w:rsidRPr="00547302">
              <w:rPr>
                <w:sz w:val="20"/>
              </w:rPr>
              <w:t>Court of Appeal of Manitoba</w:t>
            </w:r>
          </w:p>
          <w:p w:rsidR="00013F22" w:rsidRPr="00547302" w:rsidRDefault="00013F22" w:rsidP="00460DF0">
            <w:pPr>
              <w:jc w:val="both"/>
              <w:rPr>
                <w:sz w:val="20"/>
              </w:rPr>
            </w:pPr>
            <w:r w:rsidRPr="00547302">
              <w:rPr>
                <w:sz w:val="20"/>
              </w:rPr>
              <w:t>(</w:t>
            </w:r>
            <w:proofErr w:type="spellStart"/>
            <w:r w:rsidRPr="00547302">
              <w:rPr>
                <w:sz w:val="20"/>
              </w:rPr>
              <w:t>Chartier</w:t>
            </w:r>
            <w:proofErr w:type="spellEnd"/>
            <w:r w:rsidRPr="00547302">
              <w:rPr>
                <w:sz w:val="20"/>
              </w:rPr>
              <w:t>, Steel, and Burnett JJ.A.)</w:t>
            </w:r>
          </w:p>
          <w:p w:rsidR="00013F22" w:rsidRPr="00547302" w:rsidRDefault="00FC1FD2" w:rsidP="00460DF0">
            <w:pPr>
              <w:jc w:val="both"/>
              <w:rPr>
                <w:sz w:val="20"/>
              </w:rPr>
            </w:pPr>
            <w:hyperlink r:id="rId36" w:history="1">
              <w:r w:rsidR="00013F22" w:rsidRPr="00547302">
                <w:rPr>
                  <w:rStyle w:val="Hyperlink"/>
                  <w:sz w:val="20"/>
                </w:rPr>
                <w:t>2018 MBCA 38</w:t>
              </w:r>
            </w:hyperlink>
          </w:p>
          <w:p w:rsidR="00013F22" w:rsidRPr="00547302" w:rsidRDefault="00013F22" w:rsidP="00460DF0">
            <w:pPr>
              <w:jc w:val="both"/>
              <w:rPr>
                <w:sz w:val="20"/>
              </w:rPr>
            </w:pPr>
          </w:p>
        </w:tc>
        <w:tc>
          <w:tcPr>
            <w:tcW w:w="243" w:type="pct"/>
          </w:tcPr>
          <w:p w:rsidR="00013F22" w:rsidRPr="00547302" w:rsidRDefault="00013F22" w:rsidP="00460DF0">
            <w:pPr>
              <w:jc w:val="both"/>
              <w:rPr>
                <w:sz w:val="20"/>
              </w:rPr>
            </w:pPr>
          </w:p>
        </w:tc>
        <w:tc>
          <w:tcPr>
            <w:tcW w:w="2330" w:type="pct"/>
          </w:tcPr>
          <w:p w:rsidR="00013F22" w:rsidRPr="00547302" w:rsidRDefault="00013F22" w:rsidP="00460DF0">
            <w:pPr>
              <w:jc w:val="both"/>
              <w:rPr>
                <w:sz w:val="20"/>
              </w:rPr>
            </w:pPr>
            <w:r w:rsidRPr="00547302">
              <w:rPr>
                <w:sz w:val="20"/>
              </w:rPr>
              <w:t>Appeal dismissed</w:t>
            </w:r>
          </w:p>
          <w:p w:rsidR="00013F22" w:rsidRPr="00547302" w:rsidRDefault="00013F22" w:rsidP="00460DF0">
            <w:pPr>
              <w:jc w:val="both"/>
              <w:rPr>
                <w:sz w:val="20"/>
              </w:rPr>
            </w:pPr>
          </w:p>
        </w:tc>
      </w:tr>
      <w:tr w:rsidR="00013F22" w:rsidRPr="00547302" w:rsidTr="00460DF0">
        <w:tc>
          <w:tcPr>
            <w:tcW w:w="2427" w:type="pct"/>
            <w:gridSpan w:val="2"/>
          </w:tcPr>
          <w:p w:rsidR="00013F22" w:rsidRPr="00547302" w:rsidRDefault="00013F22" w:rsidP="00460DF0">
            <w:pPr>
              <w:jc w:val="both"/>
              <w:rPr>
                <w:sz w:val="20"/>
              </w:rPr>
            </w:pPr>
            <w:r w:rsidRPr="00547302">
              <w:rPr>
                <w:sz w:val="20"/>
              </w:rPr>
              <w:t>November 28, 2018</w:t>
            </w:r>
          </w:p>
          <w:p w:rsidR="00013F22" w:rsidRPr="00547302" w:rsidRDefault="00013F22" w:rsidP="00460DF0">
            <w:pPr>
              <w:jc w:val="both"/>
              <w:rPr>
                <w:sz w:val="20"/>
              </w:rPr>
            </w:pPr>
            <w:r w:rsidRPr="00547302">
              <w:rPr>
                <w:sz w:val="20"/>
              </w:rPr>
              <w:t>Supreme Court of Canada</w:t>
            </w:r>
          </w:p>
          <w:p w:rsidR="00013F22" w:rsidRPr="00547302" w:rsidRDefault="00013F22" w:rsidP="00460DF0">
            <w:pPr>
              <w:jc w:val="both"/>
              <w:rPr>
                <w:sz w:val="20"/>
              </w:rPr>
            </w:pPr>
            <w:r w:rsidRPr="00547302">
              <w:rPr>
                <w:sz w:val="20"/>
              </w:rPr>
              <w:t>(Brown J.)</w:t>
            </w:r>
          </w:p>
        </w:tc>
        <w:tc>
          <w:tcPr>
            <w:tcW w:w="243" w:type="pct"/>
          </w:tcPr>
          <w:p w:rsidR="00013F22" w:rsidRPr="00547302" w:rsidRDefault="00013F22" w:rsidP="00460DF0">
            <w:pPr>
              <w:jc w:val="both"/>
              <w:rPr>
                <w:sz w:val="20"/>
              </w:rPr>
            </w:pPr>
          </w:p>
        </w:tc>
        <w:tc>
          <w:tcPr>
            <w:tcW w:w="2330" w:type="pct"/>
          </w:tcPr>
          <w:p w:rsidR="00013F22" w:rsidRPr="00547302" w:rsidRDefault="00013F22" w:rsidP="00460DF0">
            <w:pPr>
              <w:jc w:val="both"/>
              <w:rPr>
                <w:sz w:val="20"/>
              </w:rPr>
            </w:pPr>
            <w:r w:rsidRPr="00547302">
              <w:rPr>
                <w:sz w:val="20"/>
              </w:rPr>
              <w:t>Order in file 38345 dismissing a request to file one application for three decisions of the Court of Appeal of Manitoba, including the decision under appeal in this file, and extending the time to serve and file a complete and compliant application for leave to appeal to 15 days from the date of the order.</w:t>
            </w:r>
          </w:p>
          <w:p w:rsidR="00013F22" w:rsidRPr="00547302" w:rsidRDefault="00013F22" w:rsidP="00460DF0">
            <w:pPr>
              <w:jc w:val="both"/>
              <w:rPr>
                <w:sz w:val="20"/>
              </w:rPr>
            </w:pPr>
          </w:p>
        </w:tc>
      </w:tr>
      <w:tr w:rsidR="00013F22" w:rsidRPr="00547302" w:rsidTr="00460DF0">
        <w:tc>
          <w:tcPr>
            <w:tcW w:w="2427" w:type="pct"/>
            <w:gridSpan w:val="2"/>
          </w:tcPr>
          <w:p w:rsidR="00013F22" w:rsidRPr="00547302" w:rsidRDefault="00013F22" w:rsidP="00460DF0">
            <w:pPr>
              <w:jc w:val="both"/>
              <w:rPr>
                <w:sz w:val="20"/>
              </w:rPr>
            </w:pPr>
            <w:r w:rsidRPr="00547302">
              <w:rPr>
                <w:sz w:val="20"/>
              </w:rPr>
              <w:t>December 10, 2018</w:t>
            </w:r>
          </w:p>
          <w:p w:rsidR="00013F22" w:rsidRPr="00547302" w:rsidRDefault="00013F22" w:rsidP="00460DF0">
            <w:pPr>
              <w:jc w:val="both"/>
              <w:rPr>
                <w:sz w:val="20"/>
              </w:rPr>
            </w:pPr>
            <w:r w:rsidRPr="00547302">
              <w:rPr>
                <w:sz w:val="20"/>
              </w:rPr>
              <w:t>Supreme Court of Canada</w:t>
            </w:r>
          </w:p>
        </w:tc>
        <w:tc>
          <w:tcPr>
            <w:tcW w:w="243" w:type="pct"/>
          </w:tcPr>
          <w:p w:rsidR="00013F22" w:rsidRPr="00547302" w:rsidRDefault="00013F22" w:rsidP="00460DF0">
            <w:pPr>
              <w:jc w:val="both"/>
              <w:rPr>
                <w:sz w:val="20"/>
              </w:rPr>
            </w:pPr>
          </w:p>
        </w:tc>
        <w:tc>
          <w:tcPr>
            <w:tcW w:w="2330" w:type="pct"/>
          </w:tcPr>
          <w:p w:rsidR="00013F22" w:rsidRPr="00547302" w:rsidRDefault="00013F22" w:rsidP="00460DF0">
            <w:pPr>
              <w:jc w:val="both"/>
              <w:rPr>
                <w:sz w:val="20"/>
              </w:rPr>
            </w:pPr>
            <w:r w:rsidRPr="00547302">
              <w:rPr>
                <w:sz w:val="20"/>
              </w:rPr>
              <w:t>Application for leave to appeal filed</w:t>
            </w:r>
          </w:p>
          <w:p w:rsidR="00013F22" w:rsidRPr="00547302" w:rsidRDefault="00013F22" w:rsidP="00460DF0">
            <w:pPr>
              <w:jc w:val="both"/>
              <w:rPr>
                <w:sz w:val="20"/>
              </w:rPr>
            </w:pPr>
          </w:p>
        </w:tc>
      </w:tr>
    </w:tbl>
    <w:p w:rsidR="00013F22" w:rsidRPr="00547302" w:rsidRDefault="00013F22" w:rsidP="00013F22">
      <w:pPr>
        <w:ind w:left="142" w:hanging="142"/>
        <w:jc w:val="both"/>
        <w:rPr>
          <w:sz w:val="20"/>
        </w:rPr>
      </w:pPr>
    </w:p>
    <w:p w:rsidR="00013F22" w:rsidRPr="00547302" w:rsidRDefault="00013F22" w:rsidP="00AA1FE0">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04A6F" w:rsidRPr="00547302" w:rsidTr="00D04A6F">
        <w:tc>
          <w:tcPr>
            <w:tcW w:w="543" w:type="pct"/>
          </w:tcPr>
          <w:p w:rsidR="00D04A6F" w:rsidRPr="00547302" w:rsidRDefault="00D04A6F" w:rsidP="00AA1FE0">
            <w:pPr>
              <w:jc w:val="both"/>
              <w:rPr>
                <w:sz w:val="20"/>
                <w:lang w:val="fr-CA"/>
              </w:rPr>
            </w:pPr>
            <w:r w:rsidRPr="00547302">
              <w:rPr>
                <w:rStyle w:val="SCCFileNumberChar"/>
                <w:sz w:val="20"/>
                <w:szCs w:val="20"/>
                <w:lang w:val="fr-CA"/>
              </w:rPr>
              <w:t>38477</w:t>
            </w:r>
          </w:p>
        </w:tc>
        <w:tc>
          <w:tcPr>
            <w:tcW w:w="4457" w:type="pct"/>
            <w:gridSpan w:val="3"/>
          </w:tcPr>
          <w:p w:rsidR="00D04A6F" w:rsidRPr="00547302" w:rsidRDefault="00D04A6F" w:rsidP="00AA1FE0">
            <w:pPr>
              <w:pStyle w:val="SCCLsocParty"/>
              <w:jc w:val="both"/>
              <w:rPr>
                <w:b/>
                <w:sz w:val="20"/>
                <w:szCs w:val="20"/>
              </w:rPr>
            </w:pPr>
            <w:r w:rsidRPr="00547302">
              <w:rPr>
                <w:b/>
                <w:sz w:val="20"/>
                <w:szCs w:val="20"/>
              </w:rPr>
              <w:t>Mariam Adam c. Banque Canadienne Impériale de Commerce</w:t>
            </w:r>
          </w:p>
          <w:p w:rsidR="00D04A6F" w:rsidRPr="00547302" w:rsidRDefault="00D04A6F" w:rsidP="00AA1FE0">
            <w:pPr>
              <w:jc w:val="both"/>
              <w:rPr>
                <w:sz w:val="20"/>
                <w:lang w:val="fr-CA"/>
              </w:rPr>
            </w:pPr>
            <w:r w:rsidRPr="00547302">
              <w:rPr>
                <w:sz w:val="20"/>
                <w:lang w:val="fr-CA"/>
              </w:rPr>
              <w:t>(Man.) (Civile) (Autorisation)</w:t>
            </w:r>
          </w:p>
        </w:tc>
      </w:tr>
      <w:tr w:rsidR="00D04A6F" w:rsidRPr="003D50B9" w:rsidTr="00D04A6F">
        <w:tc>
          <w:tcPr>
            <w:tcW w:w="5000" w:type="pct"/>
            <w:gridSpan w:val="4"/>
          </w:tcPr>
          <w:p w:rsidR="00D04A6F" w:rsidRPr="00547302" w:rsidRDefault="00D04A6F" w:rsidP="00AA1FE0">
            <w:pPr>
              <w:jc w:val="both"/>
              <w:rPr>
                <w:sz w:val="20"/>
                <w:lang w:val="fr-CA"/>
              </w:rPr>
            </w:pPr>
            <w:r w:rsidRPr="00547302">
              <w:rPr>
                <w:sz w:val="20"/>
                <w:lang w:val="fr-CA"/>
              </w:rPr>
              <w:t>Procédure civile — Jugement sommaire — Prescription — Quand commence à courir un délai de prescription dans le contexte d’une dette de carte de crédit?</w:t>
            </w:r>
          </w:p>
          <w:p w:rsidR="005A3A16" w:rsidRPr="00547302" w:rsidRDefault="005A3A16" w:rsidP="00AA1FE0">
            <w:pPr>
              <w:jc w:val="both"/>
              <w:rPr>
                <w:sz w:val="20"/>
                <w:lang w:val="fr-CA"/>
              </w:rPr>
            </w:pPr>
          </w:p>
        </w:tc>
      </w:tr>
      <w:tr w:rsidR="00D04A6F" w:rsidRPr="00547302" w:rsidTr="00D04A6F">
        <w:tc>
          <w:tcPr>
            <w:tcW w:w="5000" w:type="pct"/>
            <w:gridSpan w:val="4"/>
          </w:tcPr>
          <w:p w:rsidR="00D04A6F" w:rsidRPr="00547302" w:rsidRDefault="00D04A6F" w:rsidP="00AA1FE0">
            <w:pPr>
              <w:jc w:val="both"/>
              <w:rPr>
                <w:sz w:val="20"/>
                <w:lang w:val="fr-CA"/>
              </w:rPr>
            </w:pPr>
            <w:r w:rsidRPr="00547302">
              <w:rPr>
                <w:sz w:val="20"/>
                <w:lang w:val="fr-CA"/>
              </w:rPr>
              <w:t xml:space="preserve">La demanderesse, Mariam Adam, avait deux cartes de crédit à la CIBC, et elle a été poursuivie par la banque lorsque les comptes sont demeurés impayés. Elle a présenté une défense, plaidant que la </w:t>
            </w:r>
            <w:r w:rsidRPr="00547302">
              <w:rPr>
                <w:i/>
                <w:sz w:val="20"/>
                <w:lang w:val="fr-CA"/>
              </w:rPr>
              <w:t>Loi sur la prescription</w:t>
            </w:r>
            <w:r w:rsidRPr="00547302">
              <w:rPr>
                <w:sz w:val="20"/>
                <w:lang w:val="fr-CA"/>
              </w:rPr>
              <w:t xml:space="preserve"> s’appliquait à la dette engagée plus de six ans avant l’action et que les taux d’intérêt étaient trop élevés.</w:t>
            </w:r>
          </w:p>
          <w:p w:rsidR="00D04A6F" w:rsidRPr="00547302" w:rsidRDefault="00D04A6F" w:rsidP="00AA1FE0">
            <w:pPr>
              <w:jc w:val="both"/>
              <w:rPr>
                <w:sz w:val="20"/>
                <w:lang w:val="fr-CA"/>
              </w:rPr>
            </w:pPr>
          </w:p>
          <w:p w:rsidR="00D04A6F" w:rsidRPr="00547302" w:rsidRDefault="00D04A6F" w:rsidP="00AA1FE0">
            <w:pPr>
              <w:jc w:val="both"/>
              <w:rPr>
                <w:sz w:val="20"/>
                <w:lang w:val="fr-CA"/>
              </w:rPr>
            </w:pPr>
            <w:r w:rsidRPr="00547302">
              <w:rPr>
                <w:sz w:val="20"/>
                <w:lang w:val="fr-CA"/>
              </w:rPr>
              <w:lastRenderedPageBreak/>
              <w:t>Une motion en jugement sommaire a été accueillie, et un jugement a été rendu en faveur de la CIBC. Un appel à la Cour d’appel a été rejeté.</w:t>
            </w:r>
          </w:p>
          <w:p w:rsidR="00D04A6F" w:rsidRPr="00547302" w:rsidRDefault="00D04A6F" w:rsidP="00AA1FE0">
            <w:pPr>
              <w:jc w:val="both"/>
              <w:rPr>
                <w:sz w:val="20"/>
                <w:lang w:val="fr-CA"/>
              </w:rPr>
            </w:pPr>
          </w:p>
        </w:tc>
      </w:tr>
      <w:tr w:rsidR="00D04A6F" w:rsidRPr="003D50B9" w:rsidTr="00D04A6F">
        <w:tc>
          <w:tcPr>
            <w:tcW w:w="2427" w:type="pct"/>
            <w:gridSpan w:val="2"/>
          </w:tcPr>
          <w:p w:rsidR="00D04A6F" w:rsidRPr="00547302" w:rsidRDefault="00D04A6F" w:rsidP="00AA1FE0">
            <w:pPr>
              <w:jc w:val="both"/>
              <w:rPr>
                <w:sz w:val="20"/>
                <w:lang w:val="fr-CA"/>
              </w:rPr>
            </w:pPr>
            <w:r w:rsidRPr="00547302">
              <w:rPr>
                <w:sz w:val="20"/>
                <w:lang w:val="fr-CA"/>
              </w:rPr>
              <w:lastRenderedPageBreak/>
              <w:t>21 février 2017</w:t>
            </w:r>
          </w:p>
          <w:p w:rsidR="00D04A6F" w:rsidRPr="00547302" w:rsidRDefault="00D04A6F" w:rsidP="00AA1FE0">
            <w:pPr>
              <w:jc w:val="both"/>
              <w:rPr>
                <w:sz w:val="20"/>
                <w:lang w:val="fr-CA"/>
              </w:rPr>
            </w:pPr>
            <w:r w:rsidRPr="00547302">
              <w:rPr>
                <w:sz w:val="20"/>
                <w:lang w:val="fr-CA"/>
              </w:rPr>
              <w:t>Cour du Banc de la Reine du Manitoba</w:t>
            </w:r>
          </w:p>
          <w:p w:rsidR="00D04A6F" w:rsidRPr="00547302" w:rsidRDefault="00D04A6F" w:rsidP="00AA1FE0">
            <w:pPr>
              <w:jc w:val="both"/>
              <w:rPr>
                <w:sz w:val="20"/>
                <w:lang w:val="fr-CA"/>
              </w:rPr>
            </w:pPr>
            <w:r w:rsidRPr="00547302">
              <w:rPr>
                <w:sz w:val="20"/>
                <w:lang w:val="fr-CA"/>
              </w:rPr>
              <w:t>(Juge Abra)</w:t>
            </w:r>
          </w:p>
          <w:p w:rsidR="00D04A6F" w:rsidRPr="00547302" w:rsidRDefault="00D04A6F" w:rsidP="00AA1FE0">
            <w:pPr>
              <w:jc w:val="both"/>
              <w:rPr>
                <w:sz w:val="20"/>
                <w:lang w:val="fr-CA"/>
              </w:rPr>
            </w:pPr>
          </w:p>
        </w:tc>
        <w:tc>
          <w:tcPr>
            <w:tcW w:w="243" w:type="pct"/>
          </w:tcPr>
          <w:p w:rsidR="00D04A6F" w:rsidRPr="00547302" w:rsidRDefault="00D04A6F" w:rsidP="00AA1FE0">
            <w:pPr>
              <w:jc w:val="both"/>
              <w:rPr>
                <w:sz w:val="20"/>
                <w:lang w:val="fr-CA"/>
              </w:rPr>
            </w:pPr>
          </w:p>
        </w:tc>
        <w:tc>
          <w:tcPr>
            <w:tcW w:w="2330" w:type="pct"/>
          </w:tcPr>
          <w:p w:rsidR="00D04A6F" w:rsidRPr="00547302" w:rsidRDefault="00D04A6F" w:rsidP="00AA1FE0">
            <w:pPr>
              <w:jc w:val="both"/>
              <w:rPr>
                <w:sz w:val="20"/>
                <w:lang w:val="fr-CA"/>
              </w:rPr>
            </w:pPr>
            <w:r w:rsidRPr="00547302">
              <w:rPr>
                <w:sz w:val="20"/>
                <w:lang w:val="fr-CA"/>
              </w:rPr>
              <w:t xml:space="preserve">Jugement sommaire en faveur de l’intimée </w:t>
            </w:r>
          </w:p>
        </w:tc>
      </w:tr>
      <w:tr w:rsidR="00D04A6F" w:rsidRPr="00547302" w:rsidTr="00D04A6F">
        <w:tc>
          <w:tcPr>
            <w:tcW w:w="2427" w:type="pct"/>
            <w:gridSpan w:val="2"/>
          </w:tcPr>
          <w:p w:rsidR="00D04A6F" w:rsidRPr="00547302" w:rsidRDefault="00D04A6F" w:rsidP="00AA1FE0">
            <w:pPr>
              <w:jc w:val="both"/>
              <w:rPr>
                <w:sz w:val="20"/>
                <w:lang w:val="fr-CA"/>
              </w:rPr>
            </w:pPr>
            <w:r w:rsidRPr="00547302">
              <w:rPr>
                <w:sz w:val="20"/>
                <w:lang w:val="fr-CA"/>
              </w:rPr>
              <w:t>9 avril 2018</w:t>
            </w:r>
          </w:p>
          <w:p w:rsidR="00D04A6F" w:rsidRPr="00547302" w:rsidRDefault="00D04A6F" w:rsidP="00AA1FE0">
            <w:pPr>
              <w:jc w:val="both"/>
              <w:rPr>
                <w:sz w:val="20"/>
                <w:lang w:val="fr-CA"/>
              </w:rPr>
            </w:pPr>
            <w:r w:rsidRPr="00547302">
              <w:rPr>
                <w:sz w:val="20"/>
                <w:lang w:val="fr-CA"/>
              </w:rPr>
              <w:t>Cour d’appel du Manitoba</w:t>
            </w:r>
          </w:p>
          <w:p w:rsidR="00D04A6F" w:rsidRPr="00547302" w:rsidRDefault="00D04A6F" w:rsidP="00AA1FE0">
            <w:pPr>
              <w:jc w:val="both"/>
              <w:rPr>
                <w:sz w:val="20"/>
                <w:lang w:val="fr-CA"/>
              </w:rPr>
            </w:pPr>
            <w:r w:rsidRPr="00547302">
              <w:rPr>
                <w:sz w:val="20"/>
                <w:lang w:val="fr-CA"/>
              </w:rPr>
              <w:t>(Juges Chartier, Steel et Burnett)</w:t>
            </w:r>
          </w:p>
          <w:p w:rsidR="00D04A6F" w:rsidRPr="00547302" w:rsidRDefault="00FC1FD2" w:rsidP="00AA1FE0">
            <w:pPr>
              <w:jc w:val="both"/>
              <w:rPr>
                <w:sz w:val="20"/>
                <w:lang w:val="fr-CA"/>
              </w:rPr>
            </w:pPr>
            <w:hyperlink r:id="rId37" w:history="1">
              <w:r w:rsidR="00D04A6F" w:rsidRPr="00547302">
                <w:rPr>
                  <w:rStyle w:val="Hyperlink"/>
                  <w:sz w:val="20"/>
                  <w:lang w:val="fr-CA"/>
                </w:rPr>
                <w:t>2018 MBCA 38</w:t>
              </w:r>
            </w:hyperlink>
          </w:p>
          <w:p w:rsidR="00D04A6F" w:rsidRPr="00547302" w:rsidRDefault="00D04A6F" w:rsidP="00AA1FE0">
            <w:pPr>
              <w:jc w:val="both"/>
              <w:rPr>
                <w:sz w:val="20"/>
                <w:lang w:val="fr-CA"/>
              </w:rPr>
            </w:pPr>
          </w:p>
        </w:tc>
        <w:tc>
          <w:tcPr>
            <w:tcW w:w="243" w:type="pct"/>
          </w:tcPr>
          <w:p w:rsidR="00D04A6F" w:rsidRPr="00547302" w:rsidRDefault="00D04A6F" w:rsidP="00AA1FE0">
            <w:pPr>
              <w:jc w:val="both"/>
              <w:rPr>
                <w:sz w:val="20"/>
                <w:lang w:val="fr-CA"/>
              </w:rPr>
            </w:pPr>
          </w:p>
        </w:tc>
        <w:tc>
          <w:tcPr>
            <w:tcW w:w="2330" w:type="pct"/>
          </w:tcPr>
          <w:p w:rsidR="00D04A6F" w:rsidRPr="00547302" w:rsidRDefault="00D04A6F" w:rsidP="00AA1FE0">
            <w:pPr>
              <w:jc w:val="both"/>
              <w:rPr>
                <w:sz w:val="20"/>
                <w:lang w:val="fr-CA"/>
              </w:rPr>
            </w:pPr>
            <w:r w:rsidRPr="00547302">
              <w:rPr>
                <w:sz w:val="20"/>
                <w:lang w:val="fr-CA"/>
              </w:rPr>
              <w:t>Rejet de l’appel</w:t>
            </w:r>
          </w:p>
          <w:p w:rsidR="00D04A6F" w:rsidRPr="00547302" w:rsidRDefault="00D04A6F" w:rsidP="00AA1FE0">
            <w:pPr>
              <w:jc w:val="both"/>
              <w:rPr>
                <w:sz w:val="20"/>
                <w:lang w:val="fr-CA"/>
              </w:rPr>
            </w:pPr>
          </w:p>
        </w:tc>
      </w:tr>
      <w:tr w:rsidR="00D04A6F" w:rsidRPr="003D50B9" w:rsidTr="00D04A6F">
        <w:tc>
          <w:tcPr>
            <w:tcW w:w="2427" w:type="pct"/>
            <w:gridSpan w:val="2"/>
          </w:tcPr>
          <w:p w:rsidR="00D04A6F" w:rsidRPr="00547302" w:rsidRDefault="00D04A6F" w:rsidP="00AA1FE0">
            <w:pPr>
              <w:jc w:val="both"/>
              <w:rPr>
                <w:sz w:val="20"/>
                <w:lang w:val="fr-CA"/>
              </w:rPr>
            </w:pPr>
            <w:r w:rsidRPr="00547302">
              <w:rPr>
                <w:sz w:val="20"/>
                <w:lang w:val="fr-CA"/>
              </w:rPr>
              <w:t>28 novembre 2018</w:t>
            </w:r>
          </w:p>
          <w:p w:rsidR="00D04A6F" w:rsidRPr="00547302" w:rsidRDefault="00D04A6F" w:rsidP="00AA1FE0">
            <w:pPr>
              <w:jc w:val="both"/>
              <w:rPr>
                <w:sz w:val="20"/>
                <w:lang w:val="fr-CA"/>
              </w:rPr>
            </w:pPr>
            <w:r w:rsidRPr="00547302">
              <w:rPr>
                <w:sz w:val="20"/>
                <w:lang w:val="fr-CA"/>
              </w:rPr>
              <w:t>Cour suprême du Canada</w:t>
            </w:r>
          </w:p>
          <w:p w:rsidR="00D04A6F" w:rsidRPr="00547302" w:rsidRDefault="00D04A6F" w:rsidP="00AA1FE0">
            <w:pPr>
              <w:jc w:val="both"/>
              <w:rPr>
                <w:sz w:val="20"/>
                <w:lang w:val="fr-CA"/>
              </w:rPr>
            </w:pPr>
            <w:r w:rsidRPr="00547302">
              <w:rPr>
                <w:sz w:val="20"/>
                <w:lang w:val="fr-CA"/>
              </w:rPr>
              <w:t>(Juge Brown)</w:t>
            </w:r>
          </w:p>
        </w:tc>
        <w:tc>
          <w:tcPr>
            <w:tcW w:w="243" w:type="pct"/>
          </w:tcPr>
          <w:p w:rsidR="00D04A6F" w:rsidRPr="00547302" w:rsidRDefault="00D04A6F" w:rsidP="00AA1FE0">
            <w:pPr>
              <w:jc w:val="both"/>
              <w:rPr>
                <w:sz w:val="20"/>
                <w:lang w:val="fr-CA"/>
              </w:rPr>
            </w:pPr>
          </w:p>
        </w:tc>
        <w:tc>
          <w:tcPr>
            <w:tcW w:w="2330" w:type="pct"/>
          </w:tcPr>
          <w:p w:rsidR="00D04A6F" w:rsidRPr="00547302" w:rsidRDefault="00D04A6F" w:rsidP="00AA1FE0">
            <w:pPr>
              <w:jc w:val="both"/>
              <w:rPr>
                <w:sz w:val="20"/>
                <w:lang w:val="fr-CA"/>
              </w:rPr>
            </w:pPr>
            <w:r w:rsidRPr="00547302">
              <w:rPr>
                <w:sz w:val="20"/>
                <w:lang w:val="fr-CA"/>
              </w:rPr>
              <w:t>Ordonnance dans le dossier 38345 rejetant une demande de déposer une demande pour trois décisions de la Cour d’appel du  Manitoba, y compris la décision entreprise dans le présent dossier, et prorogeant le délai de signification et de dépôt d’une demande complète et conforme en autorisation d’appel de quinze jours de la date de l’ordonnance.</w:t>
            </w:r>
          </w:p>
          <w:p w:rsidR="00D04A6F" w:rsidRPr="00547302" w:rsidRDefault="00D04A6F" w:rsidP="00AA1FE0">
            <w:pPr>
              <w:jc w:val="both"/>
              <w:rPr>
                <w:sz w:val="20"/>
                <w:lang w:val="fr-CA"/>
              </w:rPr>
            </w:pPr>
          </w:p>
        </w:tc>
      </w:tr>
      <w:tr w:rsidR="00D04A6F" w:rsidRPr="003D50B9" w:rsidTr="00D04A6F">
        <w:tc>
          <w:tcPr>
            <w:tcW w:w="2427" w:type="pct"/>
            <w:gridSpan w:val="2"/>
          </w:tcPr>
          <w:p w:rsidR="00D04A6F" w:rsidRPr="00547302" w:rsidRDefault="00D04A6F" w:rsidP="00AA1FE0">
            <w:pPr>
              <w:jc w:val="both"/>
              <w:rPr>
                <w:sz w:val="20"/>
                <w:lang w:val="fr-CA"/>
              </w:rPr>
            </w:pPr>
            <w:r w:rsidRPr="00547302">
              <w:rPr>
                <w:sz w:val="20"/>
                <w:lang w:val="fr-CA"/>
              </w:rPr>
              <w:t>10 décembre 2018</w:t>
            </w:r>
          </w:p>
          <w:p w:rsidR="00D04A6F" w:rsidRPr="00547302" w:rsidRDefault="00D04A6F" w:rsidP="00AA1FE0">
            <w:pPr>
              <w:jc w:val="both"/>
              <w:rPr>
                <w:sz w:val="20"/>
                <w:lang w:val="fr-CA"/>
              </w:rPr>
            </w:pPr>
            <w:r w:rsidRPr="00547302">
              <w:rPr>
                <w:sz w:val="20"/>
                <w:lang w:val="fr-CA"/>
              </w:rPr>
              <w:t>Cour suprême du Canada</w:t>
            </w:r>
          </w:p>
        </w:tc>
        <w:tc>
          <w:tcPr>
            <w:tcW w:w="243" w:type="pct"/>
          </w:tcPr>
          <w:p w:rsidR="00D04A6F" w:rsidRPr="00547302" w:rsidRDefault="00D04A6F" w:rsidP="00AA1FE0">
            <w:pPr>
              <w:jc w:val="both"/>
              <w:rPr>
                <w:sz w:val="20"/>
                <w:lang w:val="fr-CA"/>
              </w:rPr>
            </w:pPr>
          </w:p>
        </w:tc>
        <w:tc>
          <w:tcPr>
            <w:tcW w:w="2330" w:type="pct"/>
          </w:tcPr>
          <w:p w:rsidR="00D04A6F" w:rsidRPr="00547302" w:rsidRDefault="00D04A6F" w:rsidP="00AA1FE0">
            <w:pPr>
              <w:jc w:val="both"/>
              <w:rPr>
                <w:sz w:val="20"/>
                <w:lang w:val="fr-CA"/>
              </w:rPr>
            </w:pPr>
            <w:r w:rsidRPr="00547302">
              <w:rPr>
                <w:sz w:val="20"/>
                <w:lang w:val="fr-CA"/>
              </w:rPr>
              <w:t>Dépôt de la demande d’autorisation d’appel</w:t>
            </w:r>
          </w:p>
          <w:p w:rsidR="00D04A6F" w:rsidRPr="00547302" w:rsidRDefault="00D04A6F" w:rsidP="00AA1FE0">
            <w:pPr>
              <w:jc w:val="both"/>
              <w:rPr>
                <w:sz w:val="20"/>
                <w:lang w:val="fr-CA"/>
              </w:rPr>
            </w:pPr>
          </w:p>
        </w:tc>
      </w:tr>
    </w:tbl>
    <w:p w:rsidR="00D04A6F" w:rsidRPr="00025AF5" w:rsidRDefault="00D04A6F" w:rsidP="00AA1FE0">
      <w:pPr>
        <w:ind w:left="142" w:hanging="142"/>
        <w:jc w:val="both"/>
        <w:rPr>
          <w:sz w:val="20"/>
          <w:lang w:val="fr-CA"/>
        </w:rPr>
      </w:pPr>
    </w:p>
    <w:p w:rsidR="003A6559" w:rsidRPr="00547302" w:rsidRDefault="003A6559" w:rsidP="003A6559">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993"/>
        <w:gridCol w:w="3506"/>
        <w:gridCol w:w="451"/>
        <w:gridCol w:w="4320"/>
      </w:tblGrid>
      <w:tr w:rsidR="003A6559" w:rsidRPr="00547302" w:rsidTr="003A6559">
        <w:tc>
          <w:tcPr>
            <w:tcW w:w="536" w:type="pct"/>
          </w:tcPr>
          <w:p w:rsidR="003A6559" w:rsidRPr="00547302" w:rsidRDefault="003A6559" w:rsidP="00460DF0">
            <w:pPr>
              <w:jc w:val="both"/>
              <w:rPr>
                <w:sz w:val="20"/>
              </w:rPr>
            </w:pPr>
            <w:r w:rsidRPr="00547302">
              <w:rPr>
                <w:rStyle w:val="SCCFileNumberChar"/>
                <w:sz w:val="20"/>
                <w:szCs w:val="20"/>
              </w:rPr>
              <w:t>38460</w:t>
            </w:r>
          </w:p>
        </w:tc>
        <w:tc>
          <w:tcPr>
            <w:tcW w:w="4464" w:type="pct"/>
            <w:gridSpan w:val="3"/>
          </w:tcPr>
          <w:p w:rsidR="003A6559" w:rsidRPr="00547302" w:rsidRDefault="003A6559" w:rsidP="00460DF0">
            <w:pPr>
              <w:pStyle w:val="SCCLsocParty"/>
              <w:jc w:val="both"/>
              <w:rPr>
                <w:b/>
                <w:sz w:val="20"/>
                <w:szCs w:val="20"/>
                <w:lang w:val="en-US"/>
              </w:rPr>
            </w:pPr>
            <w:r w:rsidRPr="00547302">
              <w:rPr>
                <w:b/>
                <w:sz w:val="20"/>
                <w:szCs w:val="20"/>
                <w:lang w:val="en-US"/>
              </w:rPr>
              <w:t>Mariam Adam v. Manufacturers Life Insurance Company (Manulife)</w:t>
            </w:r>
          </w:p>
          <w:p w:rsidR="003A6559" w:rsidRPr="00547302" w:rsidRDefault="003A6559" w:rsidP="00460DF0">
            <w:pPr>
              <w:jc w:val="both"/>
              <w:rPr>
                <w:sz w:val="20"/>
              </w:rPr>
            </w:pPr>
            <w:r w:rsidRPr="00547302">
              <w:rPr>
                <w:sz w:val="20"/>
              </w:rPr>
              <w:t>(Man.) (Civil) (By Leave)</w:t>
            </w:r>
          </w:p>
        </w:tc>
      </w:tr>
      <w:tr w:rsidR="003A6559" w:rsidRPr="00547302" w:rsidTr="003A6559">
        <w:tc>
          <w:tcPr>
            <w:tcW w:w="5000" w:type="pct"/>
            <w:gridSpan w:val="4"/>
          </w:tcPr>
          <w:p w:rsidR="003A6559" w:rsidRPr="00547302" w:rsidRDefault="003A6559" w:rsidP="00460DF0">
            <w:pPr>
              <w:jc w:val="both"/>
              <w:rPr>
                <w:sz w:val="20"/>
              </w:rPr>
            </w:pPr>
            <w:r w:rsidRPr="00547302">
              <w:rPr>
                <w:sz w:val="20"/>
              </w:rPr>
              <w:t>Civil procedure — Summary judgment — Limitations — When does a limitation period starts to run in the context of a creditor’s group insurance policy.</w:t>
            </w:r>
          </w:p>
          <w:p w:rsidR="003A6559" w:rsidRPr="00547302" w:rsidRDefault="003A6559" w:rsidP="00460DF0">
            <w:pPr>
              <w:jc w:val="both"/>
              <w:rPr>
                <w:sz w:val="20"/>
              </w:rPr>
            </w:pPr>
          </w:p>
        </w:tc>
      </w:tr>
      <w:tr w:rsidR="003A6559" w:rsidRPr="00547302" w:rsidTr="003A6559">
        <w:tc>
          <w:tcPr>
            <w:tcW w:w="5000" w:type="pct"/>
            <w:gridSpan w:val="4"/>
          </w:tcPr>
          <w:p w:rsidR="003A6559" w:rsidRPr="00547302" w:rsidRDefault="003A6559" w:rsidP="00460DF0">
            <w:pPr>
              <w:jc w:val="both"/>
              <w:rPr>
                <w:sz w:val="20"/>
              </w:rPr>
            </w:pPr>
            <w:r w:rsidRPr="00547302">
              <w:rPr>
                <w:sz w:val="20"/>
              </w:rPr>
              <w:t>The Bank of Montreal sued the applicant, Mariam Adam, on a credit card debt. She brought the respondent, Manulife into the action as a third party. Manulife defended on the basis that the applicant had not filed a claim, nor had she taken steps to put Manulife on notice of her claim.  A motion for summary judgment was granted in favour of the Bank of Montreal and Manulife.  An appeal to the Court of Appeal was dismissed.</w:t>
            </w:r>
          </w:p>
          <w:p w:rsidR="003A6559" w:rsidRPr="00547302" w:rsidRDefault="003A6559" w:rsidP="00460DF0">
            <w:pPr>
              <w:jc w:val="both"/>
              <w:rPr>
                <w:sz w:val="20"/>
              </w:rPr>
            </w:pPr>
          </w:p>
        </w:tc>
      </w:tr>
      <w:tr w:rsidR="003A6559" w:rsidRPr="00547302" w:rsidTr="003A6559">
        <w:tc>
          <w:tcPr>
            <w:tcW w:w="2427" w:type="pct"/>
            <w:gridSpan w:val="2"/>
          </w:tcPr>
          <w:p w:rsidR="003A6559" w:rsidRPr="00547302" w:rsidRDefault="003A6559" w:rsidP="00460DF0">
            <w:pPr>
              <w:jc w:val="both"/>
              <w:rPr>
                <w:sz w:val="20"/>
              </w:rPr>
            </w:pPr>
            <w:r w:rsidRPr="00547302">
              <w:rPr>
                <w:sz w:val="20"/>
              </w:rPr>
              <w:t>November 29, 2016</w:t>
            </w:r>
          </w:p>
          <w:p w:rsidR="003A6559" w:rsidRPr="00547302" w:rsidRDefault="003A6559" w:rsidP="00460DF0">
            <w:pPr>
              <w:jc w:val="both"/>
              <w:rPr>
                <w:sz w:val="20"/>
              </w:rPr>
            </w:pPr>
            <w:r w:rsidRPr="00547302">
              <w:rPr>
                <w:sz w:val="20"/>
              </w:rPr>
              <w:t>Court of Queen’s Bench</w:t>
            </w:r>
          </w:p>
          <w:p w:rsidR="003A6559" w:rsidRPr="00547302" w:rsidRDefault="003A6559" w:rsidP="00460DF0">
            <w:pPr>
              <w:jc w:val="both"/>
              <w:rPr>
                <w:sz w:val="20"/>
              </w:rPr>
            </w:pPr>
            <w:r w:rsidRPr="00547302">
              <w:rPr>
                <w:sz w:val="20"/>
              </w:rPr>
              <w:t>(</w:t>
            </w:r>
            <w:proofErr w:type="spellStart"/>
            <w:r w:rsidRPr="00547302">
              <w:rPr>
                <w:sz w:val="20"/>
              </w:rPr>
              <w:t>Abra</w:t>
            </w:r>
            <w:proofErr w:type="spellEnd"/>
            <w:r w:rsidRPr="00547302">
              <w:rPr>
                <w:sz w:val="20"/>
              </w:rPr>
              <w:t xml:space="preserve"> J.)</w:t>
            </w:r>
          </w:p>
          <w:p w:rsidR="003A6559" w:rsidRPr="00547302" w:rsidRDefault="003A6559" w:rsidP="00460DF0">
            <w:pPr>
              <w:jc w:val="both"/>
              <w:rPr>
                <w:sz w:val="20"/>
              </w:rPr>
            </w:pPr>
          </w:p>
        </w:tc>
        <w:tc>
          <w:tcPr>
            <w:tcW w:w="243" w:type="pct"/>
          </w:tcPr>
          <w:p w:rsidR="003A6559" w:rsidRPr="00547302" w:rsidRDefault="003A6559" w:rsidP="00460DF0">
            <w:pPr>
              <w:jc w:val="both"/>
              <w:rPr>
                <w:sz w:val="20"/>
              </w:rPr>
            </w:pPr>
          </w:p>
        </w:tc>
        <w:tc>
          <w:tcPr>
            <w:tcW w:w="2330" w:type="pct"/>
          </w:tcPr>
          <w:p w:rsidR="003A6559" w:rsidRPr="00547302" w:rsidRDefault="003A6559" w:rsidP="00460DF0">
            <w:pPr>
              <w:jc w:val="both"/>
              <w:rPr>
                <w:sz w:val="20"/>
              </w:rPr>
            </w:pPr>
            <w:r w:rsidRPr="00547302">
              <w:rPr>
                <w:sz w:val="20"/>
              </w:rPr>
              <w:t xml:space="preserve">Summary judgment in favour of respondent granted </w:t>
            </w:r>
          </w:p>
        </w:tc>
      </w:tr>
      <w:tr w:rsidR="003A6559" w:rsidRPr="00547302" w:rsidTr="003A6559">
        <w:tc>
          <w:tcPr>
            <w:tcW w:w="2427" w:type="pct"/>
            <w:gridSpan w:val="2"/>
          </w:tcPr>
          <w:p w:rsidR="003A6559" w:rsidRPr="00547302" w:rsidRDefault="003A6559" w:rsidP="00460DF0">
            <w:pPr>
              <w:jc w:val="both"/>
              <w:rPr>
                <w:sz w:val="20"/>
              </w:rPr>
            </w:pPr>
            <w:r w:rsidRPr="00547302">
              <w:rPr>
                <w:sz w:val="20"/>
              </w:rPr>
              <w:t>April 9, 2018</w:t>
            </w:r>
          </w:p>
          <w:p w:rsidR="003A6559" w:rsidRPr="00547302" w:rsidRDefault="003A6559" w:rsidP="00460DF0">
            <w:pPr>
              <w:jc w:val="both"/>
              <w:rPr>
                <w:sz w:val="20"/>
              </w:rPr>
            </w:pPr>
            <w:r w:rsidRPr="00547302">
              <w:rPr>
                <w:sz w:val="20"/>
              </w:rPr>
              <w:t>Court of Appeal of Manitoba</w:t>
            </w:r>
          </w:p>
          <w:p w:rsidR="003A6559" w:rsidRPr="00547302" w:rsidRDefault="003A6559" w:rsidP="00460DF0">
            <w:pPr>
              <w:jc w:val="both"/>
              <w:rPr>
                <w:sz w:val="20"/>
              </w:rPr>
            </w:pPr>
            <w:r w:rsidRPr="00547302">
              <w:rPr>
                <w:sz w:val="20"/>
              </w:rPr>
              <w:t>(</w:t>
            </w:r>
            <w:proofErr w:type="spellStart"/>
            <w:r w:rsidRPr="00547302">
              <w:rPr>
                <w:sz w:val="20"/>
              </w:rPr>
              <w:t>Chartier</w:t>
            </w:r>
            <w:proofErr w:type="spellEnd"/>
            <w:r w:rsidRPr="00547302">
              <w:rPr>
                <w:sz w:val="20"/>
              </w:rPr>
              <w:t>, Steel and Burnett JJ.A.)</w:t>
            </w:r>
          </w:p>
          <w:p w:rsidR="003A6559" w:rsidRPr="00547302" w:rsidRDefault="00FC1FD2" w:rsidP="00460DF0">
            <w:pPr>
              <w:jc w:val="both"/>
              <w:rPr>
                <w:sz w:val="20"/>
              </w:rPr>
            </w:pPr>
            <w:hyperlink r:id="rId38" w:history="1">
              <w:r w:rsidR="003A6559" w:rsidRPr="00547302">
                <w:rPr>
                  <w:rStyle w:val="Hyperlink"/>
                  <w:sz w:val="20"/>
                </w:rPr>
                <w:t>2018 MBCA 37</w:t>
              </w:r>
            </w:hyperlink>
          </w:p>
          <w:p w:rsidR="003A6559" w:rsidRPr="00547302" w:rsidRDefault="003A6559" w:rsidP="00460DF0">
            <w:pPr>
              <w:jc w:val="both"/>
              <w:rPr>
                <w:sz w:val="20"/>
              </w:rPr>
            </w:pPr>
          </w:p>
        </w:tc>
        <w:tc>
          <w:tcPr>
            <w:tcW w:w="243" w:type="pct"/>
          </w:tcPr>
          <w:p w:rsidR="003A6559" w:rsidRPr="00547302" w:rsidRDefault="003A6559" w:rsidP="00460DF0">
            <w:pPr>
              <w:jc w:val="both"/>
              <w:rPr>
                <w:sz w:val="20"/>
              </w:rPr>
            </w:pPr>
          </w:p>
        </w:tc>
        <w:tc>
          <w:tcPr>
            <w:tcW w:w="2330" w:type="pct"/>
          </w:tcPr>
          <w:p w:rsidR="003A6559" w:rsidRPr="00547302" w:rsidRDefault="003A6559" w:rsidP="00460DF0">
            <w:pPr>
              <w:jc w:val="both"/>
              <w:rPr>
                <w:sz w:val="20"/>
              </w:rPr>
            </w:pPr>
            <w:r w:rsidRPr="00547302">
              <w:rPr>
                <w:sz w:val="20"/>
              </w:rPr>
              <w:t>Appeal dismissed</w:t>
            </w:r>
          </w:p>
          <w:p w:rsidR="003A6559" w:rsidRPr="00547302" w:rsidRDefault="003A6559" w:rsidP="00460DF0">
            <w:pPr>
              <w:jc w:val="both"/>
              <w:rPr>
                <w:sz w:val="20"/>
              </w:rPr>
            </w:pPr>
          </w:p>
        </w:tc>
      </w:tr>
      <w:tr w:rsidR="003A6559" w:rsidRPr="00547302" w:rsidTr="003A6559">
        <w:tc>
          <w:tcPr>
            <w:tcW w:w="2427" w:type="pct"/>
            <w:gridSpan w:val="2"/>
          </w:tcPr>
          <w:p w:rsidR="003A6559" w:rsidRPr="00547302" w:rsidRDefault="003A6559" w:rsidP="00460DF0">
            <w:pPr>
              <w:jc w:val="both"/>
              <w:rPr>
                <w:sz w:val="20"/>
              </w:rPr>
            </w:pPr>
            <w:r w:rsidRPr="00547302">
              <w:rPr>
                <w:sz w:val="20"/>
              </w:rPr>
              <w:t>November 28, 2018</w:t>
            </w:r>
          </w:p>
          <w:p w:rsidR="003A6559" w:rsidRPr="00547302" w:rsidRDefault="003A6559" w:rsidP="00460DF0">
            <w:pPr>
              <w:jc w:val="both"/>
              <w:rPr>
                <w:sz w:val="20"/>
              </w:rPr>
            </w:pPr>
            <w:r w:rsidRPr="00547302">
              <w:rPr>
                <w:sz w:val="20"/>
              </w:rPr>
              <w:t>Supreme Court of Canada</w:t>
            </w:r>
          </w:p>
          <w:p w:rsidR="003A6559" w:rsidRPr="00547302" w:rsidRDefault="003A6559" w:rsidP="00460DF0">
            <w:pPr>
              <w:jc w:val="both"/>
              <w:rPr>
                <w:sz w:val="20"/>
              </w:rPr>
            </w:pPr>
            <w:r w:rsidRPr="00547302">
              <w:rPr>
                <w:sz w:val="20"/>
              </w:rPr>
              <w:t>(Brown J.)</w:t>
            </w:r>
          </w:p>
        </w:tc>
        <w:tc>
          <w:tcPr>
            <w:tcW w:w="243" w:type="pct"/>
          </w:tcPr>
          <w:p w:rsidR="003A6559" w:rsidRPr="00547302" w:rsidRDefault="003A6559" w:rsidP="00460DF0">
            <w:pPr>
              <w:jc w:val="both"/>
              <w:rPr>
                <w:sz w:val="20"/>
              </w:rPr>
            </w:pPr>
          </w:p>
        </w:tc>
        <w:tc>
          <w:tcPr>
            <w:tcW w:w="2330" w:type="pct"/>
          </w:tcPr>
          <w:p w:rsidR="003A6559" w:rsidRPr="00547302" w:rsidRDefault="003A6559" w:rsidP="00460DF0">
            <w:pPr>
              <w:jc w:val="both"/>
              <w:rPr>
                <w:sz w:val="20"/>
              </w:rPr>
            </w:pPr>
            <w:r w:rsidRPr="00547302">
              <w:rPr>
                <w:sz w:val="20"/>
              </w:rPr>
              <w:t>Order in file 38345 dismissing a request to file one application for three decisions of the Court of Appeal of Manitoba, including the decision under appeal in this file, and extending the time to serve and file a complete and compliant application for leave to appeal to 15 days from the date of the order.</w:t>
            </w:r>
          </w:p>
          <w:p w:rsidR="003A6559" w:rsidRPr="00547302" w:rsidRDefault="003A6559" w:rsidP="00460DF0">
            <w:pPr>
              <w:jc w:val="both"/>
              <w:rPr>
                <w:sz w:val="20"/>
              </w:rPr>
            </w:pPr>
          </w:p>
        </w:tc>
      </w:tr>
      <w:tr w:rsidR="003A6559" w:rsidRPr="00547302" w:rsidTr="003A6559">
        <w:tc>
          <w:tcPr>
            <w:tcW w:w="2427" w:type="pct"/>
            <w:gridSpan w:val="2"/>
          </w:tcPr>
          <w:p w:rsidR="003A6559" w:rsidRPr="00547302" w:rsidRDefault="003A6559" w:rsidP="00460DF0">
            <w:pPr>
              <w:jc w:val="both"/>
              <w:rPr>
                <w:sz w:val="20"/>
              </w:rPr>
            </w:pPr>
            <w:r w:rsidRPr="00547302">
              <w:rPr>
                <w:sz w:val="20"/>
              </w:rPr>
              <w:t>December 10, 2018</w:t>
            </w:r>
          </w:p>
          <w:p w:rsidR="003A6559" w:rsidRPr="00547302" w:rsidRDefault="003A6559" w:rsidP="00460DF0">
            <w:pPr>
              <w:jc w:val="both"/>
              <w:rPr>
                <w:sz w:val="20"/>
              </w:rPr>
            </w:pPr>
            <w:r w:rsidRPr="00547302">
              <w:rPr>
                <w:sz w:val="20"/>
              </w:rPr>
              <w:lastRenderedPageBreak/>
              <w:t>Supreme Court of Canada</w:t>
            </w:r>
          </w:p>
        </w:tc>
        <w:tc>
          <w:tcPr>
            <w:tcW w:w="243" w:type="pct"/>
          </w:tcPr>
          <w:p w:rsidR="003A6559" w:rsidRPr="00547302" w:rsidRDefault="003A6559" w:rsidP="00460DF0">
            <w:pPr>
              <w:jc w:val="both"/>
              <w:rPr>
                <w:sz w:val="20"/>
              </w:rPr>
            </w:pPr>
          </w:p>
        </w:tc>
        <w:tc>
          <w:tcPr>
            <w:tcW w:w="2330" w:type="pct"/>
          </w:tcPr>
          <w:p w:rsidR="003A6559" w:rsidRPr="00547302" w:rsidRDefault="003A6559" w:rsidP="00460DF0">
            <w:pPr>
              <w:jc w:val="both"/>
              <w:rPr>
                <w:sz w:val="20"/>
              </w:rPr>
            </w:pPr>
            <w:r w:rsidRPr="00547302">
              <w:rPr>
                <w:sz w:val="20"/>
              </w:rPr>
              <w:t>Application for leave to appeal filed</w:t>
            </w:r>
          </w:p>
          <w:p w:rsidR="003A6559" w:rsidRPr="00547302" w:rsidRDefault="003A6559" w:rsidP="00460DF0">
            <w:pPr>
              <w:jc w:val="both"/>
              <w:rPr>
                <w:sz w:val="20"/>
              </w:rPr>
            </w:pPr>
          </w:p>
        </w:tc>
      </w:tr>
    </w:tbl>
    <w:p w:rsidR="003A6559" w:rsidRPr="00547302" w:rsidRDefault="003A6559" w:rsidP="003A6559">
      <w:pPr>
        <w:jc w:val="both"/>
        <w:rPr>
          <w:sz w:val="20"/>
        </w:rPr>
      </w:pPr>
    </w:p>
    <w:p w:rsidR="003A6559" w:rsidRPr="00547302" w:rsidRDefault="003A6559" w:rsidP="00AA1FE0">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4"/>
        <w:gridCol w:w="3495"/>
        <w:gridCol w:w="451"/>
        <w:gridCol w:w="4320"/>
      </w:tblGrid>
      <w:tr w:rsidR="00D04A6F" w:rsidRPr="00547302" w:rsidTr="003A6559">
        <w:tc>
          <w:tcPr>
            <w:tcW w:w="542" w:type="pct"/>
          </w:tcPr>
          <w:p w:rsidR="00D04A6F" w:rsidRPr="00547302" w:rsidRDefault="00D04A6F" w:rsidP="00AA1FE0">
            <w:pPr>
              <w:jc w:val="both"/>
              <w:rPr>
                <w:sz w:val="20"/>
                <w:lang w:val="fr-CA"/>
              </w:rPr>
            </w:pPr>
            <w:r w:rsidRPr="00547302">
              <w:rPr>
                <w:rStyle w:val="SCCFileNumberChar"/>
                <w:sz w:val="20"/>
                <w:szCs w:val="20"/>
                <w:lang w:val="fr-CA"/>
              </w:rPr>
              <w:t>38460</w:t>
            </w:r>
          </w:p>
        </w:tc>
        <w:tc>
          <w:tcPr>
            <w:tcW w:w="4458" w:type="pct"/>
            <w:gridSpan w:val="3"/>
          </w:tcPr>
          <w:p w:rsidR="00D04A6F" w:rsidRPr="00547302" w:rsidRDefault="00D04A6F" w:rsidP="00AA1FE0">
            <w:pPr>
              <w:pStyle w:val="SCCLsocParty"/>
              <w:jc w:val="both"/>
              <w:rPr>
                <w:b/>
                <w:sz w:val="20"/>
                <w:szCs w:val="20"/>
              </w:rPr>
            </w:pPr>
            <w:r w:rsidRPr="00547302">
              <w:rPr>
                <w:b/>
                <w:sz w:val="20"/>
                <w:szCs w:val="20"/>
              </w:rPr>
              <w:t xml:space="preserve">Mariam Adam c. Compagnie d’Assurance-Vie </w:t>
            </w:r>
            <w:proofErr w:type="spellStart"/>
            <w:r w:rsidRPr="00547302">
              <w:rPr>
                <w:b/>
                <w:sz w:val="20"/>
                <w:szCs w:val="20"/>
              </w:rPr>
              <w:t>Manufacturers</w:t>
            </w:r>
            <w:proofErr w:type="spellEnd"/>
            <w:r w:rsidRPr="00547302">
              <w:rPr>
                <w:b/>
                <w:sz w:val="20"/>
                <w:szCs w:val="20"/>
              </w:rPr>
              <w:t xml:space="preserve"> (</w:t>
            </w:r>
            <w:proofErr w:type="spellStart"/>
            <w:r w:rsidRPr="00547302">
              <w:rPr>
                <w:b/>
                <w:sz w:val="20"/>
                <w:szCs w:val="20"/>
              </w:rPr>
              <w:t>Manuvie</w:t>
            </w:r>
            <w:proofErr w:type="spellEnd"/>
            <w:r w:rsidRPr="00547302">
              <w:rPr>
                <w:b/>
                <w:sz w:val="20"/>
                <w:szCs w:val="20"/>
              </w:rPr>
              <w:t>)</w:t>
            </w:r>
          </w:p>
          <w:p w:rsidR="00D04A6F" w:rsidRPr="00547302" w:rsidRDefault="00D04A6F" w:rsidP="00AA1FE0">
            <w:pPr>
              <w:jc w:val="both"/>
              <w:rPr>
                <w:sz w:val="20"/>
                <w:lang w:val="fr-CA"/>
              </w:rPr>
            </w:pPr>
            <w:r w:rsidRPr="00547302">
              <w:rPr>
                <w:sz w:val="20"/>
                <w:lang w:val="fr-CA"/>
              </w:rPr>
              <w:t>(Man.) (Civile) (Autorisation)</w:t>
            </w:r>
          </w:p>
        </w:tc>
      </w:tr>
      <w:tr w:rsidR="00D04A6F" w:rsidRPr="003D50B9" w:rsidTr="003A6559">
        <w:tc>
          <w:tcPr>
            <w:tcW w:w="5000" w:type="pct"/>
            <w:gridSpan w:val="4"/>
          </w:tcPr>
          <w:p w:rsidR="00D04A6F" w:rsidRPr="00547302" w:rsidRDefault="00D04A6F" w:rsidP="00AA1FE0">
            <w:pPr>
              <w:jc w:val="both"/>
              <w:rPr>
                <w:sz w:val="20"/>
                <w:lang w:val="fr-CA"/>
              </w:rPr>
            </w:pPr>
            <w:r w:rsidRPr="00547302">
              <w:rPr>
                <w:sz w:val="20"/>
                <w:lang w:val="fr-CA"/>
              </w:rPr>
              <w:t>Procédure civile — Jugement sommaire — Prescription — Quand commence à courir un délai de prescription dans le contexte d’une police d’assurance collective d’un créancier?</w:t>
            </w:r>
          </w:p>
          <w:p w:rsidR="00D04A6F" w:rsidRPr="00547302" w:rsidRDefault="00D04A6F" w:rsidP="00AA1FE0">
            <w:pPr>
              <w:jc w:val="both"/>
              <w:rPr>
                <w:sz w:val="20"/>
                <w:lang w:val="fr-CA"/>
              </w:rPr>
            </w:pPr>
          </w:p>
        </w:tc>
      </w:tr>
      <w:tr w:rsidR="00D04A6F" w:rsidRPr="00547302" w:rsidTr="003A6559">
        <w:tc>
          <w:tcPr>
            <w:tcW w:w="5000" w:type="pct"/>
            <w:gridSpan w:val="4"/>
          </w:tcPr>
          <w:p w:rsidR="00D04A6F" w:rsidRPr="00547302" w:rsidRDefault="00D04A6F" w:rsidP="00AA1FE0">
            <w:pPr>
              <w:jc w:val="both"/>
              <w:rPr>
                <w:sz w:val="20"/>
                <w:lang w:val="fr-CA"/>
              </w:rPr>
            </w:pPr>
            <w:r w:rsidRPr="00547302">
              <w:rPr>
                <w:sz w:val="20"/>
                <w:lang w:val="fr-CA"/>
              </w:rPr>
              <w:t>La Banque de Montréal a poursuivi la demanderesse, Mariam Adam, relativement à une dette de carte de crédit. La demanderesse a mis en cause l’intimée, Manuvie. En guise de défense, Manuvie a plaidé que la demanderesse n’avait pas déposé de demande et qu’elle n’avait pas pris de mesures pour aviser Manuvie de sa demande. Une motion en jugement sommaire a été accueillie en faveur de la Banque de Montréal et de Manuvie. Un appel à la Cour d’appel a été rejeté.</w:t>
            </w:r>
          </w:p>
          <w:p w:rsidR="00D04A6F" w:rsidRPr="00547302" w:rsidRDefault="00D04A6F" w:rsidP="00AA1FE0">
            <w:pPr>
              <w:jc w:val="both"/>
              <w:rPr>
                <w:sz w:val="20"/>
                <w:lang w:val="fr-CA"/>
              </w:rPr>
            </w:pPr>
          </w:p>
        </w:tc>
      </w:tr>
      <w:tr w:rsidR="00D04A6F" w:rsidRPr="003D50B9" w:rsidTr="003A6559">
        <w:tc>
          <w:tcPr>
            <w:tcW w:w="2427" w:type="pct"/>
            <w:gridSpan w:val="2"/>
          </w:tcPr>
          <w:p w:rsidR="00D04A6F" w:rsidRPr="00547302" w:rsidRDefault="00D04A6F" w:rsidP="00AA1FE0">
            <w:pPr>
              <w:jc w:val="both"/>
              <w:rPr>
                <w:sz w:val="20"/>
                <w:lang w:val="fr-CA"/>
              </w:rPr>
            </w:pPr>
            <w:r w:rsidRPr="00547302">
              <w:rPr>
                <w:sz w:val="20"/>
                <w:lang w:val="fr-CA"/>
              </w:rPr>
              <w:t>29 novembre 2016</w:t>
            </w:r>
          </w:p>
          <w:p w:rsidR="00D04A6F" w:rsidRPr="00547302" w:rsidRDefault="00D04A6F" w:rsidP="00AA1FE0">
            <w:pPr>
              <w:jc w:val="both"/>
              <w:rPr>
                <w:sz w:val="20"/>
                <w:lang w:val="fr-CA"/>
              </w:rPr>
            </w:pPr>
            <w:r w:rsidRPr="00547302">
              <w:rPr>
                <w:sz w:val="20"/>
                <w:lang w:val="fr-CA"/>
              </w:rPr>
              <w:t>Cour du Banc de la Reine</w:t>
            </w:r>
          </w:p>
          <w:p w:rsidR="00D04A6F" w:rsidRPr="00547302" w:rsidRDefault="00D04A6F" w:rsidP="00AA1FE0">
            <w:pPr>
              <w:jc w:val="both"/>
              <w:rPr>
                <w:sz w:val="20"/>
                <w:lang w:val="fr-CA"/>
              </w:rPr>
            </w:pPr>
            <w:r w:rsidRPr="00547302">
              <w:rPr>
                <w:sz w:val="20"/>
                <w:lang w:val="fr-CA"/>
              </w:rPr>
              <w:t>(Juge Abra)</w:t>
            </w:r>
          </w:p>
          <w:p w:rsidR="00D04A6F" w:rsidRPr="00547302" w:rsidRDefault="00D04A6F" w:rsidP="00AA1FE0">
            <w:pPr>
              <w:jc w:val="both"/>
              <w:rPr>
                <w:sz w:val="20"/>
                <w:lang w:val="fr-CA"/>
              </w:rPr>
            </w:pPr>
          </w:p>
        </w:tc>
        <w:tc>
          <w:tcPr>
            <w:tcW w:w="243" w:type="pct"/>
          </w:tcPr>
          <w:p w:rsidR="00D04A6F" w:rsidRPr="00547302" w:rsidRDefault="00D04A6F" w:rsidP="00AA1FE0">
            <w:pPr>
              <w:jc w:val="both"/>
              <w:rPr>
                <w:sz w:val="20"/>
                <w:lang w:val="fr-CA"/>
              </w:rPr>
            </w:pPr>
          </w:p>
        </w:tc>
        <w:tc>
          <w:tcPr>
            <w:tcW w:w="2330" w:type="pct"/>
          </w:tcPr>
          <w:p w:rsidR="00D04A6F" w:rsidRPr="00547302" w:rsidRDefault="00D04A6F" w:rsidP="00AA1FE0">
            <w:pPr>
              <w:jc w:val="both"/>
              <w:rPr>
                <w:sz w:val="20"/>
                <w:lang w:val="fr-CA"/>
              </w:rPr>
            </w:pPr>
            <w:r w:rsidRPr="00547302">
              <w:rPr>
                <w:sz w:val="20"/>
                <w:lang w:val="fr-CA"/>
              </w:rPr>
              <w:t xml:space="preserve">Jugement sommaire en faveur de l’intimée </w:t>
            </w:r>
          </w:p>
        </w:tc>
      </w:tr>
      <w:tr w:rsidR="00D04A6F" w:rsidRPr="00547302" w:rsidTr="003A6559">
        <w:tc>
          <w:tcPr>
            <w:tcW w:w="2427" w:type="pct"/>
            <w:gridSpan w:val="2"/>
          </w:tcPr>
          <w:p w:rsidR="00D04A6F" w:rsidRPr="00547302" w:rsidRDefault="00D04A6F" w:rsidP="00AA1FE0">
            <w:pPr>
              <w:jc w:val="both"/>
              <w:rPr>
                <w:sz w:val="20"/>
                <w:lang w:val="fr-CA"/>
              </w:rPr>
            </w:pPr>
            <w:r w:rsidRPr="00547302">
              <w:rPr>
                <w:sz w:val="20"/>
                <w:lang w:val="fr-CA"/>
              </w:rPr>
              <w:t>9 avril 2018</w:t>
            </w:r>
          </w:p>
          <w:p w:rsidR="00D04A6F" w:rsidRPr="00547302" w:rsidRDefault="00D04A6F" w:rsidP="00AA1FE0">
            <w:pPr>
              <w:jc w:val="both"/>
              <w:rPr>
                <w:sz w:val="20"/>
                <w:lang w:val="fr-CA"/>
              </w:rPr>
            </w:pPr>
            <w:r w:rsidRPr="00547302">
              <w:rPr>
                <w:sz w:val="20"/>
                <w:lang w:val="fr-CA"/>
              </w:rPr>
              <w:t>Cour d’appel du Manitoba</w:t>
            </w:r>
          </w:p>
          <w:p w:rsidR="00D04A6F" w:rsidRPr="00547302" w:rsidRDefault="00D04A6F" w:rsidP="00AA1FE0">
            <w:pPr>
              <w:jc w:val="both"/>
              <w:rPr>
                <w:sz w:val="20"/>
                <w:lang w:val="fr-CA"/>
              </w:rPr>
            </w:pPr>
            <w:r w:rsidRPr="00547302">
              <w:rPr>
                <w:sz w:val="20"/>
                <w:lang w:val="fr-CA"/>
              </w:rPr>
              <w:t>(Juges Chartier, Steel et Burnett)</w:t>
            </w:r>
          </w:p>
          <w:p w:rsidR="00D04A6F" w:rsidRPr="00547302" w:rsidRDefault="00FC1FD2" w:rsidP="00AA1FE0">
            <w:pPr>
              <w:jc w:val="both"/>
              <w:rPr>
                <w:sz w:val="20"/>
                <w:lang w:val="fr-CA"/>
              </w:rPr>
            </w:pPr>
            <w:hyperlink r:id="rId39" w:history="1">
              <w:r w:rsidR="00D04A6F" w:rsidRPr="00547302">
                <w:rPr>
                  <w:rStyle w:val="Hyperlink"/>
                  <w:sz w:val="20"/>
                  <w:lang w:val="fr-CA"/>
                </w:rPr>
                <w:t>2018 MBCA 37</w:t>
              </w:r>
            </w:hyperlink>
          </w:p>
          <w:p w:rsidR="00D04A6F" w:rsidRPr="00547302" w:rsidRDefault="00D04A6F" w:rsidP="00AA1FE0">
            <w:pPr>
              <w:jc w:val="both"/>
              <w:rPr>
                <w:sz w:val="20"/>
                <w:lang w:val="fr-CA"/>
              </w:rPr>
            </w:pPr>
          </w:p>
        </w:tc>
        <w:tc>
          <w:tcPr>
            <w:tcW w:w="243" w:type="pct"/>
          </w:tcPr>
          <w:p w:rsidR="00D04A6F" w:rsidRPr="00547302" w:rsidRDefault="00D04A6F" w:rsidP="00AA1FE0">
            <w:pPr>
              <w:jc w:val="both"/>
              <w:rPr>
                <w:sz w:val="20"/>
                <w:lang w:val="fr-CA"/>
              </w:rPr>
            </w:pPr>
          </w:p>
        </w:tc>
        <w:tc>
          <w:tcPr>
            <w:tcW w:w="2330" w:type="pct"/>
          </w:tcPr>
          <w:p w:rsidR="00D04A6F" w:rsidRPr="00547302" w:rsidRDefault="00D04A6F" w:rsidP="00AA1FE0">
            <w:pPr>
              <w:jc w:val="both"/>
              <w:rPr>
                <w:sz w:val="20"/>
                <w:lang w:val="fr-CA"/>
              </w:rPr>
            </w:pPr>
            <w:r w:rsidRPr="00547302">
              <w:rPr>
                <w:sz w:val="20"/>
                <w:lang w:val="fr-CA"/>
              </w:rPr>
              <w:t>Rejet de l’appel</w:t>
            </w:r>
          </w:p>
          <w:p w:rsidR="00D04A6F" w:rsidRPr="00547302" w:rsidRDefault="00D04A6F" w:rsidP="00AA1FE0">
            <w:pPr>
              <w:jc w:val="both"/>
              <w:rPr>
                <w:sz w:val="20"/>
                <w:lang w:val="fr-CA"/>
              </w:rPr>
            </w:pPr>
          </w:p>
        </w:tc>
      </w:tr>
      <w:tr w:rsidR="00D04A6F" w:rsidRPr="003D50B9" w:rsidTr="003A6559">
        <w:tc>
          <w:tcPr>
            <w:tcW w:w="2427" w:type="pct"/>
            <w:gridSpan w:val="2"/>
          </w:tcPr>
          <w:p w:rsidR="00D04A6F" w:rsidRPr="00547302" w:rsidRDefault="00D04A6F" w:rsidP="00AA1FE0">
            <w:pPr>
              <w:jc w:val="both"/>
              <w:rPr>
                <w:sz w:val="20"/>
                <w:lang w:val="fr-CA"/>
              </w:rPr>
            </w:pPr>
            <w:r w:rsidRPr="00547302">
              <w:rPr>
                <w:sz w:val="20"/>
                <w:lang w:val="fr-CA"/>
              </w:rPr>
              <w:t>28 novembre 2018</w:t>
            </w:r>
          </w:p>
          <w:p w:rsidR="00D04A6F" w:rsidRPr="00547302" w:rsidRDefault="00D04A6F" w:rsidP="00AA1FE0">
            <w:pPr>
              <w:jc w:val="both"/>
              <w:rPr>
                <w:sz w:val="20"/>
                <w:lang w:val="fr-CA"/>
              </w:rPr>
            </w:pPr>
            <w:r w:rsidRPr="00547302">
              <w:rPr>
                <w:sz w:val="20"/>
                <w:lang w:val="fr-CA"/>
              </w:rPr>
              <w:t>Cour suprême du Canada</w:t>
            </w:r>
          </w:p>
          <w:p w:rsidR="00D04A6F" w:rsidRPr="00547302" w:rsidRDefault="00D04A6F" w:rsidP="00AA1FE0">
            <w:pPr>
              <w:jc w:val="both"/>
              <w:rPr>
                <w:sz w:val="20"/>
                <w:lang w:val="fr-CA"/>
              </w:rPr>
            </w:pPr>
            <w:r w:rsidRPr="00547302">
              <w:rPr>
                <w:sz w:val="20"/>
                <w:lang w:val="fr-CA"/>
              </w:rPr>
              <w:t>(Juge Brown)</w:t>
            </w:r>
          </w:p>
        </w:tc>
        <w:tc>
          <w:tcPr>
            <w:tcW w:w="243" w:type="pct"/>
          </w:tcPr>
          <w:p w:rsidR="00D04A6F" w:rsidRPr="00547302" w:rsidRDefault="00D04A6F" w:rsidP="00AA1FE0">
            <w:pPr>
              <w:jc w:val="both"/>
              <w:rPr>
                <w:sz w:val="20"/>
                <w:lang w:val="fr-CA"/>
              </w:rPr>
            </w:pPr>
          </w:p>
        </w:tc>
        <w:tc>
          <w:tcPr>
            <w:tcW w:w="2330" w:type="pct"/>
          </w:tcPr>
          <w:p w:rsidR="00D04A6F" w:rsidRPr="00547302" w:rsidRDefault="00D04A6F" w:rsidP="00AA1FE0">
            <w:pPr>
              <w:jc w:val="both"/>
              <w:rPr>
                <w:sz w:val="20"/>
                <w:lang w:val="fr-CA"/>
              </w:rPr>
            </w:pPr>
            <w:r w:rsidRPr="00547302">
              <w:rPr>
                <w:sz w:val="20"/>
                <w:lang w:val="fr-CA"/>
              </w:rPr>
              <w:t>Ordonnance dans le dossier 38345 rejetant une demande de déposer une demande pour trois décisions de la Cour d’appel du  Manitoba, y compris la décision entreprise dans le présent dossier, et prorogeant le délai de signification et de dépôt d’une demande complète et conforme en autorisation d’appel de quinze jours de la date de l’ordonnance.</w:t>
            </w:r>
          </w:p>
          <w:p w:rsidR="00D04A6F" w:rsidRPr="00547302" w:rsidRDefault="00D04A6F" w:rsidP="00AA1FE0">
            <w:pPr>
              <w:jc w:val="both"/>
              <w:rPr>
                <w:sz w:val="20"/>
                <w:lang w:val="fr-CA"/>
              </w:rPr>
            </w:pPr>
          </w:p>
        </w:tc>
      </w:tr>
      <w:tr w:rsidR="00D04A6F" w:rsidRPr="003D50B9" w:rsidTr="003A6559">
        <w:tc>
          <w:tcPr>
            <w:tcW w:w="2427" w:type="pct"/>
            <w:gridSpan w:val="2"/>
          </w:tcPr>
          <w:p w:rsidR="00D04A6F" w:rsidRPr="00547302" w:rsidRDefault="00D04A6F" w:rsidP="00AA1FE0">
            <w:pPr>
              <w:jc w:val="both"/>
              <w:rPr>
                <w:sz w:val="20"/>
                <w:lang w:val="fr-CA"/>
              </w:rPr>
            </w:pPr>
            <w:r w:rsidRPr="00547302">
              <w:rPr>
                <w:sz w:val="20"/>
                <w:lang w:val="fr-CA"/>
              </w:rPr>
              <w:t>10 décembre 2018</w:t>
            </w:r>
          </w:p>
          <w:p w:rsidR="00D04A6F" w:rsidRPr="00547302" w:rsidRDefault="00D04A6F" w:rsidP="00AA1FE0">
            <w:pPr>
              <w:jc w:val="both"/>
              <w:rPr>
                <w:sz w:val="20"/>
                <w:lang w:val="fr-CA"/>
              </w:rPr>
            </w:pPr>
            <w:r w:rsidRPr="00547302">
              <w:rPr>
                <w:sz w:val="20"/>
                <w:lang w:val="fr-CA"/>
              </w:rPr>
              <w:t>Cour suprême du Canada</w:t>
            </w:r>
          </w:p>
        </w:tc>
        <w:tc>
          <w:tcPr>
            <w:tcW w:w="243" w:type="pct"/>
          </w:tcPr>
          <w:p w:rsidR="00D04A6F" w:rsidRPr="00547302" w:rsidRDefault="00D04A6F" w:rsidP="00AA1FE0">
            <w:pPr>
              <w:jc w:val="both"/>
              <w:rPr>
                <w:sz w:val="20"/>
                <w:lang w:val="fr-CA"/>
              </w:rPr>
            </w:pPr>
          </w:p>
        </w:tc>
        <w:tc>
          <w:tcPr>
            <w:tcW w:w="2330" w:type="pct"/>
          </w:tcPr>
          <w:p w:rsidR="00D04A6F" w:rsidRPr="00547302" w:rsidRDefault="00D04A6F" w:rsidP="00AA1FE0">
            <w:pPr>
              <w:jc w:val="both"/>
              <w:rPr>
                <w:sz w:val="20"/>
                <w:lang w:val="fr-CA"/>
              </w:rPr>
            </w:pPr>
            <w:r w:rsidRPr="00547302">
              <w:rPr>
                <w:sz w:val="20"/>
                <w:lang w:val="fr-CA"/>
              </w:rPr>
              <w:t>Dépôt de la demande d’autorisation d’appel</w:t>
            </w:r>
          </w:p>
          <w:p w:rsidR="00D04A6F" w:rsidRPr="00547302" w:rsidRDefault="00D04A6F" w:rsidP="00AA1FE0">
            <w:pPr>
              <w:jc w:val="both"/>
              <w:rPr>
                <w:sz w:val="20"/>
                <w:lang w:val="fr-CA"/>
              </w:rPr>
            </w:pPr>
          </w:p>
        </w:tc>
      </w:tr>
    </w:tbl>
    <w:p w:rsidR="00D04A6F" w:rsidRPr="00025AF5" w:rsidRDefault="00D04A6F" w:rsidP="00AA1FE0">
      <w:pPr>
        <w:ind w:left="142" w:hanging="142"/>
        <w:jc w:val="both"/>
        <w:rPr>
          <w:sz w:val="20"/>
          <w:lang w:val="fr-CA"/>
        </w:rPr>
      </w:pPr>
    </w:p>
    <w:p w:rsidR="0082039A" w:rsidRPr="00025AF5" w:rsidRDefault="0082039A" w:rsidP="00AA1FE0">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64"/>
        <w:gridCol w:w="4307"/>
      </w:tblGrid>
      <w:tr w:rsidR="00D04A6F" w:rsidRPr="00547302" w:rsidTr="00D04A6F">
        <w:tc>
          <w:tcPr>
            <w:tcW w:w="543" w:type="pct"/>
          </w:tcPr>
          <w:p w:rsidR="00D04A6F" w:rsidRPr="00547302" w:rsidRDefault="00D04A6F" w:rsidP="00AA1FE0">
            <w:pPr>
              <w:jc w:val="both"/>
              <w:rPr>
                <w:sz w:val="20"/>
                <w:lang w:val="en-CA"/>
              </w:rPr>
            </w:pPr>
            <w:r w:rsidRPr="00547302">
              <w:rPr>
                <w:rStyle w:val="SCCFileNumberChar"/>
                <w:sz w:val="20"/>
                <w:szCs w:val="20"/>
              </w:rPr>
              <w:t>38330</w:t>
            </w:r>
          </w:p>
        </w:tc>
        <w:tc>
          <w:tcPr>
            <w:tcW w:w="4457" w:type="pct"/>
            <w:gridSpan w:val="3"/>
          </w:tcPr>
          <w:p w:rsidR="00D04A6F" w:rsidRPr="00547302" w:rsidRDefault="00D04A6F" w:rsidP="00AA1FE0">
            <w:pPr>
              <w:pStyle w:val="SCCLsocParty"/>
              <w:jc w:val="both"/>
              <w:rPr>
                <w:b/>
                <w:sz w:val="20"/>
                <w:szCs w:val="20"/>
                <w:lang w:val="en-CA"/>
              </w:rPr>
            </w:pPr>
            <w:r w:rsidRPr="00547302">
              <w:rPr>
                <w:b/>
                <w:sz w:val="20"/>
                <w:szCs w:val="20"/>
                <w:lang w:val="en-CA"/>
              </w:rPr>
              <w:t xml:space="preserve">Wilfrid Nguesso v. </w:t>
            </w:r>
            <w:r w:rsidRPr="00547302">
              <w:rPr>
                <w:b/>
                <w:bCs/>
                <w:sz w:val="20"/>
                <w:szCs w:val="20"/>
                <w:lang w:val="en-CA"/>
              </w:rPr>
              <w:t>Minister of Citizenship and Immigration</w:t>
            </w:r>
          </w:p>
          <w:p w:rsidR="00D04A6F" w:rsidRPr="00547302" w:rsidRDefault="00D04A6F" w:rsidP="0082039A">
            <w:pPr>
              <w:jc w:val="both"/>
              <w:rPr>
                <w:sz w:val="20"/>
                <w:lang w:val="en-CA"/>
              </w:rPr>
            </w:pPr>
            <w:r w:rsidRPr="00547302">
              <w:rPr>
                <w:sz w:val="20"/>
                <w:lang w:val="en-CA"/>
              </w:rPr>
              <w:t>(F</w:t>
            </w:r>
            <w:r w:rsidR="0082039A" w:rsidRPr="00547302">
              <w:rPr>
                <w:sz w:val="20"/>
                <w:lang w:val="en-CA"/>
              </w:rPr>
              <w:t>.</w:t>
            </w:r>
            <w:r w:rsidRPr="00547302">
              <w:rPr>
                <w:sz w:val="20"/>
                <w:lang w:val="en-CA"/>
              </w:rPr>
              <w:t>C</w:t>
            </w:r>
            <w:r w:rsidR="0082039A" w:rsidRPr="00547302">
              <w:rPr>
                <w:sz w:val="20"/>
                <w:lang w:val="en-CA"/>
              </w:rPr>
              <w:t>.</w:t>
            </w:r>
            <w:r w:rsidRPr="00547302">
              <w:rPr>
                <w:sz w:val="20"/>
                <w:lang w:val="en-CA"/>
              </w:rPr>
              <w:t>) (Civil) (By Leave)</w:t>
            </w:r>
          </w:p>
        </w:tc>
      </w:tr>
      <w:tr w:rsidR="00D04A6F" w:rsidRPr="00547302" w:rsidTr="00D04A6F">
        <w:tc>
          <w:tcPr>
            <w:tcW w:w="5000" w:type="pct"/>
            <w:gridSpan w:val="4"/>
          </w:tcPr>
          <w:p w:rsidR="00D04A6F" w:rsidRPr="00547302" w:rsidRDefault="00D04A6F" w:rsidP="00AA1FE0">
            <w:pPr>
              <w:jc w:val="both"/>
              <w:rPr>
                <w:sz w:val="20"/>
                <w:lang w:val="en-CA"/>
              </w:rPr>
            </w:pPr>
            <w:proofErr w:type="gramStart"/>
            <w:r w:rsidRPr="00547302">
              <w:rPr>
                <w:sz w:val="20"/>
                <w:lang w:val="en-CA"/>
              </w:rPr>
              <w:t xml:space="preserve">Immigration — Inadmissibility and removal — Serious criminality — Jurisdiction of Federal Court of Appeal — Certified questions — Whether certification of question for appeal can be quashed retroactively, thereby causing appellant to lose right of appeal on other issues — Whether decision set aside by Federal Court of Appeal on specific issue that is remitted to application judge continues to be </w:t>
            </w:r>
            <w:r w:rsidRPr="00547302">
              <w:rPr>
                <w:i/>
                <w:sz w:val="20"/>
                <w:lang w:val="en-CA"/>
              </w:rPr>
              <w:t>res judicata</w:t>
            </w:r>
            <w:r w:rsidRPr="00547302">
              <w:rPr>
                <w:sz w:val="20"/>
                <w:lang w:val="en-CA"/>
              </w:rPr>
              <w:t xml:space="preserve"> for all other issues — Whether act that is not considered to be offence in country where it was committed can be cause for inadmissibility to Canada on basis of serious criminality under s. 37 of </w:t>
            </w:r>
            <w:r w:rsidRPr="00547302">
              <w:rPr>
                <w:bCs/>
                <w:i/>
                <w:sz w:val="20"/>
                <w:lang w:val="en"/>
              </w:rPr>
              <w:t>Immigration and Refugee Protection Act</w:t>
            </w:r>
            <w:r w:rsidRPr="00547302">
              <w:rPr>
                <w:sz w:val="20"/>
                <w:lang w:val="en-CA"/>
              </w:rPr>
              <w:t>, S.C. 2001, c. 27.</w:t>
            </w:r>
            <w:proofErr w:type="gramEnd"/>
          </w:p>
        </w:tc>
      </w:tr>
      <w:tr w:rsidR="00D04A6F" w:rsidRPr="00547302" w:rsidTr="00D04A6F">
        <w:tc>
          <w:tcPr>
            <w:tcW w:w="5000" w:type="pct"/>
            <w:gridSpan w:val="4"/>
          </w:tcPr>
          <w:p w:rsidR="00D04A6F" w:rsidRPr="00547302" w:rsidRDefault="00D04A6F" w:rsidP="00AA1FE0">
            <w:pPr>
              <w:jc w:val="both"/>
              <w:rPr>
                <w:sz w:val="20"/>
                <w:lang w:val="en-CA"/>
              </w:rPr>
            </w:pPr>
          </w:p>
        </w:tc>
      </w:tr>
      <w:tr w:rsidR="00D04A6F" w:rsidRPr="00547302" w:rsidTr="00D04A6F">
        <w:tc>
          <w:tcPr>
            <w:tcW w:w="5000" w:type="pct"/>
            <w:gridSpan w:val="4"/>
          </w:tcPr>
          <w:p w:rsidR="00D04A6F" w:rsidRPr="00547302" w:rsidRDefault="00D04A6F" w:rsidP="00AA1FE0">
            <w:pPr>
              <w:jc w:val="both"/>
              <w:rPr>
                <w:sz w:val="20"/>
                <w:lang w:val="en-CA"/>
              </w:rPr>
            </w:pPr>
            <w:r w:rsidRPr="00547302">
              <w:rPr>
                <w:sz w:val="20"/>
                <w:lang w:val="en-CA"/>
              </w:rPr>
              <w:t>The applicant, Mr. Nguesso, is the son of the President of the Republic of the Congo. In 2013, his application for permanent residence in the family class was refused on the basis that he was inadmissible to Canada because he was a member of a criminal organization (s. 37(1</w:t>
            </w:r>
            <w:proofErr w:type="gramStart"/>
            <w:r w:rsidRPr="00547302">
              <w:rPr>
                <w:sz w:val="20"/>
                <w:lang w:val="en-CA"/>
              </w:rPr>
              <w:t>)(</w:t>
            </w:r>
            <w:proofErr w:type="gramEnd"/>
            <w:r w:rsidRPr="00547302">
              <w:rPr>
                <w:sz w:val="20"/>
                <w:lang w:val="en-CA"/>
              </w:rPr>
              <w:t xml:space="preserve">a) of the </w:t>
            </w:r>
            <w:r w:rsidRPr="00547302">
              <w:rPr>
                <w:bCs/>
                <w:i/>
                <w:sz w:val="20"/>
                <w:lang w:val="en"/>
              </w:rPr>
              <w:t>Immigration and Refugee Protection Act</w:t>
            </w:r>
            <w:r w:rsidRPr="00547302">
              <w:rPr>
                <w:sz w:val="20"/>
                <w:lang w:val="en-CA"/>
              </w:rPr>
              <w:t xml:space="preserve">, S.C. 2001, c. 27). The immigration officer had reasonable grounds to believe that Mr. Nguesso was a member of a criminal group through his family connections and that he had been involved in organized criminal activities (embezzlement, </w:t>
            </w:r>
            <w:r w:rsidRPr="00547302">
              <w:rPr>
                <w:sz w:val="20"/>
                <w:lang w:val="en"/>
              </w:rPr>
              <w:t xml:space="preserve">misappropriation of company property </w:t>
            </w:r>
            <w:r w:rsidRPr="00547302">
              <w:rPr>
                <w:sz w:val="20"/>
                <w:lang w:val="en-CA"/>
              </w:rPr>
              <w:t xml:space="preserve">and money laundering) in the Congo. Mr. Nguesso’s application for judicial review and his appeal </w:t>
            </w:r>
            <w:proofErr w:type="gramStart"/>
            <w:r w:rsidRPr="00547302">
              <w:rPr>
                <w:sz w:val="20"/>
                <w:lang w:val="en-CA"/>
              </w:rPr>
              <w:t>were dismissed</w:t>
            </w:r>
            <w:proofErr w:type="gramEnd"/>
            <w:r w:rsidRPr="00547302">
              <w:rPr>
                <w:sz w:val="20"/>
                <w:lang w:val="en-CA"/>
              </w:rPr>
              <w:t>.</w:t>
            </w:r>
          </w:p>
          <w:p w:rsidR="00D04A6F" w:rsidRPr="00547302" w:rsidRDefault="00D04A6F" w:rsidP="00AA1FE0">
            <w:pPr>
              <w:jc w:val="both"/>
              <w:rPr>
                <w:sz w:val="20"/>
                <w:lang w:val="en-CA"/>
              </w:rPr>
            </w:pPr>
          </w:p>
        </w:tc>
      </w:tr>
      <w:tr w:rsidR="00D04A6F" w:rsidRPr="00547302" w:rsidTr="00D04A6F">
        <w:tc>
          <w:tcPr>
            <w:tcW w:w="2427" w:type="pct"/>
            <w:gridSpan w:val="2"/>
          </w:tcPr>
          <w:p w:rsidR="00D04A6F" w:rsidRPr="00547302" w:rsidRDefault="00D04A6F" w:rsidP="00AA1FE0">
            <w:pPr>
              <w:jc w:val="both"/>
              <w:rPr>
                <w:sz w:val="20"/>
                <w:lang w:val="en-CA"/>
              </w:rPr>
            </w:pPr>
            <w:r w:rsidRPr="00547302">
              <w:rPr>
                <w:sz w:val="20"/>
                <w:lang w:val="en-CA"/>
              </w:rPr>
              <w:lastRenderedPageBreak/>
              <w:t>November 24, 2016</w:t>
            </w:r>
          </w:p>
          <w:p w:rsidR="00D04A6F" w:rsidRPr="00547302" w:rsidRDefault="00D04A6F" w:rsidP="00AA1FE0">
            <w:pPr>
              <w:jc w:val="both"/>
              <w:rPr>
                <w:sz w:val="20"/>
                <w:lang w:val="en-CA"/>
              </w:rPr>
            </w:pPr>
            <w:r w:rsidRPr="00547302">
              <w:rPr>
                <w:sz w:val="20"/>
                <w:lang w:val="en-CA"/>
              </w:rPr>
              <w:t>Federal Court</w:t>
            </w:r>
          </w:p>
          <w:p w:rsidR="00D04A6F" w:rsidRPr="00547302" w:rsidRDefault="00D04A6F" w:rsidP="00AA1FE0">
            <w:pPr>
              <w:jc w:val="both"/>
              <w:rPr>
                <w:sz w:val="20"/>
                <w:lang w:val="en-CA"/>
              </w:rPr>
            </w:pPr>
            <w:r w:rsidRPr="00547302">
              <w:rPr>
                <w:sz w:val="20"/>
                <w:lang w:val="en-CA"/>
              </w:rPr>
              <w:t>(Gagné J.)</w:t>
            </w:r>
          </w:p>
          <w:p w:rsidR="00D04A6F" w:rsidRPr="00547302" w:rsidRDefault="00FC1FD2" w:rsidP="00AA1FE0">
            <w:pPr>
              <w:jc w:val="both"/>
              <w:rPr>
                <w:rStyle w:val="Hyperlink"/>
                <w:sz w:val="20"/>
                <w:lang w:val="en-CA"/>
              </w:rPr>
            </w:pPr>
            <w:hyperlink r:id="rId40" w:history="1">
              <w:r w:rsidR="00D04A6F" w:rsidRPr="00547302">
                <w:rPr>
                  <w:rStyle w:val="Hyperlink"/>
                  <w:sz w:val="20"/>
                  <w:lang w:val="en-CA"/>
                </w:rPr>
                <w:t>2016 FC 1295</w:t>
              </w:r>
            </w:hyperlink>
          </w:p>
          <w:p w:rsidR="00D04A6F" w:rsidRPr="00547302" w:rsidRDefault="00D04A6F" w:rsidP="00AA1FE0">
            <w:pPr>
              <w:jc w:val="both"/>
              <w:rPr>
                <w:sz w:val="20"/>
                <w:lang w:val="en-CA"/>
              </w:rPr>
            </w:pPr>
          </w:p>
        </w:tc>
        <w:tc>
          <w:tcPr>
            <w:tcW w:w="250" w:type="pct"/>
          </w:tcPr>
          <w:p w:rsidR="00D04A6F" w:rsidRPr="00547302" w:rsidRDefault="00D04A6F" w:rsidP="00AA1FE0">
            <w:pPr>
              <w:jc w:val="both"/>
              <w:rPr>
                <w:sz w:val="20"/>
                <w:lang w:val="en-CA"/>
              </w:rPr>
            </w:pPr>
          </w:p>
        </w:tc>
        <w:tc>
          <w:tcPr>
            <w:tcW w:w="2324" w:type="pct"/>
          </w:tcPr>
          <w:p w:rsidR="00D04A6F" w:rsidRPr="00547302" w:rsidRDefault="00D04A6F" w:rsidP="00AA1FE0">
            <w:pPr>
              <w:jc w:val="both"/>
              <w:rPr>
                <w:sz w:val="20"/>
                <w:lang w:val="en-CA"/>
              </w:rPr>
            </w:pPr>
            <w:r w:rsidRPr="00547302">
              <w:rPr>
                <w:sz w:val="20"/>
                <w:lang w:val="en-CA"/>
              </w:rPr>
              <w:t>Application for judicial review dismissed; question certified</w:t>
            </w:r>
          </w:p>
          <w:p w:rsidR="00D04A6F" w:rsidRPr="00547302" w:rsidRDefault="00D04A6F" w:rsidP="00AA1FE0">
            <w:pPr>
              <w:jc w:val="both"/>
              <w:rPr>
                <w:sz w:val="20"/>
                <w:lang w:val="en-CA"/>
              </w:rPr>
            </w:pPr>
          </w:p>
        </w:tc>
      </w:tr>
      <w:tr w:rsidR="00D04A6F" w:rsidRPr="00547302" w:rsidTr="00D04A6F">
        <w:tc>
          <w:tcPr>
            <w:tcW w:w="2427" w:type="pct"/>
            <w:gridSpan w:val="2"/>
          </w:tcPr>
          <w:p w:rsidR="00D04A6F" w:rsidRPr="00547302" w:rsidRDefault="00D04A6F" w:rsidP="00AA1FE0">
            <w:pPr>
              <w:jc w:val="both"/>
              <w:rPr>
                <w:sz w:val="20"/>
                <w:lang w:val="en-CA"/>
              </w:rPr>
            </w:pPr>
            <w:r w:rsidRPr="00547302">
              <w:rPr>
                <w:sz w:val="20"/>
                <w:lang w:val="en-CA"/>
              </w:rPr>
              <w:t>August 1, 2018</w:t>
            </w:r>
          </w:p>
          <w:p w:rsidR="00D04A6F" w:rsidRPr="00547302" w:rsidRDefault="00D04A6F" w:rsidP="00AA1FE0">
            <w:pPr>
              <w:jc w:val="both"/>
              <w:rPr>
                <w:sz w:val="20"/>
                <w:lang w:val="en-CA"/>
              </w:rPr>
            </w:pPr>
            <w:r w:rsidRPr="00547302">
              <w:rPr>
                <w:sz w:val="20"/>
                <w:lang w:val="en-CA"/>
              </w:rPr>
              <w:t>Federal Court of Appeal</w:t>
            </w:r>
          </w:p>
          <w:p w:rsidR="00D04A6F" w:rsidRPr="00547302" w:rsidRDefault="00D04A6F" w:rsidP="00AA1FE0">
            <w:pPr>
              <w:jc w:val="both"/>
              <w:rPr>
                <w:sz w:val="20"/>
                <w:lang w:val="en-CA"/>
              </w:rPr>
            </w:pPr>
            <w:r w:rsidRPr="00547302">
              <w:rPr>
                <w:sz w:val="20"/>
                <w:lang w:val="en-CA"/>
              </w:rPr>
              <w:t>(Pelletier, Gauthier and de Montigny JJ.A.)</w:t>
            </w:r>
          </w:p>
          <w:p w:rsidR="00D04A6F" w:rsidRPr="00547302" w:rsidRDefault="00FC1FD2" w:rsidP="00AA1FE0">
            <w:pPr>
              <w:jc w:val="both"/>
              <w:rPr>
                <w:sz w:val="20"/>
                <w:lang w:val="en-CA"/>
              </w:rPr>
            </w:pPr>
            <w:hyperlink r:id="rId41" w:history="1">
              <w:r w:rsidR="00D04A6F" w:rsidRPr="00547302">
                <w:rPr>
                  <w:rStyle w:val="Hyperlink"/>
                  <w:sz w:val="20"/>
                  <w:lang w:val="en-CA"/>
                </w:rPr>
                <w:t>2018 FCA 145</w:t>
              </w:r>
            </w:hyperlink>
          </w:p>
          <w:p w:rsidR="00D04A6F" w:rsidRPr="00547302" w:rsidRDefault="00D04A6F" w:rsidP="00AA1FE0">
            <w:pPr>
              <w:jc w:val="both"/>
              <w:rPr>
                <w:sz w:val="20"/>
                <w:lang w:val="en-CA"/>
              </w:rPr>
            </w:pPr>
          </w:p>
        </w:tc>
        <w:tc>
          <w:tcPr>
            <w:tcW w:w="250" w:type="pct"/>
          </w:tcPr>
          <w:p w:rsidR="00D04A6F" w:rsidRPr="00547302" w:rsidRDefault="00D04A6F" w:rsidP="00AA1FE0">
            <w:pPr>
              <w:jc w:val="both"/>
              <w:rPr>
                <w:sz w:val="20"/>
                <w:lang w:val="en-CA"/>
              </w:rPr>
            </w:pPr>
          </w:p>
        </w:tc>
        <w:tc>
          <w:tcPr>
            <w:tcW w:w="2324" w:type="pct"/>
          </w:tcPr>
          <w:p w:rsidR="00D04A6F" w:rsidRPr="00547302" w:rsidRDefault="00D04A6F" w:rsidP="00AA1FE0">
            <w:pPr>
              <w:jc w:val="both"/>
              <w:rPr>
                <w:sz w:val="20"/>
                <w:lang w:val="en-CA"/>
              </w:rPr>
            </w:pPr>
            <w:r w:rsidRPr="00547302">
              <w:rPr>
                <w:sz w:val="20"/>
                <w:lang w:val="en-CA"/>
              </w:rPr>
              <w:t>Appeal dismissed</w:t>
            </w:r>
          </w:p>
          <w:p w:rsidR="00D04A6F" w:rsidRPr="00547302" w:rsidRDefault="00D04A6F" w:rsidP="00AA1FE0">
            <w:pPr>
              <w:jc w:val="both"/>
              <w:rPr>
                <w:sz w:val="20"/>
                <w:lang w:val="en-CA"/>
              </w:rPr>
            </w:pPr>
          </w:p>
        </w:tc>
      </w:tr>
      <w:tr w:rsidR="00D04A6F" w:rsidRPr="00547302" w:rsidTr="00D04A6F">
        <w:tc>
          <w:tcPr>
            <w:tcW w:w="2427" w:type="pct"/>
            <w:gridSpan w:val="2"/>
          </w:tcPr>
          <w:p w:rsidR="00D04A6F" w:rsidRPr="00547302" w:rsidRDefault="00D04A6F" w:rsidP="00AA1FE0">
            <w:pPr>
              <w:jc w:val="both"/>
              <w:rPr>
                <w:sz w:val="20"/>
                <w:lang w:val="en-CA"/>
              </w:rPr>
            </w:pPr>
            <w:r w:rsidRPr="00547302">
              <w:rPr>
                <w:sz w:val="20"/>
                <w:lang w:val="en-CA"/>
              </w:rPr>
              <w:t>October 1, 2018</w:t>
            </w:r>
          </w:p>
          <w:p w:rsidR="00D04A6F" w:rsidRPr="00547302" w:rsidRDefault="00D04A6F" w:rsidP="00AA1FE0">
            <w:pPr>
              <w:jc w:val="both"/>
              <w:rPr>
                <w:sz w:val="20"/>
                <w:lang w:val="en-CA"/>
              </w:rPr>
            </w:pPr>
            <w:r w:rsidRPr="00547302">
              <w:rPr>
                <w:sz w:val="20"/>
                <w:lang w:val="en-CA"/>
              </w:rPr>
              <w:t>Supreme Court of Canada</w:t>
            </w:r>
          </w:p>
        </w:tc>
        <w:tc>
          <w:tcPr>
            <w:tcW w:w="250" w:type="pct"/>
          </w:tcPr>
          <w:p w:rsidR="00D04A6F" w:rsidRPr="00547302" w:rsidRDefault="00D04A6F" w:rsidP="00AA1FE0">
            <w:pPr>
              <w:jc w:val="both"/>
              <w:rPr>
                <w:sz w:val="20"/>
                <w:lang w:val="en-CA"/>
              </w:rPr>
            </w:pPr>
          </w:p>
        </w:tc>
        <w:tc>
          <w:tcPr>
            <w:tcW w:w="2324" w:type="pct"/>
          </w:tcPr>
          <w:p w:rsidR="00D04A6F" w:rsidRPr="00547302" w:rsidRDefault="00D04A6F" w:rsidP="00AA1FE0">
            <w:pPr>
              <w:jc w:val="both"/>
              <w:rPr>
                <w:sz w:val="20"/>
                <w:lang w:val="en-CA"/>
              </w:rPr>
            </w:pPr>
            <w:r w:rsidRPr="00547302">
              <w:rPr>
                <w:sz w:val="20"/>
                <w:lang w:val="en-CA"/>
              </w:rPr>
              <w:t>Application for leave to appeal filed</w:t>
            </w:r>
          </w:p>
          <w:p w:rsidR="00D04A6F" w:rsidRPr="00547302" w:rsidRDefault="00D04A6F" w:rsidP="00AA1FE0">
            <w:pPr>
              <w:jc w:val="both"/>
              <w:rPr>
                <w:sz w:val="20"/>
                <w:lang w:val="en-CA"/>
              </w:rPr>
            </w:pPr>
          </w:p>
        </w:tc>
      </w:tr>
    </w:tbl>
    <w:p w:rsidR="00D04A6F" w:rsidRPr="00547302" w:rsidRDefault="00D04A6F" w:rsidP="00AA1FE0">
      <w:pPr>
        <w:jc w:val="both"/>
        <w:rPr>
          <w:sz w:val="20"/>
          <w:lang w:val="en-CA"/>
        </w:rPr>
      </w:pPr>
    </w:p>
    <w:p w:rsidR="0082039A" w:rsidRPr="00547302" w:rsidRDefault="0082039A" w:rsidP="00AA1FE0">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04A6F" w:rsidRPr="00547302" w:rsidTr="00D04A6F">
        <w:tc>
          <w:tcPr>
            <w:tcW w:w="543" w:type="pct"/>
          </w:tcPr>
          <w:p w:rsidR="00D04A6F" w:rsidRPr="00547302" w:rsidRDefault="00D04A6F" w:rsidP="00AA1FE0">
            <w:pPr>
              <w:jc w:val="both"/>
              <w:rPr>
                <w:sz w:val="20"/>
              </w:rPr>
            </w:pPr>
            <w:r w:rsidRPr="00547302">
              <w:rPr>
                <w:rStyle w:val="SCCFileNumberChar"/>
                <w:sz w:val="20"/>
                <w:szCs w:val="20"/>
              </w:rPr>
              <w:t>38330</w:t>
            </w:r>
          </w:p>
        </w:tc>
        <w:tc>
          <w:tcPr>
            <w:tcW w:w="4457" w:type="pct"/>
            <w:gridSpan w:val="3"/>
          </w:tcPr>
          <w:p w:rsidR="00D04A6F" w:rsidRPr="00547302" w:rsidRDefault="00D04A6F" w:rsidP="00AA1FE0">
            <w:pPr>
              <w:pStyle w:val="SCCLsocParty"/>
              <w:jc w:val="both"/>
              <w:rPr>
                <w:b/>
                <w:sz w:val="20"/>
                <w:szCs w:val="20"/>
              </w:rPr>
            </w:pPr>
            <w:r w:rsidRPr="00547302">
              <w:rPr>
                <w:b/>
                <w:sz w:val="20"/>
                <w:szCs w:val="20"/>
              </w:rPr>
              <w:t xml:space="preserve">Wilfrid Nguesso c. </w:t>
            </w:r>
            <w:r w:rsidR="00251672">
              <w:rPr>
                <w:b/>
                <w:sz w:val="20"/>
                <w:szCs w:val="20"/>
              </w:rPr>
              <w:t>M</w:t>
            </w:r>
            <w:r w:rsidRPr="00547302">
              <w:rPr>
                <w:b/>
                <w:sz w:val="20"/>
                <w:szCs w:val="20"/>
              </w:rPr>
              <w:t xml:space="preserve">inistre de la </w:t>
            </w:r>
            <w:r w:rsidR="00610041">
              <w:rPr>
                <w:b/>
                <w:sz w:val="20"/>
                <w:szCs w:val="20"/>
              </w:rPr>
              <w:t>C</w:t>
            </w:r>
            <w:r w:rsidRPr="00547302">
              <w:rPr>
                <w:b/>
                <w:sz w:val="20"/>
                <w:szCs w:val="20"/>
              </w:rPr>
              <w:t>itoyenneté et de l’</w:t>
            </w:r>
            <w:r w:rsidR="00610041">
              <w:rPr>
                <w:b/>
                <w:sz w:val="20"/>
                <w:szCs w:val="20"/>
              </w:rPr>
              <w:t>I</w:t>
            </w:r>
            <w:r w:rsidRPr="00547302">
              <w:rPr>
                <w:b/>
                <w:sz w:val="20"/>
                <w:szCs w:val="20"/>
              </w:rPr>
              <w:t>mmigration</w:t>
            </w:r>
          </w:p>
          <w:p w:rsidR="00D04A6F" w:rsidRPr="00547302" w:rsidRDefault="00D04A6F" w:rsidP="0082039A">
            <w:pPr>
              <w:jc w:val="both"/>
              <w:rPr>
                <w:sz w:val="20"/>
                <w:lang w:val="fr-CA"/>
              </w:rPr>
            </w:pPr>
            <w:r w:rsidRPr="00547302">
              <w:rPr>
                <w:sz w:val="20"/>
                <w:lang w:val="fr-CA"/>
              </w:rPr>
              <w:t>(C</w:t>
            </w:r>
            <w:r w:rsidR="0082039A" w:rsidRPr="00547302">
              <w:rPr>
                <w:sz w:val="20"/>
                <w:lang w:val="fr-CA"/>
              </w:rPr>
              <w:t>.</w:t>
            </w:r>
            <w:r w:rsidRPr="00547302">
              <w:rPr>
                <w:sz w:val="20"/>
                <w:lang w:val="fr-CA"/>
              </w:rPr>
              <w:t>F</w:t>
            </w:r>
            <w:r w:rsidR="0082039A" w:rsidRPr="00547302">
              <w:rPr>
                <w:sz w:val="20"/>
                <w:lang w:val="fr-CA"/>
              </w:rPr>
              <w:t>.</w:t>
            </w:r>
            <w:r w:rsidRPr="00547302">
              <w:rPr>
                <w:sz w:val="20"/>
                <w:lang w:val="fr-CA"/>
              </w:rPr>
              <w:t>) (Civile) (Autorisation)</w:t>
            </w:r>
          </w:p>
        </w:tc>
      </w:tr>
      <w:tr w:rsidR="00D04A6F" w:rsidRPr="003D50B9" w:rsidTr="00D04A6F">
        <w:tc>
          <w:tcPr>
            <w:tcW w:w="5000" w:type="pct"/>
            <w:gridSpan w:val="4"/>
          </w:tcPr>
          <w:p w:rsidR="00D04A6F" w:rsidRPr="00547302" w:rsidRDefault="00D04A6F" w:rsidP="00AA1FE0">
            <w:pPr>
              <w:jc w:val="both"/>
              <w:rPr>
                <w:sz w:val="20"/>
                <w:lang w:val="fr-CA"/>
              </w:rPr>
            </w:pPr>
            <w:r w:rsidRPr="00547302">
              <w:rPr>
                <w:sz w:val="20"/>
                <w:lang w:val="fr-CA"/>
              </w:rPr>
              <w:t xml:space="preserve">Immigration — Interdiction de territoire et renvoi — Grande criminalité — Compétence de la Cour d’appel fédérale — Questions certifiées — Peut-on casser rétroactivement la certification d’une question en appel avec pour effet de faire perdre à un appelant son droit d’appel sur les autres questions en litige? — Est-ce qu’une décision annulée par la Cour d’appel fédérale sur une question précise et renvoyée en première instance continue à constituer chose jugée sur toutes les autres questions? — Est-ce qu’un acte qui n’est pas considéré comme une infraction dans le pays où il est commis peut constituer une cause d’inadmissibilité pour grande criminalité au Canada, selon l’art. 37 de la </w:t>
            </w:r>
            <w:r w:rsidRPr="00547302">
              <w:rPr>
                <w:i/>
                <w:sz w:val="20"/>
                <w:lang w:val="fr-CA"/>
              </w:rPr>
              <w:t>Loi sur l’immigration et la protection des réfugiés</w:t>
            </w:r>
            <w:r w:rsidRPr="00547302">
              <w:rPr>
                <w:sz w:val="20"/>
                <w:lang w:val="fr-CA"/>
              </w:rPr>
              <w:t>, L.C. 2001, c. 27?</w:t>
            </w:r>
          </w:p>
        </w:tc>
      </w:tr>
      <w:tr w:rsidR="00D04A6F" w:rsidRPr="003D50B9" w:rsidTr="00D04A6F">
        <w:tc>
          <w:tcPr>
            <w:tcW w:w="5000" w:type="pct"/>
            <w:gridSpan w:val="4"/>
          </w:tcPr>
          <w:p w:rsidR="00D04A6F" w:rsidRPr="00547302" w:rsidRDefault="00D04A6F" w:rsidP="00AA1FE0">
            <w:pPr>
              <w:jc w:val="both"/>
              <w:rPr>
                <w:sz w:val="20"/>
                <w:lang w:val="fr-CA"/>
              </w:rPr>
            </w:pPr>
          </w:p>
        </w:tc>
      </w:tr>
      <w:tr w:rsidR="00D04A6F" w:rsidRPr="003D50B9" w:rsidTr="00D04A6F">
        <w:tc>
          <w:tcPr>
            <w:tcW w:w="5000" w:type="pct"/>
            <w:gridSpan w:val="4"/>
          </w:tcPr>
          <w:p w:rsidR="00D04A6F" w:rsidRPr="00547302" w:rsidRDefault="00D04A6F" w:rsidP="00AA1FE0">
            <w:pPr>
              <w:jc w:val="both"/>
              <w:rPr>
                <w:sz w:val="20"/>
                <w:lang w:val="fr-CA"/>
              </w:rPr>
            </w:pPr>
            <w:r w:rsidRPr="00547302">
              <w:rPr>
                <w:sz w:val="20"/>
                <w:lang w:val="fr-CA"/>
              </w:rPr>
              <w:t xml:space="preserve">Monsieur Nguesso, demandeur, est le fils du président de la République du Congo. En 2013, sa demande de résidence permanente dans la catégorie du regroupement familial a été refusée au motif qu’il était interdit de territoire au Canada en raison de son appartenance à une organisation criminelle (l’art. 37(1)a) de la </w:t>
            </w:r>
            <w:r w:rsidRPr="00547302">
              <w:rPr>
                <w:i/>
                <w:sz w:val="20"/>
                <w:lang w:val="fr-CA"/>
              </w:rPr>
              <w:t>Loi sur l’immigration et la protection des réfugiés</w:t>
            </w:r>
            <w:r w:rsidRPr="00547302">
              <w:rPr>
                <w:sz w:val="20"/>
                <w:lang w:val="fr-CA"/>
              </w:rPr>
              <w:t>, L.C. 2001, c 27). L’agente d’immigration avait des motifs raisonnables de croire que M. Nguesso était membre d’un groupe criminel par le biais de ses liens familiaux et qu’il avait été impliqué dans des activités de criminalité organisée (détournement de fonds, abus de biens sociaux et blanchiment d’argent) au Congo. La demande de contrôle judiciaire de M. Nguesso ainsi que son appel ont été rejetés.</w:t>
            </w:r>
          </w:p>
          <w:p w:rsidR="00D04A6F" w:rsidRPr="00547302" w:rsidRDefault="00D04A6F" w:rsidP="00AA1FE0">
            <w:pPr>
              <w:jc w:val="both"/>
              <w:rPr>
                <w:sz w:val="20"/>
                <w:lang w:val="fr-CA"/>
              </w:rPr>
            </w:pPr>
          </w:p>
        </w:tc>
      </w:tr>
      <w:tr w:rsidR="00D04A6F" w:rsidRPr="003D50B9" w:rsidTr="00D04A6F">
        <w:tc>
          <w:tcPr>
            <w:tcW w:w="2427" w:type="pct"/>
            <w:gridSpan w:val="2"/>
          </w:tcPr>
          <w:p w:rsidR="00D04A6F" w:rsidRPr="00547302" w:rsidRDefault="00D04A6F" w:rsidP="00AA1FE0">
            <w:pPr>
              <w:jc w:val="both"/>
              <w:rPr>
                <w:sz w:val="20"/>
                <w:lang w:val="fr-CA"/>
              </w:rPr>
            </w:pPr>
            <w:r w:rsidRPr="00547302">
              <w:rPr>
                <w:sz w:val="20"/>
                <w:lang w:val="fr-CA"/>
              </w:rPr>
              <w:t>Le 24 novembre 2016</w:t>
            </w:r>
          </w:p>
          <w:p w:rsidR="00D04A6F" w:rsidRPr="00547302" w:rsidRDefault="00D04A6F" w:rsidP="00AA1FE0">
            <w:pPr>
              <w:jc w:val="both"/>
              <w:rPr>
                <w:sz w:val="20"/>
                <w:lang w:val="fr-CA"/>
              </w:rPr>
            </w:pPr>
            <w:r w:rsidRPr="00547302">
              <w:rPr>
                <w:sz w:val="20"/>
                <w:lang w:val="fr-CA"/>
              </w:rPr>
              <w:t>Cour fédérale</w:t>
            </w:r>
          </w:p>
          <w:p w:rsidR="00D04A6F" w:rsidRPr="00547302" w:rsidRDefault="00D04A6F" w:rsidP="00AA1FE0">
            <w:pPr>
              <w:jc w:val="both"/>
              <w:rPr>
                <w:sz w:val="20"/>
                <w:lang w:val="fr-CA"/>
              </w:rPr>
            </w:pPr>
            <w:r w:rsidRPr="00547302">
              <w:rPr>
                <w:sz w:val="20"/>
                <w:lang w:val="fr-CA"/>
              </w:rPr>
              <w:t>(La juge Gagné)</w:t>
            </w:r>
          </w:p>
          <w:p w:rsidR="00D04A6F" w:rsidRPr="00547302" w:rsidRDefault="00FC1FD2" w:rsidP="00AA1FE0">
            <w:pPr>
              <w:jc w:val="both"/>
              <w:rPr>
                <w:rStyle w:val="Hyperlink"/>
                <w:sz w:val="20"/>
              </w:rPr>
            </w:pPr>
            <w:hyperlink r:id="rId42" w:history="1">
              <w:r w:rsidR="00D04A6F" w:rsidRPr="00547302">
                <w:rPr>
                  <w:rStyle w:val="Hyperlink"/>
                  <w:sz w:val="20"/>
                </w:rPr>
                <w:t>2016 CF 1295</w:t>
              </w:r>
            </w:hyperlink>
          </w:p>
          <w:p w:rsidR="00D04A6F" w:rsidRPr="00547302" w:rsidRDefault="00D04A6F" w:rsidP="00AA1FE0">
            <w:pPr>
              <w:jc w:val="both"/>
              <w:rPr>
                <w:sz w:val="20"/>
              </w:rPr>
            </w:pPr>
          </w:p>
        </w:tc>
        <w:tc>
          <w:tcPr>
            <w:tcW w:w="243" w:type="pct"/>
          </w:tcPr>
          <w:p w:rsidR="00D04A6F" w:rsidRPr="00547302" w:rsidRDefault="00D04A6F" w:rsidP="00AA1FE0">
            <w:pPr>
              <w:jc w:val="both"/>
              <w:rPr>
                <w:sz w:val="20"/>
              </w:rPr>
            </w:pPr>
          </w:p>
        </w:tc>
        <w:tc>
          <w:tcPr>
            <w:tcW w:w="2330" w:type="pct"/>
          </w:tcPr>
          <w:p w:rsidR="00D04A6F" w:rsidRPr="00547302" w:rsidRDefault="00D04A6F" w:rsidP="00AA1FE0">
            <w:pPr>
              <w:jc w:val="both"/>
              <w:rPr>
                <w:sz w:val="20"/>
                <w:lang w:val="fr-CA"/>
              </w:rPr>
            </w:pPr>
            <w:r w:rsidRPr="00547302">
              <w:rPr>
                <w:sz w:val="20"/>
                <w:lang w:val="fr-CA"/>
              </w:rPr>
              <w:t>Demande de contrôle judiciaire rejetée; question certifiée</w:t>
            </w:r>
          </w:p>
          <w:p w:rsidR="00D04A6F" w:rsidRPr="00547302" w:rsidRDefault="00D04A6F" w:rsidP="00AA1FE0">
            <w:pPr>
              <w:jc w:val="both"/>
              <w:rPr>
                <w:sz w:val="20"/>
                <w:lang w:val="fr-CA"/>
              </w:rPr>
            </w:pPr>
          </w:p>
        </w:tc>
      </w:tr>
      <w:tr w:rsidR="00D04A6F" w:rsidRPr="00547302" w:rsidTr="00D04A6F">
        <w:tc>
          <w:tcPr>
            <w:tcW w:w="2427" w:type="pct"/>
            <w:gridSpan w:val="2"/>
          </w:tcPr>
          <w:p w:rsidR="00D04A6F" w:rsidRPr="00547302" w:rsidRDefault="00D04A6F" w:rsidP="00AA1FE0">
            <w:pPr>
              <w:jc w:val="both"/>
              <w:rPr>
                <w:sz w:val="20"/>
                <w:lang w:val="fr-CA"/>
              </w:rPr>
            </w:pPr>
            <w:r w:rsidRPr="00547302">
              <w:rPr>
                <w:sz w:val="20"/>
                <w:lang w:val="fr-CA"/>
              </w:rPr>
              <w:t>Le 1 août 2018</w:t>
            </w:r>
          </w:p>
          <w:p w:rsidR="00D04A6F" w:rsidRPr="00547302" w:rsidRDefault="00D04A6F" w:rsidP="00AA1FE0">
            <w:pPr>
              <w:jc w:val="both"/>
              <w:rPr>
                <w:sz w:val="20"/>
                <w:lang w:val="fr-CA"/>
              </w:rPr>
            </w:pPr>
            <w:r w:rsidRPr="00547302">
              <w:rPr>
                <w:sz w:val="20"/>
                <w:lang w:val="fr-CA"/>
              </w:rPr>
              <w:t>Cour d’appel fédérale</w:t>
            </w:r>
          </w:p>
          <w:p w:rsidR="00D04A6F" w:rsidRPr="00547302" w:rsidRDefault="00D04A6F" w:rsidP="00AA1FE0">
            <w:pPr>
              <w:jc w:val="both"/>
              <w:rPr>
                <w:sz w:val="20"/>
                <w:lang w:val="fr-CA"/>
              </w:rPr>
            </w:pPr>
            <w:r w:rsidRPr="00547302">
              <w:rPr>
                <w:sz w:val="20"/>
                <w:lang w:val="fr-CA"/>
              </w:rPr>
              <w:t>(Les juges Pelletier, Gauthier et de Montigny)</w:t>
            </w:r>
          </w:p>
          <w:p w:rsidR="00D04A6F" w:rsidRPr="00547302" w:rsidRDefault="00FC1FD2" w:rsidP="00AA1FE0">
            <w:pPr>
              <w:jc w:val="both"/>
              <w:rPr>
                <w:sz w:val="20"/>
              </w:rPr>
            </w:pPr>
            <w:hyperlink r:id="rId43" w:history="1">
              <w:r w:rsidR="00D04A6F" w:rsidRPr="00547302">
                <w:rPr>
                  <w:rStyle w:val="Hyperlink"/>
                  <w:sz w:val="20"/>
                </w:rPr>
                <w:t>2018 CAF 145</w:t>
              </w:r>
            </w:hyperlink>
          </w:p>
          <w:p w:rsidR="00D04A6F" w:rsidRPr="00547302" w:rsidRDefault="00D04A6F" w:rsidP="00AA1FE0">
            <w:pPr>
              <w:jc w:val="both"/>
              <w:rPr>
                <w:sz w:val="20"/>
              </w:rPr>
            </w:pPr>
          </w:p>
        </w:tc>
        <w:tc>
          <w:tcPr>
            <w:tcW w:w="243" w:type="pct"/>
          </w:tcPr>
          <w:p w:rsidR="00D04A6F" w:rsidRPr="00547302" w:rsidRDefault="00D04A6F" w:rsidP="00AA1FE0">
            <w:pPr>
              <w:jc w:val="both"/>
              <w:rPr>
                <w:sz w:val="20"/>
              </w:rPr>
            </w:pPr>
          </w:p>
        </w:tc>
        <w:tc>
          <w:tcPr>
            <w:tcW w:w="2330" w:type="pct"/>
          </w:tcPr>
          <w:p w:rsidR="00D04A6F" w:rsidRPr="00547302" w:rsidRDefault="00D04A6F" w:rsidP="00AA1FE0">
            <w:pPr>
              <w:jc w:val="both"/>
              <w:rPr>
                <w:sz w:val="20"/>
              </w:rPr>
            </w:pPr>
            <w:r w:rsidRPr="00547302">
              <w:rPr>
                <w:sz w:val="20"/>
              </w:rPr>
              <w:t>Appel rejeté</w:t>
            </w:r>
          </w:p>
          <w:p w:rsidR="00D04A6F" w:rsidRPr="00547302" w:rsidRDefault="00D04A6F" w:rsidP="00AA1FE0">
            <w:pPr>
              <w:jc w:val="both"/>
              <w:rPr>
                <w:sz w:val="20"/>
              </w:rPr>
            </w:pPr>
          </w:p>
        </w:tc>
      </w:tr>
      <w:tr w:rsidR="00D04A6F" w:rsidRPr="00547302" w:rsidTr="00D04A6F">
        <w:tc>
          <w:tcPr>
            <w:tcW w:w="2427" w:type="pct"/>
            <w:gridSpan w:val="2"/>
          </w:tcPr>
          <w:p w:rsidR="00D04A6F" w:rsidRPr="00547302" w:rsidRDefault="00D04A6F" w:rsidP="00AA1FE0">
            <w:pPr>
              <w:jc w:val="both"/>
              <w:rPr>
                <w:sz w:val="20"/>
                <w:lang w:val="fr-CA"/>
              </w:rPr>
            </w:pPr>
            <w:r w:rsidRPr="00547302">
              <w:rPr>
                <w:sz w:val="20"/>
                <w:lang w:val="fr-CA"/>
              </w:rPr>
              <w:t>Le 1 octobre 2018</w:t>
            </w:r>
          </w:p>
          <w:p w:rsidR="00D04A6F" w:rsidRPr="00547302" w:rsidRDefault="00D04A6F" w:rsidP="00AA1FE0">
            <w:pPr>
              <w:jc w:val="both"/>
              <w:rPr>
                <w:sz w:val="20"/>
                <w:lang w:val="fr-CA"/>
              </w:rPr>
            </w:pPr>
            <w:r w:rsidRPr="00547302">
              <w:rPr>
                <w:sz w:val="20"/>
                <w:lang w:val="fr-CA"/>
              </w:rPr>
              <w:t>Cour suprême du Canada</w:t>
            </w:r>
          </w:p>
        </w:tc>
        <w:tc>
          <w:tcPr>
            <w:tcW w:w="243" w:type="pct"/>
          </w:tcPr>
          <w:p w:rsidR="00D04A6F" w:rsidRPr="00547302" w:rsidRDefault="00D04A6F" w:rsidP="00AA1FE0">
            <w:pPr>
              <w:jc w:val="both"/>
              <w:rPr>
                <w:sz w:val="20"/>
                <w:lang w:val="fr-CA"/>
              </w:rPr>
            </w:pPr>
          </w:p>
        </w:tc>
        <w:tc>
          <w:tcPr>
            <w:tcW w:w="2330" w:type="pct"/>
          </w:tcPr>
          <w:p w:rsidR="00D04A6F" w:rsidRPr="00547302" w:rsidRDefault="00D04A6F" w:rsidP="00AA1FE0">
            <w:pPr>
              <w:jc w:val="both"/>
              <w:rPr>
                <w:sz w:val="20"/>
              </w:rPr>
            </w:pPr>
            <w:r w:rsidRPr="00547302">
              <w:rPr>
                <w:sz w:val="20"/>
              </w:rPr>
              <w:t xml:space="preserve">Demande d’autorisation d’appel </w:t>
            </w:r>
            <w:proofErr w:type="spellStart"/>
            <w:r w:rsidRPr="00547302">
              <w:rPr>
                <w:sz w:val="20"/>
              </w:rPr>
              <w:t>déposée</w:t>
            </w:r>
            <w:proofErr w:type="spellEnd"/>
          </w:p>
          <w:p w:rsidR="00D04A6F" w:rsidRPr="00547302" w:rsidRDefault="00D04A6F" w:rsidP="00AA1FE0">
            <w:pPr>
              <w:jc w:val="both"/>
              <w:rPr>
                <w:sz w:val="20"/>
              </w:rPr>
            </w:pPr>
          </w:p>
        </w:tc>
      </w:tr>
    </w:tbl>
    <w:p w:rsidR="00D04A6F" w:rsidRPr="00547302" w:rsidRDefault="00D04A6F" w:rsidP="00AA1FE0">
      <w:pPr>
        <w:jc w:val="both"/>
        <w:rPr>
          <w:sz w:val="20"/>
        </w:rPr>
      </w:pPr>
    </w:p>
    <w:p w:rsidR="0082039A" w:rsidRPr="00547302" w:rsidRDefault="0082039A" w:rsidP="0082039A">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2039A" w:rsidRPr="00547302" w:rsidTr="00460DF0">
        <w:tc>
          <w:tcPr>
            <w:tcW w:w="543" w:type="pct"/>
          </w:tcPr>
          <w:p w:rsidR="0082039A" w:rsidRPr="00547302" w:rsidRDefault="0082039A" w:rsidP="00460DF0">
            <w:pPr>
              <w:jc w:val="both"/>
              <w:rPr>
                <w:sz w:val="20"/>
              </w:rPr>
            </w:pPr>
            <w:r w:rsidRPr="00547302">
              <w:rPr>
                <w:rStyle w:val="SCCFileNumberChar"/>
                <w:sz w:val="20"/>
                <w:szCs w:val="20"/>
              </w:rPr>
              <w:t>38404</w:t>
            </w:r>
          </w:p>
        </w:tc>
        <w:tc>
          <w:tcPr>
            <w:tcW w:w="4457" w:type="pct"/>
            <w:gridSpan w:val="3"/>
          </w:tcPr>
          <w:p w:rsidR="0082039A" w:rsidRPr="00547302" w:rsidRDefault="0082039A" w:rsidP="00460DF0">
            <w:pPr>
              <w:pStyle w:val="SCCLsocParty"/>
              <w:jc w:val="both"/>
              <w:rPr>
                <w:b/>
                <w:sz w:val="20"/>
                <w:szCs w:val="20"/>
                <w:lang w:val="en-US"/>
              </w:rPr>
            </w:pPr>
            <w:r w:rsidRPr="00547302">
              <w:rPr>
                <w:b/>
                <w:sz w:val="20"/>
                <w:szCs w:val="20"/>
                <w:lang w:val="en-US"/>
              </w:rPr>
              <w:t>Claudette Wood, Bruce Cook and John Featherstone v. CTS of Canada Co. and CTS Corporation</w:t>
            </w:r>
          </w:p>
          <w:p w:rsidR="0082039A" w:rsidRPr="00547302" w:rsidRDefault="0082039A" w:rsidP="00460DF0">
            <w:pPr>
              <w:jc w:val="both"/>
              <w:rPr>
                <w:sz w:val="20"/>
              </w:rPr>
            </w:pPr>
            <w:r w:rsidRPr="00547302">
              <w:rPr>
                <w:sz w:val="20"/>
              </w:rPr>
              <w:t>(Ont.) (Civil) (By Leave)</w:t>
            </w:r>
          </w:p>
        </w:tc>
      </w:tr>
      <w:tr w:rsidR="0082039A" w:rsidRPr="00547302" w:rsidTr="00460DF0">
        <w:tc>
          <w:tcPr>
            <w:tcW w:w="5000" w:type="pct"/>
            <w:gridSpan w:val="4"/>
          </w:tcPr>
          <w:p w:rsidR="0082039A" w:rsidRPr="00547302" w:rsidRDefault="0082039A" w:rsidP="00460DF0">
            <w:pPr>
              <w:jc w:val="both"/>
              <w:rPr>
                <w:sz w:val="20"/>
              </w:rPr>
            </w:pPr>
            <w:r w:rsidRPr="00547302">
              <w:rPr>
                <w:sz w:val="20"/>
              </w:rPr>
              <w:lastRenderedPageBreak/>
              <w:t xml:space="preserve">Employment law — Notice — Mass termination — Summary judgment motion relating to requirement to give notice in case of mass termination, and adequacy of notice of termination given by employer — When an employer terminates employment of 50 or more employees, triggering mass notice provisions, must employer give notice to relevant government official at same time — If an employer provides notice of mass termination to employees but fails to give notice to relevant government official at  same time is that notice to employees effective — </w:t>
            </w:r>
            <w:r w:rsidRPr="00547302">
              <w:rPr>
                <w:i/>
                <w:sz w:val="20"/>
              </w:rPr>
              <w:t>Employment Standards Act, 2000</w:t>
            </w:r>
            <w:r w:rsidRPr="00547302">
              <w:rPr>
                <w:sz w:val="20"/>
              </w:rPr>
              <w:t>, S.O. 2000, c. 41, s. 58.</w:t>
            </w:r>
          </w:p>
        </w:tc>
      </w:tr>
      <w:tr w:rsidR="0082039A" w:rsidRPr="00547302" w:rsidTr="00460DF0">
        <w:tc>
          <w:tcPr>
            <w:tcW w:w="5000" w:type="pct"/>
            <w:gridSpan w:val="4"/>
          </w:tcPr>
          <w:p w:rsidR="0082039A" w:rsidRPr="00547302" w:rsidRDefault="0082039A" w:rsidP="00460DF0">
            <w:pPr>
              <w:jc w:val="both"/>
              <w:rPr>
                <w:sz w:val="20"/>
              </w:rPr>
            </w:pPr>
          </w:p>
        </w:tc>
      </w:tr>
      <w:tr w:rsidR="0082039A" w:rsidRPr="00547302" w:rsidTr="00460DF0">
        <w:tc>
          <w:tcPr>
            <w:tcW w:w="5000" w:type="pct"/>
            <w:gridSpan w:val="4"/>
          </w:tcPr>
          <w:p w:rsidR="0082039A" w:rsidRPr="00547302" w:rsidRDefault="0082039A" w:rsidP="00460DF0">
            <w:pPr>
              <w:jc w:val="both"/>
              <w:rPr>
                <w:sz w:val="20"/>
              </w:rPr>
            </w:pPr>
            <w:r w:rsidRPr="00547302">
              <w:rPr>
                <w:sz w:val="20"/>
              </w:rPr>
              <w:t xml:space="preserve">This appeal arises from the closure of the </w:t>
            </w:r>
            <w:proofErr w:type="spellStart"/>
            <w:r w:rsidRPr="00547302">
              <w:rPr>
                <w:sz w:val="20"/>
              </w:rPr>
              <w:t>Streetsville</w:t>
            </w:r>
            <w:proofErr w:type="spellEnd"/>
            <w:r w:rsidRPr="00547302">
              <w:rPr>
                <w:sz w:val="20"/>
              </w:rPr>
              <w:t xml:space="preserve">, Ontario manufacturing plant operated by CTS of Canada Co. This resulted in a “mass termination” for purposes of the </w:t>
            </w:r>
            <w:r w:rsidRPr="00547302">
              <w:rPr>
                <w:i/>
                <w:sz w:val="20"/>
              </w:rPr>
              <w:t>Employment Standards Act, 2000, S.O. 2000</w:t>
            </w:r>
            <w:r w:rsidRPr="00547302">
              <w:rPr>
                <w:sz w:val="20"/>
              </w:rPr>
              <w:t>, c. 41 (the “ESA”).  A class action was brought on behalf of former employees against their common employers, CTS of Canada Co. and its parent corporation CTS Corp. (collectively “CTS”). The class consists of 74 former active employees who did not sign a release with CTS and who were not dismissed for cause. The parties agreed that the common issues could be resolved on a motion for summary judgment. The issues related to the requirement under the ESA to give notice to the ESA Director (Form 1 information) in the case of a mass termination, and the adequacy of the notice of termination given by CTS. CTS did not serve and post the Form 1 information until May 12, 2015, 12 days into the mandatory minimum eight-week notice period and more than a year after it gave notice to its employees. The motion judge concluded that s. 58(2) required CTS to serve and post the Form 1 information when it gave notice to employees on April 17, 2014 and not eight weeks before the date of termination, as CTS maintained and that, pursuant to s. 58(4) of the ESA, its notice was not effective until it did so on May 12, 2015. Therefore, the failure to file the Form 1 in a timely way had the effect of invalidating the 13 months of working notice CTS provided prior to filing and posting the Form 1 information on May 12, 2015. The Court of Appeal allowed the appeal in part.  It found that the motion judge erred in deciding the Form 1 issue. The Court of Appeal found CTS was only required to serve and post the Form 1 information at the beginning of May 2015. Since CTS was 12 days late in serving and posting the Form 1 notice, class members are entitled to a further 12 days’ pay in lieu of notice.</w:t>
            </w:r>
          </w:p>
          <w:p w:rsidR="0082039A" w:rsidRPr="00547302" w:rsidRDefault="0082039A" w:rsidP="00460DF0">
            <w:pPr>
              <w:jc w:val="both"/>
              <w:rPr>
                <w:sz w:val="20"/>
              </w:rPr>
            </w:pPr>
          </w:p>
        </w:tc>
      </w:tr>
      <w:tr w:rsidR="0082039A" w:rsidRPr="00547302" w:rsidTr="00460DF0">
        <w:tc>
          <w:tcPr>
            <w:tcW w:w="2427" w:type="pct"/>
            <w:gridSpan w:val="2"/>
          </w:tcPr>
          <w:p w:rsidR="0082039A" w:rsidRPr="00547302" w:rsidRDefault="0082039A" w:rsidP="00460DF0">
            <w:pPr>
              <w:jc w:val="both"/>
              <w:rPr>
                <w:sz w:val="20"/>
              </w:rPr>
            </w:pPr>
            <w:r w:rsidRPr="00547302">
              <w:rPr>
                <w:sz w:val="20"/>
              </w:rPr>
              <w:t>September 26, 2017</w:t>
            </w:r>
          </w:p>
          <w:p w:rsidR="0082039A" w:rsidRPr="00547302" w:rsidRDefault="0082039A" w:rsidP="00460DF0">
            <w:pPr>
              <w:jc w:val="both"/>
              <w:rPr>
                <w:sz w:val="20"/>
              </w:rPr>
            </w:pPr>
            <w:r w:rsidRPr="00547302">
              <w:rPr>
                <w:sz w:val="20"/>
              </w:rPr>
              <w:t>Ontario Superior Court of Justice</w:t>
            </w:r>
          </w:p>
          <w:p w:rsidR="0082039A" w:rsidRPr="00547302" w:rsidRDefault="0082039A" w:rsidP="00460DF0">
            <w:pPr>
              <w:jc w:val="both"/>
              <w:rPr>
                <w:sz w:val="20"/>
              </w:rPr>
            </w:pPr>
            <w:r w:rsidRPr="00547302">
              <w:rPr>
                <w:sz w:val="20"/>
              </w:rPr>
              <w:t>(</w:t>
            </w:r>
            <w:proofErr w:type="spellStart"/>
            <w:r w:rsidRPr="00547302">
              <w:rPr>
                <w:sz w:val="20"/>
              </w:rPr>
              <w:t>Sproat</w:t>
            </w:r>
            <w:proofErr w:type="spellEnd"/>
            <w:r w:rsidRPr="00547302">
              <w:rPr>
                <w:sz w:val="20"/>
              </w:rPr>
              <w:t xml:space="preserve"> J.)</w:t>
            </w:r>
          </w:p>
          <w:p w:rsidR="0082039A" w:rsidRPr="00547302" w:rsidRDefault="00FC1FD2" w:rsidP="00460DF0">
            <w:pPr>
              <w:jc w:val="both"/>
              <w:rPr>
                <w:sz w:val="20"/>
              </w:rPr>
            </w:pPr>
            <w:hyperlink r:id="rId44" w:history="1">
              <w:r w:rsidR="0082039A" w:rsidRPr="00547302">
                <w:rPr>
                  <w:rStyle w:val="Hyperlink"/>
                  <w:sz w:val="20"/>
                </w:rPr>
                <w:t>2017 ONSC 5695</w:t>
              </w:r>
            </w:hyperlink>
          </w:p>
          <w:p w:rsidR="0082039A" w:rsidRPr="00547302" w:rsidRDefault="0082039A" w:rsidP="00460DF0">
            <w:pPr>
              <w:jc w:val="both"/>
              <w:rPr>
                <w:sz w:val="20"/>
              </w:rPr>
            </w:pPr>
          </w:p>
        </w:tc>
        <w:tc>
          <w:tcPr>
            <w:tcW w:w="243" w:type="pct"/>
          </w:tcPr>
          <w:p w:rsidR="0082039A" w:rsidRPr="00547302" w:rsidRDefault="0082039A" w:rsidP="00460DF0">
            <w:pPr>
              <w:jc w:val="both"/>
              <w:rPr>
                <w:sz w:val="20"/>
              </w:rPr>
            </w:pPr>
          </w:p>
        </w:tc>
        <w:tc>
          <w:tcPr>
            <w:tcW w:w="2330" w:type="pct"/>
          </w:tcPr>
          <w:p w:rsidR="0082039A" w:rsidRPr="00547302" w:rsidRDefault="0082039A" w:rsidP="00460DF0">
            <w:pPr>
              <w:jc w:val="both"/>
              <w:rPr>
                <w:sz w:val="20"/>
              </w:rPr>
            </w:pPr>
            <w:r w:rsidRPr="00547302">
              <w:rPr>
                <w:sz w:val="20"/>
              </w:rPr>
              <w:t>Summary judgment granted in favour of employees. Form 1 Notice was required on April 17, 2014 and employer is not entitled to credit for working notice provided to the Class members until May 12, 2015, the date employer gave Form 1 Notice.</w:t>
            </w:r>
          </w:p>
          <w:p w:rsidR="0082039A" w:rsidRPr="00547302" w:rsidRDefault="0082039A" w:rsidP="00460DF0">
            <w:pPr>
              <w:jc w:val="both"/>
              <w:rPr>
                <w:sz w:val="20"/>
              </w:rPr>
            </w:pPr>
          </w:p>
        </w:tc>
      </w:tr>
      <w:tr w:rsidR="0082039A" w:rsidRPr="00547302" w:rsidTr="00460DF0">
        <w:tc>
          <w:tcPr>
            <w:tcW w:w="2427" w:type="pct"/>
            <w:gridSpan w:val="2"/>
          </w:tcPr>
          <w:p w:rsidR="0082039A" w:rsidRPr="00547302" w:rsidRDefault="0082039A" w:rsidP="00460DF0">
            <w:pPr>
              <w:jc w:val="both"/>
              <w:rPr>
                <w:sz w:val="20"/>
              </w:rPr>
            </w:pPr>
            <w:r w:rsidRPr="00547302">
              <w:rPr>
                <w:sz w:val="20"/>
              </w:rPr>
              <w:t>September 19, 2018</w:t>
            </w:r>
          </w:p>
          <w:p w:rsidR="0082039A" w:rsidRPr="00547302" w:rsidRDefault="0082039A" w:rsidP="00460DF0">
            <w:pPr>
              <w:jc w:val="both"/>
              <w:rPr>
                <w:sz w:val="20"/>
              </w:rPr>
            </w:pPr>
            <w:r w:rsidRPr="00547302">
              <w:rPr>
                <w:sz w:val="20"/>
              </w:rPr>
              <w:t>Court of Appeal for Ontario</w:t>
            </w:r>
          </w:p>
          <w:p w:rsidR="0082039A" w:rsidRPr="00547302" w:rsidRDefault="0082039A" w:rsidP="00460DF0">
            <w:pPr>
              <w:jc w:val="both"/>
              <w:rPr>
                <w:sz w:val="20"/>
              </w:rPr>
            </w:pPr>
            <w:r w:rsidRPr="00547302">
              <w:rPr>
                <w:sz w:val="20"/>
              </w:rPr>
              <w:t>(Hoy A.C.J.O and Brown and Trotter JJ.A.)</w:t>
            </w:r>
          </w:p>
          <w:p w:rsidR="0082039A" w:rsidRPr="00547302" w:rsidRDefault="00FC1FD2" w:rsidP="00460DF0">
            <w:pPr>
              <w:jc w:val="both"/>
              <w:rPr>
                <w:sz w:val="20"/>
              </w:rPr>
            </w:pPr>
            <w:hyperlink r:id="rId45" w:history="1">
              <w:r w:rsidR="0082039A" w:rsidRPr="00547302">
                <w:rPr>
                  <w:rStyle w:val="Hyperlink"/>
                  <w:sz w:val="20"/>
                </w:rPr>
                <w:t>2018 ONCA 758</w:t>
              </w:r>
            </w:hyperlink>
          </w:p>
          <w:p w:rsidR="0082039A" w:rsidRPr="00547302" w:rsidRDefault="0082039A" w:rsidP="00460DF0">
            <w:pPr>
              <w:jc w:val="both"/>
              <w:rPr>
                <w:sz w:val="20"/>
              </w:rPr>
            </w:pPr>
            <w:r w:rsidRPr="00547302">
              <w:rPr>
                <w:sz w:val="20"/>
              </w:rPr>
              <w:t>File No.: C64519</w:t>
            </w:r>
          </w:p>
          <w:p w:rsidR="0082039A" w:rsidRPr="00547302" w:rsidRDefault="0082039A" w:rsidP="00460DF0">
            <w:pPr>
              <w:jc w:val="both"/>
              <w:rPr>
                <w:sz w:val="20"/>
              </w:rPr>
            </w:pPr>
          </w:p>
        </w:tc>
        <w:tc>
          <w:tcPr>
            <w:tcW w:w="243" w:type="pct"/>
          </w:tcPr>
          <w:p w:rsidR="0082039A" w:rsidRPr="00547302" w:rsidRDefault="0082039A" w:rsidP="00460DF0">
            <w:pPr>
              <w:jc w:val="both"/>
              <w:rPr>
                <w:sz w:val="20"/>
              </w:rPr>
            </w:pPr>
          </w:p>
        </w:tc>
        <w:tc>
          <w:tcPr>
            <w:tcW w:w="2330" w:type="pct"/>
          </w:tcPr>
          <w:p w:rsidR="0082039A" w:rsidRPr="00547302" w:rsidRDefault="0082039A" w:rsidP="00460DF0">
            <w:pPr>
              <w:jc w:val="both"/>
              <w:rPr>
                <w:sz w:val="20"/>
              </w:rPr>
            </w:pPr>
            <w:r w:rsidRPr="00547302">
              <w:rPr>
                <w:sz w:val="20"/>
              </w:rPr>
              <w:t>Appeal allowed in part; motion judge erred in finding Form 1 notice had to be given on April 17, 2014. Form 1 was provided to Director 12 days later than the beginning of the statutory notice thus employees are each entitled to 12 days of pay.</w:t>
            </w:r>
          </w:p>
          <w:p w:rsidR="0082039A" w:rsidRPr="00547302" w:rsidRDefault="0082039A" w:rsidP="00460DF0">
            <w:pPr>
              <w:jc w:val="both"/>
              <w:rPr>
                <w:sz w:val="20"/>
              </w:rPr>
            </w:pPr>
          </w:p>
        </w:tc>
      </w:tr>
      <w:tr w:rsidR="0082039A" w:rsidRPr="00547302" w:rsidTr="00460DF0">
        <w:tc>
          <w:tcPr>
            <w:tcW w:w="2427" w:type="pct"/>
            <w:gridSpan w:val="2"/>
          </w:tcPr>
          <w:p w:rsidR="0082039A" w:rsidRPr="00547302" w:rsidRDefault="0082039A" w:rsidP="00460DF0">
            <w:pPr>
              <w:jc w:val="both"/>
              <w:rPr>
                <w:sz w:val="20"/>
              </w:rPr>
            </w:pPr>
            <w:r w:rsidRPr="00547302">
              <w:rPr>
                <w:sz w:val="20"/>
              </w:rPr>
              <w:t>November 15, 2018</w:t>
            </w:r>
          </w:p>
          <w:p w:rsidR="0082039A" w:rsidRPr="00547302" w:rsidRDefault="0082039A" w:rsidP="00460DF0">
            <w:pPr>
              <w:jc w:val="both"/>
              <w:rPr>
                <w:sz w:val="20"/>
              </w:rPr>
            </w:pPr>
            <w:r w:rsidRPr="00547302">
              <w:rPr>
                <w:sz w:val="20"/>
              </w:rPr>
              <w:t>Supreme Court of Canada</w:t>
            </w:r>
          </w:p>
        </w:tc>
        <w:tc>
          <w:tcPr>
            <w:tcW w:w="243" w:type="pct"/>
          </w:tcPr>
          <w:p w:rsidR="0082039A" w:rsidRPr="00547302" w:rsidRDefault="0082039A" w:rsidP="00460DF0">
            <w:pPr>
              <w:jc w:val="both"/>
              <w:rPr>
                <w:sz w:val="20"/>
              </w:rPr>
            </w:pPr>
          </w:p>
        </w:tc>
        <w:tc>
          <w:tcPr>
            <w:tcW w:w="2330" w:type="pct"/>
          </w:tcPr>
          <w:p w:rsidR="0082039A" w:rsidRPr="00547302" w:rsidRDefault="0082039A" w:rsidP="00460DF0">
            <w:pPr>
              <w:jc w:val="both"/>
              <w:rPr>
                <w:sz w:val="20"/>
              </w:rPr>
            </w:pPr>
            <w:r w:rsidRPr="00547302">
              <w:rPr>
                <w:sz w:val="20"/>
              </w:rPr>
              <w:t>Application for leave to appeal filed.</w:t>
            </w:r>
          </w:p>
          <w:p w:rsidR="0082039A" w:rsidRPr="00547302" w:rsidRDefault="0082039A" w:rsidP="00460DF0">
            <w:pPr>
              <w:jc w:val="both"/>
              <w:rPr>
                <w:sz w:val="20"/>
              </w:rPr>
            </w:pPr>
          </w:p>
        </w:tc>
      </w:tr>
    </w:tbl>
    <w:p w:rsidR="0082039A" w:rsidRPr="00547302" w:rsidRDefault="0082039A" w:rsidP="00AA1FE0">
      <w:pPr>
        <w:ind w:left="142" w:hanging="142"/>
        <w:jc w:val="both"/>
        <w:rPr>
          <w:sz w:val="20"/>
        </w:rPr>
      </w:pPr>
    </w:p>
    <w:p w:rsidR="0082039A" w:rsidRPr="00547302" w:rsidRDefault="0082039A" w:rsidP="00AA1FE0">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04A6F" w:rsidRPr="00547302" w:rsidTr="00D04A6F">
        <w:tc>
          <w:tcPr>
            <w:tcW w:w="543" w:type="pct"/>
          </w:tcPr>
          <w:p w:rsidR="00D04A6F" w:rsidRPr="00547302" w:rsidRDefault="00D04A6F" w:rsidP="00AA1FE0">
            <w:pPr>
              <w:jc w:val="both"/>
              <w:rPr>
                <w:sz w:val="20"/>
                <w:lang w:val="fr-CA"/>
              </w:rPr>
            </w:pPr>
            <w:r w:rsidRPr="00547302">
              <w:rPr>
                <w:rStyle w:val="SCCFileNumberChar"/>
                <w:sz w:val="20"/>
                <w:szCs w:val="20"/>
                <w:lang w:val="fr-CA"/>
              </w:rPr>
              <w:t>38404</w:t>
            </w:r>
          </w:p>
        </w:tc>
        <w:tc>
          <w:tcPr>
            <w:tcW w:w="4457" w:type="pct"/>
            <w:gridSpan w:val="3"/>
          </w:tcPr>
          <w:p w:rsidR="00D04A6F" w:rsidRPr="00547302" w:rsidRDefault="00D04A6F" w:rsidP="00AA1FE0">
            <w:pPr>
              <w:pStyle w:val="SCCLsocParty"/>
              <w:jc w:val="both"/>
              <w:rPr>
                <w:b/>
                <w:sz w:val="20"/>
                <w:szCs w:val="20"/>
                <w:lang w:val="en-US"/>
              </w:rPr>
            </w:pPr>
            <w:r w:rsidRPr="00547302">
              <w:rPr>
                <w:b/>
                <w:sz w:val="20"/>
                <w:szCs w:val="20"/>
                <w:lang w:val="en-US"/>
              </w:rPr>
              <w:t>Claudette Wood, Bruce Cook et John Featherstone c. CTS of Canada Co. et CTS Corporation</w:t>
            </w:r>
          </w:p>
          <w:p w:rsidR="00D04A6F" w:rsidRPr="00547302" w:rsidRDefault="00D04A6F" w:rsidP="00AA1FE0">
            <w:pPr>
              <w:jc w:val="both"/>
              <w:rPr>
                <w:sz w:val="20"/>
                <w:lang w:val="fr-CA"/>
              </w:rPr>
            </w:pPr>
            <w:r w:rsidRPr="00547302">
              <w:rPr>
                <w:sz w:val="20"/>
                <w:lang w:val="fr-CA"/>
              </w:rPr>
              <w:t>(Ont.) (Civile) (Autorisation)</w:t>
            </w:r>
          </w:p>
        </w:tc>
      </w:tr>
      <w:tr w:rsidR="00D04A6F" w:rsidRPr="003D50B9" w:rsidTr="00D04A6F">
        <w:tc>
          <w:tcPr>
            <w:tcW w:w="5000" w:type="pct"/>
            <w:gridSpan w:val="4"/>
          </w:tcPr>
          <w:p w:rsidR="00D04A6F" w:rsidRPr="00547302" w:rsidRDefault="00D04A6F" w:rsidP="00AA1FE0">
            <w:pPr>
              <w:jc w:val="both"/>
              <w:rPr>
                <w:sz w:val="20"/>
                <w:lang w:val="fr-CA"/>
              </w:rPr>
            </w:pPr>
            <w:r w:rsidRPr="00547302">
              <w:rPr>
                <w:sz w:val="20"/>
                <w:lang w:val="fr-CA"/>
              </w:rPr>
              <w:t xml:space="preserve">Droit de l’emploi — Préavis — Licenciement de masse — Motion en jugement sommaire portant sur l’exigence de donner un préavis en cas de licenciement de masse et suffisance du préavis donné par l’employeur — Lorsqu’un employeur licencie cinquante employés ou plus, entraînant l’application des dispositions sur le licenciement de masse, l’employeur doit-il donner en même temps un préavis à l’administrateur gouvernemental compétent? — Si l’employeur donne un préavis de licenciement de masse aux employés, mais omet de donner en même temps un préavis à l’administrateur gouvernemental compétent, ce préavis aux employés prend-il effet? — </w:t>
            </w:r>
            <w:r w:rsidRPr="00547302">
              <w:rPr>
                <w:i/>
                <w:sz w:val="20"/>
                <w:lang w:val="fr-CA"/>
              </w:rPr>
              <w:t>Loi de 2000 sur les normes d’emploi</w:t>
            </w:r>
            <w:r w:rsidRPr="00547302">
              <w:rPr>
                <w:sz w:val="20"/>
                <w:lang w:val="fr-CA"/>
              </w:rPr>
              <w:t>, L.O. 2000, ch. 41, art. 58.</w:t>
            </w:r>
          </w:p>
        </w:tc>
      </w:tr>
      <w:tr w:rsidR="00D04A6F" w:rsidRPr="003D50B9" w:rsidTr="00D04A6F">
        <w:tc>
          <w:tcPr>
            <w:tcW w:w="5000" w:type="pct"/>
            <w:gridSpan w:val="4"/>
          </w:tcPr>
          <w:p w:rsidR="00D04A6F" w:rsidRPr="00547302" w:rsidRDefault="00D04A6F" w:rsidP="00AA1FE0">
            <w:pPr>
              <w:jc w:val="both"/>
              <w:rPr>
                <w:sz w:val="20"/>
                <w:lang w:val="fr-CA"/>
              </w:rPr>
            </w:pPr>
          </w:p>
        </w:tc>
      </w:tr>
      <w:tr w:rsidR="00D04A6F" w:rsidRPr="003D50B9" w:rsidTr="00D04A6F">
        <w:tc>
          <w:tcPr>
            <w:tcW w:w="5000" w:type="pct"/>
            <w:gridSpan w:val="4"/>
          </w:tcPr>
          <w:p w:rsidR="00D04A6F" w:rsidRPr="00547302" w:rsidRDefault="00D04A6F" w:rsidP="00AA1FE0">
            <w:pPr>
              <w:jc w:val="both"/>
              <w:rPr>
                <w:sz w:val="20"/>
                <w:lang w:val="fr-CA"/>
              </w:rPr>
            </w:pPr>
            <w:r w:rsidRPr="00547302">
              <w:rPr>
                <w:sz w:val="20"/>
                <w:lang w:val="fr-CA"/>
              </w:rPr>
              <w:lastRenderedPageBreak/>
              <w:t xml:space="preserve">Le présent appel découle de la fermeture de l’usine de fabrication de Streetsville (Ontario) exploitée par CTS of Canada Co. Cette fermeture a entraîné un « licenciement de masse » visé par la </w:t>
            </w:r>
            <w:r w:rsidRPr="00547302">
              <w:rPr>
                <w:i/>
                <w:sz w:val="20"/>
                <w:lang w:val="fr-CA"/>
              </w:rPr>
              <w:t>Loi de 2000 sur les normes d’emploi, L.O. 2000</w:t>
            </w:r>
            <w:r w:rsidRPr="00547302">
              <w:rPr>
                <w:sz w:val="20"/>
                <w:lang w:val="fr-CA"/>
              </w:rPr>
              <w:t>, ch. 41 (la « LNE »). Un recours collectif a été intenté au nom des anciens employés contre leurs employeurs communs CTS of Canada Co. et sa société mère CTS Corp. (collectivement « CTS »). Le groupe est constitué de 74 anciens employés actifs qui n’ont pas signé de décharge avec CTS et qui n’ont pas été l’objet d’un congédiement justifié. Les parties ont convenu que les questions communes pouvaient être réglées par une motion en jugement sommaire. Les questions avaient trait à l’exigence prévue dans la LNE de donner un préavis au directeur des normes d’emploi (les renseignements prescrits selon la formule 1) dans le cas de licenciement de masse et la suffisance du préavis de licenciement donné par CTS. Ce n’est que le 12 mai 2015 que CTS a signifié et affiché les renseignements prescrits selon la formule 1, soit douze jours après le commencement du délai de préavis minimal de huit semaines et plus d’un an après avoir donné le préavis à ses employés. Le juge saisi de la motion a conclu que le par. 58(2) obligeait CTS à signifier et à afficher les renseignements prescrits selon la formule 1 lorsqu’elle a donné un préavis aux employés le 17 avril 2014, et non huit semaines avant la date du licenciement, comme le soutenait CTS, et qu’en vertu du par. 58(4) de la LNE, son préavis ne prenait effet tant qu’elle ne l’avait pas fait le 12 mai 2015. En conséquence, l’omission de déposer et d’afficher en temps opportun les renseignements prescrits selon la formule 1 avait pour effet d’invalider le préavis de travail de treize mois que CTS avait donné avant de déposer et d’afficher les renseignements prescrits selon la formule 1 le 12 mai 2015. La Cour d’appel a accueilli l’appel en partie.  Elle a conclu que le juge saisi de la motion avait commis une erreur en statuant sur la question portant sur la formule 1. La Cour d’appel a conclu que CTS n’était tenue de signifier et d’afficher les renseignements prescrits selon la formule 1 qu’au début de mai 2015. Puisque CTS avait signifié et affiché les renseignements prescrits selon la formule 1 avec douze jours de retard, les membres du groupe ont droit à un délai de préavis supplémentaire de douze jours.</w:t>
            </w:r>
          </w:p>
          <w:p w:rsidR="00D04A6F" w:rsidRPr="00547302" w:rsidRDefault="00D04A6F" w:rsidP="00AA1FE0">
            <w:pPr>
              <w:jc w:val="both"/>
              <w:rPr>
                <w:sz w:val="20"/>
                <w:lang w:val="fr-CA"/>
              </w:rPr>
            </w:pPr>
          </w:p>
        </w:tc>
      </w:tr>
      <w:tr w:rsidR="00D04A6F" w:rsidRPr="003D50B9" w:rsidTr="00D04A6F">
        <w:tc>
          <w:tcPr>
            <w:tcW w:w="2427" w:type="pct"/>
            <w:gridSpan w:val="2"/>
          </w:tcPr>
          <w:p w:rsidR="00D04A6F" w:rsidRPr="00547302" w:rsidRDefault="00D04A6F" w:rsidP="00AA1FE0">
            <w:pPr>
              <w:jc w:val="both"/>
              <w:rPr>
                <w:sz w:val="20"/>
                <w:lang w:val="fr-CA"/>
              </w:rPr>
            </w:pPr>
            <w:r w:rsidRPr="00547302">
              <w:rPr>
                <w:sz w:val="20"/>
                <w:lang w:val="fr-CA"/>
              </w:rPr>
              <w:t>26 septembre 2017</w:t>
            </w:r>
          </w:p>
          <w:p w:rsidR="00D04A6F" w:rsidRPr="00547302" w:rsidRDefault="00D04A6F" w:rsidP="00AA1FE0">
            <w:pPr>
              <w:jc w:val="both"/>
              <w:rPr>
                <w:sz w:val="20"/>
                <w:lang w:val="fr-CA"/>
              </w:rPr>
            </w:pPr>
            <w:r w:rsidRPr="00547302">
              <w:rPr>
                <w:sz w:val="20"/>
                <w:lang w:val="fr-CA"/>
              </w:rPr>
              <w:t>Cour supérieure de justice de l’Ontario</w:t>
            </w:r>
          </w:p>
          <w:p w:rsidR="00D04A6F" w:rsidRPr="00547302" w:rsidRDefault="00D04A6F" w:rsidP="00AA1FE0">
            <w:pPr>
              <w:jc w:val="both"/>
              <w:rPr>
                <w:sz w:val="20"/>
                <w:lang w:val="fr-CA"/>
              </w:rPr>
            </w:pPr>
            <w:r w:rsidRPr="00547302">
              <w:rPr>
                <w:sz w:val="20"/>
                <w:lang w:val="fr-CA"/>
              </w:rPr>
              <w:t>(Juge Sproat)</w:t>
            </w:r>
          </w:p>
          <w:p w:rsidR="00D04A6F" w:rsidRPr="00547302" w:rsidRDefault="00FC1FD2" w:rsidP="00AA1FE0">
            <w:pPr>
              <w:jc w:val="both"/>
              <w:rPr>
                <w:sz w:val="20"/>
                <w:lang w:val="fr-CA"/>
              </w:rPr>
            </w:pPr>
            <w:hyperlink r:id="rId46" w:history="1">
              <w:r w:rsidR="00D04A6F" w:rsidRPr="00547302">
                <w:rPr>
                  <w:rStyle w:val="Hyperlink"/>
                  <w:sz w:val="20"/>
                  <w:lang w:val="fr-CA"/>
                </w:rPr>
                <w:t>2017 ONSC 5695</w:t>
              </w:r>
            </w:hyperlink>
          </w:p>
          <w:p w:rsidR="00D04A6F" w:rsidRPr="00547302" w:rsidRDefault="00D04A6F" w:rsidP="00AA1FE0">
            <w:pPr>
              <w:jc w:val="both"/>
              <w:rPr>
                <w:sz w:val="20"/>
                <w:lang w:val="fr-CA"/>
              </w:rPr>
            </w:pPr>
          </w:p>
        </w:tc>
        <w:tc>
          <w:tcPr>
            <w:tcW w:w="243" w:type="pct"/>
          </w:tcPr>
          <w:p w:rsidR="00D04A6F" w:rsidRPr="00547302" w:rsidRDefault="00D04A6F" w:rsidP="00AA1FE0">
            <w:pPr>
              <w:jc w:val="both"/>
              <w:rPr>
                <w:sz w:val="20"/>
                <w:lang w:val="fr-CA"/>
              </w:rPr>
            </w:pPr>
          </w:p>
        </w:tc>
        <w:tc>
          <w:tcPr>
            <w:tcW w:w="2330" w:type="pct"/>
          </w:tcPr>
          <w:p w:rsidR="00D04A6F" w:rsidRPr="00547302" w:rsidRDefault="00D04A6F" w:rsidP="00AA1FE0">
            <w:pPr>
              <w:jc w:val="both"/>
              <w:rPr>
                <w:sz w:val="20"/>
                <w:lang w:val="fr-CA"/>
              </w:rPr>
            </w:pPr>
            <w:r w:rsidRPr="00547302">
              <w:rPr>
                <w:sz w:val="20"/>
                <w:lang w:val="fr-CA"/>
              </w:rPr>
              <w:t>Jugement sommaire en faveur des employés, statuant que le préavis comprenant les renseignements prescrits selon la formule 1  devait être donné le 17 avril 2014 et que l’employeur n’avait pas droit à un crédit au titre du préavis de travail donné aux membres du groupe jusqu’au 12 mai 2015, la date à laquelle l’employeur a donné le préavis selon la formule 1.</w:t>
            </w:r>
          </w:p>
          <w:p w:rsidR="00D04A6F" w:rsidRPr="00547302" w:rsidRDefault="00D04A6F" w:rsidP="00AA1FE0">
            <w:pPr>
              <w:jc w:val="both"/>
              <w:rPr>
                <w:sz w:val="20"/>
                <w:lang w:val="fr-CA"/>
              </w:rPr>
            </w:pPr>
          </w:p>
        </w:tc>
      </w:tr>
      <w:tr w:rsidR="00D04A6F" w:rsidRPr="003D50B9" w:rsidTr="00D04A6F">
        <w:tc>
          <w:tcPr>
            <w:tcW w:w="2427" w:type="pct"/>
            <w:gridSpan w:val="2"/>
          </w:tcPr>
          <w:p w:rsidR="00D04A6F" w:rsidRPr="00547302" w:rsidRDefault="00D04A6F" w:rsidP="00AA1FE0">
            <w:pPr>
              <w:jc w:val="both"/>
              <w:rPr>
                <w:sz w:val="20"/>
                <w:lang w:val="fr-CA"/>
              </w:rPr>
            </w:pPr>
            <w:r w:rsidRPr="00547302">
              <w:rPr>
                <w:sz w:val="20"/>
                <w:lang w:val="fr-CA"/>
              </w:rPr>
              <w:t>19 septembre 2018</w:t>
            </w:r>
          </w:p>
          <w:p w:rsidR="00D04A6F" w:rsidRPr="00547302" w:rsidRDefault="00D04A6F" w:rsidP="00AA1FE0">
            <w:pPr>
              <w:jc w:val="both"/>
              <w:rPr>
                <w:sz w:val="20"/>
                <w:lang w:val="fr-CA"/>
              </w:rPr>
            </w:pPr>
            <w:r w:rsidRPr="00547302">
              <w:rPr>
                <w:sz w:val="20"/>
                <w:lang w:val="fr-CA"/>
              </w:rPr>
              <w:t>Cour d’appel de l’Ontario</w:t>
            </w:r>
          </w:p>
          <w:p w:rsidR="00D04A6F" w:rsidRPr="00547302" w:rsidRDefault="00D04A6F" w:rsidP="00AA1FE0">
            <w:pPr>
              <w:jc w:val="both"/>
              <w:rPr>
                <w:sz w:val="20"/>
                <w:lang w:val="fr-CA"/>
              </w:rPr>
            </w:pPr>
            <w:r w:rsidRPr="00547302">
              <w:rPr>
                <w:sz w:val="20"/>
                <w:lang w:val="fr-CA"/>
              </w:rPr>
              <w:t>(Juge en chef adjointe Hoy, juges Brown et Trotter)</w:t>
            </w:r>
          </w:p>
          <w:p w:rsidR="00D04A6F" w:rsidRPr="00547302" w:rsidRDefault="00FC1FD2" w:rsidP="00AA1FE0">
            <w:pPr>
              <w:jc w:val="both"/>
              <w:rPr>
                <w:sz w:val="20"/>
                <w:lang w:val="fr-CA"/>
              </w:rPr>
            </w:pPr>
            <w:hyperlink r:id="rId47" w:history="1">
              <w:r w:rsidR="00D04A6F" w:rsidRPr="00547302">
                <w:rPr>
                  <w:rStyle w:val="Hyperlink"/>
                  <w:sz w:val="20"/>
                  <w:lang w:val="fr-CA"/>
                </w:rPr>
                <w:t>2018 ONCA 758</w:t>
              </w:r>
            </w:hyperlink>
          </w:p>
          <w:p w:rsidR="00D04A6F" w:rsidRPr="00547302" w:rsidRDefault="00D04A6F" w:rsidP="00AA1FE0">
            <w:pPr>
              <w:jc w:val="both"/>
              <w:rPr>
                <w:sz w:val="20"/>
                <w:lang w:val="fr-CA"/>
              </w:rPr>
            </w:pPr>
            <w:r w:rsidRPr="00547302">
              <w:rPr>
                <w:sz w:val="20"/>
                <w:lang w:val="fr-CA"/>
              </w:rPr>
              <w:t>N</w:t>
            </w:r>
            <w:r w:rsidRPr="00547302">
              <w:rPr>
                <w:sz w:val="20"/>
                <w:vertAlign w:val="superscript"/>
                <w:lang w:val="fr-CA"/>
              </w:rPr>
              <w:t>o</w:t>
            </w:r>
            <w:r w:rsidRPr="00547302">
              <w:rPr>
                <w:sz w:val="20"/>
                <w:lang w:val="fr-CA"/>
              </w:rPr>
              <w:t xml:space="preserve"> de dossier : C64519</w:t>
            </w:r>
          </w:p>
          <w:p w:rsidR="00D04A6F" w:rsidRPr="00547302" w:rsidRDefault="00D04A6F" w:rsidP="00AA1FE0">
            <w:pPr>
              <w:jc w:val="both"/>
              <w:rPr>
                <w:sz w:val="20"/>
                <w:lang w:val="fr-CA"/>
              </w:rPr>
            </w:pPr>
          </w:p>
        </w:tc>
        <w:tc>
          <w:tcPr>
            <w:tcW w:w="243" w:type="pct"/>
          </w:tcPr>
          <w:p w:rsidR="00D04A6F" w:rsidRPr="00547302" w:rsidRDefault="00D04A6F" w:rsidP="00AA1FE0">
            <w:pPr>
              <w:jc w:val="both"/>
              <w:rPr>
                <w:sz w:val="20"/>
                <w:lang w:val="fr-CA"/>
              </w:rPr>
            </w:pPr>
          </w:p>
        </w:tc>
        <w:tc>
          <w:tcPr>
            <w:tcW w:w="2330" w:type="pct"/>
          </w:tcPr>
          <w:p w:rsidR="00D04A6F" w:rsidRPr="00547302" w:rsidRDefault="00D04A6F" w:rsidP="00AA1FE0">
            <w:pPr>
              <w:jc w:val="both"/>
              <w:rPr>
                <w:sz w:val="20"/>
                <w:lang w:val="fr-CA"/>
              </w:rPr>
            </w:pPr>
            <w:r w:rsidRPr="00547302">
              <w:rPr>
                <w:sz w:val="20"/>
                <w:lang w:val="fr-CA"/>
              </w:rPr>
              <w:t>Arrêt accueillant l’appel en partie, statuant que le juge de première instance avait commis une erreur en concluant que le préavis selon la formule 1 devait être donné le 17 avril 2014, que la formule 1 avait été donnée au directeur douze jours plus tard que le début du délai de préavis prévu par la loi, si bien que les employés avaient chacun droit à une indemnité de préavis de douze jours.</w:t>
            </w:r>
          </w:p>
          <w:p w:rsidR="00D04A6F" w:rsidRPr="00547302" w:rsidRDefault="00D04A6F" w:rsidP="00AA1FE0">
            <w:pPr>
              <w:jc w:val="both"/>
              <w:rPr>
                <w:sz w:val="20"/>
                <w:lang w:val="fr-CA"/>
              </w:rPr>
            </w:pPr>
          </w:p>
        </w:tc>
      </w:tr>
      <w:tr w:rsidR="00D04A6F" w:rsidRPr="003D50B9" w:rsidTr="00D04A6F">
        <w:tc>
          <w:tcPr>
            <w:tcW w:w="2427" w:type="pct"/>
            <w:gridSpan w:val="2"/>
          </w:tcPr>
          <w:p w:rsidR="00D04A6F" w:rsidRPr="00547302" w:rsidRDefault="00D04A6F" w:rsidP="00AA1FE0">
            <w:pPr>
              <w:jc w:val="both"/>
              <w:rPr>
                <w:sz w:val="20"/>
                <w:lang w:val="fr-CA"/>
              </w:rPr>
            </w:pPr>
            <w:r w:rsidRPr="00547302">
              <w:rPr>
                <w:sz w:val="20"/>
                <w:lang w:val="fr-CA"/>
              </w:rPr>
              <w:t>15 novembre 2018</w:t>
            </w:r>
          </w:p>
          <w:p w:rsidR="00D04A6F" w:rsidRPr="00547302" w:rsidRDefault="00D04A6F" w:rsidP="00AA1FE0">
            <w:pPr>
              <w:jc w:val="both"/>
              <w:rPr>
                <w:sz w:val="20"/>
                <w:lang w:val="fr-CA"/>
              </w:rPr>
            </w:pPr>
            <w:r w:rsidRPr="00547302">
              <w:rPr>
                <w:sz w:val="20"/>
                <w:lang w:val="fr-CA"/>
              </w:rPr>
              <w:t>Cour suprême du Canada</w:t>
            </w:r>
          </w:p>
        </w:tc>
        <w:tc>
          <w:tcPr>
            <w:tcW w:w="243" w:type="pct"/>
          </w:tcPr>
          <w:p w:rsidR="00D04A6F" w:rsidRPr="00547302" w:rsidRDefault="00D04A6F" w:rsidP="00AA1FE0">
            <w:pPr>
              <w:jc w:val="both"/>
              <w:rPr>
                <w:sz w:val="20"/>
                <w:lang w:val="fr-CA"/>
              </w:rPr>
            </w:pPr>
          </w:p>
        </w:tc>
        <w:tc>
          <w:tcPr>
            <w:tcW w:w="2330" w:type="pct"/>
          </w:tcPr>
          <w:p w:rsidR="00D04A6F" w:rsidRPr="00547302" w:rsidRDefault="00D04A6F" w:rsidP="00AA1FE0">
            <w:pPr>
              <w:jc w:val="both"/>
              <w:rPr>
                <w:sz w:val="20"/>
                <w:lang w:val="fr-CA"/>
              </w:rPr>
            </w:pPr>
            <w:r w:rsidRPr="00547302">
              <w:rPr>
                <w:sz w:val="20"/>
                <w:lang w:val="fr-CA"/>
              </w:rPr>
              <w:t>Dépôt de la demande d’autorisation d’appel.</w:t>
            </w:r>
          </w:p>
          <w:p w:rsidR="00D04A6F" w:rsidRPr="00547302" w:rsidRDefault="00D04A6F" w:rsidP="00AA1FE0">
            <w:pPr>
              <w:jc w:val="both"/>
              <w:rPr>
                <w:sz w:val="20"/>
                <w:lang w:val="fr-CA"/>
              </w:rPr>
            </w:pPr>
          </w:p>
        </w:tc>
      </w:tr>
    </w:tbl>
    <w:p w:rsidR="00D04A6F" w:rsidRPr="00547302" w:rsidRDefault="00D04A6F" w:rsidP="00AA1FE0">
      <w:pPr>
        <w:jc w:val="both"/>
        <w:rPr>
          <w:sz w:val="20"/>
          <w:lang w:val="fr-CA"/>
        </w:rPr>
      </w:pPr>
    </w:p>
    <w:p w:rsidR="0082039A" w:rsidRPr="00547302" w:rsidRDefault="0082039A" w:rsidP="0082039A">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2039A" w:rsidRPr="00547302" w:rsidTr="00460DF0">
        <w:tc>
          <w:tcPr>
            <w:tcW w:w="543" w:type="pct"/>
          </w:tcPr>
          <w:p w:rsidR="0082039A" w:rsidRPr="00547302" w:rsidRDefault="0082039A" w:rsidP="00460DF0">
            <w:pPr>
              <w:jc w:val="both"/>
              <w:rPr>
                <w:sz w:val="20"/>
              </w:rPr>
            </w:pPr>
            <w:r w:rsidRPr="00547302">
              <w:rPr>
                <w:rStyle w:val="SCCFileNumberChar"/>
                <w:sz w:val="20"/>
                <w:szCs w:val="20"/>
              </w:rPr>
              <w:t>38346</w:t>
            </w:r>
          </w:p>
        </w:tc>
        <w:tc>
          <w:tcPr>
            <w:tcW w:w="4457" w:type="pct"/>
            <w:gridSpan w:val="3"/>
          </w:tcPr>
          <w:p w:rsidR="0082039A" w:rsidRPr="00547302" w:rsidRDefault="0082039A" w:rsidP="00460DF0">
            <w:pPr>
              <w:pStyle w:val="SCCLsocParty"/>
              <w:jc w:val="both"/>
              <w:rPr>
                <w:b/>
                <w:sz w:val="20"/>
                <w:szCs w:val="20"/>
                <w:lang w:val="en-US"/>
              </w:rPr>
            </w:pPr>
            <w:r w:rsidRPr="00547302">
              <w:rPr>
                <w:b/>
                <w:sz w:val="20"/>
                <w:szCs w:val="20"/>
                <w:lang w:val="en-US"/>
              </w:rPr>
              <w:t>Tim Wood, Litigation Representative of K.S., an Infant v. David Willox</w:t>
            </w:r>
            <w:r w:rsidR="001C59B1">
              <w:rPr>
                <w:b/>
                <w:sz w:val="20"/>
                <w:szCs w:val="20"/>
                <w:lang w:val="en-US"/>
              </w:rPr>
              <w:t xml:space="preserve"> and</w:t>
            </w:r>
            <w:r w:rsidRPr="00547302">
              <w:rPr>
                <w:b/>
                <w:sz w:val="20"/>
                <w:szCs w:val="20"/>
                <w:lang w:val="en-US"/>
              </w:rPr>
              <w:t xml:space="preserve"> Brian Muir</w:t>
            </w:r>
          </w:p>
          <w:p w:rsidR="0082039A" w:rsidRPr="00547302" w:rsidRDefault="0082039A" w:rsidP="00460DF0">
            <w:pPr>
              <w:jc w:val="both"/>
              <w:rPr>
                <w:sz w:val="20"/>
              </w:rPr>
            </w:pPr>
            <w:r w:rsidRPr="00547302">
              <w:rPr>
                <w:sz w:val="20"/>
              </w:rPr>
              <w:t>(Alta.) (Civil) (By Leave)</w:t>
            </w:r>
          </w:p>
        </w:tc>
      </w:tr>
      <w:tr w:rsidR="0082039A" w:rsidRPr="00547302" w:rsidTr="00460DF0">
        <w:tc>
          <w:tcPr>
            <w:tcW w:w="5000" w:type="pct"/>
            <w:gridSpan w:val="4"/>
          </w:tcPr>
          <w:p w:rsidR="0082039A" w:rsidRPr="00547302" w:rsidRDefault="0082039A" w:rsidP="00460DF0">
            <w:pPr>
              <w:jc w:val="both"/>
              <w:rPr>
                <w:sz w:val="20"/>
              </w:rPr>
            </w:pPr>
            <w:r w:rsidRPr="00547302">
              <w:rPr>
                <w:sz w:val="20"/>
              </w:rPr>
              <w:t>Torts — Negligence — Standard of care — Applicant bringing action against two doctors after birth of premature child — Whether there is nation-wide standard for duty of care? — What is standard of disclosure and content of duty to inform, when educated patient makes multiple specific inquiries about treatment options? — What is proper approach in Canada to proving causation in cases involving series of negligent omissions? — Once liability is proven on balance of probabilities, are plaintiffs entitled to full compensation for losses without deduction for negative contingencies?</w:t>
            </w:r>
          </w:p>
        </w:tc>
      </w:tr>
      <w:tr w:rsidR="0082039A" w:rsidRPr="00547302" w:rsidTr="00460DF0">
        <w:tc>
          <w:tcPr>
            <w:tcW w:w="5000" w:type="pct"/>
            <w:gridSpan w:val="4"/>
          </w:tcPr>
          <w:p w:rsidR="0082039A" w:rsidRPr="00547302" w:rsidRDefault="0082039A" w:rsidP="00460DF0">
            <w:pPr>
              <w:jc w:val="both"/>
              <w:rPr>
                <w:sz w:val="20"/>
              </w:rPr>
            </w:pPr>
          </w:p>
        </w:tc>
      </w:tr>
      <w:tr w:rsidR="0082039A" w:rsidRPr="00547302" w:rsidTr="00460DF0">
        <w:tc>
          <w:tcPr>
            <w:tcW w:w="5000" w:type="pct"/>
            <w:gridSpan w:val="4"/>
          </w:tcPr>
          <w:p w:rsidR="0082039A" w:rsidRPr="00547302" w:rsidRDefault="0082039A" w:rsidP="0082039A">
            <w:pPr>
              <w:pStyle w:val="felskynumbering121"/>
              <w:shd w:val="clear" w:color="auto" w:fill="FFFFFF"/>
              <w:spacing w:after="0"/>
              <w:rPr>
                <w:sz w:val="20"/>
                <w:szCs w:val="20"/>
                <w:lang w:val="en"/>
              </w:rPr>
            </w:pPr>
            <w:r w:rsidRPr="00547302">
              <w:rPr>
                <w:sz w:val="20"/>
                <w:szCs w:val="20"/>
                <w:lang w:val="en"/>
              </w:rPr>
              <w:lastRenderedPageBreak/>
              <w:t>J.S. gave birth to K.S. in October, 2000 at 23 weeks’ gestation. His severe prematurity left him with serious, continuing physical and cognitive impairments. The applicant claimed that J.S.’s general practitioner, Dr. Willox, and the obstetrician that Dr. Willox conferred with, Dr. Muir, breached their duties of care by not advising of the availability and advisability of a medical treatment, cerclage, to treat J.S.’s emerging condition. The applicant claimed that cerclage would have extended the gestation period and prevented K.S.’s injuries. The trial judge dismissed the action against the respondents. That decision was upheld on appeal.</w:t>
            </w:r>
          </w:p>
          <w:p w:rsidR="0082039A" w:rsidRPr="00547302" w:rsidRDefault="0082039A" w:rsidP="0082039A">
            <w:pPr>
              <w:pStyle w:val="felskynumbering121"/>
              <w:shd w:val="clear" w:color="auto" w:fill="FFFFFF"/>
              <w:spacing w:after="0"/>
              <w:rPr>
                <w:sz w:val="20"/>
                <w:szCs w:val="20"/>
                <w:lang w:val="en"/>
              </w:rPr>
            </w:pPr>
          </w:p>
        </w:tc>
      </w:tr>
      <w:tr w:rsidR="0082039A" w:rsidRPr="00547302" w:rsidTr="00460DF0">
        <w:tc>
          <w:tcPr>
            <w:tcW w:w="2427" w:type="pct"/>
            <w:gridSpan w:val="2"/>
          </w:tcPr>
          <w:p w:rsidR="0082039A" w:rsidRPr="00547302" w:rsidRDefault="0082039A" w:rsidP="00460DF0">
            <w:pPr>
              <w:jc w:val="both"/>
              <w:rPr>
                <w:sz w:val="20"/>
              </w:rPr>
            </w:pPr>
            <w:r w:rsidRPr="00547302">
              <w:rPr>
                <w:sz w:val="20"/>
              </w:rPr>
              <w:t>August 29, 2016</w:t>
            </w:r>
          </w:p>
          <w:p w:rsidR="0082039A" w:rsidRPr="00547302" w:rsidRDefault="0082039A" w:rsidP="00460DF0">
            <w:pPr>
              <w:jc w:val="both"/>
              <w:rPr>
                <w:sz w:val="20"/>
              </w:rPr>
            </w:pPr>
            <w:r w:rsidRPr="00547302">
              <w:rPr>
                <w:sz w:val="20"/>
              </w:rPr>
              <w:t>Court of Queen’s Bench of Alberta</w:t>
            </w:r>
          </w:p>
          <w:p w:rsidR="0082039A" w:rsidRPr="00547302" w:rsidRDefault="0082039A" w:rsidP="00460DF0">
            <w:pPr>
              <w:jc w:val="both"/>
              <w:rPr>
                <w:sz w:val="20"/>
              </w:rPr>
            </w:pPr>
            <w:r w:rsidRPr="00547302">
              <w:rPr>
                <w:sz w:val="20"/>
              </w:rPr>
              <w:t>(Moreau J.)</w:t>
            </w:r>
          </w:p>
          <w:p w:rsidR="0082039A" w:rsidRPr="00547302" w:rsidRDefault="00FC1FD2" w:rsidP="00460DF0">
            <w:pPr>
              <w:jc w:val="both"/>
              <w:rPr>
                <w:rStyle w:val="Hyperlink"/>
                <w:sz w:val="20"/>
              </w:rPr>
            </w:pPr>
            <w:hyperlink r:id="rId48" w:history="1">
              <w:r w:rsidR="0082039A" w:rsidRPr="00547302">
                <w:rPr>
                  <w:rStyle w:val="Hyperlink"/>
                  <w:sz w:val="20"/>
                </w:rPr>
                <w:t>2016 ABQB 483</w:t>
              </w:r>
            </w:hyperlink>
          </w:p>
          <w:p w:rsidR="0082039A" w:rsidRPr="00547302" w:rsidRDefault="0082039A" w:rsidP="00460DF0">
            <w:pPr>
              <w:jc w:val="both"/>
              <w:rPr>
                <w:sz w:val="20"/>
              </w:rPr>
            </w:pPr>
          </w:p>
        </w:tc>
        <w:tc>
          <w:tcPr>
            <w:tcW w:w="243" w:type="pct"/>
          </w:tcPr>
          <w:p w:rsidR="0082039A" w:rsidRPr="00547302" w:rsidRDefault="0082039A" w:rsidP="00460DF0">
            <w:pPr>
              <w:jc w:val="both"/>
              <w:rPr>
                <w:sz w:val="20"/>
              </w:rPr>
            </w:pPr>
          </w:p>
        </w:tc>
        <w:tc>
          <w:tcPr>
            <w:tcW w:w="2330" w:type="pct"/>
          </w:tcPr>
          <w:p w:rsidR="0082039A" w:rsidRPr="00547302" w:rsidRDefault="0082039A" w:rsidP="00460DF0">
            <w:pPr>
              <w:jc w:val="both"/>
              <w:rPr>
                <w:sz w:val="20"/>
              </w:rPr>
            </w:pPr>
            <w:r w:rsidRPr="00547302">
              <w:rPr>
                <w:sz w:val="20"/>
              </w:rPr>
              <w:t xml:space="preserve">Applicant’s claim in negligence against two doctors dismissed; Provisional damages assessment made </w:t>
            </w:r>
          </w:p>
        </w:tc>
      </w:tr>
      <w:tr w:rsidR="0082039A" w:rsidRPr="00547302" w:rsidTr="00460DF0">
        <w:tc>
          <w:tcPr>
            <w:tcW w:w="2427" w:type="pct"/>
            <w:gridSpan w:val="2"/>
          </w:tcPr>
          <w:p w:rsidR="0082039A" w:rsidRPr="00547302" w:rsidRDefault="0082039A" w:rsidP="00460DF0">
            <w:pPr>
              <w:jc w:val="both"/>
              <w:rPr>
                <w:sz w:val="20"/>
              </w:rPr>
            </w:pPr>
            <w:r w:rsidRPr="00547302">
              <w:rPr>
                <w:sz w:val="20"/>
              </w:rPr>
              <w:t>January 3, 2017</w:t>
            </w:r>
          </w:p>
          <w:p w:rsidR="0082039A" w:rsidRPr="00547302" w:rsidRDefault="0082039A" w:rsidP="00460DF0">
            <w:pPr>
              <w:jc w:val="both"/>
              <w:rPr>
                <w:sz w:val="20"/>
              </w:rPr>
            </w:pPr>
            <w:r w:rsidRPr="00547302">
              <w:rPr>
                <w:sz w:val="20"/>
              </w:rPr>
              <w:t>Court of Queen’s Bench of Alberta</w:t>
            </w:r>
          </w:p>
          <w:p w:rsidR="0082039A" w:rsidRPr="00547302" w:rsidRDefault="0082039A" w:rsidP="00460DF0">
            <w:pPr>
              <w:jc w:val="both"/>
              <w:rPr>
                <w:sz w:val="20"/>
              </w:rPr>
            </w:pPr>
            <w:r w:rsidRPr="00547302">
              <w:rPr>
                <w:sz w:val="20"/>
              </w:rPr>
              <w:t>(Moreau J.)</w:t>
            </w:r>
          </w:p>
          <w:p w:rsidR="0082039A" w:rsidRPr="00547302" w:rsidRDefault="00FC1FD2" w:rsidP="00460DF0">
            <w:pPr>
              <w:jc w:val="both"/>
              <w:rPr>
                <w:sz w:val="20"/>
              </w:rPr>
            </w:pPr>
            <w:hyperlink r:id="rId49" w:history="1">
              <w:r w:rsidR="0082039A" w:rsidRPr="00547302">
                <w:rPr>
                  <w:rStyle w:val="Hyperlink"/>
                  <w:sz w:val="20"/>
                </w:rPr>
                <w:t>2017 ABQB 2</w:t>
              </w:r>
            </w:hyperlink>
          </w:p>
          <w:p w:rsidR="0082039A" w:rsidRPr="00547302" w:rsidRDefault="0082039A" w:rsidP="00460DF0">
            <w:pPr>
              <w:jc w:val="both"/>
              <w:rPr>
                <w:sz w:val="20"/>
              </w:rPr>
            </w:pPr>
          </w:p>
        </w:tc>
        <w:tc>
          <w:tcPr>
            <w:tcW w:w="243" w:type="pct"/>
          </w:tcPr>
          <w:p w:rsidR="0082039A" w:rsidRPr="00547302" w:rsidRDefault="0082039A" w:rsidP="00460DF0">
            <w:pPr>
              <w:jc w:val="both"/>
              <w:rPr>
                <w:sz w:val="20"/>
              </w:rPr>
            </w:pPr>
          </w:p>
        </w:tc>
        <w:tc>
          <w:tcPr>
            <w:tcW w:w="2330" w:type="pct"/>
          </w:tcPr>
          <w:p w:rsidR="0082039A" w:rsidRPr="00547302" w:rsidRDefault="0082039A" w:rsidP="00460DF0">
            <w:pPr>
              <w:jc w:val="both"/>
              <w:rPr>
                <w:sz w:val="20"/>
              </w:rPr>
            </w:pPr>
            <w:r w:rsidRPr="00547302">
              <w:rPr>
                <w:sz w:val="20"/>
              </w:rPr>
              <w:t>Order that negative contingency factor of 15 per cent to be applied to provisionally assessed awards of non-pecuniary damages and for past and future cost of care</w:t>
            </w:r>
          </w:p>
          <w:p w:rsidR="0082039A" w:rsidRPr="00547302" w:rsidRDefault="0082039A" w:rsidP="00460DF0">
            <w:pPr>
              <w:jc w:val="both"/>
              <w:rPr>
                <w:sz w:val="20"/>
              </w:rPr>
            </w:pPr>
          </w:p>
        </w:tc>
      </w:tr>
      <w:tr w:rsidR="0082039A" w:rsidRPr="00547302" w:rsidTr="00460DF0">
        <w:tc>
          <w:tcPr>
            <w:tcW w:w="2427" w:type="pct"/>
            <w:gridSpan w:val="2"/>
          </w:tcPr>
          <w:p w:rsidR="0082039A" w:rsidRPr="00547302" w:rsidRDefault="0082039A" w:rsidP="00460DF0">
            <w:pPr>
              <w:jc w:val="both"/>
              <w:rPr>
                <w:sz w:val="20"/>
              </w:rPr>
            </w:pPr>
            <w:r w:rsidRPr="00547302">
              <w:rPr>
                <w:sz w:val="20"/>
              </w:rPr>
              <w:t>August 21, 2018</w:t>
            </w:r>
          </w:p>
          <w:p w:rsidR="0082039A" w:rsidRPr="00547302" w:rsidRDefault="0082039A" w:rsidP="00460DF0">
            <w:pPr>
              <w:jc w:val="both"/>
              <w:rPr>
                <w:sz w:val="20"/>
              </w:rPr>
            </w:pPr>
            <w:r w:rsidRPr="00547302">
              <w:rPr>
                <w:sz w:val="20"/>
              </w:rPr>
              <w:t>Court of Appeal of Alberta (Edmonton)</w:t>
            </w:r>
          </w:p>
          <w:p w:rsidR="0082039A" w:rsidRPr="00547302" w:rsidRDefault="0082039A" w:rsidP="00460DF0">
            <w:pPr>
              <w:jc w:val="both"/>
              <w:rPr>
                <w:sz w:val="20"/>
              </w:rPr>
            </w:pPr>
            <w:r w:rsidRPr="00547302">
              <w:rPr>
                <w:sz w:val="20"/>
              </w:rPr>
              <w:t xml:space="preserve">(McDonald, </w:t>
            </w:r>
            <w:proofErr w:type="spellStart"/>
            <w:r w:rsidRPr="00547302">
              <w:rPr>
                <w:sz w:val="20"/>
              </w:rPr>
              <w:t>O'Ferrall</w:t>
            </w:r>
            <w:proofErr w:type="spellEnd"/>
            <w:r w:rsidRPr="00547302">
              <w:rPr>
                <w:sz w:val="20"/>
              </w:rPr>
              <w:t xml:space="preserve"> [dissenting] and Veldhuis JJ.A.)</w:t>
            </w:r>
          </w:p>
          <w:p w:rsidR="0082039A" w:rsidRPr="00547302" w:rsidRDefault="00FC1FD2" w:rsidP="00460DF0">
            <w:pPr>
              <w:jc w:val="both"/>
              <w:rPr>
                <w:sz w:val="20"/>
              </w:rPr>
            </w:pPr>
            <w:hyperlink r:id="rId50" w:history="1">
              <w:r w:rsidR="0082039A" w:rsidRPr="00547302">
                <w:rPr>
                  <w:rStyle w:val="Hyperlink"/>
                  <w:sz w:val="20"/>
                </w:rPr>
                <w:t>2018 ABCA 271</w:t>
              </w:r>
            </w:hyperlink>
          </w:p>
          <w:p w:rsidR="0082039A" w:rsidRPr="00547302" w:rsidRDefault="0082039A" w:rsidP="00460DF0">
            <w:pPr>
              <w:jc w:val="both"/>
              <w:rPr>
                <w:sz w:val="20"/>
              </w:rPr>
            </w:pPr>
          </w:p>
        </w:tc>
        <w:tc>
          <w:tcPr>
            <w:tcW w:w="243" w:type="pct"/>
          </w:tcPr>
          <w:p w:rsidR="0082039A" w:rsidRPr="00547302" w:rsidRDefault="0082039A" w:rsidP="00460DF0">
            <w:pPr>
              <w:jc w:val="both"/>
              <w:rPr>
                <w:sz w:val="20"/>
              </w:rPr>
            </w:pPr>
          </w:p>
        </w:tc>
        <w:tc>
          <w:tcPr>
            <w:tcW w:w="2330" w:type="pct"/>
          </w:tcPr>
          <w:p w:rsidR="0082039A" w:rsidRPr="00547302" w:rsidRDefault="0082039A" w:rsidP="00460DF0">
            <w:pPr>
              <w:jc w:val="both"/>
              <w:rPr>
                <w:sz w:val="20"/>
              </w:rPr>
            </w:pPr>
            <w:r w:rsidRPr="00547302">
              <w:rPr>
                <w:sz w:val="20"/>
              </w:rPr>
              <w:t>Applicant’s appeal dismissed</w:t>
            </w:r>
          </w:p>
          <w:p w:rsidR="0082039A" w:rsidRPr="00547302" w:rsidRDefault="0082039A" w:rsidP="00460DF0">
            <w:pPr>
              <w:jc w:val="both"/>
              <w:rPr>
                <w:sz w:val="20"/>
              </w:rPr>
            </w:pPr>
          </w:p>
          <w:p w:rsidR="0082039A" w:rsidRPr="00547302" w:rsidRDefault="0082039A" w:rsidP="00460DF0">
            <w:pPr>
              <w:jc w:val="both"/>
              <w:rPr>
                <w:sz w:val="20"/>
              </w:rPr>
            </w:pPr>
          </w:p>
        </w:tc>
      </w:tr>
      <w:tr w:rsidR="0082039A" w:rsidRPr="00547302" w:rsidTr="00460DF0">
        <w:tc>
          <w:tcPr>
            <w:tcW w:w="2427" w:type="pct"/>
            <w:gridSpan w:val="2"/>
          </w:tcPr>
          <w:p w:rsidR="0082039A" w:rsidRPr="00547302" w:rsidRDefault="0082039A" w:rsidP="00460DF0">
            <w:pPr>
              <w:jc w:val="both"/>
              <w:rPr>
                <w:sz w:val="20"/>
              </w:rPr>
            </w:pPr>
            <w:r w:rsidRPr="00547302">
              <w:rPr>
                <w:sz w:val="20"/>
              </w:rPr>
              <w:t>October 10, 2018</w:t>
            </w:r>
          </w:p>
          <w:p w:rsidR="0082039A" w:rsidRPr="00547302" w:rsidRDefault="0082039A" w:rsidP="003D50B9">
            <w:pPr>
              <w:jc w:val="both"/>
              <w:rPr>
                <w:sz w:val="20"/>
              </w:rPr>
            </w:pPr>
            <w:r w:rsidRPr="00547302">
              <w:rPr>
                <w:sz w:val="20"/>
              </w:rPr>
              <w:t>Supreme Court of Canada</w:t>
            </w:r>
          </w:p>
        </w:tc>
        <w:tc>
          <w:tcPr>
            <w:tcW w:w="243" w:type="pct"/>
          </w:tcPr>
          <w:p w:rsidR="0082039A" w:rsidRPr="00547302" w:rsidRDefault="0082039A" w:rsidP="00460DF0">
            <w:pPr>
              <w:jc w:val="both"/>
              <w:rPr>
                <w:sz w:val="20"/>
              </w:rPr>
            </w:pPr>
          </w:p>
        </w:tc>
        <w:tc>
          <w:tcPr>
            <w:tcW w:w="2330" w:type="pct"/>
          </w:tcPr>
          <w:p w:rsidR="0082039A" w:rsidRPr="00547302" w:rsidRDefault="0082039A" w:rsidP="00460DF0">
            <w:pPr>
              <w:jc w:val="both"/>
              <w:rPr>
                <w:sz w:val="20"/>
              </w:rPr>
            </w:pPr>
            <w:r w:rsidRPr="00547302">
              <w:rPr>
                <w:sz w:val="20"/>
              </w:rPr>
              <w:t>Application for leave to appeal filed</w:t>
            </w:r>
          </w:p>
          <w:p w:rsidR="0082039A" w:rsidRPr="00547302" w:rsidRDefault="0082039A" w:rsidP="00460DF0">
            <w:pPr>
              <w:jc w:val="both"/>
              <w:rPr>
                <w:sz w:val="20"/>
              </w:rPr>
            </w:pPr>
          </w:p>
        </w:tc>
      </w:tr>
    </w:tbl>
    <w:p w:rsidR="0082039A" w:rsidRPr="00547302" w:rsidRDefault="0082039A" w:rsidP="0082039A">
      <w:pPr>
        <w:jc w:val="both"/>
        <w:rPr>
          <w:sz w:val="20"/>
        </w:rPr>
      </w:pPr>
    </w:p>
    <w:p w:rsidR="00D04A6F" w:rsidRPr="00547302" w:rsidRDefault="00D04A6F" w:rsidP="00AA1FE0">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04A6F" w:rsidRPr="00547302" w:rsidTr="00D04A6F">
        <w:tc>
          <w:tcPr>
            <w:tcW w:w="543" w:type="pct"/>
          </w:tcPr>
          <w:p w:rsidR="00D04A6F" w:rsidRPr="00547302" w:rsidRDefault="00D04A6F" w:rsidP="00AA1FE0">
            <w:pPr>
              <w:jc w:val="both"/>
              <w:rPr>
                <w:sz w:val="20"/>
                <w:lang w:val="fr-CA"/>
              </w:rPr>
            </w:pPr>
            <w:r w:rsidRPr="00547302">
              <w:rPr>
                <w:rStyle w:val="SCCFileNumberChar"/>
                <w:sz w:val="20"/>
                <w:szCs w:val="20"/>
                <w:lang w:val="fr-CA"/>
              </w:rPr>
              <w:t>38346</w:t>
            </w:r>
          </w:p>
        </w:tc>
        <w:tc>
          <w:tcPr>
            <w:tcW w:w="4457" w:type="pct"/>
            <w:gridSpan w:val="3"/>
          </w:tcPr>
          <w:p w:rsidR="00D04A6F" w:rsidRPr="00547302" w:rsidRDefault="00D04A6F" w:rsidP="00AA1FE0">
            <w:pPr>
              <w:pStyle w:val="SCCLsocParty"/>
              <w:jc w:val="both"/>
              <w:rPr>
                <w:b/>
                <w:sz w:val="20"/>
                <w:szCs w:val="20"/>
              </w:rPr>
            </w:pPr>
            <w:r w:rsidRPr="00547302">
              <w:rPr>
                <w:b/>
                <w:sz w:val="20"/>
                <w:szCs w:val="20"/>
              </w:rPr>
              <w:t xml:space="preserve">Tim Wood, </w:t>
            </w:r>
            <w:r w:rsidR="001C59B1">
              <w:rPr>
                <w:b/>
                <w:sz w:val="20"/>
                <w:szCs w:val="20"/>
              </w:rPr>
              <w:t>représentant</w:t>
            </w:r>
            <w:r w:rsidRPr="00547302">
              <w:rPr>
                <w:b/>
                <w:sz w:val="20"/>
                <w:szCs w:val="20"/>
              </w:rPr>
              <w:t xml:space="preserve"> à l’instance de K.S., un mineur c. David </w:t>
            </w:r>
            <w:proofErr w:type="spellStart"/>
            <w:r w:rsidRPr="00547302">
              <w:rPr>
                <w:b/>
                <w:sz w:val="20"/>
                <w:szCs w:val="20"/>
              </w:rPr>
              <w:t>Willox</w:t>
            </w:r>
            <w:proofErr w:type="spellEnd"/>
            <w:r w:rsidR="001C59B1">
              <w:rPr>
                <w:b/>
                <w:sz w:val="20"/>
                <w:szCs w:val="20"/>
              </w:rPr>
              <w:t xml:space="preserve"> et</w:t>
            </w:r>
            <w:r w:rsidRPr="00547302">
              <w:rPr>
                <w:b/>
                <w:sz w:val="20"/>
                <w:szCs w:val="20"/>
              </w:rPr>
              <w:t xml:space="preserve"> Brian </w:t>
            </w:r>
            <w:proofErr w:type="spellStart"/>
            <w:r w:rsidRPr="00547302">
              <w:rPr>
                <w:b/>
                <w:sz w:val="20"/>
                <w:szCs w:val="20"/>
              </w:rPr>
              <w:t>Muir</w:t>
            </w:r>
            <w:proofErr w:type="spellEnd"/>
          </w:p>
          <w:p w:rsidR="00D04A6F" w:rsidRPr="00547302" w:rsidRDefault="00D04A6F" w:rsidP="00AA1FE0">
            <w:pPr>
              <w:jc w:val="both"/>
              <w:rPr>
                <w:sz w:val="20"/>
                <w:lang w:val="fr-CA"/>
              </w:rPr>
            </w:pPr>
            <w:r w:rsidRPr="00547302">
              <w:rPr>
                <w:sz w:val="20"/>
                <w:lang w:val="fr-CA"/>
              </w:rPr>
              <w:t>(Alb.) (Civile) (Autorisation)</w:t>
            </w:r>
          </w:p>
        </w:tc>
      </w:tr>
      <w:tr w:rsidR="00D04A6F" w:rsidRPr="003D50B9" w:rsidTr="00D04A6F">
        <w:tc>
          <w:tcPr>
            <w:tcW w:w="5000" w:type="pct"/>
            <w:gridSpan w:val="4"/>
          </w:tcPr>
          <w:p w:rsidR="00D04A6F" w:rsidRPr="00547302" w:rsidRDefault="00D04A6F" w:rsidP="00AA1FE0">
            <w:pPr>
              <w:jc w:val="both"/>
              <w:rPr>
                <w:sz w:val="20"/>
                <w:lang w:val="fr-CA"/>
              </w:rPr>
            </w:pPr>
            <w:r w:rsidRPr="00547302">
              <w:rPr>
                <w:sz w:val="20"/>
                <w:lang w:val="fr-CA"/>
              </w:rPr>
              <w:t>Responsabilité civile — Négligence — Norme de diligence — Le demandeur a intenté une action contre deux médecins après la naissance d’un enfant prématuré — L’obligation de diligence est-elle soumise à une norme nationale? — Quels sont la norme de divulgation et le contenu de l’obligation d’informer lorsqu’un patient instruit fait plusieurs demandes de renseignements particulières sur les choix de traitement? — Quelle est la bonne approche au Canada pour prouver le lien de causalité dans des affaires intéressant une série d’omissions négligentes? — Lorsque la responsabilité est prouvée selon la prépondérance des probabilités, les demandeurs ont-ils droit à la pleine indemnisation des pertes sans déduction pour les aléas négatifs?</w:t>
            </w:r>
          </w:p>
        </w:tc>
      </w:tr>
      <w:tr w:rsidR="00D04A6F" w:rsidRPr="003D50B9" w:rsidTr="00D04A6F">
        <w:tc>
          <w:tcPr>
            <w:tcW w:w="5000" w:type="pct"/>
            <w:gridSpan w:val="4"/>
          </w:tcPr>
          <w:p w:rsidR="00D04A6F" w:rsidRPr="00547302" w:rsidRDefault="00D04A6F" w:rsidP="00AA1FE0">
            <w:pPr>
              <w:jc w:val="both"/>
              <w:rPr>
                <w:sz w:val="20"/>
                <w:lang w:val="fr-CA"/>
              </w:rPr>
            </w:pPr>
          </w:p>
        </w:tc>
      </w:tr>
      <w:tr w:rsidR="00D04A6F" w:rsidRPr="00547302" w:rsidTr="0082039A">
        <w:trPr>
          <w:trHeight w:val="1480"/>
        </w:trPr>
        <w:tc>
          <w:tcPr>
            <w:tcW w:w="5000" w:type="pct"/>
            <w:gridSpan w:val="4"/>
          </w:tcPr>
          <w:p w:rsidR="00D04A6F" w:rsidRPr="00547302" w:rsidRDefault="00D04A6F" w:rsidP="0082039A">
            <w:pPr>
              <w:pStyle w:val="felskynumbering121"/>
              <w:shd w:val="clear" w:color="auto" w:fill="FFFFFF"/>
              <w:spacing w:after="0"/>
              <w:rPr>
                <w:sz w:val="20"/>
                <w:szCs w:val="20"/>
                <w:lang w:val="fr-CA"/>
              </w:rPr>
            </w:pPr>
            <w:r w:rsidRPr="00547302">
              <w:rPr>
                <w:sz w:val="20"/>
                <w:szCs w:val="20"/>
                <w:lang w:val="fr-CA"/>
              </w:rPr>
              <w:t>J.S. a donné naissance à K.S. en octobre 2000 à la vingt-troisième semaine de grossesse. La grande prématurité de l’enfant l’a laissé avec de graves séquelles physiques et cognitives. Le demandeur allègue que le médecin généraliste de J.S., le Dr </w:t>
            </w:r>
            <w:proofErr w:type="spellStart"/>
            <w:r w:rsidRPr="00547302">
              <w:rPr>
                <w:sz w:val="20"/>
                <w:szCs w:val="20"/>
                <w:lang w:val="fr-CA"/>
              </w:rPr>
              <w:t>Willox</w:t>
            </w:r>
            <w:proofErr w:type="spellEnd"/>
            <w:r w:rsidRPr="00547302">
              <w:rPr>
                <w:sz w:val="20"/>
                <w:szCs w:val="20"/>
                <w:lang w:val="fr-CA"/>
              </w:rPr>
              <w:t>, et l’obstétricien que le Dr </w:t>
            </w:r>
            <w:proofErr w:type="spellStart"/>
            <w:r w:rsidRPr="00547302">
              <w:rPr>
                <w:sz w:val="20"/>
                <w:szCs w:val="20"/>
                <w:lang w:val="fr-CA"/>
              </w:rPr>
              <w:t>Willox</w:t>
            </w:r>
            <w:proofErr w:type="spellEnd"/>
            <w:r w:rsidRPr="00547302">
              <w:rPr>
                <w:sz w:val="20"/>
                <w:szCs w:val="20"/>
                <w:lang w:val="fr-CA"/>
              </w:rPr>
              <w:t xml:space="preserve"> a consulté, le Dr </w:t>
            </w:r>
            <w:proofErr w:type="spellStart"/>
            <w:r w:rsidRPr="00547302">
              <w:rPr>
                <w:sz w:val="20"/>
                <w:szCs w:val="20"/>
                <w:lang w:val="fr-CA"/>
              </w:rPr>
              <w:t>Muir</w:t>
            </w:r>
            <w:proofErr w:type="spellEnd"/>
            <w:r w:rsidRPr="00547302">
              <w:rPr>
                <w:sz w:val="20"/>
                <w:szCs w:val="20"/>
                <w:lang w:val="fr-CA"/>
              </w:rPr>
              <w:t>, ont manqué à leurs obligations de diligence en ne l’informant pas de la disponibilité et de l’opportunité d’un traitement médical, le cerclage, pour traiter la pathologie émergente de J.S. Le demandeur a allégué que le cerclage aurait prolongé la période de gestation et empêché les lésions subies par K.S. La juge de première instance a rejeté l’action contre les intimés. Cette décision a été confirmée en appel.</w:t>
            </w:r>
          </w:p>
          <w:p w:rsidR="0082039A" w:rsidRPr="00547302" w:rsidRDefault="0082039A" w:rsidP="0082039A">
            <w:pPr>
              <w:pStyle w:val="felskynumbering121"/>
              <w:shd w:val="clear" w:color="auto" w:fill="FFFFFF"/>
              <w:spacing w:after="0"/>
              <w:rPr>
                <w:sz w:val="20"/>
                <w:szCs w:val="20"/>
                <w:lang w:val="fr-CA"/>
              </w:rPr>
            </w:pPr>
          </w:p>
        </w:tc>
      </w:tr>
      <w:tr w:rsidR="00D04A6F" w:rsidRPr="003D50B9" w:rsidTr="00D04A6F">
        <w:tc>
          <w:tcPr>
            <w:tcW w:w="2427" w:type="pct"/>
            <w:gridSpan w:val="2"/>
          </w:tcPr>
          <w:p w:rsidR="00D04A6F" w:rsidRPr="00547302" w:rsidRDefault="00D04A6F" w:rsidP="00AA1FE0">
            <w:pPr>
              <w:jc w:val="both"/>
              <w:rPr>
                <w:sz w:val="20"/>
                <w:lang w:val="fr-CA"/>
              </w:rPr>
            </w:pPr>
            <w:r w:rsidRPr="00547302">
              <w:rPr>
                <w:sz w:val="20"/>
                <w:lang w:val="fr-CA"/>
              </w:rPr>
              <w:t>29 août 2016</w:t>
            </w:r>
          </w:p>
          <w:p w:rsidR="00D04A6F" w:rsidRPr="00547302" w:rsidRDefault="00D04A6F" w:rsidP="00AA1FE0">
            <w:pPr>
              <w:jc w:val="both"/>
              <w:rPr>
                <w:sz w:val="20"/>
                <w:lang w:val="fr-CA"/>
              </w:rPr>
            </w:pPr>
            <w:r w:rsidRPr="00547302">
              <w:rPr>
                <w:sz w:val="20"/>
                <w:lang w:val="fr-CA"/>
              </w:rPr>
              <w:t>Cour du Banc de la Reine de l’Alberta</w:t>
            </w:r>
          </w:p>
          <w:p w:rsidR="00D04A6F" w:rsidRPr="00547302" w:rsidRDefault="00D04A6F" w:rsidP="00AA1FE0">
            <w:pPr>
              <w:jc w:val="both"/>
              <w:rPr>
                <w:sz w:val="20"/>
                <w:lang w:val="fr-CA"/>
              </w:rPr>
            </w:pPr>
            <w:r w:rsidRPr="00547302">
              <w:rPr>
                <w:sz w:val="20"/>
                <w:lang w:val="fr-CA"/>
              </w:rPr>
              <w:t>(Juge Moreau)</w:t>
            </w:r>
          </w:p>
          <w:p w:rsidR="00D04A6F" w:rsidRPr="00547302" w:rsidRDefault="00FC1FD2" w:rsidP="00AA1FE0">
            <w:pPr>
              <w:jc w:val="both"/>
              <w:rPr>
                <w:rStyle w:val="Hyperlink"/>
                <w:sz w:val="20"/>
                <w:lang w:val="fr-CA"/>
              </w:rPr>
            </w:pPr>
            <w:hyperlink r:id="rId51" w:history="1">
              <w:r w:rsidR="00D04A6F" w:rsidRPr="00547302">
                <w:rPr>
                  <w:rStyle w:val="Hyperlink"/>
                  <w:sz w:val="20"/>
                  <w:lang w:val="fr-CA"/>
                </w:rPr>
                <w:t>2016 ABQB 483</w:t>
              </w:r>
            </w:hyperlink>
          </w:p>
          <w:p w:rsidR="00D04A6F" w:rsidRPr="00547302" w:rsidRDefault="00D04A6F" w:rsidP="00AA1FE0">
            <w:pPr>
              <w:jc w:val="both"/>
              <w:rPr>
                <w:sz w:val="20"/>
                <w:lang w:val="fr-CA"/>
              </w:rPr>
            </w:pPr>
          </w:p>
        </w:tc>
        <w:tc>
          <w:tcPr>
            <w:tcW w:w="243" w:type="pct"/>
          </w:tcPr>
          <w:p w:rsidR="00D04A6F" w:rsidRPr="00547302" w:rsidRDefault="00D04A6F" w:rsidP="00AA1FE0">
            <w:pPr>
              <w:jc w:val="both"/>
              <w:rPr>
                <w:sz w:val="20"/>
                <w:lang w:val="fr-CA"/>
              </w:rPr>
            </w:pPr>
          </w:p>
        </w:tc>
        <w:tc>
          <w:tcPr>
            <w:tcW w:w="2330" w:type="pct"/>
          </w:tcPr>
          <w:p w:rsidR="00D04A6F" w:rsidRPr="00547302" w:rsidRDefault="00D04A6F" w:rsidP="00AA1FE0">
            <w:pPr>
              <w:jc w:val="both"/>
              <w:rPr>
                <w:sz w:val="20"/>
                <w:lang w:val="fr-CA"/>
              </w:rPr>
            </w:pPr>
            <w:r w:rsidRPr="00547302">
              <w:rPr>
                <w:sz w:val="20"/>
                <w:lang w:val="fr-CA"/>
              </w:rPr>
              <w:t>Jugement rejetant l’action du demandeur en négligence contre deux médecins et établissant une évaluation provisoire des dommages</w:t>
            </w:r>
            <w:r w:rsidRPr="00547302">
              <w:rPr>
                <w:sz w:val="20"/>
                <w:lang w:val="fr-CA"/>
              </w:rPr>
              <w:noBreakHyphen/>
              <w:t xml:space="preserve">intérêts </w:t>
            </w:r>
          </w:p>
        </w:tc>
      </w:tr>
      <w:tr w:rsidR="00D04A6F" w:rsidRPr="003D50B9" w:rsidTr="003D50B9">
        <w:trPr>
          <w:trHeight w:val="993"/>
        </w:trPr>
        <w:tc>
          <w:tcPr>
            <w:tcW w:w="2427" w:type="pct"/>
            <w:gridSpan w:val="2"/>
          </w:tcPr>
          <w:p w:rsidR="00D04A6F" w:rsidRPr="00547302" w:rsidRDefault="00D04A6F" w:rsidP="00AA1FE0">
            <w:pPr>
              <w:jc w:val="both"/>
              <w:rPr>
                <w:sz w:val="20"/>
                <w:lang w:val="fr-CA"/>
              </w:rPr>
            </w:pPr>
            <w:r w:rsidRPr="00547302">
              <w:rPr>
                <w:sz w:val="20"/>
                <w:lang w:val="fr-CA"/>
              </w:rPr>
              <w:lastRenderedPageBreak/>
              <w:t>3 janvier 2017</w:t>
            </w:r>
          </w:p>
          <w:p w:rsidR="00D04A6F" w:rsidRPr="00547302" w:rsidRDefault="00D04A6F" w:rsidP="00AA1FE0">
            <w:pPr>
              <w:jc w:val="both"/>
              <w:rPr>
                <w:sz w:val="20"/>
                <w:lang w:val="fr-CA"/>
              </w:rPr>
            </w:pPr>
            <w:r w:rsidRPr="00547302">
              <w:rPr>
                <w:sz w:val="20"/>
                <w:lang w:val="fr-CA"/>
              </w:rPr>
              <w:t>Cour du Banc de la Reine de l’Alberta</w:t>
            </w:r>
          </w:p>
          <w:p w:rsidR="00D04A6F" w:rsidRPr="00547302" w:rsidRDefault="00D04A6F" w:rsidP="00AA1FE0">
            <w:pPr>
              <w:jc w:val="both"/>
              <w:rPr>
                <w:sz w:val="20"/>
                <w:lang w:val="fr-CA"/>
              </w:rPr>
            </w:pPr>
            <w:r w:rsidRPr="00547302">
              <w:rPr>
                <w:sz w:val="20"/>
                <w:lang w:val="fr-CA"/>
              </w:rPr>
              <w:t>(Juge Moreau)</w:t>
            </w:r>
          </w:p>
          <w:p w:rsidR="00D04A6F" w:rsidRPr="00547302" w:rsidRDefault="00FC1FD2" w:rsidP="00AA1FE0">
            <w:pPr>
              <w:jc w:val="both"/>
              <w:rPr>
                <w:sz w:val="20"/>
                <w:lang w:val="fr-CA"/>
              </w:rPr>
            </w:pPr>
            <w:hyperlink r:id="rId52" w:history="1">
              <w:r w:rsidR="00D04A6F" w:rsidRPr="00547302">
                <w:rPr>
                  <w:rStyle w:val="Hyperlink"/>
                  <w:sz w:val="20"/>
                  <w:lang w:val="fr-CA"/>
                </w:rPr>
                <w:t>2017 ABQB 2</w:t>
              </w:r>
            </w:hyperlink>
          </w:p>
        </w:tc>
        <w:tc>
          <w:tcPr>
            <w:tcW w:w="243" w:type="pct"/>
          </w:tcPr>
          <w:p w:rsidR="00D04A6F" w:rsidRPr="00547302" w:rsidRDefault="00D04A6F" w:rsidP="00AA1FE0">
            <w:pPr>
              <w:jc w:val="both"/>
              <w:rPr>
                <w:sz w:val="20"/>
                <w:lang w:val="fr-CA"/>
              </w:rPr>
            </w:pPr>
          </w:p>
        </w:tc>
        <w:tc>
          <w:tcPr>
            <w:tcW w:w="2330" w:type="pct"/>
          </w:tcPr>
          <w:p w:rsidR="00D04A6F" w:rsidRPr="00547302" w:rsidRDefault="00D04A6F" w:rsidP="00AA1FE0">
            <w:pPr>
              <w:jc w:val="both"/>
              <w:rPr>
                <w:sz w:val="20"/>
                <w:lang w:val="fr-CA"/>
              </w:rPr>
            </w:pPr>
            <w:r w:rsidRPr="00547302">
              <w:rPr>
                <w:sz w:val="20"/>
                <w:lang w:val="fr-CA"/>
              </w:rPr>
              <w:t>Ordonnance portant qu’un facteur d’aléa négatif de 15 pour cent est appliqué aux dommages</w:t>
            </w:r>
            <w:r w:rsidRPr="00547302">
              <w:rPr>
                <w:sz w:val="20"/>
                <w:lang w:val="fr-CA"/>
              </w:rPr>
              <w:noBreakHyphen/>
              <w:t>intérêts non pécuniaires évalués provisoirement pour les coûts des soins passés et futurs</w:t>
            </w:r>
          </w:p>
          <w:p w:rsidR="00D04A6F" w:rsidRPr="00547302" w:rsidRDefault="00D04A6F" w:rsidP="00AA1FE0">
            <w:pPr>
              <w:jc w:val="both"/>
              <w:rPr>
                <w:sz w:val="20"/>
                <w:lang w:val="fr-CA"/>
              </w:rPr>
            </w:pPr>
          </w:p>
        </w:tc>
      </w:tr>
      <w:tr w:rsidR="00D04A6F" w:rsidRPr="00547302" w:rsidTr="00D04A6F">
        <w:tc>
          <w:tcPr>
            <w:tcW w:w="2427" w:type="pct"/>
            <w:gridSpan w:val="2"/>
          </w:tcPr>
          <w:p w:rsidR="00D04A6F" w:rsidRPr="00547302" w:rsidRDefault="00D04A6F" w:rsidP="00AA1FE0">
            <w:pPr>
              <w:jc w:val="both"/>
              <w:rPr>
                <w:sz w:val="20"/>
                <w:lang w:val="fr-CA"/>
              </w:rPr>
            </w:pPr>
            <w:r w:rsidRPr="00547302">
              <w:rPr>
                <w:sz w:val="20"/>
                <w:lang w:val="fr-CA"/>
              </w:rPr>
              <w:t>21 août 2018</w:t>
            </w:r>
          </w:p>
          <w:p w:rsidR="00D04A6F" w:rsidRPr="00547302" w:rsidRDefault="00D04A6F" w:rsidP="00AA1FE0">
            <w:pPr>
              <w:jc w:val="both"/>
              <w:rPr>
                <w:sz w:val="20"/>
                <w:lang w:val="fr-CA"/>
              </w:rPr>
            </w:pPr>
            <w:r w:rsidRPr="00547302">
              <w:rPr>
                <w:sz w:val="20"/>
                <w:lang w:val="fr-CA"/>
              </w:rPr>
              <w:t>Cour d’appel de l’Alberta (Edmonton)</w:t>
            </w:r>
          </w:p>
          <w:p w:rsidR="00D04A6F" w:rsidRPr="00547302" w:rsidRDefault="00D04A6F" w:rsidP="00AA1FE0">
            <w:pPr>
              <w:jc w:val="both"/>
              <w:rPr>
                <w:sz w:val="20"/>
                <w:lang w:val="fr-CA"/>
              </w:rPr>
            </w:pPr>
            <w:r w:rsidRPr="00547302">
              <w:rPr>
                <w:sz w:val="20"/>
                <w:lang w:val="fr-CA"/>
              </w:rPr>
              <w:t>(Juges McDonald, O'Ferrall [dissident] et Veldhuis)</w:t>
            </w:r>
          </w:p>
          <w:p w:rsidR="00D04A6F" w:rsidRPr="00547302" w:rsidRDefault="00FC1FD2" w:rsidP="00AA1FE0">
            <w:pPr>
              <w:jc w:val="both"/>
              <w:rPr>
                <w:sz w:val="20"/>
                <w:lang w:val="fr-CA"/>
              </w:rPr>
            </w:pPr>
            <w:hyperlink r:id="rId53" w:history="1">
              <w:r w:rsidR="00D04A6F" w:rsidRPr="00547302">
                <w:rPr>
                  <w:rStyle w:val="Hyperlink"/>
                  <w:sz w:val="20"/>
                  <w:lang w:val="fr-CA"/>
                </w:rPr>
                <w:t>2018 ABCA 271</w:t>
              </w:r>
            </w:hyperlink>
          </w:p>
          <w:p w:rsidR="00D04A6F" w:rsidRPr="00547302" w:rsidRDefault="00D04A6F" w:rsidP="00AA1FE0">
            <w:pPr>
              <w:jc w:val="both"/>
              <w:rPr>
                <w:sz w:val="20"/>
                <w:lang w:val="fr-CA"/>
              </w:rPr>
            </w:pPr>
          </w:p>
        </w:tc>
        <w:tc>
          <w:tcPr>
            <w:tcW w:w="243" w:type="pct"/>
          </w:tcPr>
          <w:p w:rsidR="00D04A6F" w:rsidRPr="00547302" w:rsidRDefault="00D04A6F" w:rsidP="00AA1FE0">
            <w:pPr>
              <w:jc w:val="both"/>
              <w:rPr>
                <w:sz w:val="20"/>
                <w:lang w:val="fr-CA"/>
              </w:rPr>
            </w:pPr>
          </w:p>
        </w:tc>
        <w:tc>
          <w:tcPr>
            <w:tcW w:w="2330" w:type="pct"/>
          </w:tcPr>
          <w:p w:rsidR="00D04A6F" w:rsidRPr="00547302" w:rsidRDefault="00D04A6F" w:rsidP="00AA1FE0">
            <w:pPr>
              <w:jc w:val="both"/>
              <w:rPr>
                <w:sz w:val="20"/>
                <w:lang w:val="fr-CA"/>
              </w:rPr>
            </w:pPr>
            <w:r w:rsidRPr="00547302">
              <w:rPr>
                <w:sz w:val="20"/>
                <w:lang w:val="fr-CA"/>
              </w:rPr>
              <w:t>Rejet de l’appel du demandeur</w:t>
            </w:r>
          </w:p>
          <w:p w:rsidR="00D04A6F" w:rsidRPr="00547302" w:rsidRDefault="00D04A6F" w:rsidP="00AA1FE0">
            <w:pPr>
              <w:jc w:val="both"/>
              <w:rPr>
                <w:sz w:val="20"/>
                <w:lang w:val="fr-CA"/>
              </w:rPr>
            </w:pPr>
          </w:p>
          <w:p w:rsidR="00D04A6F" w:rsidRPr="00547302" w:rsidRDefault="00D04A6F" w:rsidP="00AA1FE0">
            <w:pPr>
              <w:jc w:val="both"/>
              <w:rPr>
                <w:sz w:val="20"/>
                <w:lang w:val="fr-CA"/>
              </w:rPr>
            </w:pPr>
          </w:p>
        </w:tc>
      </w:tr>
      <w:tr w:rsidR="00D04A6F" w:rsidRPr="003D50B9" w:rsidTr="00D04A6F">
        <w:tc>
          <w:tcPr>
            <w:tcW w:w="2427" w:type="pct"/>
            <w:gridSpan w:val="2"/>
          </w:tcPr>
          <w:p w:rsidR="00D04A6F" w:rsidRPr="00547302" w:rsidRDefault="00D04A6F" w:rsidP="00AA1FE0">
            <w:pPr>
              <w:jc w:val="both"/>
              <w:rPr>
                <w:sz w:val="20"/>
                <w:lang w:val="fr-CA"/>
              </w:rPr>
            </w:pPr>
            <w:r w:rsidRPr="00547302">
              <w:rPr>
                <w:sz w:val="20"/>
                <w:lang w:val="fr-CA"/>
              </w:rPr>
              <w:t>10 octobre 2018</w:t>
            </w:r>
          </w:p>
          <w:p w:rsidR="00D04A6F" w:rsidRPr="00547302" w:rsidRDefault="00D04A6F" w:rsidP="008B3445">
            <w:pPr>
              <w:jc w:val="both"/>
              <w:rPr>
                <w:sz w:val="20"/>
                <w:lang w:val="fr-CA"/>
              </w:rPr>
            </w:pPr>
            <w:r w:rsidRPr="00547302">
              <w:rPr>
                <w:sz w:val="20"/>
                <w:lang w:val="fr-CA"/>
              </w:rPr>
              <w:t>Cour suprême du Canada</w:t>
            </w:r>
          </w:p>
        </w:tc>
        <w:tc>
          <w:tcPr>
            <w:tcW w:w="243" w:type="pct"/>
          </w:tcPr>
          <w:p w:rsidR="00D04A6F" w:rsidRPr="00547302" w:rsidRDefault="00D04A6F" w:rsidP="00AA1FE0">
            <w:pPr>
              <w:jc w:val="both"/>
              <w:rPr>
                <w:sz w:val="20"/>
                <w:lang w:val="fr-CA"/>
              </w:rPr>
            </w:pPr>
          </w:p>
        </w:tc>
        <w:tc>
          <w:tcPr>
            <w:tcW w:w="2330" w:type="pct"/>
          </w:tcPr>
          <w:p w:rsidR="00D04A6F" w:rsidRPr="00547302" w:rsidRDefault="00D04A6F" w:rsidP="00AA1FE0">
            <w:pPr>
              <w:jc w:val="both"/>
              <w:rPr>
                <w:sz w:val="20"/>
                <w:lang w:val="fr-CA"/>
              </w:rPr>
            </w:pPr>
            <w:r w:rsidRPr="00547302">
              <w:rPr>
                <w:sz w:val="20"/>
                <w:lang w:val="fr-CA"/>
              </w:rPr>
              <w:t>Dépôt de la demande d’autorisation d’appel</w:t>
            </w:r>
          </w:p>
          <w:p w:rsidR="00D04A6F" w:rsidRPr="00547302" w:rsidRDefault="00D04A6F" w:rsidP="00AA1FE0">
            <w:pPr>
              <w:jc w:val="both"/>
              <w:rPr>
                <w:sz w:val="20"/>
                <w:lang w:val="fr-CA"/>
              </w:rPr>
            </w:pPr>
          </w:p>
        </w:tc>
      </w:tr>
    </w:tbl>
    <w:p w:rsidR="00D04A6F" w:rsidRPr="00547302" w:rsidRDefault="00D04A6F" w:rsidP="00AA1FE0">
      <w:pPr>
        <w:jc w:val="both"/>
        <w:rPr>
          <w:sz w:val="20"/>
          <w:lang w:val="fr-CA"/>
        </w:rPr>
      </w:pPr>
    </w:p>
    <w:p w:rsidR="0082039A" w:rsidRPr="00547302" w:rsidRDefault="0082039A" w:rsidP="00AA1FE0">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E7B68" w:rsidRPr="00547302" w:rsidTr="00460DF0">
        <w:tc>
          <w:tcPr>
            <w:tcW w:w="543" w:type="pct"/>
          </w:tcPr>
          <w:p w:rsidR="005E7B68" w:rsidRPr="00547302" w:rsidRDefault="005E7B68" w:rsidP="00460DF0">
            <w:pPr>
              <w:jc w:val="both"/>
              <w:rPr>
                <w:sz w:val="20"/>
              </w:rPr>
            </w:pPr>
            <w:r w:rsidRPr="00547302">
              <w:rPr>
                <w:rStyle w:val="SCCFileNumberChar"/>
                <w:sz w:val="20"/>
                <w:szCs w:val="20"/>
              </w:rPr>
              <w:t>38439</w:t>
            </w:r>
          </w:p>
        </w:tc>
        <w:tc>
          <w:tcPr>
            <w:tcW w:w="4457" w:type="pct"/>
            <w:gridSpan w:val="3"/>
          </w:tcPr>
          <w:p w:rsidR="005E7B68" w:rsidRPr="00547302" w:rsidRDefault="005E7B68" w:rsidP="00460DF0">
            <w:pPr>
              <w:pStyle w:val="SCCLsocParty"/>
              <w:jc w:val="both"/>
              <w:rPr>
                <w:b/>
                <w:sz w:val="20"/>
                <w:szCs w:val="20"/>
                <w:lang w:val="en-US"/>
              </w:rPr>
            </w:pPr>
            <w:r w:rsidRPr="00547302">
              <w:rPr>
                <w:b/>
                <w:sz w:val="20"/>
                <w:szCs w:val="20"/>
                <w:lang w:val="en-US"/>
              </w:rPr>
              <w:t>Saju Begum v. Minister of Citizenship and Immigration</w:t>
            </w:r>
          </w:p>
          <w:p w:rsidR="005E7B68" w:rsidRPr="00547302" w:rsidRDefault="005E7B68" w:rsidP="00460DF0">
            <w:pPr>
              <w:jc w:val="both"/>
              <w:rPr>
                <w:sz w:val="20"/>
              </w:rPr>
            </w:pPr>
            <w:r w:rsidRPr="00547302">
              <w:rPr>
                <w:sz w:val="20"/>
              </w:rPr>
              <w:t>(F.C.) (Civil) (By Leave)</w:t>
            </w:r>
          </w:p>
        </w:tc>
      </w:tr>
      <w:tr w:rsidR="005E7B68" w:rsidRPr="00547302" w:rsidTr="00460DF0">
        <w:tc>
          <w:tcPr>
            <w:tcW w:w="5000" w:type="pct"/>
            <w:gridSpan w:val="4"/>
          </w:tcPr>
          <w:p w:rsidR="005E7B68" w:rsidRPr="00547302" w:rsidRDefault="005E7B68" w:rsidP="00460DF0">
            <w:pPr>
              <w:jc w:val="both"/>
              <w:rPr>
                <w:sz w:val="20"/>
              </w:rPr>
            </w:pPr>
            <w:r w:rsidRPr="00547302">
              <w:rPr>
                <w:i/>
                <w:sz w:val="20"/>
              </w:rPr>
              <w:t>Charter of rights</w:t>
            </w:r>
            <w:r w:rsidRPr="00547302">
              <w:rPr>
                <w:sz w:val="20"/>
              </w:rPr>
              <w:t xml:space="preserve"> — Right to equality — Discrimination based on the intersection of race, sex and disability — Application to sponsor family members under the parent grandparent program refused on the basis that applicant did not meet the </w:t>
            </w:r>
            <w:r w:rsidRPr="00547302">
              <w:rPr>
                <w:sz w:val="20"/>
                <w:lang w:val="en"/>
              </w:rPr>
              <w:t xml:space="preserve">minimum necessary income requirement under the governing regulations —Applicant is a woman, she is of Bangladeshi descent, and she has been diagnosed with depression — Does the provision of the </w:t>
            </w:r>
            <w:r w:rsidRPr="00547302">
              <w:rPr>
                <w:i/>
                <w:sz w:val="20"/>
                <w:lang w:val="en"/>
              </w:rPr>
              <w:t>Immigration and Refugee Protection Regulations</w:t>
            </w:r>
            <w:r w:rsidRPr="00547302">
              <w:rPr>
                <w:sz w:val="20"/>
                <w:lang w:val="en"/>
              </w:rPr>
              <w:t xml:space="preserve"> that requires a minimum necessary income to sponsor a parent or grandparent as permanent residents violate section 15 of the </w:t>
            </w:r>
            <w:r w:rsidRPr="00547302">
              <w:rPr>
                <w:i/>
                <w:sz w:val="20"/>
                <w:lang w:val="en"/>
              </w:rPr>
              <w:t>Charter</w:t>
            </w:r>
            <w:r w:rsidRPr="00547302">
              <w:rPr>
                <w:sz w:val="20"/>
                <w:lang w:val="en"/>
              </w:rPr>
              <w:t xml:space="preserve">? —What is the evidentiary burden to be met in an adverse effects discrimination claim under subsection 15(1) of the </w:t>
            </w:r>
            <w:r w:rsidRPr="00547302">
              <w:rPr>
                <w:i/>
                <w:sz w:val="20"/>
                <w:lang w:val="en"/>
              </w:rPr>
              <w:t>Charter</w:t>
            </w:r>
            <w:r w:rsidRPr="00547302">
              <w:rPr>
                <w:sz w:val="20"/>
                <w:lang w:val="en"/>
              </w:rPr>
              <w:t xml:space="preserve">? — </w:t>
            </w:r>
            <w:r w:rsidRPr="00547302">
              <w:rPr>
                <w:i/>
                <w:sz w:val="20"/>
                <w:lang w:val="en"/>
              </w:rPr>
              <w:t>Immigration and Refugee Protection Regulations</w:t>
            </w:r>
            <w:r w:rsidRPr="00547302">
              <w:rPr>
                <w:sz w:val="20"/>
                <w:lang w:val="en"/>
              </w:rPr>
              <w:t>, SOR/2002-227, s. 133(1)(j)</w:t>
            </w:r>
          </w:p>
        </w:tc>
      </w:tr>
      <w:tr w:rsidR="005E7B68" w:rsidRPr="00547302" w:rsidTr="00460DF0">
        <w:tc>
          <w:tcPr>
            <w:tcW w:w="5000" w:type="pct"/>
            <w:gridSpan w:val="4"/>
          </w:tcPr>
          <w:p w:rsidR="005E7B68" w:rsidRPr="00547302" w:rsidRDefault="005E7B68" w:rsidP="00460DF0">
            <w:pPr>
              <w:jc w:val="both"/>
              <w:rPr>
                <w:sz w:val="20"/>
              </w:rPr>
            </w:pPr>
          </w:p>
        </w:tc>
      </w:tr>
      <w:tr w:rsidR="005E7B68" w:rsidRPr="00547302" w:rsidTr="00460DF0">
        <w:tc>
          <w:tcPr>
            <w:tcW w:w="5000" w:type="pct"/>
            <w:gridSpan w:val="4"/>
          </w:tcPr>
          <w:p w:rsidR="005E7B68" w:rsidRPr="00547302" w:rsidRDefault="005E7B68" w:rsidP="00460DF0">
            <w:pPr>
              <w:jc w:val="both"/>
              <w:rPr>
                <w:sz w:val="20"/>
              </w:rPr>
            </w:pPr>
            <w:r w:rsidRPr="00547302">
              <w:rPr>
                <w:sz w:val="20"/>
                <w:lang w:val="en"/>
              </w:rPr>
              <w:t xml:space="preserve">Ms. Begum is a Canadian citizen who was born in Bangladesh and came to Canada in 1994 under the sponsorship of her husband. They have five children. In 2004, Ms. Begum visited her family in Bangladesh. After the visit, she was diagnosed with depression. In 2008, Ms. Begum applied to sponsor her father, mother and siblings for permanent residence in Canada under the parent grandparent program. Ms. Begum did not have the income to meet the minimum necessary income (MNI) requirement under the governing regulations. </w:t>
            </w:r>
            <w:r w:rsidRPr="00547302">
              <w:rPr>
                <w:sz w:val="20"/>
              </w:rPr>
              <w:t xml:space="preserve">A visa officer refused the application. She filed an appeal of the refusal to the Immigration Appeal Division of the Immigration and Refugee Board (IAD) and </w:t>
            </w:r>
            <w:r w:rsidRPr="00547302">
              <w:rPr>
                <w:sz w:val="20"/>
                <w:lang w:val="en"/>
              </w:rPr>
              <w:t>challenged the constitutionality of the MNI requirement, arguing that because women, racialized communities and people with disabilities experience economic, employment, and income disparities in Canadian society, she was adversely impacted by the MNI requirement, which creates a distinction based on the enumerated grounds of race, sex, and disability, and perpetuates the pre</w:t>
            </w:r>
            <w:r w:rsidRPr="00547302">
              <w:rPr>
                <w:sz w:val="20"/>
                <w:lang w:val="en"/>
              </w:rPr>
              <w:noBreakHyphen/>
              <w:t xml:space="preserve">existing disadvantages faced by these groups. </w:t>
            </w:r>
            <w:r w:rsidRPr="00547302">
              <w:rPr>
                <w:sz w:val="20"/>
              </w:rPr>
              <w:t>The IAD dismissed Ms. Begum’s appeal finding that the evidence did not demonstrate a causal connection that produced a disproportionate impact or an adverse effect. On judicial review and appeal, the Federal Court and the Federal Court of Appeal agreed with the IAD.</w:t>
            </w:r>
          </w:p>
          <w:p w:rsidR="005E7B68" w:rsidRPr="00547302" w:rsidRDefault="005E7B68" w:rsidP="00460DF0">
            <w:pPr>
              <w:jc w:val="both"/>
              <w:rPr>
                <w:sz w:val="20"/>
              </w:rPr>
            </w:pPr>
          </w:p>
        </w:tc>
      </w:tr>
      <w:tr w:rsidR="005E7B68" w:rsidRPr="00547302" w:rsidTr="00460DF0">
        <w:tc>
          <w:tcPr>
            <w:tcW w:w="2427" w:type="pct"/>
            <w:gridSpan w:val="2"/>
          </w:tcPr>
          <w:p w:rsidR="005E7B68" w:rsidRPr="00547302" w:rsidRDefault="005E7B68" w:rsidP="00460DF0">
            <w:pPr>
              <w:jc w:val="both"/>
              <w:rPr>
                <w:sz w:val="20"/>
              </w:rPr>
            </w:pPr>
            <w:r w:rsidRPr="00547302">
              <w:rPr>
                <w:sz w:val="20"/>
              </w:rPr>
              <w:t>July 7, 2016</w:t>
            </w:r>
          </w:p>
          <w:p w:rsidR="005E7B68" w:rsidRPr="00547302" w:rsidRDefault="005E7B68" w:rsidP="00460DF0">
            <w:pPr>
              <w:jc w:val="both"/>
              <w:rPr>
                <w:sz w:val="20"/>
              </w:rPr>
            </w:pPr>
            <w:r w:rsidRPr="00547302">
              <w:rPr>
                <w:sz w:val="20"/>
              </w:rPr>
              <w:t>Immigration and Refugee Board of Canada</w:t>
            </w:r>
          </w:p>
          <w:p w:rsidR="005E7B68" w:rsidRPr="00547302" w:rsidRDefault="005E7B68" w:rsidP="00460DF0">
            <w:pPr>
              <w:jc w:val="both"/>
              <w:rPr>
                <w:sz w:val="20"/>
              </w:rPr>
            </w:pPr>
            <w:r w:rsidRPr="00547302">
              <w:rPr>
                <w:sz w:val="20"/>
              </w:rPr>
              <w:t>Immigration Appeal Division</w:t>
            </w:r>
          </w:p>
          <w:p w:rsidR="005E7B68" w:rsidRPr="00547302" w:rsidRDefault="005E7B68" w:rsidP="00460DF0">
            <w:pPr>
              <w:jc w:val="both"/>
              <w:rPr>
                <w:sz w:val="20"/>
              </w:rPr>
            </w:pPr>
            <w:r w:rsidRPr="00547302">
              <w:rPr>
                <w:sz w:val="20"/>
              </w:rPr>
              <w:t>(</w:t>
            </w:r>
            <w:proofErr w:type="spellStart"/>
            <w:r w:rsidRPr="00547302">
              <w:rPr>
                <w:sz w:val="20"/>
              </w:rPr>
              <w:t>Macdougall</w:t>
            </w:r>
            <w:proofErr w:type="spellEnd"/>
            <w:r w:rsidRPr="00547302">
              <w:rPr>
                <w:sz w:val="20"/>
              </w:rPr>
              <w:t>, Donald V.)</w:t>
            </w:r>
          </w:p>
          <w:p w:rsidR="005E7B68" w:rsidRPr="00547302" w:rsidRDefault="00FC1FD2" w:rsidP="00460DF0">
            <w:pPr>
              <w:jc w:val="both"/>
              <w:rPr>
                <w:sz w:val="20"/>
              </w:rPr>
            </w:pPr>
            <w:hyperlink r:id="rId54" w:history="1">
              <w:r w:rsidR="005E7B68" w:rsidRPr="00547302">
                <w:rPr>
                  <w:rStyle w:val="Hyperlink"/>
                  <w:sz w:val="20"/>
                </w:rPr>
                <w:t>2016 CanLII 73712</w:t>
              </w:r>
            </w:hyperlink>
          </w:p>
          <w:p w:rsidR="005E7B68" w:rsidRPr="00547302" w:rsidRDefault="005E7B68" w:rsidP="00460DF0">
            <w:pPr>
              <w:jc w:val="both"/>
              <w:rPr>
                <w:sz w:val="20"/>
              </w:rPr>
            </w:pPr>
          </w:p>
        </w:tc>
        <w:tc>
          <w:tcPr>
            <w:tcW w:w="243" w:type="pct"/>
          </w:tcPr>
          <w:p w:rsidR="005E7B68" w:rsidRPr="00547302" w:rsidRDefault="005E7B68" w:rsidP="00460DF0">
            <w:pPr>
              <w:jc w:val="both"/>
              <w:rPr>
                <w:sz w:val="20"/>
              </w:rPr>
            </w:pPr>
          </w:p>
        </w:tc>
        <w:tc>
          <w:tcPr>
            <w:tcW w:w="2330" w:type="pct"/>
          </w:tcPr>
          <w:p w:rsidR="005E7B68" w:rsidRPr="00547302" w:rsidRDefault="005E7B68" w:rsidP="00460DF0">
            <w:pPr>
              <w:jc w:val="both"/>
              <w:rPr>
                <w:sz w:val="20"/>
              </w:rPr>
            </w:pPr>
            <w:r w:rsidRPr="00547302">
              <w:rPr>
                <w:sz w:val="20"/>
              </w:rPr>
              <w:t xml:space="preserve">Applicant’s appeal to sponsor her father, mother, and siblings for permanent residence dismissed </w:t>
            </w:r>
          </w:p>
        </w:tc>
      </w:tr>
      <w:tr w:rsidR="005E7B68" w:rsidRPr="00547302" w:rsidTr="00460DF0">
        <w:tc>
          <w:tcPr>
            <w:tcW w:w="2427" w:type="pct"/>
            <w:gridSpan w:val="2"/>
          </w:tcPr>
          <w:p w:rsidR="005E7B68" w:rsidRPr="00547302" w:rsidRDefault="005E7B68" w:rsidP="00460DF0">
            <w:pPr>
              <w:jc w:val="both"/>
              <w:rPr>
                <w:sz w:val="20"/>
              </w:rPr>
            </w:pPr>
            <w:r w:rsidRPr="00547302">
              <w:rPr>
                <w:sz w:val="20"/>
              </w:rPr>
              <w:t>April 26, 2017</w:t>
            </w:r>
          </w:p>
          <w:p w:rsidR="005E7B68" w:rsidRPr="00547302" w:rsidRDefault="005E7B68" w:rsidP="00460DF0">
            <w:pPr>
              <w:jc w:val="both"/>
              <w:rPr>
                <w:sz w:val="20"/>
              </w:rPr>
            </w:pPr>
            <w:r w:rsidRPr="00547302">
              <w:rPr>
                <w:sz w:val="20"/>
              </w:rPr>
              <w:t>Federal Court</w:t>
            </w:r>
          </w:p>
          <w:p w:rsidR="005E7B68" w:rsidRPr="00547302" w:rsidRDefault="005E7B68" w:rsidP="00460DF0">
            <w:pPr>
              <w:jc w:val="both"/>
              <w:rPr>
                <w:sz w:val="20"/>
              </w:rPr>
            </w:pPr>
            <w:r w:rsidRPr="00547302">
              <w:rPr>
                <w:sz w:val="20"/>
              </w:rPr>
              <w:t>(Russell, J.)</w:t>
            </w:r>
          </w:p>
          <w:p w:rsidR="005E7B68" w:rsidRPr="00547302" w:rsidRDefault="00FC1FD2" w:rsidP="00460DF0">
            <w:pPr>
              <w:jc w:val="both"/>
              <w:rPr>
                <w:sz w:val="20"/>
              </w:rPr>
            </w:pPr>
            <w:hyperlink r:id="rId55" w:history="1">
              <w:r w:rsidR="005E7B68" w:rsidRPr="00547302">
                <w:rPr>
                  <w:rStyle w:val="Hyperlink"/>
                  <w:sz w:val="20"/>
                </w:rPr>
                <w:t>2017 FC 409</w:t>
              </w:r>
            </w:hyperlink>
            <w:r w:rsidR="005E7B68" w:rsidRPr="00547302">
              <w:rPr>
                <w:sz w:val="20"/>
              </w:rPr>
              <w:t xml:space="preserve"> </w:t>
            </w:r>
          </w:p>
          <w:p w:rsidR="005E7B68" w:rsidRPr="00547302" w:rsidRDefault="005E7B68" w:rsidP="00460DF0">
            <w:pPr>
              <w:jc w:val="both"/>
              <w:rPr>
                <w:sz w:val="20"/>
              </w:rPr>
            </w:pPr>
          </w:p>
        </w:tc>
        <w:tc>
          <w:tcPr>
            <w:tcW w:w="243" w:type="pct"/>
          </w:tcPr>
          <w:p w:rsidR="005E7B68" w:rsidRPr="00547302" w:rsidRDefault="005E7B68" w:rsidP="00460DF0">
            <w:pPr>
              <w:jc w:val="both"/>
              <w:rPr>
                <w:sz w:val="20"/>
              </w:rPr>
            </w:pPr>
          </w:p>
        </w:tc>
        <w:tc>
          <w:tcPr>
            <w:tcW w:w="2330" w:type="pct"/>
          </w:tcPr>
          <w:p w:rsidR="005E7B68" w:rsidRPr="00547302" w:rsidRDefault="005E7B68" w:rsidP="00460DF0">
            <w:pPr>
              <w:jc w:val="both"/>
              <w:rPr>
                <w:sz w:val="20"/>
              </w:rPr>
            </w:pPr>
            <w:r w:rsidRPr="00547302">
              <w:rPr>
                <w:sz w:val="20"/>
              </w:rPr>
              <w:t>Judicial review dismissed; serious questions of general importance certified for appeal</w:t>
            </w:r>
          </w:p>
        </w:tc>
      </w:tr>
      <w:tr w:rsidR="005E7B68" w:rsidRPr="00547302" w:rsidTr="00460DF0">
        <w:tc>
          <w:tcPr>
            <w:tcW w:w="2427" w:type="pct"/>
            <w:gridSpan w:val="2"/>
          </w:tcPr>
          <w:p w:rsidR="005E7B68" w:rsidRPr="00547302" w:rsidRDefault="005E7B68" w:rsidP="00460DF0">
            <w:pPr>
              <w:jc w:val="both"/>
              <w:rPr>
                <w:sz w:val="20"/>
              </w:rPr>
            </w:pPr>
            <w:r w:rsidRPr="00547302">
              <w:rPr>
                <w:sz w:val="20"/>
              </w:rPr>
              <w:t>October 10, 2018</w:t>
            </w:r>
          </w:p>
          <w:p w:rsidR="005E7B68" w:rsidRPr="00547302" w:rsidRDefault="005E7B68" w:rsidP="00460DF0">
            <w:pPr>
              <w:jc w:val="both"/>
              <w:rPr>
                <w:sz w:val="20"/>
              </w:rPr>
            </w:pPr>
            <w:r w:rsidRPr="00547302">
              <w:rPr>
                <w:sz w:val="20"/>
              </w:rPr>
              <w:t>Federal Court of Appeal</w:t>
            </w:r>
          </w:p>
          <w:p w:rsidR="005E7B68" w:rsidRPr="00547302" w:rsidRDefault="005E7B68" w:rsidP="00460DF0">
            <w:pPr>
              <w:jc w:val="both"/>
              <w:rPr>
                <w:sz w:val="20"/>
              </w:rPr>
            </w:pPr>
            <w:r w:rsidRPr="00547302">
              <w:rPr>
                <w:sz w:val="20"/>
              </w:rPr>
              <w:lastRenderedPageBreak/>
              <w:t>(Pelletier, Gauthier, de Montigny JJ.A.)</w:t>
            </w:r>
          </w:p>
          <w:p w:rsidR="005E7B68" w:rsidRPr="00547302" w:rsidRDefault="00FC1FD2" w:rsidP="00460DF0">
            <w:pPr>
              <w:jc w:val="both"/>
              <w:rPr>
                <w:sz w:val="20"/>
              </w:rPr>
            </w:pPr>
            <w:hyperlink r:id="rId56" w:history="1">
              <w:r w:rsidR="005E7B68" w:rsidRPr="00547302">
                <w:rPr>
                  <w:rStyle w:val="Hyperlink"/>
                  <w:sz w:val="20"/>
                </w:rPr>
                <w:t>2018 FCA 181</w:t>
              </w:r>
            </w:hyperlink>
            <w:r w:rsidR="005E7B68" w:rsidRPr="00547302">
              <w:rPr>
                <w:sz w:val="20"/>
              </w:rPr>
              <w:t xml:space="preserve"> </w:t>
            </w:r>
          </w:p>
          <w:p w:rsidR="005E7B68" w:rsidRPr="00547302" w:rsidRDefault="005E7B68" w:rsidP="00460DF0">
            <w:pPr>
              <w:jc w:val="both"/>
              <w:rPr>
                <w:sz w:val="20"/>
              </w:rPr>
            </w:pPr>
            <w:r w:rsidRPr="00547302">
              <w:rPr>
                <w:sz w:val="20"/>
              </w:rPr>
              <w:t>File No. A-169-17</w:t>
            </w:r>
          </w:p>
          <w:p w:rsidR="005E7B68" w:rsidRPr="00547302" w:rsidRDefault="005E7B68" w:rsidP="00460DF0">
            <w:pPr>
              <w:jc w:val="both"/>
              <w:rPr>
                <w:sz w:val="20"/>
              </w:rPr>
            </w:pPr>
          </w:p>
        </w:tc>
        <w:tc>
          <w:tcPr>
            <w:tcW w:w="243" w:type="pct"/>
          </w:tcPr>
          <w:p w:rsidR="005E7B68" w:rsidRPr="00547302" w:rsidRDefault="005E7B68" w:rsidP="00460DF0">
            <w:pPr>
              <w:jc w:val="both"/>
              <w:rPr>
                <w:sz w:val="20"/>
              </w:rPr>
            </w:pPr>
          </w:p>
        </w:tc>
        <w:tc>
          <w:tcPr>
            <w:tcW w:w="2330" w:type="pct"/>
          </w:tcPr>
          <w:p w:rsidR="005E7B68" w:rsidRPr="00547302" w:rsidRDefault="005E7B68" w:rsidP="00460DF0">
            <w:pPr>
              <w:jc w:val="both"/>
              <w:rPr>
                <w:sz w:val="20"/>
              </w:rPr>
            </w:pPr>
            <w:r w:rsidRPr="00547302">
              <w:rPr>
                <w:sz w:val="20"/>
              </w:rPr>
              <w:t xml:space="preserve">Appeal dismissed </w:t>
            </w:r>
          </w:p>
        </w:tc>
      </w:tr>
      <w:tr w:rsidR="005E7B68" w:rsidRPr="00547302" w:rsidTr="00460DF0">
        <w:tc>
          <w:tcPr>
            <w:tcW w:w="2427" w:type="pct"/>
            <w:gridSpan w:val="2"/>
          </w:tcPr>
          <w:p w:rsidR="005E7B68" w:rsidRPr="00547302" w:rsidRDefault="005E7B68" w:rsidP="00460DF0">
            <w:pPr>
              <w:jc w:val="both"/>
              <w:rPr>
                <w:sz w:val="20"/>
              </w:rPr>
            </w:pPr>
            <w:r w:rsidRPr="00547302">
              <w:rPr>
                <w:sz w:val="20"/>
              </w:rPr>
              <w:t>December 10, 2018</w:t>
            </w:r>
          </w:p>
          <w:p w:rsidR="005E7B68" w:rsidRPr="00547302" w:rsidRDefault="005E7B68" w:rsidP="00460DF0">
            <w:pPr>
              <w:jc w:val="both"/>
              <w:rPr>
                <w:sz w:val="20"/>
              </w:rPr>
            </w:pPr>
            <w:r w:rsidRPr="00547302">
              <w:rPr>
                <w:sz w:val="20"/>
              </w:rPr>
              <w:t>Supreme Court of Canada</w:t>
            </w:r>
          </w:p>
        </w:tc>
        <w:tc>
          <w:tcPr>
            <w:tcW w:w="243" w:type="pct"/>
          </w:tcPr>
          <w:p w:rsidR="005E7B68" w:rsidRPr="00547302" w:rsidRDefault="005E7B68" w:rsidP="00460DF0">
            <w:pPr>
              <w:jc w:val="both"/>
              <w:rPr>
                <w:sz w:val="20"/>
              </w:rPr>
            </w:pPr>
          </w:p>
        </w:tc>
        <w:tc>
          <w:tcPr>
            <w:tcW w:w="2330" w:type="pct"/>
          </w:tcPr>
          <w:p w:rsidR="005E7B68" w:rsidRPr="00547302" w:rsidRDefault="005E7B68" w:rsidP="00460DF0">
            <w:pPr>
              <w:jc w:val="both"/>
              <w:rPr>
                <w:sz w:val="20"/>
              </w:rPr>
            </w:pPr>
            <w:r w:rsidRPr="00547302">
              <w:rPr>
                <w:sz w:val="20"/>
              </w:rPr>
              <w:t>Application for leave to appeal filed</w:t>
            </w:r>
          </w:p>
          <w:p w:rsidR="005E7B68" w:rsidRPr="00547302" w:rsidRDefault="005E7B68" w:rsidP="00460DF0">
            <w:pPr>
              <w:jc w:val="both"/>
              <w:rPr>
                <w:sz w:val="20"/>
              </w:rPr>
            </w:pPr>
          </w:p>
        </w:tc>
      </w:tr>
    </w:tbl>
    <w:p w:rsidR="0082039A" w:rsidRPr="00547302" w:rsidRDefault="0082039A" w:rsidP="00AA1FE0">
      <w:pPr>
        <w:jc w:val="both"/>
        <w:rPr>
          <w:sz w:val="20"/>
        </w:rPr>
      </w:pPr>
    </w:p>
    <w:p w:rsidR="00D04A6F" w:rsidRPr="00547302" w:rsidRDefault="00D04A6F" w:rsidP="00AA1FE0">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04A6F" w:rsidRPr="00547302" w:rsidTr="00D04A6F">
        <w:tc>
          <w:tcPr>
            <w:tcW w:w="543" w:type="pct"/>
          </w:tcPr>
          <w:p w:rsidR="00D04A6F" w:rsidRPr="00547302" w:rsidRDefault="00D04A6F" w:rsidP="00AA1FE0">
            <w:pPr>
              <w:jc w:val="both"/>
              <w:rPr>
                <w:sz w:val="20"/>
                <w:lang w:val="fr-CA"/>
              </w:rPr>
            </w:pPr>
            <w:r w:rsidRPr="00547302">
              <w:rPr>
                <w:rStyle w:val="SCCFileNumberChar"/>
                <w:sz w:val="20"/>
                <w:szCs w:val="20"/>
                <w:lang w:val="fr-CA"/>
              </w:rPr>
              <w:t>38439</w:t>
            </w:r>
          </w:p>
        </w:tc>
        <w:tc>
          <w:tcPr>
            <w:tcW w:w="4457" w:type="pct"/>
            <w:gridSpan w:val="3"/>
          </w:tcPr>
          <w:p w:rsidR="00D04A6F" w:rsidRPr="00547302" w:rsidRDefault="00D04A6F" w:rsidP="00AA1FE0">
            <w:pPr>
              <w:pStyle w:val="SCCLsocParty"/>
              <w:jc w:val="both"/>
              <w:rPr>
                <w:b/>
                <w:sz w:val="20"/>
                <w:szCs w:val="20"/>
              </w:rPr>
            </w:pPr>
            <w:r w:rsidRPr="00547302">
              <w:rPr>
                <w:b/>
                <w:sz w:val="20"/>
                <w:szCs w:val="20"/>
              </w:rPr>
              <w:t>Saju Begum c. Ministre de la Citoyenneté et de l’Immigration</w:t>
            </w:r>
          </w:p>
          <w:p w:rsidR="00D04A6F" w:rsidRPr="00547302" w:rsidRDefault="00D04A6F" w:rsidP="00AA1FE0">
            <w:pPr>
              <w:jc w:val="both"/>
              <w:rPr>
                <w:sz w:val="20"/>
                <w:lang w:val="fr-CA"/>
              </w:rPr>
            </w:pPr>
            <w:r w:rsidRPr="00547302">
              <w:rPr>
                <w:sz w:val="20"/>
                <w:lang w:val="fr-CA"/>
              </w:rPr>
              <w:t>(C</w:t>
            </w:r>
            <w:r w:rsidR="005E7B68" w:rsidRPr="00547302">
              <w:rPr>
                <w:sz w:val="20"/>
                <w:lang w:val="fr-CA"/>
              </w:rPr>
              <w:t>.</w:t>
            </w:r>
            <w:r w:rsidRPr="00547302">
              <w:rPr>
                <w:sz w:val="20"/>
                <w:lang w:val="fr-CA"/>
              </w:rPr>
              <w:t>F</w:t>
            </w:r>
            <w:r w:rsidR="005E7B68" w:rsidRPr="00547302">
              <w:rPr>
                <w:sz w:val="20"/>
                <w:lang w:val="fr-CA"/>
              </w:rPr>
              <w:t>.</w:t>
            </w:r>
            <w:r w:rsidRPr="00547302">
              <w:rPr>
                <w:sz w:val="20"/>
                <w:lang w:val="fr-CA"/>
              </w:rPr>
              <w:t>) (Civile) (Autorisation)</w:t>
            </w:r>
          </w:p>
        </w:tc>
      </w:tr>
      <w:tr w:rsidR="00D04A6F" w:rsidRPr="003D50B9" w:rsidTr="00D04A6F">
        <w:tc>
          <w:tcPr>
            <w:tcW w:w="5000" w:type="pct"/>
            <w:gridSpan w:val="4"/>
          </w:tcPr>
          <w:p w:rsidR="00D04A6F" w:rsidRPr="00547302" w:rsidRDefault="00D04A6F" w:rsidP="00AA1FE0">
            <w:pPr>
              <w:jc w:val="both"/>
              <w:rPr>
                <w:sz w:val="20"/>
                <w:lang w:val="fr-CA"/>
              </w:rPr>
            </w:pPr>
            <w:r w:rsidRPr="00547302">
              <w:rPr>
                <w:i/>
                <w:sz w:val="20"/>
                <w:lang w:val="fr-CA"/>
              </w:rPr>
              <w:t>Charte des droits</w:t>
            </w:r>
            <w:r w:rsidRPr="00547302">
              <w:rPr>
                <w:sz w:val="20"/>
                <w:lang w:val="fr-CA"/>
              </w:rPr>
              <w:t xml:space="preserve"> — Droit à l’égalité — Discrimination fondée sur l’intersectionnalité de la race, du sexe et de l’invalidité — Demande de parrainage de membres de la famille dans le cadre du programme des parents et des grands-parents rejetée parce que la demanderesse ne répondait pas à l’exigence relative au revenu vital minimum prévue dans le règlement applicable — La demanderesse est une femme, elle est d’origine bangladaise et elle a reçu un diagnostic de dépression — Les dispositions du </w:t>
            </w:r>
            <w:r w:rsidRPr="00547302">
              <w:rPr>
                <w:i/>
                <w:sz w:val="20"/>
                <w:lang w:val="fr-CA"/>
              </w:rPr>
              <w:t>Règlement sur l’immigration et la protection des réfugiés</w:t>
            </w:r>
            <w:r w:rsidRPr="00547302">
              <w:rPr>
                <w:sz w:val="20"/>
                <w:lang w:val="fr-CA"/>
              </w:rPr>
              <w:t xml:space="preserve"> qui exigent un revenu vital minimum pour parrainer la demande de résidence permanente d’un parent ou d’un </w:t>
            </w:r>
            <w:proofErr w:type="spellStart"/>
            <w:r w:rsidRPr="00547302">
              <w:rPr>
                <w:sz w:val="20"/>
                <w:lang w:val="fr-CA"/>
              </w:rPr>
              <w:t>grand</w:t>
            </w:r>
            <w:r w:rsidRPr="00547302">
              <w:rPr>
                <w:sz w:val="20"/>
                <w:lang w:val="fr-CA"/>
              </w:rPr>
              <w:noBreakHyphen/>
              <w:t>parent</w:t>
            </w:r>
            <w:proofErr w:type="spellEnd"/>
            <w:r w:rsidRPr="00547302">
              <w:rPr>
                <w:sz w:val="20"/>
                <w:lang w:val="fr-CA"/>
              </w:rPr>
              <w:t xml:space="preserve"> violent</w:t>
            </w:r>
            <w:r w:rsidRPr="00547302">
              <w:rPr>
                <w:sz w:val="20"/>
                <w:lang w:val="fr-CA"/>
              </w:rPr>
              <w:noBreakHyphen/>
              <w:t xml:space="preserve">elles l’art. 15 de la </w:t>
            </w:r>
            <w:r w:rsidRPr="00547302">
              <w:rPr>
                <w:i/>
                <w:sz w:val="20"/>
                <w:lang w:val="fr-CA"/>
              </w:rPr>
              <w:t>Charte</w:t>
            </w:r>
            <w:r w:rsidRPr="00547302">
              <w:rPr>
                <w:sz w:val="20"/>
                <w:lang w:val="fr-CA"/>
              </w:rPr>
              <w:t xml:space="preserve">? — Quel est le fardeau de la preuve dans le cas d’une demande portant sur l’effet préjudiciable discriminatoire fondée sur le par. 15(1) de la </w:t>
            </w:r>
            <w:r w:rsidRPr="00547302">
              <w:rPr>
                <w:i/>
                <w:sz w:val="20"/>
                <w:lang w:val="fr-CA"/>
              </w:rPr>
              <w:t>Charte</w:t>
            </w:r>
            <w:r w:rsidRPr="00547302">
              <w:rPr>
                <w:sz w:val="20"/>
                <w:lang w:val="fr-CA"/>
              </w:rPr>
              <w:t xml:space="preserve">? — </w:t>
            </w:r>
            <w:r w:rsidRPr="00547302">
              <w:rPr>
                <w:i/>
                <w:sz w:val="20"/>
                <w:lang w:val="fr-CA"/>
              </w:rPr>
              <w:t>Règlement sur l’immigration et la protection des réfugiés</w:t>
            </w:r>
            <w:r w:rsidRPr="00547302">
              <w:rPr>
                <w:sz w:val="20"/>
                <w:lang w:val="fr-CA"/>
              </w:rPr>
              <w:t>, DORS/2002</w:t>
            </w:r>
            <w:r w:rsidRPr="00547302">
              <w:rPr>
                <w:sz w:val="20"/>
                <w:lang w:val="fr-CA"/>
              </w:rPr>
              <w:noBreakHyphen/>
              <w:t>227, al. 133(1)j)</w:t>
            </w:r>
          </w:p>
        </w:tc>
      </w:tr>
      <w:tr w:rsidR="00D04A6F" w:rsidRPr="003D50B9" w:rsidTr="00D04A6F">
        <w:tc>
          <w:tcPr>
            <w:tcW w:w="5000" w:type="pct"/>
            <w:gridSpan w:val="4"/>
          </w:tcPr>
          <w:p w:rsidR="00D04A6F" w:rsidRPr="00547302" w:rsidRDefault="00D04A6F" w:rsidP="00AA1FE0">
            <w:pPr>
              <w:jc w:val="both"/>
              <w:rPr>
                <w:sz w:val="20"/>
                <w:lang w:val="fr-CA"/>
              </w:rPr>
            </w:pPr>
          </w:p>
        </w:tc>
      </w:tr>
      <w:tr w:rsidR="00D04A6F" w:rsidRPr="003D50B9" w:rsidTr="00D04A6F">
        <w:tc>
          <w:tcPr>
            <w:tcW w:w="5000" w:type="pct"/>
            <w:gridSpan w:val="4"/>
          </w:tcPr>
          <w:p w:rsidR="00D04A6F" w:rsidRPr="00547302" w:rsidRDefault="00D04A6F" w:rsidP="00AA1FE0">
            <w:pPr>
              <w:jc w:val="both"/>
              <w:rPr>
                <w:sz w:val="20"/>
                <w:lang w:val="fr-CA"/>
              </w:rPr>
            </w:pPr>
            <w:r w:rsidRPr="00547302">
              <w:rPr>
                <w:sz w:val="20"/>
                <w:lang w:val="fr-CA"/>
              </w:rPr>
              <w:t>Madame Begum est une citoyenne canadienne qui est née au Bangladesh et qui est venue au Canada en 1994, parrainée par son mari. Le couple a cinq enfants. En 2004, Mme Begum a rendu visite à sa famille au Bangladesh. Après la visite, elle a reçu un diagnostic de dépression. En 2008, Mme Begum a présenté une demande de parrainage de son père, de sa mère et de ses frères et sœurs pour qu’ils deviennent résidents permanents du Canada dans le cadre du programme des parents et des grands</w:t>
            </w:r>
            <w:r w:rsidRPr="00547302">
              <w:rPr>
                <w:sz w:val="20"/>
                <w:lang w:val="fr-CA"/>
              </w:rPr>
              <w:noBreakHyphen/>
              <w:t>parents. Madame Begum ne disposait pas d’un revenu qui remplissait l’exigence relative au revenu vital minimum (RVM) prévue dans le règlement applicable. Un agent des visas a rejeté la demande. Elle a interjeté appel du rejet à la Section d’appel de l’immigration de la Commission de l’immigration et du statut de réfugié (CISR) et a contesté la constitutionnalité de l’exigence relative au RVM, plaidant que parce que les femmes, les communautés racialisées et les personnes handicapées sont l’objet de disparités économiques, notamment en matière d’emploi et de revenu dans la société canadienne, l’exigence relative au RVM, qui crée une distinction fondée sur les motifs énumérés de la race, du sexe et de l’invalidité, et qui perpétue les désavantages préexistants dont sont victimes ces groupes, lui causait un effet préjudiciable. La CISR a rejeté l’appel de Mme </w:t>
            </w:r>
            <w:proofErr w:type="spellStart"/>
            <w:r w:rsidRPr="00547302">
              <w:rPr>
                <w:sz w:val="20"/>
                <w:lang w:val="fr-CA"/>
              </w:rPr>
              <w:t>Begum</w:t>
            </w:r>
            <w:proofErr w:type="spellEnd"/>
            <w:r w:rsidRPr="00547302">
              <w:rPr>
                <w:sz w:val="20"/>
                <w:lang w:val="fr-CA"/>
              </w:rPr>
              <w:t>, concluant que la preuve ne démontrait pas de lien de causalité qui produisait un effet disproportionné ou préjudiciable. Lors du contrôle judiciaire et en appel, la Cour fédérale et la Cour d’appel fédérale ont souscrit aux conclusions de la CISR.</w:t>
            </w:r>
          </w:p>
          <w:p w:rsidR="00D04A6F" w:rsidRPr="00547302" w:rsidRDefault="00D04A6F" w:rsidP="00AA1FE0">
            <w:pPr>
              <w:jc w:val="both"/>
              <w:rPr>
                <w:sz w:val="20"/>
                <w:lang w:val="fr-CA"/>
              </w:rPr>
            </w:pPr>
          </w:p>
        </w:tc>
      </w:tr>
      <w:tr w:rsidR="00D04A6F" w:rsidRPr="003D50B9" w:rsidTr="00D04A6F">
        <w:tc>
          <w:tcPr>
            <w:tcW w:w="2427" w:type="pct"/>
            <w:gridSpan w:val="2"/>
          </w:tcPr>
          <w:p w:rsidR="00D04A6F" w:rsidRPr="00547302" w:rsidRDefault="00D04A6F" w:rsidP="00AA1FE0">
            <w:pPr>
              <w:jc w:val="both"/>
              <w:rPr>
                <w:sz w:val="20"/>
                <w:lang w:val="fr-CA"/>
              </w:rPr>
            </w:pPr>
            <w:r w:rsidRPr="00547302">
              <w:rPr>
                <w:sz w:val="20"/>
                <w:lang w:val="fr-CA"/>
              </w:rPr>
              <w:t>7 juillet 2016</w:t>
            </w:r>
          </w:p>
          <w:p w:rsidR="00D04A6F" w:rsidRPr="00547302" w:rsidRDefault="00D04A6F" w:rsidP="00AA1FE0">
            <w:pPr>
              <w:jc w:val="both"/>
              <w:rPr>
                <w:sz w:val="20"/>
                <w:lang w:val="fr-CA"/>
              </w:rPr>
            </w:pPr>
            <w:r w:rsidRPr="00547302">
              <w:rPr>
                <w:sz w:val="20"/>
                <w:lang w:val="fr-CA"/>
              </w:rPr>
              <w:t>Section d’appel de l’immigration de la Commission de l’immigration et du statut de réfugié</w:t>
            </w:r>
          </w:p>
          <w:p w:rsidR="00D04A6F" w:rsidRPr="00547302" w:rsidRDefault="00D04A6F" w:rsidP="00AA1FE0">
            <w:pPr>
              <w:jc w:val="both"/>
              <w:rPr>
                <w:sz w:val="20"/>
                <w:lang w:val="fr-CA"/>
              </w:rPr>
            </w:pPr>
            <w:r w:rsidRPr="00547302">
              <w:rPr>
                <w:sz w:val="20"/>
                <w:lang w:val="fr-CA"/>
              </w:rPr>
              <w:t>(Douglas V. Macdougall)</w:t>
            </w:r>
          </w:p>
          <w:p w:rsidR="00D04A6F" w:rsidRPr="00547302" w:rsidRDefault="00FC1FD2" w:rsidP="00AA1FE0">
            <w:pPr>
              <w:jc w:val="both"/>
              <w:rPr>
                <w:sz w:val="20"/>
                <w:lang w:val="fr-CA"/>
              </w:rPr>
            </w:pPr>
            <w:hyperlink r:id="rId57" w:history="1">
              <w:r w:rsidR="00D04A6F" w:rsidRPr="00547302">
                <w:rPr>
                  <w:rStyle w:val="Hyperlink"/>
                  <w:sz w:val="20"/>
                  <w:lang w:val="fr-CA"/>
                </w:rPr>
                <w:t>2016 CanLII 73712</w:t>
              </w:r>
            </w:hyperlink>
          </w:p>
          <w:p w:rsidR="00D04A6F" w:rsidRPr="00547302" w:rsidRDefault="00D04A6F" w:rsidP="00AA1FE0">
            <w:pPr>
              <w:jc w:val="both"/>
              <w:rPr>
                <w:sz w:val="20"/>
                <w:lang w:val="fr-CA"/>
              </w:rPr>
            </w:pPr>
          </w:p>
        </w:tc>
        <w:tc>
          <w:tcPr>
            <w:tcW w:w="243" w:type="pct"/>
          </w:tcPr>
          <w:p w:rsidR="00D04A6F" w:rsidRPr="00547302" w:rsidRDefault="00D04A6F" w:rsidP="00AA1FE0">
            <w:pPr>
              <w:jc w:val="both"/>
              <w:rPr>
                <w:sz w:val="20"/>
                <w:lang w:val="fr-CA"/>
              </w:rPr>
            </w:pPr>
          </w:p>
        </w:tc>
        <w:tc>
          <w:tcPr>
            <w:tcW w:w="2330" w:type="pct"/>
          </w:tcPr>
          <w:p w:rsidR="00D04A6F" w:rsidRPr="00547302" w:rsidRDefault="00D04A6F" w:rsidP="00AA1FE0">
            <w:pPr>
              <w:jc w:val="both"/>
              <w:rPr>
                <w:sz w:val="20"/>
                <w:lang w:val="fr-CA"/>
              </w:rPr>
            </w:pPr>
            <w:r w:rsidRPr="00547302">
              <w:rPr>
                <w:sz w:val="20"/>
                <w:lang w:val="fr-CA"/>
              </w:rPr>
              <w:t xml:space="preserve">Rejet de l’appel de la demanderesse pour parrainer son père, sa mère et ses frères et sœurs pour la résidence permanente </w:t>
            </w:r>
          </w:p>
        </w:tc>
      </w:tr>
      <w:tr w:rsidR="00D04A6F" w:rsidRPr="003D50B9" w:rsidTr="00D04A6F">
        <w:tc>
          <w:tcPr>
            <w:tcW w:w="2427" w:type="pct"/>
            <w:gridSpan w:val="2"/>
          </w:tcPr>
          <w:p w:rsidR="00D04A6F" w:rsidRPr="00547302" w:rsidRDefault="00D04A6F" w:rsidP="00AA1FE0">
            <w:pPr>
              <w:jc w:val="both"/>
              <w:rPr>
                <w:sz w:val="20"/>
                <w:lang w:val="fr-CA"/>
              </w:rPr>
            </w:pPr>
            <w:r w:rsidRPr="00547302">
              <w:rPr>
                <w:sz w:val="20"/>
                <w:lang w:val="fr-CA"/>
              </w:rPr>
              <w:t>26 avril 2017</w:t>
            </w:r>
          </w:p>
          <w:p w:rsidR="00D04A6F" w:rsidRPr="00547302" w:rsidRDefault="00D04A6F" w:rsidP="00AA1FE0">
            <w:pPr>
              <w:jc w:val="both"/>
              <w:rPr>
                <w:sz w:val="20"/>
                <w:lang w:val="fr-CA"/>
              </w:rPr>
            </w:pPr>
            <w:r w:rsidRPr="00547302">
              <w:rPr>
                <w:sz w:val="20"/>
                <w:lang w:val="fr-CA"/>
              </w:rPr>
              <w:t>Cour fédérale</w:t>
            </w:r>
          </w:p>
          <w:p w:rsidR="00D04A6F" w:rsidRPr="00547302" w:rsidRDefault="00D04A6F" w:rsidP="00AA1FE0">
            <w:pPr>
              <w:jc w:val="both"/>
              <w:rPr>
                <w:sz w:val="20"/>
                <w:lang w:val="fr-CA"/>
              </w:rPr>
            </w:pPr>
            <w:r w:rsidRPr="00547302">
              <w:rPr>
                <w:sz w:val="20"/>
                <w:lang w:val="fr-CA"/>
              </w:rPr>
              <w:t>(Juge Russell)</w:t>
            </w:r>
          </w:p>
          <w:p w:rsidR="00D04A6F" w:rsidRPr="00547302" w:rsidRDefault="00FC1FD2" w:rsidP="00AA1FE0">
            <w:pPr>
              <w:jc w:val="both"/>
              <w:rPr>
                <w:sz w:val="20"/>
                <w:lang w:val="fr-CA"/>
              </w:rPr>
            </w:pPr>
            <w:hyperlink r:id="rId58" w:history="1">
              <w:r w:rsidR="00D04A6F" w:rsidRPr="00547302">
                <w:rPr>
                  <w:rStyle w:val="Hyperlink"/>
                  <w:sz w:val="20"/>
                  <w:lang w:val="fr-CA"/>
                </w:rPr>
                <w:t>2017 CF 409</w:t>
              </w:r>
            </w:hyperlink>
          </w:p>
          <w:p w:rsidR="00D04A6F" w:rsidRPr="00547302" w:rsidRDefault="00D04A6F" w:rsidP="00AA1FE0">
            <w:pPr>
              <w:jc w:val="both"/>
              <w:rPr>
                <w:sz w:val="20"/>
                <w:lang w:val="fr-CA"/>
              </w:rPr>
            </w:pPr>
          </w:p>
        </w:tc>
        <w:tc>
          <w:tcPr>
            <w:tcW w:w="243" w:type="pct"/>
          </w:tcPr>
          <w:p w:rsidR="00D04A6F" w:rsidRPr="00547302" w:rsidRDefault="00D04A6F" w:rsidP="00AA1FE0">
            <w:pPr>
              <w:jc w:val="both"/>
              <w:rPr>
                <w:sz w:val="20"/>
                <w:lang w:val="fr-CA"/>
              </w:rPr>
            </w:pPr>
          </w:p>
        </w:tc>
        <w:tc>
          <w:tcPr>
            <w:tcW w:w="2330" w:type="pct"/>
          </w:tcPr>
          <w:p w:rsidR="00D04A6F" w:rsidRPr="00547302" w:rsidRDefault="00D04A6F" w:rsidP="00AA1FE0">
            <w:pPr>
              <w:jc w:val="both"/>
              <w:rPr>
                <w:sz w:val="20"/>
                <w:lang w:val="fr-CA"/>
              </w:rPr>
            </w:pPr>
            <w:r w:rsidRPr="00547302">
              <w:rPr>
                <w:sz w:val="20"/>
                <w:lang w:val="fr-CA"/>
              </w:rPr>
              <w:t>Jugement rejetant la demande de contrôle judiciaire et certifiant</w:t>
            </w:r>
            <w:r w:rsidRPr="00547302">
              <w:rPr>
                <w:color w:val="000000"/>
                <w:sz w:val="20"/>
                <w:shd w:val="clear" w:color="auto" w:fill="FFFFFF"/>
                <w:lang w:val="fr-CA"/>
              </w:rPr>
              <w:t xml:space="preserve"> </w:t>
            </w:r>
            <w:r w:rsidRPr="00547302">
              <w:rPr>
                <w:sz w:val="20"/>
                <w:lang w:val="fr-CA"/>
              </w:rPr>
              <w:t>des questions graves de portée générale aux fins d’un appel</w:t>
            </w:r>
          </w:p>
        </w:tc>
      </w:tr>
      <w:tr w:rsidR="00D04A6F" w:rsidRPr="00547302" w:rsidTr="00D04A6F">
        <w:tc>
          <w:tcPr>
            <w:tcW w:w="2427" w:type="pct"/>
            <w:gridSpan w:val="2"/>
          </w:tcPr>
          <w:p w:rsidR="00D04A6F" w:rsidRPr="00547302" w:rsidRDefault="00D04A6F" w:rsidP="00AA1FE0">
            <w:pPr>
              <w:jc w:val="both"/>
              <w:rPr>
                <w:sz w:val="20"/>
                <w:lang w:val="fr-CA"/>
              </w:rPr>
            </w:pPr>
            <w:r w:rsidRPr="00547302">
              <w:rPr>
                <w:sz w:val="20"/>
                <w:lang w:val="fr-CA"/>
              </w:rPr>
              <w:t>10 octobre 2018</w:t>
            </w:r>
          </w:p>
          <w:p w:rsidR="00D04A6F" w:rsidRPr="00547302" w:rsidRDefault="00D04A6F" w:rsidP="00AA1FE0">
            <w:pPr>
              <w:jc w:val="both"/>
              <w:rPr>
                <w:sz w:val="20"/>
                <w:lang w:val="fr-CA"/>
              </w:rPr>
            </w:pPr>
            <w:r w:rsidRPr="00547302">
              <w:rPr>
                <w:sz w:val="20"/>
                <w:lang w:val="fr-CA"/>
              </w:rPr>
              <w:t>Cour d’appel fédérale</w:t>
            </w:r>
          </w:p>
          <w:p w:rsidR="00D04A6F" w:rsidRPr="00547302" w:rsidRDefault="00D04A6F" w:rsidP="00AA1FE0">
            <w:pPr>
              <w:jc w:val="both"/>
              <w:rPr>
                <w:sz w:val="20"/>
                <w:lang w:val="fr-CA"/>
              </w:rPr>
            </w:pPr>
            <w:r w:rsidRPr="00547302">
              <w:rPr>
                <w:sz w:val="20"/>
                <w:lang w:val="fr-CA"/>
              </w:rPr>
              <w:t>(Juges Pelletier, Gauthier et de Montigny)</w:t>
            </w:r>
          </w:p>
          <w:p w:rsidR="00D04A6F" w:rsidRPr="00547302" w:rsidRDefault="00FC1FD2" w:rsidP="00AA1FE0">
            <w:pPr>
              <w:jc w:val="both"/>
              <w:rPr>
                <w:sz w:val="20"/>
                <w:lang w:val="fr-CA"/>
              </w:rPr>
            </w:pPr>
            <w:hyperlink r:id="rId59" w:history="1">
              <w:r w:rsidR="00D04A6F" w:rsidRPr="00547302">
                <w:rPr>
                  <w:rStyle w:val="Hyperlink"/>
                  <w:sz w:val="20"/>
                  <w:lang w:val="fr-CA"/>
                </w:rPr>
                <w:t>2018 CAF 181</w:t>
              </w:r>
            </w:hyperlink>
            <w:r w:rsidR="00D04A6F" w:rsidRPr="00547302">
              <w:rPr>
                <w:sz w:val="20"/>
                <w:lang w:val="fr-CA"/>
              </w:rPr>
              <w:t xml:space="preserve"> </w:t>
            </w:r>
          </w:p>
          <w:p w:rsidR="00D04A6F" w:rsidRPr="00547302" w:rsidRDefault="00D04A6F" w:rsidP="00AA1FE0">
            <w:pPr>
              <w:jc w:val="both"/>
              <w:rPr>
                <w:sz w:val="20"/>
                <w:lang w:val="fr-CA"/>
              </w:rPr>
            </w:pPr>
            <w:r w:rsidRPr="00547302">
              <w:rPr>
                <w:sz w:val="20"/>
                <w:lang w:val="fr-CA"/>
              </w:rPr>
              <w:t>N</w:t>
            </w:r>
            <w:r w:rsidRPr="00547302">
              <w:rPr>
                <w:sz w:val="20"/>
                <w:vertAlign w:val="superscript"/>
                <w:lang w:val="fr-CA"/>
              </w:rPr>
              <w:t>o</w:t>
            </w:r>
            <w:r w:rsidRPr="00547302">
              <w:rPr>
                <w:sz w:val="20"/>
                <w:lang w:val="fr-CA"/>
              </w:rPr>
              <w:t xml:space="preserve"> de dossier A</w:t>
            </w:r>
            <w:r w:rsidRPr="00547302">
              <w:rPr>
                <w:sz w:val="20"/>
                <w:lang w:val="fr-CA"/>
              </w:rPr>
              <w:noBreakHyphen/>
              <w:t>169</w:t>
            </w:r>
            <w:r w:rsidRPr="00547302">
              <w:rPr>
                <w:sz w:val="20"/>
                <w:lang w:val="fr-CA"/>
              </w:rPr>
              <w:noBreakHyphen/>
              <w:t>17</w:t>
            </w:r>
          </w:p>
          <w:p w:rsidR="00D04A6F" w:rsidRPr="00547302" w:rsidRDefault="00D04A6F" w:rsidP="00AA1FE0">
            <w:pPr>
              <w:jc w:val="both"/>
              <w:rPr>
                <w:sz w:val="20"/>
                <w:lang w:val="fr-CA"/>
              </w:rPr>
            </w:pPr>
          </w:p>
        </w:tc>
        <w:tc>
          <w:tcPr>
            <w:tcW w:w="243" w:type="pct"/>
          </w:tcPr>
          <w:p w:rsidR="00D04A6F" w:rsidRPr="00547302" w:rsidRDefault="00D04A6F" w:rsidP="00AA1FE0">
            <w:pPr>
              <w:jc w:val="both"/>
              <w:rPr>
                <w:sz w:val="20"/>
                <w:lang w:val="fr-CA"/>
              </w:rPr>
            </w:pPr>
          </w:p>
        </w:tc>
        <w:tc>
          <w:tcPr>
            <w:tcW w:w="2330" w:type="pct"/>
          </w:tcPr>
          <w:p w:rsidR="00D04A6F" w:rsidRPr="00547302" w:rsidRDefault="00D04A6F" w:rsidP="00AA1FE0">
            <w:pPr>
              <w:jc w:val="both"/>
              <w:rPr>
                <w:sz w:val="20"/>
                <w:lang w:val="fr-CA"/>
              </w:rPr>
            </w:pPr>
            <w:r w:rsidRPr="00547302">
              <w:rPr>
                <w:sz w:val="20"/>
                <w:lang w:val="fr-CA"/>
              </w:rPr>
              <w:t xml:space="preserve">Rejet de l’appel </w:t>
            </w:r>
          </w:p>
        </w:tc>
      </w:tr>
      <w:tr w:rsidR="00D04A6F" w:rsidRPr="003D50B9" w:rsidTr="00D04A6F">
        <w:tc>
          <w:tcPr>
            <w:tcW w:w="2427" w:type="pct"/>
            <w:gridSpan w:val="2"/>
          </w:tcPr>
          <w:p w:rsidR="00D04A6F" w:rsidRPr="00547302" w:rsidRDefault="00D04A6F" w:rsidP="00AA1FE0">
            <w:pPr>
              <w:jc w:val="both"/>
              <w:rPr>
                <w:sz w:val="20"/>
                <w:lang w:val="fr-CA"/>
              </w:rPr>
            </w:pPr>
            <w:r w:rsidRPr="00547302">
              <w:rPr>
                <w:sz w:val="20"/>
                <w:lang w:val="fr-CA"/>
              </w:rPr>
              <w:t>10 décembre 2018</w:t>
            </w:r>
          </w:p>
          <w:p w:rsidR="00D04A6F" w:rsidRPr="00547302" w:rsidRDefault="00D04A6F" w:rsidP="00AA1FE0">
            <w:pPr>
              <w:jc w:val="both"/>
              <w:rPr>
                <w:sz w:val="20"/>
                <w:lang w:val="fr-CA"/>
              </w:rPr>
            </w:pPr>
            <w:r w:rsidRPr="00547302">
              <w:rPr>
                <w:sz w:val="20"/>
                <w:lang w:val="fr-CA"/>
              </w:rPr>
              <w:t>Cour suprême du Canada</w:t>
            </w:r>
          </w:p>
        </w:tc>
        <w:tc>
          <w:tcPr>
            <w:tcW w:w="243" w:type="pct"/>
          </w:tcPr>
          <w:p w:rsidR="00D04A6F" w:rsidRPr="00547302" w:rsidRDefault="00D04A6F" w:rsidP="00AA1FE0">
            <w:pPr>
              <w:jc w:val="both"/>
              <w:rPr>
                <w:sz w:val="20"/>
                <w:lang w:val="fr-CA"/>
              </w:rPr>
            </w:pPr>
          </w:p>
        </w:tc>
        <w:tc>
          <w:tcPr>
            <w:tcW w:w="2330" w:type="pct"/>
          </w:tcPr>
          <w:p w:rsidR="00D04A6F" w:rsidRPr="00547302" w:rsidRDefault="00D04A6F" w:rsidP="00AA1FE0">
            <w:pPr>
              <w:jc w:val="both"/>
              <w:rPr>
                <w:sz w:val="20"/>
                <w:lang w:val="fr-CA"/>
              </w:rPr>
            </w:pPr>
            <w:r w:rsidRPr="00547302">
              <w:rPr>
                <w:sz w:val="20"/>
                <w:lang w:val="fr-CA"/>
              </w:rPr>
              <w:t>Dépôt de la demande d’autorisation d’appel</w:t>
            </w:r>
          </w:p>
          <w:p w:rsidR="00D04A6F" w:rsidRPr="00547302" w:rsidRDefault="00D04A6F" w:rsidP="00AA1FE0">
            <w:pPr>
              <w:jc w:val="both"/>
              <w:rPr>
                <w:sz w:val="20"/>
                <w:lang w:val="fr-CA"/>
              </w:rPr>
            </w:pPr>
          </w:p>
        </w:tc>
      </w:tr>
    </w:tbl>
    <w:p w:rsidR="00D04A6F" w:rsidRPr="00547302" w:rsidRDefault="00D04A6F" w:rsidP="00AA1FE0">
      <w:pPr>
        <w:jc w:val="both"/>
        <w:rPr>
          <w:sz w:val="20"/>
          <w:lang w:val="fr-CA"/>
        </w:rPr>
      </w:pPr>
    </w:p>
    <w:p w:rsidR="004F6CFB" w:rsidRPr="00547302" w:rsidRDefault="004F6CFB" w:rsidP="004F6CFB">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F6CFB" w:rsidRPr="00547302" w:rsidTr="00460DF0">
        <w:tc>
          <w:tcPr>
            <w:tcW w:w="543" w:type="pct"/>
          </w:tcPr>
          <w:p w:rsidR="004F6CFB" w:rsidRPr="00547302" w:rsidRDefault="004F6CFB" w:rsidP="00460DF0">
            <w:pPr>
              <w:jc w:val="both"/>
              <w:rPr>
                <w:sz w:val="20"/>
              </w:rPr>
            </w:pPr>
            <w:r w:rsidRPr="00547302">
              <w:rPr>
                <w:rStyle w:val="SCCFileNumberChar"/>
                <w:sz w:val="20"/>
                <w:szCs w:val="20"/>
              </w:rPr>
              <w:t>38446</w:t>
            </w:r>
          </w:p>
        </w:tc>
        <w:tc>
          <w:tcPr>
            <w:tcW w:w="4457" w:type="pct"/>
            <w:gridSpan w:val="3"/>
          </w:tcPr>
          <w:p w:rsidR="004F6CFB" w:rsidRPr="00547302" w:rsidRDefault="004F6CFB" w:rsidP="00460DF0">
            <w:pPr>
              <w:pStyle w:val="SCCLsocParty"/>
              <w:jc w:val="both"/>
              <w:rPr>
                <w:b/>
                <w:sz w:val="20"/>
                <w:szCs w:val="20"/>
                <w:lang w:val="en-US"/>
              </w:rPr>
            </w:pPr>
            <w:r w:rsidRPr="00547302">
              <w:rPr>
                <w:b/>
                <w:sz w:val="20"/>
                <w:szCs w:val="20"/>
                <w:lang w:val="en-US"/>
              </w:rPr>
              <w:t>Chief of Police of the Calgary Police Service v. Marc Strong</w:t>
            </w:r>
          </w:p>
          <w:p w:rsidR="004F6CFB" w:rsidRPr="00547302" w:rsidRDefault="004F6CFB" w:rsidP="00460DF0">
            <w:pPr>
              <w:pStyle w:val="SCCLsocOtherPartySeparator"/>
              <w:rPr>
                <w:sz w:val="20"/>
                <w:szCs w:val="20"/>
              </w:rPr>
            </w:pPr>
            <w:r w:rsidRPr="00547302">
              <w:rPr>
                <w:sz w:val="20"/>
                <w:szCs w:val="20"/>
              </w:rPr>
              <w:t>— and —</w:t>
            </w:r>
          </w:p>
          <w:p w:rsidR="004F6CFB" w:rsidRPr="00547302" w:rsidRDefault="00BB5725" w:rsidP="00460DF0">
            <w:pPr>
              <w:pStyle w:val="SCCLsocParty"/>
              <w:jc w:val="both"/>
              <w:rPr>
                <w:b/>
                <w:sz w:val="20"/>
                <w:szCs w:val="20"/>
                <w:lang w:val="en-US"/>
              </w:rPr>
            </w:pPr>
            <w:r>
              <w:rPr>
                <w:b/>
                <w:sz w:val="20"/>
                <w:szCs w:val="20"/>
                <w:lang w:val="en-US"/>
              </w:rPr>
              <w:t xml:space="preserve">Alberta </w:t>
            </w:r>
            <w:r w:rsidR="004F6CFB" w:rsidRPr="00547302">
              <w:rPr>
                <w:b/>
                <w:sz w:val="20"/>
                <w:szCs w:val="20"/>
                <w:lang w:val="en-US"/>
              </w:rPr>
              <w:t>Law Enforcement Review Board</w:t>
            </w:r>
          </w:p>
          <w:p w:rsidR="004F6CFB" w:rsidRPr="00547302" w:rsidRDefault="004F6CFB" w:rsidP="004F6CFB">
            <w:pPr>
              <w:jc w:val="both"/>
              <w:rPr>
                <w:sz w:val="20"/>
              </w:rPr>
            </w:pPr>
            <w:r w:rsidRPr="00547302">
              <w:rPr>
                <w:sz w:val="20"/>
              </w:rPr>
              <w:t>(Alta.) (Civil) (By Leave)</w:t>
            </w:r>
          </w:p>
        </w:tc>
      </w:tr>
      <w:tr w:rsidR="004F6CFB" w:rsidRPr="00547302" w:rsidTr="00460DF0">
        <w:tc>
          <w:tcPr>
            <w:tcW w:w="5000" w:type="pct"/>
            <w:gridSpan w:val="4"/>
          </w:tcPr>
          <w:p w:rsidR="004F6CFB" w:rsidRPr="00547302" w:rsidRDefault="004F6CFB" w:rsidP="00460DF0">
            <w:pPr>
              <w:jc w:val="both"/>
              <w:rPr>
                <w:b/>
                <w:sz w:val="20"/>
              </w:rPr>
            </w:pPr>
            <w:r w:rsidRPr="00547302">
              <w:rPr>
                <w:sz w:val="20"/>
              </w:rPr>
              <w:t>Administrative law — Boards and tribunals — Jurisdiction — What is the proper test to find that an administrative tribunal has power or jurisdiction by the common law doctrine of “necessary implication” — Is evidence required to meet the</w:t>
            </w:r>
            <w:r w:rsidRPr="00547302">
              <w:rPr>
                <w:spacing w:val="-2"/>
                <w:sz w:val="20"/>
              </w:rPr>
              <w:t xml:space="preserve"> </w:t>
            </w:r>
            <w:r w:rsidRPr="00547302">
              <w:rPr>
                <w:sz w:val="20"/>
              </w:rPr>
              <w:t>test — How does the doctrine of jurisdiction by “necessary implication” relate to the “implied exclusion”</w:t>
            </w:r>
            <w:r w:rsidRPr="00547302">
              <w:rPr>
                <w:spacing w:val="-5"/>
                <w:sz w:val="20"/>
              </w:rPr>
              <w:t xml:space="preserve"> </w:t>
            </w:r>
            <w:r w:rsidRPr="00547302">
              <w:rPr>
                <w:sz w:val="20"/>
              </w:rPr>
              <w:t>maxim — What is the scope of powers that can be created by “necessary</w:t>
            </w:r>
            <w:r w:rsidRPr="00547302">
              <w:rPr>
                <w:spacing w:val="-6"/>
                <w:sz w:val="20"/>
              </w:rPr>
              <w:t xml:space="preserve"> </w:t>
            </w:r>
            <w:r w:rsidRPr="00547302">
              <w:rPr>
                <w:sz w:val="20"/>
              </w:rPr>
              <w:t>implication”?</w:t>
            </w:r>
          </w:p>
        </w:tc>
      </w:tr>
      <w:tr w:rsidR="004F6CFB" w:rsidRPr="00547302" w:rsidTr="00460DF0">
        <w:tc>
          <w:tcPr>
            <w:tcW w:w="5000" w:type="pct"/>
            <w:gridSpan w:val="4"/>
          </w:tcPr>
          <w:p w:rsidR="004F6CFB" w:rsidRPr="00547302" w:rsidRDefault="004F6CFB" w:rsidP="00460DF0">
            <w:pPr>
              <w:jc w:val="both"/>
              <w:rPr>
                <w:sz w:val="20"/>
              </w:rPr>
            </w:pPr>
          </w:p>
        </w:tc>
      </w:tr>
      <w:tr w:rsidR="004F6CFB" w:rsidRPr="00547302" w:rsidTr="00460DF0">
        <w:tc>
          <w:tcPr>
            <w:tcW w:w="5000" w:type="pct"/>
            <w:gridSpan w:val="4"/>
          </w:tcPr>
          <w:p w:rsidR="004F6CFB" w:rsidRPr="00547302" w:rsidRDefault="004F6CFB" w:rsidP="00460DF0">
            <w:pPr>
              <w:jc w:val="both"/>
              <w:rPr>
                <w:sz w:val="20"/>
              </w:rPr>
            </w:pPr>
            <w:r w:rsidRPr="00547302">
              <w:rPr>
                <w:sz w:val="20"/>
              </w:rPr>
              <w:t>Constable Strong filed a notice of appeal to the Law</w:t>
            </w:r>
            <w:r w:rsidRPr="00547302">
              <w:rPr>
                <w:spacing w:val="-10"/>
                <w:sz w:val="20"/>
              </w:rPr>
              <w:t xml:space="preserve"> </w:t>
            </w:r>
            <w:r w:rsidRPr="00547302">
              <w:rPr>
                <w:sz w:val="20"/>
              </w:rPr>
              <w:t>Enforcement</w:t>
            </w:r>
            <w:r w:rsidRPr="00547302">
              <w:rPr>
                <w:spacing w:val="-10"/>
                <w:sz w:val="20"/>
              </w:rPr>
              <w:t xml:space="preserve"> </w:t>
            </w:r>
            <w:r w:rsidRPr="00547302">
              <w:rPr>
                <w:sz w:val="20"/>
              </w:rPr>
              <w:t xml:space="preserve">Review Board from what he considers to be disguised discipline appealable to the Board under Part V of the </w:t>
            </w:r>
            <w:hyperlink r:id="rId60" w:history="1">
              <w:r w:rsidRPr="00547302">
                <w:rPr>
                  <w:i/>
                  <w:sz w:val="20"/>
                </w:rPr>
                <w:t>Police Act</w:t>
              </w:r>
              <w:r w:rsidRPr="00547302">
                <w:rPr>
                  <w:sz w:val="20"/>
                </w:rPr>
                <w:t>, RSA 2000, c P</w:t>
              </w:r>
              <w:r w:rsidRPr="00547302">
                <w:rPr>
                  <w:sz w:val="20"/>
                </w:rPr>
                <w:noBreakHyphen/>
                <w:t>17</w:t>
              </w:r>
            </w:hyperlink>
            <w:r w:rsidRPr="00547302">
              <w:rPr>
                <w:sz w:val="20"/>
              </w:rPr>
              <w:t>. Constable Strong sought to appeal a decision by the Chief of Police of the Calgary Police Service denying reimbursement upon his reinstatement to active duty for hypothetical pay (statutory holiday pay, shift differential, pay for court time) allegedly lost while on leave with pay pending a trial for an assault charge. The Board held that it does not have jurisdiction to hear the appeal. The Court of Appeal allowed an appeal.</w:t>
            </w:r>
          </w:p>
          <w:p w:rsidR="004F6CFB" w:rsidRPr="00547302" w:rsidRDefault="004F6CFB" w:rsidP="00460DF0">
            <w:pPr>
              <w:jc w:val="both"/>
              <w:rPr>
                <w:sz w:val="20"/>
              </w:rPr>
            </w:pPr>
          </w:p>
        </w:tc>
      </w:tr>
      <w:tr w:rsidR="004F6CFB" w:rsidRPr="00547302" w:rsidTr="00460DF0">
        <w:tc>
          <w:tcPr>
            <w:tcW w:w="2427" w:type="pct"/>
            <w:gridSpan w:val="2"/>
          </w:tcPr>
          <w:p w:rsidR="004F6CFB" w:rsidRPr="00547302" w:rsidRDefault="004F6CFB" w:rsidP="00460DF0">
            <w:pPr>
              <w:jc w:val="both"/>
              <w:rPr>
                <w:sz w:val="20"/>
              </w:rPr>
            </w:pPr>
            <w:r w:rsidRPr="00547302">
              <w:rPr>
                <w:sz w:val="20"/>
              </w:rPr>
              <w:t>May 23, 2017</w:t>
            </w:r>
          </w:p>
          <w:p w:rsidR="004F6CFB" w:rsidRPr="00547302" w:rsidRDefault="004F6CFB" w:rsidP="00460DF0">
            <w:pPr>
              <w:jc w:val="both"/>
              <w:rPr>
                <w:sz w:val="20"/>
              </w:rPr>
            </w:pPr>
            <w:r w:rsidRPr="00547302">
              <w:rPr>
                <w:sz w:val="20"/>
              </w:rPr>
              <w:t>Law Enforcement Review Board</w:t>
            </w:r>
          </w:p>
          <w:p w:rsidR="004F6CFB" w:rsidRPr="00547302" w:rsidRDefault="004F6CFB" w:rsidP="00460DF0">
            <w:pPr>
              <w:jc w:val="both"/>
              <w:rPr>
                <w:sz w:val="20"/>
              </w:rPr>
            </w:pPr>
            <w:r w:rsidRPr="00547302">
              <w:rPr>
                <w:sz w:val="20"/>
              </w:rPr>
              <w:t xml:space="preserve">(D. </w:t>
            </w:r>
            <w:proofErr w:type="spellStart"/>
            <w:r w:rsidRPr="00547302">
              <w:rPr>
                <w:sz w:val="20"/>
              </w:rPr>
              <w:t>Loukidelis</w:t>
            </w:r>
            <w:proofErr w:type="spellEnd"/>
            <w:r w:rsidRPr="00547302">
              <w:rPr>
                <w:sz w:val="20"/>
              </w:rPr>
              <w:t>, Chair; B. Gifford, Member)</w:t>
            </w:r>
          </w:p>
          <w:p w:rsidR="004F6CFB" w:rsidRPr="00547302" w:rsidRDefault="004F6CFB" w:rsidP="00460DF0">
            <w:pPr>
              <w:jc w:val="both"/>
              <w:rPr>
                <w:sz w:val="20"/>
              </w:rPr>
            </w:pPr>
            <w:r w:rsidRPr="00547302">
              <w:rPr>
                <w:sz w:val="20"/>
              </w:rPr>
              <w:t>2017 ABLERB 12 (Unreported)</w:t>
            </w:r>
          </w:p>
          <w:p w:rsidR="004F6CFB" w:rsidRPr="00547302" w:rsidRDefault="004F6CFB" w:rsidP="00460DF0">
            <w:pPr>
              <w:jc w:val="both"/>
              <w:rPr>
                <w:sz w:val="20"/>
              </w:rPr>
            </w:pPr>
          </w:p>
        </w:tc>
        <w:tc>
          <w:tcPr>
            <w:tcW w:w="243" w:type="pct"/>
          </w:tcPr>
          <w:p w:rsidR="004F6CFB" w:rsidRPr="00547302" w:rsidRDefault="004F6CFB" w:rsidP="00460DF0">
            <w:pPr>
              <w:jc w:val="both"/>
              <w:rPr>
                <w:sz w:val="20"/>
              </w:rPr>
            </w:pPr>
          </w:p>
        </w:tc>
        <w:tc>
          <w:tcPr>
            <w:tcW w:w="2330" w:type="pct"/>
          </w:tcPr>
          <w:p w:rsidR="004F6CFB" w:rsidRPr="00547302" w:rsidRDefault="004F6CFB" w:rsidP="00460DF0">
            <w:pPr>
              <w:jc w:val="both"/>
              <w:rPr>
                <w:sz w:val="20"/>
              </w:rPr>
            </w:pPr>
            <w:r w:rsidRPr="00547302">
              <w:rPr>
                <w:sz w:val="20"/>
              </w:rPr>
              <w:t>Finding Board does not have jurisdiction to hear appeal filed by Cst. Strong</w:t>
            </w:r>
          </w:p>
        </w:tc>
      </w:tr>
      <w:tr w:rsidR="004F6CFB" w:rsidRPr="00547302" w:rsidTr="00460DF0">
        <w:tc>
          <w:tcPr>
            <w:tcW w:w="2427" w:type="pct"/>
            <w:gridSpan w:val="2"/>
          </w:tcPr>
          <w:p w:rsidR="004F6CFB" w:rsidRPr="00547302" w:rsidRDefault="004F6CFB" w:rsidP="00460DF0">
            <w:pPr>
              <w:jc w:val="both"/>
              <w:rPr>
                <w:sz w:val="20"/>
              </w:rPr>
            </w:pPr>
            <w:r w:rsidRPr="00547302">
              <w:rPr>
                <w:sz w:val="20"/>
              </w:rPr>
              <w:t>October 18, 2018</w:t>
            </w:r>
          </w:p>
          <w:p w:rsidR="004F6CFB" w:rsidRPr="00547302" w:rsidRDefault="004F6CFB" w:rsidP="00460DF0">
            <w:pPr>
              <w:jc w:val="both"/>
              <w:rPr>
                <w:sz w:val="20"/>
              </w:rPr>
            </w:pPr>
            <w:r w:rsidRPr="00547302">
              <w:rPr>
                <w:sz w:val="20"/>
              </w:rPr>
              <w:t>Court of Appeal of Alberta (Calgary)</w:t>
            </w:r>
          </w:p>
          <w:p w:rsidR="004F6CFB" w:rsidRPr="00547302" w:rsidRDefault="004F6CFB" w:rsidP="00460DF0">
            <w:pPr>
              <w:jc w:val="both"/>
              <w:rPr>
                <w:sz w:val="20"/>
              </w:rPr>
            </w:pPr>
            <w:r w:rsidRPr="00547302">
              <w:rPr>
                <w:sz w:val="20"/>
              </w:rPr>
              <w:t>(</w:t>
            </w:r>
            <w:proofErr w:type="spellStart"/>
            <w:r w:rsidRPr="00547302">
              <w:rPr>
                <w:sz w:val="20"/>
              </w:rPr>
              <w:t>O'Ferrall</w:t>
            </w:r>
            <w:proofErr w:type="spellEnd"/>
            <w:r w:rsidRPr="00547302">
              <w:rPr>
                <w:sz w:val="20"/>
              </w:rPr>
              <w:t xml:space="preserve">, </w:t>
            </w:r>
            <w:proofErr w:type="spellStart"/>
            <w:r w:rsidRPr="00547302">
              <w:rPr>
                <w:sz w:val="20"/>
              </w:rPr>
              <w:t>Wakeling</w:t>
            </w:r>
            <w:proofErr w:type="spellEnd"/>
            <w:r w:rsidRPr="00547302">
              <w:rPr>
                <w:sz w:val="20"/>
              </w:rPr>
              <w:t xml:space="preserve">, </w:t>
            </w:r>
            <w:proofErr w:type="spellStart"/>
            <w:r w:rsidRPr="00547302">
              <w:rPr>
                <w:sz w:val="20"/>
              </w:rPr>
              <w:t>Strekaf</w:t>
            </w:r>
            <w:proofErr w:type="spellEnd"/>
            <w:r w:rsidRPr="00547302">
              <w:rPr>
                <w:sz w:val="20"/>
              </w:rPr>
              <w:t xml:space="preserve"> JJ.A.)</w:t>
            </w:r>
          </w:p>
          <w:p w:rsidR="004F6CFB" w:rsidRPr="00547302" w:rsidRDefault="004F6CFB" w:rsidP="00460DF0">
            <w:pPr>
              <w:jc w:val="both"/>
              <w:rPr>
                <w:rStyle w:val="Hyperlink"/>
                <w:sz w:val="20"/>
              </w:rPr>
            </w:pPr>
            <w:r w:rsidRPr="00547302">
              <w:rPr>
                <w:sz w:val="20"/>
              </w:rPr>
              <w:t xml:space="preserve">1701-0163-AC; </w:t>
            </w:r>
            <w:hyperlink r:id="rId61" w:history="1">
              <w:r w:rsidRPr="00547302">
                <w:rPr>
                  <w:rStyle w:val="Hyperlink"/>
                  <w:sz w:val="20"/>
                </w:rPr>
                <w:t>2018 ABCA 340</w:t>
              </w:r>
            </w:hyperlink>
          </w:p>
          <w:p w:rsidR="004F6CFB" w:rsidRPr="00547302" w:rsidRDefault="004F6CFB" w:rsidP="00460DF0">
            <w:pPr>
              <w:jc w:val="both"/>
              <w:rPr>
                <w:sz w:val="20"/>
              </w:rPr>
            </w:pPr>
          </w:p>
        </w:tc>
        <w:tc>
          <w:tcPr>
            <w:tcW w:w="243" w:type="pct"/>
          </w:tcPr>
          <w:p w:rsidR="004F6CFB" w:rsidRPr="00547302" w:rsidRDefault="004F6CFB" w:rsidP="00460DF0">
            <w:pPr>
              <w:jc w:val="both"/>
              <w:rPr>
                <w:sz w:val="20"/>
              </w:rPr>
            </w:pPr>
          </w:p>
        </w:tc>
        <w:tc>
          <w:tcPr>
            <w:tcW w:w="2330" w:type="pct"/>
          </w:tcPr>
          <w:p w:rsidR="004F6CFB" w:rsidRPr="00547302" w:rsidRDefault="004F6CFB" w:rsidP="00460DF0">
            <w:pPr>
              <w:jc w:val="both"/>
              <w:rPr>
                <w:sz w:val="20"/>
              </w:rPr>
            </w:pPr>
            <w:r w:rsidRPr="00547302">
              <w:rPr>
                <w:sz w:val="20"/>
              </w:rPr>
              <w:t>Appeal allowed</w:t>
            </w:r>
          </w:p>
          <w:p w:rsidR="004F6CFB" w:rsidRPr="00547302" w:rsidRDefault="004F6CFB" w:rsidP="00460DF0">
            <w:pPr>
              <w:jc w:val="both"/>
              <w:rPr>
                <w:sz w:val="20"/>
              </w:rPr>
            </w:pPr>
          </w:p>
        </w:tc>
      </w:tr>
      <w:tr w:rsidR="004F6CFB" w:rsidRPr="00547302" w:rsidTr="00460DF0">
        <w:tc>
          <w:tcPr>
            <w:tcW w:w="2427" w:type="pct"/>
            <w:gridSpan w:val="2"/>
          </w:tcPr>
          <w:p w:rsidR="004F6CFB" w:rsidRPr="00547302" w:rsidRDefault="004F6CFB" w:rsidP="00460DF0">
            <w:pPr>
              <w:jc w:val="both"/>
              <w:rPr>
                <w:sz w:val="20"/>
              </w:rPr>
            </w:pPr>
            <w:r w:rsidRPr="00547302">
              <w:rPr>
                <w:sz w:val="20"/>
              </w:rPr>
              <w:t>December 14, 2018</w:t>
            </w:r>
          </w:p>
          <w:p w:rsidR="004F6CFB" w:rsidRPr="00547302" w:rsidRDefault="004F6CFB" w:rsidP="00460DF0">
            <w:pPr>
              <w:jc w:val="both"/>
              <w:rPr>
                <w:sz w:val="20"/>
              </w:rPr>
            </w:pPr>
            <w:r w:rsidRPr="00547302">
              <w:rPr>
                <w:sz w:val="20"/>
              </w:rPr>
              <w:t>Supreme Court of Canada</w:t>
            </w:r>
          </w:p>
        </w:tc>
        <w:tc>
          <w:tcPr>
            <w:tcW w:w="243" w:type="pct"/>
          </w:tcPr>
          <w:p w:rsidR="004F6CFB" w:rsidRPr="00547302" w:rsidRDefault="004F6CFB" w:rsidP="00460DF0">
            <w:pPr>
              <w:jc w:val="both"/>
              <w:rPr>
                <w:sz w:val="20"/>
              </w:rPr>
            </w:pPr>
          </w:p>
        </w:tc>
        <w:tc>
          <w:tcPr>
            <w:tcW w:w="2330" w:type="pct"/>
          </w:tcPr>
          <w:p w:rsidR="004F6CFB" w:rsidRPr="00547302" w:rsidRDefault="004F6CFB" w:rsidP="00460DF0">
            <w:pPr>
              <w:jc w:val="both"/>
              <w:rPr>
                <w:sz w:val="20"/>
              </w:rPr>
            </w:pPr>
            <w:r w:rsidRPr="00547302">
              <w:rPr>
                <w:sz w:val="20"/>
              </w:rPr>
              <w:t>Application for leave to appeal filed</w:t>
            </w:r>
          </w:p>
          <w:p w:rsidR="004F6CFB" w:rsidRPr="00547302" w:rsidRDefault="004F6CFB" w:rsidP="00460DF0">
            <w:pPr>
              <w:jc w:val="both"/>
              <w:rPr>
                <w:sz w:val="20"/>
              </w:rPr>
            </w:pPr>
          </w:p>
        </w:tc>
      </w:tr>
    </w:tbl>
    <w:p w:rsidR="004F6CFB" w:rsidRPr="00547302" w:rsidRDefault="004F6CFB" w:rsidP="004F6CFB">
      <w:pPr>
        <w:jc w:val="both"/>
        <w:rPr>
          <w:sz w:val="20"/>
        </w:rPr>
      </w:pPr>
    </w:p>
    <w:p w:rsidR="00D04A6F" w:rsidRPr="00547302" w:rsidRDefault="00D04A6F" w:rsidP="00AA1FE0">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04A6F" w:rsidRPr="00547302" w:rsidTr="00D04A6F">
        <w:tc>
          <w:tcPr>
            <w:tcW w:w="543" w:type="pct"/>
          </w:tcPr>
          <w:p w:rsidR="00D04A6F" w:rsidRPr="00547302" w:rsidRDefault="00D04A6F" w:rsidP="00AA1FE0">
            <w:pPr>
              <w:jc w:val="both"/>
              <w:rPr>
                <w:sz w:val="20"/>
                <w:lang w:val="fr-CA"/>
              </w:rPr>
            </w:pPr>
            <w:r w:rsidRPr="00547302">
              <w:rPr>
                <w:rStyle w:val="SCCFileNumberChar"/>
                <w:sz w:val="20"/>
                <w:szCs w:val="20"/>
                <w:lang w:val="fr-CA"/>
              </w:rPr>
              <w:t>38446</w:t>
            </w:r>
          </w:p>
        </w:tc>
        <w:tc>
          <w:tcPr>
            <w:tcW w:w="4457" w:type="pct"/>
            <w:gridSpan w:val="3"/>
          </w:tcPr>
          <w:p w:rsidR="00D04A6F" w:rsidRPr="00547302" w:rsidRDefault="00D04A6F" w:rsidP="00AA1FE0">
            <w:pPr>
              <w:pStyle w:val="SCCLsocParty"/>
              <w:jc w:val="both"/>
              <w:rPr>
                <w:b/>
                <w:sz w:val="20"/>
                <w:szCs w:val="20"/>
              </w:rPr>
            </w:pPr>
            <w:r w:rsidRPr="00547302">
              <w:rPr>
                <w:b/>
                <w:sz w:val="20"/>
                <w:szCs w:val="20"/>
              </w:rPr>
              <w:t>Chef de police du service de police de Calgary c. Marc Strong</w:t>
            </w:r>
          </w:p>
          <w:p w:rsidR="00D04A6F" w:rsidRPr="00B655EA" w:rsidRDefault="00D04A6F" w:rsidP="00AA1FE0">
            <w:pPr>
              <w:pStyle w:val="SCCLsocOtherPartySeparator"/>
              <w:rPr>
                <w:sz w:val="20"/>
                <w:szCs w:val="20"/>
                <w:lang w:val="en-US"/>
              </w:rPr>
            </w:pPr>
            <w:r w:rsidRPr="00B655EA">
              <w:rPr>
                <w:sz w:val="20"/>
                <w:szCs w:val="20"/>
                <w:lang w:val="en-US"/>
              </w:rPr>
              <w:t>— et —</w:t>
            </w:r>
          </w:p>
          <w:p w:rsidR="00D04A6F" w:rsidRPr="00B655EA" w:rsidRDefault="00BB5725" w:rsidP="00AA1FE0">
            <w:pPr>
              <w:pStyle w:val="SCCLsocParty"/>
              <w:jc w:val="both"/>
              <w:rPr>
                <w:b/>
                <w:sz w:val="20"/>
                <w:szCs w:val="20"/>
                <w:lang w:val="en-US"/>
              </w:rPr>
            </w:pPr>
            <w:r w:rsidRPr="00B655EA">
              <w:rPr>
                <w:b/>
                <w:sz w:val="20"/>
                <w:szCs w:val="20"/>
                <w:lang w:val="en-US"/>
              </w:rPr>
              <w:t xml:space="preserve">Alberta </w:t>
            </w:r>
            <w:r w:rsidR="00D04A6F" w:rsidRPr="00B655EA">
              <w:rPr>
                <w:b/>
                <w:sz w:val="20"/>
                <w:szCs w:val="20"/>
                <w:lang w:val="en-US"/>
              </w:rPr>
              <w:t>Law Enforcement Review Board</w:t>
            </w:r>
          </w:p>
          <w:p w:rsidR="00D04A6F" w:rsidRPr="00547302" w:rsidRDefault="00D04A6F" w:rsidP="004F6CFB">
            <w:pPr>
              <w:jc w:val="both"/>
              <w:rPr>
                <w:sz w:val="20"/>
                <w:lang w:val="fr-CA"/>
              </w:rPr>
            </w:pPr>
            <w:r w:rsidRPr="00547302">
              <w:rPr>
                <w:sz w:val="20"/>
                <w:lang w:val="fr-CA"/>
              </w:rPr>
              <w:t>(Alb.) (Civile) (Autorisation)</w:t>
            </w:r>
          </w:p>
        </w:tc>
      </w:tr>
      <w:tr w:rsidR="00D04A6F" w:rsidRPr="003D50B9" w:rsidTr="00D04A6F">
        <w:tc>
          <w:tcPr>
            <w:tcW w:w="5000" w:type="pct"/>
            <w:gridSpan w:val="4"/>
          </w:tcPr>
          <w:p w:rsidR="00D04A6F" w:rsidRPr="00547302" w:rsidRDefault="00D04A6F" w:rsidP="00AA1FE0">
            <w:pPr>
              <w:jc w:val="both"/>
              <w:rPr>
                <w:b/>
                <w:sz w:val="20"/>
                <w:lang w:val="fr-CA"/>
              </w:rPr>
            </w:pPr>
            <w:r w:rsidRPr="00547302">
              <w:rPr>
                <w:sz w:val="20"/>
                <w:lang w:val="fr-CA"/>
              </w:rPr>
              <w:t>Droit administratif — Organismes et tribunaux administratifs — Compétence — Quel est le critère approprié pour conclure qu’un tribunal administratif a un pouvoir ou une compétence par la théorie de common law de la « déduction nécessaire »? — Une preuve est</w:t>
            </w:r>
            <w:r w:rsidRPr="00547302">
              <w:rPr>
                <w:sz w:val="20"/>
                <w:lang w:val="fr-CA"/>
              </w:rPr>
              <w:noBreakHyphen/>
              <w:t>elle nécessaire pour satisfaire ce critère? — Comment la théorie de la compétence par « déduction nécessaire » a</w:t>
            </w:r>
            <w:r w:rsidRPr="00547302">
              <w:rPr>
                <w:sz w:val="20"/>
                <w:lang w:val="fr-CA"/>
              </w:rPr>
              <w:noBreakHyphen/>
              <w:t>t</w:t>
            </w:r>
            <w:r w:rsidRPr="00547302">
              <w:rPr>
                <w:sz w:val="20"/>
                <w:lang w:val="fr-CA"/>
              </w:rPr>
              <w:noBreakHyphen/>
              <w:t>elle trait à la maxime de l’« exclusion implicite »? — Quelle est la portée des pouvoirs qui peuvent être créés par « déduction nécessaire »?</w:t>
            </w:r>
          </w:p>
        </w:tc>
      </w:tr>
      <w:tr w:rsidR="00D04A6F" w:rsidRPr="003D50B9" w:rsidTr="00D04A6F">
        <w:tc>
          <w:tcPr>
            <w:tcW w:w="5000" w:type="pct"/>
            <w:gridSpan w:val="4"/>
          </w:tcPr>
          <w:p w:rsidR="00D04A6F" w:rsidRPr="00547302" w:rsidRDefault="00D04A6F" w:rsidP="00AA1FE0">
            <w:pPr>
              <w:jc w:val="both"/>
              <w:rPr>
                <w:sz w:val="20"/>
                <w:lang w:val="fr-CA"/>
              </w:rPr>
            </w:pPr>
          </w:p>
        </w:tc>
      </w:tr>
      <w:tr w:rsidR="00D04A6F" w:rsidRPr="003D50B9" w:rsidTr="00D04A6F">
        <w:tc>
          <w:tcPr>
            <w:tcW w:w="5000" w:type="pct"/>
            <w:gridSpan w:val="4"/>
          </w:tcPr>
          <w:p w:rsidR="00D04A6F" w:rsidRPr="00547302" w:rsidRDefault="00D04A6F" w:rsidP="00AA1FE0">
            <w:pPr>
              <w:jc w:val="both"/>
              <w:rPr>
                <w:sz w:val="20"/>
                <w:lang w:val="fr-CA"/>
              </w:rPr>
            </w:pPr>
            <w:r w:rsidRPr="00547302">
              <w:rPr>
                <w:sz w:val="20"/>
                <w:lang w:val="fr-CA"/>
              </w:rPr>
              <w:t>L’agent Strong a déposé un avis d’appel au Law</w:t>
            </w:r>
            <w:r w:rsidRPr="00547302">
              <w:rPr>
                <w:spacing w:val="-10"/>
                <w:sz w:val="20"/>
                <w:lang w:val="fr-CA"/>
              </w:rPr>
              <w:t xml:space="preserve"> </w:t>
            </w:r>
            <w:r w:rsidRPr="00547302">
              <w:rPr>
                <w:sz w:val="20"/>
                <w:lang w:val="fr-CA"/>
              </w:rPr>
              <w:t>Enforcement</w:t>
            </w:r>
            <w:r w:rsidRPr="00547302">
              <w:rPr>
                <w:spacing w:val="-10"/>
                <w:sz w:val="20"/>
                <w:lang w:val="fr-CA"/>
              </w:rPr>
              <w:t xml:space="preserve"> </w:t>
            </w:r>
            <w:r w:rsidRPr="00547302">
              <w:rPr>
                <w:sz w:val="20"/>
                <w:lang w:val="fr-CA"/>
              </w:rPr>
              <w:t xml:space="preserve">Review Board (le « Bureau ») de ce qu’il considère être une mesure disciplinaire déguisée susceptible d’être portée en appel au Bureau en application de la Partie V de la </w:t>
            </w:r>
            <w:hyperlink r:id="rId62" w:history="1">
              <w:r w:rsidRPr="00547302">
                <w:rPr>
                  <w:i/>
                  <w:sz w:val="20"/>
                  <w:lang w:val="fr-CA"/>
                </w:rPr>
                <w:t>Police Act</w:t>
              </w:r>
              <w:r w:rsidRPr="00547302">
                <w:rPr>
                  <w:sz w:val="20"/>
                  <w:lang w:val="fr-CA"/>
                </w:rPr>
                <w:t>, RSA 2000, ch. P</w:t>
              </w:r>
              <w:r w:rsidRPr="00547302">
                <w:rPr>
                  <w:sz w:val="20"/>
                  <w:lang w:val="fr-CA"/>
                </w:rPr>
                <w:noBreakHyphen/>
                <w:t>17</w:t>
              </w:r>
            </w:hyperlink>
            <w:r w:rsidRPr="00547302">
              <w:rPr>
                <w:sz w:val="20"/>
                <w:lang w:val="fr-CA"/>
              </w:rPr>
              <w:t xml:space="preserve">. L’agent Strong voulait interjeter appel d’une décision du chef de police du service de police de Calgary qui lui avait refusé le remboursement, lors de sa réintégration au service actif, d’un traitement hypothétique (rémunération de jours fériés, prime de quart, rémunération pour temps à la cour) qu’il aurait censément </w:t>
            </w:r>
            <w:r w:rsidRPr="00547302">
              <w:rPr>
                <w:sz w:val="20"/>
                <w:lang w:val="fr-CA"/>
              </w:rPr>
              <w:lastRenderedPageBreak/>
              <w:t>perdu alors qu’il était en congé avec solde en attendant son procès pour voies de fait. Le Bureau s’est déclaré incompétent pour instruire l’appel. La Cour d’appel a accueilli l’appel.</w:t>
            </w:r>
          </w:p>
          <w:p w:rsidR="00D04A6F" w:rsidRPr="00547302" w:rsidRDefault="00D04A6F" w:rsidP="00AA1FE0">
            <w:pPr>
              <w:jc w:val="both"/>
              <w:rPr>
                <w:sz w:val="20"/>
                <w:lang w:val="fr-CA"/>
              </w:rPr>
            </w:pPr>
          </w:p>
        </w:tc>
      </w:tr>
      <w:tr w:rsidR="00D04A6F" w:rsidRPr="003D50B9" w:rsidTr="00D04A6F">
        <w:tc>
          <w:tcPr>
            <w:tcW w:w="2427" w:type="pct"/>
            <w:gridSpan w:val="2"/>
          </w:tcPr>
          <w:p w:rsidR="00D04A6F" w:rsidRPr="00547302" w:rsidRDefault="00D04A6F" w:rsidP="00AA1FE0">
            <w:pPr>
              <w:jc w:val="both"/>
              <w:rPr>
                <w:sz w:val="20"/>
                <w:lang w:val="fr-CA"/>
              </w:rPr>
            </w:pPr>
            <w:r w:rsidRPr="00547302">
              <w:rPr>
                <w:sz w:val="20"/>
                <w:lang w:val="fr-CA"/>
              </w:rPr>
              <w:lastRenderedPageBreak/>
              <w:t>23 mai 2017</w:t>
            </w:r>
          </w:p>
          <w:p w:rsidR="00D04A6F" w:rsidRPr="00547302" w:rsidRDefault="00D04A6F" w:rsidP="00AA1FE0">
            <w:pPr>
              <w:jc w:val="both"/>
              <w:rPr>
                <w:sz w:val="20"/>
                <w:lang w:val="fr-CA"/>
              </w:rPr>
            </w:pPr>
            <w:r w:rsidRPr="00547302">
              <w:rPr>
                <w:sz w:val="20"/>
                <w:lang w:val="fr-CA"/>
              </w:rPr>
              <w:t>Law Enforcement Review Board</w:t>
            </w:r>
          </w:p>
          <w:p w:rsidR="00D04A6F" w:rsidRPr="00547302" w:rsidRDefault="00D04A6F" w:rsidP="00AA1FE0">
            <w:pPr>
              <w:jc w:val="both"/>
              <w:rPr>
                <w:sz w:val="20"/>
                <w:lang w:val="fr-CA"/>
              </w:rPr>
            </w:pPr>
            <w:r w:rsidRPr="00547302">
              <w:rPr>
                <w:sz w:val="20"/>
                <w:lang w:val="fr-CA"/>
              </w:rPr>
              <w:t>(Président D. Loukidelis; membre B. Gifford)</w:t>
            </w:r>
          </w:p>
          <w:p w:rsidR="00D04A6F" w:rsidRPr="00547302" w:rsidRDefault="00D04A6F" w:rsidP="00AA1FE0">
            <w:pPr>
              <w:jc w:val="both"/>
              <w:rPr>
                <w:sz w:val="20"/>
                <w:lang w:val="fr-CA"/>
              </w:rPr>
            </w:pPr>
            <w:r w:rsidRPr="00547302">
              <w:rPr>
                <w:sz w:val="20"/>
                <w:lang w:val="fr-CA"/>
              </w:rPr>
              <w:t>2017 ABLERB 12 (non publié)</w:t>
            </w:r>
          </w:p>
          <w:p w:rsidR="00D04A6F" w:rsidRPr="00547302" w:rsidRDefault="00D04A6F" w:rsidP="00AA1FE0">
            <w:pPr>
              <w:jc w:val="both"/>
              <w:rPr>
                <w:sz w:val="20"/>
                <w:lang w:val="fr-CA"/>
              </w:rPr>
            </w:pPr>
          </w:p>
        </w:tc>
        <w:tc>
          <w:tcPr>
            <w:tcW w:w="243" w:type="pct"/>
          </w:tcPr>
          <w:p w:rsidR="00D04A6F" w:rsidRPr="00547302" w:rsidRDefault="00D04A6F" w:rsidP="00AA1FE0">
            <w:pPr>
              <w:jc w:val="both"/>
              <w:rPr>
                <w:sz w:val="20"/>
                <w:lang w:val="fr-CA"/>
              </w:rPr>
            </w:pPr>
          </w:p>
        </w:tc>
        <w:tc>
          <w:tcPr>
            <w:tcW w:w="2330" w:type="pct"/>
          </w:tcPr>
          <w:p w:rsidR="00D04A6F" w:rsidRPr="00547302" w:rsidRDefault="00D04A6F" w:rsidP="00AA1FE0">
            <w:pPr>
              <w:jc w:val="both"/>
              <w:rPr>
                <w:sz w:val="20"/>
                <w:lang w:val="fr-CA"/>
              </w:rPr>
            </w:pPr>
            <w:r w:rsidRPr="00547302">
              <w:rPr>
                <w:sz w:val="20"/>
                <w:lang w:val="fr-CA"/>
              </w:rPr>
              <w:t>Conclusion selon laquelle le Bureau n’a pas compétence pour instruire l’appel déposé par l’agent Strong</w:t>
            </w:r>
          </w:p>
        </w:tc>
      </w:tr>
      <w:tr w:rsidR="00D04A6F" w:rsidRPr="00547302" w:rsidTr="00D04A6F">
        <w:tc>
          <w:tcPr>
            <w:tcW w:w="2427" w:type="pct"/>
            <w:gridSpan w:val="2"/>
          </w:tcPr>
          <w:p w:rsidR="00D04A6F" w:rsidRPr="00547302" w:rsidRDefault="00D04A6F" w:rsidP="00AA1FE0">
            <w:pPr>
              <w:jc w:val="both"/>
              <w:rPr>
                <w:sz w:val="20"/>
                <w:lang w:val="fr-CA"/>
              </w:rPr>
            </w:pPr>
            <w:r w:rsidRPr="00547302">
              <w:rPr>
                <w:sz w:val="20"/>
                <w:lang w:val="fr-CA"/>
              </w:rPr>
              <w:t>18 octobre 2018</w:t>
            </w:r>
          </w:p>
          <w:p w:rsidR="00D04A6F" w:rsidRPr="00547302" w:rsidRDefault="00D04A6F" w:rsidP="00AA1FE0">
            <w:pPr>
              <w:jc w:val="both"/>
              <w:rPr>
                <w:sz w:val="20"/>
                <w:lang w:val="fr-CA"/>
              </w:rPr>
            </w:pPr>
            <w:r w:rsidRPr="00547302">
              <w:rPr>
                <w:sz w:val="20"/>
                <w:lang w:val="fr-CA"/>
              </w:rPr>
              <w:t>Cour d’appel de l’Alberta (Calgary)</w:t>
            </w:r>
          </w:p>
          <w:p w:rsidR="00D04A6F" w:rsidRPr="00547302" w:rsidRDefault="00D04A6F" w:rsidP="00AA1FE0">
            <w:pPr>
              <w:jc w:val="both"/>
              <w:rPr>
                <w:sz w:val="20"/>
              </w:rPr>
            </w:pPr>
            <w:r w:rsidRPr="00547302">
              <w:rPr>
                <w:sz w:val="20"/>
              </w:rPr>
              <w:t xml:space="preserve">(Juges </w:t>
            </w:r>
            <w:proofErr w:type="spellStart"/>
            <w:r w:rsidRPr="00547302">
              <w:rPr>
                <w:sz w:val="20"/>
              </w:rPr>
              <w:t>O'Ferrall</w:t>
            </w:r>
            <w:proofErr w:type="spellEnd"/>
            <w:r w:rsidRPr="00547302">
              <w:rPr>
                <w:sz w:val="20"/>
              </w:rPr>
              <w:t xml:space="preserve">, </w:t>
            </w:r>
            <w:proofErr w:type="spellStart"/>
            <w:r w:rsidRPr="00547302">
              <w:rPr>
                <w:sz w:val="20"/>
              </w:rPr>
              <w:t>Wakeling</w:t>
            </w:r>
            <w:proofErr w:type="spellEnd"/>
            <w:r w:rsidRPr="00547302">
              <w:rPr>
                <w:sz w:val="20"/>
              </w:rPr>
              <w:t xml:space="preserve"> et </w:t>
            </w:r>
            <w:proofErr w:type="spellStart"/>
            <w:r w:rsidRPr="00547302">
              <w:rPr>
                <w:sz w:val="20"/>
              </w:rPr>
              <w:t>Strekaf</w:t>
            </w:r>
            <w:proofErr w:type="spellEnd"/>
            <w:r w:rsidRPr="00547302">
              <w:rPr>
                <w:sz w:val="20"/>
              </w:rPr>
              <w:t>)</w:t>
            </w:r>
          </w:p>
          <w:p w:rsidR="00D04A6F" w:rsidRPr="00547302" w:rsidRDefault="00D04A6F" w:rsidP="00AA1FE0">
            <w:pPr>
              <w:jc w:val="both"/>
              <w:rPr>
                <w:rStyle w:val="Hyperlink"/>
                <w:sz w:val="20"/>
              </w:rPr>
            </w:pPr>
            <w:r w:rsidRPr="00547302">
              <w:rPr>
                <w:sz w:val="20"/>
              </w:rPr>
              <w:t xml:space="preserve">1701-0163-AC; </w:t>
            </w:r>
            <w:hyperlink r:id="rId63" w:history="1">
              <w:r w:rsidRPr="00547302">
                <w:rPr>
                  <w:rStyle w:val="Hyperlink"/>
                  <w:sz w:val="20"/>
                </w:rPr>
                <w:t>2018 ABCA 340</w:t>
              </w:r>
            </w:hyperlink>
          </w:p>
          <w:p w:rsidR="00D04A6F" w:rsidRPr="00547302" w:rsidRDefault="00D04A6F" w:rsidP="00AA1FE0">
            <w:pPr>
              <w:jc w:val="both"/>
              <w:rPr>
                <w:sz w:val="20"/>
              </w:rPr>
            </w:pPr>
          </w:p>
        </w:tc>
        <w:tc>
          <w:tcPr>
            <w:tcW w:w="243" w:type="pct"/>
          </w:tcPr>
          <w:p w:rsidR="00D04A6F" w:rsidRPr="00547302" w:rsidRDefault="00D04A6F" w:rsidP="00AA1FE0">
            <w:pPr>
              <w:jc w:val="both"/>
              <w:rPr>
                <w:sz w:val="20"/>
              </w:rPr>
            </w:pPr>
          </w:p>
        </w:tc>
        <w:tc>
          <w:tcPr>
            <w:tcW w:w="2330" w:type="pct"/>
          </w:tcPr>
          <w:p w:rsidR="00D04A6F" w:rsidRPr="00547302" w:rsidRDefault="00D04A6F" w:rsidP="00AA1FE0">
            <w:pPr>
              <w:jc w:val="both"/>
              <w:rPr>
                <w:sz w:val="20"/>
                <w:lang w:val="fr-CA"/>
              </w:rPr>
            </w:pPr>
            <w:r w:rsidRPr="00547302">
              <w:rPr>
                <w:sz w:val="20"/>
                <w:lang w:val="fr-CA"/>
              </w:rPr>
              <w:t>Arrêt accueillant l’appel</w:t>
            </w:r>
          </w:p>
          <w:p w:rsidR="00D04A6F" w:rsidRPr="00547302" w:rsidRDefault="00D04A6F" w:rsidP="00AA1FE0">
            <w:pPr>
              <w:jc w:val="both"/>
              <w:rPr>
                <w:sz w:val="20"/>
                <w:lang w:val="fr-CA"/>
              </w:rPr>
            </w:pPr>
          </w:p>
        </w:tc>
      </w:tr>
      <w:tr w:rsidR="00D04A6F" w:rsidRPr="003D50B9" w:rsidTr="00D04A6F">
        <w:tc>
          <w:tcPr>
            <w:tcW w:w="2427" w:type="pct"/>
            <w:gridSpan w:val="2"/>
          </w:tcPr>
          <w:p w:rsidR="00D04A6F" w:rsidRPr="00547302" w:rsidRDefault="00D04A6F" w:rsidP="00AA1FE0">
            <w:pPr>
              <w:jc w:val="both"/>
              <w:rPr>
                <w:sz w:val="20"/>
                <w:lang w:val="fr-CA"/>
              </w:rPr>
            </w:pPr>
            <w:r w:rsidRPr="00547302">
              <w:rPr>
                <w:sz w:val="20"/>
                <w:lang w:val="fr-CA"/>
              </w:rPr>
              <w:t>14 décembre 2018</w:t>
            </w:r>
          </w:p>
          <w:p w:rsidR="00D04A6F" w:rsidRPr="00547302" w:rsidRDefault="00D04A6F" w:rsidP="00AA1FE0">
            <w:pPr>
              <w:jc w:val="both"/>
              <w:rPr>
                <w:sz w:val="20"/>
                <w:lang w:val="fr-CA"/>
              </w:rPr>
            </w:pPr>
            <w:r w:rsidRPr="00547302">
              <w:rPr>
                <w:sz w:val="20"/>
                <w:lang w:val="fr-CA"/>
              </w:rPr>
              <w:t>Cour suprême du Canada</w:t>
            </w:r>
          </w:p>
        </w:tc>
        <w:tc>
          <w:tcPr>
            <w:tcW w:w="243" w:type="pct"/>
          </w:tcPr>
          <w:p w:rsidR="00D04A6F" w:rsidRPr="00547302" w:rsidRDefault="00D04A6F" w:rsidP="00AA1FE0">
            <w:pPr>
              <w:jc w:val="both"/>
              <w:rPr>
                <w:sz w:val="20"/>
                <w:lang w:val="fr-CA"/>
              </w:rPr>
            </w:pPr>
          </w:p>
        </w:tc>
        <w:tc>
          <w:tcPr>
            <w:tcW w:w="2330" w:type="pct"/>
          </w:tcPr>
          <w:p w:rsidR="00D04A6F" w:rsidRPr="00547302" w:rsidRDefault="00D04A6F" w:rsidP="00AA1FE0">
            <w:pPr>
              <w:jc w:val="both"/>
              <w:rPr>
                <w:sz w:val="20"/>
                <w:lang w:val="fr-CA"/>
              </w:rPr>
            </w:pPr>
            <w:r w:rsidRPr="00547302">
              <w:rPr>
                <w:sz w:val="20"/>
                <w:lang w:val="fr-CA"/>
              </w:rPr>
              <w:t>Dépôt de la demande d’autorisation d’appel</w:t>
            </w:r>
          </w:p>
          <w:p w:rsidR="00D04A6F" w:rsidRPr="00547302" w:rsidRDefault="00D04A6F" w:rsidP="00AA1FE0">
            <w:pPr>
              <w:jc w:val="both"/>
              <w:rPr>
                <w:sz w:val="20"/>
                <w:lang w:val="fr-CA"/>
              </w:rPr>
            </w:pPr>
          </w:p>
        </w:tc>
      </w:tr>
    </w:tbl>
    <w:p w:rsidR="00D04A6F" w:rsidRPr="00547302" w:rsidRDefault="00D04A6F" w:rsidP="00AA1FE0">
      <w:pPr>
        <w:jc w:val="both"/>
        <w:rPr>
          <w:sz w:val="20"/>
          <w:lang w:val="fr-CA"/>
        </w:rPr>
      </w:pPr>
    </w:p>
    <w:p w:rsidR="004F6CFB" w:rsidRPr="00547302" w:rsidRDefault="004F6CFB" w:rsidP="004F6CFB">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F6CFB" w:rsidRPr="00547302" w:rsidTr="00460DF0">
        <w:tc>
          <w:tcPr>
            <w:tcW w:w="543" w:type="pct"/>
          </w:tcPr>
          <w:p w:rsidR="004F6CFB" w:rsidRPr="00547302" w:rsidRDefault="004F6CFB" w:rsidP="00460DF0">
            <w:pPr>
              <w:jc w:val="both"/>
              <w:rPr>
                <w:sz w:val="20"/>
              </w:rPr>
            </w:pPr>
            <w:r w:rsidRPr="00547302">
              <w:rPr>
                <w:rStyle w:val="SCCFileNumberChar"/>
                <w:sz w:val="20"/>
                <w:szCs w:val="20"/>
              </w:rPr>
              <w:t>38447</w:t>
            </w:r>
          </w:p>
        </w:tc>
        <w:tc>
          <w:tcPr>
            <w:tcW w:w="4457" w:type="pct"/>
            <w:gridSpan w:val="3"/>
          </w:tcPr>
          <w:p w:rsidR="004F6CFB" w:rsidRDefault="004F6CFB" w:rsidP="00460DF0">
            <w:pPr>
              <w:pStyle w:val="SCCLsocParty"/>
              <w:jc w:val="both"/>
              <w:rPr>
                <w:b/>
                <w:sz w:val="20"/>
                <w:szCs w:val="20"/>
                <w:lang w:val="en-US"/>
              </w:rPr>
            </w:pPr>
            <w:r w:rsidRPr="00547302">
              <w:rPr>
                <w:b/>
                <w:sz w:val="20"/>
                <w:szCs w:val="20"/>
                <w:lang w:val="en-US"/>
              </w:rPr>
              <w:t>Chief of Police of the Edmonton Police Service v. Cst. T. Deluca (No. 2393)</w:t>
            </w:r>
            <w:r w:rsidR="0064790A">
              <w:rPr>
                <w:b/>
                <w:sz w:val="20"/>
                <w:szCs w:val="20"/>
                <w:lang w:val="en-US"/>
              </w:rPr>
              <w:t xml:space="preserve"> and</w:t>
            </w:r>
            <w:r w:rsidRPr="00547302">
              <w:rPr>
                <w:b/>
                <w:sz w:val="20"/>
                <w:szCs w:val="20"/>
                <w:lang w:val="en-US"/>
              </w:rPr>
              <w:t xml:space="preserve"> Cst. T. </w:t>
            </w:r>
            <w:proofErr w:type="spellStart"/>
            <w:r w:rsidRPr="00547302">
              <w:rPr>
                <w:b/>
                <w:sz w:val="20"/>
                <w:szCs w:val="20"/>
                <w:lang w:val="en-US"/>
              </w:rPr>
              <w:t>Paulino</w:t>
            </w:r>
            <w:proofErr w:type="spellEnd"/>
            <w:r w:rsidRPr="00547302">
              <w:rPr>
                <w:b/>
                <w:sz w:val="20"/>
                <w:szCs w:val="20"/>
                <w:lang w:val="en-US"/>
              </w:rPr>
              <w:t xml:space="preserve"> (No. 2300)</w:t>
            </w:r>
          </w:p>
          <w:p w:rsidR="0064790A" w:rsidRPr="00547302" w:rsidRDefault="0064790A" w:rsidP="0064790A">
            <w:pPr>
              <w:pStyle w:val="SCCLsocOtherPartySeparator"/>
              <w:rPr>
                <w:sz w:val="20"/>
                <w:szCs w:val="20"/>
              </w:rPr>
            </w:pPr>
            <w:r w:rsidRPr="00547302">
              <w:rPr>
                <w:sz w:val="20"/>
                <w:szCs w:val="20"/>
              </w:rPr>
              <w:t>— and —</w:t>
            </w:r>
          </w:p>
          <w:p w:rsidR="0064790A" w:rsidRPr="00547302" w:rsidRDefault="0064790A" w:rsidP="0064790A">
            <w:pPr>
              <w:pStyle w:val="SCCLsocParty"/>
              <w:jc w:val="both"/>
              <w:rPr>
                <w:b/>
                <w:sz w:val="20"/>
                <w:szCs w:val="20"/>
                <w:lang w:val="en-US"/>
              </w:rPr>
            </w:pPr>
            <w:r w:rsidRPr="00547302">
              <w:rPr>
                <w:b/>
                <w:sz w:val="20"/>
                <w:szCs w:val="20"/>
                <w:lang w:val="en-US"/>
              </w:rPr>
              <w:t>Alberta Law Enforcement Review Board</w:t>
            </w:r>
          </w:p>
          <w:p w:rsidR="004F6CFB" w:rsidRPr="00547302" w:rsidRDefault="004F6CFB" w:rsidP="00460DF0">
            <w:pPr>
              <w:pStyle w:val="SCCLsocSubfileSeparator"/>
              <w:rPr>
                <w:sz w:val="20"/>
                <w:szCs w:val="20"/>
              </w:rPr>
            </w:pPr>
            <w:r w:rsidRPr="00547302">
              <w:rPr>
                <w:sz w:val="20"/>
                <w:szCs w:val="20"/>
              </w:rPr>
              <w:t>— and between —</w:t>
            </w:r>
          </w:p>
          <w:p w:rsidR="004F6CFB" w:rsidRPr="00547302" w:rsidRDefault="004F6CFB" w:rsidP="00460DF0">
            <w:pPr>
              <w:pStyle w:val="SCCLsocParty"/>
              <w:jc w:val="both"/>
              <w:rPr>
                <w:b/>
                <w:sz w:val="20"/>
                <w:szCs w:val="20"/>
                <w:lang w:val="en-US"/>
              </w:rPr>
            </w:pPr>
            <w:r w:rsidRPr="00547302">
              <w:rPr>
                <w:b/>
                <w:sz w:val="20"/>
                <w:szCs w:val="20"/>
                <w:lang w:val="en-US"/>
              </w:rPr>
              <w:t>Chief of Police of the Edmonton Police Service v. Cst. J. Coughlan (No. 2270)</w:t>
            </w:r>
          </w:p>
          <w:p w:rsidR="004F6CFB" w:rsidRPr="00547302" w:rsidRDefault="004F6CFB" w:rsidP="00460DF0">
            <w:pPr>
              <w:pStyle w:val="SCCLsocOtherPartySeparator"/>
              <w:rPr>
                <w:sz w:val="20"/>
                <w:szCs w:val="20"/>
              </w:rPr>
            </w:pPr>
            <w:r w:rsidRPr="00547302">
              <w:rPr>
                <w:sz w:val="20"/>
                <w:szCs w:val="20"/>
              </w:rPr>
              <w:t>— and —</w:t>
            </w:r>
          </w:p>
          <w:p w:rsidR="004F6CFB" w:rsidRPr="00547302" w:rsidRDefault="004F6CFB" w:rsidP="00460DF0">
            <w:pPr>
              <w:pStyle w:val="SCCLsocParty"/>
              <w:jc w:val="both"/>
              <w:rPr>
                <w:b/>
                <w:sz w:val="20"/>
                <w:szCs w:val="20"/>
                <w:lang w:val="en-US"/>
              </w:rPr>
            </w:pPr>
            <w:r w:rsidRPr="00547302">
              <w:rPr>
                <w:b/>
                <w:sz w:val="20"/>
                <w:szCs w:val="20"/>
                <w:lang w:val="en-US"/>
              </w:rPr>
              <w:t>Alberta Law Enforcement Review Board</w:t>
            </w:r>
          </w:p>
          <w:p w:rsidR="004F6CFB" w:rsidRPr="00547302" w:rsidRDefault="004F6CFB" w:rsidP="004F6CFB">
            <w:pPr>
              <w:jc w:val="both"/>
              <w:rPr>
                <w:sz w:val="20"/>
              </w:rPr>
            </w:pPr>
            <w:r w:rsidRPr="00547302">
              <w:rPr>
                <w:sz w:val="20"/>
              </w:rPr>
              <w:t>(Alta.) (Civil) (By Leave)</w:t>
            </w:r>
          </w:p>
        </w:tc>
      </w:tr>
      <w:tr w:rsidR="004F6CFB" w:rsidRPr="00547302" w:rsidTr="00460DF0">
        <w:tc>
          <w:tcPr>
            <w:tcW w:w="5000" w:type="pct"/>
            <w:gridSpan w:val="4"/>
          </w:tcPr>
          <w:p w:rsidR="004F6CFB" w:rsidRPr="00547302" w:rsidRDefault="004F6CFB" w:rsidP="00460DF0">
            <w:pPr>
              <w:jc w:val="both"/>
              <w:rPr>
                <w:sz w:val="20"/>
              </w:rPr>
            </w:pPr>
            <w:r w:rsidRPr="00547302">
              <w:rPr>
                <w:sz w:val="20"/>
              </w:rPr>
              <w:t xml:space="preserve">Administrative law — Boards and tribunals — Jurisdiction — What is the proper test to find that an administrative tribunal has power or jurisdiction by the common law doctrine of “necessary implication” — What is the proper application of the principle of </w:t>
            </w:r>
            <w:r w:rsidRPr="00547302">
              <w:rPr>
                <w:i/>
                <w:sz w:val="20"/>
              </w:rPr>
              <w:t>stare decisis</w:t>
            </w:r>
            <w:r w:rsidRPr="00547302">
              <w:rPr>
                <w:sz w:val="20"/>
              </w:rPr>
              <w:t xml:space="preserve"> to administrative tribunal decisions?</w:t>
            </w:r>
          </w:p>
        </w:tc>
      </w:tr>
      <w:tr w:rsidR="004F6CFB" w:rsidRPr="00547302" w:rsidTr="00460DF0">
        <w:tc>
          <w:tcPr>
            <w:tcW w:w="5000" w:type="pct"/>
            <w:gridSpan w:val="4"/>
          </w:tcPr>
          <w:p w:rsidR="004F6CFB" w:rsidRPr="00547302" w:rsidRDefault="004F6CFB" w:rsidP="00460DF0">
            <w:pPr>
              <w:jc w:val="both"/>
              <w:rPr>
                <w:sz w:val="20"/>
              </w:rPr>
            </w:pPr>
          </w:p>
        </w:tc>
      </w:tr>
      <w:tr w:rsidR="004F6CFB" w:rsidRPr="00547302" w:rsidTr="00460DF0">
        <w:tc>
          <w:tcPr>
            <w:tcW w:w="5000" w:type="pct"/>
            <w:gridSpan w:val="4"/>
          </w:tcPr>
          <w:p w:rsidR="004F6CFB" w:rsidRPr="00547302" w:rsidRDefault="004F6CFB" w:rsidP="00460DF0">
            <w:pPr>
              <w:jc w:val="both"/>
              <w:rPr>
                <w:sz w:val="20"/>
              </w:rPr>
            </w:pPr>
            <w:r w:rsidRPr="00547302">
              <w:rPr>
                <w:sz w:val="20"/>
              </w:rPr>
              <w:t>Three police officers filed notices of appeal to the Law</w:t>
            </w:r>
            <w:r w:rsidRPr="00547302">
              <w:rPr>
                <w:spacing w:val="-10"/>
                <w:sz w:val="20"/>
              </w:rPr>
              <w:t xml:space="preserve"> </w:t>
            </w:r>
            <w:r w:rsidRPr="00547302">
              <w:rPr>
                <w:sz w:val="20"/>
              </w:rPr>
              <w:t>Enforcement</w:t>
            </w:r>
            <w:r w:rsidRPr="00547302">
              <w:rPr>
                <w:spacing w:val="-10"/>
                <w:sz w:val="20"/>
              </w:rPr>
              <w:t xml:space="preserve"> </w:t>
            </w:r>
            <w:r w:rsidRPr="00547302">
              <w:rPr>
                <w:sz w:val="20"/>
              </w:rPr>
              <w:t xml:space="preserve">Review Board from what they consider to be disguised discipline appealable to the Board under Part V of the </w:t>
            </w:r>
            <w:hyperlink r:id="rId64" w:history="1">
              <w:r w:rsidRPr="00547302">
                <w:rPr>
                  <w:i/>
                  <w:sz w:val="20"/>
                </w:rPr>
                <w:t>Police Act</w:t>
              </w:r>
              <w:r w:rsidRPr="00547302">
                <w:rPr>
                  <w:sz w:val="20"/>
                </w:rPr>
                <w:t>, RSA 2000, c P</w:t>
              </w:r>
              <w:r w:rsidRPr="00547302">
                <w:rPr>
                  <w:sz w:val="20"/>
                </w:rPr>
                <w:noBreakHyphen/>
                <w:t>17</w:t>
              </w:r>
            </w:hyperlink>
            <w:r w:rsidRPr="00547302">
              <w:rPr>
                <w:sz w:val="20"/>
              </w:rPr>
              <w:t xml:space="preserve">. Constables Deluca and </w:t>
            </w:r>
            <w:proofErr w:type="spellStart"/>
            <w:r w:rsidRPr="00547302">
              <w:rPr>
                <w:sz w:val="20"/>
              </w:rPr>
              <w:t>Paulino</w:t>
            </w:r>
            <w:proofErr w:type="spellEnd"/>
            <w:r w:rsidRPr="00547302">
              <w:rPr>
                <w:sz w:val="20"/>
              </w:rPr>
              <w:t xml:space="preserve"> jointly sought to appeal involuntarily transfers from Edmonton Police Service’s recruit training unit. Constable Coughlan sought to appeal the Edmonton Police Service’s removal of her name from a list of eligible candidates for a school resource officer position. The Board held it does not have jurisdiction to hear the appeals. A majority of the Court of Appeal allowed an appeal.</w:t>
            </w:r>
          </w:p>
          <w:p w:rsidR="004F6CFB" w:rsidRPr="00547302" w:rsidRDefault="004F6CFB" w:rsidP="00460DF0">
            <w:pPr>
              <w:jc w:val="both"/>
              <w:rPr>
                <w:sz w:val="20"/>
              </w:rPr>
            </w:pPr>
          </w:p>
        </w:tc>
      </w:tr>
      <w:tr w:rsidR="004F6CFB" w:rsidRPr="00547302" w:rsidTr="00460DF0">
        <w:tc>
          <w:tcPr>
            <w:tcW w:w="2427" w:type="pct"/>
            <w:gridSpan w:val="2"/>
          </w:tcPr>
          <w:p w:rsidR="004F6CFB" w:rsidRPr="00547302" w:rsidRDefault="004F6CFB" w:rsidP="00460DF0">
            <w:pPr>
              <w:jc w:val="both"/>
              <w:rPr>
                <w:sz w:val="20"/>
              </w:rPr>
            </w:pPr>
            <w:r w:rsidRPr="00547302">
              <w:rPr>
                <w:sz w:val="20"/>
              </w:rPr>
              <w:t>February 8, 2017</w:t>
            </w:r>
          </w:p>
          <w:p w:rsidR="004F6CFB" w:rsidRPr="00547302" w:rsidRDefault="004F6CFB" w:rsidP="00460DF0">
            <w:pPr>
              <w:jc w:val="both"/>
              <w:rPr>
                <w:sz w:val="20"/>
              </w:rPr>
            </w:pPr>
            <w:r w:rsidRPr="00547302">
              <w:rPr>
                <w:sz w:val="20"/>
              </w:rPr>
              <w:t>Law Enforcement Review Board</w:t>
            </w:r>
          </w:p>
          <w:p w:rsidR="004F6CFB" w:rsidRPr="00547302" w:rsidRDefault="004F6CFB" w:rsidP="00460DF0">
            <w:pPr>
              <w:jc w:val="both"/>
              <w:rPr>
                <w:sz w:val="20"/>
              </w:rPr>
            </w:pPr>
            <w:r w:rsidRPr="00547302">
              <w:rPr>
                <w:sz w:val="20"/>
              </w:rPr>
              <w:t xml:space="preserve">(D. </w:t>
            </w:r>
            <w:proofErr w:type="spellStart"/>
            <w:r w:rsidRPr="00547302">
              <w:rPr>
                <w:sz w:val="20"/>
              </w:rPr>
              <w:t>Loukidelis</w:t>
            </w:r>
            <w:proofErr w:type="spellEnd"/>
            <w:r w:rsidRPr="00547302">
              <w:rPr>
                <w:sz w:val="20"/>
              </w:rPr>
              <w:t>, Chair; B. Gifford, Member)</w:t>
            </w:r>
          </w:p>
          <w:p w:rsidR="004F6CFB" w:rsidRPr="00547302" w:rsidRDefault="004F6CFB" w:rsidP="00460DF0">
            <w:pPr>
              <w:jc w:val="both"/>
              <w:rPr>
                <w:sz w:val="20"/>
              </w:rPr>
            </w:pPr>
            <w:r w:rsidRPr="00547302">
              <w:rPr>
                <w:sz w:val="20"/>
              </w:rPr>
              <w:t>2017 ABLERB 003 (Unreported)</w:t>
            </w:r>
          </w:p>
          <w:p w:rsidR="004F6CFB" w:rsidRPr="00547302" w:rsidRDefault="004F6CFB" w:rsidP="00460DF0">
            <w:pPr>
              <w:jc w:val="both"/>
              <w:rPr>
                <w:sz w:val="20"/>
              </w:rPr>
            </w:pPr>
          </w:p>
        </w:tc>
        <w:tc>
          <w:tcPr>
            <w:tcW w:w="243" w:type="pct"/>
          </w:tcPr>
          <w:p w:rsidR="004F6CFB" w:rsidRPr="00547302" w:rsidRDefault="004F6CFB" w:rsidP="00460DF0">
            <w:pPr>
              <w:jc w:val="both"/>
              <w:rPr>
                <w:sz w:val="20"/>
              </w:rPr>
            </w:pPr>
          </w:p>
        </w:tc>
        <w:tc>
          <w:tcPr>
            <w:tcW w:w="2330" w:type="pct"/>
          </w:tcPr>
          <w:p w:rsidR="004F6CFB" w:rsidRPr="00547302" w:rsidRDefault="004F6CFB" w:rsidP="00460DF0">
            <w:pPr>
              <w:jc w:val="both"/>
              <w:rPr>
                <w:sz w:val="20"/>
              </w:rPr>
            </w:pPr>
            <w:r w:rsidRPr="00547302">
              <w:rPr>
                <w:sz w:val="20"/>
              </w:rPr>
              <w:t xml:space="preserve">Finding Board does not have jurisdiction to hear appeal filed by </w:t>
            </w:r>
            <w:proofErr w:type="spellStart"/>
            <w:r w:rsidRPr="00547302">
              <w:rPr>
                <w:sz w:val="20"/>
              </w:rPr>
              <w:t>Csts</w:t>
            </w:r>
            <w:proofErr w:type="spellEnd"/>
            <w:r w:rsidRPr="00547302">
              <w:rPr>
                <w:sz w:val="20"/>
              </w:rPr>
              <w:t xml:space="preserve">. Deluca and </w:t>
            </w:r>
            <w:proofErr w:type="spellStart"/>
            <w:r w:rsidRPr="00547302">
              <w:rPr>
                <w:sz w:val="20"/>
              </w:rPr>
              <w:t>Paulino</w:t>
            </w:r>
            <w:proofErr w:type="spellEnd"/>
            <w:r w:rsidRPr="00547302">
              <w:rPr>
                <w:sz w:val="20"/>
              </w:rPr>
              <w:t xml:space="preserve">  </w:t>
            </w:r>
          </w:p>
        </w:tc>
      </w:tr>
      <w:tr w:rsidR="004F6CFB" w:rsidRPr="00547302" w:rsidTr="00460DF0">
        <w:tc>
          <w:tcPr>
            <w:tcW w:w="2427" w:type="pct"/>
            <w:gridSpan w:val="2"/>
          </w:tcPr>
          <w:p w:rsidR="004F6CFB" w:rsidRPr="00547302" w:rsidRDefault="004F6CFB" w:rsidP="00460DF0">
            <w:pPr>
              <w:jc w:val="both"/>
              <w:rPr>
                <w:sz w:val="20"/>
              </w:rPr>
            </w:pPr>
            <w:r w:rsidRPr="00547302">
              <w:rPr>
                <w:sz w:val="20"/>
              </w:rPr>
              <w:t>March 14, 2017</w:t>
            </w:r>
          </w:p>
          <w:p w:rsidR="004F6CFB" w:rsidRPr="00547302" w:rsidRDefault="004F6CFB" w:rsidP="00460DF0">
            <w:pPr>
              <w:jc w:val="both"/>
              <w:rPr>
                <w:sz w:val="20"/>
              </w:rPr>
            </w:pPr>
            <w:r w:rsidRPr="00547302">
              <w:rPr>
                <w:sz w:val="20"/>
              </w:rPr>
              <w:t>Law Enforcement Review Board</w:t>
            </w:r>
          </w:p>
          <w:p w:rsidR="004F6CFB" w:rsidRPr="00547302" w:rsidRDefault="004F6CFB" w:rsidP="00460DF0">
            <w:pPr>
              <w:jc w:val="both"/>
              <w:rPr>
                <w:sz w:val="20"/>
              </w:rPr>
            </w:pPr>
            <w:r w:rsidRPr="00547302">
              <w:rPr>
                <w:sz w:val="20"/>
              </w:rPr>
              <w:t xml:space="preserve">(D. </w:t>
            </w:r>
            <w:proofErr w:type="spellStart"/>
            <w:r w:rsidRPr="00547302">
              <w:rPr>
                <w:sz w:val="20"/>
              </w:rPr>
              <w:t>Loukidelis</w:t>
            </w:r>
            <w:proofErr w:type="spellEnd"/>
            <w:r w:rsidRPr="00547302">
              <w:rPr>
                <w:sz w:val="20"/>
              </w:rPr>
              <w:t xml:space="preserve">, Chair; A. </w:t>
            </w:r>
            <w:proofErr w:type="spellStart"/>
            <w:r w:rsidRPr="00547302">
              <w:rPr>
                <w:sz w:val="20"/>
              </w:rPr>
              <w:t>Arcand</w:t>
            </w:r>
            <w:proofErr w:type="spellEnd"/>
            <w:r w:rsidRPr="00547302">
              <w:rPr>
                <w:sz w:val="20"/>
              </w:rPr>
              <w:t>, Member)</w:t>
            </w:r>
          </w:p>
          <w:p w:rsidR="004F6CFB" w:rsidRPr="00547302" w:rsidRDefault="004F6CFB" w:rsidP="00460DF0">
            <w:pPr>
              <w:jc w:val="both"/>
              <w:rPr>
                <w:sz w:val="20"/>
              </w:rPr>
            </w:pPr>
            <w:r w:rsidRPr="00547302">
              <w:rPr>
                <w:sz w:val="20"/>
              </w:rPr>
              <w:t>2017 ABLERB 006 (Unreported)</w:t>
            </w:r>
          </w:p>
          <w:p w:rsidR="004F6CFB" w:rsidRPr="00547302" w:rsidRDefault="004F6CFB" w:rsidP="00460DF0">
            <w:pPr>
              <w:jc w:val="both"/>
              <w:rPr>
                <w:sz w:val="20"/>
              </w:rPr>
            </w:pPr>
          </w:p>
        </w:tc>
        <w:tc>
          <w:tcPr>
            <w:tcW w:w="243" w:type="pct"/>
          </w:tcPr>
          <w:p w:rsidR="004F6CFB" w:rsidRPr="00547302" w:rsidRDefault="004F6CFB" w:rsidP="00460DF0">
            <w:pPr>
              <w:jc w:val="both"/>
              <w:rPr>
                <w:sz w:val="20"/>
              </w:rPr>
            </w:pPr>
          </w:p>
        </w:tc>
        <w:tc>
          <w:tcPr>
            <w:tcW w:w="2330" w:type="pct"/>
          </w:tcPr>
          <w:p w:rsidR="004F6CFB" w:rsidRPr="00547302" w:rsidRDefault="004F6CFB" w:rsidP="00460DF0">
            <w:pPr>
              <w:jc w:val="both"/>
              <w:rPr>
                <w:sz w:val="20"/>
              </w:rPr>
            </w:pPr>
            <w:r w:rsidRPr="00547302">
              <w:rPr>
                <w:sz w:val="20"/>
              </w:rPr>
              <w:t>Finding Board does not have jurisdiction to hear appeal filed by Cst. Coughlan</w:t>
            </w:r>
          </w:p>
          <w:p w:rsidR="004F6CFB" w:rsidRPr="00547302" w:rsidRDefault="004F6CFB" w:rsidP="00460DF0">
            <w:pPr>
              <w:jc w:val="both"/>
              <w:rPr>
                <w:sz w:val="20"/>
              </w:rPr>
            </w:pPr>
          </w:p>
        </w:tc>
      </w:tr>
      <w:tr w:rsidR="004F6CFB" w:rsidRPr="00547302" w:rsidTr="00460DF0">
        <w:tc>
          <w:tcPr>
            <w:tcW w:w="2427" w:type="pct"/>
            <w:gridSpan w:val="2"/>
          </w:tcPr>
          <w:p w:rsidR="004F6CFB" w:rsidRPr="00547302" w:rsidRDefault="004F6CFB" w:rsidP="00460DF0">
            <w:pPr>
              <w:jc w:val="both"/>
              <w:rPr>
                <w:sz w:val="20"/>
              </w:rPr>
            </w:pPr>
            <w:r w:rsidRPr="00547302">
              <w:rPr>
                <w:sz w:val="20"/>
              </w:rPr>
              <w:t>October 18, 2018</w:t>
            </w:r>
          </w:p>
          <w:p w:rsidR="004F6CFB" w:rsidRPr="00547302" w:rsidRDefault="004F6CFB" w:rsidP="00460DF0">
            <w:pPr>
              <w:jc w:val="both"/>
              <w:rPr>
                <w:sz w:val="20"/>
              </w:rPr>
            </w:pPr>
            <w:r w:rsidRPr="00547302">
              <w:rPr>
                <w:sz w:val="20"/>
              </w:rPr>
              <w:t>Court of Appeal of Alberta (Edmonton)</w:t>
            </w:r>
          </w:p>
          <w:p w:rsidR="004F6CFB" w:rsidRPr="00547302" w:rsidRDefault="004F6CFB" w:rsidP="00460DF0">
            <w:pPr>
              <w:jc w:val="both"/>
              <w:rPr>
                <w:sz w:val="20"/>
              </w:rPr>
            </w:pPr>
            <w:r w:rsidRPr="00547302">
              <w:rPr>
                <w:sz w:val="20"/>
              </w:rPr>
              <w:t>(</w:t>
            </w:r>
            <w:proofErr w:type="spellStart"/>
            <w:r w:rsidRPr="00547302">
              <w:rPr>
                <w:sz w:val="20"/>
              </w:rPr>
              <w:t>O'Ferrall</w:t>
            </w:r>
            <w:proofErr w:type="spellEnd"/>
            <w:r w:rsidRPr="00547302">
              <w:rPr>
                <w:sz w:val="20"/>
              </w:rPr>
              <w:t xml:space="preserve">, </w:t>
            </w:r>
            <w:proofErr w:type="spellStart"/>
            <w:r w:rsidRPr="00547302">
              <w:rPr>
                <w:sz w:val="20"/>
              </w:rPr>
              <w:t>Wakeling</w:t>
            </w:r>
            <w:proofErr w:type="spellEnd"/>
            <w:r w:rsidRPr="00547302">
              <w:rPr>
                <w:sz w:val="20"/>
              </w:rPr>
              <w:t xml:space="preserve">, </w:t>
            </w:r>
            <w:proofErr w:type="spellStart"/>
            <w:r w:rsidRPr="00547302">
              <w:rPr>
                <w:sz w:val="20"/>
              </w:rPr>
              <w:t>Strekaf</w:t>
            </w:r>
            <w:proofErr w:type="spellEnd"/>
            <w:r w:rsidRPr="00547302">
              <w:rPr>
                <w:sz w:val="20"/>
              </w:rPr>
              <w:t xml:space="preserve"> JJ.A.)</w:t>
            </w:r>
          </w:p>
          <w:p w:rsidR="004F6CFB" w:rsidRPr="00547302" w:rsidRDefault="004F6CFB" w:rsidP="00460DF0">
            <w:pPr>
              <w:jc w:val="both"/>
              <w:rPr>
                <w:sz w:val="20"/>
              </w:rPr>
            </w:pPr>
            <w:r w:rsidRPr="00547302">
              <w:rPr>
                <w:sz w:val="20"/>
              </w:rPr>
              <w:t>1703-0092-AC, 17003-0060-AC;</w:t>
            </w:r>
          </w:p>
          <w:p w:rsidR="004F6CFB" w:rsidRPr="00547302" w:rsidRDefault="00FC1FD2" w:rsidP="00460DF0">
            <w:pPr>
              <w:jc w:val="both"/>
              <w:rPr>
                <w:sz w:val="20"/>
              </w:rPr>
            </w:pPr>
            <w:hyperlink r:id="rId65" w:history="1">
              <w:r w:rsidR="004F6CFB" w:rsidRPr="00547302">
                <w:rPr>
                  <w:rStyle w:val="Hyperlink"/>
                  <w:sz w:val="20"/>
                </w:rPr>
                <w:t>2018 ABCA 340</w:t>
              </w:r>
            </w:hyperlink>
          </w:p>
          <w:p w:rsidR="004F6CFB" w:rsidRPr="00547302" w:rsidRDefault="004F6CFB" w:rsidP="00460DF0">
            <w:pPr>
              <w:jc w:val="both"/>
              <w:rPr>
                <w:sz w:val="20"/>
              </w:rPr>
            </w:pPr>
          </w:p>
        </w:tc>
        <w:tc>
          <w:tcPr>
            <w:tcW w:w="243" w:type="pct"/>
          </w:tcPr>
          <w:p w:rsidR="004F6CFB" w:rsidRPr="00547302" w:rsidRDefault="004F6CFB" w:rsidP="00460DF0">
            <w:pPr>
              <w:jc w:val="both"/>
              <w:rPr>
                <w:sz w:val="20"/>
              </w:rPr>
            </w:pPr>
          </w:p>
        </w:tc>
        <w:tc>
          <w:tcPr>
            <w:tcW w:w="2330" w:type="pct"/>
          </w:tcPr>
          <w:p w:rsidR="004F6CFB" w:rsidRPr="00547302" w:rsidRDefault="004F6CFB" w:rsidP="00460DF0">
            <w:pPr>
              <w:jc w:val="both"/>
              <w:rPr>
                <w:sz w:val="20"/>
              </w:rPr>
            </w:pPr>
            <w:r w:rsidRPr="00547302">
              <w:rPr>
                <w:sz w:val="20"/>
              </w:rPr>
              <w:t>Appeals allowed</w:t>
            </w:r>
          </w:p>
        </w:tc>
      </w:tr>
      <w:tr w:rsidR="004F6CFB" w:rsidRPr="00547302" w:rsidTr="00460DF0">
        <w:tc>
          <w:tcPr>
            <w:tcW w:w="2427" w:type="pct"/>
            <w:gridSpan w:val="2"/>
          </w:tcPr>
          <w:p w:rsidR="004F6CFB" w:rsidRPr="00547302" w:rsidRDefault="004F6CFB" w:rsidP="00460DF0">
            <w:pPr>
              <w:jc w:val="both"/>
              <w:rPr>
                <w:sz w:val="20"/>
              </w:rPr>
            </w:pPr>
            <w:r w:rsidRPr="00547302">
              <w:rPr>
                <w:sz w:val="20"/>
              </w:rPr>
              <w:t>December 17, 2018</w:t>
            </w:r>
          </w:p>
          <w:p w:rsidR="004F6CFB" w:rsidRPr="00547302" w:rsidRDefault="004F6CFB" w:rsidP="00460DF0">
            <w:pPr>
              <w:jc w:val="both"/>
              <w:rPr>
                <w:sz w:val="20"/>
              </w:rPr>
            </w:pPr>
            <w:r w:rsidRPr="00547302">
              <w:rPr>
                <w:sz w:val="20"/>
              </w:rPr>
              <w:t>Supreme Court of Canada</w:t>
            </w:r>
            <w:bookmarkStart w:id="0" w:name="_GoBack"/>
            <w:bookmarkEnd w:id="0"/>
          </w:p>
        </w:tc>
        <w:tc>
          <w:tcPr>
            <w:tcW w:w="243" w:type="pct"/>
          </w:tcPr>
          <w:p w:rsidR="004F6CFB" w:rsidRPr="00547302" w:rsidRDefault="004F6CFB" w:rsidP="00460DF0">
            <w:pPr>
              <w:jc w:val="both"/>
              <w:rPr>
                <w:sz w:val="20"/>
              </w:rPr>
            </w:pPr>
          </w:p>
        </w:tc>
        <w:tc>
          <w:tcPr>
            <w:tcW w:w="2330" w:type="pct"/>
          </w:tcPr>
          <w:p w:rsidR="004F6CFB" w:rsidRPr="00547302" w:rsidRDefault="004F6CFB" w:rsidP="00460DF0">
            <w:pPr>
              <w:jc w:val="both"/>
              <w:rPr>
                <w:sz w:val="20"/>
              </w:rPr>
            </w:pPr>
            <w:r w:rsidRPr="00547302">
              <w:rPr>
                <w:sz w:val="20"/>
              </w:rPr>
              <w:t xml:space="preserve">Application for leave to appeal filed </w:t>
            </w:r>
          </w:p>
        </w:tc>
      </w:tr>
    </w:tbl>
    <w:p w:rsidR="004F6CFB" w:rsidRPr="00547302" w:rsidRDefault="004F6CFB" w:rsidP="004F6CFB">
      <w:pPr>
        <w:jc w:val="both"/>
        <w:rPr>
          <w:sz w:val="20"/>
        </w:rPr>
      </w:pPr>
    </w:p>
    <w:p w:rsidR="00D04A6F" w:rsidRPr="00547302" w:rsidRDefault="00D04A6F" w:rsidP="00AA1FE0">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04A6F" w:rsidRPr="00547302" w:rsidTr="00D04A6F">
        <w:tc>
          <w:tcPr>
            <w:tcW w:w="543" w:type="pct"/>
          </w:tcPr>
          <w:p w:rsidR="00D04A6F" w:rsidRPr="00547302" w:rsidRDefault="00D04A6F" w:rsidP="00AA1FE0">
            <w:pPr>
              <w:jc w:val="both"/>
              <w:rPr>
                <w:sz w:val="20"/>
                <w:lang w:val="fr-CA"/>
              </w:rPr>
            </w:pPr>
            <w:r w:rsidRPr="00547302">
              <w:rPr>
                <w:rStyle w:val="SCCFileNumberChar"/>
                <w:sz w:val="20"/>
                <w:szCs w:val="20"/>
                <w:lang w:val="fr-CA"/>
              </w:rPr>
              <w:t>38447</w:t>
            </w:r>
          </w:p>
        </w:tc>
        <w:tc>
          <w:tcPr>
            <w:tcW w:w="4457" w:type="pct"/>
            <w:gridSpan w:val="3"/>
          </w:tcPr>
          <w:p w:rsidR="00D04A6F" w:rsidRPr="005E5816" w:rsidRDefault="005E5816" w:rsidP="00AA1FE0">
            <w:pPr>
              <w:pStyle w:val="SCCLsocParty"/>
              <w:jc w:val="both"/>
              <w:rPr>
                <w:b/>
                <w:sz w:val="20"/>
                <w:szCs w:val="20"/>
                <w:lang w:val="en-US"/>
              </w:rPr>
            </w:pPr>
            <w:r w:rsidRPr="005E5816">
              <w:rPr>
                <w:b/>
                <w:sz w:val="20"/>
                <w:szCs w:val="20"/>
                <w:lang w:val="en-US"/>
              </w:rPr>
              <w:t>Chief of Police of the Edmonton Police Service</w:t>
            </w:r>
            <w:r w:rsidR="00D04A6F" w:rsidRPr="005E5816">
              <w:rPr>
                <w:b/>
                <w:sz w:val="20"/>
                <w:szCs w:val="20"/>
                <w:lang w:val="en-US"/>
              </w:rPr>
              <w:t xml:space="preserve"> c. Agent T. Deluca (n</w:t>
            </w:r>
            <w:r w:rsidR="00D04A6F" w:rsidRPr="005E5816">
              <w:rPr>
                <w:b/>
                <w:sz w:val="20"/>
                <w:szCs w:val="20"/>
                <w:vertAlign w:val="superscript"/>
                <w:lang w:val="en-US"/>
              </w:rPr>
              <w:t>o</w:t>
            </w:r>
            <w:r w:rsidR="00D04A6F" w:rsidRPr="005E5816">
              <w:rPr>
                <w:b/>
                <w:sz w:val="20"/>
                <w:szCs w:val="20"/>
                <w:lang w:val="en-US"/>
              </w:rPr>
              <w:t xml:space="preserve"> 2393)</w:t>
            </w:r>
            <w:r>
              <w:rPr>
                <w:b/>
                <w:sz w:val="20"/>
                <w:szCs w:val="20"/>
                <w:lang w:val="en-US"/>
              </w:rPr>
              <w:t xml:space="preserve"> et</w:t>
            </w:r>
            <w:r w:rsidR="00D04A6F" w:rsidRPr="005E5816">
              <w:rPr>
                <w:b/>
                <w:sz w:val="20"/>
                <w:szCs w:val="20"/>
                <w:lang w:val="en-US"/>
              </w:rPr>
              <w:t xml:space="preserve"> Agent T. </w:t>
            </w:r>
            <w:proofErr w:type="spellStart"/>
            <w:r w:rsidR="00D04A6F" w:rsidRPr="005E5816">
              <w:rPr>
                <w:b/>
                <w:sz w:val="20"/>
                <w:szCs w:val="20"/>
                <w:lang w:val="en-US"/>
              </w:rPr>
              <w:t>Paulino</w:t>
            </w:r>
            <w:proofErr w:type="spellEnd"/>
            <w:r w:rsidR="00D04A6F" w:rsidRPr="005E5816">
              <w:rPr>
                <w:b/>
                <w:sz w:val="20"/>
                <w:szCs w:val="20"/>
                <w:lang w:val="en-US"/>
              </w:rPr>
              <w:t xml:space="preserve"> (n</w:t>
            </w:r>
            <w:r w:rsidR="00D04A6F" w:rsidRPr="005E5816">
              <w:rPr>
                <w:b/>
                <w:sz w:val="20"/>
                <w:szCs w:val="20"/>
                <w:vertAlign w:val="superscript"/>
                <w:lang w:val="en-US"/>
              </w:rPr>
              <w:t>o</w:t>
            </w:r>
            <w:r w:rsidR="00D04A6F" w:rsidRPr="005E5816">
              <w:rPr>
                <w:b/>
                <w:sz w:val="20"/>
                <w:szCs w:val="20"/>
                <w:lang w:val="en-US"/>
              </w:rPr>
              <w:t xml:space="preserve"> 2300)</w:t>
            </w:r>
          </w:p>
          <w:p w:rsidR="005E5816" w:rsidRPr="00547302" w:rsidRDefault="005E5816" w:rsidP="005E5816">
            <w:pPr>
              <w:pStyle w:val="SCCLsocOtherPartySeparator"/>
              <w:rPr>
                <w:rFonts w:cs="Times New Roman"/>
                <w:sz w:val="20"/>
                <w:szCs w:val="20"/>
                <w:lang w:val="en-US"/>
              </w:rPr>
            </w:pPr>
            <w:r w:rsidRPr="00547302">
              <w:rPr>
                <w:rFonts w:cs="Times New Roman"/>
                <w:sz w:val="20"/>
                <w:szCs w:val="20"/>
                <w:lang w:val="en-US"/>
              </w:rPr>
              <w:t>— et —</w:t>
            </w:r>
          </w:p>
          <w:p w:rsidR="005E5816" w:rsidRPr="005E5816" w:rsidRDefault="005E5816" w:rsidP="005E5816">
            <w:r w:rsidRPr="00547302">
              <w:rPr>
                <w:b/>
                <w:sz w:val="20"/>
              </w:rPr>
              <w:t>Alberta Law Enforcement Review Board</w:t>
            </w:r>
          </w:p>
          <w:p w:rsidR="00D04A6F" w:rsidRPr="00B655EA" w:rsidRDefault="00D04A6F" w:rsidP="00AA1FE0">
            <w:pPr>
              <w:pStyle w:val="SCCLsocSubfileSeparator"/>
              <w:rPr>
                <w:sz w:val="20"/>
                <w:szCs w:val="20"/>
                <w:lang w:val="en-US"/>
              </w:rPr>
            </w:pPr>
            <w:r w:rsidRPr="00B655EA">
              <w:rPr>
                <w:sz w:val="20"/>
                <w:szCs w:val="20"/>
                <w:lang w:val="en-US"/>
              </w:rPr>
              <w:t>— et entre —</w:t>
            </w:r>
          </w:p>
          <w:p w:rsidR="00D04A6F" w:rsidRPr="005E5816" w:rsidRDefault="005E5816" w:rsidP="00AA1FE0">
            <w:pPr>
              <w:pStyle w:val="SCCLsocParty"/>
              <w:jc w:val="both"/>
              <w:rPr>
                <w:b/>
                <w:sz w:val="20"/>
                <w:szCs w:val="20"/>
                <w:lang w:val="en-US"/>
              </w:rPr>
            </w:pPr>
            <w:r w:rsidRPr="005E5816">
              <w:rPr>
                <w:b/>
                <w:sz w:val="20"/>
                <w:szCs w:val="20"/>
                <w:lang w:val="en-US"/>
              </w:rPr>
              <w:t>Chief of Police of the Edmonton Police Service</w:t>
            </w:r>
            <w:r w:rsidR="00D04A6F" w:rsidRPr="005E5816">
              <w:rPr>
                <w:b/>
                <w:sz w:val="20"/>
                <w:szCs w:val="20"/>
                <w:lang w:val="en-US"/>
              </w:rPr>
              <w:t xml:space="preserve"> c. </w:t>
            </w:r>
            <w:proofErr w:type="spellStart"/>
            <w:r w:rsidR="00D04A6F" w:rsidRPr="005E5816">
              <w:rPr>
                <w:b/>
                <w:sz w:val="20"/>
                <w:szCs w:val="20"/>
                <w:lang w:val="en-US"/>
              </w:rPr>
              <w:t>Agente</w:t>
            </w:r>
            <w:proofErr w:type="spellEnd"/>
            <w:r w:rsidR="00D04A6F" w:rsidRPr="005E5816">
              <w:rPr>
                <w:b/>
                <w:sz w:val="20"/>
                <w:szCs w:val="20"/>
                <w:lang w:val="en-US"/>
              </w:rPr>
              <w:t xml:space="preserve"> J. Coughlan (n</w:t>
            </w:r>
            <w:r w:rsidR="00D04A6F" w:rsidRPr="005E5816">
              <w:rPr>
                <w:b/>
                <w:sz w:val="20"/>
                <w:szCs w:val="20"/>
                <w:vertAlign w:val="superscript"/>
                <w:lang w:val="en-US"/>
              </w:rPr>
              <w:t>o</w:t>
            </w:r>
            <w:r w:rsidR="00D04A6F" w:rsidRPr="005E5816">
              <w:rPr>
                <w:b/>
                <w:sz w:val="20"/>
                <w:szCs w:val="20"/>
                <w:lang w:val="en-US"/>
              </w:rPr>
              <w:t xml:space="preserve"> 2270)</w:t>
            </w:r>
          </w:p>
          <w:p w:rsidR="00D04A6F" w:rsidRPr="00547302" w:rsidRDefault="00D04A6F" w:rsidP="00AA1FE0">
            <w:pPr>
              <w:pStyle w:val="SCCLsocOtherPartySeparator"/>
              <w:rPr>
                <w:rFonts w:cs="Times New Roman"/>
                <w:sz w:val="20"/>
                <w:szCs w:val="20"/>
                <w:lang w:val="en-US"/>
              </w:rPr>
            </w:pPr>
            <w:r w:rsidRPr="00547302">
              <w:rPr>
                <w:rFonts w:cs="Times New Roman"/>
                <w:sz w:val="20"/>
                <w:szCs w:val="20"/>
                <w:lang w:val="en-US"/>
              </w:rPr>
              <w:t>— et —</w:t>
            </w:r>
          </w:p>
          <w:p w:rsidR="00D04A6F" w:rsidRPr="00547302" w:rsidRDefault="00D04A6F" w:rsidP="00AA1FE0">
            <w:pPr>
              <w:pStyle w:val="SCCLsocParty"/>
              <w:jc w:val="both"/>
              <w:rPr>
                <w:b/>
                <w:sz w:val="20"/>
                <w:szCs w:val="20"/>
                <w:lang w:val="en-US"/>
              </w:rPr>
            </w:pPr>
            <w:r w:rsidRPr="00547302">
              <w:rPr>
                <w:b/>
                <w:sz w:val="20"/>
                <w:szCs w:val="20"/>
                <w:lang w:val="en-US"/>
              </w:rPr>
              <w:t>Alberta Law Enforcement Review Board</w:t>
            </w:r>
          </w:p>
          <w:p w:rsidR="00D04A6F" w:rsidRPr="00547302" w:rsidRDefault="00D04A6F" w:rsidP="004F6CFB">
            <w:pPr>
              <w:jc w:val="both"/>
              <w:rPr>
                <w:sz w:val="20"/>
                <w:lang w:val="fr-CA"/>
              </w:rPr>
            </w:pPr>
            <w:r w:rsidRPr="00547302">
              <w:rPr>
                <w:sz w:val="20"/>
                <w:lang w:val="fr-CA"/>
              </w:rPr>
              <w:t>(Alb.) (Civile) (Autorisation)</w:t>
            </w:r>
          </w:p>
        </w:tc>
      </w:tr>
      <w:tr w:rsidR="00D04A6F" w:rsidRPr="003D50B9" w:rsidTr="00D04A6F">
        <w:tc>
          <w:tcPr>
            <w:tcW w:w="5000" w:type="pct"/>
            <w:gridSpan w:val="4"/>
          </w:tcPr>
          <w:p w:rsidR="00D04A6F" w:rsidRPr="00547302" w:rsidRDefault="00D04A6F" w:rsidP="00AA1FE0">
            <w:pPr>
              <w:jc w:val="both"/>
              <w:rPr>
                <w:sz w:val="20"/>
                <w:lang w:val="fr-CA"/>
              </w:rPr>
            </w:pPr>
            <w:r w:rsidRPr="00547302">
              <w:rPr>
                <w:sz w:val="20"/>
                <w:lang w:val="fr-CA"/>
              </w:rPr>
              <w:t xml:space="preserve">Droit administratif — Organismes et tribunaux administratifs — Compétence — Quel est le critère approprié pour conclure qu’un tribunal administratif a un pouvoir ou une compétence par la théorie de common law de la « déduction nécessaire »? — Quelle est la bonne manière d’appliquer le principe de </w:t>
            </w:r>
            <w:r w:rsidRPr="00547302">
              <w:rPr>
                <w:i/>
                <w:sz w:val="20"/>
                <w:lang w:val="fr-CA"/>
              </w:rPr>
              <w:t>stare decisis</w:t>
            </w:r>
            <w:r w:rsidRPr="00547302">
              <w:rPr>
                <w:sz w:val="20"/>
                <w:lang w:val="fr-CA"/>
              </w:rPr>
              <w:t xml:space="preserve"> aux décisions d’un tribunal administratif?</w:t>
            </w:r>
          </w:p>
        </w:tc>
      </w:tr>
      <w:tr w:rsidR="00D04A6F" w:rsidRPr="003D50B9" w:rsidTr="00D04A6F">
        <w:tc>
          <w:tcPr>
            <w:tcW w:w="5000" w:type="pct"/>
            <w:gridSpan w:val="4"/>
          </w:tcPr>
          <w:p w:rsidR="00D04A6F" w:rsidRPr="00547302" w:rsidRDefault="00D04A6F" w:rsidP="00AA1FE0">
            <w:pPr>
              <w:jc w:val="both"/>
              <w:rPr>
                <w:sz w:val="20"/>
                <w:lang w:val="fr-CA"/>
              </w:rPr>
            </w:pPr>
          </w:p>
        </w:tc>
      </w:tr>
      <w:tr w:rsidR="00D04A6F" w:rsidRPr="003D50B9" w:rsidTr="00D04A6F">
        <w:tc>
          <w:tcPr>
            <w:tcW w:w="5000" w:type="pct"/>
            <w:gridSpan w:val="4"/>
          </w:tcPr>
          <w:p w:rsidR="00D04A6F" w:rsidRPr="00547302" w:rsidRDefault="00D04A6F" w:rsidP="00AA1FE0">
            <w:pPr>
              <w:jc w:val="both"/>
              <w:rPr>
                <w:sz w:val="20"/>
                <w:lang w:val="fr-CA"/>
              </w:rPr>
            </w:pPr>
            <w:r w:rsidRPr="00547302">
              <w:rPr>
                <w:sz w:val="20"/>
                <w:lang w:val="fr-CA"/>
              </w:rPr>
              <w:t>Trois policiers ont déposé des avis d’appel au Law</w:t>
            </w:r>
            <w:r w:rsidRPr="00547302">
              <w:rPr>
                <w:spacing w:val="-10"/>
                <w:sz w:val="20"/>
                <w:lang w:val="fr-CA"/>
              </w:rPr>
              <w:t xml:space="preserve"> </w:t>
            </w:r>
            <w:r w:rsidRPr="00547302">
              <w:rPr>
                <w:sz w:val="20"/>
                <w:lang w:val="fr-CA"/>
              </w:rPr>
              <w:t>Enforcement</w:t>
            </w:r>
            <w:r w:rsidRPr="00547302">
              <w:rPr>
                <w:spacing w:val="-10"/>
                <w:sz w:val="20"/>
                <w:lang w:val="fr-CA"/>
              </w:rPr>
              <w:t xml:space="preserve"> </w:t>
            </w:r>
            <w:r w:rsidRPr="00547302">
              <w:rPr>
                <w:sz w:val="20"/>
                <w:lang w:val="fr-CA"/>
              </w:rPr>
              <w:t xml:space="preserve">Review Board (le « Bureau ») de ce qu’ils considèrent être une mesure disciplinaire déguisée susceptible d’être portée en appel au Bureau en application de la Partie V de la </w:t>
            </w:r>
            <w:r w:rsidRPr="00547302">
              <w:rPr>
                <w:i/>
                <w:sz w:val="20"/>
                <w:lang w:val="fr-CA"/>
              </w:rPr>
              <w:t>Police Act</w:t>
            </w:r>
            <w:r w:rsidRPr="00547302">
              <w:rPr>
                <w:sz w:val="20"/>
                <w:lang w:val="fr-CA"/>
              </w:rPr>
              <w:t>, RSA 2000, ch. P</w:t>
            </w:r>
            <w:r w:rsidRPr="00547302">
              <w:rPr>
                <w:sz w:val="20"/>
                <w:lang w:val="fr-CA"/>
              </w:rPr>
              <w:noBreakHyphen/>
              <w:t>17. Les agents Deluca et Paulino voulaient conjointement interjeter appel de mutations imposées de l’unité d’instruction des recrues du service de police d’Edmonton. L’agente Coughlan voulait interjeter appel de la radiation de son nom, par le service de police d’Edmonton, d’une liste de candidats admissibles pour le poste d’agent ressource dans les écoles. Le Bureau s’est déclaré incompétent pour instruire les appels. La Cour d’appel a accueilli un appel.</w:t>
            </w:r>
          </w:p>
          <w:p w:rsidR="00D04A6F" w:rsidRPr="00547302" w:rsidRDefault="00D04A6F" w:rsidP="00AA1FE0">
            <w:pPr>
              <w:jc w:val="both"/>
              <w:rPr>
                <w:sz w:val="20"/>
                <w:lang w:val="fr-CA"/>
              </w:rPr>
            </w:pPr>
          </w:p>
        </w:tc>
      </w:tr>
      <w:tr w:rsidR="00D04A6F" w:rsidRPr="003D50B9" w:rsidTr="00D04A6F">
        <w:tc>
          <w:tcPr>
            <w:tcW w:w="2427" w:type="pct"/>
            <w:gridSpan w:val="2"/>
          </w:tcPr>
          <w:p w:rsidR="00D04A6F" w:rsidRPr="00547302" w:rsidRDefault="00D04A6F" w:rsidP="00AA1FE0">
            <w:pPr>
              <w:jc w:val="both"/>
              <w:rPr>
                <w:sz w:val="20"/>
                <w:lang w:val="fr-CA"/>
              </w:rPr>
            </w:pPr>
            <w:r w:rsidRPr="00547302">
              <w:rPr>
                <w:sz w:val="20"/>
                <w:lang w:val="fr-CA"/>
              </w:rPr>
              <w:t>8 février 2017</w:t>
            </w:r>
          </w:p>
          <w:p w:rsidR="00D04A6F" w:rsidRPr="00547302" w:rsidRDefault="00D04A6F" w:rsidP="00AA1FE0">
            <w:pPr>
              <w:jc w:val="both"/>
              <w:rPr>
                <w:sz w:val="20"/>
                <w:lang w:val="fr-CA"/>
              </w:rPr>
            </w:pPr>
            <w:r w:rsidRPr="00547302">
              <w:rPr>
                <w:sz w:val="20"/>
                <w:lang w:val="fr-CA"/>
              </w:rPr>
              <w:t>Law Enforcement Review Board</w:t>
            </w:r>
          </w:p>
          <w:p w:rsidR="00D04A6F" w:rsidRPr="00547302" w:rsidRDefault="00D04A6F" w:rsidP="00AA1FE0">
            <w:pPr>
              <w:jc w:val="both"/>
              <w:rPr>
                <w:sz w:val="20"/>
                <w:lang w:val="fr-CA"/>
              </w:rPr>
            </w:pPr>
            <w:r w:rsidRPr="00547302">
              <w:rPr>
                <w:sz w:val="20"/>
                <w:lang w:val="fr-CA"/>
              </w:rPr>
              <w:t>(Président D. Loukidelis; membre B. Gifford)</w:t>
            </w:r>
          </w:p>
          <w:p w:rsidR="00D04A6F" w:rsidRPr="00547302" w:rsidRDefault="00D04A6F" w:rsidP="00AA1FE0">
            <w:pPr>
              <w:jc w:val="both"/>
              <w:rPr>
                <w:sz w:val="20"/>
                <w:lang w:val="fr-CA"/>
              </w:rPr>
            </w:pPr>
            <w:r w:rsidRPr="00547302">
              <w:rPr>
                <w:sz w:val="20"/>
                <w:lang w:val="fr-CA"/>
              </w:rPr>
              <w:t>2017 ABLERB 003 (non publié)</w:t>
            </w:r>
          </w:p>
          <w:p w:rsidR="00D04A6F" w:rsidRPr="00547302" w:rsidRDefault="00D04A6F" w:rsidP="00AA1FE0">
            <w:pPr>
              <w:jc w:val="both"/>
              <w:rPr>
                <w:sz w:val="20"/>
                <w:lang w:val="fr-CA"/>
              </w:rPr>
            </w:pPr>
          </w:p>
        </w:tc>
        <w:tc>
          <w:tcPr>
            <w:tcW w:w="243" w:type="pct"/>
          </w:tcPr>
          <w:p w:rsidR="00D04A6F" w:rsidRPr="00547302" w:rsidRDefault="00D04A6F" w:rsidP="00AA1FE0">
            <w:pPr>
              <w:jc w:val="both"/>
              <w:rPr>
                <w:sz w:val="20"/>
                <w:lang w:val="fr-CA"/>
              </w:rPr>
            </w:pPr>
          </w:p>
        </w:tc>
        <w:tc>
          <w:tcPr>
            <w:tcW w:w="2330" w:type="pct"/>
          </w:tcPr>
          <w:p w:rsidR="00D04A6F" w:rsidRPr="00547302" w:rsidRDefault="00D04A6F" w:rsidP="00AA1FE0">
            <w:pPr>
              <w:jc w:val="both"/>
              <w:rPr>
                <w:sz w:val="20"/>
                <w:lang w:val="fr-CA"/>
              </w:rPr>
            </w:pPr>
            <w:r w:rsidRPr="00547302">
              <w:rPr>
                <w:sz w:val="20"/>
                <w:lang w:val="fr-CA"/>
              </w:rPr>
              <w:t xml:space="preserve">Conclusion selon laquelle le Bureau n’a pas compétence pour instruire l’appel déposé par les agents </w:t>
            </w:r>
            <w:proofErr w:type="spellStart"/>
            <w:r w:rsidRPr="00547302">
              <w:rPr>
                <w:sz w:val="20"/>
                <w:lang w:val="fr-CA"/>
              </w:rPr>
              <w:t>Deluca</w:t>
            </w:r>
            <w:proofErr w:type="spellEnd"/>
            <w:r w:rsidRPr="00547302">
              <w:rPr>
                <w:sz w:val="20"/>
                <w:lang w:val="fr-CA"/>
              </w:rPr>
              <w:t xml:space="preserve"> et </w:t>
            </w:r>
            <w:proofErr w:type="spellStart"/>
            <w:r w:rsidRPr="00547302">
              <w:rPr>
                <w:sz w:val="20"/>
                <w:lang w:val="fr-CA"/>
              </w:rPr>
              <w:t>Paulino</w:t>
            </w:r>
            <w:proofErr w:type="spellEnd"/>
          </w:p>
        </w:tc>
      </w:tr>
      <w:tr w:rsidR="00D04A6F" w:rsidRPr="003D50B9" w:rsidTr="00D04A6F">
        <w:tc>
          <w:tcPr>
            <w:tcW w:w="2427" w:type="pct"/>
            <w:gridSpan w:val="2"/>
          </w:tcPr>
          <w:p w:rsidR="00D04A6F" w:rsidRPr="00547302" w:rsidRDefault="00D04A6F" w:rsidP="00AA1FE0">
            <w:pPr>
              <w:jc w:val="both"/>
              <w:rPr>
                <w:sz w:val="20"/>
                <w:lang w:val="fr-CA"/>
              </w:rPr>
            </w:pPr>
            <w:r w:rsidRPr="00547302">
              <w:rPr>
                <w:sz w:val="20"/>
                <w:lang w:val="fr-CA"/>
              </w:rPr>
              <w:t>14 mars 2017</w:t>
            </w:r>
          </w:p>
          <w:p w:rsidR="00D04A6F" w:rsidRPr="00547302" w:rsidRDefault="00D04A6F" w:rsidP="00AA1FE0">
            <w:pPr>
              <w:jc w:val="both"/>
              <w:rPr>
                <w:sz w:val="20"/>
                <w:lang w:val="fr-CA"/>
              </w:rPr>
            </w:pPr>
            <w:r w:rsidRPr="00547302">
              <w:rPr>
                <w:sz w:val="20"/>
                <w:lang w:val="fr-CA"/>
              </w:rPr>
              <w:t>Law Enforcement Review Board</w:t>
            </w:r>
          </w:p>
          <w:p w:rsidR="00D04A6F" w:rsidRPr="00547302" w:rsidRDefault="00D04A6F" w:rsidP="00AA1FE0">
            <w:pPr>
              <w:jc w:val="both"/>
              <w:rPr>
                <w:sz w:val="20"/>
                <w:lang w:val="fr-CA"/>
              </w:rPr>
            </w:pPr>
            <w:r w:rsidRPr="00547302">
              <w:rPr>
                <w:sz w:val="20"/>
                <w:lang w:val="fr-CA"/>
              </w:rPr>
              <w:t>(Président D. Loukidelis; membre A. Arcand)</w:t>
            </w:r>
          </w:p>
          <w:p w:rsidR="00D04A6F" w:rsidRPr="00547302" w:rsidRDefault="00D04A6F" w:rsidP="00AA1FE0">
            <w:pPr>
              <w:jc w:val="both"/>
              <w:rPr>
                <w:sz w:val="20"/>
                <w:lang w:val="fr-CA"/>
              </w:rPr>
            </w:pPr>
            <w:r w:rsidRPr="00547302">
              <w:rPr>
                <w:sz w:val="20"/>
                <w:lang w:val="fr-CA"/>
              </w:rPr>
              <w:t>2017 ABLERB 006 (non publié)</w:t>
            </w:r>
          </w:p>
          <w:p w:rsidR="00D04A6F" w:rsidRPr="00547302" w:rsidRDefault="00D04A6F" w:rsidP="00AA1FE0">
            <w:pPr>
              <w:jc w:val="both"/>
              <w:rPr>
                <w:sz w:val="20"/>
                <w:lang w:val="fr-CA"/>
              </w:rPr>
            </w:pPr>
          </w:p>
        </w:tc>
        <w:tc>
          <w:tcPr>
            <w:tcW w:w="243" w:type="pct"/>
          </w:tcPr>
          <w:p w:rsidR="00D04A6F" w:rsidRPr="00547302" w:rsidRDefault="00D04A6F" w:rsidP="00AA1FE0">
            <w:pPr>
              <w:jc w:val="both"/>
              <w:rPr>
                <w:sz w:val="20"/>
                <w:lang w:val="fr-CA"/>
              </w:rPr>
            </w:pPr>
          </w:p>
        </w:tc>
        <w:tc>
          <w:tcPr>
            <w:tcW w:w="2330" w:type="pct"/>
          </w:tcPr>
          <w:p w:rsidR="00D04A6F" w:rsidRPr="00547302" w:rsidRDefault="00D04A6F" w:rsidP="00AA1FE0">
            <w:pPr>
              <w:jc w:val="both"/>
              <w:rPr>
                <w:sz w:val="20"/>
                <w:lang w:val="fr-CA"/>
              </w:rPr>
            </w:pPr>
            <w:r w:rsidRPr="00547302">
              <w:rPr>
                <w:sz w:val="20"/>
                <w:lang w:val="fr-CA"/>
              </w:rPr>
              <w:t>Conclusion selon laquelle le Bureau n’a pas compétence pour instruire l’appel déposé par l’agente Coughlan</w:t>
            </w:r>
          </w:p>
          <w:p w:rsidR="00D04A6F" w:rsidRPr="00547302" w:rsidRDefault="00D04A6F" w:rsidP="00AA1FE0">
            <w:pPr>
              <w:jc w:val="both"/>
              <w:rPr>
                <w:sz w:val="20"/>
                <w:lang w:val="fr-CA"/>
              </w:rPr>
            </w:pPr>
          </w:p>
        </w:tc>
      </w:tr>
      <w:tr w:rsidR="00D04A6F" w:rsidRPr="00547302" w:rsidTr="00D04A6F">
        <w:tc>
          <w:tcPr>
            <w:tcW w:w="2427" w:type="pct"/>
            <w:gridSpan w:val="2"/>
          </w:tcPr>
          <w:p w:rsidR="00D04A6F" w:rsidRPr="00547302" w:rsidRDefault="00D04A6F" w:rsidP="00AA1FE0">
            <w:pPr>
              <w:jc w:val="both"/>
              <w:rPr>
                <w:sz w:val="20"/>
                <w:lang w:val="fr-CA"/>
              </w:rPr>
            </w:pPr>
            <w:r w:rsidRPr="00547302">
              <w:rPr>
                <w:sz w:val="20"/>
                <w:lang w:val="fr-CA"/>
              </w:rPr>
              <w:t>18 octobre 2018</w:t>
            </w:r>
          </w:p>
          <w:p w:rsidR="00D04A6F" w:rsidRPr="00547302" w:rsidRDefault="00D04A6F" w:rsidP="00AA1FE0">
            <w:pPr>
              <w:jc w:val="both"/>
              <w:rPr>
                <w:sz w:val="20"/>
                <w:lang w:val="fr-CA"/>
              </w:rPr>
            </w:pPr>
            <w:r w:rsidRPr="00547302">
              <w:rPr>
                <w:sz w:val="20"/>
                <w:lang w:val="fr-CA"/>
              </w:rPr>
              <w:t>Cour d’appel de l’Alberta (Edmonton)</w:t>
            </w:r>
          </w:p>
          <w:p w:rsidR="00D04A6F" w:rsidRPr="00547302" w:rsidRDefault="00D04A6F" w:rsidP="00AA1FE0">
            <w:pPr>
              <w:jc w:val="both"/>
              <w:rPr>
                <w:sz w:val="20"/>
              </w:rPr>
            </w:pPr>
            <w:r w:rsidRPr="00547302">
              <w:rPr>
                <w:sz w:val="20"/>
              </w:rPr>
              <w:t xml:space="preserve">(Juges </w:t>
            </w:r>
            <w:proofErr w:type="spellStart"/>
            <w:r w:rsidRPr="00547302">
              <w:rPr>
                <w:sz w:val="20"/>
              </w:rPr>
              <w:t>O'Ferrall</w:t>
            </w:r>
            <w:proofErr w:type="spellEnd"/>
            <w:r w:rsidRPr="00547302">
              <w:rPr>
                <w:sz w:val="20"/>
              </w:rPr>
              <w:t xml:space="preserve">, </w:t>
            </w:r>
            <w:proofErr w:type="spellStart"/>
            <w:r w:rsidRPr="00547302">
              <w:rPr>
                <w:sz w:val="20"/>
              </w:rPr>
              <w:t>Wakeling</w:t>
            </w:r>
            <w:proofErr w:type="spellEnd"/>
            <w:r w:rsidRPr="00547302">
              <w:rPr>
                <w:sz w:val="20"/>
              </w:rPr>
              <w:t xml:space="preserve"> et </w:t>
            </w:r>
            <w:proofErr w:type="spellStart"/>
            <w:r w:rsidRPr="00547302">
              <w:rPr>
                <w:sz w:val="20"/>
              </w:rPr>
              <w:t>Strekaf</w:t>
            </w:r>
            <w:proofErr w:type="spellEnd"/>
            <w:r w:rsidRPr="00547302">
              <w:rPr>
                <w:sz w:val="20"/>
              </w:rPr>
              <w:t>)</w:t>
            </w:r>
          </w:p>
          <w:p w:rsidR="00D04A6F" w:rsidRPr="00547302" w:rsidRDefault="00D04A6F" w:rsidP="00AA1FE0">
            <w:pPr>
              <w:jc w:val="both"/>
              <w:rPr>
                <w:sz w:val="20"/>
              </w:rPr>
            </w:pPr>
            <w:r w:rsidRPr="00547302">
              <w:rPr>
                <w:sz w:val="20"/>
              </w:rPr>
              <w:t>1703</w:t>
            </w:r>
            <w:r w:rsidRPr="00547302">
              <w:rPr>
                <w:sz w:val="20"/>
              </w:rPr>
              <w:noBreakHyphen/>
              <w:t>0092</w:t>
            </w:r>
            <w:r w:rsidRPr="00547302">
              <w:rPr>
                <w:sz w:val="20"/>
              </w:rPr>
              <w:noBreakHyphen/>
              <w:t>AC, 17003</w:t>
            </w:r>
            <w:r w:rsidRPr="00547302">
              <w:rPr>
                <w:sz w:val="20"/>
              </w:rPr>
              <w:noBreakHyphen/>
              <w:t>0060</w:t>
            </w:r>
            <w:r w:rsidRPr="00547302">
              <w:rPr>
                <w:sz w:val="20"/>
              </w:rPr>
              <w:noBreakHyphen/>
              <w:t>AC;</w:t>
            </w:r>
          </w:p>
          <w:p w:rsidR="00D04A6F" w:rsidRPr="00547302" w:rsidRDefault="00FC1FD2" w:rsidP="00AA1FE0">
            <w:pPr>
              <w:jc w:val="both"/>
              <w:rPr>
                <w:sz w:val="20"/>
              </w:rPr>
            </w:pPr>
            <w:hyperlink r:id="rId66" w:history="1">
              <w:r w:rsidR="00D04A6F" w:rsidRPr="00547302">
                <w:rPr>
                  <w:rStyle w:val="Hyperlink"/>
                  <w:sz w:val="20"/>
                </w:rPr>
                <w:t>2018 ABCA 340</w:t>
              </w:r>
            </w:hyperlink>
          </w:p>
          <w:p w:rsidR="00D04A6F" w:rsidRPr="00547302" w:rsidRDefault="00D04A6F" w:rsidP="00AA1FE0">
            <w:pPr>
              <w:jc w:val="both"/>
              <w:rPr>
                <w:sz w:val="20"/>
              </w:rPr>
            </w:pPr>
          </w:p>
        </w:tc>
        <w:tc>
          <w:tcPr>
            <w:tcW w:w="243" w:type="pct"/>
          </w:tcPr>
          <w:p w:rsidR="00D04A6F" w:rsidRPr="00547302" w:rsidRDefault="00D04A6F" w:rsidP="00AA1FE0">
            <w:pPr>
              <w:jc w:val="both"/>
              <w:rPr>
                <w:sz w:val="20"/>
              </w:rPr>
            </w:pPr>
          </w:p>
        </w:tc>
        <w:tc>
          <w:tcPr>
            <w:tcW w:w="2330" w:type="pct"/>
          </w:tcPr>
          <w:p w:rsidR="00D04A6F" w:rsidRPr="00547302" w:rsidRDefault="00D04A6F" w:rsidP="00AA1FE0">
            <w:pPr>
              <w:jc w:val="both"/>
              <w:rPr>
                <w:sz w:val="20"/>
                <w:lang w:val="fr-CA"/>
              </w:rPr>
            </w:pPr>
            <w:r w:rsidRPr="00547302">
              <w:rPr>
                <w:sz w:val="20"/>
                <w:lang w:val="fr-CA"/>
              </w:rPr>
              <w:t>Arrêt accueillant les appels</w:t>
            </w:r>
          </w:p>
        </w:tc>
      </w:tr>
      <w:tr w:rsidR="00D04A6F" w:rsidRPr="003D50B9" w:rsidTr="00D04A6F">
        <w:tc>
          <w:tcPr>
            <w:tcW w:w="2427" w:type="pct"/>
            <w:gridSpan w:val="2"/>
          </w:tcPr>
          <w:p w:rsidR="00D04A6F" w:rsidRPr="00547302" w:rsidRDefault="00D04A6F" w:rsidP="00AA1FE0">
            <w:pPr>
              <w:jc w:val="both"/>
              <w:rPr>
                <w:sz w:val="20"/>
                <w:lang w:val="fr-CA"/>
              </w:rPr>
            </w:pPr>
            <w:r w:rsidRPr="00547302">
              <w:rPr>
                <w:sz w:val="20"/>
                <w:lang w:val="fr-CA"/>
              </w:rPr>
              <w:t>17 décembre 2018</w:t>
            </w:r>
          </w:p>
          <w:p w:rsidR="00D04A6F" w:rsidRPr="00547302" w:rsidRDefault="00D04A6F" w:rsidP="00C41B39">
            <w:pPr>
              <w:jc w:val="both"/>
              <w:rPr>
                <w:sz w:val="20"/>
                <w:lang w:val="fr-CA"/>
              </w:rPr>
            </w:pPr>
            <w:r w:rsidRPr="00547302">
              <w:rPr>
                <w:sz w:val="20"/>
                <w:lang w:val="fr-CA"/>
              </w:rPr>
              <w:t>Cour suprême du Canada</w:t>
            </w:r>
          </w:p>
        </w:tc>
        <w:tc>
          <w:tcPr>
            <w:tcW w:w="243" w:type="pct"/>
          </w:tcPr>
          <w:p w:rsidR="00D04A6F" w:rsidRPr="00547302" w:rsidRDefault="00D04A6F" w:rsidP="00AA1FE0">
            <w:pPr>
              <w:jc w:val="both"/>
              <w:rPr>
                <w:sz w:val="20"/>
                <w:lang w:val="fr-CA"/>
              </w:rPr>
            </w:pPr>
          </w:p>
        </w:tc>
        <w:tc>
          <w:tcPr>
            <w:tcW w:w="2330" w:type="pct"/>
          </w:tcPr>
          <w:p w:rsidR="00D04A6F" w:rsidRPr="00547302" w:rsidRDefault="00D04A6F" w:rsidP="00AA1FE0">
            <w:pPr>
              <w:jc w:val="both"/>
              <w:rPr>
                <w:sz w:val="20"/>
                <w:lang w:val="fr-CA"/>
              </w:rPr>
            </w:pPr>
            <w:r w:rsidRPr="00547302">
              <w:rPr>
                <w:sz w:val="20"/>
                <w:lang w:val="fr-CA"/>
              </w:rPr>
              <w:t xml:space="preserve">Dépôt de la demande d’autorisation d’appel </w:t>
            </w:r>
          </w:p>
        </w:tc>
      </w:tr>
    </w:tbl>
    <w:p w:rsidR="00D04A6F" w:rsidRPr="00547302" w:rsidRDefault="00D04A6F" w:rsidP="00AA1FE0">
      <w:pPr>
        <w:jc w:val="both"/>
        <w:rPr>
          <w:sz w:val="20"/>
          <w:lang w:val="fr-CA"/>
        </w:rPr>
      </w:pPr>
    </w:p>
    <w:p w:rsidR="00D04A6F" w:rsidRPr="00025AF5" w:rsidRDefault="00D04A6F" w:rsidP="00AA1FE0">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04A6F" w:rsidRPr="00547302" w:rsidTr="00D04A6F">
        <w:tc>
          <w:tcPr>
            <w:tcW w:w="543" w:type="pct"/>
          </w:tcPr>
          <w:p w:rsidR="00D04A6F" w:rsidRPr="00547302" w:rsidRDefault="00D04A6F" w:rsidP="00AA1FE0">
            <w:pPr>
              <w:jc w:val="both"/>
              <w:rPr>
                <w:sz w:val="20"/>
                <w:lang w:val="en-CA"/>
              </w:rPr>
            </w:pPr>
            <w:r w:rsidRPr="00547302">
              <w:rPr>
                <w:rStyle w:val="SCCFileNumberChar"/>
                <w:sz w:val="20"/>
                <w:szCs w:val="20"/>
              </w:rPr>
              <w:t>38456</w:t>
            </w:r>
          </w:p>
        </w:tc>
        <w:tc>
          <w:tcPr>
            <w:tcW w:w="4457" w:type="pct"/>
            <w:gridSpan w:val="3"/>
          </w:tcPr>
          <w:p w:rsidR="00D04A6F" w:rsidRPr="00547302" w:rsidRDefault="00D04A6F" w:rsidP="00AA1FE0">
            <w:pPr>
              <w:pStyle w:val="SCCLsocParty"/>
              <w:jc w:val="both"/>
              <w:rPr>
                <w:b/>
                <w:sz w:val="20"/>
                <w:szCs w:val="20"/>
                <w:lang w:val="en-CA"/>
              </w:rPr>
            </w:pPr>
            <w:r w:rsidRPr="00547302">
              <w:rPr>
                <w:b/>
                <w:sz w:val="20"/>
                <w:szCs w:val="20"/>
                <w:lang w:val="en-CA"/>
              </w:rPr>
              <w:t xml:space="preserve">Rossita Stoyanova v. </w:t>
            </w:r>
            <w:r w:rsidR="004F238A" w:rsidRPr="004F238A">
              <w:rPr>
                <w:b/>
                <w:sz w:val="20"/>
                <w:szCs w:val="20"/>
                <w:lang w:val="en-CA"/>
              </w:rPr>
              <w:t xml:space="preserve">Litwin Boyadjian inc., in its capacity as trustee in bankruptcy of Les </w:t>
            </w:r>
            <w:proofErr w:type="spellStart"/>
            <w:r w:rsidR="004F238A" w:rsidRPr="004F238A">
              <w:rPr>
                <w:b/>
                <w:sz w:val="20"/>
                <w:szCs w:val="20"/>
                <w:lang w:val="en-CA"/>
              </w:rPr>
              <w:t>Disques</w:t>
            </w:r>
            <w:proofErr w:type="spellEnd"/>
            <w:r w:rsidR="004F238A" w:rsidRPr="004F238A">
              <w:rPr>
                <w:b/>
                <w:sz w:val="20"/>
                <w:szCs w:val="20"/>
                <w:lang w:val="en-CA"/>
              </w:rPr>
              <w:t xml:space="preserve"> Mile End inc. and Nicolas Maranda</w:t>
            </w:r>
          </w:p>
          <w:p w:rsidR="00D04A6F" w:rsidRPr="00547302" w:rsidRDefault="00D04A6F" w:rsidP="004F6CFB">
            <w:pPr>
              <w:jc w:val="both"/>
              <w:rPr>
                <w:sz w:val="20"/>
                <w:lang w:val="en-CA"/>
              </w:rPr>
            </w:pPr>
            <w:r w:rsidRPr="00547302">
              <w:rPr>
                <w:sz w:val="20"/>
                <w:lang w:val="en-CA"/>
              </w:rPr>
              <w:t>(Que.) (Civil) (By Leave)</w:t>
            </w:r>
          </w:p>
        </w:tc>
      </w:tr>
      <w:tr w:rsidR="00D04A6F" w:rsidRPr="00547302" w:rsidTr="00D04A6F">
        <w:tc>
          <w:tcPr>
            <w:tcW w:w="5000" w:type="pct"/>
            <w:gridSpan w:val="4"/>
          </w:tcPr>
          <w:p w:rsidR="00D04A6F" w:rsidRPr="00547302" w:rsidRDefault="00D04A6F" w:rsidP="00AA1FE0">
            <w:pPr>
              <w:pStyle w:val="SCCBanSummary"/>
              <w:rPr>
                <w:smallCaps w:val="0"/>
                <w:sz w:val="20"/>
                <w:szCs w:val="20"/>
              </w:rPr>
            </w:pPr>
            <w:proofErr w:type="gramStart"/>
            <w:r w:rsidRPr="00547302">
              <w:rPr>
                <w:smallCaps w:val="0"/>
                <w:sz w:val="20"/>
                <w:szCs w:val="20"/>
              </w:rPr>
              <w:lastRenderedPageBreak/>
              <w:t>Intellectual property — Copyright — Vocal performance of poem — Remixed version of song — Production of album — Absence of authorization — Implied licence — Violation of privacy, dignity and honour — Sound recording — Absence of consent — Limited distribution — Assessment of damages — Moral injury — Material injury — Whether defence that there was implied licence to market musical work worldwide, without contract and on sole basis of author/performer’s sexuality, constitutes sexual harassment in course of proceeding and abuse of procedure — Whether respondent Nicolas Maranda, by defending infringement by Les Disques Mile End inc., unlawfully and intentionally authorized that infringement — Whether introduction of [</w:t>
            </w:r>
            <w:r w:rsidRPr="00547302">
              <w:rPr>
                <w:sz w:val="20"/>
                <w:szCs w:val="20"/>
              </w:rPr>
              <w:t>translation</w:t>
            </w:r>
            <w:r w:rsidRPr="00547302">
              <w:rPr>
                <w:rFonts w:asciiTheme="minorBidi" w:hAnsiTheme="minorBidi"/>
                <w:smallCaps w:val="0"/>
                <w:sz w:val="20"/>
                <w:szCs w:val="20"/>
              </w:rPr>
              <w:t>]</w:t>
            </w:r>
            <w:r w:rsidRPr="00547302">
              <w:rPr>
                <w:smallCaps w:val="0"/>
                <w:sz w:val="20"/>
                <w:szCs w:val="20"/>
              </w:rPr>
              <w:t xml:space="preserve"> “rape myths” in intellectual property case had effect of denying non</w:t>
            </w:r>
            <w:r w:rsidRPr="00547302">
              <w:rPr>
                <w:smallCaps w:val="0"/>
                <w:sz w:val="20"/>
                <w:szCs w:val="20"/>
              </w:rPr>
              <w:noBreakHyphen/>
              <w:t>pecuniary consequences of marketing of work and intentional nature of breach of author/performer’s privacy.</w:t>
            </w:r>
            <w:proofErr w:type="gramEnd"/>
          </w:p>
        </w:tc>
      </w:tr>
      <w:tr w:rsidR="00D04A6F" w:rsidRPr="00547302" w:rsidTr="00D04A6F">
        <w:tc>
          <w:tcPr>
            <w:tcW w:w="5000" w:type="pct"/>
            <w:gridSpan w:val="4"/>
          </w:tcPr>
          <w:p w:rsidR="00D04A6F" w:rsidRPr="00547302" w:rsidRDefault="00D04A6F" w:rsidP="00AA1FE0">
            <w:pPr>
              <w:jc w:val="both"/>
              <w:rPr>
                <w:sz w:val="20"/>
                <w:lang w:val="en-CA"/>
              </w:rPr>
            </w:pPr>
          </w:p>
        </w:tc>
      </w:tr>
      <w:tr w:rsidR="00D04A6F" w:rsidRPr="00547302" w:rsidTr="00D04A6F">
        <w:tc>
          <w:tcPr>
            <w:tcW w:w="5000" w:type="pct"/>
            <w:gridSpan w:val="4"/>
          </w:tcPr>
          <w:p w:rsidR="00D04A6F" w:rsidRPr="00547302" w:rsidRDefault="00D04A6F" w:rsidP="00AA1FE0">
            <w:pPr>
              <w:jc w:val="both"/>
              <w:rPr>
                <w:sz w:val="20"/>
                <w:lang w:val="en-CA"/>
              </w:rPr>
            </w:pPr>
            <w:r w:rsidRPr="00547302">
              <w:rPr>
                <w:sz w:val="20"/>
                <w:lang w:val="en-CA"/>
              </w:rPr>
              <w:t xml:space="preserve">In 2010, the respondent Mr. Maranda recorded the applicant Ms. Stoyanova’s vocal performance of a poem she had written. With Ms. Stoyanova’s consent, the recording of that work </w:t>
            </w:r>
            <w:proofErr w:type="gramStart"/>
            <w:r w:rsidRPr="00547302">
              <w:rPr>
                <w:sz w:val="20"/>
                <w:lang w:val="en-CA"/>
              </w:rPr>
              <w:t>was integrated</w:t>
            </w:r>
            <w:proofErr w:type="gramEnd"/>
            <w:r w:rsidRPr="00547302">
              <w:rPr>
                <w:sz w:val="20"/>
                <w:lang w:val="en-CA"/>
              </w:rPr>
              <w:t xml:space="preserve"> with the music of a group called Monitor in order to create a song. Monitor later assigned the rights to the producer, Les Disques Mile End inc., which marketed the song without Ms. Stoyanova’s authorization and without identifying her as the author. Around the same time, and without Ms. Stoyanova’s knowledge, Mr. Maranda made a 96</w:t>
            </w:r>
            <w:r w:rsidRPr="00547302">
              <w:rPr>
                <w:sz w:val="20"/>
                <w:lang w:val="en-CA"/>
              </w:rPr>
              <w:noBreakHyphen/>
              <w:t xml:space="preserve">minute recording of the ambient noise in his apartment, including a sexual encounter between them. </w:t>
            </w:r>
            <w:proofErr w:type="gramStart"/>
            <w:r w:rsidRPr="00547302">
              <w:rPr>
                <w:sz w:val="20"/>
                <w:lang w:val="en-CA"/>
              </w:rPr>
              <w:t>The Superior Court (i) allowed in part Ms. Stoyanova’s application for a permanent injunction and damages against Les Disques Mile End inc. and Litwin Boyadjian inc., in its capacity as trustee in bankruptcy, (ii) ordered them to pay $15,528 for copyright infringement, (iii) ordered Mr. Maranda to pay Ms. Stoyanova $5,000 in moral damages for breach of privacy, and (iv) dismissed the cross</w:t>
            </w:r>
            <w:r w:rsidRPr="00547302">
              <w:rPr>
                <w:sz w:val="20"/>
                <w:lang w:val="en-CA"/>
              </w:rPr>
              <w:noBreakHyphen/>
              <w:t>application, with legal costs to Ms. Stoyanova.</w:t>
            </w:r>
            <w:proofErr w:type="gramEnd"/>
            <w:r w:rsidRPr="00547302">
              <w:rPr>
                <w:sz w:val="20"/>
                <w:lang w:val="en-CA"/>
              </w:rPr>
              <w:t xml:space="preserve"> The Court of Appeal unanimously dismissed Ms. Stoyanova’s appeal with legal costs, finding that none of the grounds of appeal had merit.</w:t>
            </w:r>
          </w:p>
          <w:p w:rsidR="00D04A6F" w:rsidRPr="00547302" w:rsidRDefault="00D04A6F" w:rsidP="00AA1FE0">
            <w:pPr>
              <w:jc w:val="both"/>
              <w:rPr>
                <w:sz w:val="20"/>
                <w:lang w:val="en-CA"/>
              </w:rPr>
            </w:pPr>
          </w:p>
        </w:tc>
      </w:tr>
      <w:tr w:rsidR="00D04A6F" w:rsidRPr="00547302" w:rsidTr="00D04A6F">
        <w:tc>
          <w:tcPr>
            <w:tcW w:w="2427" w:type="pct"/>
            <w:gridSpan w:val="2"/>
          </w:tcPr>
          <w:p w:rsidR="00D04A6F" w:rsidRPr="00547302" w:rsidRDefault="00D04A6F" w:rsidP="00AA1FE0">
            <w:pPr>
              <w:jc w:val="both"/>
              <w:rPr>
                <w:sz w:val="20"/>
                <w:lang w:val="en-CA"/>
              </w:rPr>
            </w:pPr>
            <w:r w:rsidRPr="00547302">
              <w:rPr>
                <w:sz w:val="20"/>
                <w:lang w:val="en-CA"/>
              </w:rPr>
              <w:t>October 24, 2016</w:t>
            </w:r>
          </w:p>
          <w:p w:rsidR="00D04A6F" w:rsidRPr="00547302" w:rsidRDefault="00D04A6F" w:rsidP="00AA1FE0">
            <w:pPr>
              <w:jc w:val="both"/>
              <w:rPr>
                <w:sz w:val="20"/>
                <w:lang w:val="en-CA"/>
              </w:rPr>
            </w:pPr>
            <w:r w:rsidRPr="00547302">
              <w:rPr>
                <w:sz w:val="20"/>
                <w:lang w:val="en-CA"/>
              </w:rPr>
              <w:t>Quebec Superior Court</w:t>
            </w:r>
          </w:p>
          <w:p w:rsidR="00D04A6F" w:rsidRPr="00547302" w:rsidRDefault="00D04A6F" w:rsidP="00AA1FE0">
            <w:pPr>
              <w:jc w:val="both"/>
              <w:rPr>
                <w:sz w:val="20"/>
                <w:lang w:val="en-CA"/>
              </w:rPr>
            </w:pPr>
            <w:r w:rsidRPr="00547302">
              <w:rPr>
                <w:sz w:val="20"/>
                <w:lang w:val="en-CA"/>
              </w:rPr>
              <w:t>(Lucas J.)</w:t>
            </w:r>
          </w:p>
          <w:p w:rsidR="00D04A6F" w:rsidRPr="00547302" w:rsidRDefault="00D04A6F" w:rsidP="00AA1FE0">
            <w:pPr>
              <w:jc w:val="both"/>
              <w:rPr>
                <w:sz w:val="20"/>
                <w:lang w:val="en-CA"/>
              </w:rPr>
            </w:pPr>
            <w:r w:rsidRPr="00547302">
              <w:rPr>
                <w:sz w:val="20"/>
                <w:lang w:val="en-CA"/>
              </w:rPr>
              <w:t>No. 500</w:t>
            </w:r>
            <w:r w:rsidRPr="00547302">
              <w:rPr>
                <w:sz w:val="20"/>
                <w:lang w:val="en-CA"/>
              </w:rPr>
              <w:noBreakHyphen/>
              <w:t>17</w:t>
            </w:r>
            <w:r w:rsidRPr="00547302">
              <w:rPr>
                <w:sz w:val="20"/>
                <w:lang w:val="en-CA"/>
              </w:rPr>
              <w:noBreakHyphen/>
              <w:t>073668</w:t>
            </w:r>
            <w:r w:rsidRPr="00547302">
              <w:rPr>
                <w:sz w:val="20"/>
                <w:lang w:val="en-CA"/>
              </w:rPr>
              <w:noBreakHyphen/>
              <w:t>124</w:t>
            </w:r>
          </w:p>
          <w:p w:rsidR="00D04A6F" w:rsidRPr="00547302" w:rsidRDefault="00FC1FD2" w:rsidP="00AA1FE0">
            <w:pPr>
              <w:jc w:val="both"/>
              <w:rPr>
                <w:sz w:val="20"/>
                <w:lang w:val="en-CA"/>
              </w:rPr>
            </w:pPr>
            <w:hyperlink r:id="rId67" w:history="1">
              <w:r w:rsidR="00D04A6F" w:rsidRPr="00547302">
                <w:rPr>
                  <w:rStyle w:val="Hyperlink"/>
                  <w:sz w:val="20"/>
                  <w:lang w:val="en-CA"/>
                </w:rPr>
                <w:t>2016 QCCS 5093</w:t>
              </w:r>
            </w:hyperlink>
          </w:p>
          <w:p w:rsidR="00D04A6F" w:rsidRPr="00547302" w:rsidRDefault="00D04A6F" w:rsidP="00AA1FE0">
            <w:pPr>
              <w:jc w:val="both"/>
              <w:rPr>
                <w:sz w:val="20"/>
                <w:lang w:val="en-CA"/>
              </w:rPr>
            </w:pPr>
          </w:p>
        </w:tc>
        <w:tc>
          <w:tcPr>
            <w:tcW w:w="243" w:type="pct"/>
          </w:tcPr>
          <w:p w:rsidR="00D04A6F" w:rsidRPr="00547302" w:rsidRDefault="00D04A6F" w:rsidP="00AA1FE0">
            <w:pPr>
              <w:jc w:val="both"/>
              <w:rPr>
                <w:sz w:val="20"/>
                <w:lang w:val="en-CA"/>
              </w:rPr>
            </w:pPr>
          </w:p>
        </w:tc>
        <w:tc>
          <w:tcPr>
            <w:tcW w:w="2330" w:type="pct"/>
          </w:tcPr>
          <w:p w:rsidR="00D04A6F" w:rsidRPr="00547302" w:rsidRDefault="00D04A6F" w:rsidP="00AA1FE0">
            <w:pPr>
              <w:jc w:val="both"/>
              <w:rPr>
                <w:sz w:val="20"/>
                <w:lang w:val="en-CA"/>
              </w:rPr>
            </w:pPr>
            <w:r w:rsidRPr="00547302">
              <w:rPr>
                <w:sz w:val="20"/>
                <w:lang w:val="en-CA"/>
              </w:rPr>
              <w:t>Amended originating application for permanent injunction and damages allowed in part; cross</w:t>
            </w:r>
            <w:r w:rsidRPr="00547302">
              <w:rPr>
                <w:sz w:val="20"/>
                <w:lang w:val="en-CA"/>
              </w:rPr>
              <w:noBreakHyphen/>
              <w:t>application dismissed with legal costs to applicant</w:t>
            </w:r>
          </w:p>
          <w:p w:rsidR="00D04A6F" w:rsidRPr="00547302" w:rsidRDefault="00D04A6F" w:rsidP="00AA1FE0">
            <w:pPr>
              <w:jc w:val="both"/>
              <w:rPr>
                <w:sz w:val="20"/>
                <w:lang w:val="en-CA"/>
              </w:rPr>
            </w:pPr>
          </w:p>
        </w:tc>
      </w:tr>
      <w:tr w:rsidR="00D04A6F" w:rsidRPr="00547302" w:rsidTr="00D04A6F">
        <w:tc>
          <w:tcPr>
            <w:tcW w:w="2427" w:type="pct"/>
            <w:gridSpan w:val="2"/>
          </w:tcPr>
          <w:p w:rsidR="00D04A6F" w:rsidRPr="00547302" w:rsidRDefault="00D04A6F" w:rsidP="00AA1FE0">
            <w:pPr>
              <w:jc w:val="both"/>
              <w:rPr>
                <w:sz w:val="20"/>
                <w:lang w:val="en-CA"/>
              </w:rPr>
            </w:pPr>
            <w:r w:rsidRPr="00547302">
              <w:rPr>
                <w:sz w:val="20"/>
                <w:lang w:val="en-CA"/>
              </w:rPr>
              <w:t>October 24, 2018</w:t>
            </w:r>
          </w:p>
          <w:p w:rsidR="00D04A6F" w:rsidRPr="00547302" w:rsidRDefault="00D04A6F" w:rsidP="00AA1FE0">
            <w:pPr>
              <w:jc w:val="both"/>
              <w:rPr>
                <w:sz w:val="20"/>
                <w:lang w:val="en-CA"/>
              </w:rPr>
            </w:pPr>
            <w:r w:rsidRPr="00547302">
              <w:rPr>
                <w:sz w:val="20"/>
                <w:lang w:val="en-CA"/>
              </w:rPr>
              <w:t>Quebec Court of Appeal (Montréal)</w:t>
            </w:r>
          </w:p>
          <w:p w:rsidR="00D04A6F" w:rsidRPr="00547302" w:rsidRDefault="00D04A6F" w:rsidP="00AA1FE0">
            <w:pPr>
              <w:jc w:val="both"/>
              <w:rPr>
                <w:sz w:val="20"/>
                <w:lang w:val="en-CA"/>
              </w:rPr>
            </w:pPr>
            <w:r w:rsidRPr="00547302">
              <w:rPr>
                <w:sz w:val="20"/>
                <w:lang w:val="en-CA"/>
              </w:rPr>
              <w:t>(Chamberland, Savard and Marcotte JJ.A.)</w:t>
            </w:r>
          </w:p>
          <w:p w:rsidR="00D04A6F" w:rsidRPr="00547302" w:rsidRDefault="00D04A6F" w:rsidP="00AA1FE0">
            <w:pPr>
              <w:jc w:val="both"/>
              <w:rPr>
                <w:sz w:val="20"/>
                <w:lang w:val="en-CA"/>
              </w:rPr>
            </w:pPr>
            <w:r w:rsidRPr="00547302">
              <w:rPr>
                <w:sz w:val="20"/>
                <w:lang w:val="en-CA"/>
              </w:rPr>
              <w:t>No. 500</w:t>
            </w:r>
            <w:r w:rsidRPr="00547302">
              <w:rPr>
                <w:sz w:val="20"/>
                <w:lang w:val="en-CA"/>
              </w:rPr>
              <w:noBreakHyphen/>
              <w:t>09</w:t>
            </w:r>
            <w:r w:rsidRPr="00547302">
              <w:rPr>
                <w:sz w:val="20"/>
                <w:lang w:val="en-CA"/>
              </w:rPr>
              <w:noBreakHyphen/>
              <w:t>026471</w:t>
            </w:r>
            <w:r w:rsidRPr="00547302">
              <w:rPr>
                <w:sz w:val="20"/>
                <w:lang w:val="en-CA"/>
              </w:rPr>
              <w:noBreakHyphen/>
              <w:t>169</w:t>
            </w:r>
          </w:p>
          <w:p w:rsidR="00D04A6F" w:rsidRPr="00547302" w:rsidRDefault="00FC1FD2" w:rsidP="00AA1FE0">
            <w:pPr>
              <w:jc w:val="both"/>
              <w:rPr>
                <w:sz w:val="20"/>
                <w:lang w:val="en-CA"/>
              </w:rPr>
            </w:pPr>
            <w:hyperlink r:id="rId68" w:history="1">
              <w:r w:rsidR="00D04A6F" w:rsidRPr="00547302">
                <w:rPr>
                  <w:rStyle w:val="Hyperlink"/>
                  <w:sz w:val="20"/>
                  <w:lang w:val="en-CA"/>
                </w:rPr>
                <w:t>2018 QCCA 1788</w:t>
              </w:r>
            </w:hyperlink>
          </w:p>
          <w:p w:rsidR="00D04A6F" w:rsidRPr="00547302" w:rsidRDefault="00D04A6F" w:rsidP="00AA1FE0">
            <w:pPr>
              <w:jc w:val="both"/>
              <w:rPr>
                <w:sz w:val="20"/>
                <w:lang w:val="en-CA"/>
              </w:rPr>
            </w:pPr>
          </w:p>
        </w:tc>
        <w:tc>
          <w:tcPr>
            <w:tcW w:w="243" w:type="pct"/>
          </w:tcPr>
          <w:p w:rsidR="00D04A6F" w:rsidRPr="00547302" w:rsidRDefault="00D04A6F" w:rsidP="00AA1FE0">
            <w:pPr>
              <w:jc w:val="both"/>
              <w:rPr>
                <w:sz w:val="20"/>
                <w:lang w:val="en-CA"/>
              </w:rPr>
            </w:pPr>
          </w:p>
        </w:tc>
        <w:tc>
          <w:tcPr>
            <w:tcW w:w="2330" w:type="pct"/>
          </w:tcPr>
          <w:p w:rsidR="00D04A6F" w:rsidRPr="00547302" w:rsidRDefault="00D04A6F" w:rsidP="00AA1FE0">
            <w:pPr>
              <w:jc w:val="both"/>
              <w:rPr>
                <w:sz w:val="20"/>
                <w:lang w:val="en-CA"/>
              </w:rPr>
            </w:pPr>
            <w:r w:rsidRPr="00547302">
              <w:rPr>
                <w:sz w:val="20"/>
                <w:lang w:val="en-CA"/>
              </w:rPr>
              <w:t>Appeal dismissed with costs</w:t>
            </w:r>
          </w:p>
          <w:p w:rsidR="00D04A6F" w:rsidRPr="00547302" w:rsidRDefault="00D04A6F" w:rsidP="00AA1FE0">
            <w:pPr>
              <w:jc w:val="both"/>
              <w:rPr>
                <w:sz w:val="20"/>
                <w:lang w:val="en-CA"/>
              </w:rPr>
            </w:pPr>
          </w:p>
        </w:tc>
      </w:tr>
      <w:tr w:rsidR="00D04A6F" w:rsidRPr="00547302" w:rsidTr="00D04A6F">
        <w:tc>
          <w:tcPr>
            <w:tcW w:w="2427" w:type="pct"/>
            <w:gridSpan w:val="2"/>
          </w:tcPr>
          <w:p w:rsidR="00D04A6F" w:rsidRPr="00547302" w:rsidRDefault="00D04A6F" w:rsidP="00AA1FE0">
            <w:pPr>
              <w:jc w:val="both"/>
              <w:rPr>
                <w:sz w:val="20"/>
                <w:lang w:val="en-CA"/>
              </w:rPr>
            </w:pPr>
            <w:r w:rsidRPr="00547302">
              <w:rPr>
                <w:sz w:val="20"/>
                <w:lang w:val="en-CA"/>
              </w:rPr>
              <w:t>December 21, 2018</w:t>
            </w:r>
          </w:p>
          <w:p w:rsidR="00D04A6F" w:rsidRPr="00547302" w:rsidRDefault="00D04A6F" w:rsidP="00AA1FE0">
            <w:pPr>
              <w:jc w:val="both"/>
              <w:rPr>
                <w:sz w:val="20"/>
                <w:lang w:val="en-CA"/>
              </w:rPr>
            </w:pPr>
            <w:r w:rsidRPr="00547302">
              <w:rPr>
                <w:sz w:val="20"/>
                <w:lang w:val="en-CA"/>
              </w:rPr>
              <w:t>Supreme Court of Canada</w:t>
            </w:r>
          </w:p>
        </w:tc>
        <w:tc>
          <w:tcPr>
            <w:tcW w:w="243" w:type="pct"/>
          </w:tcPr>
          <w:p w:rsidR="00D04A6F" w:rsidRPr="00547302" w:rsidRDefault="00D04A6F" w:rsidP="00AA1FE0">
            <w:pPr>
              <w:jc w:val="both"/>
              <w:rPr>
                <w:sz w:val="20"/>
                <w:lang w:val="en-CA"/>
              </w:rPr>
            </w:pPr>
          </w:p>
        </w:tc>
        <w:tc>
          <w:tcPr>
            <w:tcW w:w="2330" w:type="pct"/>
          </w:tcPr>
          <w:p w:rsidR="00D04A6F" w:rsidRPr="00547302" w:rsidRDefault="00D04A6F" w:rsidP="00AA1FE0">
            <w:pPr>
              <w:jc w:val="both"/>
              <w:rPr>
                <w:sz w:val="20"/>
                <w:lang w:val="en-CA"/>
              </w:rPr>
            </w:pPr>
            <w:r w:rsidRPr="00547302">
              <w:rPr>
                <w:sz w:val="20"/>
                <w:lang w:val="en-CA"/>
              </w:rPr>
              <w:t>Application for leave to appeal filed</w:t>
            </w:r>
          </w:p>
        </w:tc>
      </w:tr>
    </w:tbl>
    <w:p w:rsidR="00D04A6F" w:rsidRPr="00547302" w:rsidRDefault="00D04A6F" w:rsidP="00AA1FE0">
      <w:pPr>
        <w:jc w:val="both"/>
        <w:rPr>
          <w:sz w:val="20"/>
          <w:lang w:val="en-CA"/>
        </w:rPr>
      </w:pPr>
    </w:p>
    <w:p w:rsidR="004F6CFB" w:rsidRPr="00547302" w:rsidRDefault="004F6CFB" w:rsidP="00AA1FE0">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04A6F" w:rsidRPr="00547302" w:rsidTr="00D04A6F">
        <w:tc>
          <w:tcPr>
            <w:tcW w:w="543" w:type="pct"/>
          </w:tcPr>
          <w:p w:rsidR="00D04A6F" w:rsidRPr="00547302" w:rsidRDefault="00D04A6F" w:rsidP="00AA1FE0">
            <w:pPr>
              <w:jc w:val="both"/>
              <w:rPr>
                <w:sz w:val="20"/>
              </w:rPr>
            </w:pPr>
            <w:r w:rsidRPr="00547302">
              <w:rPr>
                <w:rStyle w:val="SCCFileNumberChar"/>
                <w:sz w:val="20"/>
                <w:szCs w:val="20"/>
              </w:rPr>
              <w:t>38456</w:t>
            </w:r>
          </w:p>
        </w:tc>
        <w:tc>
          <w:tcPr>
            <w:tcW w:w="4457" w:type="pct"/>
            <w:gridSpan w:val="3"/>
          </w:tcPr>
          <w:p w:rsidR="00D04A6F" w:rsidRPr="00547302" w:rsidRDefault="00D04A6F" w:rsidP="00AA1FE0">
            <w:pPr>
              <w:pStyle w:val="SCCLsocParty"/>
              <w:jc w:val="both"/>
              <w:rPr>
                <w:b/>
                <w:sz w:val="20"/>
                <w:szCs w:val="20"/>
              </w:rPr>
            </w:pPr>
            <w:r w:rsidRPr="00547302">
              <w:rPr>
                <w:b/>
                <w:sz w:val="20"/>
                <w:szCs w:val="20"/>
              </w:rPr>
              <w:t xml:space="preserve">Rossita Stoyanova c. </w:t>
            </w:r>
            <w:r w:rsidR="00F77E4E" w:rsidRPr="00F77E4E">
              <w:rPr>
                <w:b/>
                <w:sz w:val="20"/>
                <w:szCs w:val="20"/>
              </w:rPr>
              <w:t>Litwin Boyadjian inc., ès qualités de syndic à la faillite de Les Disques Mile End inc. et Nicolas Maranda</w:t>
            </w:r>
          </w:p>
          <w:p w:rsidR="00D04A6F" w:rsidRPr="00547302" w:rsidRDefault="00D04A6F" w:rsidP="004F6CFB">
            <w:pPr>
              <w:jc w:val="both"/>
              <w:rPr>
                <w:sz w:val="20"/>
                <w:lang w:val="fr-CA"/>
              </w:rPr>
            </w:pPr>
            <w:r w:rsidRPr="00547302">
              <w:rPr>
                <w:sz w:val="20"/>
                <w:lang w:val="fr-CA"/>
              </w:rPr>
              <w:t>(Qc) (Civile) (Autorisation)</w:t>
            </w:r>
          </w:p>
        </w:tc>
      </w:tr>
      <w:tr w:rsidR="00D04A6F" w:rsidRPr="003D50B9" w:rsidTr="00D04A6F">
        <w:tc>
          <w:tcPr>
            <w:tcW w:w="5000" w:type="pct"/>
            <w:gridSpan w:val="4"/>
          </w:tcPr>
          <w:p w:rsidR="00D04A6F" w:rsidRPr="00547302" w:rsidRDefault="00D04A6F" w:rsidP="00AA1FE0">
            <w:pPr>
              <w:pStyle w:val="SCCBanSummary"/>
              <w:rPr>
                <w:smallCaps w:val="0"/>
                <w:sz w:val="20"/>
                <w:szCs w:val="20"/>
                <w:lang w:val="fr-CA"/>
              </w:rPr>
            </w:pPr>
            <w:r w:rsidRPr="00547302">
              <w:rPr>
                <w:smallCaps w:val="0"/>
                <w:sz w:val="20"/>
                <w:szCs w:val="20"/>
                <w:lang w:val="fr-CA"/>
              </w:rPr>
              <w:t>Propriété intellectuelle — Droit d’auteur — Prestation vocale d’un poème — Version remixée d’une chanson — Production d’un album — Absence d’autorisation — Licence implicite —Atteinte à la vie privée, à la dignité et à l’honneur — Enregistrement sonore — Absence de consentement — Diffusion restreinte — Évaluation des dommages — Préjudice moral —Préjudice matériel — Est</w:t>
            </w:r>
            <w:r w:rsidRPr="00547302">
              <w:rPr>
                <w:smallCaps w:val="0"/>
                <w:sz w:val="20"/>
                <w:szCs w:val="20"/>
                <w:lang w:val="fr-CA"/>
              </w:rPr>
              <w:noBreakHyphen/>
              <w:t>ce que la défense de la licence implicite à la commercialisation mondiale d’une œuvre, musicale, sans contrat et sur la seule base de la sexualité de l’auteur interprète constitue du harcèlement sexuel en cours d’instance et un abus de procédure? — En ayant défendu la contrefaçon de Les Disques Mile End, l’intimé Nicolas Maranda a</w:t>
            </w:r>
            <w:r w:rsidRPr="00547302">
              <w:rPr>
                <w:smallCaps w:val="0"/>
                <w:sz w:val="20"/>
                <w:szCs w:val="20"/>
                <w:lang w:val="fr-CA"/>
              </w:rPr>
              <w:noBreakHyphen/>
              <w:t>t</w:t>
            </w:r>
            <w:r w:rsidRPr="00547302">
              <w:rPr>
                <w:smallCaps w:val="0"/>
                <w:sz w:val="20"/>
                <w:szCs w:val="20"/>
                <w:lang w:val="fr-CA"/>
              </w:rPr>
              <w:noBreakHyphen/>
              <w:t>il autorisé cette contrefaçon de manière illicite et intentionnelle? — Est</w:t>
            </w:r>
            <w:r w:rsidRPr="00547302">
              <w:rPr>
                <w:smallCaps w:val="0"/>
                <w:sz w:val="20"/>
                <w:szCs w:val="20"/>
                <w:lang w:val="fr-CA"/>
              </w:rPr>
              <w:noBreakHyphen/>
              <w:t>ce que l’introduction des «  mythes du viol  » dans un dossier de propriété intellectuelle a eu pour effet de nier les conséquences non pécuniaires de la commercialisation de l’œuvre et le caractère intentionnel de l’atteinte à la vie privée de l’auteur interprète?</w:t>
            </w:r>
          </w:p>
        </w:tc>
      </w:tr>
      <w:tr w:rsidR="00D04A6F" w:rsidRPr="003D50B9" w:rsidTr="00D04A6F">
        <w:tc>
          <w:tcPr>
            <w:tcW w:w="5000" w:type="pct"/>
            <w:gridSpan w:val="4"/>
          </w:tcPr>
          <w:p w:rsidR="00D04A6F" w:rsidRPr="00547302" w:rsidRDefault="00D04A6F" w:rsidP="00AA1FE0">
            <w:pPr>
              <w:jc w:val="both"/>
              <w:rPr>
                <w:sz w:val="20"/>
                <w:lang w:val="fr-CA"/>
              </w:rPr>
            </w:pPr>
          </w:p>
        </w:tc>
      </w:tr>
      <w:tr w:rsidR="00D04A6F" w:rsidRPr="003D50B9" w:rsidTr="00D04A6F">
        <w:tc>
          <w:tcPr>
            <w:tcW w:w="5000" w:type="pct"/>
            <w:gridSpan w:val="4"/>
          </w:tcPr>
          <w:p w:rsidR="00D04A6F" w:rsidRPr="00547302" w:rsidRDefault="00D04A6F" w:rsidP="00AA1FE0">
            <w:pPr>
              <w:jc w:val="both"/>
              <w:rPr>
                <w:sz w:val="20"/>
                <w:lang w:val="fr-CA"/>
              </w:rPr>
            </w:pPr>
            <w:r w:rsidRPr="00547302">
              <w:rPr>
                <w:sz w:val="20"/>
                <w:lang w:val="fr-CA"/>
              </w:rPr>
              <w:lastRenderedPageBreak/>
              <w:t>En 2010, l’intimé M. Maranda enregistre la prestation vocale par la demanderesse Mme Stoyanova d’un poème dont elle est l’auteure. L’enregistrement de cette œuvre est intégré à la musique du groupe Monitor pour créer une chanson avec le consentement de Mme Stoyanova. Par la suite, le groupe Monitor cède les droits au producteur Les Disques Mile End Inc., qui commercialise la chanson sans l’autorisation de Mme Stoyanova et sans l’identifier comme auteure. Concomitamment, M. Maranda enregistre à l’insu de Mme Stoyanova les bruits ambiants de son appartement durant 96 minutes, y incluant leur relation sexuelle. La Cour supérieure (i) accueille en partie la demande en injonction permanente et en dommages de Mme Stoyanova contre Les Disques Mile</w:t>
            </w:r>
            <w:r w:rsidRPr="00547302">
              <w:rPr>
                <w:sz w:val="20"/>
                <w:lang w:val="fr-CA"/>
              </w:rPr>
              <w:noBreakHyphen/>
              <w:t>End inc. et Litwin Boyadjian inc., ès qualités de syndic à la faillite, (ii) les condamne à lui verser 15 528 $ pour violation de ses droits d’auteur, (iii) condamne M. Maranda à lui verser des dommages moraux de 5 000 $ pour atteinte à sa vie privée et (iv) rejette la demande reconventionnelle, le tout avec frais de justice en faveur de Stoyanova. La Cour d’appel, dans un arrêt unanime, rejette l’appel de Mme Stoyanova avec les frais de justice, concluant qu’aucun des moyens soulevés n’est fondé.</w:t>
            </w:r>
          </w:p>
          <w:p w:rsidR="00D04A6F" w:rsidRPr="00547302" w:rsidRDefault="00D04A6F" w:rsidP="00AA1FE0">
            <w:pPr>
              <w:jc w:val="both"/>
              <w:rPr>
                <w:sz w:val="20"/>
                <w:lang w:val="fr-CA"/>
              </w:rPr>
            </w:pPr>
          </w:p>
        </w:tc>
      </w:tr>
      <w:tr w:rsidR="00D04A6F" w:rsidRPr="003D50B9" w:rsidTr="00D04A6F">
        <w:tc>
          <w:tcPr>
            <w:tcW w:w="2427" w:type="pct"/>
            <w:gridSpan w:val="2"/>
          </w:tcPr>
          <w:p w:rsidR="00D04A6F" w:rsidRPr="00547302" w:rsidRDefault="00D04A6F" w:rsidP="00AA1FE0">
            <w:pPr>
              <w:jc w:val="both"/>
              <w:rPr>
                <w:sz w:val="20"/>
                <w:lang w:val="fr-CA"/>
              </w:rPr>
            </w:pPr>
            <w:r w:rsidRPr="00547302">
              <w:rPr>
                <w:sz w:val="20"/>
                <w:lang w:val="fr-CA"/>
              </w:rPr>
              <w:t>Le 24 octobre 2016</w:t>
            </w:r>
          </w:p>
          <w:p w:rsidR="00D04A6F" w:rsidRPr="00547302" w:rsidRDefault="00D04A6F" w:rsidP="00AA1FE0">
            <w:pPr>
              <w:jc w:val="both"/>
              <w:rPr>
                <w:sz w:val="20"/>
                <w:lang w:val="fr-CA"/>
              </w:rPr>
            </w:pPr>
            <w:r w:rsidRPr="00547302">
              <w:rPr>
                <w:sz w:val="20"/>
                <w:lang w:val="fr-CA"/>
              </w:rPr>
              <w:t>Cour supérieure du Québec</w:t>
            </w:r>
          </w:p>
          <w:p w:rsidR="00D04A6F" w:rsidRPr="00547302" w:rsidRDefault="00D04A6F" w:rsidP="00AA1FE0">
            <w:pPr>
              <w:jc w:val="both"/>
              <w:rPr>
                <w:sz w:val="20"/>
                <w:lang w:val="fr-CA"/>
              </w:rPr>
            </w:pPr>
            <w:r w:rsidRPr="00547302">
              <w:rPr>
                <w:sz w:val="20"/>
                <w:lang w:val="fr-CA"/>
              </w:rPr>
              <w:t>(La juge Lucas)</w:t>
            </w:r>
          </w:p>
          <w:p w:rsidR="00D04A6F" w:rsidRPr="00547302" w:rsidRDefault="00D04A6F" w:rsidP="00AA1FE0">
            <w:pPr>
              <w:jc w:val="both"/>
              <w:rPr>
                <w:sz w:val="20"/>
                <w:lang w:val="fr-CA"/>
              </w:rPr>
            </w:pPr>
            <w:r w:rsidRPr="00547302">
              <w:rPr>
                <w:sz w:val="20"/>
                <w:lang w:val="fr-CA"/>
              </w:rPr>
              <w:t>No. 500</w:t>
            </w:r>
            <w:r w:rsidRPr="00547302">
              <w:rPr>
                <w:sz w:val="20"/>
                <w:lang w:val="fr-CA"/>
              </w:rPr>
              <w:noBreakHyphen/>
              <w:t>17</w:t>
            </w:r>
            <w:r w:rsidRPr="00547302">
              <w:rPr>
                <w:sz w:val="20"/>
                <w:lang w:val="fr-CA"/>
              </w:rPr>
              <w:noBreakHyphen/>
              <w:t>073668</w:t>
            </w:r>
            <w:r w:rsidRPr="00547302">
              <w:rPr>
                <w:sz w:val="20"/>
                <w:lang w:val="fr-CA"/>
              </w:rPr>
              <w:noBreakHyphen/>
              <w:t>124</w:t>
            </w:r>
          </w:p>
          <w:p w:rsidR="00D04A6F" w:rsidRPr="00547302" w:rsidRDefault="00FC1FD2" w:rsidP="00AA1FE0">
            <w:pPr>
              <w:jc w:val="both"/>
              <w:rPr>
                <w:sz w:val="20"/>
                <w:lang w:val="fr-CA"/>
              </w:rPr>
            </w:pPr>
            <w:hyperlink r:id="rId69" w:history="1">
              <w:r w:rsidR="00D04A6F" w:rsidRPr="00547302">
                <w:rPr>
                  <w:rStyle w:val="Hyperlink"/>
                  <w:sz w:val="20"/>
                  <w:lang w:val="fr-CA"/>
                </w:rPr>
                <w:t>2016 QCCS 5093</w:t>
              </w:r>
            </w:hyperlink>
          </w:p>
          <w:p w:rsidR="00D04A6F" w:rsidRPr="00547302" w:rsidRDefault="00D04A6F" w:rsidP="00AA1FE0">
            <w:pPr>
              <w:jc w:val="both"/>
              <w:rPr>
                <w:sz w:val="20"/>
                <w:lang w:val="fr-CA"/>
              </w:rPr>
            </w:pPr>
          </w:p>
        </w:tc>
        <w:tc>
          <w:tcPr>
            <w:tcW w:w="243" w:type="pct"/>
          </w:tcPr>
          <w:p w:rsidR="00D04A6F" w:rsidRPr="00547302" w:rsidRDefault="00D04A6F" w:rsidP="00AA1FE0">
            <w:pPr>
              <w:jc w:val="both"/>
              <w:rPr>
                <w:sz w:val="20"/>
                <w:lang w:val="fr-CA"/>
              </w:rPr>
            </w:pPr>
          </w:p>
        </w:tc>
        <w:tc>
          <w:tcPr>
            <w:tcW w:w="2330" w:type="pct"/>
          </w:tcPr>
          <w:p w:rsidR="00D04A6F" w:rsidRPr="00547302" w:rsidRDefault="00D04A6F" w:rsidP="00AA1FE0">
            <w:pPr>
              <w:jc w:val="both"/>
              <w:rPr>
                <w:sz w:val="20"/>
                <w:lang w:val="fr-CA"/>
              </w:rPr>
            </w:pPr>
            <w:r w:rsidRPr="00547302">
              <w:rPr>
                <w:sz w:val="20"/>
                <w:lang w:val="fr-CA"/>
              </w:rPr>
              <w:t>Demande introductive d’instance modifiée en injonction permanente et en dommages accueillie en partie; demande reconventionnelle rejetée, avec frais de justice en faveur de la demanderesse</w:t>
            </w:r>
          </w:p>
          <w:p w:rsidR="00D04A6F" w:rsidRPr="00547302" w:rsidRDefault="00D04A6F" w:rsidP="00AA1FE0">
            <w:pPr>
              <w:jc w:val="both"/>
              <w:rPr>
                <w:sz w:val="20"/>
                <w:lang w:val="fr-CA"/>
              </w:rPr>
            </w:pPr>
          </w:p>
        </w:tc>
      </w:tr>
      <w:tr w:rsidR="00D04A6F" w:rsidRPr="003D50B9" w:rsidTr="00D04A6F">
        <w:tc>
          <w:tcPr>
            <w:tcW w:w="2427" w:type="pct"/>
            <w:gridSpan w:val="2"/>
          </w:tcPr>
          <w:p w:rsidR="00D04A6F" w:rsidRPr="00547302" w:rsidRDefault="00D04A6F" w:rsidP="00AA1FE0">
            <w:pPr>
              <w:jc w:val="both"/>
              <w:rPr>
                <w:sz w:val="20"/>
                <w:lang w:val="fr-CA"/>
              </w:rPr>
            </w:pPr>
            <w:r w:rsidRPr="00547302">
              <w:rPr>
                <w:sz w:val="20"/>
                <w:lang w:val="fr-CA"/>
              </w:rPr>
              <w:t>Le 24 octobre 2018</w:t>
            </w:r>
          </w:p>
          <w:p w:rsidR="00D04A6F" w:rsidRPr="00547302" w:rsidRDefault="00D04A6F" w:rsidP="00AA1FE0">
            <w:pPr>
              <w:jc w:val="both"/>
              <w:rPr>
                <w:sz w:val="20"/>
                <w:lang w:val="fr-CA"/>
              </w:rPr>
            </w:pPr>
            <w:r w:rsidRPr="00547302">
              <w:rPr>
                <w:sz w:val="20"/>
                <w:lang w:val="fr-CA"/>
              </w:rPr>
              <w:t>Cour d’appel du Québec (Montréal)</w:t>
            </w:r>
          </w:p>
          <w:p w:rsidR="00D04A6F" w:rsidRPr="00547302" w:rsidRDefault="00D04A6F" w:rsidP="00AA1FE0">
            <w:pPr>
              <w:jc w:val="both"/>
              <w:rPr>
                <w:sz w:val="20"/>
                <w:lang w:val="fr-CA"/>
              </w:rPr>
            </w:pPr>
            <w:r w:rsidRPr="00547302">
              <w:rPr>
                <w:sz w:val="20"/>
                <w:lang w:val="fr-CA"/>
              </w:rPr>
              <w:t>(Les juges Chamberland, Savard, Marcotte)</w:t>
            </w:r>
          </w:p>
          <w:p w:rsidR="00D04A6F" w:rsidRPr="00547302" w:rsidRDefault="00D04A6F" w:rsidP="00AA1FE0">
            <w:pPr>
              <w:jc w:val="both"/>
              <w:rPr>
                <w:sz w:val="20"/>
              </w:rPr>
            </w:pPr>
            <w:r w:rsidRPr="00547302">
              <w:rPr>
                <w:sz w:val="20"/>
              </w:rPr>
              <w:t>No. 500</w:t>
            </w:r>
            <w:r w:rsidRPr="00547302">
              <w:rPr>
                <w:sz w:val="20"/>
              </w:rPr>
              <w:noBreakHyphen/>
              <w:t>09</w:t>
            </w:r>
            <w:r w:rsidRPr="00547302">
              <w:rPr>
                <w:sz w:val="20"/>
              </w:rPr>
              <w:noBreakHyphen/>
              <w:t>026471</w:t>
            </w:r>
            <w:r w:rsidRPr="00547302">
              <w:rPr>
                <w:sz w:val="20"/>
              </w:rPr>
              <w:noBreakHyphen/>
              <w:t>169</w:t>
            </w:r>
          </w:p>
          <w:p w:rsidR="00D04A6F" w:rsidRPr="00547302" w:rsidRDefault="00FC1FD2" w:rsidP="00AA1FE0">
            <w:pPr>
              <w:jc w:val="both"/>
              <w:rPr>
                <w:sz w:val="20"/>
              </w:rPr>
            </w:pPr>
            <w:hyperlink r:id="rId70" w:history="1">
              <w:r w:rsidR="00D04A6F" w:rsidRPr="00547302">
                <w:rPr>
                  <w:rStyle w:val="Hyperlink"/>
                  <w:sz w:val="20"/>
                </w:rPr>
                <w:t>2018 QCCA 1788</w:t>
              </w:r>
            </w:hyperlink>
          </w:p>
          <w:p w:rsidR="00D04A6F" w:rsidRPr="00547302" w:rsidRDefault="00D04A6F" w:rsidP="00AA1FE0">
            <w:pPr>
              <w:jc w:val="both"/>
              <w:rPr>
                <w:sz w:val="20"/>
              </w:rPr>
            </w:pPr>
          </w:p>
        </w:tc>
        <w:tc>
          <w:tcPr>
            <w:tcW w:w="243" w:type="pct"/>
          </w:tcPr>
          <w:p w:rsidR="00D04A6F" w:rsidRPr="00547302" w:rsidRDefault="00D04A6F" w:rsidP="00AA1FE0">
            <w:pPr>
              <w:jc w:val="both"/>
              <w:rPr>
                <w:sz w:val="20"/>
              </w:rPr>
            </w:pPr>
          </w:p>
        </w:tc>
        <w:tc>
          <w:tcPr>
            <w:tcW w:w="2330" w:type="pct"/>
          </w:tcPr>
          <w:p w:rsidR="00D04A6F" w:rsidRPr="00547302" w:rsidRDefault="00D04A6F" w:rsidP="00AA1FE0">
            <w:pPr>
              <w:jc w:val="both"/>
              <w:rPr>
                <w:sz w:val="20"/>
                <w:lang w:val="fr-CA"/>
              </w:rPr>
            </w:pPr>
            <w:r w:rsidRPr="00547302">
              <w:rPr>
                <w:sz w:val="20"/>
                <w:lang w:val="fr-CA"/>
              </w:rPr>
              <w:t>Appel rejeté, avec frais de justice</w:t>
            </w:r>
          </w:p>
          <w:p w:rsidR="00D04A6F" w:rsidRPr="00547302" w:rsidRDefault="00D04A6F" w:rsidP="00AA1FE0">
            <w:pPr>
              <w:jc w:val="both"/>
              <w:rPr>
                <w:sz w:val="20"/>
                <w:lang w:val="fr-CA"/>
              </w:rPr>
            </w:pPr>
          </w:p>
        </w:tc>
      </w:tr>
      <w:tr w:rsidR="00D04A6F" w:rsidRPr="00547302" w:rsidTr="00D04A6F">
        <w:tc>
          <w:tcPr>
            <w:tcW w:w="2427" w:type="pct"/>
            <w:gridSpan w:val="2"/>
          </w:tcPr>
          <w:p w:rsidR="00D04A6F" w:rsidRPr="00547302" w:rsidRDefault="00D04A6F" w:rsidP="00AA1FE0">
            <w:pPr>
              <w:jc w:val="both"/>
              <w:rPr>
                <w:sz w:val="20"/>
                <w:lang w:val="fr-CA"/>
              </w:rPr>
            </w:pPr>
            <w:r w:rsidRPr="00547302">
              <w:rPr>
                <w:sz w:val="20"/>
                <w:lang w:val="fr-CA"/>
              </w:rPr>
              <w:t>Le 21 décembre 2018</w:t>
            </w:r>
          </w:p>
          <w:p w:rsidR="00D04A6F" w:rsidRPr="00547302" w:rsidRDefault="00D04A6F" w:rsidP="00AA1FE0">
            <w:pPr>
              <w:jc w:val="both"/>
              <w:rPr>
                <w:sz w:val="20"/>
                <w:lang w:val="fr-CA"/>
              </w:rPr>
            </w:pPr>
            <w:r w:rsidRPr="00547302">
              <w:rPr>
                <w:sz w:val="20"/>
                <w:lang w:val="fr-CA"/>
              </w:rPr>
              <w:t>Cour suprême du Canada</w:t>
            </w:r>
          </w:p>
        </w:tc>
        <w:tc>
          <w:tcPr>
            <w:tcW w:w="243" w:type="pct"/>
          </w:tcPr>
          <w:p w:rsidR="00D04A6F" w:rsidRPr="00547302" w:rsidRDefault="00D04A6F" w:rsidP="00AA1FE0">
            <w:pPr>
              <w:jc w:val="both"/>
              <w:rPr>
                <w:sz w:val="20"/>
                <w:lang w:val="fr-CA"/>
              </w:rPr>
            </w:pPr>
          </w:p>
        </w:tc>
        <w:tc>
          <w:tcPr>
            <w:tcW w:w="2330" w:type="pct"/>
          </w:tcPr>
          <w:p w:rsidR="00D04A6F" w:rsidRPr="00547302" w:rsidRDefault="00D04A6F" w:rsidP="00AA1FE0">
            <w:pPr>
              <w:jc w:val="both"/>
              <w:rPr>
                <w:sz w:val="20"/>
              </w:rPr>
            </w:pPr>
            <w:r w:rsidRPr="00547302">
              <w:rPr>
                <w:sz w:val="20"/>
              </w:rPr>
              <w:t xml:space="preserve">Demande d’autorisation d’appel </w:t>
            </w:r>
            <w:proofErr w:type="spellStart"/>
            <w:r w:rsidRPr="00547302">
              <w:rPr>
                <w:sz w:val="20"/>
              </w:rPr>
              <w:t>déposée</w:t>
            </w:r>
            <w:proofErr w:type="spellEnd"/>
          </w:p>
        </w:tc>
      </w:tr>
    </w:tbl>
    <w:p w:rsidR="00D04A6F" w:rsidRPr="00547302" w:rsidRDefault="00D04A6F" w:rsidP="00AA1FE0">
      <w:pPr>
        <w:jc w:val="both"/>
        <w:rPr>
          <w:sz w:val="20"/>
        </w:rPr>
      </w:pPr>
    </w:p>
    <w:p w:rsidR="00340CFE" w:rsidRPr="00547302" w:rsidRDefault="00340CFE" w:rsidP="00340CFE">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40CFE" w:rsidRPr="00547302" w:rsidTr="00460DF0">
        <w:tc>
          <w:tcPr>
            <w:tcW w:w="543" w:type="pct"/>
          </w:tcPr>
          <w:p w:rsidR="00340CFE" w:rsidRPr="00547302" w:rsidRDefault="00340CFE" w:rsidP="00460DF0">
            <w:pPr>
              <w:jc w:val="both"/>
              <w:rPr>
                <w:sz w:val="20"/>
              </w:rPr>
            </w:pPr>
            <w:r w:rsidRPr="00547302">
              <w:rPr>
                <w:rStyle w:val="SCCFileNumberChar"/>
                <w:sz w:val="20"/>
                <w:szCs w:val="20"/>
              </w:rPr>
              <w:t>38462</w:t>
            </w:r>
          </w:p>
        </w:tc>
        <w:tc>
          <w:tcPr>
            <w:tcW w:w="4457" w:type="pct"/>
            <w:gridSpan w:val="3"/>
          </w:tcPr>
          <w:p w:rsidR="00340CFE" w:rsidRPr="006C4F36" w:rsidRDefault="00340CFE" w:rsidP="00460DF0">
            <w:pPr>
              <w:pStyle w:val="SCCLsocParty"/>
              <w:jc w:val="both"/>
              <w:rPr>
                <w:b/>
                <w:sz w:val="20"/>
                <w:szCs w:val="20"/>
                <w:lang w:val="en-US"/>
              </w:rPr>
            </w:pPr>
            <w:r w:rsidRPr="00547302">
              <w:rPr>
                <w:b/>
                <w:sz w:val="20"/>
                <w:szCs w:val="20"/>
                <w:lang w:val="en-US"/>
              </w:rPr>
              <w:t>Emil Mihaylov</w:t>
            </w:r>
            <w:r w:rsidR="006C4F36">
              <w:rPr>
                <w:b/>
                <w:sz w:val="20"/>
                <w:szCs w:val="20"/>
                <w:lang w:val="en-US"/>
              </w:rPr>
              <w:t xml:space="preserve"> and</w:t>
            </w:r>
            <w:r w:rsidRPr="00547302">
              <w:rPr>
                <w:b/>
                <w:sz w:val="20"/>
                <w:szCs w:val="20"/>
                <w:lang w:val="en-US"/>
              </w:rPr>
              <w:t xml:space="preserve"> Sofia Mihaylov v. </w:t>
            </w:r>
            <w:r w:rsidR="006C4F36" w:rsidRPr="006C4F36">
              <w:rPr>
                <w:b/>
                <w:sz w:val="20"/>
                <w:szCs w:val="20"/>
                <w:lang w:val="en-US"/>
              </w:rPr>
              <w:t>Long Beach Residents’ Association, Attorney General of Canada and Her Majesty the Queen in Right of Ontario as Represented by the Minister of Natural Resources</w:t>
            </w:r>
          </w:p>
          <w:p w:rsidR="00340CFE" w:rsidRPr="00547302" w:rsidRDefault="00340CFE" w:rsidP="00340CFE">
            <w:pPr>
              <w:jc w:val="both"/>
              <w:rPr>
                <w:sz w:val="20"/>
              </w:rPr>
            </w:pPr>
            <w:r w:rsidRPr="00547302">
              <w:rPr>
                <w:sz w:val="20"/>
              </w:rPr>
              <w:t>(Ont.) (Civil) (By Leave)</w:t>
            </w:r>
          </w:p>
        </w:tc>
      </w:tr>
      <w:tr w:rsidR="00340CFE" w:rsidRPr="00547302" w:rsidTr="00460DF0">
        <w:tc>
          <w:tcPr>
            <w:tcW w:w="5000" w:type="pct"/>
            <w:gridSpan w:val="4"/>
          </w:tcPr>
          <w:p w:rsidR="00340CFE" w:rsidRPr="00547302" w:rsidRDefault="00340CFE" w:rsidP="00460DF0">
            <w:pPr>
              <w:jc w:val="both"/>
              <w:rPr>
                <w:sz w:val="20"/>
              </w:rPr>
            </w:pPr>
            <w:r w:rsidRPr="00547302">
              <w:rPr>
                <w:sz w:val="20"/>
              </w:rPr>
              <w:t>Real property — Boundary marking — Conveyance of land — Limitation of actions — Riparian rights — Whether land lawfully</w:t>
            </w:r>
            <w:r w:rsidRPr="00547302">
              <w:rPr>
                <w:spacing w:val="9"/>
                <w:sz w:val="20"/>
              </w:rPr>
              <w:t xml:space="preserve"> </w:t>
            </w:r>
            <w:r w:rsidRPr="00547302">
              <w:rPr>
                <w:sz w:val="20"/>
              </w:rPr>
              <w:t>conveyed</w:t>
            </w:r>
            <w:r w:rsidRPr="00547302">
              <w:rPr>
                <w:spacing w:val="11"/>
                <w:sz w:val="20"/>
              </w:rPr>
              <w:t xml:space="preserve"> </w:t>
            </w:r>
            <w:r w:rsidRPr="00547302">
              <w:rPr>
                <w:sz w:val="20"/>
              </w:rPr>
              <w:t>by</w:t>
            </w:r>
            <w:r w:rsidRPr="00547302">
              <w:rPr>
                <w:spacing w:val="-1"/>
                <w:sz w:val="20"/>
              </w:rPr>
              <w:t xml:space="preserve"> </w:t>
            </w:r>
            <w:r w:rsidRPr="00547302">
              <w:rPr>
                <w:sz w:val="20"/>
              </w:rPr>
              <w:t>Order</w:t>
            </w:r>
            <w:r w:rsidRPr="00547302">
              <w:rPr>
                <w:spacing w:val="-1"/>
                <w:sz w:val="20"/>
              </w:rPr>
              <w:t xml:space="preserve"> </w:t>
            </w:r>
            <w:r w:rsidRPr="00547302">
              <w:rPr>
                <w:sz w:val="20"/>
              </w:rPr>
              <w:t>in</w:t>
            </w:r>
            <w:r w:rsidRPr="00547302">
              <w:rPr>
                <w:spacing w:val="5"/>
                <w:sz w:val="20"/>
              </w:rPr>
              <w:t xml:space="preserve"> </w:t>
            </w:r>
            <w:r w:rsidRPr="00547302">
              <w:rPr>
                <w:sz w:val="20"/>
              </w:rPr>
              <w:t>Council</w:t>
            </w:r>
            <w:r w:rsidRPr="00547302">
              <w:rPr>
                <w:spacing w:val="25"/>
                <w:sz w:val="20"/>
              </w:rPr>
              <w:t xml:space="preserve"> </w:t>
            </w:r>
            <w:r w:rsidRPr="00547302">
              <w:rPr>
                <w:sz w:val="20"/>
              </w:rPr>
              <w:t>relying</w:t>
            </w:r>
            <w:r w:rsidRPr="00547302">
              <w:rPr>
                <w:spacing w:val="1"/>
                <w:sz w:val="20"/>
              </w:rPr>
              <w:t xml:space="preserve"> </w:t>
            </w:r>
            <w:r w:rsidRPr="00547302">
              <w:rPr>
                <w:sz w:val="20"/>
              </w:rPr>
              <w:t>on</w:t>
            </w:r>
            <w:r w:rsidRPr="00547302">
              <w:rPr>
                <w:spacing w:val="6"/>
                <w:sz w:val="20"/>
              </w:rPr>
              <w:t xml:space="preserve"> </w:t>
            </w:r>
            <w:r w:rsidRPr="00547302">
              <w:rPr>
                <w:sz w:val="20"/>
              </w:rPr>
              <w:t>a</w:t>
            </w:r>
            <w:r w:rsidRPr="00547302">
              <w:rPr>
                <w:spacing w:val="7"/>
                <w:sz w:val="20"/>
              </w:rPr>
              <w:t xml:space="preserve"> </w:t>
            </w:r>
            <w:r w:rsidRPr="00547302">
              <w:rPr>
                <w:sz w:val="20"/>
              </w:rPr>
              <w:t>description</w:t>
            </w:r>
            <w:r w:rsidRPr="00547302">
              <w:rPr>
                <w:spacing w:val="14"/>
                <w:sz w:val="20"/>
              </w:rPr>
              <w:t xml:space="preserve"> </w:t>
            </w:r>
            <w:r w:rsidRPr="00547302">
              <w:rPr>
                <w:sz w:val="20"/>
              </w:rPr>
              <w:t>of</w:t>
            </w:r>
            <w:r w:rsidRPr="00547302">
              <w:rPr>
                <w:spacing w:val="2"/>
                <w:sz w:val="20"/>
              </w:rPr>
              <w:t xml:space="preserve"> </w:t>
            </w:r>
            <w:r w:rsidRPr="00547302">
              <w:rPr>
                <w:sz w:val="20"/>
              </w:rPr>
              <w:t>the</w:t>
            </w:r>
            <w:r w:rsidRPr="00547302">
              <w:rPr>
                <w:spacing w:val="6"/>
                <w:sz w:val="20"/>
              </w:rPr>
              <w:t xml:space="preserve"> </w:t>
            </w:r>
            <w:r w:rsidRPr="00547302">
              <w:rPr>
                <w:sz w:val="20"/>
              </w:rPr>
              <w:t>land</w:t>
            </w:r>
            <w:r w:rsidRPr="00547302">
              <w:rPr>
                <w:spacing w:val="18"/>
                <w:sz w:val="20"/>
              </w:rPr>
              <w:t xml:space="preserve"> </w:t>
            </w:r>
            <w:r w:rsidRPr="00547302">
              <w:rPr>
                <w:sz w:val="20"/>
              </w:rPr>
              <w:t>based</w:t>
            </w:r>
            <w:r w:rsidRPr="00547302">
              <w:rPr>
                <w:spacing w:val="16"/>
                <w:sz w:val="20"/>
              </w:rPr>
              <w:t xml:space="preserve"> in part </w:t>
            </w:r>
            <w:r w:rsidRPr="00547302">
              <w:rPr>
                <w:sz w:val="20"/>
              </w:rPr>
              <w:t>on</w:t>
            </w:r>
            <w:r w:rsidRPr="00547302">
              <w:rPr>
                <w:spacing w:val="6"/>
                <w:sz w:val="20"/>
              </w:rPr>
              <w:t xml:space="preserve"> </w:t>
            </w:r>
            <w:r w:rsidRPr="00547302">
              <w:rPr>
                <w:sz w:val="20"/>
              </w:rPr>
              <w:t>a</w:t>
            </w:r>
            <w:r w:rsidRPr="00547302">
              <w:rPr>
                <w:spacing w:val="9"/>
                <w:sz w:val="20"/>
              </w:rPr>
              <w:t xml:space="preserve"> </w:t>
            </w:r>
            <w:r w:rsidRPr="00547302">
              <w:rPr>
                <w:sz w:val="20"/>
              </w:rPr>
              <w:t>high</w:t>
            </w:r>
            <w:r w:rsidRPr="00547302">
              <w:rPr>
                <w:spacing w:val="14"/>
                <w:sz w:val="20"/>
              </w:rPr>
              <w:t xml:space="preserve"> </w:t>
            </w:r>
            <w:r w:rsidRPr="00547302">
              <w:rPr>
                <w:sz w:val="20"/>
              </w:rPr>
              <w:t>water</w:t>
            </w:r>
            <w:r w:rsidRPr="00547302">
              <w:rPr>
                <w:spacing w:val="-1"/>
                <w:sz w:val="20"/>
              </w:rPr>
              <w:t xml:space="preserve"> </w:t>
            </w:r>
            <w:r w:rsidRPr="00547302">
              <w:rPr>
                <w:sz w:val="20"/>
              </w:rPr>
              <w:t xml:space="preserve">mark — </w:t>
            </w:r>
            <w:r w:rsidRPr="00547302">
              <w:rPr>
                <w:color w:val="2F2F2F"/>
                <w:w w:val="110"/>
                <w:sz w:val="20"/>
              </w:rPr>
              <w:t xml:space="preserve">Whether action for interference with riparian rights </w:t>
            </w:r>
            <w:r w:rsidRPr="00547302">
              <w:rPr>
                <w:color w:val="1A1A1A"/>
                <w:w w:val="110"/>
                <w:sz w:val="20"/>
              </w:rPr>
              <w:t xml:space="preserve">barred by </w:t>
            </w:r>
            <w:r w:rsidRPr="00547302">
              <w:rPr>
                <w:i/>
                <w:iCs/>
                <w:color w:val="1A1A1A"/>
                <w:w w:val="110"/>
                <w:sz w:val="20"/>
              </w:rPr>
              <w:t>Real</w:t>
            </w:r>
            <w:r w:rsidRPr="00547302">
              <w:rPr>
                <w:i/>
                <w:iCs/>
                <w:color w:val="2F2F2F"/>
                <w:w w:val="110"/>
                <w:sz w:val="20"/>
              </w:rPr>
              <w:t xml:space="preserve"> Property Limitation Act</w:t>
            </w:r>
            <w:r w:rsidRPr="00547302">
              <w:rPr>
                <w:i/>
                <w:iCs/>
                <w:color w:val="595959"/>
                <w:w w:val="110"/>
                <w:sz w:val="20"/>
              </w:rPr>
              <w:t xml:space="preserve">, </w:t>
            </w:r>
            <w:r w:rsidRPr="00547302">
              <w:rPr>
                <w:color w:val="1A1A1A"/>
                <w:w w:val="110"/>
                <w:sz w:val="20"/>
              </w:rPr>
              <w:t>R.S</w:t>
            </w:r>
            <w:r w:rsidRPr="00547302">
              <w:rPr>
                <w:color w:val="000000"/>
                <w:w w:val="110"/>
                <w:sz w:val="20"/>
              </w:rPr>
              <w:t>.</w:t>
            </w:r>
            <w:r w:rsidRPr="00547302">
              <w:rPr>
                <w:color w:val="2F2F2F"/>
                <w:w w:val="110"/>
                <w:sz w:val="20"/>
              </w:rPr>
              <w:t>O</w:t>
            </w:r>
            <w:r w:rsidRPr="00547302">
              <w:rPr>
                <w:color w:val="000000"/>
                <w:w w:val="110"/>
                <w:sz w:val="20"/>
              </w:rPr>
              <w:t xml:space="preserve">. </w:t>
            </w:r>
            <w:r w:rsidRPr="00547302">
              <w:rPr>
                <w:color w:val="2F2F2F"/>
                <w:w w:val="110"/>
                <w:sz w:val="20"/>
              </w:rPr>
              <w:t>1990, c. L.15?</w:t>
            </w:r>
          </w:p>
        </w:tc>
      </w:tr>
      <w:tr w:rsidR="00340CFE" w:rsidRPr="00547302" w:rsidTr="00460DF0">
        <w:tc>
          <w:tcPr>
            <w:tcW w:w="5000" w:type="pct"/>
            <w:gridSpan w:val="4"/>
          </w:tcPr>
          <w:p w:rsidR="00340CFE" w:rsidRPr="00547302" w:rsidRDefault="00340CFE" w:rsidP="00460DF0">
            <w:pPr>
              <w:jc w:val="both"/>
              <w:rPr>
                <w:sz w:val="20"/>
              </w:rPr>
            </w:pPr>
          </w:p>
        </w:tc>
      </w:tr>
      <w:tr w:rsidR="00340CFE" w:rsidRPr="00547302" w:rsidTr="00460DF0">
        <w:tc>
          <w:tcPr>
            <w:tcW w:w="5000" w:type="pct"/>
            <w:gridSpan w:val="4"/>
          </w:tcPr>
          <w:p w:rsidR="00340CFE" w:rsidRPr="00547302" w:rsidRDefault="00340CFE" w:rsidP="00460DF0">
            <w:pPr>
              <w:jc w:val="both"/>
              <w:rPr>
                <w:sz w:val="20"/>
                <w:lang w:val="en"/>
              </w:rPr>
            </w:pPr>
            <w:r w:rsidRPr="00547302">
              <w:rPr>
                <w:sz w:val="20"/>
                <w:lang w:val="en"/>
              </w:rPr>
              <w:t>Emil</w:t>
            </w:r>
            <w:r w:rsidRPr="00547302">
              <w:rPr>
                <w:sz w:val="20"/>
              </w:rPr>
              <w:t xml:space="preserve"> Mihaylov and Sofia Mihaylov </w:t>
            </w:r>
            <w:r w:rsidRPr="00547302">
              <w:rPr>
                <w:sz w:val="20"/>
                <w:lang w:val="en"/>
              </w:rPr>
              <w:t>took title to property</w:t>
            </w:r>
            <w:r w:rsidRPr="00547302">
              <w:rPr>
                <w:sz w:val="20"/>
              </w:rPr>
              <w:t xml:space="preserve"> </w:t>
            </w:r>
            <w:proofErr w:type="spellStart"/>
            <w:r w:rsidRPr="00547302">
              <w:rPr>
                <w:sz w:val="20"/>
              </w:rPr>
              <w:t>o</w:t>
            </w:r>
            <w:r w:rsidRPr="00547302">
              <w:rPr>
                <w:sz w:val="20"/>
                <w:lang w:val="en"/>
              </w:rPr>
              <w:t>n</w:t>
            </w:r>
            <w:proofErr w:type="spellEnd"/>
            <w:r w:rsidRPr="00547302">
              <w:rPr>
                <w:sz w:val="20"/>
                <w:lang w:val="en"/>
              </w:rPr>
              <w:t xml:space="preserve"> </w:t>
            </w:r>
            <w:r w:rsidRPr="00547302">
              <w:rPr>
                <w:sz w:val="20"/>
              </w:rPr>
              <w:t>June 22</w:t>
            </w:r>
            <w:r w:rsidRPr="00547302">
              <w:rPr>
                <w:sz w:val="20"/>
                <w:lang w:val="en"/>
              </w:rPr>
              <w:t xml:space="preserve">, 2012. The original patent to the land </w:t>
            </w:r>
            <w:r w:rsidRPr="00547302">
              <w:rPr>
                <w:sz w:val="20"/>
              </w:rPr>
              <w:t xml:space="preserve">dated July 6, 1852 </w:t>
            </w:r>
            <w:r w:rsidRPr="00547302">
              <w:rPr>
                <w:sz w:val="20"/>
                <w:lang w:val="en"/>
              </w:rPr>
              <w:t>defines the property’s easterly limit in part as commencing at</w:t>
            </w:r>
            <w:r w:rsidRPr="00547302">
              <w:rPr>
                <w:sz w:val="20"/>
              </w:rPr>
              <w:t xml:space="preserve"> the water’s edge of </w:t>
            </w:r>
            <w:r w:rsidRPr="00547302">
              <w:rPr>
                <w:sz w:val="20"/>
                <w:lang w:val="en"/>
              </w:rPr>
              <w:t>Sturgeon Lake. In 1950, the federal government landfilled a water lot transferred to it from the Province of Ontario and installed a public wharf. The landfill and wharf separate Sturgeon Lake from the property owned by Emil</w:t>
            </w:r>
            <w:r w:rsidRPr="00547302">
              <w:rPr>
                <w:sz w:val="20"/>
              </w:rPr>
              <w:t xml:space="preserve"> Mihaylov and Sofia Mihaylov</w:t>
            </w:r>
            <w:r w:rsidRPr="00547302">
              <w:rPr>
                <w:sz w:val="20"/>
                <w:lang w:val="en"/>
              </w:rPr>
              <w:t>. The water lot and wharf were transferred to the Long Beach Resident’s Association in 1999. Emil</w:t>
            </w:r>
            <w:r w:rsidRPr="00547302">
              <w:rPr>
                <w:sz w:val="20"/>
              </w:rPr>
              <w:t xml:space="preserve"> Mihaylov and Sofia Mihaylov </w:t>
            </w:r>
            <w:r w:rsidRPr="00547302">
              <w:rPr>
                <w:sz w:val="20"/>
                <w:lang w:val="en"/>
              </w:rPr>
              <w:t xml:space="preserve">commenced an action claiming that the landfilled </w:t>
            </w:r>
            <w:proofErr w:type="spellStart"/>
            <w:r w:rsidRPr="00547302">
              <w:rPr>
                <w:sz w:val="20"/>
                <w:lang w:val="en"/>
              </w:rPr>
              <w:t>waterlot</w:t>
            </w:r>
            <w:proofErr w:type="spellEnd"/>
            <w:r w:rsidRPr="00547302">
              <w:rPr>
                <w:sz w:val="20"/>
                <w:lang w:val="en"/>
              </w:rPr>
              <w:t xml:space="preserve"> and wharf are an extension of their property and should be conveyed to them because the original patent to their land defines their property as to the water’s edge. Alternatively, they claimed interference with their riparian rights to Sturgeon Lake. The trial judge dismissed the application. The Court of Appeal dismissed an appeal.</w:t>
            </w:r>
          </w:p>
          <w:p w:rsidR="00340CFE" w:rsidRPr="00547302" w:rsidRDefault="00340CFE" w:rsidP="00460DF0">
            <w:pPr>
              <w:jc w:val="both"/>
              <w:rPr>
                <w:sz w:val="20"/>
              </w:rPr>
            </w:pPr>
          </w:p>
        </w:tc>
      </w:tr>
      <w:tr w:rsidR="00340CFE" w:rsidRPr="00547302" w:rsidTr="00460DF0">
        <w:tc>
          <w:tcPr>
            <w:tcW w:w="2427" w:type="pct"/>
            <w:gridSpan w:val="2"/>
          </w:tcPr>
          <w:p w:rsidR="00340CFE" w:rsidRPr="00547302" w:rsidRDefault="00340CFE" w:rsidP="00460DF0">
            <w:pPr>
              <w:jc w:val="both"/>
              <w:rPr>
                <w:sz w:val="20"/>
              </w:rPr>
            </w:pPr>
            <w:r w:rsidRPr="00547302">
              <w:rPr>
                <w:sz w:val="20"/>
              </w:rPr>
              <w:t>January 3, 2018</w:t>
            </w:r>
          </w:p>
          <w:p w:rsidR="00340CFE" w:rsidRPr="00547302" w:rsidRDefault="00340CFE" w:rsidP="00460DF0">
            <w:pPr>
              <w:jc w:val="both"/>
              <w:rPr>
                <w:sz w:val="20"/>
              </w:rPr>
            </w:pPr>
            <w:r w:rsidRPr="00547302">
              <w:rPr>
                <w:sz w:val="20"/>
              </w:rPr>
              <w:t>Ontario Superior Court of Justice</w:t>
            </w:r>
          </w:p>
          <w:p w:rsidR="00340CFE" w:rsidRPr="00547302" w:rsidRDefault="00340CFE" w:rsidP="00460DF0">
            <w:pPr>
              <w:jc w:val="both"/>
              <w:rPr>
                <w:sz w:val="20"/>
              </w:rPr>
            </w:pPr>
            <w:r w:rsidRPr="00547302">
              <w:rPr>
                <w:sz w:val="20"/>
              </w:rPr>
              <w:t>(Morgan J.)</w:t>
            </w:r>
          </w:p>
          <w:p w:rsidR="00340CFE" w:rsidRPr="00547302" w:rsidRDefault="00FC1FD2" w:rsidP="00460DF0">
            <w:pPr>
              <w:jc w:val="both"/>
              <w:rPr>
                <w:sz w:val="20"/>
              </w:rPr>
            </w:pPr>
            <w:hyperlink r:id="rId71" w:history="1">
              <w:r w:rsidR="00340CFE" w:rsidRPr="00547302">
                <w:rPr>
                  <w:rStyle w:val="Hyperlink"/>
                  <w:sz w:val="20"/>
                </w:rPr>
                <w:t>2018 ONSC 14</w:t>
              </w:r>
            </w:hyperlink>
          </w:p>
          <w:p w:rsidR="00340CFE" w:rsidRPr="00547302" w:rsidRDefault="00340CFE" w:rsidP="00460DF0">
            <w:pPr>
              <w:jc w:val="both"/>
              <w:rPr>
                <w:sz w:val="20"/>
              </w:rPr>
            </w:pPr>
          </w:p>
        </w:tc>
        <w:tc>
          <w:tcPr>
            <w:tcW w:w="243" w:type="pct"/>
          </w:tcPr>
          <w:p w:rsidR="00340CFE" w:rsidRPr="00547302" w:rsidRDefault="00340CFE" w:rsidP="00460DF0">
            <w:pPr>
              <w:jc w:val="both"/>
              <w:rPr>
                <w:sz w:val="20"/>
              </w:rPr>
            </w:pPr>
          </w:p>
        </w:tc>
        <w:tc>
          <w:tcPr>
            <w:tcW w:w="2330" w:type="pct"/>
          </w:tcPr>
          <w:p w:rsidR="00340CFE" w:rsidRPr="00547302" w:rsidRDefault="00340CFE" w:rsidP="00460DF0">
            <w:pPr>
              <w:jc w:val="both"/>
              <w:rPr>
                <w:sz w:val="20"/>
              </w:rPr>
            </w:pPr>
            <w:r w:rsidRPr="00547302">
              <w:rPr>
                <w:sz w:val="20"/>
              </w:rPr>
              <w:t>Action for declaration of ownership of land and for interference with</w:t>
            </w:r>
            <w:r w:rsidRPr="00547302">
              <w:rPr>
                <w:sz w:val="20"/>
                <w:lang w:val="en"/>
              </w:rPr>
              <w:t xml:space="preserve"> riparian rights</w:t>
            </w:r>
            <w:r w:rsidRPr="00547302">
              <w:rPr>
                <w:sz w:val="20"/>
              </w:rPr>
              <w:t xml:space="preserve"> dismissed</w:t>
            </w:r>
          </w:p>
        </w:tc>
      </w:tr>
      <w:tr w:rsidR="00340CFE" w:rsidRPr="00547302" w:rsidTr="00460DF0">
        <w:tc>
          <w:tcPr>
            <w:tcW w:w="2427" w:type="pct"/>
            <w:gridSpan w:val="2"/>
          </w:tcPr>
          <w:p w:rsidR="00340CFE" w:rsidRPr="00547302" w:rsidRDefault="00340CFE" w:rsidP="00460DF0">
            <w:pPr>
              <w:jc w:val="both"/>
              <w:rPr>
                <w:sz w:val="20"/>
              </w:rPr>
            </w:pPr>
            <w:r w:rsidRPr="00547302">
              <w:rPr>
                <w:sz w:val="20"/>
              </w:rPr>
              <w:t>October 25, 2018</w:t>
            </w:r>
          </w:p>
          <w:p w:rsidR="00340CFE" w:rsidRPr="00547302" w:rsidRDefault="00340CFE" w:rsidP="00460DF0">
            <w:pPr>
              <w:jc w:val="both"/>
              <w:rPr>
                <w:sz w:val="20"/>
              </w:rPr>
            </w:pPr>
            <w:r w:rsidRPr="00547302">
              <w:rPr>
                <w:sz w:val="20"/>
              </w:rPr>
              <w:t>Court of Appeal for Ontario</w:t>
            </w:r>
          </w:p>
          <w:p w:rsidR="00340CFE" w:rsidRPr="00547302" w:rsidRDefault="00340CFE" w:rsidP="00460DF0">
            <w:pPr>
              <w:jc w:val="both"/>
              <w:rPr>
                <w:sz w:val="20"/>
              </w:rPr>
            </w:pPr>
            <w:r w:rsidRPr="00547302">
              <w:rPr>
                <w:sz w:val="20"/>
              </w:rPr>
              <w:t xml:space="preserve">(Rouleau, Watt, </w:t>
            </w:r>
            <w:proofErr w:type="spellStart"/>
            <w:r w:rsidRPr="00547302">
              <w:rPr>
                <w:sz w:val="20"/>
              </w:rPr>
              <w:t>Paciocco</w:t>
            </w:r>
            <w:proofErr w:type="spellEnd"/>
            <w:r w:rsidRPr="00547302">
              <w:rPr>
                <w:sz w:val="20"/>
              </w:rPr>
              <w:t xml:space="preserve"> JJ.A.)</w:t>
            </w:r>
          </w:p>
          <w:p w:rsidR="00340CFE" w:rsidRPr="00547302" w:rsidRDefault="00340CFE" w:rsidP="00460DF0">
            <w:pPr>
              <w:pStyle w:val="citation1"/>
              <w:shd w:val="clear" w:color="auto" w:fill="FFFFFF"/>
              <w:jc w:val="both"/>
              <w:rPr>
                <w:rFonts w:ascii="Times New Roman" w:hAnsi="Times New Roman" w:cs="Times New Roman"/>
                <w:sz w:val="20"/>
                <w:szCs w:val="20"/>
                <w:lang w:val="en"/>
              </w:rPr>
            </w:pPr>
            <w:r w:rsidRPr="00547302">
              <w:rPr>
                <w:rFonts w:ascii="Times New Roman" w:hAnsi="Times New Roman" w:cs="Times New Roman"/>
                <w:sz w:val="20"/>
                <w:szCs w:val="20"/>
                <w:lang w:val="en"/>
              </w:rPr>
              <w:t xml:space="preserve">C64906; </w:t>
            </w:r>
            <w:hyperlink r:id="rId72" w:history="1">
              <w:r w:rsidRPr="00547302">
                <w:rPr>
                  <w:rStyle w:val="Hyperlink"/>
                  <w:rFonts w:cs="Times New Roman"/>
                  <w:sz w:val="20"/>
                  <w:szCs w:val="20"/>
                  <w:lang w:val="en"/>
                </w:rPr>
                <w:t>2018 ONCA 871</w:t>
              </w:r>
            </w:hyperlink>
            <w:r w:rsidRPr="00547302">
              <w:rPr>
                <w:rFonts w:ascii="Times New Roman" w:hAnsi="Times New Roman" w:cs="Times New Roman"/>
                <w:sz w:val="20"/>
                <w:szCs w:val="20"/>
                <w:lang w:val="en"/>
              </w:rPr>
              <w:t xml:space="preserve"> </w:t>
            </w:r>
          </w:p>
          <w:p w:rsidR="00340CFE" w:rsidRPr="00547302" w:rsidRDefault="00340CFE" w:rsidP="00460DF0">
            <w:pPr>
              <w:jc w:val="both"/>
              <w:rPr>
                <w:sz w:val="20"/>
              </w:rPr>
            </w:pPr>
          </w:p>
        </w:tc>
        <w:tc>
          <w:tcPr>
            <w:tcW w:w="243" w:type="pct"/>
          </w:tcPr>
          <w:p w:rsidR="00340CFE" w:rsidRPr="00547302" w:rsidRDefault="00340CFE" w:rsidP="00460DF0">
            <w:pPr>
              <w:jc w:val="both"/>
              <w:rPr>
                <w:sz w:val="20"/>
              </w:rPr>
            </w:pPr>
          </w:p>
        </w:tc>
        <w:tc>
          <w:tcPr>
            <w:tcW w:w="2330" w:type="pct"/>
          </w:tcPr>
          <w:p w:rsidR="00340CFE" w:rsidRPr="00547302" w:rsidRDefault="00340CFE" w:rsidP="00460DF0">
            <w:pPr>
              <w:jc w:val="both"/>
              <w:rPr>
                <w:sz w:val="20"/>
              </w:rPr>
            </w:pPr>
            <w:r w:rsidRPr="00547302">
              <w:rPr>
                <w:sz w:val="20"/>
              </w:rPr>
              <w:t>Appeal dismissed</w:t>
            </w:r>
          </w:p>
          <w:p w:rsidR="00340CFE" w:rsidRPr="00547302" w:rsidRDefault="00340CFE" w:rsidP="00460DF0">
            <w:pPr>
              <w:jc w:val="both"/>
              <w:rPr>
                <w:sz w:val="20"/>
              </w:rPr>
            </w:pPr>
          </w:p>
        </w:tc>
      </w:tr>
      <w:tr w:rsidR="00340CFE" w:rsidRPr="00547302" w:rsidTr="00460DF0">
        <w:tc>
          <w:tcPr>
            <w:tcW w:w="2427" w:type="pct"/>
            <w:gridSpan w:val="2"/>
          </w:tcPr>
          <w:p w:rsidR="00340CFE" w:rsidRPr="00547302" w:rsidRDefault="00340CFE" w:rsidP="00460DF0">
            <w:pPr>
              <w:jc w:val="both"/>
              <w:rPr>
                <w:sz w:val="20"/>
              </w:rPr>
            </w:pPr>
            <w:r w:rsidRPr="00547302">
              <w:rPr>
                <w:sz w:val="20"/>
              </w:rPr>
              <w:t>December 21, 2018</w:t>
            </w:r>
          </w:p>
          <w:p w:rsidR="00340CFE" w:rsidRPr="00547302" w:rsidRDefault="00340CFE" w:rsidP="00460DF0">
            <w:pPr>
              <w:jc w:val="both"/>
              <w:rPr>
                <w:sz w:val="20"/>
              </w:rPr>
            </w:pPr>
            <w:r w:rsidRPr="00547302">
              <w:rPr>
                <w:sz w:val="20"/>
              </w:rPr>
              <w:t>Supreme Court of Canada</w:t>
            </w:r>
          </w:p>
        </w:tc>
        <w:tc>
          <w:tcPr>
            <w:tcW w:w="243" w:type="pct"/>
          </w:tcPr>
          <w:p w:rsidR="00340CFE" w:rsidRPr="00547302" w:rsidRDefault="00340CFE" w:rsidP="00460DF0">
            <w:pPr>
              <w:jc w:val="both"/>
              <w:rPr>
                <w:sz w:val="20"/>
              </w:rPr>
            </w:pPr>
          </w:p>
        </w:tc>
        <w:tc>
          <w:tcPr>
            <w:tcW w:w="2330" w:type="pct"/>
          </w:tcPr>
          <w:p w:rsidR="00340CFE" w:rsidRPr="00547302" w:rsidRDefault="00340CFE" w:rsidP="00460DF0">
            <w:pPr>
              <w:jc w:val="both"/>
              <w:rPr>
                <w:sz w:val="20"/>
              </w:rPr>
            </w:pPr>
            <w:r w:rsidRPr="00547302">
              <w:rPr>
                <w:sz w:val="20"/>
              </w:rPr>
              <w:t>Application for leave to appeal filed</w:t>
            </w:r>
          </w:p>
          <w:p w:rsidR="00340CFE" w:rsidRPr="00547302" w:rsidRDefault="00340CFE" w:rsidP="00460DF0">
            <w:pPr>
              <w:jc w:val="both"/>
              <w:rPr>
                <w:sz w:val="20"/>
              </w:rPr>
            </w:pPr>
          </w:p>
        </w:tc>
      </w:tr>
    </w:tbl>
    <w:p w:rsidR="00340CFE" w:rsidRPr="00547302" w:rsidRDefault="00340CFE" w:rsidP="00340CFE">
      <w:pPr>
        <w:ind w:left="142" w:hanging="142"/>
        <w:jc w:val="both"/>
        <w:rPr>
          <w:sz w:val="20"/>
        </w:rPr>
      </w:pPr>
    </w:p>
    <w:p w:rsidR="00D04A6F" w:rsidRPr="00547302" w:rsidRDefault="00D04A6F" w:rsidP="00AA1FE0">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04A6F" w:rsidRPr="00547302" w:rsidTr="00D04A6F">
        <w:tc>
          <w:tcPr>
            <w:tcW w:w="543" w:type="pct"/>
          </w:tcPr>
          <w:p w:rsidR="00D04A6F" w:rsidRPr="00547302" w:rsidRDefault="00D04A6F" w:rsidP="00AA1FE0">
            <w:pPr>
              <w:jc w:val="both"/>
              <w:rPr>
                <w:sz w:val="20"/>
                <w:lang w:val="fr-CA"/>
              </w:rPr>
            </w:pPr>
            <w:r w:rsidRPr="00547302">
              <w:rPr>
                <w:rStyle w:val="SCCFileNumberChar"/>
                <w:sz w:val="20"/>
                <w:szCs w:val="20"/>
                <w:lang w:val="fr-CA"/>
              </w:rPr>
              <w:t>38462</w:t>
            </w:r>
          </w:p>
        </w:tc>
        <w:tc>
          <w:tcPr>
            <w:tcW w:w="4457" w:type="pct"/>
            <w:gridSpan w:val="3"/>
          </w:tcPr>
          <w:p w:rsidR="00D04A6F" w:rsidRPr="00547302" w:rsidRDefault="00D04A6F" w:rsidP="00AA1FE0">
            <w:pPr>
              <w:pStyle w:val="SCCLsocParty"/>
              <w:jc w:val="both"/>
              <w:rPr>
                <w:b/>
                <w:sz w:val="20"/>
                <w:szCs w:val="20"/>
              </w:rPr>
            </w:pPr>
            <w:r w:rsidRPr="00547302">
              <w:rPr>
                <w:b/>
                <w:sz w:val="20"/>
                <w:szCs w:val="20"/>
              </w:rPr>
              <w:t>Emil Mihaylov</w:t>
            </w:r>
            <w:r w:rsidR="00151606">
              <w:rPr>
                <w:b/>
                <w:sz w:val="20"/>
                <w:szCs w:val="20"/>
              </w:rPr>
              <w:t xml:space="preserve"> et</w:t>
            </w:r>
            <w:r w:rsidRPr="00547302">
              <w:rPr>
                <w:b/>
                <w:sz w:val="20"/>
                <w:szCs w:val="20"/>
              </w:rPr>
              <w:t xml:space="preserve"> Sofia Mihaylov c. </w:t>
            </w:r>
            <w:r w:rsidR="00151606" w:rsidRPr="00151606">
              <w:rPr>
                <w:b/>
                <w:sz w:val="20"/>
                <w:szCs w:val="20"/>
              </w:rPr>
              <w:t>Long Beach Residents’ Association, Procureur général du Canada et Sa Majesté la Reine du chef de l’Ontario, représentée par le ministre des Richesses naturelles</w:t>
            </w:r>
          </w:p>
          <w:p w:rsidR="00D04A6F" w:rsidRPr="00547302" w:rsidRDefault="00D04A6F" w:rsidP="00340CFE">
            <w:pPr>
              <w:jc w:val="both"/>
              <w:rPr>
                <w:sz w:val="20"/>
                <w:lang w:val="fr-CA"/>
              </w:rPr>
            </w:pPr>
            <w:r w:rsidRPr="00547302">
              <w:rPr>
                <w:sz w:val="20"/>
                <w:lang w:val="fr-CA"/>
              </w:rPr>
              <w:t>(Ont.) (Civile) (Autorisation)</w:t>
            </w:r>
          </w:p>
        </w:tc>
      </w:tr>
      <w:tr w:rsidR="00D04A6F" w:rsidRPr="00547302" w:rsidTr="00D04A6F">
        <w:tc>
          <w:tcPr>
            <w:tcW w:w="5000" w:type="pct"/>
            <w:gridSpan w:val="4"/>
          </w:tcPr>
          <w:p w:rsidR="00D04A6F" w:rsidRPr="00547302" w:rsidRDefault="00D04A6F" w:rsidP="00AA1FE0">
            <w:pPr>
              <w:jc w:val="both"/>
              <w:rPr>
                <w:sz w:val="20"/>
                <w:lang w:val="fr-CA"/>
              </w:rPr>
            </w:pPr>
            <w:r w:rsidRPr="00547302">
              <w:rPr>
                <w:color w:val="000000" w:themeColor="text1"/>
                <w:sz w:val="20"/>
                <w:lang w:val="fr-CA"/>
              </w:rPr>
              <w:t>Biens réels — Bornage — Transport d’un bien-fonds — Prescription — Droits de riverains — Un bien</w:t>
            </w:r>
            <w:r w:rsidRPr="00547302">
              <w:rPr>
                <w:color w:val="000000" w:themeColor="text1"/>
                <w:sz w:val="20"/>
                <w:lang w:val="fr-CA"/>
              </w:rPr>
              <w:noBreakHyphen/>
              <w:t>fonds a</w:t>
            </w:r>
            <w:r w:rsidRPr="00547302">
              <w:rPr>
                <w:color w:val="000000" w:themeColor="text1"/>
                <w:sz w:val="20"/>
                <w:lang w:val="fr-CA"/>
              </w:rPr>
              <w:noBreakHyphen/>
              <w:t>t</w:t>
            </w:r>
            <w:r w:rsidRPr="00547302">
              <w:rPr>
                <w:color w:val="000000" w:themeColor="text1"/>
                <w:sz w:val="20"/>
                <w:lang w:val="fr-CA"/>
              </w:rPr>
              <w:noBreakHyphen/>
              <w:t>il été légalement transporté par décret s’appuyant sur une description du bien</w:t>
            </w:r>
            <w:r w:rsidRPr="00547302">
              <w:rPr>
                <w:color w:val="000000" w:themeColor="text1"/>
                <w:sz w:val="20"/>
                <w:lang w:val="fr-CA"/>
              </w:rPr>
              <w:noBreakHyphen/>
              <w:t xml:space="preserve">fonds établie en partie en fonction d’une ligne des hautes eaux? — </w:t>
            </w:r>
            <w:r w:rsidRPr="00547302">
              <w:rPr>
                <w:color w:val="000000" w:themeColor="text1"/>
                <w:w w:val="110"/>
                <w:sz w:val="20"/>
                <w:lang w:val="fr-CA"/>
              </w:rPr>
              <w:t>L’action en atteinte aux droits riverains est</w:t>
            </w:r>
            <w:r w:rsidRPr="00547302">
              <w:rPr>
                <w:color w:val="000000" w:themeColor="text1"/>
                <w:w w:val="110"/>
                <w:sz w:val="20"/>
                <w:lang w:val="fr-CA"/>
              </w:rPr>
              <w:noBreakHyphen/>
              <w:t xml:space="preserve">elle prescrite par la </w:t>
            </w:r>
            <w:r w:rsidRPr="00547302">
              <w:rPr>
                <w:bCs/>
                <w:i/>
                <w:iCs/>
                <w:color w:val="000000" w:themeColor="text1"/>
                <w:w w:val="110"/>
                <w:sz w:val="20"/>
                <w:lang w:val="fr-CA"/>
              </w:rPr>
              <w:t>Loi sur la prescription des actions relatives aux biens immeubles</w:t>
            </w:r>
            <w:r w:rsidRPr="00547302">
              <w:rPr>
                <w:i/>
                <w:iCs/>
                <w:color w:val="000000" w:themeColor="text1"/>
                <w:w w:val="110"/>
                <w:sz w:val="20"/>
                <w:lang w:val="fr-CA"/>
              </w:rPr>
              <w:t xml:space="preserve">, </w:t>
            </w:r>
            <w:r w:rsidRPr="00547302">
              <w:rPr>
                <w:color w:val="000000" w:themeColor="text1"/>
                <w:w w:val="110"/>
                <w:sz w:val="20"/>
                <w:lang w:val="fr-CA"/>
              </w:rPr>
              <w:t>L.R.O. 1990, ch. L.15?</w:t>
            </w:r>
          </w:p>
        </w:tc>
      </w:tr>
      <w:tr w:rsidR="00D04A6F" w:rsidRPr="00547302" w:rsidTr="00D04A6F">
        <w:tc>
          <w:tcPr>
            <w:tcW w:w="5000" w:type="pct"/>
            <w:gridSpan w:val="4"/>
          </w:tcPr>
          <w:p w:rsidR="00D04A6F" w:rsidRPr="00547302" w:rsidRDefault="00D04A6F" w:rsidP="00AA1FE0">
            <w:pPr>
              <w:jc w:val="both"/>
              <w:rPr>
                <w:sz w:val="20"/>
                <w:lang w:val="fr-CA"/>
              </w:rPr>
            </w:pPr>
          </w:p>
        </w:tc>
      </w:tr>
      <w:tr w:rsidR="00D04A6F" w:rsidRPr="003D50B9" w:rsidTr="00D04A6F">
        <w:tc>
          <w:tcPr>
            <w:tcW w:w="5000" w:type="pct"/>
            <w:gridSpan w:val="4"/>
          </w:tcPr>
          <w:p w:rsidR="00D04A6F" w:rsidRPr="00547302" w:rsidRDefault="00D04A6F" w:rsidP="00AA1FE0">
            <w:pPr>
              <w:jc w:val="both"/>
              <w:rPr>
                <w:sz w:val="20"/>
                <w:lang w:val="fr-CA"/>
              </w:rPr>
            </w:pPr>
            <w:r w:rsidRPr="00547302">
              <w:rPr>
                <w:sz w:val="20"/>
                <w:lang w:val="fr-CA"/>
              </w:rPr>
              <w:t>Emil Mihaylov et Sofia Mihaylov sont devenus propriétaires d’un immeuble le 22 juin 2012. L’acte initial de concession du bien</w:t>
            </w:r>
            <w:r w:rsidRPr="00547302">
              <w:rPr>
                <w:sz w:val="20"/>
                <w:lang w:val="fr-CA"/>
              </w:rPr>
              <w:noBreakHyphen/>
              <w:t>fonds, daté du 6 juillet 1852, définit la limite est de l’immeuble en partie comme partant du bord de l’eau de Sturgeon Lake. En 1950, le gouvernement fédéral a remblayé un lot d’eau qui lui avait été transféré par la Province d’Ontario et y a aménagé un quai public. Le remblai et le quai séparent Sturgeon Lake de l’immeuble appartenant à Emil Mihaylov et Sofia Mihaylov. Le lot d’eau et le quai ont été transférés à la Long Beach Resident’s Association en 1999. Emil Mihaylov et Sofia Mihaylov ont intenté une action alléguant que le lot d’eau remblayé et le quai sont une prolongation de leur immeuble et qu’ils doivent leur être transportés parce que l’acte initial de concession de leur bien</w:t>
            </w:r>
            <w:r w:rsidRPr="00547302">
              <w:rPr>
                <w:sz w:val="20"/>
                <w:lang w:val="fr-CA"/>
              </w:rPr>
              <w:noBreakHyphen/>
              <w:t>fonds définit leur immeuble comme se rendant jusqu’au bord de l’eau. Subsidiairement, ils ont allégué une atteinte à leurs droits de riverains à Sturgeon Lake. Le juge du procès a rejeté la demande. La Cour d’appel a rejeté l’appel.</w:t>
            </w:r>
          </w:p>
          <w:p w:rsidR="00D04A6F" w:rsidRPr="00547302" w:rsidRDefault="00D04A6F" w:rsidP="00AA1FE0">
            <w:pPr>
              <w:jc w:val="both"/>
              <w:rPr>
                <w:sz w:val="20"/>
                <w:lang w:val="fr-CA"/>
              </w:rPr>
            </w:pPr>
          </w:p>
        </w:tc>
      </w:tr>
      <w:tr w:rsidR="00D04A6F" w:rsidRPr="003D50B9" w:rsidTr="00D04A6F">
        <w:tc>
          <w:tcPr>
            <w:tcW w:w="2427" w:type="pct"/>
            <w:gridSpan w:val="2"/>
          </w:tcPr>
          <w:p w:rsidR="00D04A6F" w:rsidRPr="00547302" w:rsidRDefault="00D04A6F" w:rsidP="00AA1FE0">
            <w:pPr>
              <w:jc w:val="both"/>
              <w:rPr>
                <w:sz w:val="20"/>
                <w:lang w:val="fr-CA"/>
              </w:rPr>
            </w:pPr>
            <w:r w:rsidRPr="00547302">
              <w:rPr>
                <w:sz w:val="20"/>
                <w:lang w:val="fr-CA"/>
              </w:rPr>
              <w:t>3 janvier 2018</w:t>
            </w:r>
          </w:p>
          <w:p w:rsidR="00D04A6F" w:rsidRPr="00547302" w:rsidRDefault="00D04A6F" w:rsidP="00AA1FE0">
            <w:pPr>
              <w:jc w:val="both"/>
              <w:rPr>
                <w:sz w:val="20"/>
                <w:lang w:val="fr-CA"/>
              </w:rPr>
            </w:pPr>
            <w:r w:rsidRPr="00547302">
              <w:rPr>
                <w:sz w:val="20"/>
                <w:lang w:val="fr-CA"/>
              </w:rPr>
              <w:t>Cour supérieure de justice de l’Ontario</w:t>
            </w:r>
          </w:p>
          <w:p w:rsidR="00D04A6F" w:rsidRPr="00547302" w:rsidRDefault="00D04A6F" w:rsidP="00AA1FE0">
            <w:pPr>
              <w:jc w:val="both"/>
              <w:rPr>
                <w:sz w:val="20"/>
                <w:lang w:val="fr-CA"/>
              </w:rPr>
            </w:pPr>
            <w:r w:rsidRPr="00547302">
              <w:rPr>
                <w:sz w:val="20"/>
                <w:lang w:val="fr-CA"/>
              </w:rPr>
              <w:t>(Juge Morgan)</w:t>
            </w:r>
          </w:p>
          <w:p w:rsidR="00D04A6F" w:rsidRPr="00547302" w:rsidRDefault="00FC1FD2" w:rsidP="00AA1FE0">
            <w:pPr>
              <w:jc w:val="both"/>
              <w:rPr>
                <w:sz w:val="20"/>
                <w:lang w:val="fr-CA"/>
              </w:rPr>
            </w:pPr>
            <w:hyperlink r:id="rId73" w:history="1">
              <w:r w:rsidR="00D04A6F" w:rsidRPr="00547302">
                <w:rPr>
                  <w:rStyle w:val="Hyperlink"/>
                  <w:sz w:val="20"/>
                  <w:lang w:val="fr-CA"/>
                </w:rPr>
                <w:t>2018 ONSC 14</w:t>
              </w:r>
            </w:hyperlink>
          </w:p>
          <w:p w:rsidR="00D04A6F" w:rsidRPr="00547302" w:rsidRDefault="00D04A6F" w:rsidP="00AA1FE0">
            <w:pPr>
              <w:jc w:val="both"/>
              <w:rPr>
                <w:sz w:val="20"/>
                <w:lang w:val="fr-CA"/>
              </w:rPr>
            </w:pPr>
          </w:p>
        </w:tc>
        <w:tc>
          <w:tcPr>
            <w:tcW w:w="243" w:type="pct"/>
          </w:tcPr>
          <w:p w:rsidR="00D04A6F" w:rsidRPr="00547302" w:rsidRDefault="00D04A6F" w:rsidP="00AA1FE0">
            <w:pPr>
              <w:jc w:val="both"/>
              <w:rPr>
                <w:sz w:val="20"/>
                <w:lang w:val="fr-CA"/>
              </w:rPr>
            </w:pPr>
          </w:p>
        </w:tc>
        <w:tc>
          <w:tcPr>
            <w:tcW w:w="2330" w:type="pct"/>
          </w:tcPr>
          <w:p w:rsidR="00D04A6F" w:rsidRPr="00547302" w:rsidRDefault="00D04A6F" w:rsidP="00AA1FE0">
            <w:pPr>
              <w:jc w:val="both"/>
              <w:rPr>
                <w:sz w:val="20"/>
                <w:lang w:val="fr-CA"/>
              </w:rPr>
            </w:pPr>
            <w:r w:rsidRPr="00547302">
              <w:rPr>
                <w:sz w:val="20"/>
                <w:lang w:val="fr-CA"/>
              </w:rPr>
              <w:t>Rejet de l’action déclaratoire de propriété d’un bien</w:t>
            </w:r>
            <w:r w:rsidRPr="00547302">
              <w:rPr>
                <w:sz w:val="20"/>
                <w:lang w:val="fr-CA"/>
              </w:rPr>
              <w:noBreakHyphen/>
              <w:t>fonds et en atteinte à des droits riverains</w:t>
            </w:r>
          </w:p>
        </w:tc>
      </w:tr>
      <w:tr w:rsidR="00D04A6F" w:rsidRPr="00547302" w:rsidTr="00D04A6F">
        <w:tc>
          <w:tcPr>
            <w:tcW w:w="2427" w:type="pct"/>
            <w:gridSpan w:val="2"/>
          </w:tcPr>
          <w:p w:rsidR="00D04A6F" w:rsidRPr="00547302" w:rsidRDefault="00D04A6F" w:rsidP="00AA1FE0">
            <w:pPr>
              <w:jc w:val="both"/>
              <w:rPr>
                <w:sz w:val="20"/>
                <w:lang w:val="fr-CA"/>
              </w:rPr>
            </w:pPr>
            <w:r w:rsidRPr="00547302">
              <w:rPr>
                <w:sz w:val="20"/>
                <w:lang w:val="fr-CA"/>
              </w:rPr>
              <w:t>25 octobre 2018</w:t>
            </w:r>
          </w:p>
          <w:p w:rsidR="00D04A6F" w:rsidRPr="00547302" w:rsidRDefault="00D04A6F" w:rsidP="00AA1FE0">
            <w:pPr>
              <w:jc w:val="both"/>
              <w:rPr>
                <w:sz w:val="20"/>
                <w:lang w:val="fr-CA"/>
              </w:rPr>
            </w:pPr>
            <w:r w:rsidRPr="00547302">
              <w:rPr>
                <w:sz w:val="20"/>
                <w:lang w:val="fr-CA"/>
              </w:rPr>
              <w:t>Cour d’appel de l’Ontario</w:t>
            </w:r>
          </w:p>
          <w:p w:rsidR="00D04A6F" w:rsidRPr="00B655EA" w:rsidRDefault="00D04A6F" w:rsidP="00AA1FE0">
            <w:pPr>
              <w:jc w:val="both"/>
              <w:rPr>
                <w:sz w:val="20"/>
                <w:lang w:val="fr-CA"/>
              </w:rPr>
            </w:pPr>
            <w:r w:rsidRPr="00B655EA">
              <w:rPr>
                <w:sz w:val="20"/>
                <w:lang w:val="fr-CA"/>
              </w:rPr>
              <w:t>(Juges Rouleau, Watt et Paciocco)</w:t>
            </w:r>
          </w:p>
          <w:p w:rsidR="00D04A6F" w:rsidRPr="00B655EA" w:rsidRDefault="00D04A6F" w:rsidP="00AA1FE0">
            <w:pPr>
              <w:pStyle w:val="citation1"/>
              <w:shd w:val="clear" w:color="auto" w:fill="FFFFFF"/>
              <w:jc w:val="both"/>
              <w:rPr>
                <w:rFonts w:ascii="Times New Roman" w:hAnsi="Times New Roman" w:cs="Times New Roman"/>
                <w:sz w:val="20"/>
                <w:szCs w:val="20"/>
                <w:lang w:val="fr-CA"/>
              </w:rPr>
            </w:pPr>
            <w:r w:rsidRPr="00B655EA">
              <w:rPr>
                <w:rFonts w:ascii="Times New Roman" w:hAnsi="Times New Roman" w:cs="Times New Roman"/>
                <w:sz w:val="20"/>
                <w:szCs w:val="20"/>
                <w:lang w:val="fr-CA"/>
              </w:rPr>
              <w:t xml:space="preserve">C64906; </w:t>
            </w:r>
            <w:hyperlink r:id="rId74" w:history="1">
              <w:r w:rsidRPr="00B655EA">
                <w:rPr>
                  <w:rStyle w:val="Hyperlink"/>
                  <w:rFonts w:ascii="Times New Roman" w:hAnsi="Times New Roman" w:cs="Times New Roman"/>
                  <w:sz w:val="20"/>
                  <w:szCs w:val="20"/>
                  <w:lang w:val="fr-CA"/>
                </w:rPr>
                <w:t>2018 ONCA 871</w:t>
              </w:r>
            </w:hyperlink>
            <w:r w:rsidRPr="00B655EA">
              <w:rPr>
                <w:rFonts w:ascii="Times New Roman" w:hAnsi="Times New Roman" w:cs="Times New Roman"/>
                <w:sz w:val="20"/>
                <w:szCs w:val="20"/>
                <w:lang w:val="fr-CA"/>
              </w:rPr>
              <w:t xml:space="preserve"> </w:t>
            </w:r>
          </w:p>
          <w:p w:rsidR="00D04A6F" w:rsidRPr="00547302" w:rsidRDefault="00D04A6F" w:rsidP="00AA1FE0">
            <w:pPr>
              <w:jc w:val="both"/>
              <w:rPr>
                <w:sz w:val="20"/>
                <w:lang w:val="fr-CA"/>
              </w:rPr>
            </w:pPr>
          </w:p>
        </w:tc>
        <w:tc>
          <w:tcPr>
            <w:tcW w:w="243" w:type="pct"/>
          </w:tcPr>
          <w:p w:rsidR="00D04A6F" w:rsidRPr="00547302" w:rsidRDefault="00D04A6F" w:rsidP="00AA1FE0">
            <w:pPr>
              <w:jc w:val="both"/>
              <w:rPr>
                <w:sz w:val="20"/>
                <w:lang w:val="fr-CA"/>
              </w:rPr>
            </w:pPr>
          </w:p>
        </w:tc>
        <w:tc>
          <w:tcPr>
            <w:tcW w:w="2330" w:type="pct"/>
          </w:tcPr>
          <w:p w:rsidR="00D04A6F" w:rsidRPr="00547302" w:rsidRDefault="00D04A6F" w:rsidP="00AA1FE0">
            <w:pPr>
              <w:jc w:val="both"/>
              <w:rPr>
                <w:sz w:val="20"/>
                <w:lang w:val="fr-CA"/>
              </w:rPr>
            </w:pPr>
            <w:r w:rsidRPr="00547302">
              <w:rPr>
                <w:sz w:val="20"/>
                <w:lang w:val="fr-CA"/>
              </w:rPr>
              <w:t>Rejet de l’appel</w:t>
            </w:r>
          </w:p>
          <w:p w:rsidR="00D04A6F" w:rsidRPr="00547302" w:rsidRDefault="00D04A6F" w:rsidP="00AA1FE0">
            <w:pPr>
              <w:jc w:val="both"/>
              <w:rPr>
                <w:sz w:val="20"/>
                <w:lang w:val="fr-CA"/>
              </w:rPr>
            </w:pPr>
          </w:p>
        </w:tc>
      </w:tr>
      <w:tr w:rsidR="00D04A6F" w:rsidRPr="003D50B9" w:rsidTr="00D04A6F">
        <w:tc>
          <w:tcPr>
            <w:tcW w:w="2427" w:type="pct"/>
            <w:gridSpan w:val="2"/>
          </w:tcPr>
          <w:p w:rsidR="00D04A6F" w:rsidRPr="00547302" w:rsidRDefault="00D04A6F" w:rsidP="00AA1FE0">
            <w:pPr>
              <w:jc w:val="both"/>
              <w:rPr>
                <w:sz w:val="20"/>
                <w:lang w:val="fr-CA"/>
              </w:rPr>
            </w:pPr>
            <w:r w:rsidRPr="00547302">
              <w:rPr>
                <w:sz w:val="20"/>
                <w:lang w:val="fr-CA"/>
              </w:rPr>
              <w:t>21 décembre 2018</w:t>
            </w:r>
          </w:p>
          <w:p w:rsidR="00D04A6F" w:rsidRPr="00547302" w:rsidRDefault="00D04A6F" w:rsidP="00AA1FE0">
            <w:pPr>
              <w:jc w:val="both"/>
              <w:rPr>
                <w:sz w:val="20"/>
                <w:lang w:val="fr-CA"/>
              </w:rPr>
            </w:pPr>
            <w:r w:rsidRPr="00547302">
              <w:rPr>
                <w:sz w:val="20"/>
                <w:lang w:val="fr-CA"/>
              </w:rPr>
              <w:t>Cour suprême du Canada</w:t>
            </w:r>
          </w:p>
        </w:tc>
        <w:tc>
          <w:tcPr>
            <w:tcW w:w="243" w:type="pct"/>
          </w:tcPr>
          <w:p w:rsidR="00D04A6F" w:rsidRPr="00547302" w:rsidRDefault="00D04A6F" w:rsidP="00AA1FE0">
            <w:pPr>
              <w:jc w:val="both"/>
              <w:rPr>
                <w:sz w:val="20"/>
                <w:lang w:val="fr-CA"/>
              </w:rPr>
            </w:pPr>
          </w:p>
        </w:tc>
        <w:tc>
          <w:tcPr>
            <w:tcW w:w="2330" w:type="pct"/>
          </w:tcPr>
          <w:p w:rsidR="00D04A6F" w:rsidRPr="00547302" w:rsidRDefault="00D04A6F" w:rsidP="00AA1FE0">
            <w:pPr>
              <w:jc w:val="both"/>
              <w:rPr>
                <w:sz w:val="20"/>
                <w:lang w:val="fr-CA"/>
              </w:rPr>
            </w:pPr>
            <w:r w:rsidRPr="00547302">
              <w:rPr>
                <w:sz w:val="20"/>
                <w:lang w:val="fr-CA"/>
              </w:rPr>
              <w:t>Dépôt de la demande d’autorisation d’appel</w:t>
            </w:r>
          </w:p>
          <w:p w:rsidR="00D04A6F" w:rsidRPr="00547302" w:rsidRDefault="00D04A6F" w:rsidP="00AA1FE0">
            <w:pPr>
              <w:jc w:val="both"/>
              <w:rPr>
                <w:sz w:val="20"/>
                <w:lang w:val="fr-CA"/>
              </w:rPr>
            </w:pPr>
          </w:p>
        </w:tc>
      </w:tr>
    </w:tbl>
    <w:p w:rsidR="00D04A6F" w:rsidRPr="00025AF5" w:rsidRDefault="00D04A6F" w:rsidP="006A22CA">
      <w:pPr>
        <w:ind w:left="142" w:hanging="142"/>
        <w:jc w:val="both"/>
        <w:rPr>
          <w:sz w:val="20"/>
          <w:lang w:val="fr-CA"/>
        </w:rPr>
      </w:pPr>
    </w:p>
    <w:p w:rsidR="00340CFE" w:rsidRPr="00025AF5" w:rsidRDefault="00340CFE" w:rsidP="006A22CA">
      <w:pPr>
        <w:ind w:left="142" w:hanging="142"/>
        <w:jc w:val="both"/>
        <w:rPr>
          <w:sz w:val="20"/>
          <w:lang w:val="fr-CA"/>
        </w:rPr>
      </w:pPr>
    </w:p>
    <w:p w:rsidR="00FD3FA0" w:rsidRPr="00025AF5" w:rsidRDefault="00FD3FA0" w:rsidP="006A22CA">
      <w:pPr>
        <w:ind w:left="142" w:hanging="142"/>
        <w:jc w:val="both"/>
        <w:rPr>
          <w:sz w:val="20"/>
          <w:lang w:val="fr-CA"/>
        </w:rPr>
      </w:pPr>
    </w:p>
    <w:p w:rsidR="00D3344A" w:rsidRPr="00547302" w:rsidRDefault="00D3344A" w:rsidP="00D3344A">
      <w:pPr>
        <w:widowControl w:val="0"/>
        <w:outlineLvl w:val="0"/>
      </w:pPr>
      <w:r w:rsidRPr="00547302">
        <w:t xml:space="preserve">Supreme Court of Canada / Cour suprême du </w:t>
      </w:r>
      <w:proofErr w:type="gramStart"/>
      <w:r w:rsidRPr="00547302">
        <w:t>Canad</w:t>
      </w:r>
      <w:r w:rsidR="00EE289F" w:rsidRPr="00547302">
        <w:t>a</w:t>
      </w:r>
      <w:r w:rsidRPr="00547302">
        <w:t xml:space="preserve"> :</w:t>
      </w:r>
      <w:proofErr w:type="gramEnd"/>
    </w:p>
    <w:p w:rsidR="00D3344A" w:rsidRPr="00547302" w:rsidRDefault="00FC1FD2" w:rsidP="00D3344A">
      <w:pPr>
        <w:widowControl w:val="0"/>
        <w:outlineLvl w:val="0"/>
        <w:rPr>
          <w:u w:val="single"/>
        </w:rPr>
      </w:pPr>
      <w:hyperlink r:id="rId75" w:history="1">
        <w:r w:rsidR="009B7391" w:rsidRPr="00547302">
          <w:rPr>
            <w:rStyle w:val="Hyperlink"/>
          </w:rPr>
          <w:t>comments-commentaires@scc-csc.ca</w:t>
        </w:r>
      </w:hyperlink>
    </w:p>
    <w:p w:rsidR="00D3344A" w:rsidRPr="00547302" w:rsidRDefault="0065588C" w:rsidP="00D3344A">
      <w:pPr>
        <w:widowControl w:val="0"/>
        <w:outlineLvl w:val="0"/>
      </w:pPr>
      <w:r w:rsidRPr="00547302">
        <w:t>613-</w:t>
      </w:r>
      <w:r w:rsidR="00D3344A" w:rsidRPr="00547302">
        <w:t>995-4330</w:t>
      </w:r>
    </w:p>
    <w:p w:rsidR="00497B5E" w:rsidRPr="00547302" w:rsidRDefault="00497B5E" w:rsidP="00497B5E">
      <w:pPr>
        <w:widowControl w:val="0"/>
        <w:rPr>
          <w:sz w:val="20"/>
        </w:rPr>
      </w:pPr>
    </w:p>
    <w:p w:rsidR="00F6251B" w:rsidRPr="006E558B" w:rsidRDefault="003F43E6" w:rsidP="00F6251B">
      <w:pPr>
        <w:pStyle w:val="Footer"/>
        <w:jc w:val="center"/>
      </w:pPr>
      <w:r w:rsidRPr="00547302">
        <w:t>- 30 -</w:t>
      </w:r>
    </w:p>
    <w:sectPr w:rsidR="00F6251B" w:rsidRPr="006E558B" w:rsidSect="00524822">
      <w:headerReference w:type="even" r:id="rId76"/>
      <w:headerReference w:type="default" r:id="rId77"/>
      <w:footerReference w:type="even" r:id="rId78"/>
      <w:footerReference w:type="default" r:id="rId79"/>
      <w:headerReference w:type="first" r:id="rId80"/>
      <w:footerReference w:type="first" r:id="rId81"/>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A6F" w:rsidRDefault="00D04A6F" w:rsidP="0034178A">
      <w:r>
        <w:separator/>
      </w:r>
    </w:p>
  </w:endnote>
  <w:endnote w:type="continuationSeparator" w:id="0">
    <w:p w:rsidR="00D04A6F" w:rsidRDefault="00D04A6F"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A6F" w:rsidRDefault="00D04A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A6F" w:rsidRPr="009F77F0" w:rsidRDefault="00D04A6F"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A6F" w:rsidRDefault="00D04A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A6F" w:rsidRDefault="00D04A6F" w:rsidP="0034178A">
      <w:r>
        <w:separator/>
      </w:r>
    </w:p>
  </w:footnote>
  <w:footnote w:type="continuationSeparator" w:id="0">
    <w:p w:rsidR="00D04A6F" w:rsidRDefault="00D04A6F"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A6F" w:rsidRDefault="00D04A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A6F" w:rsidRDefault="00D04A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A6F" w:rsidRDefault="00D04A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71E57"/>
    <w:multiLevelType w:val="hybridMultilevel"/>
    <w:tmpl w:val="58287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62598"/>
    <w:multiLevelType w:val="hybridMultilevel"/>
    <w:tmpl w:val="212C0E3C"/>
    <w:lvl w:ilvl="0" w:tplc="65887394">
      <w:start w:val="3"/>
      <w:numFmt w:val="decimal"/>
      <w:lvlText w:val="%1."/>
      <w:lvlJc w:val="left"/>
      <w:pPr>
        <w:ind w:left="720" w:hanging="360"/>
      </w:pPr>
      <w:rPr>
        <w:i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071A2ADC"/>
    <w:multiLevelType w:val="hybridMultilevel"/>
    <w:tmpl w:val="CFC0B0D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E3E80"/>
    <w:multiLevelType w:val="hybridMultilevel"/>
    <w:tmpl w:val="070CB784"/>
    <w:lvl w:ilvl="0" w:tplc="BBAC64E8">
      <w:start w:val="1"/>
      <w:numFmt w:val="decimal"/>
      <w:lvlText w:val="%1."/>
      <w:lvlJc w:val="left"/>
      <w:pPr>
        <w:ind w:left="81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B26600E"/>
    <w:multiLevelType w:val="hybridMultilevel"/>
    <w:tmpl w:val="0A4EC428"/>
    <w:lvl w:ilvl="0" w:tplc="BAC4616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AA311B"/>
    <w:multiLevelType w:val="hybridMultilevel"/>
    <w:tmpl w:val="0F883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E13BA9"/>
    <w:multiLevelType w:val="hybridMultilevel"/>
    <w:tmpl w:val="F17CD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9F790B"/>
    <w:multiLevelType w:val="hybridMultilevel"/>
    <w:tmpl w:val="E6F60DE4"/>
    <w:lvl w:ilvl="0" w:tplc="DEAE5608">
      <w:start w:val="1"/>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D87A29"/>
    <w:multiLevelType w:val="hybridMultilevel"/>
    <w:tmpl w:val="70EEF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9506E7"/>
    <w:multiLevelType w:val="hybridMultilevel"/>
    <w:tmpl w:val="FBAEE016"/>
    <w:lvl w:ilvl="0" w:tplc="C4B61B8E">
      <w:start w:val="4"/>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E06C85"/>
    <w:multiLevelType w:val="hybridMultilevel"/>
    <w:tmpl w:val="91E6900A"/>
    <w:lvl w:ilvl="0" w:tplc="AFF61A1E">
      <w:start w:val="4"/>
      <w:numFmt w:val="decimal"/>
      <w:lvlText w:val="%1."/>
      <w:lvlJc w:val="left"/>
      <w:pPr>
        <w:ind w:left="720" w:hanging="360"/>
      </w:pPr>
      <w:rPr>
        <w:rFonts w:hint="default"/>
        <w:i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 w15:restartNumberingAfterBreak="0">
    <w:nsid w:val="4AC80FB4"/>
    <w:multiLevelType w:val="hybridMultilevel"/>
    <w:tmpl w:val="AE5CAC76"/>
    <w:lvl w:ilvl="0" w:tplc="AABA56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930EA2"/>
    <w:multiLevelType w:val="hybridMultilevel"/>
    <w:tmpl w:val="0180D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EB1F6F"/>
    <w:multiLevelType w:val="hybridMultilevel"/>
    <w:tmpl w:val="19787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29611D"/>
    <w:multiLevelType w:val="hybridMultilevel"/>
    <w:tmpl w:val="5DB2F802"/>
    <w:lvl w:ilvl="0" w:tplc="0B4A5340">
      <w:start w:val="1"/>
      <w:numFmt w:val="decimal"/>
      <w:lvlText w:val="%1."/>
      <w:lvlJc w:val="left"/>
      <w:pPr>
        <w:ind w:left="2160" w:hanging="360"/>
      </w:pPr>
      <w:rPr>
        <w:rFonts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59FF45BD"/>
    <w:multiLevelType w:val="hybridMultilevel"/>
    <w:tmpl w:val="5028662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592DF0"/>
    <w:multiLevelType w:val="hybridMultilevel"/>
    <w:tmpl w:val="4134EA22"/>
    <w:lvl w:ilvl="0" w:tplc="AA1C70E6">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774A62"/>
    <w:multiLevelType w:val="hybridMultilevel"/>
    <w:tmpl w:val="B100F314"/>
    <w:lvl w:ilvl="0" w:tplc="F47CFA88">
      <w:start w:val="6"/>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EA36D4"/>
    <w:multiLevelType w:val="hybridMultilevel"/>
    <w:tmpl w:val="4ED46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356B44"/>
    <w:multiLevelType w:val="hybridMultilevel"/>
    <w:tmpl w:val="03B0CB3A"/>
    <w:lvl w:ilvl="0" w:tplc="1904EF8A">
      <w:start w:val="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772F72"/>
    <w:multiLevelType w:val="hybridMultilevel"/>
    <w:tmpl w:val="E8B06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7B2092"/>
    <w:multiLevelType w:val="hybridMultilevel"/>
    <w:tmpl w:val="65A25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22"/>
  </w:num>
  <w:num w:numId="4">
    <w:abstractNumId w:val="18"/>
  </w:num>
  <w:num w:numId="5">
    <w:abstractNumId w:val="3"/>
  </w:num>
  <w:num w:numId="6">
    <w:abstractNumId w:val="19"/>
  </w:num>
  <w:num w:numId="7">
    <w:abstractNumId w:val="12"/>
  </w:num>
  <w:num w:numId="8">
    <w:abstractNumId w:val="9"/>
  </w:num>
  <w:num w:numId="9">
    <w:abstractNumId w:val="8"/>
  </w:num>
  <w:num w:numId="10">
    <w:abstractNumId w:val="7"/>
  </w:num>
  <w:num w:numId="11">
    <w:abstractNumId w:val="23"/>
  </w:num>
  <w:num w:numId="12">
    <w:abstractNumId w:val="6"/>
  </w:num>
  <w:num w:numId="13">
    <w:abstractNumId w:val="14"/>
  </w:num>
  <w:num w:numId="14">
    <w:abstractNumId w:val="20"/>
  </w:num>
  <w:num w:numId="15">
    <w:abstractNumId w:val="21"/>
  </w:num>
  <w:num w:numId="16">
    <w:abstractNumId w:val="10"/>
  </w:num>
  <w:num w:numId="17">
    <w:abstractNumId w:val="17"/>
  </w:num>
  <w:num w:numId="18">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6"/>
  </w:num>
  <w:num w:numId="22">
    <w:abstractNumId w:val="2"/>
  </w:num>
  <w:num w:numId="23">
    <w:abstractNumId w:val="15"/>
  </w:num>
  <w:num w:numId="2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100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36CC"/>
    <w:rsid w:val="0001374A"/>
    <w:rsid w:val="00013F22"/>
    <w:rsid w:val="00014C19"/>
    <w:rsid w:val="00014EE1"/>
    <w:rsid w:val="00015958"/>
    <w:rsid w:val="000164DB"/>
    <w:rsid w:val="00016932"/>
    <w:rsid w:val="00016D65"/>
    <w:rsid w:val="00016D95"/>
    <w:rsid w:val="0001736B"/>
    <w:rsid w:val="000176FB"/>
    <w:rsid w:val="00017D08"/>
    <w:rsid w:val="00020797"/>
    <w:rsid w:val="00020816"/>
    <w:rsid w:val="00020A11"/>
    <w:rsid w:val="00020DAE"/>
    <w:rsid w:val="00021515"/>
    <w:rsid w:val="0002267C"/>
    <w:rsid w:val="00022EFE"/>
    <w:rsid w:val="000238E0"/>
    <w:rsid w:val="00024962"/>
    <w:rsid w:val="000250B7"/>
    <w:rsid w:val="00025AF5"/>
    <w:rsid w:val="00025F42"/>
    <w:rsid w:val="00027443"/>
    <w:rsid w:val="000276EE"/>
    <w:rsid w:val="00027781"/>
    <w:rsid w:val="000277E1"/>
    <w:rsid w:val="00027DF7"/>
    <w:rsid w:val="00030233"/>
    <w:rsid w:val="00030382"/>
    <w:rsid w:val="00032189"/>
    <w:rsid w:val="00032BD3"/>
    <w:rsid w:val="00032CDB"/>
    <w:rsid w:val="00032E02"/>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37E9F"/>
    <w:rsid w:val="00040247"/>
    <w:rsid w:val="00040C48"/>
    <w:rsid w:val="00041302"/>
    <w:rsid w:val="0004159F"/>
    <w:rsid w:val="00041650"/>
    <w:rsid w:val="00041B58"/>
    <w:rsid w:val="00042069"/>
    <w:rsid w:val="00042390"/>
    <w:rsid w:val="0004298B"/>
    <w:rsid w:val="000437B4"/>
    <w:rsid w:val="00043D20"/>
    <w:rsid w:val="00043FDE"/>
    <w:rsid w:val="000467DE"/>
    <w:rsid w:val="00046CB2"/>
    <w:rsid w:val="00046DF1"/>
    <w:rsid w:val="00047188"/>
    <w:rsid w:val="00047941"/>
    <w:rsid w:val="00047CD6"/>
    <w:rsid w:val="00051DE6"/>
    <w:rsid w:val="00053B2B"/>
    <w:rsid w:val="00053BAF"/>
    <w:rsid w:val="00054353"/>
    <w:rsid w:val="0005486A"/>
    <w:rsid w:val="00054A01"/>
    <w:rsid w:val="00054F8E"/>
    <w:rsid w:val="00055DB2"/>
    <w:rsid w:val="0005719F"/>
    <w:rsid w:val="000577D9"/>
    <w:rsid w:val="000579A0"/>
    <w:rsid w:val="00060753"/>
    <w:rsid w:val="00060981"/>
    <w:rsid w:val="00060B62"/>
    <w:rsid w:val="00061283"/>
    <w:rsid w:val="00062012"/>
    <w:rsid w:val="0006231F"/>
    <w:rsid w:val="000627A2"/>
    <w:rsid w:val="000629D7"/>
    <w:rsid w:val="0006325B"/>
    <w:rsid w:val="00063A81"/>
    <w:rsid w:val="0006417A"/>
    <w:rsid w:val="000645F4"/>
    <w:rsid w:val="00064D3D"/>
    <w:rsid w:val="000657E8"/>
    <w:rsid w:val="00065F8F"/>
    <w:rsid w:val="0006649C"/>
    <w:rsid w:val="00066B80"/>
    <w:rsid w:val="00067F50"/>
    <w:rsid w:val="00070830"/>
    <w:rsid w:val="00070B2E"/>
    <w:rsid w:val="0007424A"/>
    <w:rsid w:val="00074E6D"/>
    <w:rsid w:val="00074EB7"/>
    <w:rsid w:val="000770D5"/>
    <w:rsid w:val="00077C71"/>
    <w:rsid w:val="00077CCC"/>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27A"/>
    <w:rsid w:val="000841F9"/>
    <w:rsid w:val="000843DB"/>
    <w:rsid w:val="0008442A"/>
    <w:rsid w:val="000845AF"/>
    <w:rsid w:val="00084C8D"/>
    <w:rsid w:val="00085BE8"/>
    <w:rsid w:val="00085D13"/>
    <w:rsid w:val="00086629"/>
    <w:rsid w:val="00087808"/>
    <w:rsid w:val="000879BA"/>
    <w:rsid w:val="00090151"/>
    <w:rsid w:val="0009046F"/>
    <w:rsid w:val="00091277"/>
    <w:rsid w:val="00091FFC"/>
    <w:rsid w:val="00093693"/>
    <w:rsid w:val="00093B7C"/>
    <w:rsid w:val="00093FF5"/>
    <w:rsid w:val="00094A30"/>
    <w:rsid w:val="00094C56"/>
    <w:rsid w:val="00095627"/>
    <w:rsid w:val="00096BDC"/>
    <w:rsid w:val="00096F2F"/>
    <w:rsid w:val="000975EC"/>
    <w:rsid w:val="00097C55"/>
    <w:rsid w:val="000A0444"/>
    <w:rsid w:val="000A0472"/>
    <w:rsid w:val="000A0F64"/>
    <w:rsid w:val="000A152E"/>
    <w:rsid w:val="000A1691"/>
    <w:rsid w:val="000A20B0"/>
    <w:rsid w:val="000A245A"/>
    <w:rsid w:val="000A32BF"/>
    <w:rsid w:val="000A397A"/>
    <w:rsid w:val="000A4311"/>
    <w:rsid w:val="000A43F5"/>
    <w:rsid w:val="000A4D7E"/>
    <w:rsid w:val="000A50F9"/>
    <w:rsid w:val="000A6C60"/>
    <w:rsid w:val="000A6F64"/>
    <w:rsid w:val="000A76D7"/>
    <w:rsid w:val="000A7798"/>
    <w:rsid w:val="000A78FC"/>
    <w:rsid w:val="000A7978"/>
    <w:rsid w:val="000A7C00"/>
    <w:rsid w:val="000A7E1F"/>
    <w:rsid w:val="000B07FB"/>
    <w:rsid w:val="000B10DF"/>
    <w:rsid w:val="000B163F"/>
    <w:rsid w:val="000B2CB2"/>
    <w:rsid w:val="000B38C9"/>
    <w:rsid w:val="000B46A2"/>
    <w:rsid w:val="000B503B"/>
    <w:rsid w:val="000B6193"/>
    <w:rsid w:val="000B7258"/>
    <w:rsid w:val="000B754A"/>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41A6"/>
    <w:rsid w:val="000C41C9"/>
    <w:rsid w:val="000C467B"/>
    <w:rsid w:val="000C4781"/>
    <w:rsid w:val="000C4D58"/>
    <w:rsid w:val="000C53A3"/>
    <w:rsid w:val="000C572E"/>
    <w:rsid w:val="000C61C7"/>
    <w:rsid w:val="000C6AA2"/>
    <w:rsid w:val="000C6C97"/>
    <w:rsid w:val="000C7179"/>
    <w:rsid w:val="000C7BD5"/>
    <w:rsid w:val="000D002C"/>
    <w:rsid w:val="000D070B"/>
    <w:rsid w:val="000D1DDF"/>
    <w:rsid w:val="000D262B"/>
    <w:rsid w:val="000D2F5C"/>
    <w:rsid w:val="000D2F8A"/>
    <w:rsid w:val="000D3129"/>
    <w:rsid w:val="000D3C7E"/>
    <w:rsid w:val="000D4BBF"/>
    <w:rsid w:val="000D556A"/>
    <w:rsid w:val="000D6416"/>
    <w:rsid w:val="000D66BD"/>
    <w:rsid w:val="000D6FB8"/>
    <w:rsid w:val="000E0D38"/>
    <w:rsid w:val="000E1AEC"/>
    <w:rsid w:val="000E1B37"/>
    <w:rsid w:val="000E1FB7"/>
    <w:rsid w:val="000E3195"/>
    <w:rsid w:val="000E35CD"/>
    <w:rsid w:val="000E4801"/>
    <w:rsid w:val="000E4F1E"/>
    <w:rsid w:val="000E50F2"/>
    <w:rsid w:val="000E514D"/>
    <w:rsid w:val="000E51E9"/>
    <w:rsid w:val="000E5407"/>
    <w:rsid w:val="000E5979"/>
    <w:rsid w:val="000E6310"/>
    <w:rsid w:val="000E68D3"/>
    <w:rsid w:val="000F03FB"/>
    <w:rsid w:val="000F0595"/>
    <w:rsid w:val="000F12B8"/>
    <w:rsid w:val="000F12C9"/>
    <w:rsid w:val="000F1BDC"/>
    <w:rsid w:val="000F233F"/>
    <w:rsid w:val="000F2CAD"/>
    <w:rsid w:val="000F3118"/>
    <w:rsid w:val="000F3522"/>
    <w:rsid w:val="000F352C"/>
    <w:rsid w:val="000F3662"/>
    <w:rsid w:val="000F4B29"/>
    <w:rsid w:val="000F4C35"/>
    <w:rsid w:val="000F525E"/>
    <w:rsid w:val="000F5511"/>
    <w:rsid w:val="000F62C7"/>
    <w:rsid w:val="000F6CBD"/>
    <w:rsid w:val="0010013D"/>
    <w:rsid w:val="00100C1C"/>
    <w:rsid w:val="00100CEE"/>
    <w:rsid w:val="001017D1"/>
    <w:rsid w:val="00101E4B"/>
    <w:rsid w:val="001029D6"/>
    <w:rsid w:val="00102F8F"/>
    <w:rsid w:val="001033B2"/>
    <w:rsid w:val="001043C6"/>
    <w:rsid w:val="00105612"/>
    <w:rsid w:val="00105EA6"/>
    <w:rsid w:val="0010618E"/>
    <w:rsid w:val="001068F5"/>
    <w:rsid w:val="00106D48"/>
    <w:rsid w:val="00107219"/>
    <w:rsid w:val="00107DAF"/>
    <w:rsid w:val="001101BB"/>
    <w:rsid w:val="00110FE1"/>
    <w:rsid w:val="001120A0"/>
    <w:rsid w:val="0011219D"/>
    <w:rsid w:val="00113F0C"/>
    <w:rsid w:val="0011442D"/>
    <w:rsid w:val="001147A4"/>
    <w:rsid w:val="00114929"/>
    <w:rsid w:val="00115CF1"/>
    <w:rsid w:val="001170C6"/>
    <w:rsid w:val="00117137"/>
    <w:rsid w:val="00117AF3"/>
    <w:rsid w:val="00117C0F"/>
    <w:rsid w:val="001200D6"/>
    <w:rsid w:val="00120360"/>
    <w:rsid w:val="0012068C"/>
    <w:rsid w:val="001207F9"/>
    <w:rsid w:val="00120BC7"/>
    <w:rsid w:val="00120CA0"/>
    <w:rsid w:val="00121008"/>
    <w:rsid w:val="0012101A"/>
    <w:rsid w:val="001215D6"/>
    <w:rsid w:val="0012202C"/>
    <w:rsid w:val="00122CE1"/>
    <w:rsid w:val="00122E2B"/>
    <w:rsid w:val="00123976"/>
    <w:rsid w:val="00124629"/>
    <w:rsid w:val="00124CA3"/>
    <w:rsid w:val="00124DEC"/>
    <w:rsid w:val="00124EFD"/>
    <w:rsid w:val="0012577E"/>
    <w:rsid w:val="0012582B"/>
    <w:rsid w:val="0012596E"/>
    <w:rsid w:val="001260C8"/>
    <w:rsid w:val="001262EF"/>
    <w:rsid w:val="0012655D"/>
    <w:rsid w:val="00126583"/>
    <w:rsid w:val="0012732F"/>
    <w:rsid w:val="00127732"/>
    <w:rsid w:val="001307C5"/>
    <w:rsid w:val="00131433"/>
    <w:rsid w:val="0013159F"/>
    <w:rsid w:val="00131EB1"/>
    <w:rsid w:val="00132635"/>
    <w:rsid w:val="0013283A"/>
    <w:rsid w:val="00134190"/>
    <w:rsid w:val="00134A11"/>
    <w:rsid w:val="00134F05"/>
    <w:rsid w:val="001354E7"/>
    <w:rsid w:val="00135A54"/>
    <w:rsid w:val="00136710"/>
    <w:rsid w:val="0013672B"/>
    <w:rsid w:val="00136C09"/>
    <w:rsid w:val="00137F05"/>
    <w:rsid w:val="001400A0"/>
    <w:rsid w:val="00140982"/>
    <w:rsid w:val="00140CFB"/>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4111"/>
    <w:rsid w:val="00144A29"/>
    <w:rsid w:val="00147BE4"/>
    <w:rsid w:val="00147CDB"/>
    <w:rsid w:val="00147DDC"/>
    <w:rsid w:val="00147DE3"/>
    <w:rsid w:val="00150453"/>
    <w:rsid w:val="00150A0F"/>
    <w:rsid w:val="00150C10"/>
    <w:rsid w:val="00150D1B"/>
    <w:rsid w:val="00151336"/>
    <w:rsid w:val="00151606"/>
    <w:rsid w:val="00152366"/>
    <w:rsid w:val="00152EC0"/>
    <w:rsid w:val="00153B85"/>
    <w:rsid w:val="001553A8"/>
    <w:rsid w:val="001554CE"/>
    <w:rsid w:val="00155FD8"/>
    <w:rsid w:val="0015605D"/>
    <w:rsid w:val="001560EC"/>
    <w:rsid w:val="001561DC"/>
    <w:rsid w:val="00156508"/>
    <w:rsid w:val="0015754D"/>
    <w:rsid w:val="00157B04"/>
    <w:rsid w:val="00157BD4"/>
    <w:rsid w:val="0016057A"/>
    <w:rsid w:val="00160866"/>
    <w:rsid w:val="0016091C"/>
    <w:rsid w:val="00160E97"/>
    <w:rsid w:val="00161774"/>
    <w:rsid w:val="00161E40"/>
    <w:rsid w:val="00161F83"/>
    <w:rsid w:val="00163837"/>
    <w:rsid w:val="00163A54"/>
    <w:rsid w:val="00164791"/>
    <w:rsid w:val="00165EAA"/>
    <w:rsid w:val="001665EA"/>
    <w:rsid w:val="00166949"/>
    <w:rsid w:val="00167721"/>
    <w:rsid w:val="00170788"/>
    <w:rsid w:val="001708BE"/>
    <w:rsid w:val="0017098A"/>
    <w:rsid w:val="001716F7"/>
    <w:rsid w:val="00172993"/>
    <w:rsid w:val="001732B2"/>
    <w:rsid w:val="001739C2"/>
    <w:rsid w:val="00173B3A"/>
    <w:rsid w:val="00173FCF"/>
    <w:rsid w:val="00174655"/>
    <w:rsid w:val="00174D90"/>
    <w:rsid w:val="00175977"/>
    <w:rsid w:val="0017605B"/>
    <w:rsid w:val="001761EF"/>
    <w:rsid w:val="0017656E"/>
    <w:rsid w:val="00176790"/>
    <w:rsid w:val="00176D8B"/>
    <w:rsid w:val="0017751F"/>
    <w:rsid w:val="001809E0"/>
    <w:rsid w:val="00181375"/>
    <w:rsid w:val="001813C3"/>
    <w:rsid w:val="00181855"/>
    <w:rsid w:val="001819DA"/>
    <w:rsid w:val="00181FCF"/>
    <w:rsid w:val="00182693"/>
    <w:rsid w:val="001826A0"/>
    <w:rsid w:val="00182705"/>
    <w:rsid w:val="00182DFB"/>
    <w:rsid w:val="00182E38"/>
    <w:rsid w:val="001838E0"/>
    <w:rsid w:val="00183A15"/>
    <w:rsid w:val="00185355"/>
    <w:rsid w:val="00185483"/>
    <w:rsid w:val="00185D52"/>
    <w:rsid w:val="0018628A"/>
    <w:rsid w:val="001866BF"/>
    <w:rsid w:val="00186884"/>
    <w:rsid w:val="00187102"/>
    <w:rsid w:val="00187119"/>
    <w:rsid w:val="001878EB"/>
    <w:rsid w:val="0019000C"/>
    <w:rsid w:val="0019030D"/>
    <w:rsid w:val="0019092C"/>
    <w:rsid w:val="00190C7A"/>
    <w:rsid w:val="00190E9E"/>
    <w:rsid w:val="00190F7F"/>
    <w:rsid w:val="0019269B"/>
    <w:rsid w:val="001929EF"/>
    <w:rsid w:val="00192F7F"/>
    <w:rsid w:val="001939CB"/>
    <w:rsid w:val="00193F5B"/>
    <w:rsid w:val="00194559"/>
    <w:rsid w:val="001947C1"/>
    <w:rsid w:val="001948EC"/>
    <w:rsid w:val="00194F2A"/>
    <w:rsid w:val="0019508F"/>
    <w:rsid w:val="001953F2"/>
    <w:rsid w:val="0019547E"/>
    <w:rsid w:val="00195688"/>
    <w:rsid w:val="0019734C"/>
    <w:rsid w:val="0019776A"/>
    <w:rsid w:val="001A0137"/>
    <w:rsid w:val="001A06DE"/>
    <w:rsid w:val="001A08FF"/>
    <w:rsid w:val="001A17B1"/>
    <w:rsid w:val="001A1AE7"/>
    <w:rsid w:val="001A2314"/>
    <w:rsid w:val="001A3100"/>
    <w:rsid w:val="001A3A22"/>
    <w:rsid w:val="001A3AA1"/>
    <w:rsid w:val="001A3F98"/>
    <w:rsid w:val="001A4109"/>
    <w:rsid w:val="001A4547"/>
    <w:rsid w:val="001A48FB"/>
    <w:rsid w:val="001A4C89"/>
    <w:rsid w:val="001A562F"/>
    <w:rsid w:val="001A646C"/>
    <w:rsid w:val="001A66AF"/>
    <w:rsid w:val="001B09DF"/>
    <w:rsid w:val="001B0AB2"/>
    <w:rsid w:val="001B1019"/>
    <w:rsid w:val="001B1B0D"/>
    <w:rsid w:val="001B2704"/>
    <w:rsid w:val="001B2C82"/>
    <w:rsid w:val="001B2F6B"/>
    <w:rsid w:val="001B3657"/>
    <w:rsid w:val="001B3EDD"/>
    <w:rsid w:val="001B3EE2"/>
    <w:rsid w:val="001B43FF"/>
    <w:rsid w:val="001B4478"/>
    <w:rsid w:val="001B4569"/>
    <w:rsid w:val="001B4B99"/>
    <w:rsid w:val="001B5B2D"/>
    <w:rsid w:val="001B5EB4"/>
    <w:rsid w:val="001B68D3"/>
    <w:rsid w:val="001B6F65"/>
    <w:rsid w:val="001B72AE"/>
    <w:rsid w:val="001B76EB"/>
    <w:rsid w:val="001B7B29"/>
    <w:rsid w:val="001C0B1F"/>
    <w:rsid w:val="001C0C39"/>
    <w:rsid w:val="001C0E0C"/>
    <w:rsid w:val="001C1A1F"/>
    <w:rsid w:val="001C1B4B"/>
    <w:rsid w:val="001C2F21"/>
    <w:rsid w:val="001C321B"/>
    <w:rsid w:val="001C3C19"/>
    <w:rsid w:val="001C3E96"/>
    <w:rsid w:val="001C3ED4"/>
    <w:rsid w:val="001C567B"/>
    <w:rsid w:val="001C59B1"/>
    <w:rsid w:val="001C5E6C"/>
    <w:rsid w:val="001C65BB"/>
    <w:rsid w:val="001C6815"/>
    <w:rsid w:val="001C6B3A"/>
    <w:rsid w:val="001C7591"/>
    <w:rsid w:val="001D006E"/>
    <w:rsid w:val="001D0423"/>
    <w:rsid w:val="001D073F"/>
    <w:rsid w:val="001D1020"/>
    <w:rsid w:val="001D15CF"/>
    <w:rsid w:val="001D1E16"/>
    <w:rsid w:val="001D235D"/>
    <w:rsid w:val="001D2555"/>
    <w:rsid w:val="001D337C"/>
    <w:rsid w:val="001D380D"/>
    <w:rsid w:val="001D41F0"/>
    <w:rsid w:val="001D65C6"/>
    <w:rsid w:val="001D6CED"/>
    <w:rsid w:val="001E04E8"/>
    <w:rsid w:val="001E184B"/>
    <w:rsid w:val="001E1EE3"/>
    <w:rsid w:val="001E1F20"/>
    <w:rsid w:val="001E26B5"/>
    <w:rsid w:val="001E386F"/>
    <w:rsid w:val="001E394B"/>
    <w:rsid w:val="001E3BCD"/>
    <w:rsid w:val="001E4E84"/>
    <w:rsid w:val="001E4EBC"/>
    <w:rsid w:val="001E55D4"/>
    <w:rsid w:val="001E71B5"/>
    <w:rsid w:val="001E7B18"/>
    <w:rsid w:val="001F15CD"/>
    <w:rsid w:val="001F1A6D"/>
    <w:rsid w:val="001F1F3F"/>
    <w:rsid w:val="001F27B1"/>
    <w:rsid w:val="001F2F00"/>
    <w:rsid w:val="001F348D"/>
    <w:rsid w:val="001F3AE7"/>
    <w:rsid w:val="001F47D0"/>
    <w:rsid w:val="001F5B11"/>
    <w:rsid w:val="001F6550"/>
    <w:rsid w:val="001F69E8"/>
    <w:rsid w:val="001F7038"/>
    <w:rsid w:val="001F7320"/>
    <w:rsid w:val="00200F31"/>
    <w:rsid w:val="00201B26"/>
    <w:rsid w:val="0020221F"/>
    <w:rsid w:val="00202E67"/>
    <w:rsid w:val="00203AEA"/>
    <w:rsid w:val="00203D33"/>
    <w:rsid w:val="00205051"/>
    <w:rsid w:val="0020794A"/>
    <w:rsid w:val="00207A23"/>
    <w:rsid w:val="00207C7F"/>
    <w:rsid w:val="00210B48"/>
    <w:rsid w:val="00211174"/>
    <w:rsid w:val="0021175A"/>
    <w:rsid w:val="00211B9D"/>
    <w:rsid w:val="002120BD"/>
    <w:rsid w:val="00212962"/>
    <w:rsid w:val="00213196"/>
    <w:rsid w:val="00214731"/>
    <w:rsid w:val="00214F01"/>
    <w:rsid w:val="0021540E"/>
    <w:rsid w:val="00215C9A"/>
    <w:rsid w:val="0021615A"/>
    <w:rsid w:val="002169FE"/>
    <w:rsid w:val="00216F58"/>
    <w:rsid w:val="00217135"/>
    <w:rsid w:val="0022132D"/>
    <w:rsid w:val="00221D16"/>
    <w:rsid w:val="00221D27"/>
    <w:rsid w:val="00222064"/>
    <w:rsid w:val="00222CAE"/>
    <w:rsid w:val="00223622"/>
    <w:rsid w:val="00223B83"/>
    <w:rsid w:val="00223DAB"/>
    <w:rsid w:val="0022536E"/>
    <w:rsid w:val="002254EC"/>
    <w:rsid w:val="00225A53"/>
    <w:rsid w:val="00225C88"/>
    <w:rsid w:val="002262C4"/>
    <w:rsid w:val="002264F4"/>
    <w:rsid w:val="00227A81"/>
    <w:rsid w:val="00230A52"/>
    <w:rsid w:val="00231427"/>
    <w:rsid w:val="00231B27"/>
    <w:rsid w:val="002326CA"/>
    <w:rsid w:val="00232934"/>
    <w:rsid w:val="00232BAB"/>
    <w:rsid w:val="00233057"/>
    <w:rsid w:val="002331EC"/>
    <w:rsid w:val="00233702"/>
    <w:rsid w:val="00233ABC"/>
    <w:rsid w:val="00234906"/>
    <w:rsid w:val="00234A3D"/>
    <w:rsid w:val="00235ACB"/>
    <w:rsid w:val="00235DEC"/>
    <w:rsid w:val="00236B10"/>
    <w:rsid w:val="00236EEA"/>
    <w:rsid w:val="002372B2"/>
    <w:rsid w:val="002401C8"/>
    <w:rsid w:val="002407C6"/>
    <w:rsid w:val="00240AF3"/>
    <w:rsid w:val="00240DEB"/>
    <w:rsid w:val="0024142D"/>
    <w:rsid w:val="00241714"/>
    <w:rsid w:val="00241F1E"/>
    <w:rsid w:val="0024354E"/>
    <w:rsid w:val="00243D06"/>
    <w:rsid w:val="002442D3"/>
    <w:rsid w:val="00244CDD"/>
    <w:rsid w:val="00245302"/>
    <w:rsid w:val="0024568B"/>
    <w:rsid w:val="00245D73"/>
    <w:rsid w:val="002460F2"/>
    <w:rsid w:val="002472FE"/>
    <w:rsid w:val="0025030E"/>
    <w:rsid w:val="00250F72"/>
    <w:rsid w:val="002514CA"/>
    <w:rsid w:val="00251672"/>
    <w:rsid w:val="00252675"/>
    <w:rsid w:val="00252803"/>
    <w:rsid w:val="00252FDB"/>
    <w:rsid w:val="0025369C"/>
    <w:rsid w:val="00254AA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5174"/>
    <w:rsid w:val="00265817"/>
    <w:rsid w:val="00266503"/>
    <w:rsid w:val="00266E0E"/>
    <w:rsid w:val="00266FD4"/>
    <w:rsid w:val="002671CC"/>
    <w:rsid w:val="00267241"/>
    <w:rsid w:val="002676FA"/>
    <w:rsid w:val="00267CA4"/>
    <w:rsid w:val="00270135"/>
    <w:rsid w:val="0027099E"/>
    <w:rsid w:val="002709E7"/>
    <w:rsid w:val="00271222"/>
    <w:rsid w:val="002728FA"/>
    <w:rsid w:val="0027369C"/>
    <w:rsid w:val="00273706"/>
    <w:rsid w:val="00274B8F"/>
    <w:rsid w:val="00274D9D"/>
    <w:rsid w:val="002769B7"/>
    <w:rsid w:val="00276C42"/>
    <w:rsid w:val="002775A0"/>
    <w:rsid w:val="0027764C"/>
    <w:rsid w:val="00280C4C"/>
    <w:rsid w:val="00280E55"/>
    <w:rsid w:val="0028141B"/>
    <w:rsid w:val="00281E59"/>
    <w:rsid w:val="00282FEC"/>
    <w:rsid w:val="00282FF3"/>
    <w:rsid w:val="0028364E"/>
    <w:rsid w:val="00284655"/>
    <w:rsid w:val="002848CB"/>
    <w:rsid w:val="00284D72"/>
    <w:rsid w:val="00285776"/>
    <w:rsid w:val="002858BA"/>
    <w:rsid w:val="0028661B"/>
    <w:rsid w:val="002866D9"/>
    <w:rsid w:val="0028686B"/>
    <w:rsid w:val="002912A0"/>
    <w:rsid w:val="00291756"/>
    <w:rsid w:val="0029235D"/>
    <w:rsid w:val="00292574"/>
    <w:rsid w:val="002926A4"/>
    <w:rsid w:val="00292F35"/>
    <w:rsid w:val="00292F9A"/>
    <w:rsid w:val="0029396A"/>
    <w:rsid w:val="00293DE2"/>
    <w:rsid w:val="00293FB0"/>
    <w:rsid w:val="00295E8C"/>
    <w:rsid w:val="00296148"/>
    <w:rsid w:val="0029649C"/>
    <w:rsid w:val="0029771E"/>
    <w:rsid w:val="002A0621"/>
    <w:rsid w:val="002A07B1"/>
    <w:rsid w:val="002A17E0"/>
    <w:rsid w:val="002A21C3"/>
    <w:rsid w:val="002A39E7"/>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F51"/>
    <w:rsid w:val="002B15AC"/>
    <w:rsid w:val="002B193B"/>
    <w:rsid w:val="002B19FB"/>
    <w:rsid w:val="002B2C08"/>
    <w:rsid w:val="002B36C3"/>
    <w:rsid w:val="002B532E"/>
    <w:rsid w:val="002B543A"/>
    <w:rsid w:val="002B5525"/>
    <w:rsid w:val="002B5A2E"/>
    <w:rsid w:val="002B5A4B"/>
    <w:rsid w:val="002B61A8"/>
    <w:rsid w:val="002B678E"/>
    <w:rsid w:val="002B68FE"/>
    <w:rsid w:val="002C0717"/>
    <w:rsid w:val="002C0BC3"/>
    <w:rsid w:val="002C0D00"/>
    <w:rsid w:val="002C10D1"/>
    <w:rsid w:val="002C1CFA"/>
    <w:rsid w:val="002C239C"/>
    <w:rsid w:val="002C2F4E"/>
    <w:rsid w:val="002C30B8"/>
    <w:rsid w:val="002C356F"/>
    <w:rsid w:val="002C3A5F"/>
    <w:rsid w:val="002C3CEB"/>
    <w:rsid w:val="002C433A"/>
    <w:rsid w:val="002C4DD7"/>
    <w:rsid w:val="002C5754"/>
    <w:rsid w:val="002C6BF5"/>
    <w:rsid w:val="002C6D79"/>
    <w:rsid w:val="002C765A"/>
    <w:rsid w:val="002D0C49"/>
    <w:rsid w:val="002D0F70"/>
    <w:rsid w:val="002D1469"/>
    <w:rsid w:val="002D2333"/>
    <w:rsid w:val="002D2553"/>
    <w:rsid w:val="002D43A1"/>
    <w:rsid w:val="002D6310"/>
    <w:rsid w:val="002D63D6"/>
    <w:rsid w:val="002D6680"/>
    <w:rsid w:val="002D6EFA"/>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710B"/>
    <w:rsid w:val="002F06D0"/>
    <w:rsid w:val="002F15AD"/>
    <w:rsid w:val="002F2CF2"/>
    <w:rsid w:val="002F369F"/>
    <w:rsid w:val="002F3830"/>
    <w:rsid w:val="002F38D7"/>
    <w:rsid w:val="002F3EFA"/>
    <w:rsid w:val="002F42D9"/>
    <w:rsid w:val="002F4929"/>
    <w:rsid w:val="002F5989"/>
    <w:rsid w:val="002F6856"/>
    <w:rsid w:val="002F694D"/>
    <w:rsid w:val="002F73F4"/>
    <w:rsid w:val="002F7DD0"/>
    <w:rsid w:val="002F7DDE"/>
    <w:rsid w:val="002F7E97"/>
    <w:rsid w:val="003000FF"/>
    <w:rsid w:val="003006A1"/>
    <w:rsid w:val="003012A2"/>
    <w:rsid w:val="00301499"/>
    <w:rsid w:val="003018B7"/>
    <w:rsid w:val="0030204B"/>
    <w:rsid w:val="003020C6"/>
    <w:rsid w:val="0030280A"/>
    <w:rsid w:val="00304ACA"/>
    <w:rsid w:val="00304F2A"/>
    <w:rsid w:val="003062D8"/>
    <w:rsid w:val="0030704A"/>
    <w:rsid w:val="003070B7"/>
    <w:rsid w:val="003075BC"/>
    <w:rsid w:val="00307E7E"/>
    <w:rsid w:val="003101EC"/>
    <w:rsid w:val="0031042A"/>
    <w:rsid w:val="003106DE"/>
    <w:rsid w:val="00311663"/>
    <w:rsid w:val="0031171D"/>
    <w:rsid w:val="00311B59"/>
    <w:rsid w:val="003127F4"/>
    <w:rsid w:val="003133C7"/>
    <w:rsid w:val="00313652"/>
    <w:rsid w:val="0031376D"/>
    <w:rsid w:val="00313D36"/>
    <w:rsid w:val="003151B5"/>
    <w:rsid w:val="00315AF8"/>
    <w:rsid w:val="00315C91"/>
    <w:rsid w:val="003168A7"/>
    <w:rsid w:val="003175F3"/>
    <w:rsid w:val="00317835"/>
    <w:rsid w:val="00317A71"/>
    <w:rsid w:val="00317C72"/>
    <w:rsid w:val="00320ED9"/>
    <w:rsid w:val="00321DAA"/>
    <w:rsid w:val="003225D9"/>
    <w:rsid w:val="00322AF3"/>
    <w:rsid w:val="0032306C"/>
    <w:rsid w:val="00323146"/>
    <w:rsid w:val="003235CC"/>
    <w:rsid w:val="00323756"/>
    <w:rsid w:val="00324EC4"/>
    <w:rsid w:val="00325427"/>
    <w:rsid w:val="00325668"/>
    <w:rsid w:val="00325823"/>
    <w:rsid w:val="00325E60"/>
    <w:rsid w:val="0032752E"/>
    <w:rsid w:val="00327705"/>
    <w:rsid w:val="0033097A"/>
    <w:rsid w:val="00330C51"/>
    <w:rsid w:val="00330DCC"/>
    <w:rsid w:val="003310D4"/>
    <w:rsid w:val="0033199D"/>
    <w:rsid w:val="00331CFC"/>
    <w:rsid w:val="0033241A"/>
    <w:rsid w:val="00332627"/>
    <w:rsid w:val="00332A87"/>
    <w:rsid w:val="00332E97"/>
    <w:rsid w:val="00332F1F"/>
    <w:rsid w:val="00333196"/>
    <w:rsid w:val="00334EB2"/>
    <w:rsid w:val="003351CE"/>
    <w:rsid w:val="0033535C"/>
    <w:rsid w:val="0033559C"/>
    <w:rsid w:val="0033625F"/>
    <w:rsid w:val="003362C9"/>
    <w:rsid w:val="003379DC"/>
    <w:rsid w:val="00337C8D"/>
    <w:rsid w:val="00340CFE"/>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93A"/>
    <w:rsid w:val="003509E6"/>
    <w:rsid w:val="00351237"/>
    <w:rsid w:val="00351946"/>
    <w:rsid w:val="00351B53"/>
    <w:rsid w:val="00351FF0"/>
    <w:rsid w:val="0035210E"/>
    <w:rsid w:val="003521FD"/>
    <w:rsid w:val="00352802"/>
    <w:rsid w:val="00352C0E"/>
    <w:rsid w:val="00353085"/>
    <w:rsid w:val="003535EF"/>
    <w:rsid w:val="003538EF"/>
    <w:rsid w:val="0035515E"/>
    <w:rsid w:val="00355868"/>
    <w:rsid w:val="00355E2C"/>
    <w:rsid w:val="00355EAC"/>
    <w:rsid w:val="003575B9"/>
    <w:rsid w:val="00357828"/>
    <w:rsid w:val="00357895"/>
    <w:rsid w:val="00357916"/>
    <w:rsid w:val="00357B15"/>
    <w:rsid w:val="00360937"/>
    <w:rsid w:val="00360B19"/>
    <w:rsid w:val="00360FCE"/>
    <w:rsid w:val="0036193E"/>
    <w:rsid w:val="003626D8"/>
    <w:rsid w:val="00362D25"/>
    <w:rsid w:val="00362DF3"/>
    <w:rsid w:val="00362E82"/>
    <w:rsid w:val="00364001"/>
    <w:rsid w:val="00365B5F"/>
    <w:rsid w:val="00365DC3"/>
    <w:rsid w:val="0036633C"/>
    <w:rsid w:val="00366CA4"/>
    <w:rsid w:val="00366CC9"/>
    <w:rsid w:val="0036763E"/>
    <w:rsid w:val="00367C14"/>
    <w:rsid w:val="00367E02"/>
    <w:rsid w:val="0037013D"/>
    <w:rsid w:val="0037078A"/>
    <w:rsid w:val="00370DA4"/>
    <w:rsid w:val="003710CD"/>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0B5"/>
    <w:rsid w:val="00383AFB"/>
    <w:rsid w:val="00383B9B"/>
    <w:rsid w:val="0038431A"/>
    <w:rsid w:val="0038547C"/>
    <w:rsid w:val="003857D3"/>
    <w:rsid w:val="00385A88"/>
    <w:rsid w:val="00385BA5"/>
    <w:rsid w:val="00386E93"/>
    <w:rsid w:val="00387900"/>
    <w:rsid w:val="00387AF8"/>
    <w:rsid w:val="00387BE8"/>
    <w:rsid w:val="00390065"/>
    <w:rsid w:val="00390A1E"/>
    <w:rsid w:val="00393383"/>
    <w:rsid w:val="00393660"/>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320F"/>
    <w:rsid w:val="003A47E8"/>
    <w:rsid w:val="003A4AB7"/>
    <w:rsid w:val="003A58BA"/>
    <w:rsid w:val="003A6559"/>
    <w:rsid w:val="003A7124"/>
    <w:rsid w:val="003B00B8"/>
    <w:rsid w:val="003B02EC"/>
    <w:rsid w:val="003B0718"/>
    <w:rsid w:val="003B1455"/>
    <w:rsid w:val="003B1639"/>
    <w:rsid w:val="003B196D"/>
    <w:rsid w:val="003B2062"/>
    <w:rsid w:val="003B216A"/>
    <w:rsid w:val="003B23AF"/>
    <w:rsid w:val="003B2AC6"/>
    <w:rsid w:val="003B2F30"/>
    <w:rsid w:val="003B3019"/>
    <w:rsid w:val="003B34C2"/>
    <w:rsid w:val="003B39D7"/>
    <w:rsid w:val="003B3BF0"/>
    <w:rsid w:val="003B4B2E"/>
    <w:rsid w:val="003B4B41"/>
    <w:rsid w:val="003B61F0"/>
    <w:rsid w:val="003B6357"/>
    <w:rsid w:val="003B64B3"/>
    <w:rsid w:val="003B693A"/>
    <w:rsid w:val="003B6AB8"/>
    <w:rsid w:val="003B6E18"/>
    <w:rsid w:val="003B7053"/>
    <w:rsid w:val="003B7102"/>
    <w:rsid w:val="003B774F"/>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A1E"/>
    <w:rsid w:val="003C6BB7"/>
    <w:rsid w:val="003C7603"/>
    <w:rsid w:val="003D0A88"/>
    <w:rsid w:val="003D0DC8"/>
    <w:rsid w:val="003D12C2"/>
    <w:rsid w:val="003D19A0"/>
    <w:rsid w:val="003D265F"/>
    <w:rsid w:val="003D27BD"/>
    <w:rsid w:val="003D3202"/>
    <w:rsid w:val="003D353C"/>
    <w:rsid w:val="003D50B9"/>
    <w:rsid w:val="003D63C8"/>
    <w:rsid w:val="003D6472"/>
    <w:rsid w:val="003D6A4E"/>
    <w:rsid w:val="003D7756"/>
    <w:rsid w:val="003E19E7"/>
    <w:rsid w:val="003E1DA0"/>
    <w:rsid w:val="003E29B3"/>
    <w:rsid w:val="003E36C0"/>
    <w:rsid w:val="003E3724"/>
    <w:rsid w:val="003E3957"/>
    <w:rsid w:val="003E398D"/>
    <w:rsid w:val="003E4289"/>
    <w:rsid w:val="003E4800"/>
    <w:rsid w:val="003E487B"/>
    <w:rsid w:val="003E55E5"/>
    <w:rsid w:val="003E57F9"/>
    <w:rsid w:val="003E5DFE"/>
    <w:rsid w:val="003E5F4F"/>
    <w:rsid w:val="003E6144"/>
    <w:rsid w:val="003E6395"/>
    <w:rsid w:val="003E6A80"/>
    <w:rsid w:val="003E6EF7"/>
    <w:rsid w:val="003E7F59"/>
    <w:rsid w:val="003F069F"/>
    <w:rsid w:val="003F0D8B"/>
    <w:rsid w:val="003F1E6F"/>
    <w:rsid w:val="003F1F9E"/>
    <w:rsid w:val="003F2A93"/>
    <w:rsid w:val="003F3BC1"/>
    <w:rsid w:val="003F3D76"/>
    <w:rsid w:val="003F43E6"/>
    <w:rsid w:val="003F4894"/>
    <w:rsid w:val="003F490D"/>
    <w:rsid w:val="003F4DDB"/>
    <w:rsid w:val="003F5542"/>
    <w:rsid w:val="003F5810"/>
    <w:rsid w:val="003F5842"/>
    <w:rsid w:val="003F61E1"/>
    <w:rsid w:val="003F704D"/>
    <w:rsid w:val="003F77FC"/>
    <w:rsid w:val="004000BE"/>
    <w:rsid w:val="00400122"/>
    <w:rsid w:val="004015C7"/>
    <w:rsid w:val="00401D3D"/>
    <w:rsid w:val="004020AB"/>
    <w:rsid w:val="004026BA"/>
    <w:rsid w:val="00403038"/>
    <w:rsid w:val="004030D5"/>
    <w:rsid w:val="0040388F"/>
    <w:rsid w:val="00404249"/>
    <w:rsid w:val="004050B4"/>
    <w:rsid w:val="00405746"/>
    <w:rsid w:val="004062EC"/>
    <w:rsid w:val="00406755"/>
    <w:rsid w:val="004067DB"/>
    <w:rsid w:val="004069C5"/>
    <w:rsid w:val="0040709C"/>
    <w:rsid w:val="00407F30"/>
    <w:rsid w:val="00410ECC"/>
    <w:rsid w:val="004116DA"/>
    <w:rsid w:val="004117D6"/>
    <w:rsid w:val="00411834"/>
    <w:rsid w:val="00411963"/>
    <w:rsid w:val="00411B1C"/>
    <w:rsid w:val="00412A23"/>
    <w:rsid w:val="004149DA"/>
    <w:rsid w:val="00414A2E"/>
    <w:rsid w:val="00415755"/>
    <w:rsid w:val="00415DD0"/>
    <w:rsid w:val="004161DE"/>
    <w:rsid w:val="00416211"/>
    <w:rsid w:val="004162D1"/>
    <w:rsid w:val="004167B1"/>
    <w:rsid w:val="0042035D"/>
    <w:rsid w:val="00420604"/>
    <w:rsid w:val="00420841"/>
    <w:rsid w:val="004226AA"/>
    <w:rsid w:val="00422793"/>
    <w:rsid w:val="00423732"/>
    <w:rsid w:val="0042396F"/>
    <w:rsid w:val="00423FCE"/>
    <w:rsid w:val="004249C4"/>
    <w:rsid w:val="004259F9"/>
    <w:rsid w:val="00425B31"/>
    <w:rsid w:val="00425BAA"/>
    <w:rsid w:val="0042648D"/>
    <w:rsid w:val="00426957"/>
    <w:rsid w:val="00426976"/>
    <w:rsid w:val="00426BBE"/>
    <w:rsid w:val="00426D02"/>
    <w:rsid w:val="00427722"/>
    <w:rsid w:val="00427A13"/>
    <w:rsid w:val="00427F4F"/>
    <w:rsid w:val="00430027"/>
    <w:rsid w:val="00430E76"/>
    <w:rsid w:val="00431731"/>
    <w:rsid w:val="00431779"/>
    <w:rsid w:val="00431A2A"/>
    <w:rsid w:val="00431CE6"/>
    <w:rsid w:val="00431F2E"/>
    <w:rsid w:val="0043240F"/>
    <w:rsid w:val="00433C39"/>
    <w:rsid w:val="00433C3E"/>
    <w:rsid w:val="00433DA2"/>
    <w:rsid w:val="004343BC"/>
    <w:rsid w:val="00434AC5"/>
    <w:rsid w:val="00435A31"/>
    <w:rsid w:val="00436DA8"/>
    <w:rsid w:val="00437108"/>
    <w:rsid w:val="00437D2F"/>
    <w:rsid w:val="00440246"/>
    <w:rsid w:val="00440912"/>
    <w:rsid w:val="00441588"/>
    <w:rsid w:val="00441CF2"/>
    <w:rsid w:val="00442540"/>
    <w:rsid w:val="0044307B"/>
    <w:rsid w:val="00443B1B"/>
    <w:rsid w:val="00444072"/>
    <w:rsid w:val="004441C7"/>
    <w:rsid w:val="00444204"/>
    <w:rsid w:val="00446A46"/>
    <w:rsid w:val="00446BAE"/>
    <w:rsid w:val="004473E9"/>
    <w:rsid w:val="0045044A"/>
    <w:rsid w:val="004504BB"/>
    <w:rsid w:val="00450DFB"/>
    <w:rsid w:val="004511AB"/>
    <w:rsid w:val="004511FA"/>
    <w:rsid w:val="004514DB"/>
    <w:rsid w:val="0045235F"/>
    <w:rsid w:val="00452651"/>
    <w:rsid w:val="004533F1"/>
    <w:rsid w:val="00453477"/>
    <w:rsid w:val="00453797"/>
    <w:rsid w:val="00453ABE"/>
    <w:rsid w:val="004542A8"/>
    <w:rsid w:val="004546CE"/>
    <w:rsid w:val="00455912"/>
    <w:rsid w:val="004560D2"/>
    <w:rsid w:val="004576E8"/>
    <w:rsid w:val="00457CEE"/>
    <w:rsid w:val="00460794"/>
    <w:rsid w:val="00461DF1"/>
    <w:rsid w:val="00462BA8"/>
    <w:rsid w:val="00463731"/>
    <w:rsid w:val="00463A9F"/>
    <w:rsid w:val="00463CEF"/>
    <w:rsid w:val="00463DEF"/>
    <w:rsid w:val="00464FEE"/>
    <w:rsid w:val="004672B7"/>
    <w:rsid w:val="00467391"/>
    <w:rsid w:val="004706A0"/>
    <w:rsid w:val="00471291"/>
    <w:rsid w:val="00471318"/>
    <w:rsid w:val="004715A8"/>
    <w:rsid w:val="00471789"/>
    <w:rsid w:val="00472190"/>
    <w:rsid w:val="004724BF"/>
    <w:rsid w:val="00472695"/>
    <w:rsid w:val="004729E0"/>
    <w:rsid w:val="00473E9C"/>
    <w:rsid w:val="004744D7"/>
    <w:rsid w:val="00474AAA"/>
    <w:rsid w:val="00474BF7"/>
    <w:rsid w:val="00474D9B"/>
    <w:rsid w:val="00474E5C"/>
    <w:rsid w:val="00474F62"/>
    <w:rsid w:val="00475824"/>
    <w:rsid w:val="00475E1A"/>
    <w:rsid w:val="004762ED"/>
    <w:rsid w:val="00476F6F"/>
    <w:rsid w:val="00477469"/>
    <w:rsid w:val="004774B6"/>
    <w:rsid w:val="004775E8"/>
    <w:rsid w:val="00477A87"/>
    <w:rsid w:val="0048052E"/>
    <w:rsid w:val="00481888"/>
    <w:rsid w:val="00482BE4"/>
    <w:rsid w:val="004831E5"/>
    <w:rsid w:val="0048370B"/>
    <w:rsid w:val="00483C2E"/>
    <w:rsid w:val="00483E9A"/>
    <w:rsid w:val="004848D1"/>
    <w:rsid w:val="00486750"/>
    <w:rsid w:val="00487EBC"/>
    <w:rsid w:val="00490DDC"/>
    <w:rsid w:val="00490E33"/>
    <w:rsid w:val="00491D56"/>
    <w:rsid w:val="00491D60"/>
    <w:rsid w:val="004947D5"/>
    <w:rsid w:val="0049492A"/>
    <w:rsid w:val="00494CD1"/>
    <w:rsid w:val="00494CDA"/>
    <w:rsid w:val="00495713"/>
    <w:rsid w:val="004957BA"/>
    <w:rsid w:val="0049590A"/>
    <w:rsid w:val="00495CE9"/>
    <w:rsid w:val="00495E5A"/>
    <w:rsid w:val="004962C7"/>
    <w:rsid w:val="004963CC"/>
    <w:rsid w:val="004970C9"/>
    <w:rsid w:val="00497428"/>
    <w:rsid w:val="00497574"/>
    <w:rsid w:val="004978DC"/>
    <w:rsid w:val="00497B5E"/>
    <w:rsid w:val="004A0C7E"/>
    <w:rsid w:val="004A224A"/>
    <w:rsid w:val="004A275E"/>
    <w:rsid w:val="004A28DD"/>
    <w:rsid w:val="004A2F02"/>
    <w:rsid w:val="004A3074"/>
    <w:rsid w:val="004A32DD"/>
    <w:rsid w:val="004A570E"/>
    <w:rsid w:val="004A59B2"/>
    <w:rsid w:val="004A74F3"/>
    <w:rsid w:val="004A7CEC"/>
    <w:rsid w:val="004B06E1"/>
    <w:rsid w:val="004B129A"/>
    <w:rsid w:val="004B24A3"/>
    <w:rsid w:val="004B24F7"/>
    <w:rsid w:val="004B26C7"/>
    <w:rsid w:val="004B28AF"/>
    <w:rsid w:val="004B2A91"/>
    <w:rsid w:val="004B2F98"/>
    <w:rsid w:val="004B31C7"/>
    <w:rsid w:val="004B4BC0"/>
    <w:rsid w:val="004B4BDC"/>
    <w:rsid w:val="004B4D42"/>
    <w:rsid w:val="004B4E10"/>
    <w:rsid w:val="004B60AB"/>
    <w:rsid w:val="004B612C"/>
    <w:rsid w:val="004B62A5"/>
    <w:rsid w:val="004B7E3E"/>
    <w:rsid w:val="004C0544"/>
    <w:rsid w:val="004C07ED"/>
    <w:rsid w:val="004C1AF9"/>
    <w:rsid w:val="004C228F"/>
    <w:rsid w:val="004C2469"/>
    <w:rsid w:val="004C2585"/>
    <w:rsid w:val="004C279B"/>
    <w:rsid w:val="004C281D"/>
    <w:rsid w:val="004C2E9D"/>
    <w:rsid w:val="004C4513"/>
    <w:rsid w:val="004C4BEC"/>
    <w:rsid w:val="004C5A9B"/>
    <w:rsid w:val="004C7022"/>
    <w:rsid w:val="004C7663"/>
    <w:rsid w:val="004C7FC6"/>
    <w:rsid w:val="004D055D"/>
    <w:rsid w:val="004D08E0"/>
    <w:rsid w:val="004D129E"/>
    <w:rsid w:val="004D25B5"/>
    <w:rsid w:val="004D47B9"/>
    <w:rsid w:val="004D489C"/>
    <w:rsid w:val="004D49C8"/>
    <w:rsid w:val="004D5428"/>
    <w:rsid w:val="004D5D5C"/>
    <w:rsid w:val="004D5FBA"/>
    <w:rsid w:val="004D6E67"/>
    <w:rsid w:val="004D6FCC"/>
    <w:rsid w:val="004D752E"/>
    <w:rsid w:val="004E00B4"/>
    <w:rsid w:val="004E0745"/>
    <w:rsid w:val="004E0963"/>
    <w:rsid w:val="004E0B2F"/>
    <w:rsid w:val="004E0CCF"/>
    <w:rsid w:val="004E1B3F"/>
    <w:rsid w:val="004E21ED"/>
    <w:rsid w:val="004E2A8E"/>
    <w:rsid w:val="004E2AA9"/>
    <w:rsid w:val="004E4559"/>
    <w:rsid w:val="004E458C"/>
    <w:rsid w:val="004E70F1"/>
    <w:rsid w:val="004E714B"/>
    <w:rsid w:val="004F000D"/>
    <w:rsid w:val="004F0EC9"/>
    <w:rsid w:val="004F0F77"/>
    <w:rsid w:val="004F238A"/>
    <w:rsid w:val="004F27DD"/>
    <w:rsid w:val="004F3935"/>
    <w:rsid w:val="004F40AB"/>
    <w:rsid w:val="004F47F7"/>
    <w:rsid w:val="004F5AD4"/>
    <w:rsid w:val="004F5E74"/>
    <w:rsid w:val="004F5ED2"/>
    <w:rsid w:val="004F6CFB"/>
    <w:rsid w:val="004F7CCB"/>
    <w:rsid w:val="0050050B"/>
    <w:rsid w:val="00500DC6"/>
    <w:rsid w:val="0050132A"/>
    <w:rsid w:val="00502F3E"/>
    <w:rsid w:val="00503196"/>
    <w:rsid w:val="00503672"/>
    <w:rsid w:val="00503967"/>
    <w:rsid w:val="00503ADE"/>
    <w:rsid w:val="005044E0"/>
    <w:rsid w:val="0050467F"/>
    <w:rsid w:val="00504706"/>
    <w:rsid w:val="00504E60"/>
    <w:rsid w:val="0050553B"/>
    <w:rsid w:val="00505D13"/>
    <w:rsid w:val="005066F9"/>
    <w:rsid w:val="0050674F"/>
    <w:rsid w:val="00506767"/>
    <w:rsid w:val="00506A2E"/>
    <w:rsid w:val="00510478"/>
    <w:rsid w:val="00510BE0"/>
    <w:rsid w:val="00510C5C"/>
    <w:rsid w:val="00511E62"/>
    <w:rsid w:val="00512C81"/>
    <w:rsid w:val="005132D5"/>
    <w:rsid w:val="00513637"/>
    <w:rsid w:val="00515EAB"/>
    <w:rsid w:val="00517065"/>
    <w:rsid w:val="005178CD"/>
    <w:rsid w:val="005208AC"/>
    <w:rsid w:val="005209B8"/>
    <w:rsid w:val="00520B14"/>
    <w:rsid w:val="00520BF3"/>
    <w:rsid w:val="005219BF"/>
    <w:rsid w:val="00521DC2"/>
    <w:rsid w:val="00521EFA"/>
    <w:rsid w:val="0052230A"/>
    <w:rsid w:val="00522BED"/>
    <w:rsid w:val="00522D01"/>
    <w:rsid w:val="00523237"/>
    <w:rsid w:val="00523A16"/>
    <w:rsid w:val="00523D2D"/>
    <w:rsid w:val="00524432"/>
    <w:rsid w:val="00524822"/>
    <w:rsid w:val="005256BB"/>
    <w:rsid w:val="005256DB"/>
    <w:rsid w:val="00525AC4"/>
    <w:rsid w:val="00525B79"/>
    <w:rsid w:val="005264A5"/>
    <w:rsid w:val="00526A8A"/>
    <w:rsid w:val="00526D01"/>
    <w:rsid w:val="00530860"/>
    <w:rsid w:val="00531932"/>
    <w:rsid w:val="00531C3D"/>
    <w:rsid w:val="0053277C"/>
    <w:rsid w:val="00532EB0"/>
    <w:rsid w:val="005335BC"/>
    <w:rsid w:val="005336CE"/>
    <w:rsid w:val="00533CD5"/>
    <w:rsid w:val="00534621"/>
    <w:rsid w:val="00534871"/>
    <w:rsid w:val="00534F33"/>
    <w:rsid w:val="00535069"/>
    <w:rsid w:val="00535A60"/>
    <w:rsid w:val="005368AB"/>
    <w:rsid w:val="005372AF"/>
    <w:rsid w:val="00537410"/>
    <w:rsid w:val="00540D5C"/>
    <w:rsid w:val="00540EBB"/>
    <w:rsid w:val="00541971"/>
    <w:rsid w:val="00541FF9"/>
    <w:rsid w:val="005439B3"/>
    <w:rsid w:val="00544481"/>
    <w:rsid w:val="005444FD"/>
    <w:rsid w:val="00544C2E"/>
    <w:rsid w:val="0054689F"/>
    <w:rsid w:val="00546DAD"/>
    <w:rsid w:val="00546F64"/>
    <w:rsid w:val="0054701C"/>
    <w:rsid w:val="00547302"/>
    <w:rsid w:val="0055024A"/>
    <w:rsid w:val="0055040D"/>
    <w:rsid w:val="00550D90"/>
    <w:rsid w:val="00551176"/>
    <w:rsid w:val="0055248D"/>
    <w:rsid w:val="00552EC6"/>
    <w:rsid w:val="005538CF"/>
    <w:rsid w:val="005542A1"/>
    <w:rsid w:val="00554850"/>
    <w:rsid w:val="005549AB"/>
    <w:rsid w:val="005557FE"/>
    <w:rsid w:val="00555A0C"/>
    <w:rsid w:val="00555A17"/>
    <w:rsid w:val="00555EC7"/>
    <w:rsid w:val="005570AD"/>
    <w:rsid w:val="00557DCC"/>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80C"/>
    <w:rsid w:val="00565B20"/>
    <w:rsid w:val="00566C79"/>
    <w:rsid w:val="00567966"/>
    <w:rsid w:val="00570169"/>
    <w:rsid w:val="00571DC3"/>
    <w:rsid w:val="00571DD3"/>
    <w:rsid w:val="00571FF4"/>
    <w:rsid w:val="005720B2"/>
    <w:rsid w:val="00572D19"/>
    <w:rsid w:val="00573C76"/>
    <w:rsid w:val="005748A1"/>
    <w:rsid w:val="00575001"/>
    <w:rsid w:val="005757C3"/>
    <w:rsid w:val="0057720B"/>
    <w:rsid w:val="00577800"/>
    <w:rsid w:val="00580185"/>
    <w:rsid w:val="005809B5"/>
    <w:rsid w:val="005812EF"/>
    <w:rsid w:val="00582010"/>
    <w:rsid w:val="0058254B"/>
    <w:rsid w:val="0058351E"/>
    <w:rsid w:val="00584064"/>
    <w:rsid w:val="00584584"/>
    <w:rsid w:val="00584844"/>
    <w:rsid w:val="00584922"/>
    <w:rsid w:val="005854E3"/>
    <w:rsid w:val="005858C5"/>
    <w:rsid w:val="00587914"/>
    <w:rsid w:val="005900F4"/>
    <w:rsid w:val="0059181C"/>
    <w:rsid w:val="005921B3"/>
    <w:rsid w:val="005925EC"/>
    <w:rsid w:val="00594F57"/>
    <w:rsid w:val="00595265"/>
    <w:rsid w:val="0059611F"/>
    <w:rsid w:val="005964F5"/>
    <w:rsid w:val="00597224"/>
    <w:rsid w:val="005A0727"/>
    <w:rsid w:val="005A1B7D"/>
    <w:rsid w:val="005A1FB5"/>
    <w:rsid w:val="005A21F0"/>
    <w:rsid w:val="005A3592"/>
    <w:rsid w:val="005A3A16"/>
    <w:rsid w:val="005A4082"/>
    <w:rsid w:val="005A46DD"/>
    <w:rsid w:val="005A64FE"/>
    <w:rsid w:val="005A6C46"/>
    <w:rsid w:val="005B0AAB"/>
    <w:rsid w:val="005B2FBF"/>
    <w:rsid w:val="005B3F91"/>
    <w:rsid w:val="005B409A"/>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1453"/>
    <w:rsid w:val="005C196C"/>
    <w:rsid w:val="005C1C71"/>
    <w:rsid w:val="005C205B"/>
    <w:rsid w:val="005C2CA2"/>
    <w:rsid w:val="005C3064"/>
    <w:rsid w:val="005C3191"/>
    <w:rsid w:val="005C3464"/>
    <w:rsid w:val="005C3C86"/>
    <w:rsid w:val="005C4651"/>
    <w:rsid w:val="005C725E"/>
    <w:rsid w:val="005C7653"/>
    <w:rsid w:val="005C7BBF"/>
    <w:rsid w:val="005D0057"/>
    <w:rsid w:val="005D019B"/>
    <w:rsid w:val="005D22E9"/>
    <w:rsid w:val="005D3069"/>
    <w:rsid w:val="005D31CB"/>
    <w:rsid w:val="005D370F"/>
    <w:rsid w:val="005D3730"/>
    <w:rsid w:val="005D3BD1"/>
    <w:rsid w:val="005D40A5"/>
    <w:rsid w:val="005D57F3"/>
    <w:rsid w:val="005D5940"/>
    <w:rsid w:val="005D5A15"/>
    <w:rsid w:val="005D5D26"/>
    <w:rsid w:val="005D5EBA"/>
    <w:rsid w:val="005E00F5"/>
    <w:rsid w:val="005E0B86"/>
    <w:rsid w:val="005E0FA3"/>
    <w:rsid w:val="005E27C5"/>
    <w:rsid w:val="005E2F89"/>
    <w:rsid w:val="005E362C"/>
    <w:rsid w:val="005E374E"/>
    <w:rsid w:val="005E41CC"/>
    <w:rsid w:val="005E42AA"/>
    <w:rsid w:val="005E4545"/>
    <w:rsid w:val="005E4A75"/>
    <w:rsid w:val="005E4E13"/>
    <w:rsid w:val="005E5020"/>
    <w:rsid w:val="005E5138"/>
    <w:rsid w:val="005E5616"/>
    <w:rsid w:val="005E5730"/>
    <w:rsid w:val="005E5816"/>
    <w:rsid w:val="005E73A1"/>
    <w:rsid w:val="005E7458"/>
    <w:rsid w:val="005E76FD"/>
    <w:rsid w:val="005E7B68"/>
    <w:rsid w:val="005F013F"/>
    <w:rsid w:val="005F0547"/>
    <w:rsid w:val="005F06EC"/>
    <w:rsid w:val="005F19C6"/>
    <w:rsid w:val="005F3F86"/>
    <w:rsid w:val="005F4197"/>
    <w:rsid w:val="005F4B38"/>
    <w:rsid w:val="005F4C67"/>
    <w:rsid w:val="005F4F12"/>
    <w:rsid w:val="005F5163"/>
    <w:rsid w:val="005F52C6"/>
    <w:rsid w:val="005F541C"/>
    <w:rsid w:val="005F5A77"/>
    <w:rsid w:val="005F61E5"/>
    <w:rsid w:val="005F6596"/>
    <w:rsid w:val="005F6751"/>
    <w:rsid w:val="005F7D76"/>
    <w:rsid w:val="00601639"/>
    <w:rsid w:val="006024F3"/>
    <w:rsid w:val="006028B7"/>
    <w:rsid w:val="00603543"/>
    <w:rsid w:val="00603572"/>
    <w:rsid w:val="00604ACB"/>
    <w:rsid w:val="006055FE"/>
    <w:rsid w:val="006067DB"/>
    <w:rsid w:val="006073F9"/>
    <w:rsid w:val="00607550"/>
    <w:rsid w:val="00607F86"/>
    <w:rsid w:val="00610041"/>
    <w:rsid w:val="0061009A"/>
    <w:rsid w:val="006104F9"/>
    <w:rsid w:val="00610669"/>
    <w:rsid w:val="00610BC0"/>
    <w:rsid w:val="00611335"/>
    <w:rsid w:val="006114ED"/>
    <w:rsid w:val="0061157C"/>
    <w:rsid w:val="0061282A"/>
    <w:rsid w:val="00612C9E"/>
    <w:rsid w:val="006131E5"/>
    <w:rsid w:val="006132AE"/>
    <w:rsid w:val="00615427"/>
    <w:rsid w:val="00615E96"/>
    <w:rsid w:val="006167B8"/>
    <w:rsid w:val="00617C22"/>
    <w:rsid w:val="00620A9C"/>
    <w:rsid w:val="00620D7C"/>
    <w:rsid w:val="00621A6D"/>
    <w:rsid w:val="00621DB3"/>
    <w:rsid w:val="00621F03"/>
    <w:rsid w:val="00621FED"/>
    <w:rsid w:val="0062265E"/>
    <w:rsid w:val="00622F11"/>
    <w:rsid w:val="00623213"/>
    <w:rsid w:val="006246E4"/>
    <w:rsid w:val="00624BC2"/>
    <w:rsid w:val="006251DE"/>
    <w:rsid w:val="006254EE"/>
    <w:rsid w:val="00625B63"/>
    <w:rsid w:val="00626107"/>
    <w:rsid w:val="00626190"/>
    <w:rsid w:val="00627517"/>
    <w:rsid w:val="00630B1A"/>
    <w:rsid w:val="00632281"/>
    <w:rsid w:val="00632364"/>
    <w:rsid w:val="006324C1"/>
    <w:rsid w:val="006327BE"/>
    <w:rsid w:val="00632A4A"/>
    <w:rsid w:val="00634573"/>
    <w:rsid w:val="00635A24"/>
    <w:rsid w:val="00635DDF"/>
    <w:rsid w:val="00636818"/>
    <w:rsid w:val="00636ADD"/>
    <w:rsid w:val="00636C79"/>
    <w:rsid w:val="006373D4"/>
    <w:rsid w:val="00640221"/>
    <w:rsid w:val="006406E5"/>
    <w:rsid w:val="00640B24"/>
    <w:rsid w:val="0064110A"/>
    <w:rsid w:val="006417BC"/>
    <w:rsid w:val="0064185B"/>
    <w:rsid w:val="00641C9C"/>
    <w:rsid w:val="00641EE6"/>
    <w:rsid w:val="00641F0C"/>
    <w:rsid w:val="00642292"/>
    <w:rsid w:val="00642EB3"/>
    <w:rsid w:val="006441AD"/>
    <w:rsid w:val="006442C8"/>
    <w:rsid w:val="0064464F"/>
    <w:rsid w:val="006446B7"/>
    <w:rsid w:val="0064476C"/>
    <w:rsid w:val="00644B90"/>
    <w:rsid w:val="00646E32"/>
    <w:rsid w:val="00646E56"/>
    <w:rsid w:val="00647687"/>
    <w:rsid w:val="00647768"/>
    <w:rsid w:val="0064790A"/>
    <w:rsid w:val="006505E5"/>
    <w:rsid w:val="00651AD8"/>
    <w:rsid w:val="0065230F"/>
    <w:rsid w:val="0065353F"/>
    <w:rsid w:val="00653F72"/>
    <w:rsid w:val="006546B9"/>
    <w:rsid w:val="00654B60"/>
    <w:rsid w:val="00655090"/>
    <w:rsid w:val="0065588C"/>
    <w:rsid w:val="00656F58"/>
    <w:rsid w:val="00657727"/>
    <w:rsid w:val="006604ED"/>
    <w:rsid w:val="00660969"/>
    <w:rsid w:val="00660B48"/>
    <w:rsid w:val="00662650"/>
    <w:rsid w:val="0066366C"/>
    <w:rsid w:val="006648D1"/>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4329"/>
    <w:rsid w:val="00674808"/>
    <w:rsid w:val="00674CE6"/>
    <w:rsid w:val="00674F39"/>
    <w:rsid w:val="00675D53"/>
    <w:rsid w:val="006767DB"/>
    <w:rsid w:val="00676BB6"/>
    <w:rsid w:val="00676FCA"/>
    <w:rsid w:val="00677279"/>
    <w:rsid w:val="00677979"/>
    <w:rsid w:val="00680232"/>
    <w:rsid w:val="00680316"/>
    <w:rsid w:val="006803A0"/>
    <w:rsid w:val="0068141A"/>
    <w:rsid w:val="00681809"/>
    <w:rsid w:val="00681B55"/>
    <w:rsid w:val="00682088"/>
    <w:rsid w:val="0068303F"/>
    <w:rsid w:val="006830FC"/>
    <w:rsid w:val="00683770"/>
    <w:rsid w:val="00683926"/>
    <w:rsid w:val="00683B58"/>
    <w:rsid w:val="006849D2"/>
    <w:rsid w:val="00685F7C"/>
    <w:rsid w:val="00686775"/>
    <w:rsid w:val="00686A7E"/>
    <w:rsid w:val="00686C41"/>
    <w:rsid w:val="00686CAE"/>
    <w:rsid w:val="00690509"/>
    <w:rsid w:val="00690963"/>
    <w:rsid w:val="00690B95"/>
    <w:rsid w:val="00691156"/>
    <w:rsid w:val="00691601"/>
    <w:rsid w:val="00691998"/>
    <w:rsid w:val="00691CD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9A4"/>
    <w:rsid w:val="006A134B"/>
    <w:rsid w:val="006A1957"/>
    <w:rsid w:val="006A21CC"/>
    <w:rsid w:val="006A22CA"/>
    <w:rsid w:val="006A291A"/>
    <w:rsid w:val="006A3856"/>
    <w:rsid w:val="006A438F"/>
    <w:rsid w:val="006A503A"/>
    <w:rsid w:val="006A65A6"/>
    <w:rsid w:val="006A6750"/>
    <w:rsid w:val="006A7601"/>
    <w:rsid w:val="006A7D6E"/>
    <w:rsid w:val="006A7F7B"/>
    <w:rsid w:val="006A7FA7"/>
    <w:rsid w:val="006B0634"/>
    <w:rsid w:val="006B0F9B"/>
    <w:rsid w:val="006B1837"/>
    <w:rsid w:val="006B1C34"/>
    <w:rsid w:val="006B1FF1"/>
    <w:rsid w:val="006B293F"/>
    <w:rsid w:val="006B34DE"/>
    <w:rsid w:val="006B35F3"/>
    <w:rsid w:val="006B40C1"/>
    <w:rsid w:val="006B5F49"/>
    <w:rsid w:val="006B60A2"/>
    <w:rsid w:val="006B6A20"/>
    <w:rsid w:val="006B7ABD"/>
    <w:rsid w:val="006C078D"/>
    <w:rsid w:val="006C0D6F"/>
    <w:rsid w:val="006C0F95"/>
    <w:rsid w:val="006C164E"/>
    <w:rsid w:val="006C1EDD"/>
    <w:rsid w:val="006C2188"/>
    <w:rsid w:val="006C22E4"/>
    <w:rsid w:val="006C25AD"/>
    <w:rsid w:val="006C2F5C"/>
    <w:rsid w:val="006C319D"/>
    <w:rsid w:val="006C3573"/>
    <w:rsid w:val="006C3593"/>
    <w:rsid w:val="006C4010"/>
    <w:rsid w:val="006C477E"/>
    <w:rsid w:val="006C4EC2"/>
    <w:rsid w:val="006C4F36"/>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4C04"/>
    <w:rsid w:val="006D5DCC"/>
    <w:rsid w:val="006D5E38"/>
    <w:rsid w:val="006D614A"/>
    <w:rsid w:val="006D61AF"/>
    <w:rsid w:val="006D65EC"/>
    <w:rsid w:val="006D6B5E"/>
    <w:rsid w:val="006D6CA1"/>
    <w:rsid w:val="006D712E"/>
    <w:rsid w:val="006D7DA7"/>
    <w:rsid w:val="006E08F5"/>
    <w:rsid w:val="006E0EE2"/>
    <w:rsid w:val="006E0FAD"/>
    <w:rsid w:val="006E2715"/>
    <w:rsid w:val="006E27D1"/>
    <w:rsid w:val="006E2953"/>
    <w:rsid w:val="006E2CD8"/>
    <w:rsid w:val="006E2EB2"/>
    <w:rsid w:val="006E43D2"/>
    <w:rsid w:val="006E4462"/>
    <w:rsid w:val="006E465C"/>
    <w:rsid w:val="006E4B08"/>
    <w:rsid w:val="006E4EB7"/>
    <w:rsid w:val="006E558B"/>
    <w:rsid w:val="006E753A"/>
    <w:rsid w:val="006E7A5E"/>
    <w:rsid w:val="006E7D59"/>
    <w:rsid w:val="006E7F4D"/>
    <w:rsid w:val="006E7F81"/>
    <w:rsid w:val="006F12A6"/>
    <w:rsid w:val="006F1443"/>
    <w:rsid w:val="006F17DA"/>
    <w:rsid w:val="006F1C69"/>
    <w:rsid w:val="006F2579"/>
    <w:rsid w:val="006F2855"/>
    <w:rsid w:val="006F2887"/>
    <w:rsid w:val="006F2958"/>
    <w:rsid w:val="006F2DD6"/>
    <w:rsid w:val="006F5439"/>
    <w:rsid w:val="006F69AA"/>
    <w:rsid w:val="006F713E"/>
    <w:rsid w:val="006F750C"/>
    <w:rsid w:val="006F7EB1"/>
    <w:rsid w:val="00700A36"/>
    <w:rsid w:val="00700AD5"/>
    <w:rsid w:val="00701834"/>
    <w:rsid w:val="0070199E"/>
    <w:rsid w:val="007019C6"/>
    <w:rsid w:val="00701BDD"/>
    <w:rsid w:val="00701E8E"/>
    <w:rsid w:val="00702B93"/>
    <w:rsid w:val="00702D4F"/>
    <w:rsid w:val="00703943"/>
    <w:rsid w:val="00703D5F"/>
    <w:rsid w:val="007045FC"/>
    <w:rsid w:val="0070488F"/>
    <w:rsid w:val="00704CDE"/>
    <w:rsid w:val="00704CF9"/>
    <w:rsid w:val="00704ECD"/>
    <w:rsid w:val="00705075"/>
    <w:rsid w:val="00705199"/>
    <w:rsid w:val="00705711"/>
    <w:rsid w:val="0070582E"/>
    <w:rsid w:val="00706AAB"/>
    <w:rsid w:val="007073E2"/>
    <w:rsid w:val="0070772C"/>
    <w:rsid w:val="00707EED"/>
    <w:rsid w:val="00710713"/>
    <w:rsid w:val="00710A96"/>
    <w:rsid w:val="00711B38"/>
    <w:rsid w:val="00711F83"/>
    <w:rsid w:val="007122C3"/>
    <w:rsid w:val="007123C3"/>
    <w:rsid w:val="0071266E"/>
    <w:rsid w:val="00712C38"/>
    <w:rsid w:val="00712E25"/>
    <w:rsid w:val="007130F7"/>
    <w:rsid w:val="00714183"/>
    <w:rsid w:val="00714B95"/>
    <w:rsid w:val="00715CA4"/>
    <w:rsid w:val="00715E75"/>
    <w:rsid w:val="0071643E"/>
    <w:rsid w:val="0071691D"/>
    <w:rsid w:val="0071695A"/>
    <w:rsid w:val="007172B6"/>
    <w:rsid w:val="00717CD9"/>
    <w:rsid w:val="00720C6C"/>
    <w:rsid w:val="00720D93"/>
    <w:rsid w:val="00721EC2"/>
    <w:rsid w:val="007225C9"/>
    <w:rsid w:val="00722634"/>
    <w:rsid w:val="007226F3"/>
    <w:rsid w:val="0072344E"/>
    <w:rsid w:val="007237EE"/>
    <w:rsid w:val="007240C3"/>
    <w:rsid w:val="007243CC"/>
    <w:rsid w:val="0072530B"/>
    <w:rsid w:val="007263B7"/>
    <w:rsid w:val="0072677C"/>
    <w:rsid w:val="00727471"/>
    <w:rsid w:val="00727632"/>
    <w:rsid w:val="007301CB"/>
    <w:rsid w:val="0073087D"/>
    <w:rsid w:val="00731957"/>
    <w:rsid w:val="007323E0"/>
    <w:rsid w:val="00732744"/>
    <w:rsid w:val="0073288D"/>
    <w:rsid w:val="00732974"/>
    <w:rsid w:val="00732BB6"/>
    <w:rsid w:val="00733697"/>
    <w:rsid w:val="00733C12"/>
    <w:rsid w:val="00733C2F"/>
    <w:rsid w:val="00733EF3"/>
    <w:rsid w:val="007356BB"/>
    <w:rsid w:val="00735B0B"/>
    <w:rsid w:val="00735BED"/>
    <w:rsid w:val="0073666D"/>
    <w:rsid w:val="0073669E"/>
    <w:rsid w:val="00736799"/>
    <w:rsid w:val="0073707B"/>
    <w:rsid w:val="00737C67"/>
    <w:rsid w:val="00737D1D"/>
    <w:rsid w:val="00737F76"/>
    <w:rsid w:val="007404A0"/>
    <w:rsid w:val="007406D2"/>
    <w:rsid w:val="00741002"/>
    <w:rsid w:val="00741637"/>
    <w:rsid w:val="007418D4"/>
    <w:rsid w:val="00741A59"/>
    <w:rsid w:val="00741E81"/>
    <w:rsid w:val="00742121"/>
    <w:rsid w:val="00742CE6"/>
    <w:rsid w:val="00743353"/>
    <w:rsid w:val="00743655"/>
    <w:rsid w:val="0074467F"/>
    <w:rsid w:val="00744F24"/>
    <w:rsid w:val="0074501E"/>
    <w:rsid w:val="00745868"/>
    <w:rsid w:val="00746472"/>
    <w:rsid w:val="00746CD0"/>
    <w:rsid w:val="00746F76"/>
    <w:rsid w:val="007471B6"/>
    <w:rsid w:val="00747C5A"/>
    <w:rsid w:val="00747CD0"/>
    <w:rsid w:val="007500B9"/>
    <w:rsid w:val="00750846"/>
    <w:rsid w:val="007516D1"/>
    <w:rsid w:val="00751ADF"/>
    <w:rsid w:val="00751DE7"/>
    <w:rsid w:val="00752CE8"/>
    <w:rsid w:val="00753790"/>
    <w:rsid w:val="0075428A"/>
    <w:rsid w:val="0075561B"/>
    <w:rsid w:val="007575BC"/>
    <w:rsid w:val="00760A78"/>
    <w:rsid w:val="00760EA6"/>
    <w:rsid w:val="007620C8"/>
    <w:rsid w:val="00763C94"/>
    <w:rsid w:val="00764725"/>
    <w:rsid w:val="0076472C"/>
    <w:rsid w:val="00764B6B"/>
    <w:rsid w:val="00764F0C"/>
    <w:rsid w:val="007659EF"/>
    <w:rsid w:val="00766029"/>
    <w:rsid w:val="00766432"/>
    <w:rsid w:val="00766983"/>
    <w:rsid w:val="00767A28"/>
    <w:rsid w:val="00770893"/>
    <w:rsid w:val="007712C3"/>
    <w:rsid w:val="00771D33"/>
    <w:rsid w:val="00771F1C"/>
    <w:rsid w:val="007724C4"/>
    <w:rsid w:val="007725DF"/>
    <w:rsid w:val="00772E14"/>
    <w:rsid w:val="00772E1A"/>
    <w:rsid w:val="007736D0"/>
    <w:rsid w:val="00773A11"/>
    <w:rsid w:val="00773D01"/>
    <w:rsid w:val="0077411F"/>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61AA"/>
    <w:rsid w:val="00787447"/>
    <w:rsid w:val="0078776F"/>
    <w:rsid w:val="007900EA"/>
    <w:rsid w:val="00790BDA"/>
    <w:rsid w:val="00790CD2"/>
    <w:rsid w:val="0079103F"/>
    <w:rsid w:val="007918A1"/>
    <w:rsid w:val="00792169"/>
    <w:rsid w:val="00793091"/>
    <w:rsid w:val="00793F12"/>
    <w:rsid w:val="007943A8"/>
    <w:rsid w:val="007947F4"/>
    <w:rsid w:val="00795892"/>
    <w:rsid w:val="00795DC8"/>
    <w:rsid w:val="00795FC0"/>
    <w:rsid w:val="007963D7"/>
    <w:rsid w:val="00796527"/>
    <w:rsid w:val="007966D8"/>
    <w:rsid w:val="007975AC"/>
    <w:rsid w:val="00797CF6"/>
    <w:rsid w:val="007A0F7C"/>
    <w:rsid w:val="007A10D6"/>
    <w:rsid w:val="007A1167"/>
    <w:rsid w:val="007A12A7"/>
    <w:rsid w:val="007A14FC"/>
    <w:rsid w:val="007A20A0"/>
    <w:rsid w:val="007A2AD1"/>
    <w:rsid w:val="007A2B71"/>
    <w:rsid w:val="007A2BE6"/>
    <w:rsid w:val="007A2C5D"/>
    <w:rsid w:val="007A340C"/>
    <w:rsid w:val="007A36E5"/>
    <w:rsid w:val="007A4A3D"/>
    <w:rsid w:val="007A5A11"/>
    <w:rsid w:val="007A5AB8"/>
    <w:rsid w:val="007A662B"/>
    <w:rsid w:val="007A6F16"/>
    <w:rsid w:val="007A7512"/>
    <w:rsid w:val="007A752A"/>
    <w:rsid w:val="007A7B6E"/>
    <w:rsid w:val="007A7E3D"/>
    <w:rsid w:val="007A7F7F"/>
    <w:rsid w:val="007A7FD6"/>
    <w:rsid w:val="007B028F"/>
    <w:rsid w:val="007B09DF"/>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B2B"/>
    <w:rsid w:val="007B7B34"/>
    <w:rsid w:val="007C0BE9"/>
    <w:rsid w:val="007C1D91"/>
    <w:rsid w:val="007C204B"/>
    <w:rsid w:val="007C398B"/>
    <w:rsid w:val="007C5323"/>
    <w:rsid w:val="007C6187"/>
    <w:rsid w:val="007C63B8"/>
    <w:rsid w:val="007C67EE"/>
    <w:rsid w:val="007C7A8C"/>
    <w:rsid w:val="007D05C7"/>
    <w:rsid w:val="007D07F8"/>
    <w:rsid w:val="007D0EE9"/>
    <w:rsid w:val="007D1707"/>
    <w:rsid w:val="007D1B89"/>
    <w:rsid w:val="007D1BEA"/>
    <w:rsid w:val="007D20D0"/>
    <w:rsid w:val="007D2422"/>
    <w:rsid w:val="007D24AB"/>
    <w:rsid w:val="007D2C5E"/>
    <w:rsid w:val="007D3405"/>
    <w:rsid w:val="007D41C2"/>
    <w:rsid w:val="007D42D5"/>
    <w:rsid w:val="007D467D"/>
    <w:rsid w:val="007D4BFC"/>
    <w:rsid w:val="007D5080"/>
    <w:rsid w:val="007D6193"/>
    <w:rsid w:val="007D6B1C"/>
    <w:rsid w:val="007D78EE"/>
    <w:rsid w:val="007D7A92"/>
    <w:rsid w:val="007E01C5"/>
    <w:rsid w:val="007E0750"/>
    <w:rsid w:val="007E0A49"/>
    <w:rsid w:val="007E0F2C"/>
    <w:rsid w:val="007E0FAF"/>
    <w:rsid w:val="007E112F"/>
    <w:rsid w:val="007E1356"/>
    <w:rsid w:val="007E1C60"/>
    <w:rsid w:val="007E3CC5"/>
    <w:rsid w:val="007E441D"/>
    <w:rsid w:val="007E450C"/>
    <w:rsid w:val="007E4A09"/>
    <w:rsid w:val="007E4C9C"/>
    <w:rsid w:val="007E5486"/>
    <w:rsid w:val="007E5B1C"/>
    <w:rsid w:val="007E5F2E"/>
    <w:rsid w:val="007E5FB5"/>
    <w:rsid w:val="007E6196"/>
    <w:rsid w:val="007E6656"/>
    <w:rsid w:val="007E6E12"/>
    <w:rsid w:val="007E70BF"/>
    <w:rsid w:val="007E717D"/>
    <w:rsid w:val="007E724E"/>
    <w:rsid w:val="007E735A"/>
    <w:rsid w:val="007E7432"/>
    <w:rsid w:val="007F0085"/>
    <w:rsid w:val="007F080F"/>
    <w:rsid w:val="007F0F01"/>
    <w:rsid w:val="007F155F"/>
    <w:rsid w:val="007F15B0"/>
    <w:rsid w:val="007F1A99"/>
    <w:rsid w:val="007F1C4A"/>
    <w:rsid w:val="007F22A7"/>
    <w:rsid w:val="007F22ED"/>
    <w:rsid w:val="007F24DA"/>
    <w:rsid w:val="007F2ED8"/>
    <w:rsid w:val="007F3253"/>
    <w:rsid w:val="007F4457"/>
    <w:rsid w:val="007F4DE5"/>
    <w:rsid w:val="007F4F42"/>
    <w:rsid w:val="007F536B"/>
    <w:rsid w:val="007F59CD"/>
    <w:rsid w:val="007F5E48"/>
    <w:rsid w:val="007F67DD"/>
    <w:rsid w:val="007F67F0"/>
    <w:rsid w:val="007F6BC7"/>
    <w:rsid w:val="007F7F32"/>
    <w:rsid w:val="00800A70"/>
    <w:rsid w:val="00800DF8"/>
    <w:rsid w:val="008017C2"/>
    <w:rsid w:val="00801E32"/>
    <w:rsid w:val="00801FB7"/>
    <w:rsid w:val="008021FD"/>
    <w:rsid w:val="00802554"/>
    <w:rsid w:val="008026FA"/>
    <w:rsid w:val="00802B21"/>
    <w:rsid w:val="00802DB4"/>
    <w:rsid w:val="008036BE"/>
    <w:rsid w:val="00803B18"/>
    <w:rsid w:val="00803B2E"/>
    <w:rsid w:val="00804019"/>
    <w:rsid w:val="00804BA2"/>
    <w:rsid w:val="00804FE6"/>
    <w:rsid w:val="008050F8"/>
    <w:rsid w:val="00805224"/>
    <w:rsid w:val="0080556B"/>
    <w:rsid w:val="00805FD6"/>
    <w:rsid w:val="00806809"/>
    <w:rsid w:val="00806ABD"/>
    <w:rsid w:val="00807D00"/>
    <w:rsid w:val="00807EA4"/>
    <w:rsid w:val="00807EB6"/>
    <w:rsid w:val="008106E3"/>
    <w:rsid w:val="00810F07"/>
    <w:rsid w:val="008115B8"/>
    <w:rsid w:val="008115CF"/>
    <w:rsid w:val="00811E77"/>
    <w:rsid w:val="00812315"/>
    <w:rsid w:val="00813018"/>
    <w:rsid w:val="00814DCA"/>
    <w:rsid w:val="0081539C"/>
    <w:rsid w:val="008154EA"/>
    <w:rsid w:val="00815822"/>
    <w:rsid w:val="00815D1B"/>
    <w:rsid w:val="008164A8"/>
    <w:rsid w:val="00816C1F"/>
    <w:rsid w:val="008174AD"/>
    <w:rsid w:val="0082039A"/>
    <w:rsid w:val="0082040A"/>
    <w:rsid w:val="00820876"/>
    <w:rsid w:val="0082143F"/>
    <w:rsid w:val="0082159A"/>
    <w:rsid w:val="00821718"/>
    <w:rsid w:val="00822064"/>
    <w:rsid w:val="008220AD"/>
    <w:rsid w:val="00822969"/>
    <w:rsid w:val="00823196"/>
    <w:rsid w:val="00823610"/>
    <w:rsid w:val="008237DE"/>
    <w:rsid w:val="00824ABF"/>
    <w:rsid w:val="00824E32"/>
    <w:rsid w:val="00825B9C"/>
    <w:rsid w:val="00827EFF"/>
    <w:rsid w:val="008301C6"/>
    <w:rsid w:val="0083049A"/>
    <w:rsid w:val="008319DA"/>
    <w:rsid w:val="00831D1D"/>
    <w:rsid w:val="008321A6"/>
    <w:rsid w:val="00833393"/>
    <w:rsid w:val="0083380F"/>
    <w:rsid w:val="00835CF4"/>
    <w:rsid w:val="00835FCE"/>
    <w:rsid w:val="008368DE"/>
    <w:rsid w:val="008372F2"/>
    <w:rsid w:val="00840BCC"/>
    <w:rsid w:val="00840E25"/>
    <w:rsid w:val="0084161A"/>
    <w:rsid w:val="00841962"/>
    <w:rsid w:val="00842277"/>
    <w:rsid w:val="008424BB"/>
    <w:rsid w:val="00842B3A"/>
    <w:rsid w:val="0084383C"/>
    <w:rsid w:val="0084456D"/>
    <w:rsid w:val="008445F8"/>
    <w:rsid w:val="00844729"/>
    <w:rsid w:val="008461B4"/>
    <w:rsid w:val="008465CB"/>
    <w:rsid w:val="00846A62"/>
    <w:rsid w:val="00846DEF"/>
    <w:rsid w:val="008475B6"/>
    <w:rsid w:val="0085127E"/>
    <w:rsid w:val="008515CC"/>
    <w:rsid w:val="008517C6"/>
    <w:rsid w:val="00852898"/>
    <w:rsid w:val="00852F4F"/>
    <w:rsid w:val="00853308"/>
    <w:rsid w:val="008534CC"/>
    <w:rsid w:val="00853C98"/>
    <w:rsid w:val="00854103"/>
    <w:rsid w:val="008549B1"/>
    <w:rsid w:val="008550BA"/>
    <w:rsid w:val="0085543E"/>
    <w:rsid w:val="008568B0"/>
    <w:rsid w:val="008578F2"/>
    <w:rsid w:val="00857A16"/>
    <w:rsid w:val="00857DB6"/>
    <w:rsid w:val="008600ED"/>
    <w:rsid w:val="00860366"/>
    <w:rsid w:val="008614BF"/>
    <w:rsid w:val="00861CAB"/>
    <w:rsid w:val="008623CA"/>
    <w:rsid w:val="0086242F"/>
    <w:rsid w:val="008627A8"/>
    <w:rsid w:val="00862B21"/>
    <w:rsid w:val="008636D6"/>
    <w:rsid w:val="00863E02"/>
    <w:rsid w:val="0086489A"/>
    <w:rsid w:val="008650B0"/>
    <w:rsid w:val="00865274"/>
    <w:rsid w:val="00865301"/>
    <w:rsid w:val="00865940"/>
    <w:rsid w:val="00865A0D"/>
    <w:rsid w:val="00865EEC"/>
    <w:rsid w:val="00866416"/>
    <w:rsid w:val="00866A27"/>
    <w:rsid w:val="00866C88"/>
    <w:rsid w:val="008701DC"/>
    <w:rsid w:val="00870234"/>
    <w:rsid w:val="0087081B"/>
    <w:rsid w:val="008714CD"/>
    <w:rsid w:val="00872A6E"/>
    <w:rsid w:val="008739F1"/>
    <w:rsid w:val="00873F33"/>
    <w:rsid w:val="00874197"/>
    <w:rsid w:val="00874308"/>
    <w:rsid w:val="00874882"/>
    <w:rsid w:val="00875375"/>
    <w:rsid w:val="008753E4"/>
    <w:rsid w:val="00875827"/>
    <w:rsid w:val="008764DF"/>
    <w:rsid w:val="00876C7F"/>
    <w:rsid w:val="00876DA9"/>
    <w:rsid w:val="00877B13"/>
    <w:rsid w:val="00880AB5"/>
    <w:rsid w:val="00880AD5"/>
    <w:rsid w:val="00880C01"/>
    <w:rsid w:val="00881095"/>
    <w:rsid w:val="00881457"/>
    <w:rsid w:val="00881918"/>
    <w:rsid w:val="00882802"/>
    <w:rsid w:val="00882B0F"/>
    <w:rsid w:val="008836A7"/>
    <w:rsid w:val="00883749"/>
    <w:rsid w:val="008837DA"/>
    <w:rsid w:val="00884467"/>
    <w:rsid w:val="0088452E"/>
    <w:rsid w:val="00884AB6"/>
    <w:rsid w:val="008872D7"/>
    <w:rsid w:val="00887E8C"/>
    <w:rsid w:val="00887F03"/>
    <w:rsid w:val="0089055E"/>
    <w:rsid w:val="008914A2"/>
    <w:rsid w:val="008923EA"/>
    <w:rsid w:val="00893B95"/>
    <w:rsid w:val="008941B2"/>
    <w:rsid w:val="0089486E"/>
    <w:rsid w:val="00894DEA"/>
    <w:rsid w:val="00896875"/>
    <w:rsid w:val="008A0D44"/>
    <w:rsid w:val="008A1084"/>
    <w:rsid w:val="008A1C2F"/>
    <w:rsid w:val="008A1DA7"/>
    <w:rsid w:val="008A29BC"/>
    <w:rsid w:val="008A3884"/>
    <w:rsid w:val="008A3A4B"/>
    <w:rsid w:val="008A41DE"/>
    <w:rsid w:val="008A48F2"/>
    <w:rsid w:val="008A49EA"/>
    <w:rsid w:val="008A4ABF"/>
    <w:rsid w:val="008A4B88"/>
    <w:rsid w:val="008A6614"/>
    <w:rsid w:val="008A6B96"/>
    <w:rsid w:val="008A739F"/>
    <w:rsid w:val="008A7517"/>
    <w:rsid w:val="008A790C"/>
    <w:rsid w:val="008B0108"/>
    <w:rsid w:val="008B1123"/>
    <w:rsid w:val="008B18E3"/>
    <w:rsid w:val="008B3445"/>
    <w:rsid w:val="008B3670"/>
    <w:rsid w:val="008B392A"/>
    <w:rsid w:val="008B3E82"/>
    <w:rsid w:val="008B4157"/>
    <w:rsid w:val="008B4A24"/>
    <w:rsid w:val="008B51DE"/>
    <w:rsid w:val="008B5AFF"/>
    <w:rsid w:val="008B5E0B"/>
    <w:rsid w:val="008B758A"/>
    <w:rsid w:val="008B7C72"/>
    <w:rsid w:val="008B7CD2"/>
    <w:rsid w:val="008C053C"/>
    <w:rsid w:val="008C0C4F"/>
    <w:rsid w:val="008C0F75"/>
    <w:rsid w:val="008C12F3"/>
    <w:rsid w:val="008C1433"/>
    <w:rsid w:val="008C1D8B"/>
    <w:rsid w:val="008C21EC"/>
    <w:rsid w:val="008C277A"/>
    <w:rsid w:val="008C3326"/>
    <w:rsid w:val="008C561D"/>
    <w:rsid w:val="008C62EC"/>
    <w:rsid w:val="008C6316"/>
    <w:rsid w:val="008C6E33"/>
    <w:rsid w:val="008C7911"/>
    <w:rsid w:val="008C7FAF"/>
    <w:rsid w:val="008D0BE4"/>
    <w:rsid w:val="008D1475"/>
    <w:rsid w:val="008D151E"/>
    <w:rsid w:val="008D19DB"/>
    <w:rsid w:val="008D35E2"/>
    <w:rsid w:val="008D41B5"/>
    <w:rsid w:val="008D52D5"/>
    <w:rsid w:val="008D5BE0"/>
    <w:rsid w:val="008D72C3"/>
    <w:rsid w:val="008D7537"/>
    <w:rsid w:val="008D7689"/>
    <w:rsid w:val="008D7B10"/>
    <w:rsid w:val="008E041A"/>
    <w:rsid w:val="008E04F6"/>
    <w:rsid w:val="008E0FD3"/>
    <w:rsid w:val="008E154C"/>
    <w:rsid w:val="008E1B76"/>
    <w:rsid w:val="008E1DCB"/>
    <w:rsid w:val="008E2248"/>
    <w:rsid w:val="008E2CD5"/>
    <w:rsid w:val="008E2DF1"/>
    <w:rsid w:val="008E3BD0"/>
    <w:rsid w:val="008E53E7"/>
    <w:rsid w:val="008E5B3B"/>
    <w:rsid w:val="008E63EA"/>
    <w:rsid w:val="008E7537"/>
    <w:rsid w:val="008E7558"/>
    <w:rsid w:val="008E7C23"/>
    <w:rsid w:val="008E7F8D"/>
    <w:rsid w:val="008F06E9"/>
    <w:rsid w:val="008F11C4"/>
    <w:rsid w:val="008F2850"/>
    <w:rsid w:val="008F2FC2"/>
    <w:rsid w:val="008F302C"/>
    <w:rsid w:val="008F327F"/>
    <w:rsid w:val="008F3305"/>
    <w:rsid w:val="008F3A1B"/>
    <w:rsid w:val="008F3C46"/>
    <w:rsid w:val="008F3E18"/>
    <w:rsid w:val="008F42FB"/>
    <w:rsid w:val="008F4C45"/>
    <w:rsid w:val="008F5D1E"/>
    <w:rsid w:val="008F7242"/>
    <w:rsid w:val="008F75F1"/>
    <w:rsid w:val="008F7D34"/>
    <w:rsid w:val="00901457"/>
    <w:rsid w:val="00901C77"/>
    <w:rsid w:val="0090233F"/>
    <w:rsid w:val="009026E8"/>
    <w:rsid w:val="009030B0"/>
    <w:rsid w:val="009031E3"/>
    <w:rsid w:val="009035A2"/>
    <w:rsid w:val="0090368C"/>
    <w:rsid w:val="00903C20"/>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6AF"/>
    <w:rsid w:val="00913DCC"/>
    <w:rsid w:val="0091409A"/>
    <w:rsid w:val="00914378"/>
    <w:rsid w:val="00914F27"/>
    <w:rsid w:val="00916333"/>
    <w:rsid w:val="00917B21"/>
    <w:rsid w:val="00917B5F"/>
    <w:rsid w:val="00921E03"/>
    <w:rsid w:val="00922101"/>
    <w:rsid w:val="00922A4B"/>
    <w:rsid w:val="009236F3"/>
    <w:rsid w:val="009241BB"/>
    <w:rsid w:val="009244F7"/>
    <w:rsid w:val="00924C0D"/>
    <w:rsid w:val="00924D94"/>
    <w:rsid w:val="0092501B"/>
    <w:rsid w:val="0092587F"/>
    <w:rsid w:val="00925AA4"/>
    <w:rsid w:val="009272CD"/>
    <w:rsid w:val="00930FA6"/>
    <w:rsid w:val="009313BE"/>
    <w:rsid w:val="009318B0"/>
    <w:rsid w:val="00932FE2"/>
    <w:rsid w:val="00933907"/>
    <w:rsid w:val="00933DCB"/>
    <w:rsid w:val="0093405E"/>
    <w:rsid w:val="009340AB"/>
    <w:rsid w:val="00934498"/>
    <w:rsid w:val="00936192"/>
    <w:rsid w:val="00937516"/>
    <w:rsid w:val="0094066E"/>
    <w:rsid w:val="0094182D"/>
    <w:rsid w:val="00942004"/>
    <w:rsid w:val="0094245B"/>
    <w:rsid w:val="00942913"/>
    <w:rsid w:val="00942A08"/>
    <w:rsid w:val="00942CAD"/>
    <w:rsid w:val="00943363"/>
    <w:rsid w:val="009434CF"/>
    <w:rsid w:val="009434EA"/>
    <w:rsid w:val="009442EB"/>
    <w:rsid w:val="00944491"/>
    <w:rsid w:val="009447D8"/>
    <w:rsid w:val="00945752"/>
    <w:rsid w:val="0094624F"/>
    <w:rsid w:val="009463C5"/>
    <w:rsid w:val="009468E9"/>
    <w:rsid w:val="00946910"/>
    <w:rsid w:val="00946D18"/>
    <w:rsid w:val="00947C38"/>
    <w:rsid w:val="00947E63"/>
    <w:rsid w:val="00951718"/>
    <w:rsid w:val="00952CCB"/>
    <w:rsid w:val="00953BFE"/>
    <w:rsid w:val="009550BB"/>
    <w:rsid w:val="0095545C"/>
    <w:rsid w:val="00955935"/>
    <w:rsid w:val="00955992"/>
    <w:rsid w:val="00956067"/>
    <w:rsid w:val="00956115"/>
    <w:rsid w:val="00956244"/>
    <w:rsid w:val="00956304"/>
    <w:rsid w:val="009566DC"/>
    <w:rsid w:val="00957342"/>
    <w:rsid w:val="009574F2"/>
    <w:rsid w:val="00957921"/>
    <w:rsid w:val="00957A1E"/>
    <w:rsid w:val="00957A76"/>
    <w:rsid w:val="00957C00"/>
    <w:rsid w:val="00960719"/>
    <w:rsid w:val="00960F89"/>
    <w:rsid w:val="009616B6"/>
    <w:rsid w:val="009619CF"/>
    <w:rsid w:val="00962255"/>
    <w:rsid w:val="00962483"/>
    <w:rsid w:val="00962B2A"/>
    <w:rsid w:val="00963502"/>
    <w:rsid w:val="00963C96"/>
    <w:rsid w:val="009648EF"/>
    <w:rsid w:val="009649FF"/>
    <w:rsid w:val="00966B53"/>
    <w:rsid w:val="00970584"/>
    <w:rsid w:val="00970F04"/>
    <w:rsid w:val="0097114B"/>
    <w:rsid w:val="00971224"/>
    <w:rsid w:val="00971F36"/>
    <w:rsid w:val="0097358B"/>
    <w:rsid w:val="00973730"/>
    <w:rsid w:val="00973A12"/>
    <w:rsid w:val="00973AFE"/>
    <w:rsid w:val="00974614"/>
    <w:rsid w:val="00975084"/>
    <w:rsid w:val="00975243"/>
    <w:rsid w:val="009754BC"/>
    <w:rsid w:val="0097588C"/>
    <w:rsid w:val="00975C3B"/>
    <w:rsid w:val="0097620F"/>
    <w:rsid w:val="00976FE8"/>
    <w:rsid w:val="00977192"/>
    <w:rsid w:val="009771A0"/>
    <w:rsid w:val="0097799A"/>
    <w:rsid w:val="00977C25"/>
    <w:rsid w:val="009807C9"/>
    <w:rsid w:val="00980CAF"/>
    <w:rsid w:val="00980DB8"/>
    <w:rsid w:val="0098122A"/>
    <w:rsid w:val="009816C8"/>
    <w:rsid w:val="00981FC9"/>
    <w:rsid w:val="00982327"/>
    <w:rsid w:val="009833CB"/>
    <w:rsid w:val="009836FB"/>
    <w:rsid w:val="009837A3"/>
    <w:rsid w:val="00983F27"/>
    <w:rsid w:val="009843E2"/>
    <w:rsid w:val="0098582B"/>
    <w:rsid w:val="009858DA"/>
    <w:rsid w:val="009861EE"/>
    <w:rsid w:val="0098795A"/>
    <w:rsid w:val="00987F32"/>
    <w:rsid w:val="0099011B"/>
    <w:rsid w:val="009912E2"/>
    <w:rsid w:val="00991536"/>
    <w:rsid w:val="00991648"/>
    <w:rsid w:val="009918AC"/>
    <w:rsid w:val="0099255B"/>
    <w:rsid w:val="00992A8B"/>
    <w:rsid w:val="00993DAC"/>
    <w:rsid w:val="00995D5C"/>
    <w:rsid w:val="00996373"/>
    <w:rsid w:val="00996A23"/>
    <w:rsid w:val="00997046"/>
    <w:rsid w:val="009973B6"/>
    <w:rsid w:val="00997585"/>
    <w:rsid w:val="00997705"/>
    <w:rsid w:val="00997BEC"/>
    <w:rsid w:val="00997C26"/>
    <w:rsid w:val="009A0B7F"/>
    <w:rsid w:val="009A0E19"/>
    <w:rsid w:val="009A1215"/>
    <w:rsid w:val="009A1416"/>
    <w:rsid w:val="009A20E4"/>
    <w:rsid w:val="009A2440"/>
    <w:rsid w:val="009A2448"/>
    <w:rsid w:val="009A28F6"/>
    <w:rsid w:val="009A3D15"/>
    <w:rsid w:val="009A3E6F"/>
    <w:rsid w:val="009A3FD3"/>
    <w:rsid w:val="009A4ECB"/>
    <w:rsid w:val="009A5F3F"/>
    <w:rsid w:val="009A6007"/>
    <w:rsid w:val="009A6E33"/>
    <w:rsid w:val="009A6F9E"/>
    <w:rsid w:val="009A714A"/>
    <w:rsid w:val="009A7318"/>
    <w:rsid w:val="009B0602"/>
    <w:rsid w:val="009B0987"/>
    <w:rsid w:val="009B121B"/>
    <w:rsid w:val="009B14F4"/>
    <w:rsid w:val="009B177F"/>
    <w:rsid w:val="009B17DB"/>
    <w:rsid w:val="009B1A80"/>
    <w:rsid w:val="009B3199"/>
    <w:rsid w:val="009B38BC"/>
    <w:rsid w:val="009B4EC5"/>
    <w:rsid w:val="009B50CC"/>
    <w:rsid w:val="009B51A4"/>
    <w:rsid w:val="009B67B3"/>
    <w:rsid w:val="009B7391"/>
    <w:rsid w:val="009B739B"/>
    <w:rsid w:val="009B7407"/>
    <w:rsid w:val="009B7BAA"/>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F7"/>
    <w:rsid w:val="009C5C5F"/>
    <w:rsid w:val="009C5F2B"/>
    <w:rsid w:val="009C61C6"/>
    <w:rsid w:val="009C6454"/>
    <w:rsid w:val="009C6CF4"/>
    <w:rsid w:val="009C74B8"/>
    <w:rsid w:val="009C78E3"/>
    <w:rsid w:val="009C7FFB"/>
    <w:rsid w:val="009D04DD"/>
    <w:rsid w:val="009D1DCA"/>
    <w:rsid w:val="009D2018"/>
    <w:rsid w:val="009D2D62"/>
    <w:rsid w:val="009D31CD"/>
    <w:rsid w:val="009D4E10"/>
    <w:rsid w:val="009D4F53"/>
    <w:rsid w:val="009D69CD"/>
    <w:rsid w:val="009D7121"/>
    <w:rsid w:val="009E01B8"/>
    <w:rsid w:val="009E0843"/>
    <w:rsid w:val="009E0B3D"/>
    <w:rsid w:val="009E1B79"/>
    <w:rsid w:val="009E1BC8"/>
    <w:rsid w:val="009E1E84"/>
    <w:rsid w:val="009E38AF"/>
    <w:rsid w:val="009E52A8"/>
    <w:rsid w:val="009E673E"/>
    <w:rsid w:val="009E68BE"/>
    <w:rsid w:val="009E6A49"/>
    <w:rsid w:val="009E74CA"/>
    <w:rsid w:val="009E759E"/>
    <w:rsid w:val="009E7AD8"/>
    <w:rsid w:val="009F096D"/>
    <w:rsid w:val="009F0C01"/>
    <w:rsid w:val="009F0D41"/>
    <w:rsid w:val="009F161C"/>
    <w:rsid w:val="009F1BC2"/>
    <w:rsid w:val="009F1D57"/>
    <w:rsid w:val="009F28F7"/>
    <w:rsid w:val="009F29A4"/>
    <w:rsid w:val="009F2B8A"/>
    <w:rsid w:val="009F2BAF"/>
    <w:rsid w:val="009F2F18"/>
    <w:rsid w:val="009F3041"/>
    <w:rsid w:val="009F38E8"/>
    <w:rsid w:val="009F39AD"/>
    <w:rsid w:val="009F4EF8"/>
    <w:rsid w:val="009F4F1B"/>
    <w:rsid w:val="009F5872"/>
    <w:rsid w:val="009F5FF4"/>
    <w:rsid w:val="009F6DB9"/>
    <w:rsid w:val="009F70AA"/>
    <w:rsid w:val="009F740D"/>
    <w:rsid w:val="009F77F0"/>
    <w:rsid w:val="009F7E73"/>
    <w:rsid w:val="00A0020E"/>
    <w:rsid w:val="00A00370"/>
    <w:rsid w:val="00A00F88"/>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25"/>
    <w:rsid w:val="00A04F4B"/>
    <w:rsid w:val="00A06B3C"/>
    <w:rsid w:val="00A10003"/>
    <w:rsid w:val="00A1084E"/>
    <w:rsid w:val="00A10A09"/>
    <w:rsid w:val="00A114CC"/>
    <w:rsid w:val="00A11A74"/>
    <w:rsid w:val="00A11CB9"/>
    <w:rsid w:val="00A12CC9"/>
    <w:rsid w:val="00A134B1"/>
    <w:rsid w:val="00A1449A"/>
    <w:rsid w:val="00A1467F"/>
    <w:rsid w:val="00A14921"/>
    <w:rsid w:val="00A151D1"/>
    <w:rsid w:val="00A15B66"/>
    <w:rsid w:val="00A16462"/>
    <w:rsid w:val="00A165A5"/>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71B3"/>
    <w:rsid w:val="00A272BE"/>
    <w:rsid w:val="00A273BD"/>
    <w:rsid w:val="00A27757"/>
    <w:rsid w:val="00A2797C"/>
    <w:rsid w:val="00A30231"/>
    <w:rsid w:val="00A30545"/>
    <w:rsid w:val="00A309B7"/>
    <w:rsid w:val="00A30B94"/>
    <w:rsid w:val="00A31850"/>
    <w:rsid w:val="00A318DD"/>
    <w:rsid w:val="00A31D0C"/>
    <w:rsid w:val="00A322BE"/>
    <w:rsid w:val="00A33274"/>
    <w:rsid w:val="00A33342"/>
    <w:rsid w:val="00A3344C"/>
    <w:rsid w:val="00A33719"/>
    <w:rsid w:val="00A33DF9"/>
    <w:rsid w:val="00A34383"/>
    <w:rsid w:val="00A3529A"/>
    <w:rsid w:val="00A376F0"/>
    <w:rsid w:val="00A40262"/>
    <w:rsid w:val="00A40A77"/>
    <w:rsid w:val="00A4137E"/>
    <w:rsid w:val="00A41515"/>
    <w:rsid w:val="00A41B5E"/>
    <w:rsid w:val="00A41E03"/>
    <w:rsid w:val="00A42042"/>
    <w:rsid w:val="00A422C2"/>
    <w:rsid w:val="00A42659"/>
    <w:rsid w:val="00A4281A"/>
    <w:rsid w:val="00A42CF9"/>
    <w:rsid w:val="00A43F0E"/>
    <w:rsid w:val="00A44228"/>
    <w:rsid w:val="00A44C41"/>
    <w:rsid w:val="00A44E81"/>
    <w:rsid w:val="00A45529"/>
    <w:rsid w:val="00A461E4"/>
    <w:rsid w:val="00A466AC"/>
    <w:rsid w:val="00A47031"/>
    <w:rsid w:val="00A4765E"/>
    <w:rsid w:val="00A50604"/>
    <w:rsid w:val="00A50E26"/>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707D"/>
    <w:rsid w:val="00A6008D"/>
    <w:rsid w:val="00A60997"/>
    <w:rsid w:val="00A60B09"/>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235"/>
    <w:rsid w:val="00A675DD"/>
    <w:rsid w:val="00A70197"/>
    <w:rsid w:val="00A7045E"/>
    <w:rsid w:val="00A7047F"/>
    <w:rsid w:val="00A70585"/>
    <w:rsid w:val="00A70728"/>
    <w:rsid w:val="00A70C52"/>
    <w:rsid w:val="00A715EF"/>
    <w:rsid w:val="00A71BDB"/>
    <w:rsid w:val="00A720B7"/>
    <w:rsid w:val="00A72719"/>
    <w:rsid w:val="00A72BCC"/>
    <w:rsid w:val="00A731D2"/>
    <w:rsid w:val="00A73289"/>
    <w:rsid w:val="00A73387"/>
    <w:rsid w:val="00A73405"/>
    <w:rsid w:val="00A74310"/>
    <w:rsid w:val="00A745D3"/>
    <w:rsid w:val="00A7462D"/>
    <w:rsid w:val="00A748DB"/>
    <w:rsid w:val="00A7498A"/>
    <w:rsid w:val="00A7549A"/>
    <w:rsid w:val="00A77966"/>
    <w:rsid w:val="00A77A0F"/>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9C4"/>
    <w:rsid w:val="00A8700B"/>
    <w:rsid w:val="00A871C9"/>
    <w:rsid w:val="00A87FE2"/>
    <w:rsid w:val="00A91271"/>
    <w:rsid w:val="00A915C6"/>
    <w:rsid w:val="00A917FF"/>
    <w:rsid w:val="00A9205F"/>
    <w:rsid w:val="00A92AC2"/>
    <w:rsid w:val="00A93498"/>
    <w:rsid w:val="00A93C3D"/>
    <w:rsid w:val="00A9456E"/>
    <w:rsid w:val="00A948B2"/>
    <w:rsid w:val="00A95355"/>
    <w:rsid w:val="00A95F70"/>
    <w:rsid w:val="00A960E9"/>
    <w:rsid w:val="00A97B41"/>
    <w:rsid w:val="00A97DC4"/>
    <w:rsid w:val="00A97F0C"/>
    <w:rsid w:val="00A97F93"/>
    <w:rsid w:val="00AA0147"/>
    <w:rsid w:val="00AA0E4D"/>
    <w:rsid w:val="00AA1FE0"/>
    <w:rsid w:val="00AA219A"/>
    <w:rsid w:val="00AA25C5"/>
    <w:rsid w:val="00AA2B8B"/>
    <w:rsid w:val="00AA2C6E"/>
    <w:rsid w:val="00AA3F84"/>
    <w:rsid w:val="00AA4886"/>
    <w:rsid w:val="00AA509E"/>
    <w:rsid w:val="00AA53A0"/>
    <w:rsid w:val="00AA6484"/>
    <w:rsid w:val="00AA66A3"/>
    <w:rsid w:val="00AA7874"/>
    <w:rsid w:val="00AA7D0F"/>
    <w:rsid w:val="00AB0396"/>
    <w:rsid w:val="00AB0440"/>
    <w:rsid w:val="00AB0479"/>
    <w:rsid w:val="00AB05C9"/>
    <w:rsid w:val="00AB0BC7"/>
    <w:rsid w:val="00AB0FDF"/>
    <w:rsid w:val="00AB1831"/>
    <w:rsid w:val="00AB20AB"/>
    <w:rsid w:val="00AB27B9"/>
    <w:rsid w:val="00AB2A48"/>
    <w:rsid w:val="00AB2AAE"/>
    <w:rsid w:val="00AB2C0F"/>
    <w:rsid w:val="00AB2D52"/>
    <w:rsid w:val="00AB3DD2"/>
    <w:rsid w:val="00AB40A0"/>
    <w:rsid w:val="00AB5528"/>
    <w:rsid w:val="00AB5538"/>
    <w:rsid w:val="00AB5825"/>
    <w:rsid w:val="00AB58D9"/>
    <w:rsid w:val="00AB6656"/>
    <w:rsid w:val="00AB7178"/>
    <w:rsid w:val="00AB74C3"/>
    <w:rsid w:val="00AC0E72"/>
    <w:rsid w:val="00AC1250"/>
    <w:rsid w:val="00AC21C6"/>
    <w:rsid w:val="00AC3779"/>
    <w:rsid w:val="00AC422A"/>
    <w:rsid w:val="00AC4979"/>
    <w:rsid w:val="00AC640E"/>
    <w:rsid w:val="00AC673B"/>
    <w:rsid w:val="00AC79A8"/>
    <w:rsid w:val="00AC7B7D"/>
    <w:rsid w:val="00AD0097"/>
    <w:rsid w:val="00AD020B"/>
    <w:rsid w:val="00AD07EF"/>
    <w:rsid w:val="00AD08E5"/>
    <w:rsid w:val="00AD0D5C"/>
    <w:rsid w:val="00AD0E15"/>
    <w:rsid w:val="00AD129B"/>
    <w:rsid w:val="00AD1A96"/>
    <w:rsid w:val="00AD1E0A"/>
    <w:rsid w:val="00AD1E79"/>
    <w:rsid w:val="00AD2385"/>
    <w:rsid w:val="00AD2A29"/>
    <w:rsid w:val="00AD2FCF"/>
    <w:rsid w:val="00AD36A2"/>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328A"/>
    <w:rsid w:val="00AE42F5"/>
    <w:rsid w:val="00AE4721"/>
    <w:rsid w:val="00AE4C09"/>
    <w:rsid w:val="00AE541B"/>
    <w:rsid w:val="00AE56D5"/>
    <w:rsid w:val="00AE7160"/>
    <w:rsid w:val="00AE747B"/>
    <w:rsid w:val="00AE7B1F"/>
    <w:rsid w:val="00AE7D07"/>
    <w:rsid w:val="00AE7DE5"/>
    <w:rsid w:val="00AF03C7"/>
    <w:rsid w:val="00AF03E3"/>
    <w:rsid w:val="00AF12DE"/>
    <w:rsid w:val="00AF1653"/>
    <w:rsid w:val="00AF2AEF"/>
    <w:rsid w:val="00AF3BF4"/>
    <w:rsid w:val="00AF3F93"/>
    <w:rsid w:val="00AF4BB9"/>
    <w:rsid w:val="00AF50BF"/>
    <w:rsid w:val="00AF5369"/>
    <w:rsid w:val="00AF5612"/>
    <w:rsid w:val="00AF5C96"/>
    <w:rsid w:val="00AF63E5"/>
    <w:rsid w:val="00AF71D2"/>
    <w:rsid w:val="00B00325"/>
    <w:rsid w:val="00B00478"/>
    <w:rsid w:val="00B01410"/>
    <w:rsid w:val="00B01BCB"/>
    <w:rsid w:val="00B026D2"/>
    <w:rsid w:val="00B02B2E"/>
    <w:rsid w:val="00B02C5B"/>
    <w:rsid w:val="00B02D9F"/>
    <w:rsid w:val="00B02DE3"/>
    <w:rsid w:val="00B037AA"/>
    <w:rsid w:val="00B03A9D"/>
    <w:rsid w:val="00B04BB4"/>
    <w:rsid w:val="00B054BA"/>
    <w:rsid w:val="00B06804"/>
    <w:rsid w:val="00B0782C"/>
    <w:rsid w:val="00B07908"/>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D7B"/>
    <w:rsid w:val="00B2329D"/>
    <w:rsid w:val="00B2343E"/>
    <w:rsid w:val="00B23822"/>
    <w:rsid w:val="00B23A32"/>
    <w:rsid w:val="00B23A60"/>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861"/>
    <w:rsid w:val="00B311A8"/>
    <w:rsid w:val="00B33676"/>
    <w:rsid w:val="00B33FC9"/>
    <w:rsid w:val="00B343CF"/>
    <w:rsid w:val="00B34A70"/>
    <w:rsid w:val="00B34D05"/>
    <w:rsid w:val="00B34E1F"/>
    <w:rsid w:val="00B35194"/>
    <w:rsid w:val="00B36C97"/>
    <w:rsid w:val="00B37179"/>
    <w:rsid w:val="00B37AAA"/>
    <w:rsid w:val="00B37AE6"/>
    <w:rsid w:val="00B37C41"/>
    <w:rsid w:val="00B4078C"/>
    <w:rsid w:val="00B40976"/>
    <w:rsid w:val="00B40A92"/>
    <w:rsid w:val="00B40D0C"/>
    <w:rsid w:val="00B4191E"/>
    <w:rsid w:val="00B42C19"/>
    <w:rsid w:val="00B42C6D"/>
    <w:rsid w:val="00B43418"/>
    <w:rsid w:val="00B437D7"/>
    <w:rsid w:val="00B43B49"/>
    <w:rsid w:val="00B4461F"/>
    <w:rsid w:val="00B4481E"/>
    <w:rsid w:val="00B4516E"/>
    <w:rsid w:val="00B455D4"/>
    <w:rsid w:val="00B45B27"/>
    <w:rsid w:val="00B45D33"/>
    <w:rsid w:val="00B46233"/>
    <w:rsid w:val="00B467ED"/>
    <w:rsid w:val="00B46CB0"/>
    <w:rsid w:val="00B50BD3"/>
    <w:rsid w:val="00B5139A"/>
    <w:rsid w:val="00B51669"/>
    <w:rsid w:val="00B52315"/>
    <w:rsid w:val="00B5294D"/>
    <w:rsid w:val="00B52D8A"/>
    <w:rsid w:val="00B52DAB"/>
    <w:rsid w:val="00B539BE"/>
    <w:rsid w:val="00B53BAE"/>
    <w:rsid w:val="00B53CF9"/>
    <w:rsid w:val="00B54336"/>
    <w:rsid w:val="00B5549D"/>
    <w:rsid w:val="00B56011"/>
    <w:rsid w:val="00B565D0"/>
    <w:rsid w:val="00B56C51"/>
    <w:rsid w:val="00B56EF5"/>
    <w:rsid w:val="00B575F4"/>
    <w:rsid w:val="00B57C19"/>
    <w:rsid w:val="00B60423"/>
    <w:rsid w:val="00B6070A"/>
    <w:rsid w:val="00B60A02"/>
    <w:rsid w:val="00B6183E"/>
    <w:rsid w:val="00B61D05"/>
    <w:rsid w:val="00B62043"/>
    <w:rsid w:val="00B63682"/>
    <w:rsid w:val="00B65076"/>
    <w:rsid w:val="00B655EA"/>
    <w:rsid w:val="00B65787"/>
    <w:rsid w:val="00B6581A"/>
    <w:rsid w:val="00B6639E"/>
    <w:rsid w:val="00B670E5"/>
    <w:rsid w:val="00B70807"/>
    <w:rsid w:val="00B70890"/>
    <w:rsid w:val="00B71CAF"/>
    <w:rsid w:val="00B71DB8"/>
    <w:rsid w:val="00B72ED7"/>
    <w:rsid w:val="00B7320C"/>
    <w:rsid w:val="00B73271"/>
    <w:rsid w:val="00B73752"/>
    <w:rsid w:val="00B73779"/>
    <w:rsid w:val="00B749EC"/>
    <w:rsid w:val="00B74DA0"/>
    <w:rsid w:val="00B74DFD"/>
    <w:rsid w:val="00B7733B"/>
    <w:rsid w:val="00B77E7C"/>
    <w:rsid w:val="00B809A7"/>
    <w:rsid w:val="00B80BD8"/>
    <w:rsid w:val="00B80F85"/>
    <w:rsid w:val="00B81892"/>
    <w:rsid w:val="00B81CDF"/>
    <w:rsid w:val="00B824E7"/>
    <w:rsid w:val="00B827FD"/>
    <w:rsid w:val="00B829D3"/>
    <w:rsid w:val="00B82D29"/>
    <w:rsid w:val="00B83703"/>
    <w:rsid w:val="00B83B7C"/>
    <w:rsid w:val="00B83EBF"/>
    <w:rsid w:val="00B84F90"/>
    <w:rsid w:val="00B85A66"/>
    <w:rsid w:val="00B86E92"/>
    <w:rsid w:val="00B90370"/>
    <w:rsid w:val="00B907B5"/>
    <w:rsid w:val="00B90F3B"/>
    <w:rsid w:val="00B91053"/>
    <w:rsid w:val="00B91270"/>
    <w:rsid w:val="00B916F3"/>
    <w:rsid w:val="00B92397"/>
    <w:rsid w:val="00B92EB5"/>
    <w:rsid w:val="00B92EEB"/>
    <w:rsid w:val="00B9309E"/>
    <w:rsid w:val="00B93544"/>
    <w:rsid w:val="00B946DE"/>
    <w:rsid w:val="00B94A45"/>
    <w:rsid w:val="00B955E4"/>
    <w:rsid w:val="00B957C1"/>
    <w:rsid w:val="00B95A58"/>
    <w:rsid w:val="00B95A9E"/>
    <w:rsid w:val="00B9625A"/>
    <w:rsid w:val="00B96795"/>
    <w:rsid w:val="00B96958"/>
    <w:rsid w:val="00B974A4"/>
    <w:rsid w:val="00B9752D"/>
    <w:rsid w:val="00B97762"/>
    <w:rsid w:val="00B979F7"/>
    <w:rsid w:val="00BA01C1"/>
    <w:rsid w:val="00BA0438"/>
    <w:rsid w:val="00BA06FA"/>
    <w:rsid w:val="00BA0A23"/>
    <w:rsid w:val="00BA33A9"/>
    <w:rsid w:val="00BA3460"/>
    <w:rsid w:val="00BA39C2"/>
    <w:rsid w:val="00BA441A"/>
    <w:rsid w:val="00BA49AF"/>
    <w:rsid w:val="00BA4B61"/>
    <w:rsid w:val="00BA5BDA"/>
    <w:rsid w:val="00BA5DCA"/>
    <w:rsid w:val="00BA5EB3"/>
    <w:rsid w:val="00BA5F1E"/>
    <w:rsid w:val="00BA6D44"/>
    <w:rsid w:val="00BA6F31"/>
    <w:rsid w:val="00BA7240"/>
    <w:rsid w:val="00BA7782"/>
    <w:rsid w:val="00BB0472"/>
    <w:rsid w:val="00BB134D"/>
    <w:rsid w:val="00BB2A4D"/>
    <w:rsid w:val="00BB2F5F"/>
    <w:rsid w:val="00BB3A0C"/>
    <w:rsid w:val="00BB3D35"/>
    <w:rsid w:val="00BB3D7A"/>
    <w:rsid w:val="00BB3DB6"/>
    <w:rsid w:val="00BB4B53"/>
    <w:rsid w:val="00BB4D5A"/>
    <w:rsid w:val="00BB5725"/>
    <w:rsid w:val="00BB6658"/>
    <w:rsid w:val="00BB686D"/>
    <w:rsid w:val="00BC0A42"/>
    <w:rsid w:val="00BC0D15"/>
    <w:rsid w:val="00BC193B"/>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2421"/>
    <w:rsid w:val="00BD28F9"/>
    <w:rsid w:val="00BD2EF0"/>
    <w:rsid w:val="00BD3541"/>
    <w:rsid w:val="00BD4652"/>
    <w:rsid w:val="00BD4A8F"/>
    <w:rsid w:val="00BD4C76"/>
    <w:rsid w:val="00BD513D"/>
    <w:rsid w:val="00BD525F"/>
    <w:rsid w:val="00BD5EDD"/>
    <w:rsid w:val="00BD62A2"/>
    <w:rsid w:val="00BD6A96"/>
    <w:rsid w:val="00BD6BF0"/>
    <w:rsid w:val="00BD74B1"/>
    <w:rsid w:val="00BD76C9"/>
    <w:rsid w:val="00BE0172"/>
    <w:rsid w:val="00BE037A"/>
    <w:rsid w:val="00BE0F38"/>
    <w:rsid w:val="00BE112A"/>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40B"/>
    <w:rsid w:val="00BE6364"/>
    <w:rsid w:val="00BE6576"/>
    <w:rsid w:val="00BE6C1C"/>
    <w:rsid w:val="00BE7433"/>
    <w:rsid w:val="00BE7CB6"/>
    <w:rsid w:val="00BF048F"/>
    <w:rsid w:val="00BF062D"/>
    <w:rsid w:val="00BF0ED5"/>
    <w:rsid w:val="00BF159A"/>
    <w:rsid w:val="00BF1A2A"/>
    <w:rsid w:val="00BF1A6B"/>
    <w:rsid w:val="00BF1EEF"/>
    <w:rsid w:val="00BF1FCA"/>
    <w:rsid w:val="00BF44FB"/>
    <w:rsid w:val="00BF5160"/>
    <w:rsid w:val="00BF6BD1"/>
    <w:rsid w:val="00BF72CB"/>
    <w:rsid w:val="00BF7494"/>
    <w:rsid w:val="00BF7FF6"/>
    <w:rsid w:val="00C00270"/>
    <w:rsid w:val="00C00650"/>
    <w:rsid w:val="00C00E23"/>
    <w:rsid w:val="00C012C4"/>
    <w:rsid w:val="00C014C3"/>
    <w:rsid w:val="00C021BB"/>
    <w:rsid w:val="00C026F9"/>
    <w:rsid w:val="00C028E5"/>
    <w:rsid w:val="00C02BBE"/>
    <w:rsid w:val="00C037A3"/>
    <w:rsid w:val="00C03932"/>
    <w:rsid w:val="00C03D86"/>
    <w:rsid w:val="00C04D79"/>
    <w:rsid w:val="00C0626D"/>
    <w:rsid w:val="00C06879"/>
    <w:rsid w:val="00C06B98"/>
    <w:rsid w:val="00C06DE4"/>
    <w:rsid w:val="00C0702A"/>
    <w:rsid w:val="00C076B5"/>
    <w:rsid w:val="00C110FB"/>
    <w:rsid w:val="00C1171A"/>
    <w:rsid w:val="00C1312A"/>
    <w:rsid w:val="00C138FD"/>
    <w:rsid w:val="00C13EFE"/>
    <w:rsid w:val="00C143CD"/>
    <w:rsid w:val="00C14B68"/>
    <w:rsid w:val="00C14FA2"/>
    <w:rsid w:val="00C15480"/>
    <w:rsid w:val="00C166E5"/>
    <w:rsid w:val="00C17064"/>
    <w:rsid w:val="00C17F02"/>
    <w:rsid w:val="00C204EF"/>
    <w:rsid w:val="00C21013"/>
    <w:rsid w:val="00C21459"/>
    <w:rsid w:val="00C234F7"/>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367F"/>
    <w:rsid w:val="00C342CA"/>
    <w:rsid w:val="00C34515"/>
    <w:rsid w:val="00C34A03"/>
    <w:rsid w:val="00C34D9A"/>
    <w:rsid w:val="00C34ECA"/>
    <w:rsid w:val="00C350D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1B39"/>
    <w:rsid w:val="00C42040"/>
    <w:rsid w:val="00C42448"/>
    <w:rsid w:val="00C4313B"/>
    <w:rsid w:val="00C435AB"/>
    <w:rsid w:val="00C44016"/>
    <w:rsid w:val="00C45F01"/>
    <w:rsid w:val="00C4698C"/>
    <w:rsid w:val="00C46B5F"/>
    <w:rsid w:val="00C472FB"/>
    <w:rsid w:val="00C508AD"/>
    <w:rsid w:val="00C508BB"/>
    <w:rsid w:val="00C51434"/>
    <w:rsid w:val="00C516F1"/>
    <w:rsid w:val="00C51AE8"/>
    <w:rsid w:val="00C5207F"/>
    <w:rsid w:val="00C5231F"/>
    <w:rsid w:val="00C52604"/>
    <w:rsid w:val="00C52AC9"/>
    <w:rsid w:val="00C52D21"/>
    <w:rsid w:val="00C5317E"/>
    <w:rsid w:val="00C53FC7"/>
    <w:rsid w:val="00C548A9"/>
    <w:rsid w:val="00C54C93"/>
    <w:rsid w:val="00C5509F"/>
    <w:rsid w:val="00C5543B"/>
    <w:rsid w:val="00C573B1"/>
    <w:rsid w:val="00C600EE"/>
    <w:rsid w:val="00C60567"/>
    <w:rsid w:val="00C611F9"/>
    <w:rsid w:val="00C6294C"/>
    <w:rsid w:val="00C62B06"/>
    <w:rsid w:val="00C62DF8"/>
    <w:rsid w:val="00C62E03"/>
    <w:rsid w:val="00C63365"/>
    <w:rsid w:val="00C64192"/>
    <w:rsid w:val="00C647CB"/>
    <w:rsid w:val="00C651FF"/>
    <w:rsid w:val="00C65B99"/>
    <w:rsid w:val="00C66BB7"/>
    <w:rsid w:val="00C67D33"/>
    <w:rsid w:val="00C72D39"/>
    <w:rsid w:val="00C72EB7"/>
    <w:rsid w:val="00C7333C"/>
    <w:rsid w:val="00C7346F"/>
    <w:rsid w:val="00C7351D"/>
    <w:rsid w:val="00C73A25"/>
    <w:rsid w:val="00C73D60"/>
    <w:rsid w:val="00C73E33"/>
    <w:rsid w:val="00C747F2"/>
    <w:rsid w:val="00C752A5"/>
    <w:rsid w:val="00C752EB"/>
    <w:rsid w:val="00C75878"/>
    <w:rsid w:val="00C75BD1"/>
    <w:rsid w:val="00C76BBB"/>
    <w:rsid w:val="00C7713E"/>
    <w:rsid w:val="00C77212"/>
    <w:rsid w:val="00C776FE"/>
    <w:rsid w:val="00C779D4"/>
    <w:rsid w:val="00C77B57"/>
    <w:rsid w:val="00C77C0E"/>
    <w:rsid w:val="00C80094"/>
    <w:rsid w:val="00C80125"/>
    <w:rsid w:val="00C809C6"/>
    <w:rsid w:val="00C81430"/>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116E"/>
    <w:rsid w:val="00C911A9"/>
    <w:rsid w:val="00C9135D"/>
    <w:rsid w:val="00C914F8"/>
    <w:rsid w:val="00C9209C"/>
    <w:rsid w:val="00C9319C"/>
    <w:rsid w:val="00C935F6"/>
    <w:rsid w:val="00C93ED0"/>
    <w:rsid w:val="00C9420E"/>
    <w:rsid w:val="00C95234"/>
    <w:rsid w:val="00C971B3"/>
    <w:rsid w:val="00C9788C"/>
    <w:rsid w:val="00C97C59"/>
    <w:rsid w:val="00CA047B"/>
    <w:rsid w:val="00CA06A9"/>
    <w:rsid w:val="00CA08E3"/>
    <w:rsid w:val="00CA0C2B"/>
    <w:rsid w:val="00CA12D5"/>
    <w:rsid w:val="00CA2734"/>
    <w:rsid w:val="00CA37CC"/>
    <w:rsid w:val="00CA418B"/>
    <w:rsid w:val="00CA42DE"/>
    <w:rsid w:val="00CA52C0"/>
    <w:rsid w:val="00CA5922"/>
    <w:rsid w:val="00CA5C69"/>
    <w:rsid w:val="00CA7A1E"/>
    <w:rsid w:val="00CB12E9"/>
    <w:rsid w:val="00CB16E0"/>
    <w:rsid w:val="00CB1766"/>
    <w:rsid w:val="00CB1E90"/>
    <w:rsid w:val="00CB1EB4"/>
    <w:rsid w:val="00CB1F6C"/>
    <w:rsid w:val="00CB21D8"/>
    <w:rsid w:val="00CB328F"/>
    <w:rsid w:val="00CB3573"/>
    <w:rsid w:val="00CB364D"/>
    <w:rsid w:val="00CB3A38"/>
    <w:rsid w:val="00CB3B10"/>
    <w:rsid w:val="00CB425D"/>
    <w:rsid w:val="00CB4831"/>
    <w:rsid w:val="00CB58D5"/>
    <w:rsid w:val="00CB5C51"/>
    <w:rsid w:val="00CB5DBA"/>
    <w:rsid w:val="00CB5FBD"/>
    <w:rsid w:val="00CB65DC"/>
    <w:rsid w:val="00CB6DC9"/>
    <w:rsid w:val="00CB7F2D"/>
    <w:rsid w:val="00CC0989"/>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935"/>
    <w:rsid w:val="00CD6C36"/>
    <w:rsid w:val="00CD7204"/>
    <w:rsid w:val="00CD7CC3"/>
    <w:rsid w:val="00CE0A6E"/>
    <w:rsid w:val="00CE113C"/>
    <w:rsid w:val="00CE1E9C"/>
    <w:rsid w:val="00CE1F89"/>
    <w:rsid w:val="00CE2C20"/>
    <w:rsid w:val="00CE2CC9"/>
    <w:rsid w:val="00CE42F4"/>
    <w:rsid w:val="00CE47E8"/>
    <w:rsid w:val="00CE4C9B"/>
    <w:rsid w:val="00CE6109"/>
    <w:rsid w:val="00CE6260"/>
    <w:rsid w:val="00CE633C"/>
    <w:rsid w:val="00CE6C1C"/>
    <w:rsid w:val="00CE7B3F"/>
    <w:rsid w:val="00CE7C81"/>
    <w:rsid w:val="00CF0386"/>
    <w:rsid w:val="00CF0D83"/>
    <w:rsid w:val="00CF0EF2"/>
    <w:rsid w:val="00CF234B"/>
    <w:rsid w:val="00CF33AC"/>
    <w:rsid w:val="00CF3400"/>
    <w:rsid w:val="00CF3BB6"/>
    <w:rsid w:val="00CF40C5"/>
    <w:rsid w:val="00CF47E5"/>
    <w:rsid w:val="00CF5B2D"/>
    <w:rsid w:val="00CF5BB5"/>
    <w:rsid w:val="00CF6964"/>
    <w:rsid w:val="00CF6AA3"/>
    <w:rsid w:val="00CF732A"/>
    <w:rsid w:val="00D00533"/>
    <w:rsid w:val="00D00540"/>
    <w:rsid w:val="00D0083A"/>
    <w:rsid w:val="00D00AA4"/>
    <w:rsid w:val="00D00F77"/>
    <w:rsid w:val="00D01406"/>
    <w:rsid w:val="00D015A7"/>
    <w:rsid w:val="00D015CB"/>
    <w:rsid w:val="00D01ABC"/>
    <w:rsid w:val="00D01D87"/>
    <w:rsid w:val="00D0250E"/>
    <w:rsid w:val="00D026F8"/>
    <w:rsid w:val="00D0423A"/>
    <w:rsid w:val="00D048C7"/>
    <w:rsid w:val="00D04A6F"/>
    <w:rsid w:val="00D04A90"/>
    <w:rsid w:val="00D05C02"/>
    <w:rsid w:val="00D05D7C"/>
    <w:rsid w:val="00D06573"/>
    <w:rsid w:val="00D06723"/>
    <w:rsid w:val="00D06EF2"/>
    <w:rsid w:val="00D07131"/>
    <w:rsid w:val="00D07526"/>
    <w:rsid w:val="00D07737"/>
    <w:rsid w:val="00D07E3B"/>
    <w:rsid w:val="00D10705"/>
    <w:rsid w:val="00D11276"/>
    <w:rsid w:val="00D1233D"/>
    <w:rsid w:val="00D123CF"/>
    <w:rsid w:val="00D127DF"/>
    <w:rsid w:val="00D1308F"/>
    <w:rsid w:val="00D13678"/>
    <w:rsid w:val="00D1460D"/>
    <w:rsid w:val="00D14B1E"/>
    <w:rsid w:val="00D14DCC"/>
    <w:rsid w:val="00D150F9"/>
    <w:rsid w:val="00D152F0"/>
    <w:rsid w:val="00D15494"/>
    <w:rsid w:val="00D1550B"/>
    <w:rsid w:val="00D15858"/>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A76"/>
    <w:rsid w:val="00D2692A"/>
    <w:rsid w:val="00D278F4"/>
    <w:rsid w:val="00D27C28"/>
    <w:rsid w:val="00D27E31"/>
    <w:rsid w:val="00D308D8"/>
    <w:rsid w:val="00D311F7"/>
    <w:rsid w:val="00D318AF"/>
    <w:rsid w:val="00D322C3"/>
    <w:rsid w:val="00D32350"/>
    <w:rsid w:val="00D32B0E"/>
    <w:rsid w:val="00D3344A"/>
    <w:rsid w:val="00D3355A"/>
    <w:rsid w:val="00D33AB7"/>
    <w:rsid w:val="00D340D5"/>
    <w:rsid w:val="00D34CA3"/>
    <w:rsid w:val="00D35AA2"/>
    <w:rsid w:val="00D362BE"/>
    <w:rsid w:val="00D36BE9"/>
    <w:rsid w:val="00D3722A"/>
    <w:rsid w:val="00D37579"/>
    <w:rsid w:val="00D379CE"/>
    <w:rsid w:val="00D4006F"/>
    <w:rsid w:val="00D40B0A"/>
    <w:rsid w:val="00D42ACE"/>
    <w:rsid w:val="00D43569"/>
    <w:rsid w:val="00D43F58"/>
    <w:rsid w:val="00D43FC2"/>
    <w:rsid w:val="00D4457A"/>
    <w:rsid w:val="00D44932"/>
    <w:rsid w:val="00D44AF1"/>
    <w:rsid w:val="00D45734"/>
    <w:rsid w:val="00D45F69"/>
    <w:rsid w:val="00D46172"/>
    <w:rsid w:val="00D46610"/>
    <w:rsid w:val="00D46D5A"/>
    <w:rsid w:val="00D46FE2"/>
    <w:rsid w:val="00D47282"/>
    <w:rsid w:val="00D4779F"/>
    <w:rsid w:val="00D47829"/>
    <w:rsid w:val="00D47E7C"/>
    <w:rsid w:val="00D50195"/>
    <w:rsid w:val="00D50AD1"/>
    <w:rsid w:val="00D542A9"/>
    <w:rsid w:val="00D54305"/>
    <w:rsid w:val="00D54789"/>
    <w:rsid w:val="00D54F6A"/>
    <w:rsid w:val="00D5501F"/>
    <w:rsid w:val="00D55807"/>
    <w:rsid w:val="00D56540"/>
    <w:rsid w:val="00D56BA3"/>
    <w:rsid w:val="00D56D40"/>
    <w:rsid w:val="00D56D87"/>
    <w:rsid w:val="00D57242"/>
    <w:rsid w:val="00D57933"/>
    <w:rsid w:val="00D57F64"/>
    <w:rsid w:val="00D57FAB"/>
    <w:rsid w:val="00D57FD7"/>
    <w:rsid w:val="00D604C4"/>
    <w:rsid w:val="00D605E1"/>
    <w:rsid w:val="00D60C3B"/>
    <w:rsid w:val="00D61A45"/>
    <w:rsid w:val="00D624DF"/>
    <w:rsid w:val="00D62550"/>
    <w:rsid w:val="00D635F6"/>
    <w:rsid w:val="00D63645"/>
    <w:rsid w:val="00D63929"/>
    <w:rsid w:val="00D63C1C"/>
    <w:rsid w:val="00D63E1C"/>
    <w:rsid w:val="00D6421D"/>
    <w:rsid w:val="00D645E0"/>
    <w:rsid w:val="00D648E7"/>
    <w:rsid w:val="00D65124"/>
    <w:rsid w:val="00D65231"/>
    <w:rsid w:val="00D65507"/>
    <w:rsid w:val="00D6599A"/>
    <w:rsid w:val="00D65B73"/>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69D"/>
    <w:rsid w:val="00D72A0C"/>
    <w:rsid w:val="00D72AD0"/>
    <w:rsid w:val="00D72F4D"/>
    <w:rsid w:val="00D73033"/>
    <w:rsid w:val="00D73621"/>
    <w:rsid w:val="00D73785"/>
    <w:rsid w:val="00D74162"/>
    <w:rsid w:val="00D74745"/>
    <w:rsid w:val="00D7507B"/>
    <w:rsid w:val="00D7557F"/>
    <w:rsid w:val="00D75794"/>
    <w:rsid w:val="00D75BC9"/>
    <w:rsid w:val="00D75CC0"/>
    <w:rsid w:val="00D77016"/>
    <w:rsid w:val="00D77153"/>
    <w:rsid w:val="00D77953"/>
    <w:rsid w:val="00D77B31"/>
    <w:rsid w:val="00D77D62"/>
    <w:rsid w:val="00D80B5C"/>
    <w:rsid w:val="00D81BB1"/>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C1A"/>
    <w:rsid w:val="00D928A3"/>
    <w:rsid w:val="00D93A74"/>
    <w:rsid w:val="00D9440E"/>
    <w:rsid w:val="00D95433"/>
    <w:rsid w:val="00D95689"/>
    <w:rsid w:val="00D956B6"/>
    <w:rsid w:val="00D95EF6"/>
    <w:rsid w:val="00D95F43"/>
    <w:rsid w:val="00D961DA"/>
    <w:rsid w:val="00D9772E"/>
    <w:rsid w:val="00DA07B1"/>
    <w:rsid w:val="00DA0DC8"/>
    <w:rsid w:val="00DA1481"/>
    <w:rsid w:val="00DA17B0"/>
    <w:rsid w:val="00DA27C6"/>
    <w:rsid w:val="00DA2C00"/>
    <w:rsid w:val="00DA33EC"/>
    <w:rsid w:val="00DA3B79"/>
    <w:rsid w:val="00DA3F09"/>
    <w:rsid w:val="00DA48B0"/>
    <w:rsid w:val="00DA5BA5"/>
    <w:rsid w:val="00DA5E1F"/>
    <w:rsid w:val="00DA6D82"/>
    <w:rsid w:val="00DA77D0"/>
    <w:rsid w:val="00DA7E29"/>
    <w:rsid w:val="00DB06D2"/>
    <w:rsid w:val="00DB1330"/>
    <w:rsid w:val="00DB169C"/>
    <w:rsid w:val="00DB180E"/>
    <w:rsid w:val="00DB19FA"/>
    <w:rsid w:val="00DB21E9"/>
    <w:rsid w:val="00DB27AF"/>
    <w:rsid w:val="00DB292F"/>
    <w:rsid w:val="00DB3608"/>
    <w:rsid w:val="00DB3966"/>
    <w:rsid w:val="00DB3F0F"/>
    <w:rsid w:val="00DB597B"/>
    <w:rsid w:val="00DB5A3F"/>
    <w:rsid w:val="00DB6496"/>
    <w:rsid w:val="00DB78EC"/>
    <w:rsid w:val="00DB7EAE"/>
    <w:rsid w:val="00DC0112"/>
    <w:rsid w:val="00DC124A"/>
    <w:rsid w:val="00DC1BD9"/>
    <w:rsid w:val="00DC2393"/>
    <w:rsid w:val="00DC23B0"/>
    <w:rsid w:val="00DC246B"/>
    <w:rsid w:val="00DC2AD7"/>
    <w:rsid w:val="00DC2CDA"/>
    <w:rsid w:val="00DC5A4C"/>
    <w:rsid w:val="00DC68D3"/>
    <w:rsid w:val="00DC6EBF"/>
    <w:rsid w:val="00DC76A7"/>
    <w:rsid w:val="00DD0581"/>
    <w:rsid w:val="00DD085F"/>
    <w:rsid w:val="00DD1761"/>
    <w:rsid w:val="00DD19C3"/>
    <w:rsid w:val="00DD273A"/>
    <w:rsid w:val="00DD3483"/>
    <w:rsid w:val="00DD40A3"/>
    <w:rsid w:val="00DD4C6C"/>
    <w:rsid w:val="00DD4D17"/>
    <w:rsid w:val="00DD5846"/>
    <w:rsid w:val="00DD620A"/>
    <w:rsid w:val="00DD6AAC"/>
    <w:rsid w:val="00DD7392"/>
    <w:rsid w:val="00DD7C97"/>
    <w:rsid w:val="00DE02E3"/>
    <w:rsid w:val="00DE0462"/>
    <w:rsid w:val="00DE10A6"/>
    <w:rsid w:val="00DE11D6"/>
    <w:rsid w:val="00DE1AEE"/>
    <w:rsid w:val="00DE2212"/>
    <w:rsid w:val="00DE2457"/>
    <w:rsid w:val="00DE2796"/>
    <w:rsid w:val="00DE2C8D"/>
    <w:rsid w:val="00DE36B6"/>
    <w:rsid w:val="00DE5E69"/>
    <w:rsid w:val="00DE610C"/>
    <w:rsid w:val="00DE6776"/>
    <w:rsid w:val="00DE6C81"/>
    <w:rsid w:val="00DE7B73"/>
    <w:rsid w:val="00DE7CEB"/>
    <w:rsid w:val="00DE7F13"/>
    <w:rsid w:val="00DF06C4"/>
    <w:rsid w:val="00DF090E"/>
    <w:rsid w:val="00DF0C8E"/>
    <w:rsid w:val="00DF0E4D"/>
    <w:rsid w:val="00DF1212"/>
    <w:rsid w:val="00DF12DD"/>
    <w:rsid w:val="00DF16E3"/>
    <w:rsid w:val="00DF1A38"/>
    <w:rsid w:val="00DF1CAA"/>
    <w:rsid w:val="00DF234C"/>
    <w:rsid w:val="00DF2C09"/>
    <w:rsid w:val="00DF3A31"/>
    <w:rsid w:val="00DF3DDB"/>
    <w:rsid w:val="00DF563C"/>
    <w:rsid w:val="00DF5D6C"/>
    <w:rsid w:val="00DF631D"/>
    <w:rsid w:val="00DF6C1A"/>
    <w:rsid w:val="00DF6C2D"/>
    <w:rsid w:val="00DF6D88"/>
    <w:rsid w:val="00DF6E69"/>
    <w:rsid w:val="00DF74F4"/>
    <w:rsid w:val="00E00415"/>
    <w:rsid w:val="00E010DC"/>
    <w:rsid w:val="00E01D4D"/>
    <w:rsid w:val="00E028C1"/>
    <w:rsid w:val="00E02941"/>
    <w:rsid w:val="00E03081"/>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75C"/>
    <w:rsid w:val="00E06B80"/>
    <w:rsid w:val="00E06E46"/>
    <w:rsid w:val="00E0787E"/>
    <w:rsid w:val="00E103D1"/>
    <w:rsid w:val="00E10EA2"/>
    <w:rsid w:val="00E10F8D"/>
    <w:rsid w:val="00E112C9"/>
    <w:rsid w:val="00E114D9"/>
    <w:rsid w:val="00E11DE2"/>
    <w:rsid w:val="00E11EF2"/>
    <w:rsid w:val="00E11FDF"/>
    <w:rsid w:val="00E126BB"/>
    <w:rsid w:val="00E1305B"/>
    <w:rsid w:val="00E134A9"/>
    <w:rsid w:val="00E135F9"/>
    <w:rsid w:val="00E136F7"/>
    <w:rsid w:val="00E13771"/>
    <w:rsid w:val="00E140FF"/>
    <w:rsid w:val="00E14AED"/>
    <w:rsid w:val="00E14D31"/>
    <w:rsid w:val="00E150E0"/>
    <w:rsid w:val="00E155F6"/>
    <w:rsid w:val="00E167A2"/>
    <w:rsid w:val="00E17AB3"/>
    <w:rsid w:val="00E20C2E"/>
    <w:rsid w:val="00E2108D"/>
    <w:rsid w:val="00E214F0"/>
    <w:rsid w:val="00E218A3"/>
    <w:rsid w:val="00E21F9F"/>
    <w:rsid w:val="00E220EA"/>
    <w:rsid w:val="00E2262C"/>
    <w:rsid w:val="00E2294C"/>
    <w:rsid w:val="00E22E16"/>
    <w:rsid w:val="00E23054"/>
    <w:rsid w:val="00E236F6"/>
    <w:rsid w:val="00E237A8"/>
    <w:rsid w:val="00E23C73"/>
    <w:rsid w:val="00E24A15"/>
    <w:rsid w:val="00E24D59"/>
    <w:rsid w:val="00E24EE6"/>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37C4"/>
    <w:rsid w:val="00E337E8"/>
    <w:rsid w:val="00E33990"/>
    <w:rsid w:val="00E339C0"/>
    <w:rsid w:val="00E33A8F"/>
    <w:rsid w:val="00E33EC0"/>
    <w:rsid w:val="00E34274"/>
    <w:rsid w:val="00E3485E"/>
    <w:rsid w:val="00E34AA2"/>
    <w:rsid w:val="00E35486"/>
    <w:rsid w:val="00E3566D"/>
    <w:rsid w:val="00E35A3A"/>
    <w:rsid w:val="00E379DE"/>
    <w:rsid w:val="00E37FAF"/>
    <w:rsid w:val="00E4090B"/>
    <w:rsid w:val="00E4098C"/>
    <w:rsid w:val="00E40ABB"/>
    <w:rsid w:val="00E412A9"/>
    <w:rsid w:val="00E416FB"/>
    <w:rsid w:val="00E419BD"/>
    <w:rsid w:val="00E41F06"/>
    <w:rsid w:val="00E422DC"/>
    <w:rsid w:val="00E42314"/>
    <w:rsid w:val="00E42827"/>
    <w:rsid w:val="00E42B30"/>
    <w:rsid w:val="00E42DA2"/>
    <w:rsid w:val="00E44AAD"/>
    <w:rsid w:val="00E44CAD"/>
    <w:rsid w:val="00E4596A"/>
    <w:rsid w:val="00E45E6B"/>
    <w:rsid w:val="00E465FE"/>
    <w:rsid w:val="00E46B19"/>
    <w:rsid w:val="00E476B7"/>
    <w:rsid w:val="00E47A35"/>
    <w:rsid w:val="00E50167"/>
    <w:rsid w:val="00E5097C"/>
    <w:rsid w:val="00E513DE"/>
    <w:rsid w:val="00E51DDA"/>
    <w:rsid w:val="00E52A08"/>
    <w:rsid w:val="00E5361B"/>
    <w:rsid w:val="00E5366E"/>
    <w:rsid w:val="00E54925"/>
    <w:rsid w:val="00E5566F"/>
    <w:rsid w:val="00E57188"/>
    <w:rsid w:val="00E604A4"/>
    <w:rsid w:val="00E609FD"/>
    <w:rsid w:val="00E61C4E"/>
    <w:rsid w:val="00E62147"/>
    <w:rsid w:val="00E629E6"/>
    <w:rsid w:val="00E631DE"/>
    <w:rsid w:val="00E6371C"/>
    <w:rsid w:val="00E63872"/>
    <w:rsid w:val="00E63C6C"/>
    <w:rsid w:val="00E63F87"/>
    <w:rsid w:val="00E6527E"/>
    <w:rsid w:val="00E65A41"/>
    <w:rsid w:val="00E665CB"/>
    <w:rsid w:val="00E677B3"/>
    <w:rsid w:val="00E70C65"/>
    <w:rsid w:val="00E710C9"/>
    <w:rsid w:val="00E71666"/>
    <w:rsid w:val="00E71676"/>
    <w:rsid w:val="00E724E4"/>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B29"/>
    <w:rsid w:val="00E82B62"/>
    <w:rsid w:val="00E83021"/>
    <w:rsid w:val="00E841D8"/>
    <w:rsid w:val="00E850A8"/>
    <w:rsid w:val="00E858D9"/>
    <w:rsid w:val="00E85DC1"/>
    <w:rsid w:val="00E862F4"/>
    <w:rsid w:val="00E86D33"/>
    <w:rsid w:val="00E9032B"/>
    <w:rsid w:val="00E90393"/>
    <w:rsid w:val="00E90B5E"/>
    <w:rsid w:val="00E91579"/>
    <w:rsid w:val="00E92BD9"/>
    <w:rsid w:val="00E92DE1"/>
    <w:rsid w:val="00E936A7"/>
    <w:rsid w:val="00E93717"/>
    <w:rsid w:val="00E94339"/>
    <w:rsid w:val="00E944FD"/>
    <w:rsid w:val="00E94FA2"/>
    <w:rsid w:val="00E94FDF"/>
    <w:rsid w:val="00E9546A"/>
    <w:rsid w:val="00E95563"/>
    <w:rsid w:val="00E96188"/>
    <w:rsid w:val="00E97CCA"/>
    <w:rsid w:val="00E97E2B"/>
    <w:rsid w:val="00EA015C"/>
    <w:rsid w:val="00EA0177"/>
    <w:rsid w:val="00EA0D5B"/>
    <w:rsid w:val="00EA0D76"/>
    <w:rsid w:val="00EA224E"/>
    <w:rsid w:val="00EA3FF6"/>
    <w:rsid w:val="00EA6DC0"/>
    <w:rsid w:val="00EA7FBE"/>
    <w:rsid w:val="00EB0C5B"/>
    <w:rsid w:val="00EB1185"/>
    <w:rsid w:val="00EB159B"/>
    <w:rsid w:val="00EB2033"/>
    <w:rsid w:val="00EB2481"/>
    <w:rsid w:val="00EB257B"/>
    <w:rsid w:val="00EB2A1F"/>
    <w:rsid w:val="00EB2D88"/>
    <w:rsid w:val="00EB370F"/>
    <w:rsid w:val="00EB404A"/>
    <w:rsid w:val="00EB4BE5"/>
    <w:rsid w:val="00EB5234"/>
    <w:rsid w:val="00EB610E"/>
    <w:rsid w:val="00EB722E"/>
    <w:rsid w:val="00EC091F"/>
    <w:rsid w:val="00EC0E72"/>
    <w:rsid w:val="00EC2028"/>
    <w:rsid w:val="00EC2317"/>
    <w:rsid w:val="00EC25BA"/>
    <w:rsid w:val="00EC2990"/>
    <w:rsid w:val="00EC2A4D"/>
    <w:rsid w:val="00EC3301"/>
    <w:rsid w:val="00EC340D"/>
    <w:rsid w:val="00EC348F"/>
    <w:rsid w:val="00EC391D"/>
    <w:rsid w:val="00EC43F0"/>
    <w:rsid w:val="00EC4BBD"/>
    <w:rsid w:val="00EC4EC1"/>
    <w:rsid w:val="00EC4FBB"/>
    <w:rsid w:val="00EC6001"/>
    <w:rsid w:val="00EC61E5"/>
    <w:rsid w:val="00EC63BD"/>
    <w:rsid w:val="00EC6654"/>
    <w:rsid w:val="00EC67A3"/>
    <w:rsid w:val="00EC7EEF"/>
    <w:rsid w:val="00ED0E87"/>
    <w:rsid w:val="00ED1037"/>
    <w:rsid w:val="00ED11BA"/>
    <w:rsid w:val="00ED1764"/>
    <w:rsid w:val="00ED19B7"/>
    <w:rsid w:val="00ED200B"/>
    <w:rsid w:val="00ED2520"/>
    <w:rsid w:val="00ED2E12"/>
    <w:rsid w:val="00ED3EDC"/>
    <w:rsid w:val="00ED4F03"/>
    <w:rsid w:val="00ED52B2"/>
    <w:rsid w:val="00ED54B4"/>
    <w:rsid w:val="00ED552A"/>
    <w:rsid w:val="00ED56DC"/>
    <w:rsid w:val="00ED7D19"/>
    <w:rsid w:val="00ED7F87"/>
    <w:rsid w:val="00EE0ADC"/>
    <w:rsid w:val="00EE1612"/>
    <w:rsid w:val="00EE173D"/>
    <w:rsid w:val="00EE1BE8"/>
    <w:rsid w:val="00EE231A"/>
    <w:rsid w:val="00EE24D6"/>
    <w:rsid w:val="00EE289F"/>
    <w:rsid w:val="00EE2B04"/>
    <w:rsid w:val="00EE3B13"/>
    <w:rsid w:val="00EE59C6"/>
    <w:rsid w:val="00EE69B9"/>
    <w:rsid w:val="00EE75E5"/>
    <w:rsid w:val="00EE76C8"/>
    <w:rsid w:val="00EE7CFC"/>
    <w:rsid w:val="00EF0066"/>
    <w:rsid w:val="00EF1864"/>
    <w:rsid w:val="00EF26B4"/>
    <w:rsid w:val="00EF2732"/>
    <w:rsid w:val="00EF2A9D"/>
    <w:rsid w:val="00EF2BB9"/>
    <w:rsid w:val="00EF3131"/>
    <w:rsid w:val="00EF33BF"/>
    <w:rsid w:val="00EF41F1"/>
    <w:rsid w:val="00EF491E"/>
    <w:rsid w:val="00EF50F3"/>
    <w:rsid w:val="00EF6828"/>
    <w:rsid w:val="00EF6E6D"/>
    <w:rsid w:val="00EF775A"/>
    <w:rsid w:val="00EF7A66"/>
    <w:rsid w:val="00EF7D2B"/>
    <w:rsid w:val="00F00020"/>
    <w:rsid w:val="00F00DA4"/>
    <w:rsid w:val="00F01A7F"/>
    <w:rsid w:val="00F0227A"/>
    <w:rsid w:val="00F02E36"/>
    <w:rsid w:val="00F03426"/>
    <w:rsid w:val="00F036BA"/>
    <w:rsid w:val="00F03CE3"/>
    <w:rsid w:val="00F04707"/>
    <w:rsid w:val="00F048E6"/>
    <w:rsid w:val="00F04ACD"/>
    <w:rsid w:val="00F04D5B"/>
    <w:rsid w:val="00F0539D"/>
    <w:rsid w:val="00F0571B"/>
    <w:rsid w:val="00F062AE"/>
    <w:rsid w:val="00F0635E"/>
    <w:rsid w:val="00F071CC"/>
    <w:rsid w:val="00F073E3"/>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67A"/>
    <w:rsid w:val="00F16949"/>
    <w:rsid w:val="00F16D8C"/>
    <w:rsid w:val="00F177AD"/>
    <w:rsid w:val="00F17C72"/>
    <w:rsid w:val="00F17D2D"/>
    <w:rsid w:val="00F20894"/>
    <w:rsid w:val="00F20D29"/>
    <w:rsid w:val="00F20D34"/>
    <w:rsid w:val="00F22383"/>
    <w:rsid w:val="00F2241D"/>
    <w:rsid w:val="00F22AEB"/>
    <w:rsid w:val="00F22AFE"/>
    <w:rsid w:val="00F22BCA"/>
    <w:rsid w:val="00F23754"/>
    <w:rsid w:val="00F237A4"/>
    <w:rsid w:val="00F23F6D"/>
    <w:rsid w:val="00F24087"/>
    <w:rsid w:val="00F243AE"/>
    <w:rsid w:val="00F24A5E"/>
    <w:rsid w:val="00F265F6"/>
    <w:rsid w:val="00F26653"/>
    <w:rsid w:val="00F27291"/>
    <w:rsid w:val="00F2770C"/>
    <w:rsid w:val="00F3016B"/>
    <w:rsid w:val="00F31113"/>
    <w:rsid w:val="00F314C0"/>
    <w:rsid w:val="00F314D3"/>
    <w:rsid w:val="00F31E5C"/>
    <w:rsid w:val="00F32084"/>
    <w:rsid w:val="00F32457"/>
    <w:rsid w:val="00F32541"/>
    <w:rsid w:val="00F3254D"/>
    <w:rsid w:val="00F32569"/>
    <w:rsid w:val="00F32D1C"/>
    <w:rsid w:val="00F33889"/>
    <w:rsid w:val="00F347C0"/>
    <w:rsid w:val="00F351D3"/>
    <w:rsid w:val="00F357FA"/>
    <w:rsid w:val="00F35C22"/>
    <w:rsid w:val="00F37121"/>
    <w:rsid w:val="00F377FB"/>
    <w:rsid w:val="00F37FE3"/>
    <w:rsid w:val="00F40306"/>
    <w:rsid w:val="00F40663"/>
    <w:rsid w:val="00F41337"/>
    <w:rsid w:val="00F4140B"/>
    <w:rsid w:val="00F41940"/>
    <w:rsid w:val="00F4276C"/>
    <w:rsid w:val="00F43AF6"/>
    <w:rsid w:val="00F43E13"/>
    <w:rsid w:val="00F44405"/>
    <w:rsid w:val="00F44796"/>
    <w:rsid w:val="00F44C14"/>
    <w:rsid w:val="00F44D8E"/>
    <w:rsid w:val="00F46255"/>
    <w:rsid w:val="00F47398"/>
    <w:rsid w:val="00F478ED"/>
    <w:rsid w:val="00F47DC5"/>
    <w:rsid w:val="00F50665"/>
    <w:rsid w:val="00F50A23"/>
    <w:rsid w:val="00F50E9F"/>
    <w:rsid w:val="00F51174"/>
    <w:rsid w:val="00F518F3"/>
    <w:rsid w:val="00F51B7C"/>
    <w:rsid w:val="00F5367B"/>
    <w:rsid w:val="00F54B12"/>
    <w:rsid w:val="00F55403"/>
    <w:rsid w:val="00F55934"/>
    <w:rsid w:val="00F5608F"/>
    <w:rsid w:val="00F6027C"/>
    <w:rsid w:val="00F60415"/>
    <w:rsid w:val="00F60DAD"/>
    <w:rsid w:val="00F60DE0"/>
    <w:rsid w:val="00F617DE"/>
    <w:rsid w:val="00F61846"/>
    <w:rsid w:val="00F6194D"/>
    <w:rsid w:val="00F61F8E"/>
    <w:rsid w:val="00F62233"/>
    <w:rsid w:val="00F6251B"/>
    <w:rsid w:val="00F626C6"/>
    <w:rsid w:val="00F62CF6"/>
    <w:rsid w:val="00F63405"/>
    <w:rsid w:val="00F63C7A"/>
    <w:rsid w:val="00F64156"/>
    <w:rsid w:val="00F6576A"/>
    <w:rsid w:val="00F65925"/>
    <w:rsid w:val="00F6658A"/>
    <w:rsid w:val="00F66924"/>
    <w:rsid w:val="00F66F13"/>
    <w:rsid w:val="00F66FA6"/>
    <w:rsid w:val="00F67BD1"/>
    <w:rsid w:val="00F70293"/>
    <w:rsid w:val="00F708A1"/>
    <w:rsid w:val="00F70C8A"/>
    <w:rsid w:val="00F71087"/>
    <w:rsid w:val="00F71242"/>
    <w:rsid w:val="00F71C01"/>
    <w:rsid w:val="00F721AC"/>
    <w:rsid w:val="00F7246A"/>
    <w:rsid w:val="00F73A04"/>
    <w:rsid w:val="00F743A3"/>
    <w:rsid w:val="00F74A72"/>
    <w:rsid w:val="00F74DE7"/>
    <w:rsid w:val="00F74E5A"/>
    <w:rsid w:val="00F751B6"/>
    <w:rsid w:val="00F76A83"/>
    <w:rsid w:val="00F77105"/>
    <w:rsid w:val="00F774C8"/>
    <w:rsid w:val="00F77E4E"/>
    <w:rsid w:val="00F802C8"/>
    <w:rsid w:val="00F81D96"/>
    <w:rsid w:val="00F826E7"/>
    <w:rsid w:val="00F82C6C"/>
    <w:rsid w:val="00F83978"/>
    <w:rsid w:val="00F83ED3"/>
    <w:rsid w:val="00F840B9"/>
    <w:rsid w:val="00F857B4"/>
    <w:rsid w:val="00F85C14"/>
    <w:rsid w:val="00F85C44"/>
    <w:rsid w:val="00F85F4D"/>
    <w:rsid w:val="00F86002"/>
    <w:rsid w:val="00F86371"/>
    <w:rsid w:val="00F86648"/>
    <w:rsid w:val="00F86C88"/>
    <w:rsid w:val="00F86D13"/>
    <w:rsid w:val="00F874B8"/>
    <w:rsid w:val="00F87535"/>
    <w:rsid w:val="00F877A0"/>
    <w:rsid w:val="00F916C9"/>
    <w:rsid w:val="00F91915"/>
    <w:rsid w:val="00F91D8C"/>
    <w:rsid w:val="00F91FB8"/>
    <w:rsid w:val="00F921C0"/>
    <w:rsid w:val="00F92282"/>
    <w:rsid w:val="00F9337A"/>
    <w:rsid w:val="00F944B3"/>
    <w:rsid w:val="00F960B1"/>
    <w:rsid w:val="00F962B4"/>
    <w:rsid w:val="00F96CF3"/>
    <w:rsid w:val="00F972B0"/>
    <w:rsid w:val="00FA0210"/>
    <w:rsid w:val="00FA08D8"/>
    <w:rsid w:val="00FA2BF8"/>
    <w:rsid w:val="00FA381D"/>
    <w:rsid w:val="00FA3AA3"/>
    <w:rsid w:val="00FA3D00"/>
    <w:rsid w:val="00FA3F17"/>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163"/>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6D9"/>
    <w:rsid w:val="00FB74E5"/>
    <w:rsid w:val="00FC0D59"/>
    <w:rsid w:val="00FC1673"/>
    <w:rsid w:val="00FC1A3D"/>
    <w:rsid w:val="00FC1A5C"/>
    <w:rsid w:val="00FC1C53"/>
    <w:rsid w:val="00FC1D2A"/>
    <w:rsid w:val="00FC1FD2"/>
    <w:rsid w:val="00FC2B88"/>
    <w:rsid w:val="00FC2D03"/>
    <w:rsid w:val="00FC2D4C"/>
    <w:rsid w:val="00FC39EA"/>
    <w:rsid w:val="00FC469C"/>
    <w:rsid w:val="00FC4943"/>
    <w:rsid w:val="00FC49E0"/>
    <w:rsid w:val="00FC4AA6"/>
    <w:rsid w:val="00FC56B8"/>
    <w:rsid w:val="00FC5CFE"/>
    <w:rsid w:val="00FC60B8"/>
    <w:rsid w:val="00FC6DE6"/>
    <w:rsid w:val="00FC6E48"/>
    <w:rsid w:val="00FD0A9D"/>
    <w:rsid w:val="00FD0A9E"/>
    <w:rsid w:val="00FD0F14"/>
    <w:rsid w:val="00FD15AF"/>
    <w:rsid w:val="00FD15EC"/>
    <w:rsid w:val="00FD2F1A"/>
    <w:rsid w:val="00FD3053"/>
    <w:rsid w:val="00FD3715"/>
    <w:rsid w:val="00FD37D0"/>
    <w:rsid w:val="00FD3DE0"/>
    <w:rsid w:val="00FD3FA0"/>
    <w:rsid w:val="00FD440C"/>
    <w:rsid w:val="00FD4EC8"/>
    <w:rsid w:val="00FD5684"/>
    <w:rsid w:val="00FD5E81"/>
    <w:rsid w:val="00FD5FF0"/>
    <w:rsid w:val="00FD7F01"/>
    <w:rsid w:val="00FD7F02"/>
    <w:rsid w:val="00FE0775"/>
    <w:rsid w:val="00FE0F88"/>
    <w:rsid w:val="00FE2400"/>
    <w:rsid w:val="00FE2C02"/>
    <w:rsid w:val="00FE3782"/>
    <w:rsid w:val="00FE3A6A"/>
    <w:rsid w:val="00FE3AC5"/>
    <w:rsid w:val="00FE44CF"/>
    <w:rsid w:val="00FE46EE"/>
    <w:rsid w:val="00FE4721"/>
    <w:rsid w:val="00FE4D2A"/>
    <w:rsid w:val="00FE4FA0"/>
    <w:rsid w:val="00FE4FD0"/>
    <w:rsid w:val="00FE5051"/>
    <w:rsid w:val="00FE53DC"/>
    <w:rsid w:val="00FE566B"/>
    <w:rsid w:val="00FE5839"/>
    <w:rsid w:val="00FE5B58"/>
    <w:rsid w:val="00FE6E80"/>
    <w:rsid w:val="00FF02E4"/>
    <w:rsid w:val="00FF0471"/>
    <w:rsid w:val="00FF0DA9"/>
    <w:rsid w:val="00FF10F1"/>
    <w:rsid w:val="00FF2F3F"/>
    <w:rsid w:val="00FF524A"/>
    <w:rsid w:val="00FF524F"/>
    <w:rsid w:val="00FF58A5"/>
    <w:rsid w:val="00FF58F3"/>
    <w:rsid w:val="00FF5AA4"/>
    <w:rsid w:val="00FF6251"/>
    <w:rsid w:val="00FF6A5E"/>
    <w:rsid w:val="00FF7151"/>
    <w:rsid w:val="00FF7523"/>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08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paragraph" w:customStyle="1" w:styleId="SCCLsocOtherPartySeparator">
    <w:name w:val="SCC.Lsoc.OtherPartySeparator"/>
    <w:basedOn w:val="Normal"/>
    <w:next w:val="Normal"/>
    <w:link w:val="SCCLsocOtherPartySeparatorChar"/>
    <w:rsid w:val="00D04A6F"/>
    <w:pPr>
      <w:jc w:val="both"/>
    </w:pPr>
    <w:rPr>
      <w:rFonts w:eastAsiaTheme="minorHAnsi" w:cstheme="minorBidi"/>
      <w:b/>
      <w:szCs w:val="22"/>
      <w:lang w:val="en-CA"/>
    </w:rPr>
  </w:style>
  <w:style w:type="character" w:customStyle="1" w:styleId="SCCLsocOtherPartySeparatorChar">
    <w:name w:val="SCC.Lsoc.OtherPartySeparator Char"/>
    <w:basedOn w:val="DefaultParagraphFont"/>
    <w:link w:val="SCCLsocOtherPartySeparator"/>
    <w:rsid w:val="00D04A6F"/>
    <w:rPr>
      <w:rFonts w:ascii="Times New Roman" w:eastAsiaTheme="minorHAnsi" w:hAnsi="Times New Roman" w:cstheme="minorBidi"/>
      <w:b/>
      <w:sz w:val="24"/>
      <w:szCs w:val="22"/>
      <w:lang w:val="en-CA"/>
    </w:rPr>
  </w:style>
  <w:style w:type="character" w:customStyle="1" w:styleId="nowrap">
    <w:name w:val="nowrap"/>
    <w:basedOn w:val="DefaultParagraphFont"/>
    <w:rsid w:val="00D04A6F"/>
  </w:style>
  <w:style w:type="paragraph" w:customStyle="1" w:styleId="felskynumbering121">
    <w:name w:val="felskynumbering121"/>
    <w:basedOn w:val="Normal"/>
    <w:rsid w:val="00D04A6F"/>
    <w:pPr>
      <w:spacing w:after="240"/>
      <w:jc w:val="both"/>
    </w:pPr>
    <w:rPr>
      <w:szCs w:val="24"/>
    </w:rPr>
  </w:style>
  <w:style w:type="paragraph" w:customStyle="1" w:styleId="SCCLsocSubfileSeparator">
    <w:name w:val="SCC.Lsoc.SubfileSeparator"/>
    <w:basedOn w:val="Normal"/>
    <w:next w:val="Normal"/>
    <w:link w:val="SCCLsocSubfileSeparatorChar"/>
    <w:rsid w:val="00D04A6F"/>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D04A6F"/>
    <w:rPr>
      <w:rFonts w:ascii="Times New Roman" w:eastAsiaTheme="minorHAnsi" w:hAnsi="Times New Roman"/>
      <w:b/>
      <w:sz w:val="24"/>
      <w:szCs w:val="24"/>
      <w:lang w:val="en-CA"/>
    </w:rPr>
  </w:style>
  <w:style w:type="paragraph" w:customStyle="1" w:styleId="citation1">
    <w:name w:val="citation1"/>
    <w:basedOn w:val="Normal"/>
    <w:rsid w:val="00D04A6F"/>
    <w:pPr>
      <w:jc w:val="right"/>
    </w:pPr>
    <w:rPr>
      <w:rFonts w:ascii="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cc-csc.ca/case-dossier/info/sum-som-eng.aspx?cas=38460" TargetMode="External"/><Relationship Id="rId18" Type="http://schemas.openxmlformats.org/officeDocument/2006/relationships/hyperlink" Target="https://www.scc-csc.ca/case-dossier/info/sum-som-eng.aspx?cas=38446" TargetMode="External"/><Relationship Id="rId26" Type="http://schemas.openxmlformats.org/officeDocument/2006/relationships/hyperlink" Target="https://www.canlii.org/fr/qc/qccs/doc/2016/2016qccs497/2016qccs497.html?resultIndex=1" TargetMode="External"/><Relationship Id="rId39" Type="http://schemas.openxmlformats.org/officeDocument/2006/relationships/hyperlink" Target="https://www.canlii.org/en/mb/mbca/doc/2018/2018mbca37/2018mbca37.html?autocompleteStr=2018%20MBCA%2037&amp;autocompletePos=1" TargetMode="External"/><Relationship Id="rId21" Type="http://schemas.openxmlformats.org/officeDocument/2006/relationships/hyperlink" Target="https://www.scc-csc.ca/case-dossier/info/sum-som-eng.aspx?cas=38462" TargetMode="External"/><Relationship Id="rId34" Type="http://schemas.openxmlformats.org/officeDocument/2006/relationships/hyperlink" Target="https://www.canlii.org/fr/qc/qccs/doc/2017/2017qccs2528/2017qccs2528.html?autocompleteStr=2017%20QCCS%202528&amp;autocompletePos=1" TargetMode="External"/><Relationship Id="rId42" Type="http://schemas.openxmlformats.org/officeDocument/2006/relationships/hyperlink" Target="https://www.canlii.org/fr/ca/cfpi/doc/2016/2016cf1295/2016cf1295.html" TargetMode="External"/><Relationship Id="rId47" Type="http://schemas.openxmlformats.org/officeDocument/2006/relationships/hyperlink" Target="https://www.canlii.org/en/on/onca/doc/2018/2018onca758/2018onca758.html?autocompleteStr=2018%20ONCA%20758&amp;autocompletePos=1" TargetMode="External"/><Relationship Id="rId50" Type="http://schemas.openxmlformats.org/officeDocument/2006/relationships/hyperlink" Target="http://canlii.ca/t/htrbz" TargetMode="External"/><Relationship Id="rId55" Type="http://schemas.openxmlformats.org/officeDocument/2006/relationships/hyperlink" Target="https://www.canlii.org/en/ca/fct/doc/2017/2017fc409/2017fc409.html" TargetMode="External"/><Relationship Id="rId63" Type="http://schemas.openxmlformats.org/officeDocument/2006/relationships/hyperlink" Target="https://www.canlii.org/en/ab/abca/doc/2018/2018abca340/2018abca340.html?resultIndex=1" TargetMode="External"/><Relationship Id="rId68" Type="http://schemas.openxmlformats.org/officeDocument/2006/relationships/hyperlink" Target="http://canlii.ca/t/hvrs9" TargetMode="External"/><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www.canlii.org/en/on/onsc/doc/2018/2018onsc14/2018onsc14.html?resultIndex=1" TargetMode="External"/><Relationship Id="rId2" Type="http://schemas.openxmlformats.org/officeDocument/2006/relationships/numbering" Target="numbering.xml"/><Relationship Id="rId16" Type="http://schemas.openxmlformats.org/officeDocument/2006/relationships/hyperlink" Target="https://www.scc-csc.ca/case-dossier/info/sum-som-eng.aspx?cas=38346" TargetMode="External"/><Relationship Id="rId29" Type="http://schemas.openxmlformats.org/officeDocument/2006/relationships/hyperlink" Target="https://www.canlii.org/en/qc/qcca/doc/2018/2018qcca1067/2018qcca1067.html?autocompleteStr=2018%20qcca%201067&amp;autocompletePos=1" TargetMode="External"/><Relationship Id="rId11" Type="http://schemas.openxmlformats.org/officeDocument/2006/relationships/hyperlink" Target="https://www.scc-csc.ca/case-dossier/info/sum-som-fra.aspx?cas=38430" TargetMode="External"/><Relationship Id="rId24" Type="http://schemas.openxmlformats.org/officeDocument/2006/relationships/hyperlink" Target="https://www.canlii.org/fr/qc/qccs/doc/2016/2016qccs497/2016qccs497.html?resultIndex=1" TargetMode="External"/><Relationship Id="rId32" Type="http://schemas.openxmlformats.org/officeDocument/2006/relationships/hyperlink" Target="https://www.canlii.org/fr/qc/qccs/doc/2017/2017qccs2528/2017qccs2528.html?autocompleteStr=2017%20QCCS%202528&amp;autocompletePos=1" TargetMode="External"/><Relationship Id="rId37" Type="http://schemas.openxmlformats.org/officeDocument/2006/relationships/hyperlink" Target="https://www.canlii.org/en/mb/mbca/doc/2018/2018mbca38/2018mbca38.html" TargetMode="External"/><Relationship Id="rId40" Type="http://schemas.openxmlformats.org/officeDocument/2006/relationships/hyperlink" Target="https://www.canlii.org/en/ca/fct/doc/2016/2016fc1295/2016fc1295.html" TargetMode="External"/><Relationship Id="rId45" Type="http://schemas.openxmlformats.org/officeDocument/2006/relationships/hyperlink" Target="https://www.canlii.org/en/on/onca/doc/2018/2018onca758/2018onca758.html?autocompleteStr=2018%20ONCA%20758&amp;autocompletePos=1" TargetMode="External"/><Relationship Id="rId53" Type="http://schemas.openxmlformats.org/officeDocument/2006/relationships/hyperlink" Target="http://canlii.ca/t/htrbz" TargetMode="External"/><Relationship Id="rId58" Type="http://schemas.openxmlformats.org/officeDocument/2006/relationships/hyperlink" Target="https://www.canlii.org/fr/ca/cfpi/doc/2017/2017cf409/2017cf409.html" TargetMode="External"/><Relationship Id="rId66" Type="http://schemas.openxmlformats.org/officeDocument/2006/relationships/hyperlink" Target="https://www.canlii.org/en/ab/abca/doc/2018/2018abca340/2018abca340.html?resultIndex=1" TargetMode="External"/><Relationship Id="rId74" Type="http://schemas.openxmlformats.org/officeDocument/2006/relationships/hyperlink" Target="https://www.canlii.org/en/on/onca/doc/2018/2018onca871/2018onca871.html?resultIndex=1" TargetMode="External"/><Relationship Id="rId79"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s://www.canlii.org/en/ab/abca/doc/2018/2018abca340/2018abca340.html?resultIndex=1" TargetMode="External"/><Relationship Id="rId82" Type="http://schemas.openxmlformats.org/officeDocument/2006/relationships/fontTable" Target="fontTable.xml"/><Relationship Id="rId10" Type="http://schemas.openxmlformats.org/officeDocument/2006/relationships/hyperlink" Target="https://www.scc-csc.ca/case-dossier/info/sum-som-fra.aspx?cas=38311" TargetMode="External"/><Relationship Id="rId19" Type="http://schemas.openxmlformats.org/officeDocument/2006/relationships/hyperlink" Target="https://www.scc-csc.ca/case-dossier/info/sum-som-eng.aspx?cas=38447" TargetMode="External"/><Relationship Id="rId31" Type="http://schemas.openxmlformats.org/officeDocument/2006/relationships/hyperlink" Target="https://www.canlii.org/en/qc/qcca/doc/2018/2018qcca1067/2018qcca1067.html?autocompleteStr=2018%20qcca%201067&amp;autocompletePos=1" TargetMode="External"/><Relationship Id="rId44" Type="http://schemas.openxmlformats.org/officeDocument/2006/relationships/hyperlink" Target="https://www.canlii.org/en/on/onsc/doc/2017/2017onsc5695/2017onsc5695.html?autocompleteStr=2017%20ONSC%205695&amp;autocompletePos=1" TargetMode="External"/><Relationship Id="rId52" Type="http://schemas.openxmlformats.org/officeDocument/2006/relationships/hyperlink" Target="http://canlii.ca/t/gwqc4" TargetMode="External"/><Relationship Id="rId60" Type="http://schemas.openxmlformats.org/officeDocument/2006/relationships/hyperlink" Target="https://www.canlii.org/en/ab/laws/stat/rsa-2000-c-p-17/latest/rsa-2000-c-p-17.html" TargetMode="External"/><Relationship Id="rId65" Type="http://schemas.openxmlformats.org/officeDocument/2006/relationships/hyperlink" Target="https://www.canlii.org/en/ab/abca/doc/2018/2018abca340/2018abca340.html?resultIndex=1" TargetMode="External"/><Relationship Id="rId73" Type="http://schemas.openxmlformats.org/officeDocument/2006/relationships/hyperlink" Target="https://www.canlii.org/en/on/onsc/doc/2018/2018onsc14/2018onsc14.html?resultIndex=1" TargetMode="External"/><Relationship Id="rId78" Type="http://schemas.openxmlformats.org/officeDocument/2006/relationships/footer" Target="footer1.xml"/><Relationship Id="rId8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scc-csc.ca/case-dossier/info/sum-som-fra.aspx?cas=38268" TargetMode="External"/><Relationship Id="rId14" Type="http://schemas.openxmlformats.org/officeDocument/2006/relationships/hyperlink" Target="https://www.scc-csc.ca/case-dossier/info/sum-som-fra.aspx?cas=38330" TargetMode="External"/><Relationship Id="rId22" Type="http://schemas.openxmlformats.org/officeDocument/2006/relationships/hyperlink" Target="https://www.canlii.org/en/on/onscdc/doc/2018/2018onsc2179/2018onsc2179.html?autocompleteStr=2018%20onsc%202179&amp;autocompletePos=1" TargetMode="External"/><Relationship Id="rId27" Type="http://schemas.openxmlformats.org/officeDocument/2006/relationships/hyperlink" Target="https://www.canlii.org/fr/qc/qcca/doc/2018/2018qcca875/2018qcca875.html?autocompleteStr=2018%20QCCA%20875&amp;autocompletePos=1" TargetMode="External"/><Relationship Id="rId30" Type="http://schemas.openxmlformats.org/officeDocument/2006/relationships/hyperlink" Target="https://www.canlii.org/fr/qc/qccs/doc/2016/2016qccs3470/2016qccs3470.html?autocompleteStr=2016%20QCCS%203470&amp;autocompletePos=1" TargetMode="External"/><Relationship Id="rId35" Type="http://schemas.openxmlformats.org/officeDocument/2006/relationships/hyperlink" Target="https://www.canlii.org/fr/qc/qcca/doc/2018/2018qcca1828/2018qcca1828.html" TargetMode="External"/><Relationship Id="rId43" Type="http://schemas.openxmlformats.org/officeDocument/2006/relationships/hyperlink" Target="https://www.canlii.org/fr/ca/caf/doc/2018/2018caf145/2018caf145.html?autocompleteStr=2018%20CAF%20145&amp;autocompletePos=1" TargetMode="External"/><Relationship Id="rId48" Type="http://schemas.openxmlformats.org/officeDocument/2006/relationships/hyperlink" Target="http://canlii.ca/t/gt5bl" TargetMode="External"/><Relationship Id="rId56" Type="http://schemas.openxmlformats.org/officeDocument/2006/relationships/hyperlink" Target="https://www.canlii.org/en/ca/fca/doc/2018/2018fca181/2018fca181.html" TargetMode="External"/><Relationship Id="rId64" Type="http://schemas.openxmlformats.org/officeDocument/2006/relationships/hyperlink" Target="https://www.canlii.org/en/ab/laws/stat/rsa-2000-c-p-17/latest/rsa-2000-c-p-17.html" TargetMode="External"/><Relationship Id="rId69" Type="http://schemas.openxmlformats.org/officeDocument/2006/relationships/hyperlink" Target="http://canlii.ca/t/gv9tk" TargetMode="External"/><Relationship Id="rId77" Type="http://schemas.openxmlformats.org/officeDocument/2006/relationships/header" Target="header2.xml"/><Relationship Id="rId8" Type="http://schemas.openxmlformats.org/officeDocument/2006/relationships/hyperlink" Target="https://www.scc-csc.ca/case-dossier/info/sum-som-eng.aspx?cas=38449" TargetMode="External"/><Relationship Id="rId51" Type="http://schemas.openxmlformats.org/officeDocument/2006/relationships/hyperlink" Target="http://canlii.ca/t/gt5bl" TargetMode="External"/><Relationship Id="rId72" Type="http://schemas.openxmlformats.org/officeDocument/2006/relationships/hyperlink" Target="https://www.canlii.org/en/on/onca/doc/2018/2018onca871/2018onca871.html?resultIndex=1" TargetMode="External"/><Relationship Id="rId80"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s://www.scc-csc.ca/case-dossier/info/sum-som-eng.aspx?cas=38477" TargetMode="External"/><Relationship Id="rId17" Type="http://schemas.openxmlformats.org/officeDocument/2006/relationships/hyperlink" Target="https://www.scc-csc.ca/case-dossier/info/sum-som-eng.aspx?cas=38439" TargetMode="External"/><Relationship Id="rId25" Type="http://schemas.openxmlformats.org/officeDocument/2006/relationships/hyperlink" Target="https://www.canlii.org/fr/qc/qcca/doc/2018/2018qcca875/2018qcca875.html?autocompleteStr=2018%20QCCA%20875&amp;autocompletePos=1" TargetMode="External"/><Relationship Id="rId33" Type="http://schemas.openxmlformats.org/officeDocument/2006/relationships/hyperlink" Target="https://www.canlii.org/fr/qc/qcca/doc/2018/2018qcca1828/2018qcca1828.html" TargetMode="External"/><Relationship Id="rId38" Type="http://schemas.openxmlformats.org/officeDocument/2006/relationships/hyperlink" Target="https://www.canlii.org/en/mb/mbca/doc/2018/2018mbca37/2018mbca37.html?autocompleteStr=2018%20MBCA%2037&amp;autocompletePos=1" TargetMode="External"/><Relationship Id="rId46" Type="http://schemas.openxmlformats.org/officeDocument/2006/relationships/hyperlink" Target="https://www.canlii.org/en/on/onsc/doc/2017/2017onsc5695/2017onsc5695.html?autocompleteStr=2017%20ONSC%205695&amp;autocompletePos=1" TargetMode="External"/><Relationship Id="rId59" Type="http://schemas.openxmlformats.org/officeDocument/2006/relationships/hyperlink" Target="https://www.canlii.org/fr/ca/caf/doc/2018/2018caf181/2018caf181.html" TargetMode="External"/><Relationship Id="rId67" Type="http://schemas.openxmlformats.org/officeDocument/2006/relationships/hyperlink" Target="http://canlii.ca/t/gv9tk" TargetMode="External"/><Relationship Id="rId20" Type="http://schemas.openxmlformats.org/officeDocument/2006/relationships/hyperlink" Target="https://www.scc-csc.ca/case-dossier/info/sum-som-fra.aspx?cas=38456" TargetMode="External"/><Relationship Id="rId41" Type="http://schemas.openxmlformats.org/officeDocument/2006/relationships/hyperlink" Target="https://www.canlii.org/fr/ca/caf/doc/2018/2018caf145/2018caf145.html?autocompleteStr=2018%20CAF%20145&amp;autocompletePos=1" TargetMode="External"/><Relationship Id="rId54" Type="http://schemas.openxmlformats.org/officeDocument/2006/relationships/hyperlink" Target="https://www.canlii.org/en/ca/irb/doc/2016/2016canlii73712/2016canlii73712.html" TargetMode="External"/><Relationship Id="rId62" Type="http://schemas.openxmlformats.org/officeDocument/2006/relationships/hyperlink" Target="https://www.canlii.org/en/ab/laws/stat/rsa-2000-c-p-17/latest/rsa-2000-c-p-17.html" TargetMode="External"/><Relationship Id="rId70" Type="http://schemas.openxmlformats.org/officeDocument/2006/relationships/hyperlink" Target="http://canlii.ca/t/hvrs9" TargetMode="External"/><Relationship Id="rId75" Type="http://schemas.openxmlformats.org/officeDocument/2006/relationships/hyperlink" Target="mailto:comments-commentaires@scc-csc.ca"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cc-csc.ca/case-dossier/info/sum-som-eng.aspx?cas=38404" TargetMode="External"/><Relationship Id="rId23" Type="http://schemas.openxmlformats.org/officeDocument/2006/relationships/hyperlink" Target="https://www.canlii.org/en/on/onscdc/doc/2018/2018onsc2179/2018onsc2179.html?autocompleteStr=2018%20onsc%202179&amp;autocompletePos=1" TargetMode="External"/><Relationship Id="rId28" Type="http://schemas.openxmlformats.org/officeDocument/2006/relationships/hyperlink" Target="https://www.canlii.org/fr/qc/qccs/doc/2016/2016qccs3470/2016qccs3470.html?autocompleteStr=2016%20QCCS%203470&amp;autocompletePos=1" TargetMode="External"/><Relationship Id="rId36" Type="http://schemas.openxmlformats.org/officeDocument/2006/relationships/hyperlink" Target="https://www.canlii.org/en/mb/mbca/doc/2018/2018mbca38/2018mbca38.html" TargetMode="External"/><Relationship Id="rId49" Type="http://schemas.openxmlformats.org/officeDocument/2006/relationships/hyperlink" Target="http://canlii.ca/t/gwqc4" TargetMode="External"/><Relationship Id="rId57" Type="http://schemas.openxmlformats.org/officeDocument/2006/relationships/hyperlink" Target="https://www.canlii.org/fr/ca/cisr/doc/2016/2016canlii73712/2016canlii7371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7A1FD-6885-4231-93EB-6C3B620C7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10974</Words>
  <Characters>62554</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73382</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2019-04-15T14:13:00Z</dcterms:created>
  <dcterms:modified xsi:type="dcterms:W3CDTF">2019-04-17T15:51:00Z</dcterms:modified>
</cp:coreProperties>
</file>