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2152E" w:rsidRDefault="003F43E6" w:rsidP="003F43E6">
      <w:pPr>
        <w:pStyle w:val="Header"/>
        <w:jc w:val="center"/>
        <w:rPr>
          <w:b/>
          <w:sz w:val="32"/>
        </w:rPr>
      </w:pPr>
      <w:r w:rsidRPr="00B2152E">
        <w:rPr>
          <w:b/>
          <w:sz w:val="32"/>
        </w:rPr>
        <w:t>Supreme Court of Canada / Cour suprême du Canada</w:t>
      </w:r>
    </w:p>
    <w:p w:rsidR="003F43E6" w:rsidRPr="00B2152E" w:rsidRDefault="003F43E6" w:rsidP="006F2579">
      <w:pPr>
        <w:widowControl w:val="0"/>
        <w:rPr>
          <w:i/>
        </w:rPr>
      </w:pPr>
    </w:p>
    <w:p w:rsidR="003F43E6" w:rsidRPr="00B2152E" w:rsidRDefault="003F43E6" w:rsidP="006F2579">
      <w:pPr>
        <w:widowControl w:val="0"/>
        <w:rPr>
          <w:i/>
        </w:rPr>
      </w:pPr>
    </w:p>
    <w:p w:rsidR="006F2579" w:rsidRPr="00B2152E" w:rsidRDefault="006F2579" w:rsidP="006F2579">
      <w:pPr>
        <w:widowControl w:val="0"/>
        <w:rPr>
          <w:i/>
        </w:rPr>
      </w:pPr>
      <w:r w:rsidRPr="00B2152E">
        <w:rPr>
          <w:i/>
        </w:rPr>
        <w:t>(le français suit)</w:t>
      </w:r>
    </w:p>
    <w:p w:rsidR="006F2579" w:rsidRPr="00B2152E" w:rsidRDefault="006F2579" w:rsidP="006F2579">
      <w:pPr>
        <w:widowControl w:val="0"/>
      </w:pPr>
    </w:p>
    <w:p w:rsidR="006F2579" w:rsidRPr="00B2152E" w:rsidRDefault="00D01D61" w:rsidP="006F2579">
      <w:pPr>
        <w:widowControl w:val="0"/>
        <w:jc w:val="center"/>
        <w:rPr>
          <w:b/>
        </w:rPr>
      </w:pPr>
      <w:r w:rsidRPr="00B2152E">
        <w:fldChar w:fldCharType="begin"/>
      </w:r>
      <w:r w:rsidR="006F2579" w:rsidRPr="00B2152E">
        <w:instrText xml:space="preserve"> SEQ CHAPTER \h \r 1</w:instrText>
      </w:r>
      <w:r w:rsidRPr="00B2152E">
        <w:fldChar w:fldCharType="end"/>
      </w:r>
      <w:r w:rsidR="002767DF" w:rsidRPr="00B2152E">
        <w:rPr>
          <w:b/>
        </w:rPr>
        <w:t xml:space="preserve">JUDGMENTS </w:t>
      </w:r>
      <w:r w:rsidR="004C4C26" w:rsidRPr="00B2152E">
        <w:rPr>
          <w:b/>
        </w:rPr>
        <w:t>IN APPEAL AND LEAVE APPLIC</w:t>
      </w:r>
      <w:r w:rsidR="002E6185" w:rsidRPr="00B2152E">
        <w:rPr>
          <w:b/>
        </w:rPr>
        <w:t>A</w:t>
      </w:r>
      <w:r w:rsidR="004C4C26" w:rsidRPr="00B2152E">
        <w:rPr>
          <w:b/>
        </w:rPr>
        <w:t>TION</w:t>
      </w:r>
      <w:r w:rsidR="00A35C4D" w:rsidRPr="00B2152E">
        <w:rPr>
          <w:b/>
        </w:rPr>
        <w:t>S</w:t>
      </w:r>
    </w:p>
    <w:p w:rsidR="006F2579" w:rsidRPr="00B2152E" w:rsidRDefault="006F2579" w:rsidP="006F2579">
      <w:pPr>
        <w:widowControl w:val="0"/>
        <w:rPr>
          <w:b/>
        </w:rPr>
      </w:pPr>
    </w:p>
    <w:p w:rsidR="006F2579" w:rsidRPr="00B2152E" w:rsidRDefault="00622AAE" w:rsidP="006F2579">
      <w:pPr>
        <w:widowControl w:val="0"/>
        <w:rPr>
          <w:b/>
        </w:rPr>
      </w:pPr>
      <w:r w:rsidRPr="00B2152E">
        <w:rPr>
          <w:b/>
        </w:rPr>
        <w:t>April</w:t>
      </w:r>
      <w:r w:rsidR="00372704" w:rsidRPr="00B2152E">
        <w:rPr>
          <w:b/>
        </w:rPr>
        <w:t xml:space="preserve"> </w:t>
      </w:r>
      <w:r w:rsidR="005D3A8B" w:rsidRPr="00B2152E">
        <w:rPr>
          <w:b/>
        </w:rPr>
        <w:t>18</w:t>
      </w:r>
      <w:r w:rsidR="002E4682" w:rsidRPr="00B2152E">
        <w:rPr>
          <w:b/>
        </w:rPr>
        <w:t>, 201</w:t>
      </w:r>
      <w:r w:rsidR="00B96728" w:rsidRPr="00B2152E">
        <w:rPr>
          <w:b/>
        </w:rPr>
        <w:t>9</w:t>
      </w:r>
      <w:bookmarkStart w:id="0" w:name="_GoBack"/>
      <w:bookmarkEnd w:id="0"/>
    </w:p>
    <w:p w:rsidR="006F2579" w:rsidRPr="00B2152E" w:rsidRDefault="006F2579" w:rsidP="006F2579">
      <w:pPr>
        <w:widowControl w:val="0"/>
        <w:rPr>
          <w:b/>
        </w:rPr>
      </w:pPr>
      <w:r w:rsidRPr="00B2152E">
        <w:rPr>
          <w:b/>
        </w:rPr>
        <w:t>For immediate release</w:t>
      </w:r>
    </w:p>
    <w:p w:rsidR="006F2579" w:rsidRPr="00B2152E" w:rsidRDefault="006F2579" w:rsidP="006F2579">
      <w:pPr>
        <w:widowControl w:val="0"/>
      </w:pPr>
    </w:p>
    <w:p w:rsidR="002767DF" w:rsidRPr="00B2152E" w:rsidRDefault="002767DF" w:rsidP="002767DF">
      <w:pPr>
        <w:widowControl w:val="0"/>
      </w:pPr>
      <w:r w:rsidRPr="00B2152E">
        <w:rPr>
          <w:b/>
        </w:rPr>
        <w:t>OTTAWA</w:t>
      </w:r>
      <w:r w:rsidRPr="00B2152E">
        <w:t xml:space="preserve"> – The Supreme Court of Canada has today deposited with the Registrar judgment</w:t>
      </w:r>
      <w:r w:rsidR="00320863" w:rsidRPr="00B2152E">
        <w:t>s</w:t>
      </w:r>
      <w:r w:rsidRPr="00B2152E">
        <w:t xml:space="preserve"> in the following appeal and application</w:t>
      </w:r>
      <w:r w:rsidR="00CC044F" w:rsidRPr="00B2152E">
        <w:t>s</w:t>
      </w:r>
      <w:r w:rsidRPr="00B2152E">
        <w:t xml:space="preserve"> for leave to appeal.</w:t>
      </w:r>
    </w:p>
    <w:p w:rsidR="006F2579" w:rsidRPr="00B2152E" w:rsidRDefault="006F2579" w:rsidP="006F2579">
      <w:pPr>
        <w:widowControl w:val="0"/>
      </w:pPr>
    </w:p>
    <w:p w:rsidR="006F2579" w:rsidRPr="00B2152E" w:rsidRDefault="006F2579" w:rsidP="006F2579">
      <w:pPr>
        <w:widowControl w:val="0"/>
      </w:pPr>
    </w:p>
    <w:p w:rsidR="002767DF" w:rsidRPr="00B2152E" w:rsidRDefault="002767DF" w:rsidP="002767DF">
      <w:pPr>
        <w:widowControl w:val="0"/>
        <w:jc w:val="center"/>
        <w:rPr>
          <w:lang w:val="fr-CA"/>
        </w:rPr>
      </w:pPr>
      <w:r w:rsidRPr="00B2152E">
        <w:rPr>
          <w:b/>
          <w:lang w:val="fr-CA"/>
        </w:rPr>
        <w:t>JUGEMENT</w:t>
      </w:r>
      <w:r w:rsidR="004C4C26" w:rsidRPr="00B2152E">
        <w:rPr>
          <w:b/>
          <w:lang w:val="fr-CA"/>
        </w:rPr>
        <w:t>S SUR APPEL ET DEMANDE</w:t>
      </w:r>
      <w:r w:rsidR="00CC044F" w:rsidRPr="00B2152E">
        <w:rPr>
          <w:b/>
          <w:lang w:val="fr-CA"/>
        </w:rPr>
        <w:t>S</w:t>
      </w:r>
      <w:r w:rsidRPr="00B2152E">
        <w:rPr>
          <w:b/>
          <w:lang w:val="fr-CA"/>
        </w:rPr>
        <w:t xml:space="preserve"> D’AUTORISATION</w:t>
      </w:r>
    </w:p>
    <w:p w:rsidR="006F2579" w:rsidRPr="00B2152E" w:rsidRDefault="006F2579" w:rsidP="006F2579">
      <w:pPr>
        <w:widowControl w:val="0"/>
        <w:rPr>
          <w:lang w:val="fr-CA"/>
        </w:rPr>
      </w:pPr>
    </w:p>
    <w:p w:rsidR="006F2579" w:rsidRPr="00B2152E" w:rsidRDefault="006F2579" w:rsidP="006F2579">
      <w:pPr>
        <w:widowControl w:val="0"/>
        <w:rPr>
          <w:b/>
          <w:lang w:val="fr-CA"/>
        </w:rPr>
      </w:pPr>
      <w:r w:rsidRPr="00B2152E">
        <w:rPr>
          <w:b/>
          <w:lang w:val="fr-CA"/>
        </w:rPr>
        <w:t>Le</w:t>
      </w:r>
      <w:r w:rsidR="008825DB" w:rsidRPr="00B2152E">
        <w:rPr>
          <w:b/>
          <w:lang w:val="fr-CA"/>
        </w:rPr>
        <w:t xml:space="preserve"> </w:t>
      </w:r>
      <w:r w:rsidR="005D3A8B" w:rsidRPr="00B2152E">
        <w:rPr>
          <w:b/>
          <w:lang w:val="fr-CA"/>
        </w:rPr>
        <w:t>18</w:t>
      </w:r>
      <w:r w:rsidR="00FF4756" w:rsidRPr="00B2152E">
        <w:rPr>
          <w:b/>
          <w:lang w:val="fr-CA"/>
        </w:rPr>
        <w:t xml:space="preserve"> </w:t>
      </w:r>
      <w:r w:rsidR="005D2480" w:rsidRPr="00B2152E">
        <w:rPr>
          <w:b/>
          <w:lang w:val="fr-CA"/>
        </w:rPr>
        <w:t>a</w:t>
      </w:r>
      <w:r w:rsidR="00622AAE" w:rsidRPr="00B2152E">
        <w:rPr>
          <w:b/>
          <w:lang w:val="fr-CA"/>
        </w:rPr>
        <w:t>v</w:t>
      </w:r>
      <w:r w:rsidR="005D2480" w:rsidRPr="00B2152E">
        <w:rPr>
          <w:b/>
          <w:lang w:val="fr-CA"/>
        </w:rPr>
        <w:t>r</w:t>
      </w:r>
      <w:r w:rsidR="00622AAE" w:rsidRPr="00B2152E">
        <w:rPr>
          <w:b/>
          <w:lang w:val="fr-CA"/>
        </w:rPr>
        <w:t>il</w:t>
      </w:r>
      <w:r w:rsidR="002E4682" w:rsidRPr="00B2152E">
        <w:rPr>
          <w:b/>
          <w:lang w:val="fr-CA"/>
        </w:rPr>
        <w:t xml:space="preserve"> </w:t>
      </w:r>
      <w:r w:rsidR="008825DB" w:rsidRPr="00B2152E">
        <w:rPr>
          <w:b/>
          <w:lang w:val="fr-CA"/>
        </w:rPr>
        <w:t>201</w:t>
      </w:r>
      <w:r w:rsidR="00B96728" w:rsidRPr="00B2152E">
        <w:rPr>
          <w:b/>
          <w:lang w:val="fr-CA"/>
        </w:rPr>
        <w:t>9</w:t>
      </w:r>
    </w:p>
    <w:p w:rsidR="006F2579" w:rsidRPr="00B2152E" w:rsidRDefault="006F2579" w:rsidP="006F2579">
      <w:pPr>
        <w:widowControl w:val="0"/>
        <w:rPr>
          <w:b/>
          <w:lang w:val="fr-CA"/>
        </w:rPr>
      </w:pPr>
      <w:r w:rsidRPr="00B2152E">
        <w:rPr>
          <w:b/>
          <w:lang w:val="fr-CA"/>
        </w:rPr>
        <w:t>Pour diffusion immédiate</w:t>
      </w:r>
    </w:p>
    <w:p w:rsidR="006F2579" w:rsidRPr="00B2152E" w:rsidRDefault="006F2579" w:rsidP="006F2579">
      <w:pPr>
        <w:widowControl w:val="0"/>
        <w:rPr>
          <w:b/>
          <w:lang w:val="fr-CA"/>
        </w:rPr>
      </w:pPr>
    </w:p>
    <w:p w:rsidR="002767DF" w:rsidRPr="00B2152E" w:rsidRDefault="002767DF" w:rsidP="002767DF">
      <w:pPr>
        <w:widowControl w:val="0"/>
        <w:rPr>
          <w:lang w:val="fr-CA"/>
        </w:rPr>
      </w:pPr>
      <w:r w:rsidRPr="00B2152E">
        <w:rPr>
          <w:b/>
          <w:lang w:val="fr-CA"/>
        </w:rPr>
        <w:t>OTTAWA</w:t>
      </w:r>
      <w:r w:rsidRPr="00B2152E">
        <w:rPr>
          <w:lang w:val="fr-CA"/>
        </w:rPr>
        <w:t xml:space="preserve"> – La Cour suprême du Canada a déposé aujourd’hui auprès du registraire les jugement</w:t>
      </w:r>
      <w:r w:rsidR="005D2479" w:rsidRPr="00B2152E">
        <w:rPr>
          <w:lang w:val="fr-CA"/>
        </w:rPr>
        <w:t>s</w:t>
      </w:r>
      <w:r w:rsidRPr="00B2152E">
        <w:rPr>
          <w:lang w:val="fr-CA"/>
        </w:rPr>
        <w:t xml:space="preserve"> dans l</w:t>
      </w:r>
      <w:r w:rsidR="00DF6BD5" w:rsidRPr="00B2152E">
        <w:rPr>
          <w:lang w:val="fr-CA"/>
        </w:rPr>
        <w:t>’</w:t>
      </w:r>
      <w:r w:rsidRPr="00B2152E">
        <w:rPr>
          <w:lang w:val="fr-CA"/>
        </w:rPr>
        <w:t>appel</w:t>
      </w:r>
      <w:r w:rsidR="00DF6BD5" w:rsidRPr="00B2152E">
        <w:rPr>
          <w:lang w:val="fr-CA"/>
        </w:rPr>
        <w:t xml:space="preserve"> </w:t>
      </w:r>
      <w:r w:rsidRPr="00B2152E">
        <w:rPr>
          <w:lang w:val="fr-CA"/>
        </w:rPr>
        <w:t>et</w:t>
      </w:r>
      <w:r w:rsidR="00CC044F" w:rsidRPr="00B2152E">
        <w:rPr>
          <w:lang w:val="fr-CA"/>
        </w:rPr>
        <w:t xml:space="preserve"> </w:t>
      </w:r>
      <w:r w:rsidR="004C4C26" w:rsidRPr="00B2152E">
        <w:rPr>
          <w:lang w:val="fr-CA"/>
        </w:rPr>
        <w:t>demande</w:t>
      </w:r>
      <w:r w:rsidR="00CC044F" w:rsidRPr="00B2152E">
        <w:rPr>
          <w:lang w:val="fr-CA"/>
        </w:rPr>
        <w:t>s</w:t>
      </w:r>
      <w:r w:rsidRPr="00B2152E">
        <w:rPr>
          <w:lang w:val="fr-CA"/>
        </w:rPr>
        <w:t xml:space="preserve"> d’autorisation d’appel qui suivent.</w:t>
      </w:r>
    </w:p>
    <w:p w:rsidR="002767DF" w:rsidRPr="00B2152E" w:rsidRDefault="002767DF" w:rsidP="002767DF">
      <w:pPr>
        <w:widowControl w:val="0"/>
        <w:rPr>
          <w:sz w:val="20"/>
          <w:lang w:val="fr-CA"/>
        </w:rPr>
      </w:pPr>
    </w:p>
    <w:p w:rsidR="002767DF" w:rsidRPr="00B2152E" w:rsidRDefault="00186CB6" w:rsidP="002767DF">
      <w:pPr>
        <w:widowControl w:val="0"/>
        <w:rPr>
          <w:sz w:val="20"/>
          <w:lang w:val="fr-CA"/>
        </w:rPr>
      </w:pPr>
      <w:r>
        <w:rPr>
          <w:sz w:val="20"/>
        </w:rPr>
        <w:pict>
          <v:rect id="_x0000_i1025" style="width:2in;height:1pt" o:hrpct="0" o:hralign="center" o:hrstd="t" o:hrnoshade="t" o:hr="t" fillcolor="black [3213]" stroked="f"/>
        </w:pict>
      </w:r>
    </w:p>
    <w:p w:rsidR="002767DF" w:rsidRPr="00B2152E" w:rsidRDefault="002767DF" w:rsidP="002767DF">
      <w:pPr>
        <w:widowControl w:val="0"/>
        <w:jc w:val="both"/>
        <w:rPr>
          <w:sz w:val="20"/>
          <w:lang w:val="fr-CA"/>
        </w:rPr>
      </w:pPr>
    </w:p>
    <w:p w:rsidR="002767DF" w:rsidRPr="00B2152E" w:rsidRDefault="002767DF" w:rsidP="002767DF">
      <w:pPr>
        <w:outlineLvl w:val="0"/>
        <w:rPr>
          <w:b/>
          <w:szCs w:val="24"/>
        </w:rPr>
      </w:pPr>
      <w:r w:rsidRPr="00B2152E">
        <w:rPr>
          <w:b/>
          <w:szCs w:val="24"/>
        </w:rPr>
        <w:t>APPEAL / APPEL</w:t>
      </w:r>
    </w:p>
    <w:p w:rsidR="002767DF" w:rsidRPr="00B2152E" w:rsidRDefault="002767DF" w:rsidP="002767DF">
      <w:pPr>
        <w:rPr>
          <w:szCs w:val="24"/>
        </w:rPr>
      </w:pPr>
    </w:p>
    <w:p w:rsidR="00B1256C" w:rsidRPr="00B2152E" w:rsidRDefault="008A5E61" w:rsidP="008A5E61">
      <w:pPr>
        <w:tabs>
          <w:tab w:val="left" w:pos="720"/>
          <w:tab w:val="left" w:pos="1296"/>
          <w:tab w:val="left" w:pos="2160"/>
          <w:tab w:val="left" w:pos="2880"/>
          <w:tab w:val="left" w:pos="4320"/>
          <w:tab w:val="left" w:pos="10224"/>
          <w:tab w:val="left" w:pos="11376"/>
        </w:tabs>
        <w:jc w:val="both"/>
      </w:pPr>
      <w:r w:rsidRPr="00B2152E">
        <w:t xml:space="preserve">The </w:t>
      </w:r>
      <w:hyperlink r:id="rId7" w:history="1">
        <w:r w:rsidRPr="00B2152E">
          <w:rPr>
            <w:rStyle w:val="Hyperlink"/>
          </w:rPr>
          <w:t>r</w:t>
        </w:r>
        <w:r w:rsidR="00347EF8" w:rsidRPr="00B2152E">
          <w:rPr>
            <w:rStyle w:val="Hyperlink"/>
          </w:rPr>
          <w:t>easons for j</w:t>
        </w:r>
        <w:r w:rsidR="002767DF" w:rsidRPr="00B2152E">
          <w:rPr>
            <w:rStyle w:val="Hyperlink"/>
          </w:rPr>
          <w:t>udgment</w:t>
        </w:r>
      </w:hyperlink>
      <w:r w:rsidR="002767DF" w:rsidRPr="00B2152E">
        <w:t xml:space="preserve"> will be available shortly</w:t>
      </w:r>
      <w:r w:rsidRPr="00B2152E">
        <w:t>.</w:t>
      </w:r>
      <w:r w:rsidR="002767DF" w:rsidRPr="00B2152E">
        <w:t xml:space="preserve"> / </w:t>
      </w:r>
      <w:r w:rsidRPr="00B2152E">
        <w:t xml:space="preserve">Les </w:t>
      </w:r>
      <w:hyperlink r:id="rId8" w:history="1">
        <w:r w:rsidRPr="00B2152E">
          <w:rPr>
            <w:rStyle w:val="Hyperlink"/>
          </w:rPr>
          <w:t>m</w:t>
        </w:r>
        <w:r w:rsidR="00347EF8" w:rsidRPr="00B2152E">
          <w:rPr>
            <w:rStyle w:val="Hyperlink"/>
          </w:rPr>
          <w:t>otifs de</w:t>
        </w:r>
        <w:r w:rsidR="00623896" w:rsidRPr="00B2152E">
          <w:rPr>
            <w:rStyle w:val="Hyperlink"/>
          </w:rPr>
          <w:t xml:space="preserve"> jugement</w:t>
        </w:r>
      </w:hyperlink>
      <w:r w:rsidR="00623896" w:rsidRPr="00B2152E">
        <w:t xml:space="preserve"> </w:t>
      </w:r>
      <w:r w:rsidRPr="00B2152E">
        <w:t xml:space="preserve">seront </w:t>
      </w:r>
      <w:r w:rsidR="003413DF" w:rsidRPr="00B2152E">
        <w:t>disponible</w:t>
      </w:r>
      <w:r w:rsidR="000D01C7" w:rsidRPr="00B2152E">
        <w:t>s</w:t>
      </w:r>
      <w:r w:rsidR="002767DF" w:rsidRPr="00B2152E">
        <w:t xml:space="preserve"> sous peu</w:t>
      </w:r>
      <w:r w:rsidRPr="00B2152E">
        <w:t>.</w:t>
      </w:r>
    </w:p>
    <w:p w:rsidR="002767DF" w:rsidRPr="00B2152E" w:rsidRDefault="002767DF" w:rsidP="002767DF"/>
    <w:p w:rsidR="00BF2A9D" w:rsidRPr="00B2152E" w:rsidRDefault="00104BEE" w:rsidP="00C90470">
      <w:pPr>
        <w:ind w:left="1440" w:hanging="1440"/>
        <w:jc w:val="both"/>
        <w:rPr>
          <w:rFonts w:eastAsiaTheme="minorHAnsi" w:cstheme="minorBidi"/>
          <w:sz w:val="20"/>
        </w:rPr>
      </w:pPr>
      <w:r w:rsidRPr="00B2152E">
        <w:rPr>
          <w:b/>
          <w:sz w:val="20"/>
        </w:rPr>
        <w:fldChar w:fldCharType="begin"/>
      </w:r>
      <w:r w:rsidRPr="00B2152E">
        <w:rPr>
          <w:b/>
          <w:sz w:val="20"/>
        </w:rPr>
        <w:instrText xml:space="preserve"> SEQ CHAPTER \h \r 1</w:instrText>
      </w:r>
      <w:r w:rsidRPr="00B2152E">
        <w:rPr>
          <w:b/>
          <w:sz w:val="20"/>
        </w:rPr>
        <w:fldChar w:fldCharType="end"/>
      </w:r>
      <w:r w:rsidRPr="00B2152E">
        <w:rPr>
          <w:b/>
          <w:sz w:val="20"/>
        </w:rPr>
        <w:t>3</w:t>
      </w:r>
      <w:r w:rsidR="00E26D98" w:rsidRPr="00B2152E">
        <w:rPr>
          <w:b/>
          <w:sz w:val="20"/>
        </w:rPr>
        <w:t>7</w:t>
      </w:r>
      <w:r w:rsidR="005D3A8B" w:rsidRPr="00B2152E">
        <w:rPr>
          <w:b/>
          <w:sz w:val="20"/>
        </w:rPr>
        <w:t>518</w:t>
      </w:r>
      <w:r w:rsidRPr="00B2152E">
        <w:rPr>
          <w:color w:val="FF0000"/>
          <w:sz w:val="20"/>
        </w:rPr>
        <w:tab/>
      </w:r>
      <w:r w:rsidR="005D3A8B" w:rsidRPr="00B2152E">
        <w:rPr>
          <w:rFonts w:eastAsiaTheme="minorHAnsi" w:cstheme="minorBidi"/>
          <w:b/>
          <w:sz w:val="20"/>
        </w:rPr>
        <w:t>Sean Patrick Mills</w:t>
      </w:r>
      <w:r w:rsidR="00C90470" w:rsidRPr="00B2152E">
        <w:rPr>
          <w:rFonts w:eastAsiaTheme="minorHAnsi" w:cstheme="minorBidi"/>
          <w:b/>
          <w:sz w:val="20"/>
        </w:rPr>
        <w:t xml:space="preserve"> v. </w:t>
      </w:r>
      <w:r w:rsidR="005D3A8B" w:rsidRPr="00B2152E">
        <w:rPr>
          <w:rFonts w:eastAsiaTheme="minorHAnsi" w:cstheme="minorBidi"/>
          <w:b/>
          <w:sz w:val="20"/>
        </w:rPr>
        <w:t xml:space="preserve">Her Majesty The Queen </w:t>
      </w:r>
      <w:r w:rsidR="00A714EF" w:rsidRPr="00B2152E">
        <w:rPr>
          <w:rFonts w:eastAsiaTheme="minorHAnsi" w:cstheme="minorBidi"/>
          <w:b/>
          <w:sz w:val="20"/>
        </w:rPr>
        <w:t xml:space="preserve">- and - </w:t>
      </w:r>
      <w:r w:rsidR="00004C83" w:rsidRPr="00B2152E">
        <w:rPr>
          <w:rFonts w:eastAsiaTheme="minorHAnsi" w:cstheme="minorBidi"/>
          <w:b/>
          <w:sz w:val="20"/>
        </w:rPr>
        <w:t>Director of Public Prosecutions, Attorney General of Ontario, Director of Criminal and Penal Prosecutions, Attorney General of British Columbia, Attorney General of Alberta, Samuelson-Glushko Canadian Internet Policy and Public Interest Clinic, Canadian Civil Liberties Association, Criminal Lawyers’ Association and Canadian Association of Chiefs of Police</w:t>
      </w:r>
      <w:r w:rsidR="002628AD" w:rsidRPr="00B2152E">
        <w:rPr>
          <w:rFonts w:eastAsiaTheme="minorHAnsi" w:cstheme="minorBidi"/>
          <w:b/>
          <w:sz w:val="20"/>
        </w:rPr>
        <w:t xml:space="preserve"> </w:t>
      </w:r>
      <w:r w:rsidR="00BF2A9D" w:rsidRPr="00B2152E">
        <w:rPr>
          <w:rFonts w:eastAsiaTheme="minorHAnsi" w:cstheme="minorBidi"/>
          <w:iCs/>
          <w:sz w:val="20"/>
        </w:rPr>
        <w:t>(</w:t>
      </w:r>
      <w:r w:rsidR="005D3A8B" w:rsidRPr="00B2152E">
        <w:rPr>
          <w:rFonts w:eastAsiaTheme="minorHAnsi" w:cstheme="minorBidi"/>
          <w:iCs/>
          <w:sz w:val="20"/>
        </w:rPr>
        <w:t>N.L.</w:t>
      </w:r>
      <w:r w:rsidR="00BF2A9D" w:rsidRPr="00B2152E">
        <w:rPr>
          <w:rFonts w:eastAsiaTheme="minorHAnsi" w:cstheme="minorBidi"/>
          <w:iCs/>
          <w:sz w:val="20"/>
        </w:rPr>
        <w:t>)</w:t>
      </w:r>
    </w:p>
    <w:p w:rsidR="00BF2A9D" w:rsidRPr="00B2152E"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B2152E">
        <w:rPr>
          <w:rFonts w:eastAsiaTheme="minorHAnsi" w:cstheme="minorBidi"/>
          <w:b/>
          <w:sz w:val="20"/>
        </w:rPr>
        <w:t>201</w:t>
      </w:r>
      <w:r w:rsidR="006F0310" w:rsidRPr="00B2152E">
        <w:rPr>
          <w:rFonts w:eastAsiaTheme="minorHAnsi" w:cstheme="minorBidi"/>
          <w:b/>
          <w:sz w:val="20"/>
        </w:rPr>
        <w:t>9</w:t>
      </w:r>
      <w:r w:rsidRPr="00B2152E">
        <w:rPr>
          <w:rFonts w:eastAsiaTheme="minorHAnsi" w:cstheme="minorBidi"/>
          <w:b/>
          <w:sz w:val="20"/>
        </w:rPr>
        <w:t xml:space="preserve"> SCC </w:t>
      </w:r>
      <w:r w:rsidR="005D3A8B" w:rsidRPr="00B2152E">
        <w:rPr>
          <w:rFonts w:eastAsiaTheme="minorHAnsi" w:cstheme="minorBidi"/>
          <w:b/>
          <w:sz w:val="20"/>
        </w:rPr>
        <w:t>2</w:t>
      </w:r>
      <w:r w:rsidR="00B2152E" w:rsidRPr="00B2152E">
        <w:rPr>
          <w:rFonts w:eastAsiaTheme="minorHAnsi" w:cstheme="minorBidi"/>
          <w:b/>
          <w:sz w:val="20"/>
        </w:rPr>
        <w:t>2</w:t>
      </w:r>
      <w:r w:rsidRPr="00B2152E">
        <w:rPr>
          <w:rFonts w:eastAsiaTheme="minorHAnsi" w:cstheme="minorBidi"/>
          <w:b/>
          <w:sz w:val="20"/>
        </w:rPr>
        <w:t xml:space="preserve"> / 201</w:t>
      </w:r>
      <w:r w:rsidR="006F0310" w:rsidRPr="00B2152E">
        <w:rPr>
          <w:rFonts w:eastAsiaTheme="minorHAnsi" w:cstheme="minorBidi"/>
          <w:b/>
          <w:sz w:val="20"/>
        </w:rPr>
        <w:t>9</w:t>
      </w:r>
      <w:r w:rsidRPr="00B2152E">
        <w:rPr>
          <w:rFonts w:eastAsiaTheme="minorHAnsi" w:cstheme="minorBidi"/>
          <w:b/>
          <w:sz w:val="20"/>
        </w:rPr>
        <w:t xml:space="preserve"> CSC </w:t>
      </w:r>
      <w:r w:rsidR="005D3A8B" w:rsidRPr="00B2152E">
        <w:rPr>
          <w:rFonts w:eastAsiaTheme="minorHAnsi" w:cstheme="minorBidi"/>
          <w:b/>
          <w:sz w:val="20"/>
        </w:rPr>
        <w:t>2</w:t>
      </w:r>
      <w:r w:rsidR="00B2152E" w:rsidRPr="00B2152E">
        <w:rPr>
          <w:rFonts w:eastAsiaTheme="minorHAnsi" w:cstheme="minorBidi"/>
          <w:b/>
          <w:sz w:val="20"/>
        </w:rPr>
        <w:t>2</w:t>
      </w:r>
    </w:p>
    <w:p w:rsidR="00104BEE" w:rsidRPr="00B2152E" w:rsidRDefault="00104BEE" w:rsidP="00BF2A9D">
      <w:pPr>
        <w:ind w:left="1440" w:hanging="1440"/>
        <w:jc w:val="both"/>
        <w:rPr>
          <w:sz w:val="20"/>
        </w:rPr>
      </w:pPr>
    </w:p>
    <w:p w:rsidR="00104BEE" w:rsidRPr="00B2152E" w:rsidRDefault="00104BEE" w:rsidP="00104BEE">
      <w:pPr>
        <w:ind w:left="1440" w:hanging="1440"/>
        <w:rPr>
          <w:sz w:val="20"/>
        </w:rPr>
      </w:pPr>
      <w:r w:rsidRPr="00B2152E">
        <w:rPr>
          <w:sz w:val="20"/>
        </w:rPr>
        <w:t>Coram:</w:t>
      </w:r>
      <w:r w:rsidRPr="00B2152E">
        <w:rPr>
          <w:sz w:val="20"/>
        </w:rPr>
        <w:tab/>
      </w:r>
      <w:r w:rsidR="00AD3CB0" w:rsidRPr="00B2152E">
        <w:rPr>
          <w:sz w:val="20"/>
        </w:rPr>
        <w:t>Wagner C.J. and Abella, Moldaver, Karakatsanis, Gascon, Brown and Martin JJ.</w:t>
      </w:r>
    </w:p>
    <w:p w:rsidR="00605BA1" w:rsidRPr="00B2152E" w:rsidRDefault="00605BA1" w:rsidP="00DD0FAB">
      <w:pPr>
        <w:jc w:val="both"/>
        <w:rPr>
          <w:sz w:val="20"/>
        </w:rPr>
      </w:pPr>
    </w:p>
    <w:p w:rsidR="00AD3CB0" w:rsidRPr="00B2152E" w:rsidRDefault="00EC6EAD" w:rsidP="00AD3CB0">
      <w:pPr>
        <w:jc w:val="both"/>
        <w:rPr>
          <w:sz w:val="20"/>
        </w:rPr>
      </w:pPr>
      <w:r w:rsidRPr="00B2152E">
        <w:rPr>
          <w:sz w:val="20"/>
        </w:rPr>
        <w:t xml:space="preserve">The appeal from the judgment </w:t>
      </w:r>
      <w:bookmarkStart w:id="1" w:name="BM_1_"/>
      <w:bookmarkEnd w:id="1"/>
      <w:r w:rsidRPr="00B2152E">
        <w:rPr>
          <w:sz w:val="20"/>
        </w:rPr>
        <w:t>of the Court of Appeal of Newfoundland and Labrador, Number 201501H0025, 2017 NLCA 12, dated February 10, 2017, heard on May 25, 2018, is dismissed.</w:t>
      </w:r>
    </w:p>
    <w:p w:rsidR="00AD3CB0" w:rsidRPr="00B2152E" w:rsidRDefault="00AD3CB0" w:rsidP="00DD0FAB">
      <w:pPr>
        <w:jc w:val="both"/>
        <w:rPr>
          <w:sz w:val="20"/>
        </w:rPr>
      </w:pPr>
    </w:p>
    <w:p w:rsidR="00062C6D" w:rsidRPr="00B2152E" w:rsidRDefault="00EC6EAD" w:rsidP="00062C6D">
      <w:pPr>
        <w:rPr>
          <w:rFonts w:eastAsiaTheme="minorHAnsi" w:cstheme="minorBidi"/>
          <w:sz w:val="20"/>
          <w:lang w:val="fr-CA"/>
        </w:rPr>
      </w:pPr>
      <w:r w:rsidRPr="00B2152E">
        <w:rPr>
          <w:sz w:val="20"/>
          <w:lang w:val="fr-CA"/>
        </w:rPr>
        <w:t>L’appel interjeté contre l’arrêt de la Cour d’appel de Terre-Neuve-et-Labrador, numéro 201501H0025, 2017 NLCA 12, daté du 10 février 2017, entendu le 25 mai 2018, est rejeté.</w:t>
      </w:r>
    </w:p>
    <w:p w:rsidR="00845707" w:rsidRPr="00B2152E" w:rsidRDefault="00845707" w:rsidP="00062C6D">
      <w:pPr>
        <w:ind w:left="1440" w:hanging="1440"/>
        <w:rPr>
          <w:rFonts w:eastAsiaTheme="minorHAnsi" w:cstheme="minorBidi"/>
          <w:sz w:val="20"/>
          <w:lang w:val="fr-CA"/>
        </w:rPr>
      </w:pPr>
    </w:p>
    <w:p w:rsidR="00FF073E" w:rsidRPr="00B2152E" w:rsidRDefault="00186CB6" w:rsidP="00104BEE">
      <w:pPr>
        <w:jc w:val="both"/>
        <w:rPr>
          <w:sz w:val="20"/>
          <w:lang w:val="fr-CA"/>
        </w:rPr>
      </w:pPr>
      <w:r>
        <w:rPr>
          <w:sz w:val="20"/>
        </w:rPr>
        <w:pict>
          <v:rect id="_x0000_i1026" style="width:2in;height:1pt" o:hrpct="0" o:hralign="center" o:hrstd="t" o:hrnoshade="t" o:hr="t" fillcolor="black [3213]" stroked="f"/>
        </w:pict>
      </w:r>
    </w:p>
    <w:p w:rsidR="00563EBA" w:rsidRPr="00B2152E" w:rsidRDefault="00563EBA" w:rsidP="00104BEE">
      <w:pPr>
        <w:jc w:val="both"/>
        <w:rPr>
          <w:sz w:val="20"/>
          <w:lang w:val="fr-CA"/>
        </w:rPr>
      </w:pPr>
    </w:p>
    <w:p w:rsidR="009D2AD9" w:rsidRPr="00B2152E" w:rsidRDefault="00D01D61" w:rsidP="009D2AD9">
      <w:pPr>
        <w:rPr>
          <w:lang w:val="fr-CA"/>
        </w:rPr>
      </w:pPr>
      <w:r w:rsidRPr="00B2152E">
        <w:rPr>
          <w:szCs w:val="24"/>
        </w:rPr>
        <w:fldChar w:fldCharType="begin"/>
      </w:r>
      <w:r w:rsidR="009D2AD9" w:rsidRPr="00B2152E">
        <w:rPr>
          <w:szCs w:val="24"/>
          <w:lang w:val="fr-CA"/>
        </w:rPr>
        <w:instrText xml:space="preserve"> SEQ CHAPTER \h \r 1</w:instrText>
      </w:r>
      <w:r w:rsidRPr="00B2152E">
        <w:rPr>
          <w:szCs w:val="24"/>
        </w:rPr>
        <w:fldChar w:fldCharType="end"/>
      </w:r>
      <w:r w:rsidR="009D2AD9" w:rsidRPr="00B2152E">
        <w:rPr>
          <w:b/>
          <w:bCs/>
          <w:szCs w:val="24"/>
          <w:lang w:val="fr-CA"/>
        </w:rPr>
        <w:t>APPLICATION</w:t>
      </w:r>
      <w:r w:rsidR="0044099A" w:rsidRPr="00B2152E">
        <w:rPr>
          <w:b/>
          <w:bCs/>
          <w:szCs w:val="24"/>
          <w:lang w:val="fr-CA"/>
        </w:rPr>
        <w:t>S</w:t>
      </w:r>
      <w:r w:rsidR="009D2AD9" w:rsidRPr="00B2152E">
        <w:rPr>
          <w:b/>
          <w:bCs/>
          <w:szCs w:val="24"/>
          <w:lang w:val="fr-CA"/>
        </w:rPr>
        <w:t xml:space="preserve"> FOR LEAVE / DEMANDE</w:t>
      </w:r>
      <w:r w:rsidR="0044099A" w:rsidRPr="00B2152E">
        <w:rPr>
          <w:b/>
          <w:bCs/>
          <w:szCs w:val="24"/>
          <w:lang w:val="fr-CA"/>
        </w:rPr>
        <w:t>S</w:t>
      </w:r>
      <w:r w:rsidR="009D2AD9" w:rsidRPr="00B2152E">
        <w:rPr>
          <w:b/>
          <w:bCs/>
          <w:szCs w:val="24"/>
          <w:lang w:val="fr-CA"/>
        </w:rPr>
        <w:t xml:space="preserve"> D’AUTORISATION :</w:t>
      </w:r>
    </w:p>
    <w:p w:rsidR="009D2AD9" w:rsidRPr="00B2152E" w:rsidRDefault="009D2AD9" w:rsidP="000627A2">
      <w:pPr>
        <w:widowControl w:val="0"/>
        <w:jc w:val="both"/>
        <w:rPr>
          <w:sz w:val="20"/>
          <w:lang w:val="fr-CA"/>
        </w:rPr>
      </w:pPr>
    </w:p>
    <w:p w:rsidR="009F09C0" w:rsidRPr="00B2152E" w:rsidRDefault="009F09C0" w:rsidP="009F09C0">
      <w:pPr>
        <w:jc w:val="both"/>
        <w:rPr>
          <w:b/>
          <w:sz w:val="22"/>
          <w:szCs w:val="22"/>
        </w:rPr>
      </w:pPr>
      <w:r w:rsidRPr="00B2152E">
        <w:rPr>
          <w:b/>
          <w:sz w:val="22"/>
          <w:szCs w:val="22"/>
        </w:rPr>
        <w:t>DISMISSED / REJETÉES</w:t>
      </w:r>
    </w:p>
    <w:p w:rsidR="009971D8" w:rsidRPr="00B2152E" w:rsidRDefault="009971D8" w:rsidP="00026162">
      <w:pPr>
        <w:widowControl w:val="0"/>
        <w:rPr>
          <w:sz w:val="20"/>
        </w:rPr>
      </w:pPr>
    </w:p>
    <w:p w:rsidR="000446AE" w:rsidRPr="00B2152E" w:rsidRDefault="000446AE" w:rsidP="000446AE">
      <w:pPr>
        <w:rPr>
          <w:sz w:val="22"/>
          <w:szCs w:val="22"/>
        </w:rPr>
      </w:pPr>
      <w:r w:rsidRPr="00B2152E">
        <w:rPr>
          <w:i/>
          <w:sz w:val="22"/>
          <w:szCs w:val="22"/>
          <w:lang w:val="en-CA"/>
        </w:rPr>
        <w:t>Errol Massiah v. Justices of the Peace Review Council, Lieutenant Governor by and with the advice and concurrence of the Executive Council of the Legislative Assembly for the Province of Ontario and Attorney General for Ontario - and - Raj Anand and Weir Foulds LLP</w:t>
      </w:r>
      <w:r w:rsidRPr="00B2152E">
        <w:rPr>
          <w:sz w:val="22"/>
          <w:szCs w:val="22"/>
        </w:rPr>
        <w:t xml:space="preserve"> </w:t>
      </w:r>
      <w:r w:rsidRPr="00B2152E">
        <w:rPr>
          <w:sz w:val="22"/>
          <w:szCs w:val="22"/>
          <w:lang w:val="en-CA"/>
        </w:rPr>
        <w:t xml:space="preserve">(Ont.) </w:t>
      </w:r>
      <w:r w:rsidRPr="00B2152E">
        <w:rPr>
          <w:sz w:val="22"/>
          <w:szCs w:val="22"/>
        </w:rPr>
        <w:t>(Civil) (By Leave) (</w:t>
      </w:r>
      <w:hyperlink r:id="rId9" w:history="1">
        <w:r w:rsidRPr="00B2152E">
          <w:rPr>
            <w:rStyle w:val="Hyperlink"/>
            <w:sz w:val="22"/>
            <w:szCs w:val="22"/>
          </w:rPr>
          <w:t>38449</w:t>
        </w:r>
      </w:hyperlink>
      <w:r w:rsidRPr="00B2152E">
        <w:rPr>
          <w:sz w:val="22"/>
          <w:szCs w:val="22"/>
        </w:rPr>
        <w:t>)</w:t>
      </w:r>
    </w:p>
    <w:p w:rsidR="006F0310" w:rsidRPr="00B2152E" w:rsidRDefault="006F0310" w:rsidP="00026162">
      <w:pPr>
        <w:widowControl w:val="0"/>
        <w:rPr>
          <w:sz w:val="20"/>
        </w:rPr>
      </w:pPr>
    </w:p>
    <w:p w:rsidR="006F0310" w:rsidRPr="00B2152E" w:rsidRDefault="000446AE" w:rsidP="00026162">
      <w:pPr>
        <w:widowControl w:val="0"/>
        <w:rPr>
          <w:sz w:val="20"/>
        </w:rPr>
      </w:pPr>
      <w:r w:rsidRPr="00B2152E">
        <w:rPr>
          <w:sz w:val="20"/>
        </w:rPr>
        <w:t>The application for leave to appeal from the judgment of the Court of Appeal for Ontario, Number M49113, dated October 19, 2018, is dismissed with costs.</w:t>
      </w:r>
    </w:p>
    <w:p w:rsidR="006F0310" w:rsidRPr="00B2152E" w:rsidRDefault="006F0310" w:rsidP="00026162">
      <w:pPr>
        <w:widowControl w:val="0"/>
        <w:rPr>
          <w:sz w:val="20"/>
        </w:rPr>
      </w:pPr>
    </w:p>
    <w:p w:rsidR="00F726B2" w:rsidRPr="00B2152E" w:rsidRDefault="000446AE" w:rsidP="00026162">
      <w:pPr>
        <w:widowControl w:val="0"/>
        <w:rPr>
          <w:sz w:val="20"/>
          <w:lang w:val="fr-CA"/>
        </w:rPr>
      </w:pPr>
      <w:r w:rsidRPr="00B2152E">
        <w:rPr>
          <w:sz w:val="20"/>
          <w:lang w:val="fr-CA"/>
        </w:rPr>
        <w:t>La demande d’autorisation d’appel de l’arrêt de la Cour d’appel de l’Ontario, numéro M49113, daté du 19 octobre 2018, est rejetée avec dépens.</w:t>
      </w:r>
    </w:p>
    <w:p w:rsidR="00A357F9" w:rsidRPr="00B2152E" w:rsidRDefault="00A357F9" w:rsidP="00A357F9">
      <w:pPr>
        <w:widowControl w:val="0"/>
        <w:rPr>
          <w:sz w:val="20"/>
          <w:lang w:val="fr-CA"/>
        </w:rPr>
      </w:pPr>
    </w:p>
    <w:p w:rsidR="00A357F9" w:rsidRPr="00B2152E" w:rsidRDefault="00186CB6" w:rsidP="00A357F9">
      <w:pPr>
        <w:jc w:val="both"/>
        <w:rPr>
          <w:sz w:val="20"/>
        </w:rPr>
      </w:pPr>
      <w:r>
        <w:rPr>
          <w:sz w:val="20"/>
        </w:rPr>
        <w:pict>
          <v:rect id="_x0000_i1027" style="width:2in;height:1pt" o:hrpct="0" o:hralign="center" o:hrstd="t" o:hrnoshade="t" o:hr="t" fillcolor="black [3213]" stroked="f"/>
        </w:pict>
      </w:r>
    </w:p>
    <w:p w:rsidR="00A357F9" w:rsidRPr="00B2152E" w:rsidRDefault="00A357F9" w:rsidP="00026162">
      <w:pPr>
        <w:widowControl w:val="0"/>
        <w:rPr>
          <w:sz w:val="20"/>
        </w:rPr>
      </w:pPr>
    </w:p>
    <w:p w:rsidR="00D93297" w:rsidRPr="00B2152E" w:rsidRDefault="00D93297" w:rsidP="00D93297">
      <w:pPr>
        <w:rPr>
          <w:sz w:val="22"/>
          <w:szCs w:val="22"/>
          <w:lang w:val="fr-CA"/>
        </w:rPr>
      </w:pPr>
      <w:r w:rsidRPr="00B2152E">
        <w:rPr>
          <w:i/>
          <w:sz w:val="22"/>
          <w:szCs w:val="22"/>
          <w:lang w:val="fr-CA"/>
        </w:rPr>
        <w:t>Industrielle Alliance, Assurance et services financiers inc. c. Pascale Forest</w:t>
      </w:r>
      <w:r w:rsidRPr="00B2152E">
        <w:rPr>
          <w:sz w:val="22"/>
          <w:szCs w:val="22"/>
          <w:lang w:val="fr-CA"/>
        </w:rPr>
        <w:t xml:space="preserve"> (Qc) (Civile) (Autorisation) (</w:t>
      </w:r>
      <w:hyperlink r:id="rId10" w:history="1">
        <w:r w:rsidRPr="00B2152E">
          <w:rPr>
            <w:rStyle w:val="Hyperlink"/>
            <w:sz w:val="22"/>
            <w:szCs w:val="22"/>
            <w:lang w:val="fr-CA"/>
          </w:rPr>
          <w:t>38268</w:t>
        </w:r>
      </w:hyperlink>
      <w:r w:rsidRPr="00B2152E">
        <w:rPr>
          <w:sz w:val="22"/>
          <w:szCs w:val="22"/>
          <w:lang w:val="fr-CA"/>
        </w:rPr>
        <w:t>)</w:t>
      </w:r>
    </w:p>
    <w:p w:rsidR="006F0310" w:rsidRPr="00B2152E" w:rsidRDefault="006F0310" w:rsidP="00026162">
      <w:pPr>
        <w:widowControl w:val="0"/>
        <w:rPr>
          <w:sz w:val="20"/>
          <w:lang w:val="fr-CA"/>
        </w:rPr>
      </w:pPr>
    </w:p>
    <w:p w:rsidR="0031387C" w:rsidRPr="00B2152E" w:rsidRDefault="00D93297" w:rsidP="00026162">
      <w:pPr>
        <w:widowControl w:val="0"/>
        <w:rPr>
          <w:sz w:val="20"/>
          <w:lang w:val="fr-CA"/>
        </w:rPr>
      </w:pPr>
      <w:r w:rsidRPr="00B2152E">
        <w:rPr>
          <w:sz w:val="20"/>
          <w:lang w:val="fr-CA"/>
        </w:rPr>
        <w:t>La demande d’autorisation d’appel de l’arrêt de la Cour d’appel du Québec (Québec), numéro 200-09-009221-166, 2018 QCCA 875, daté du 31 mai 2018, est rejetée.</w:t>
      </w:r>
    </w:p>
    <w:p w:rsidR="00D93297" w:rsidRPr="00B2152E" w:rsidRDefault="00D93297" w:rsidP="00026162">
      <w:pPr>
        <w:widowControl w:val="0"/>
        <w:rPr>
          <w:sz w:val="20"/>
          <w:lang w:val="fr-CA"/>
        </w:rPr>
      </w:pPr>
    </w:p>
    <w:p w:rsidR="00D93297" w:rsidRPr="00B2152E" w:rsidRDefault="00D93297" w:rsidP="00026162">
      <w:pPr>
        <w:widowControl w:val="0"/>
        <w:rPr>
          <w:sz w:val="20"/>
        </w:rPr>
      </w:pPr>
      <w:r w:rsidRPr="00B2152E">
        <w:rPr>
          <w:sz w:val="20"/>
          <w:lang w:val="en-CA"/>
        </w:rPr>
        <w:t xml:space="preserve">The application for leave to appeal from the judgment of the </w:t>
      </w:r>
      <w:r w:rsidRPr="00B2152E">
        <w:rPr>
          <w:sz w:val="20"/>
        </w:rPr>
        <w:t>Court of Appeal of Quebec (Québec)</w:t>
      </w:r>
      <w:r w:rsidRPr="00B2152E">
        <w:rPr>
          <w:sz w:val="20"/>
          <w:lang w:val="en-CA"/>
        </w:rPr>
        <w:t xml:space="preserve">, Number </w:t>
      </w:r>
      <w:r w:rsidRPr="00B2152E">
        <w:rPr>
          <w:sz w:val="20"/>
        </w:rPr>
        <w:t>200-09-009221-166, 2018 QCCA 875</w:t>
      </w:r>
      <w:r w:rsidRPr="00B2152E">
        <w:rPr>
          <w:sz w:val="20"/>
          <w:lang w:val="en-CA"/>
        </w:rPr>
        <w:t xml:space="preserve">, dated </w:t>
      </w:r>
      <w:r w:rsidRPr="00B2152E">
        <w:rPr>
          <w:sz w:val="20"/>
        </w:rPr>
        <w:t>May 31, 2018,</w:t>
      </w:r>
      <w:r w:rsidRPr="00B2152E">
        <w:rPr>
          <w:sz w:val="20"/>
          <w:lang w:val="en-CA"/>
        </w:rPr>
        <w:t xml:space="preserve"> is dismissed.</w:t>
      </w:r>
    </w:p>
    <w:p w:rsidR="0031387C" w:rsidRPr="00B2152E" w:rsidRDefault="0031387C" w:rsidP="00026162">
      <w:pPr>
        <w:widowControl w:val="0"/>
        <w:rPr>
          <w:sz w:val="20"/>
        </w:rPr>
      </w:pPr>
    </w:p>
    <w:p w:rsidR="00026162" w:rsidRPr="00B2152E" w:rsidRDefault="00186CB6" w:rsidP="00026162">
      <w:pPr>
        <w:jc w:val="both"/>
        <w:rPr>
          <w:sz w:val="20"/>
        </w:rPr>
      </w:pPr>
      <w:r>
        <w:rPr>
          <w:sz w:val="20"/>
        </w:rPr>
        <w:pict>
          <v:rect id="_x0000_i1028" style="width:2in;height:1pt" o:hrpct="0" o:hralign="center" o:hrstd="t" o:hrnoshade="t" o:hr="t" fillcolor="black [3213]" stroked="f"/>
        </w:pict>
      </w:r>
    </w:p>
    <w:p w:rsidR="003D1FDF" w:rsidRPr="00B2152E" w:rsidRDefault="003D1FDF" w:rsidP="003D1FDF">
      <w:pPr>
        <w:jc w:val="both"/>
        <w:rPr>
          <w:sz w:val="20"/>
        </w:rPr>
      </w:pPr>
    </w:p>
    <w:p w:rsidR="0037714D" w:rsidRPr="00B2152E" w:rsidRDefault="0037714D" w:rsidP="0037714D">
      <w:pPr>
        <w:rPr>
          <w:sz w:val="22"/>
          <w:szCs w:val="22"/>
          <w:lang w:val="fr-CA"/>
        </w:rPr>
      </w:pPr>
      <w:r w:rsidRPr="00B2152E">
        <w:rPr>
          <w:i/>
          <w:sz w:val="22"/>
          <w:szCs w:val="22"/>
          <w:lang w:val="fr-CA"/>
        </w:rPr>
        <w:t>Hitesh Tailor c. Prisca Chiassi</w:t>
      </w:r>
      <w:r w:rsidRPr="00B2152E">
        <w:rPr>
          <w:sz w:val="22"/>
          <w:szCs w:val="22"/>
          <w:lang w:val="fr-CA"/>
        </w:rPr>
        <w:t xml:space="preserve"> (Qc) (Civile) (Autorisation) (</w:t>
      </w:r>
      <w:hyperlink r:id="rId11" w:history="1">
        <w:r w:rsidRPr="00B2152E">
          <w:rPr>
            <w:rStyle w:val="Hyperlink"/>
            <w:sz w:val="22"/>
            <w:szCs w:val="22"/>
            <w:lang w:val="fr-CA"/>
          </w:rPr>
          <w:t>38311</w:t>
        </w:r>
      </w:hyperlink>
      <w:r w:rsidRPr="00B2152E">
        <w:rPr>
          <w:sz w:val="22"/>
          <w:szCs w:val="22"/>
          <w:lang w:val="fr-CA"/>
        </w:rPr>
        <w:t>)</w:t>
      </w:r>
    </w:p>
    <w:p w:rsidR="006F0310" w:rsidRPr="00B2152E" w:rsidRDefault="006F0310" w:rsidP="00771432">
      <w:pPr>
        <w:widowControl w:val="0"/>
        <w:rPr>
          <w:sz w:val="20"/>
          <w:lang w:val="fr-CA"/>
        </w:rPr>
      </w:pPr>
    </w:p>
    <w:p w:rsidR="0031387C" w:rsidRPr="00B2152E" w:rsidRDefault="0037714D" w:rsidP="00771432">
      <w:pPr>
        <w:widowControl w:val="0"/>
        <w:rPr>
          <w:sz w:val="20"/>
          <w:lang w:val="fr-CA"/>
        </w:rPr>
      </w:pPr>
      <w:r w:rsidRPr="00B2152E">
        <w:rPr>
          <w:sz w:val="20"/>
          <w:lang w:val="fr-CA"/>
        </w:rPr>
        <w:t>La demande d’autorisation d’appel de l’arrêt de la Cour d’appel du Québec (Montréal), numéro 500-09-026295-162, 2018 QCCA 1067, daté du 26 juin 2018, est rejetée avec dépens.</w:t>
      </w:r>
    </w:p>
    <w:p w:rsidR="0037714D" w:rsidRPr="00B2152E" w:rsidRDefault="0037714D" w:rsidP="00771432">
      <w:pPr>
        <w:widowControl w:val="0"/>
        <w:rPr>
          <w:sz w:val="20"/>
          <w:lang w:val="fr-CA"/>
        </w:rPr>
      </w:pPr>
    </w:p>
    <w:p w:rsidR="0037714D" w:rsidRPr="00B2152E" w:rsidRDefault="0037714D" w:rsidP="00771432">
      <w:pPr>
        <w:widowControl w:val="0"/>
        <w:rPr>
          <w:sz w:val="20"/>
        </w:rPr>
      </w:pPr>
      <w:r w:rsidRPr="00B2152E">
        <w:rPr>
          <w:sz w:val="20"/>
          <w:lang w:val="en-CA"/>
        </w:rPr>
        <w:t xml:space="preserve">The application for leave to appeal from the judgment of the </w:t>
      </w:r>
      <w:r w:rsidRPr="00B2152E">
        <w:rPr>
          <w:sz w:val="20"/>
        </w:rPr>
        <w:t>Court of Appeal of Quebec (Montréal)</w:t>
      </w:r>
      <w:r w:rsidRPr="00B2152E">
        <w:rPr>
          <w:sz w:val="20"/>
          <w:lang w:val="en-CA"/>
        </w:rPr>
        <w:t xml:space="preserve">, Number </w:t>
      </w:r>
      <w:r w:rsidRPr="00B2152E">
        <w:rPr>
          <w:sz w:val="20"/>
        </w:rPr>
        <w:t>500-09-026295-162</w:t>
      </w:r>
      <w:r w:rsidRPr="00B2152E">
        <w:rPr>
          <w:sz w:val="20"/>
          <w:lang w:val="en-CA"/>
        </w:rPr>
        <w:t xml:space="preserve">, </w:t>
      </w:r>
      <w:r w:rsidRPr="00B2152E">
        <w:rPr>
          <w:sz w:val="20"/>
        </w:rPr>
        <w:t xml:space="preserve">2018 QCCA 1067, </w:t>
      </w:r>
      <w:r w:rsidRPr="00B2152E">
        <w:rPr>
          <w:sz w:val="20"/>
          <w:lang w:val="en-CA"/>
        </w:rPr>
        <w:t xml:space="preserve">dated </w:t>
      </w:r>
      <w:r w:rsidRPr="00B2152E">
        <w:rPr>
          <w:sz w:val="20"/>
        </w:rPr>
        <w:t>June 26, 2018,</w:t>
      </w:r>
      <w:r w:rsidRPr="00B2152E">
        <w:rPr>
          <w:sz w:val="20"/>
          <w:lang w:val="en-CA"/>
        </w:rPr>
        <w:t xml:space="preserve"> is dismissed with costs.</w:t>
      </w:r>
    </w:p>
    <w:p w:rsidR="0031387C" w:rsidRPr="00B2152E" w:rsidRDefault="0031387C" w:rsidP="00771432">
      <w:pPr>
        <w:widowControl w:val="0"/>
        <w:rPr>
          <w:sz w:val="20"/>
        </w:rPr>
      </w:pPr>
    </w:p>
    <w:p w:rsidR="003A5E8C" w:rsidRPr="00B2152E" w:rsidRDefault="00186CB6" w:rsidP="003A5E8C">
      <w:pPr>
        <w:jc w:val="both"/>
        <w:rPr>
          <w:sz w:val="20"/>
        </w:rPr>
      </w:pPr>
      <w:r>
        <w:rPr>
          <w:sz w:val="20"/>
        </w:rPr>
        <w:pict>
          <v:rect id="_x0000_i1029" style="width:2in;height:1pt" o:hrpct="0" o:hralign="center" o:hrstd="t" o:hrnoshade="t" o:hr="t" fillcolor="black [3213]" stroked="f"/>
        </w:pict>
      </w:r>
    </w:p>
    <w:p w:rsidR="006F0310" w:rsidRPr="00B2152E" w:rsidRDefault="006F0310" w:rsidP="003A5E8C">
      <w:pPr>
        <w:widowControl w:val="0"/>
        <w:rPr>
          <w:sz w:val="20"/>
        </w:rPr>
      </w:pPr>
    </w:p>
    <w:p w:rsidR="004773AA" w:rsidRPr="00B2152E" w:rsidRDefault="004773AA" w:rsidP="004773AA">
      <w:pPr>
        <w:rPr>
          <w:sz w:val="22"/>
          <w:szCs w:val="22"/>
          <w:lang w:val="fr-CA"/>
        </w:rPr>
      </w:pPr>
      <w:r w:rsidRPr="00B2152E">
        <w:rPr>
          <w:i/>
          <w:sz w:val="22"/>
          <w:szCs w:val="22"/>
          <w:lang w:val="fr-CA"/>
        </w:rPr>
        <w:t>9179-0717 Québec inc. et LEGD inc. c. Ville de Saint-Colomban</w:t>
      </w:r>
      <w:r w:rsidRPr="00B2152E">
        <w:rPr>
          <w:sz w:val="22"/>
          <w:szCs w:val="22"/>
          <w:lang w:val="fr-CA"/>
        </w:rPr>
        <w:t xml:space="preserve"> (Qc) (Civile) (Autorisation) (</w:t>
      </w:r>
      <w:hyperlink r:id="rId12" w:history="1">
        <w:r w:rsidRPr="00B2152E">
          <w:rPr>
            <w:rStyle w:val="Hyperlink"/>
            <w:sz w:val="22"/>
            <w:szCs w:val="22"/>
            <w:lang w:val="fr-CA"/>
          </w:rPr>
          <w:t>38430</w:t>
        </w:r>
      </w:hyperlink>
      <w:r w:rsidRPr="00B2152E">
        <w:rPr>
          <w:sz w:val="22"/>
          <w:szCs w:val="22"/>
          <w:lang w:val="fr-CA"/>
        </w:rPr>
        <w:t>)</w:t>
      </w:r>
    </w:p>
    <w:p w:rsidR="006F0310" w:rsidRPr="00B2152E" w:rsidRDefault="006F0310" w:rsidP="003A5E8C">
      <w:pPr>
        <w:widowControl w:val="0"/>
        <w:rPr>
          <w:sz w:val="20"/>
          <w:lang w:val="fr-CA"/>
        </w:rPr>
      </w:pPr>
    </w:p>
    <w:p w:rsidR="004773AA" w:rsidRPr="00B2152E" w:rsidRDefault="004773AA" w:rsidP="003A5E8C">
      <w:pPr>
        <w:widowControl w:val="0"/>
        <w:rPr>
          <w:sz w:val="20"/>
          <w:lang w:val="fr-CA"/>
        </w:rPr>
      </w:pPr>
      <w:r w:rsidRPr="00B2152E">
        <w:rPr>
          <w:sz w:val="20"/>
          <w:lang w:val="fr-CA"/>
        </w:rPr>
        <w:t>La demande d’autorisation d’appel de l’arrêt de la Cour d’appel du Québec (Montréal), numéro 500-09-026907-170, 2018 QCCA 1828, daté du 4 octobre 2018, est rejetée sans ordonnance quant aux dépens.</w:t>
      </w:r>
    </w:p>
    <w:p w:rsidR="004773AA" w:rsidRPr="00B2152E" w:rsidRDefault="004773AA" w:rsidP="003A5E8C">
      <w:pPr>
        <w:widowControl w:val="0"/>
        <w:rPr>
          <w:sz w:val="20"/>
          <w:lang w:val="fr-CA"/>
        </w:rPr>
      </w:pPr>
    </w:p>
    <w:p w:rsidR="004773AA" w:rsidRPr="00B2152E" w:rsidRDefault="004773AA" w:rsidP="003A5E8C">
      <w:pPr>
        <w:widowControl w:val="0"/>
        <w:rPr>
          <w:sz w:val="20"/>
        </w:rPr>
      </w:pPr>
      <w:r w:rsidRPr="00B2152E">
        <w:rPr>
          <w:sz w:val="20"/>
          <w:lang w:val="en-CA"/>
        </w:rPr>
        <w:t xml:space="preserve">The application for leave to appeal from the judgment of the </w:t>
      </w:r>
      <w:r w:rsidRPr="00B2152E">
        <w:rPr>
          <w:sz w:val="20"/>
        </w:rPr>
        <w:t>Court of Appeal of Quebec (Montréal)</w:t>
      </w:r>
      <w:r w:rsidRPr="00B2152E">
        <w:rPr>
          <w:sz w:val="20"/>
          <w:lang w:val="en-CA"/>
        </w:rPr>
        <w:t xml:space="preserve">, Number </w:t>
      </w:r>
      <w:r w:rsidRPr="00B2152E">
        <w:rPr>
          <w:sz w:val="20"/>
        </w:rPr>
        <w:t>500-09-026907-170</w:t>
      </w:r>
      <w:r w:rsidRPr="00B2152E">
        <w:rPr>
          <w:sz w:val="20"/>
          <w:lang w:val="en-CA"/>
        </w:rPr>
        <w:t xml:space="preserve">, </w:t>
      </w:r>
      <w:r w:rsidRPr="00B2152E">
        <w:rPr>
          <w:sz w:val="20"/>
        </w:rPr>
        <w:t xml:space="preserve">2018 QCCA 1828, </w:t>
      </w:r>
      <w:r w:rsidRPr="00B2152E">
        <w:rPr>
          <w:sz w:val="20"/>
          <w:lang w:val="en-CA"/>
        </w:rPr>
        <w:t xml:space="preserve">dated </w:t>
      </w:r>
      <w:r w:rsidRPr="00B2152E">
        <w:rPr>
          <w:sz w:val="20"/>
        </w:rPr>
        <w:t>October 4, 2018,</w:t>
      </w:r>
      <w:r w:rsidRPr="00B2152E">
        <w:rPr>
          <w:sz w:val="20"/>
          <w:lang w:val="en-CA"/>
        </w:rPr>
        <w:t xml:space="preserve"> is dismissed with no order as to costs.</w:t>
      </w:r>
    </w:p>
    <w:p w:rsidR="0031387C" w:rsidRPr="00B2152E" w:rsidRDefault="0031387C" w:rsidP="003A5E8C">
      <w:pPr>
        <w:widowControl w:val="0"/>
        <w:rPr>
          <w:sz w:val="20"/>
        </w:rPr>
      </w:pPr>
    </w:p>
    <w:p w:rsidR="003A5E8C" w:rsidRPr="00B2152E" w:rsidRDefault="00186CB6" w:rsidP="003A5E8C">
      <w:pPr>
        <w:jc w:val="both"/>
        <w:rPr>
          <w:sz w:val="20"/>
        </w:rPr>
      </w:pPr>
      <w:r>
        <w:rPr>
          <w:sz w:val="20"/>
        </w:rPr>
        <w:pict>
          <v:rect id="_x0000_i1030" style="width:2in;height:1pt" o:hrpct="0" o:hralign="center" o:hrstd="t" o:hrnoshade="t" o:hr="t" fillcolor="black [3213]" stroked="f"/>
        </w:pict>
      </w:r>
    </w:p>
    <w:p w:rsidR="00FC5FC5" w:rsidRPr="00B2152E" w:rsidRDefault="00FC5FC5" w:rsidP="00FC5FC5">
      <w:pPr>
        <w:ind w:left="360" w:hanging="360"/>
        <w:jc w:val="both"/>
        <w:rPr>
          <w:sz w:val="20"/>
          <w:lang w:eastAsia="en-CA"/>
        </w:rPr>
      </w:pPr>
    </w:p>
    <w:p w:rsidR="00975D0F" w:rsidRPr="00B2152E" w:rsidRDefault="00975D0F" w:rsidP="00975D0F">
      <w:pPr>
        <w:rPr>
          <w:sz w:val="22"/>
          <w:szCs w:val="22"/>
        </w:rPr>
      </w:pPr>
      <w:r w:rsidRPr="00B2152E">
        <w:rPr>
          <w:i/>
          <w:sz w:val="22"/>
          <w:szCs w:val="22"/>
        </w:rPr>
        <w:t>Mariam Adam v. Canadian Imperial Bank of Commerce</w:t>
      </w:r>
      <w:r w:rsidRPr="00B2152E">
        <w:rPr>
          <w:sz w:val="22"/>
          <w:szCs w:val="22"/>
        </w:rPr>
        <w:t xml:space="preserve"> (Man.) (Civil) (By Leave) (</w:t>
      </w:r>
      <w:hyperlink r:id="rId13" w:history="1">
        <w:r w:rsidRPr="00B2152E">
          <w:rPr>
            <w:rStyle w:val="Hyperlink"/>
            <w:sz w:val="22"/>
            <w:szCs w:val="22"/>
          </w:rPr>
          <w:t>38477</w:t>
        </w:r>
      </w:hyperlink>
      <w:r w:rsidRPr="00B2152E">
        <w:rPr>
          <w:sz w:val="22"/>
          <w:szCs w:val="22"/>
        </w:rPr>
        <w:t>)</w:t>
      </w:r>
    </w:p>
    <w:p w:rsidR="006F0310" w:rsidRPr="00B2152E" w:rsidRDefault="006F0310" w:rsidP="003A5E8C">
      <w:pPr>
        <w:widowControl w:val="0"/>
        <w:rPr>
          <w:sz w:val="20"/>
        </w:rPr>
      </w:pPr>
    </w:p>
    <w:p w:rsidR="00975D0F" w:rsidRPr="00B2152E" w:rsidRDefault="00975D0F" w:rsidP="003A5E8C">
      <w:pPr>
        <w:widowControl w:val="0"/>
        <w:rPr>
          <w:sz w:val="20"/>
        </w:rPr>
      </w:pPr>
      <w:r w:rsidRPr="00B2152E">
        <w:rPr>
          <w:sz w:val="20"/>
        </w:rPr>
        <w:t>The application for leave to appeal from the judgment of the Court of Appeal of Manitoba, Number AI17-30-08828, 2018 MBCA 38, dated April 9, 2018, is dismissed with costs.</w:t>
      </w:r>
    </w:p>
    <w:p w:rsidR="00975D0F" w:rsidRPr="00B2152E" w:rsidRDefault="00975D0F" w:rsidP="003A5E8C">
      <w:pPr>
        <w:widowControl w:val="0"/>
        <w:rPr>
          <w:sz w:val="20"/>
        </w:rPr>
      </w:pPr>
    </w:p>
    <w:p w:rsidR="0031387C" w:rsidRPr="00B2152E" w:rsidRDefault="00975D0F" w:rsidP="003A5E8C">
      <w:pPr>
        <w:widowControl w:val="0"/>
        <w:rPr>
          <w:sz w:val="20"/>
          <w:lang w:val="fr-CA"/>
        </w:rPr>
      </w:pPr>
      <w:r w:rsidRPr="00B2152E">
        <w:rPr>
          <w:sz w:val="20"/>
          <w:lang w:val="fr-CA"/>
        </w:rPr>
        <w:t>La demande d’autorisation d’appel de l’arrêt de la Cour d’appel du Manitoba, numéro AI17-30-08828, 2018 MBCA 38, daté du 9 avril 2018, est rejetée avec dépens.</w:t>
      </w:r>
    </w:p>
    <w:p w:rsidR="0031387C" w:rsidRPr="00B2152E" w:rsidRDefault="0031387C" w:rsidP="003A5E8C">
      <w:pPr>
        <w:widowControl w:val="0"/>
        <w:rPr>
          <w:sz w:val="20"/>
          <w:lang w:val="fr-CA"/>
        </w:rPr>
      </w:pPr>
    </w:p>
    <w:p w:rsidR="003A5E8C" w:rsidRPr="00B2152E" w:rsidRDefault="00186CB6" w:rsidP="003A5E8C">
      <w:pPr>
        <w:jc w:val="both"/>
        <w:rPr>
          <w:sz w:val="20"/>
        </w:rPr>
      </w:pPr>
      <w:r>
        <w:rPr>
          <w:sz w:val="20"/>
        </w:rPr>
        <w:pict>
          <v:rect id="_x0000_i1031" style="width:2in;height:1pt" o:hrpct="0" o:hralign="center" o:hrstd="t" o:hrnoshade="t" o:hr="t" fillcolor="black [3213]" stroked="f"/>
        </w:pict>
      </w:r>
    </w:p>
    <w:p w:rsidR="001D2E61" w:rsidRPr="00B2152E" w:rsidRDefault="001D2E61" w:rsidP="001D2E61">
      <w:pPr>
        <w:jc w:val="both"/>
        <w:rPr>
          <w:sz w:val="20"/>
        </w:rPr>
      </w:pPr>
    </w:p>
    <w:p w:rsidR="00675A18" w:rsidRPr="00B2152E" w:rsidRDefault="00675A18" w:rsidP="00675A18">
      <w:pPr>
        <w:rPr>
          <w:sz w:val="22"/>
          <w:szCs w:val="22"/>
        </w:rPr>
      </w:pPr>
      <w:r w:rsidRPr="00B2152E">
        <w:rPr>
          <w:i/>
          <w:sz w:val="22"/>
          <w:szCs w:val="22"/>
        </w:rPr>
        <w:t>Mariam Adam v. Manufacturers Life Insurance Company</w:t>
      </w:r>
      <w:r w:rsidRPr="00B2152E">
        <w:rPr>
          <w:sz w:val="22"/>
          <w:szCs w:val="22"/>
        </w:rPr>
        <w:t xml:space="preserve"> </w:t>
      </w:r>
      <w:r w:rsidRPr="00B2152E">
        <w:rPr>
          <w:i/>
          <w:sz w:val="22"/>
          <w:szCs w:val="22"/>
        </w:rPr>
        <w:t>(Manulife)</w:t>
      </w:r>
      <w:r w:rsidRPr="00B2152E">
        <w:rPr>
          <w:sz w:val="22"/>
          <w:szCs w:val="22"/>
        </w:rPr>
        <w:t xml:space="preserve"> (Man.) (Civil) (By Leave) (</w:t>
      </w:r>
      <w:hyperlink r:id="rId14" w:history="1">
        <w:r w:rsidRPr="00B2152E">
          <w:rPr>
            <w:rStyle w:val="Hyperlink"/>
            <w:sz w:val="22"/>
            <w:szCs w:val="22"/>
          </w:rPr>
          <w:t>38460</w:t>
        </w:r>
      </w:hyperlink>
      <w:r w:rsidRPr="00B2152E">
        <w:rPr>
          <w:sz w:val="22"/>
          <w:szCs w:val="22"/>
        </w:rPr>
        <w:t>)</w:t>
      </w:r>
    </w:p>
    <w:p w:rsidR="006F0310" w:rsidRPr="00B2152E" w:rsidRDefault="006F0310" w:rsidP="00FB2825">
      <w:pPr>
        <w:jc w:val="both"/>
        <w:rPr>
          <w:sz w:val="20"/>
        </w:rPr>
      </w:pPr>
    </w:p>
    <w:p w:rsidR="00675A18" w:rsidRPr="00B2152E" w:rsidRDefault="00675A18" w:rsidP="00FB2825">
      <w:pPr>
        <w:jc w:val="both"/>
        <w:rPr>
          <w:sz w:val="20"/>
        </w:rPr>
      </w:pPr>
      <w:r w:rsidRPr="00B2152E">
        <w:rPr>
          <w:sz w:val="20"/>
        </w:rPr>
        <w:t>The application for leave to appeal from the judgment of the Court of Appeal of Manitoba, Number AI17-30-08742, 2018 MBCA 37, dated April 9, 2018, is dismissed with no order as to costs</w:t>
      </w:r>
    </w:p>
    <w:p w:rsidR="00675A18" w:rsidRPr="00B2152E" w:rsidRDefault="00675A18" w:rsidP="00FB2825">
      <w:pPr>
        <w:jc w:val="both"/>
        <w:rPr>
          <w:sz w:val="20"/>
        </w:rPr>
      </w:pPr>
    </w:p>
    <w:p w:rsidR="0031387C" w:rsidRPr="00B2152E" w:rsidRDefault="00675A18" w:rsidP="00FB2825">
      <w:pPr>
        <w:jc w:val="both"/>
        <w:rPr>
          <w:sz w:val="20"/>
          <w:lang w:val="fr-CA"/>
        </w:rPr>
      </w:pPr>
      <w:r w:rsidRPr="00B2152E">
        <w:rPr>
          <w:sz w:val="20"/>
          <w:lang w:val="fr-CA"/>
        </w:rPr>
        <w:t>La demande d’autorisation d’appel de l’arrêt de la Cour d’appel du Manitoba, numéro AI17-30-08742, 2018 MBCA 37, daté du 9 avril 2018, est rejetée sans ordonnance quant aux dépens.</w:t>
      </w:r>
    </w:p>
    <w:p w:rsidR="0031387C" w:rsidRPr="00B2152E" w:rsidRDefault="0031387C" w:rsidP="00FB2825">
      <w:pPr>
        <w:jc w:val="both"/>
        <w:rPr>
          <w:sz w:val="20"/>
          <w:lang w:val="fr-CA"/>
        </w:rPr>
      </w:pPr>
    </w:p>
    <w:p w:rsidR="00FB2825" w:rsidRPr="00B2152E" w:rsidRDefault="00186CB6" w:rsidP="00FB2825">
      <w:pPr>
        <w:jc w:val="both"/>
        <w:rPr>
          <w:sz w:val="20"/>
        </w:rPr>
      </w:pPr>
      <w:r>
        <w:rPr>
          <w:sz w:val="20"/>
        </w:rPr>
        <w:lastRenderedPageBreak/>
        <w:pict>
          <v:rect id="_x0000_i1032" style="width:2in;height:1pt" o:hrpct="0" o:hralign="center" o:hrstd="t" o:hrnoshade="t" o:hr="t" fillcolor="black [3213]" stroked="f"/>
        </w:pict>
      </w:r>
    </w:p>
    <w:p w:rsidR="00156172" w:rsidRPr="00B2152E" w:rsidRDefault="00156172" w:rsidP="00156172">
      <w:pPr>
        <w:jc w:val="both"/>
        <w:rPr>
          <w:sz w:val="20"/>
        </w:rPr>
      </w:pPr>
    </w:p>
    <w:p w:rsidR="00F4294C" w:rsidRPr="00B2152E" w:rsidRDefault="00F4294C" w:rsidP="00F4294C">
      <w:pPr>
        <w:rPr>
          <w:sz w:val="22"/>
          <w:szCs w:val="22"/>
          <w:lang w:val="fr-CA"/>
        </w:rPr>
      </w:pPr>
      <w:r w:rsidRPr="00B2152E">
        <w:rPr>
          <w:i/>
          <w:sz w:val="22"/>
          <w:szCs w:val="22"/>
          <w:lang w:val="fr-CA"/>
        </w:rPr>
        <w:t xml:space="preserve">Wilfrid Nguesso c. Ministre de la Citoyenneté et de l’Immigration </w:t>
      </w:r>
      <w:r w:rsidRPr="00B2152E">
        <w:rPr>
          <w:sz w:val="22"/>
          <w:szCs w:val="22"/>
          <w:lang w:val="fr-CA"/>
        </w:rPr>
        <w:t>(C.F.) (Civile) (Autorisation) (</w:t>
      </w:r>
      <w:hyperlink r:id="rId15" w:history="1">
        <w:r w:rsidRPr="00B2152E">
          <w:rPr>
            <w:rStyle w:val="Hyperlink"/>
            <w:sz w:val="22"/>
            <w:szCs w:val="22"/>
            <w:lang w:val="fr-CA"/>
          </w:rPr>
          <w:t>38330</w:t>
        </w:r>
      </w:hyperlink>
      <w:r w:rsidRPr="00B2152E">
        <w:rPr>
          <w:sz w:val="22"/>
          <w:szCs w:val="22"/>
          <w:lang w:val="fr-CA"/>
        </w:rPr>
        <w:t>)</w:t>
      </w:r>
    </w:p>
    <w:p w:rsidR="00156172" w:rsidRPr="00B2152E" w:rsidRDefault="00156172" w:rsidP="00156172">
      <w:pPr>
        <w:widowControl w:val="0"/>
        <w:rPr>
          <w:sz w:val="20"/>
          <w:lang w:val="fr-CA"/>
        </w:rPr>
      </w:pPr>
    </w:p>
    <w:p w:rsidR="00F4294C" w:rsidRPr="00B2152E" w:rsidRDefault="00F4294C" w:rsidP="00156172">
      <w:pPr>
        <w:widowControl w:val="0"/>
        <w:rPr>
          <w:sz w:val="20"/>
          <w:lang w:val="fr-CA"/>
        </w:rPr>
      </w:pPr>
      <w:r w:rsidRPr="00B2152E">
        <w:rPr>
          <w:sz w:val="20"/>
          <w:lang w:val="fr-CA"/>
        </w:rPr>
        <w:t>La demande d’autorisation d’appel de l’arrêt de la Cour d’appel fédérale, numéro A-466-16, 2018 CAF 145, daté du 1</w:t>
      </w:r>
      <w:r w:rsidRPr="00B2152E">
        <w:rPr>
          <w:sz w:val="20"/>
          <w:vertAlign w:val="superscript"/>
          <w:lang w:val="fr-CA"/>
        </w:rPr>
        <w:t>er</w:t>
      </w:r>
      <w:r w:rsidRPr="00B2152E">
        <w:rPr>
          <w:sz w:val="20"/>
          <w:lang w:val="fr-CA"/>
        </w:rPr>
        <w:t> août 2018, est rejetée avec dépens.</w:t>
      </w:r>
    </w:p>
    <w:p w:rsidR="00F4294C" w:rsidRPr="00B2152E" w:rsidRDefault="00F4294C" w:rsidP="00156172">
      <w:pPr>
        <w:widowControl w:val="0"/>
        <w:rPr>
          <w:sz w:val="20"/>
          <w:lang w:val="fr-CA"/>
        </w:rPr>
      </w:pPr>
    </w:p>
    <w:p w:rsidR="0031387C" w:rsidRPr="00B2152E" w:rsidRDefault="00F4294C" w:rsidP="00156172">
      <w:pPr>
        <w:widowControl w:val="0"/>
        <w:rPr>
          <w:sz w:val="20"/>
        </w:rPr>
      </w:pPr>
      <w:r w:rsidRPr="00B2152E">
        <w:rPr>
          <w:sz w:val="20"/>
          <w:lang w:val="en-CA"/>
        </w:rPr>
        <w:t xml:space="preserve">The application for leave to appeal from the judgment of the </w:t>
      </w:r>
      <w:r w:rsidRPr="00B2152E">
        <w:rPr>
          <w:sz w:val="20"/>
        </w:rPr>
        <w:t>Federal Court of Appeal</w:t>
      </w:r>
      <w:r w:rsidRPr="00B2152E">
        <w:rPr>
          <w:sz w:val="20"/>
          <w:lang w:val="en-CA"/>
        </w:rPr>
        <w:t xml:space="preserve">, Number </w:t>
      </w:r>
      <w:r w:rsidRPr="00B2152E">
        <w:rPr>
          <w:sz w:val="20"/>
        </w:rPr>
        <w:t>A-466-16, 2018 CAF 145</w:t>
      </w:r>
      <w:r w:rsidRPr="00B2152E">
        <w:rPr>
          <w:sz w:val="20"/>
          <w:lang w:val="en-CA"/>
        </w:rPr>
        <w:t xml:space="preserve">, dated </w:t>
      </w:r>
      <w:r w:rsidRPr="00B2152E">
        <w:rPr>
          <w:sz w:val="20"/>
        </w:rPr>
        <w:t>August 1, 2018,</w:t>
      </w:r>
      <w:r w:rsidRPr="00B2152E">
        <w:rPr>
          <w:sz w:val="20"/>
          <w:lang w:val="en-CA"/>
        </w:rPr>
        <w:t xml:space="preserve"> is dismissed with costs.</w:t>
      </w:r>
    </w:p>
    <w:p w:rsidR="0031387C" w:rsidRPr="00B2152E" w:rsidRDefault="0031387C" w:rsidP="00156172">
      <w:pPr>
        <w:widowControl w:val="0"/>
        <w:rPr>
          <w:sz w:val="20"/>
        </w:rPr>
      </w:pPr>
    </w:p>
    <w:p w:rsidR="00156172" w:rsidRPr="00B2152E" w:rsidRDefault="00186CB6" w:rsidP="00156172">
      <w:pPr>
        <w:jc w:val="both"/>
        <w:rPr>
          <w:sz w:val="20"/>
        </w:rPr>
      </w:pPr>
      <w:r>
        <w:rPr>
          <w:sz w:val="20"/>
        </w:rPr>
        <w:pict>
          <v:rect id="_x0000_i1033" style="width:2in;height:1pt" o:hrpct="0" o:hralign="center" o:hrstd="t" o:hrnoshade="t" o:hr="t" fillcolor="black [3213]" stroked="f"/>
        </w:pict>
      </w:r>
    </w:p>
    <w:p w:rsidR="00156172" w:rsidRPr="00B2152E" w:rsidRDefault="00156172" w:rsidP="00156172">
      <w:pPr>
        <w:jc w:val="both"/>
        <w:rPr>
          <w:sz w:val="20"/>
        </w:rPr>
      </w:pPr>
    </w:p>
    <w:p w:rsidR="005B65BA" w:rsidRPr="00B2152E" w:rsidRDefault="005B65BA" w:rsidP="005B65BA">
      <w:pPr>
        <w:rPr>
          <w:sz w:val="22"/>
          <w:szCs w:val="22"/>
        </w:rPr>
      </w:pPr>
      <w:r w:rsidRPr="00B2152E">
        <w:rPr>
          <w:i/>
          <w:sz w:val="22"/>
          <w:szCs w:val="22"/>
        </w:rPr>
        <w:t>Claudette Wood, Bruce Cook and John Featherstone v. CTS of Canada Co. and CTS Corporation</w:t>
      </w:r>
      <w:r w:rsidRPr="00B2152E">
        <w:rPr>
          <w:sz w:val="22"/>
          <w:szCs w:val="22"/>
        </w:rPr>
        <w:t xml:space="preserve"> (Ont.) (Civil) (By Leave) (</w:t>
      </w:r>
      <w:hyperlink r:id="rId16" w:history="1">
        <w:r w:rsidRPr="00B2152E">
          <w:rPr>
            <w:rStyle w:val="Hyperlink"/>
            <w:sz w:val="22"/>
            <w:szCs w:val="22"/>
          </w:rPr>
          <w:t>38404</w:t>
        </w:r>
      </w:hyperlink>
      <w:r w:rsidRPr="00B2152E">
        <w:rPr>
          <w:sz w:val="22"/>
          <w:szCs w:val="22"/>
        </w:rPr>
        <w:t>)</w:t>
      </w:r>
    </w:p>
    <w:p w:rsidR="00156172" w:rsidRPr="00B2152E" w:rsidRDefault="00156172" w:rsidP="00156172">
      <w:pPr>
        <w:widowControl w:val="0"/>
        <w:rPr>
          <w:sz w:val="20"/>
        </w:rPr>
      </w:pPr>
    </w:p>
    <w:p w:rsidR="005B65BA" w:rsidRPr="00B2152E" w:rsidRDefault="005B65BA" w:rsidP="00156172">
      <w:pPr>
        <w:widowControl w:val="0"/>
        <w:rPr>
          <w:sz w:val="20"/>
        </w:rPr>
      </w:pPr>
      <w:r w:rsidRPr="00B2152E">
        <w:rPr>
          <w:sz w:val="20"/>
        </w:rPr>
        <w:t>The application for leave to appeal from the judgment of the Court of Appeal for Ontario, Number C64519, 2018 ONCA 758, dated September 19, 2018, is dismissed with costs.</w:t>
      </w:r>
    </w:p>
    <w:p w:rsidR="005B65BA" w:rsidRPr="00B2152E" w:rsidRDefault="005B65BA" w:rsidP="00156172">
      <w:pPr>
        <w:widowControl w:val="0"/>
        <w:rPr>
          <w:sz w:val="20"/>
        </w:rPr>
      </w:pPr>
    </w:p>
    <w:p w:rsidR="0031387C" w:rsidRPr="00B2152E" w:rsidRDefault="005B65BA" w:rsidP="00156172">
      <w:pPr>
        <w:widowControl w:val="0"/>
        <w:rPr>
          <w:sz w:val="20"/>
          <w:lang w:val="fr-CA"/>
        </w:rPr>
      </w:pPr>
      <w:r w:rsidRPr="00B2152E">
        <w:rPr>
          <w:sz w:val="20"/>
          <w:lang w:val="fr-CA"/>
        </w:rPr>
        <w:t>La demande d’autorisation d’appel de l’arrêt de la Cour d’appel de l’Ontario, numéro C64519, 2018 ONCA 758, daté du 19 septembre 2018, est rejetée avec dépens.</w:t>
      </w:r>
    </w:p>
    <w:p w:rsidR="0031387C" w:rsidRPr="00B2152E" w:rsidRDefault="0031387C" w:rsidP="00156172">
      <w:pPr>
        <w:widowControl w:val="0"/>
        <w:rPr>
          <w:sz w:val="20"/>
          <w:lang w:val="fr-CA"/>
        </w:rPr>
      </w:pPr>
    </w:p>
    <w:p w:rsidR="00156172" w:rsidRPr="00B2152E" w:rsidRDefault="00186CB6" w:rsidP="00156172">
      <w:pPr>
        <w:jc w:val="both"/>
        <w:rPr>
          <w:sz w:val="20"/>
        </w:rPr>
      </w:pPr>
      <w:r>
        <w:rPr>
          <w:sz w:val="20"/>
        </w:rPr>
        <w:pict>
          <v:rect id="_x0000_i1034" style="width:2in;height:1pt" o:hrpct="0" o:hralign="center" o:hrstd="t" o:hrnoshade="t" o:hr="t" fillcolor="black [3213]" stroked="f"/>
        </w:pict>
      </w:r>
    </w:p>
    <w:p w:rsidR="0031387C" w:rsidRPr="00B2152E" w:rsidRDefault="0031387C" w:rsidP="0031387C">
      <w:pPr>
        <w:jc w:val="both"/>
        <w:rPr>
          <w:sz w:val="20"/>
        </w:rPr>
      </w:pPr>
    </w:p>
    <w:p w:rsidR="0013170A" w:rsidRPr="00B2152E" w:rsidRDefault="0013170A" w:rsidP="0013170A">
      <w:pPr>
        <w:rPr>
          <w:sz w:val="22"/>
          <w:szCs w:val="22"/>
        </w:rPr>
      </w:pPr>
      <w:r w:rsidRPr="00B2152E">
        <w:rPr>
          <w:i/>
          <w:sz w:val="22"/>
          <w:szCs w:val="22"/>
        </w:rPr>
        <w:t xml:space="preserve">Tim Wood, Litigation Representative of K.S., an Infant v. David Willox and Brian Muir </w:t>
      </w:r>
      <w:r w:rsidRPr="00B2152E">
        <w:rPr>
          <w:sz w:val="22"/>
          <w:szCs w:val="22"/>
        </w:rPr>
        <w:t>(Alta.) (Civil) (By Leave) (</w:t>
      </w:r>
      <w:hyperlink r:id="rId17" w:history="1">
        <w:r w:rsidRPr="00B2152E">
          <w:rPr>
            <w:rStyle w:val="Hyperlink"/>
            <w:sz w:val="22"/>
            <w:szCs w:val="22"/>
          </w:rPr>
          <w:t>38346</w:t>
        </w:r>
      </w:hyperlink>
      <w:r w:rsidRPr="00B2152E">
        <w:rPr>
          <w:sz w:val="22"/>
          <w:szCs w:val="22"/>
        </w:rPr>
        <w:t>)</w:t>
      </w:r>
    </w:p>
    <w:p w:rsidR="0031387C" w:rsidRPr="00B2152E" w:rsidRDefault="0031387C" w:rsidP="0031387C">
      <w:pPr>
        <w:widowControl w:val="0"/>
        <w:rPr>
          <w:sz w:val="20"/>
        </w:rPr>
      </w:pPr>
    </w:p>
    <w:p w:rsidR="0013170A" w:rsidRPr="00B2152E" w:rsidRDefault="0013170A" w:rsidP="0031387C">
      <w:pPr>
        <w:widowControl w:val="0"/>
        <w:rPr>
          <w:sz w:val="20"/>
        </w:rPr>
      </w:pPr>
      <w:r w:rsidRPr="00B2152E">
        <w:rPr>
          <w:sz w:val="20"/>
        </w:rPr>
        <w:t>The application for leave to appeal from the judgment of the Court of Appeal of Alberta (Edmonton), Number 1603-0233-AC, 2018 ABCA 271, dated August 21, 2018, is dismissed with costs.</w:t>
      </w:r>
    </w:p>
    <w:p w:rsidR="0013170A" w:rsidRPr="00B2152E" w:rsidRDefault="0013170A" w:rsidP="0031387C">
      <w:pPr>
        <w:widowControl w:val="0"/>
        <w:rPr>
          <w:sz w:val="20"/>
        </w:rPr>
      </w:pPr>
    </w:p>
    <w:p w:rsidR="0013170A" w:rsidRPr="00B2152E" w:rsidRDefault="0013170A" w:rsidP="0031387C">
      <w:pPr>
        <w:widowControl w:val="0"/>
        <w:rPr>
          <w:sz w:val="20"/>
          <w:lang w:val="fr-CA"/>
        </w:rPr>
      </w:pPr>
      <w:r w:rsidRPr="00B2152E">
        <w:rPr>
          <w:sz w:val="20"/>
          <w:lang w:val="fr-CA"/>
        </w:rPr>
        <w:t>La demande d’autorisation d’appel de l’arrêt de la Cour d’appel de l’Alberta (Edmonton), numéro 1603-0233-AC, 2018 ABCA 271, daté du 21 août 2018, est rejetée avec dépens.</w:t>
      </w:r>
    </w:p>
    <w:p w:rsidR="0031387C" w:rsidRPr="00B2152E" w:rsidRDefault="0031387C" w:rsidP="0031387C">
      <w:pPr>
        <w:widowControl w:val="0"/>
        <w:rPr>
          <w:sz w:val="20"/>
          <w:lang w:val="fr-CA"/>
        </w:rPr>
      </w:pPr>
    </w:p>
    <w:p w:rsidR="0031387C" w:rsidRPr="00B2152E" w:rsidRDefault="00186CB6" w:rsidP="0031387C">
      <w:pPr>
        <w:jc w:val="both"/>
        <w:rPr>
          <w:sz w:val="20"/>
        </w:rPr>
      </w:pPr>
      <w:r>
        <w:rPr>
          <w:sz w:val="20"/>
        </w:rPr>
        <w:pict>
          <v:rect id="_x0000_i1035" style="width:2in;height:1pt" o:hrpct="0" o:hralign="center" o:hrstd="t" o:hrnoshade="t" o:hr="t" fillcolor="black [3213]" stroked="f"/>
        </w:pict>
      </w:r>
    </w:p>
    <w:p w:rsidR="0031387C" w:rsidRPr="00B2152E" w:rsidRDefault="0031387C" w:rsidP="0031387C">
      <w:pPr>
        <w:widowControl w:val="0"/>
        <w:rPr>
          <w:sz w:val="20"/>
        </w:rPr>
      </w:pPr>
    </w:p>
    <w:p w:rsidR="00D60131" w:rsidRPr="00B2152E" w:rsidRDefault="00D60131" w:rsidP="00D60131">
      <w:pPr>
        <w:rPr>
          <w:sz w:val="22"/>
          <w:szCs w:val="22"/>
        </w:rPr>
      </w:pPr>
      <w:r w:rsidRPr="00B2152E">
        <w:rPr>
          <w:i/>
          <w:sz w:val="22"/>
          <w:szCs w:val="22"/>
        </w:rPr>
        <w:t>Saju Begum v. Minister of Citizenship and Immigration</w:t>
      </w:r>
      <w:r w:rsidRPr="00B2152E">
        <w:rPr>
          <w:sz w:val="22"/>
          <w:szCs w:val="22"/>
        </w:rPr>
        <w:t xml:space="preserve"> (F.C.) (Civil) (By Leave) (</w:t>
      </w:r>
      <w:hyperlink r:id="rId18" w:history="1">
        <w:r w:rsidRPr="00B2152E">
          <w:rPr>
            <w:rStyle w:val="Hyperlink"/>
            <w:sz w:val="22"/>
            <w:szCs w:val="22"/>
          </w:rPr>
          <w:t>38439</w:t>
        </w:r>
      </w:hyperlink>
      <w:r w:rsidRPr="00B2152E">
        <w:rPr>
          <w:sz w:val="22"/>
          <w:szCs w:val="22"/>
        </w:rPr>
        <w:t>)</w:t>
      </w:r>
    </w:p>
    <w:p w:rsidR="0031387C" w:rsidRPr="00B2152E" w:rsidRDefault="0031387C" w:rsidP="0031387C">
      <w:pPr>
        <w:widowControl w:val="0"/>
        <w:rPr>
          <w:sz w:val="20"/>
        </w:rPr>
      </w:pPr>
    </w:p>
    <w:p w:rsidR="0031387C" w:rsidRPr="00B2152E" w:rsidRDefault="00D60131" w:rsidP="0031387C">
      <w:pPr>
        <w:widowControl w:val="0"/>
        <w:rPr>
          <w:sz w:val="20"/>
        </w:rPr>
      </w:pPr>
      <w:r w:rsidRPr="00B2152E">
        <w:rPr>
          <w:sz w:val="20"/>
        </w:rPr>
        <w:t>The application for leave to appeal from the judgment of the Federal Court of Appeal, Number A-169-17, 2018 FCA 181, dated October 10, 2018, is dismissed without costs.</w:t>
      </w:r>
    </w:p>
    <w:p w:rsidR="00D60131" w:rsidRPr="00B2152E" w:rsidRDefault="00D60131" w:rsidP="0031387C">
      <w:pPr>
        <w:widowControl w:val="0"/>
        <w:rPr>
          <w:sz w:val="20"/>
        </w:rPr>
      </w:pPr>
    </w:p>
    <w:p w:rsidR="00D60131" w:rsidRPr="00B2152E" w:rsidRDefault="00D60131" w:rsidP="0031387C">
      <w:pPr>
        <w:widowControl w:val="0"/>
        <w:rPr>
          <w:sz w:val="20"/>
          <w:lang w:val="fr-CA"/>
        </w:rPr>
      </w:pPr>
      <w:r w:rsidRPr="00B2152E">
        <w:rPr>
          <w:sz w:val="20"/>
          <w:lang w:val="fr-CA"/>
        </w:rPr>
        <w:t>La demande d’autorisation d’appel de l’arrêt de la Cour d’appel fédérale, numéro A-169-17, 2018 CAF 181, daté du 10 octobre 2018, est rejetée sans dépens.</w:t>
      </w:r>
    </w:p>
    <w:p w:rsidR="0031387C" w:rsidRPr="00B2152E" w:rsidRDefault="0031387C" w:rsidP="0031387C">
      <w:pPr>
        <w:widowControl w:val="0"/>
        <w:rPr>
          <w:sz w:val="20"/>
          <w:lang w:val="fr-CA"/>
        </w:rPr>
      </w:pPr>
    </w:p>
    <w:p w:rsidR="0031387C" w:rsidRPr="00B2152E" w:rsidRDefault="00186CB6" w:rsidP="0031387C">
      <w:pPr>
        <w:jc w:val="both"/>
        <w:rPr>
          <w:sz w:val="20"/>
        </w:rPr>
      </w:pPr>
      <w:r>
        <w:rPr>
          <w:sz w:val="20"/>
        </w:rPr>
        <w:pict>
          <v:rect id="_x0000_i1036" style="width:2in;height:1pt" o:hrpct="0" o:hralign="center" o:hrstd="t" o:hrnoshade="t" o:hr="t" fillcolor="black [3213]" stroked="f"/>
        </w:pict>
      </w:r>
    </w:p>
    <w:p w:rsidR="0031387C" w:rsidRPr="00B2152E" w:rsidRDefault="0031387C" w:rsidP="0031387C">
      <w:pPr>
        <w:ind w:left="360" w:hanging="360"/>
        <w:jc w:val="both"/>
        <w:rPr>
          <w:sz w:val="20"/>
          <w:lang w:eastAsia="en-CA"/>
        </w:rPr>
      </w:pPr>
    </w:p>
    <w:p w:rsidR="0042539D" w:rsidRPr="00B2152E" w:rsidRDefault="0042539D" w:rsidP="0042539D">
      <w:pPr>
        <w:pStyle w:val="SCCAppellantInfoAppellantInfo"/>
        <w:rPr>
          <w:sz w:val="22"/>
          <w:szCs w:val="22"/>
        </w:rPr>
      </w:pPr>
      <w:r w:rsidRPr="00B2152E">
        <w:rPr>
          <w:i/>
          <w:sz w:val="22"/>
          <w:szCs w:val="22"/>
        </w:rPr>
        <w:t>Chief of Police of the Calgary Police Service v. Marc Strong - and - Alberta Law Enforcement Review Board</w:t>
      </w:r>
      <w:r w:rsidRPr="00B2152E">
        <w:rPr>
          <w:sz w:val="22"/>
          <w:szCs w:val="22"/>
        </w:rPr>
        <w:t xml:space="preserve"> (Alta.) (Civil) (By Leave) (</w:t>
      </w:r>
      <w:hyperlink r:id="rId19" w:history="1">
        <w:r w:rsidRPr="00B2152E">
          <w:rPr>
            <w:rStyle w:val="Hyperlink"/>
            <w:sz w:val="22"/>
            <w:szCs w:val="22"/>
          </w:rPr>
          <w:t>38446</w:t>
        </w:r>
      </w:hyperlink>
      <w:r w:rsidRPr="00B2152E">
        <w:rPr>
          <w:sz w:val="22"/>
          <w:szCs w:val="22"/>
        </w:rPr>
        <w:t>)</w:t>
      </w:r>
    </w:p>
    <w:p w:rsidR="0031387C" w:rsidRPr="00B2152E" w:rsidRDefault="0031387C" w:rsidP="0031387C">
      <w:pPr>
        <w:widowControl w:val="0"/>
        <w:rPr>
          <w:sz w:val="20"/>
        </w:rPr>
      </w:pPr>
    </w:p>
    <w:p w:rsidR="0031387C" w:rsidRPr="00B2152E" w:rsidRDefault="0042539D" w:rsidP="0031387C">
      <w:pPr>
        <w:widowControl w:val="0"/>
        <w:rPr>
          <w:sz w:val="20"/>
        </w:rPr>
      </w:pPr>
      <w:r w:rsidRPr="00B2152E">
        <w:rPr>
          <w:sz w:val="20"/>
        </w:rPr>
        <w:t>The application for leave to appeal from the judgment of the Court of Appeal of Alberta (Calgary), Number 1701-0163-AC, 2018 ABCA 340, dated October 18, 2018, is dismissed without costs.</w:t>
      </w:r>
    </w:p>
    <w:p w:rsidR="0042539D" w:rsidRPr="00B2152E" w:rsidRDefault="0042539D" w:rsidP="0031387C">
      <w:pPr>
        <w:widowControl w:val="0"/>
        <w:rPr>
          <w:sz w:val="20"/>
        </w:rPr>
      </w:pPr>
    </w:p>
    <w:p w:rsidR="0042539D" w:rsidRPr="00B2152E" w:rsidRDefault="0042539D" w:rsidP="0031387C">
      <w:pPr>
        <w:widowControl w:val="0"/>
        <w:rPr>
          <w:sz w:val="20"/>
          <w:lang w:val="fr-CA"/>
        </w:rPr>
      </w:pPr>
      <w:r w:rsidRPr="00B2152E">
        <w:rPr>
          <w:sz w:val="20"/>
          <w:lang w:val="fr-CA"/>
        </w:rPr>
        <w:t>La demande d’autorisation d’appel de l’arrêt de la Cour d’appel de l’Alberta (Calgary), numéro 1701-0163-AC, 2018 ABCA 340, daté du 18 octobre 2018, est rejetée sans dépens.</w:t>
      </w:r>
    </w:p>
    <w:p w:rsidR="0031387C" w:rsidRPr="00B2152E" w:rsidRDefault="0031387C" w:rsidP="0031387C">
      <w:pPr>
        <w:widowControl w:val="0"/>
        <w:rPr>
          <w:sz w:val="20"/>
          <w:lang w:val="fr-CA"/>
        </w:rPr>
      </w:pPr>
    </w:p>
    <w:p w:rsidR="0031387C" w:rsidRPr="00B2152E" w:rsidRDefault="00186CB6" w:rsidP="0031387C">
      <w:pPr>
        <w:jc w:val="both"/>
        <w:rPr>
          <w:sz w:val="20"/>
        </w:rPr>
      </w:pPr>
      <w:r>
        <w:rPr>
          <w:sz w:val="20"/>
        </w:rPr>
        <w:pict>
          <v:rect id="_x0000_i1037" style="width:2in;height:1pt" o:hrpct="0" o:hralign="center" o:hrstd="t" o:hrnoshade="t" o:hr="t" fillcolor="black [3213]" stroked="f"/>
        </w:pict>
      </w:r>
    </w:p>
    <w:p w:rsidR="0031387C" w:rsidRPr="00B2152E" w:rsidRDefault="0031387C" w:rsidP="0031387C">
      <w:pPr>
        <w:jc w:val="both"/>
        <w:rPr>
          <w:sz w:val="20"/>
        </w:rPr>
      </w:pPr>
    </w:p>
    <w:p w:rsidR="004574C4" w:rsidRPr="00B2152E" w:rsidRDefault="004574C4" w:rsidP="004574C4">
      <w:pPr>
        <w:pStyle w:val="SCCAppellantInfoAppellantInfo"/>
        <w:rPr>
          <w:sz w:val="22"/>
          <w:szCs w:val="22"/>
          <w:lang w:val="en-US"/>
        </w:rPr>
      </w:pPr>
      <w:r w:rsidRPr="00B2152E">
        <w:rPr>
          <w:i/>
          <w:sz w:val="22"/>
          <w:szCs w:val="22"/>
        </w:rPr>
        <w:t>Chief of Police of the Edmonton Police Service v. Cst. T. Deluca</w:t>
      </w:r>
      <w:r w:rsidRPr="00B2152E">
        <w:rPr>
          <w:sz w:val="22"/>
          <w:szCs w:val="22"/>
        </w:rPr>
        <w:t xml:space="preserve"> </w:t>
      </w:r>
      <w:r w:rsidRPr="00B2152E">
        <w:rPr>
          <w:i/>
          <w:sz w:val="22"/>
          <w:szCs w:val="22"/>
        </w:rPr>
        <w:t xml:space="preserve">(No. 2393) and Cst. T. Paulino (No. 2300) - and - Alberta Law Enforcement Review Board - and between - Chief of Police of the Edmonton </w:t>
      </w:r>
      <w:r w:rsidRPr="00B2152E">
        <w:rPr>
          <w:i/>
          <w:sz w:val="22"/>
          <w:szCs w:val="22"/>
        </w:rPr>
        <w:lastRenderedPageBreak/>
        <w:t>Police Service v. Cst. J. Coughlan (No. 2270) - and - Alberta Law Enforcement Review Board</w:t>
      </w:r>
      <w:r w:rsidRPr="00B2152E">
        <w:rPr>
          <w:sz w:val="22"/>
          <w:szCs w:val="22"/>
        </w:rPr>
        <w:t xml:space="preserve"> </w:t>
      </w:r>
      <w:r w:rsidRPr="00B2152E">
        <w:rPr>
          <w:sz w:val="22"/>
          <w:szCs w:val="22"/>
          <w:lang w:val="en-US"/>
        </w:rPr>
        <w:t>(Alta.) (Civil) (By Leave) (</w:t>
      </w:r>
      <w:hyperlink r:id="rId20" w:history="1">
        <w:r w:rsidRPr="00B2152E">
          <w:rPr>
            <w:rStyle w:val="Hyperlink"/>
            <w:sz w:val="22"/>
            <w:szCs w:val="22"/>
            <w:lang w:val="en-US"/>
          </w:rPr>
          <w:t>38447</w:t>
        </w:r>
      </w:hyperlink>
      <w:r w:rsidRPr="00B2152E">
        <w:rPr>
          <w:sz w:val="22"/>
          <w:szCs w:val="22"/>
          <w:lang w:val="en-US"/>
        </w:rPr>
        <w:t>)</w:t>
      </w:r>
    </w:p>
    <w:p w:rsidR="0031387C" w:rsidRPr="00B2152E" w:rsidRDefault="0031387C" w:rsidP="0031387C">
      <w:pPr>
        <w:jc w:val="both"/>
        <w:rPr>
          <w:sz w:val="20"/>
        </w:rPr>
      </w:pPr>
    </w:p>
    <w:p w:rsidR="0031387C" w:rsidRPr="00B2152E" w:rsidRDefault="004574C4" w:rsidP="0031387C">
      <w:pPr>
        <w:jc w:val="both"/>
        <w:rPr>
          <w:sz w:val="20"/>
        </w:rPr>
      </w:pPr>
      <w:r w:rsidRPr="00B2152E">
        <w:rPr>
          <w:sz w:val="20"/>
        </w:rPr>
        <w:t xml:space="preserve">The motion to </w:t>
      </w:r>
      <w:r w:rsidRPr="00B2152E">
        <w:rPr>
          <w:rStyle w:val="solexhl"/>
          <w:sz w:val="20"/>
        </w:rPr>
        <w:t>join</w:t>
      </w:r>
      <w:r w:rsidRPr="00B2152E">
        <w:rPr>
          <w:sz w:val="20"/>
        </w:rPr>
        <w:t xml:space="preserve"> two Alberta Court of Appeal files in a single application for leave to appeal is granted. The application for leave to appeal from the judgment of the Court of Appeal of Alberta (Edmonton), Numbers 1703-0060-AC and 1703-0092-AC, 2018 ABCA 340, dated October 18, 2018, is dismissed without costs.</w:t>
      </w:r>
    </w:p>
    <w:p w:rsidR="004574C4" w:rsidRPr="00B2152E" w:rsidRDefault="004574C4" w:rsidP="0031387C">
      <w:pPr>
        <w:jc w:val="both"/>
        <w:rPr>
          <w:sz w:val="20"/>
        </w:rPr>
      </w:pPr>
    </w:p>
    <w:p w:rsidR="004574C4" w:rsidRPr="00B2152E" w:rsidRDefault="004574C4" w:rsidP="0031387C">
      <w:pPr>
        <w:jc w:val="both"/>
        <w:rPr>
          <w:sz w:val="20"/>
          <w:lang w:val="fr-CA"/>
        </w:rPr>
      </w:pPr>
      <w:r w:rsidRPr="00B2152E">
        <w:rPr>
          <w:sz w:val="20"/>
          <w:lang w:val="fr-CA"/>
        </w:rPr>
        <w:t>La requête pour joindre deux dossiers de la Cour d’appel de l’Alberta dans une seule demande d’autorisation d’appel est accueillie. La demande d’autorisation d’appel de l’arrêt de la Cour d’appel de l’Alberta (Edmonton), numéros 1703-0060-AC et 1703-0092-AC, 2018 ABCA 340, daté du 18 octobre 2018, est rejetée sans dépens.</w:t>
      </w:r>
    </w:p>
    <w:p w:rsidR="0031387C" w:rsidRPr="00B2152E" w:rsidRDefault="0031387C" w:rsidP="0031387C">
      <w:pPr>
        <w:jc w:val="both"/>
        <w:rPr>
          <w:sz w:val="20"/>
          <w:lang w:val="fr-CA"/>
        </w:rPr>
      </w:pPr>
    </w:p>
    <w:p w:rsidR="0031387C" w:rsidRPr="00B2152E" w:rsidRDefault="00186CB6" w:rsidP="0031387C">
      <w:pPr>
        <w:jc w:val="both"/>
        <w:rPr>
          <w:sz w:val="20"/>
        </w:rPr>
      </w:pPr>
      <w:r>
        <w:rPr>
          <w:sz w:val="20"/>
        </w:rPr>
        <w:pict>
          <v:rect id="_x0000_i1038" style="width:2in;height:1pt" o:hrpct="0" o:hralign="center" o:hrstd="t" o:hrnoshade="t" o:hr="t" fillcolor="black [3213]" stroked="f"/>
        </w:pict>
      </w:r>
    </w:p>
    <w:p w:rsidR="0031387C" w:rsidRPr="00B2152E" w:rsidRDefault="0031387C" w:rsidP="0031387C">
      <w:pPr>
        <w:jc w:val="both"/>
        <w:rPr>
          <w:sz w:val="20"/>
        </w:rPr>
      </w:pPr>
    </w:p>
    <w:p w:rsidR="00C9531C" w:rsidRPr="00B2152E" w:rsidRDefault="00C9531C" w:rsidP="00C9531C">
      <w:pPr>
        <w:pStyle w:val="SCCAppellantInfoAppellantInfo"/>
        <w:rPr>
          <w:sz w:val="22"/>
          <w:szCs w:val="22"/>
          <w:lang w:val="fr-CA"/>
        </w:rPr>
      </w:pPr>
      <w:r w:rsidRPr="00B2152E">
        <w:rPr>
          <w:i/>
          <w:sz w:val="22"/>
          <w:szCs w:val="22"/>
          <w:lang w:val="fr-CA"/>
        </w:rPr>
        <w:t>Rossita Stoyanova c. Litwin Boyadjian inc., ès qualités de syndic à la faillite de Les Disques Mile End inc. et Nicolas Maranda</w:t>
      </w:r>
      <w:r w:rsidRPr="00B2152E">
        <w:rPr>
          <w:sz w:val="22"/>
          <w:szCs w:val="22"/>
          <w:lang w:val="fr-CA"/>
        </w:rPr>
        <w:t xml:space="preserve"> (Qc) (Civile) (Autorisation) (</w:t>
      </w:r>
      <w:hyperlink r:id="rId21" w:history="1">
        <w:r w:rsidRPr="00B2152E">
          <w:rPr>
            <w:rStyle w:val="Hyperlink"/>
            <w:sz w:val="22"/>
            <w:szCs w:val="22"/>
            <w:lang w:val="fr-CA"/>
          </w:rPr>
          <w:t>38456</w:t>
        </w:r>
      </w:hyperlink>
      <w:r w:rsidRPr="00B2152E">
        <w:rPr>
          <w:sz w:val="22"/>
          <w:szCs w:val="22"/>
          <w:lang w:val="fr-CA"/>
        </w:rPr>
        <w:t>)</w:t>
      </w:r>
    </w:p>
    <w:p w:rsidR="0031387C" w:rsidRPr="00B2152E" w:rsidRDefault="0031387C" w:rsidP="0031387C">
      <w:pPr>
        <w:widowControl w:val="0"/>
        <w:rPr>
          <w:sz w:val="20"/>
          <w:lang w:val="fr-CA"/>
        </w:rPr>
      </w:pPr>
    </w:p>
    <w:p w:rsidR="0031387C" w:rsidRPr="00B2152E" w:rsidRDefault="00C9531C" w:rsidP="0031387C">
      <w:pPr>
        <w:widowControl w:val="0"/>
        <w:rPr>
          <w:sz w:val="20"/>
          <w:lang w:val="fr-CA"/>
        </w:rPr>
      </w:pPr>
      <w:r w:rsidRPr="00B2152E">
        <w:rPr>
          <w:sz w:val="20"/>
          <w:lang w:val="fr-CA"/>
        </w:rPr>
        <w:t>La demande d’autorisation d’appel de l’arrêt de la Cour d’appel du Québec (Montréal), numéro 500-09-026471-169, 2018 QCCA 1788, daté du 24 octobre 2018, est rejetée sans dépens.</w:t>
      </w:r>
    </w:p>
    <w:p w:rsidR="00C9531C" w:rsidRPr="00B2152E" w:rsidRDefault="00C9531C" w:rsidP="0031387C">
      <w:pPr>
        <w:widowControl w:val="0"/>
        <w:rPr>
          <w:sz w:val="20"/>
          <w:lang w:val="fr-CA"/>
        </w:rPr>
      </w:pPr>
    </w:p>
    <w:p w:rsidR="00C9531C" w:rsidRPr="00B2152E" w:rsidRDefault="00C9531C" w:rsidP="0031387C">
      <w:pPr>
        <w:widowControl w:val="0"/>
        <w:rPr>
          <w:sz w:val="20"/>
        </w:rPr>
      </w:pPr>
      <w:r w:rsidRPr="00B2152E">
        <w:rPr>
          <w:sz w:val="20"/>
          <w:lang w:val="en-CA"/>
        </w:rPr>
        <w:t>The application for leave to appeal from the judgment of the Court of Appeal of Quebec (Montréal), Number 500-09-026471-169, 2018 QCCA 1788, dated October 24, 2018, is dismissed without costs.</w:t>
      </w:r>
    </w:p>
    <w:p w:rsidR="0031387C" w:rsidRPr="00B2152E" w:rsidRDefault="0031387C" w:rsidP="0031387C">
      <w:pPr>
        <w:widowControl w:val="0"/>
        <w:rPr>
          <w:sz w:val="20"/>
        </w:rPr>
      </w:pPr>
    </w:p>
    <w:p w:rsidR="0031387C" w:rsidRPr="00B2152E" w:rsidRDefault="00186CB6" w:rsidP="0031387C">
      <w:pPr>
        <w:jc w:val="both"/>
        <w:rPr>
          <w:sz w:val="20"/>
        </w:rPr>
      </w:pPr>
      <w:r>
        <w:rPr>
          <w:sz w:val="20"/>
        </w:rPr>
        <w:pict>
          <v:rect id="_x0000_i1039" style="width:2in;height:1pt" o:hrpct="0" o:hralign="center" o:hrstd="t" o:hrnoshade="t" o:hr="t" fillcolor="black [3213]" stroked="f"/>
        </w:pict>
      </w:r>
    </w:p>
    <w:p w:rsidR="0031387C" w:rsidRPr="00B2152E" w:rsidRDefault="0031387C" w:rsidP="0031387C">
      <w:pPr>
        <w:ind w:left="360" w:hanging="360"/>
        <w:jc w:val="both"/>
        <w:rPr>
          <w:sz w:val="20"/>
          <w:lang w:eastAsia="en-CA"/>
        </w:rPr>
      </w:pPr>
    </w:p>
    <w:p w:rsidR="003A3334" w:rsidRPr="00B2152E" w:rsidRDefault="003A3334" w:rsidP="003A3334">
      <w:pPr>
        <w:pStyle w:val="SCCAppellantInfoAppellantInfo"/>
        <w:rPr>
          <w:sz w:val="22"/>
          <w:szCs w:val="22"/>
          <w:lang w:val="en-US"/>
        </w:rPr>
      </w:pPr>
      <w:r w:rsidRPr="00B2152E">
        <w:rPr>
          <w:i/>
          <w:sz w:val="22"/>
          <w:szCs w:val="22"/>
          <w:lang w:val="en-US"/>
        </w:rPr>
        <w:t>Emil Mihaylov and Sofia Mihaylov v. Long Beach Residents’ Association, Attorney General of Canada and Her Majesty the Queen in Right of Ontario as Represented by the Minister of Natural Resources</w:t>
      </w:r>
      <w:r w:rsidRPr="00B2152E">
        <w:rPr>
          <w:sz w:val="22"/>
          <w:szCs w:val="22"/>
          <w:lang w:val="en-US"/>
        </w:rPr>
        <w:t xml:space="preserve"> (Ont.) (Civil) (By Leave) (</w:t>
      </w:r>
      <w:hyperlink r:id="rId22" w:history="1">
        <w:r w:rsidRPr="00B2152E">
          <w:rPr>
            <w:rStyle w:val="Hyperlink"/>
            <w:sz w:val="22"/>
            <w:szCs w:val="22"/>
            <w:lang w:val="en-US"/>
          </w:rPr>
          <w:t>3</w:t>
        </w:r>
        <w:r w:rsidR="00145454">
          <w:rPr>
            <w:rStyle w:val="Hyperlink"/>
            <w:sz w:val="22"/>
            <w:szCs w:val="22"/>
            <w:lang w:val="en-US"/>
          </w:rPr>
          <w:t>8</w:t>
        </w:r>
        <w:r w:rsidRPr="00B2152E">
          <w:rPr>
            <w:rStyle w:val="Hyperlink"/>
            <w:sz w:val="22"/>
            <w:szCs w:val="22"/>
            <w:lang w:val="en-US"/>
          </w:rPr>
          <w:t>462</w:t>
        </w:r>
      </w:hyperlink>
      <w:r w:rsidRPr="00B2152E">
        <w:rPr>
          <w:sz w:val="22"/>
          <w:szCs w:val="22"/>
          <w:lang w:val="en-US"/>
        </w:rPr>
        <w:t>)</w:t>
      </w:r>
    </w:p>
    <w:p w:rsidR="0031387C" w:rsidRPr="00B2152E" w:rsidRDefault="0031387C" w:rsidP="0031387C">
      <w:pPr>
        <w:widowControl w:val="0"/>
        <w:rPr>
          <w:sz w:val="20"/>
        </w:rPr>
      </w:pPr>
    </w:p>
    <w:p w:rsidR="0031387C" w:rsidRPr="00B2152E" w:rsidRDefault="003A3334" w:rsidP="0031387C">
      <w:pPr>
        <w:widowControl w:val="0"/>
        <w:rPr>
          <w:sz w:val="20"/>
        </w:rPr>
      </w:pPr>
      <w:r w:rsidRPr="00B2152E">
        <w:rPr>
          <w:sz w:val="20"/>
        </w:rPr>
        <w:t>The application for leave to appeal from the judgment of the Court of Appeal for Ontario, Number C64906, 2018 ONCA 871, dated October 25, 2018, is dismissed with costs to the respondent, Attorney General of Canada.</w:t>
      </w:r>
    </w:p>
    <w:p w:rsidR="003A3334" w:rsidRPr="00B2152E" w:rsidRDefault="003A3334" w:rsidP="0031387C">
      <w:pPr>
        <w:widowControl w:val="0"/>
        <w:rPr>
          <w:sz w:val="20"/>
        </w:rPr>
      </w:pPr>
    </w:p>
    <w:p w:rsidR="003A3334" w:rsidRPr="00B2152E" w:rsidRDefault="003A3334" w:rsidP="0031387C">
      <w:pPr>
        <w:widowControl w:val="0"/>
        <w:rPr>
          <w:sz w:val="20"/>
          <w:lang w:val="fr-CA"/>
        </w:rPr>
      </w:pPr>
      <w:r w:rsidRPr="00B2152E">
        <w:rPr>
          <w:sz w:val="20"/>
          <w:lang w:val="fr-CA"/>
        </w:rPr>
        <w:t>La demande d’autorisation d’appel de l’arrêt de la Cour d’appel de l’Ontario, numéro C64906, 2018 ONCA 871, daté du 25 octobre 2018, est rejetée avec dépens en faveur de l’intimé, Procureur général du Canada.</w:t>
      </w:r>
    </w:p>
    <w:p w:rsidR="0031387C" w:rsidRPr="00B2152E" w:rsidRDefault="0031387C" w:rsidP="0031387C">
      <w:pPr>
        <w:widowControl w:val="0"/>
        <w:rPr>
          <w:sz w:val="20"/>
          <w:lang w:val="fr-CA"/>
        </w:rPr>
      </w:pPr>
    </w:p>
    <w:p w:rsidR="0031387C" w:rsidRPr="00B2152E" w:rsidRDefault="00186CB6" w:rsidP="0031387C">
      <w:pPr>
        <w:jc w:val="both"/>
        <w:rPr>
          <w:sz w:val="20"/>
        </w:rPr>
      </w:pPr>
      <w:r>
        <w:rPr>
          <w:sz w:val="20"/>
        </w:rPr>
        <w:pict>
          <v:rect id="_x0000_i1040" style="width:2in;height:1pt" o:hrpct="0" o:hralign="center" o:hrstd="t" o:hrnoshade="t" o:hr="t" fillcolor="black [3213]" stroked="f"/>
        </w:pict>
      </w:r>
    </w:p>
    <w:p w:rsidR="0031387C" w:rsidRDefault="0031387C" w:rsidP="0031387C">
      <w:pPr>
        <w:jc w:val="both"/>
        <w:rPr>
          <w:sz w:val="20"/>
        </w:rPr>
      </w:pPr>
    </w:p>
    <w:p w:rsidR="00235B47" w:rsidRPr="00BC4A7B" w:rsidRDefault="00235B47" w:rsidP="0031387C">
      <w:pPr>
        <w:jc w:val="both"/>
        <w:rPr>
          <w:b/>
          <w:szCs w:val="24"/>
        </w:rPr>
      </w:pPr>
      <w:r w:rsidRPr="00BC4A7B">
        <w:rPr>
          <w:b/>
          <w:szCs w:val="24"/>
        </w:rPr>
        <w:t>MOTION / REQUÊTE</w:t>
      </w:r>
    </w:p>
    <w:p w:rsidR="00235B47" w:rsidRPr="00BC4A7B" w:rsidRDefault="00235B47" w:rsidP="0031387C">
      <w:pPr>
        <w:jc w:val="both"/>
        <w:rPr>
          <w:sz w:val="20"/>
        </w:rPr>
      </w:pPr>
    </w:p>
    <w:p w:rsidR="00235B47" w:rsidRPr="00E30E23" w:rsidRDefault="00235B47" w:rsidP="0031387C">
      <w:pPr>
        <w:jc w:val="both"/>
        <w:rPr>
          <w:sz w:val="22"/>
          <w:szCs w:val="22"/>
        </w:rPr>
      </w:pPr>
      <w:r w:rsidRPr="00E30E23">
        <w:rPr>
          <w:sz w:val="22"/>
          <w:szCs w:val="22"/>
        </w:rPr>
        <w:t>Order will be available shortly: / Ordonnance sera disponible sous peu:</w:t>
      </w:r>
    </w:p>
    <w:p w:rsidR="00235B47" w:rsidRDefault="00BC4A7B" w:rsidP="0031387C">
      <w:pPr>
        <w:jc w:val="both"/>
        <w:rPr>
          <w:sz w:val="20"/>
        </w:rPr>
      </w:pPr>
      <w:hyperlink r:id="rId23" w:history="1">
        <w:r w:rsidRPr="0024172D">
          <w:rPr>
            <w:rStyle w:val="Hyperlink"/>
            <w:sz w:val="20"/>
          </w:rPr>
          <w:t>https://scc-csc.lexum.com/scc-csc/scc-csc/en/item/17682/index.do</w:t>
        </w:r>
      </w:hyperlink>
    </w:p>
    <w:p w:rsidR="00BC4A7B" w:rsidRDefault="00BC4A7B" w:rsidP="0031387C">
      <w:pPr>
        <w:jc w:val="both"/>
        <w:rPr>
          <w:sz w:val="20"/>
        </w:rPr>
      </w:pPr>
      <w:hyperlink r:id="rId24" w:history="1">
        <w:r w:rsidRPr="0024172D">
          <w:rPr>
            <w:rStyle w:val="Hyperlink"/>
            <w:sz w:val="20"/>
          </w:rPr>
          <w:t>https://scc-csc.lexum.com/scc-csc/scc-csc/fr/item/17682/index.do</w:t>
        </w:r>
      </w:hyperlink>
      <w:r>
        <w:rPr>
          <w:sz w:val="20"/>
        </w:rPr>
        <w:t xml:space="preserve"> </w:t>
      </w:r>
    </w:p>
    <w:p w:rsidR="00495E18" w:rsidRDefault="00495E18" w:rsidP="0031387C">
      <w:pPr>
        <w:jc w:val="both"/>
        <w:rPr>
          <w:sz w:val="20"/>
        </w:rPr>
      </w:pPr>
    </w:p>
    <w:p w:rsidR="00235B47" w:rsidRPr="00DB363C" w:rsidRDefault="00145454" w:rsidP="0031387C">
      <w:pPr>
        <w:jc w:val="both"/>
        <w:rPr>
          <w:sz w:val="22"/>
          <w:szCs w:val="22"/>
        </w:rPr>
      </w:pPr>
      <w:r w:rsidRPr="00DB363C">
        <w:rPr>
          <w:i/>
          <w:sz w:val="22"/>
          <w:szCs w:val="22"/>
        </w:rPr>
        <w:t>Giovanni D’Amico v. Her Majesty the Queen</w:t>
      </w:r>
      <w:r w:rsidRPr="00DB363C">
        <w:rPr>
          <w:sz w:val="22"/>
          <w:szCs w:val="22"/>
        </w:rPr>
        <w:t xml:space="preserve"> (Que.)</w:t>
      </w:r>
      <w:r w:rsidR="00E30E23" w:rsidRPr="00DB363C">
        <w:rPr>
          <w:sz w:val="22"/>
          <w:szCs w:val="22"/>
        </w:rPr>
        <w:t xml:space="preserve"> </w:t>
      </w:r>
      <w:r w:rsidR="00E30E23" w:rsidRPr="00DB363C">
        <w:rPr>
          <w:sz w:val="22"/>
          <w:szCs w:val="22"/>
        </w:rPr>
        <w:t>(</w:t>
      </w:r>
      <w:hyperlink r:id="rId25" w:history="1">
        <w:r w:rsidR="00E30E23" w:rsidRPr="00DB363C">
          <w:rPr>
            <w:rStyle w:val="Hyperlink"/>
            <w:sz w:val="22"/>
            <w:szCs w:val="22"/>
          </w:rPr>
          <w:t>38</w:t>
        </w:r>
        <w:r w:rsidR="00E30E23" w:rsidRPr="00DB363C">
          <w:rPr>
            <w:rStyle w:val="Hyperlink"/>
            <w:sz w:val="22"/>
            <w:szCs w:val="22"/>
          </w:rPr>
          <w:t>51</w:t>
        </w:r>
        <w:r w:rsidR="00E30E23" w:rsidRPr="00DB363C">
          <w:rPr>
            <w:rStyle w:val="Hyperlink"/>
            <w:sz w:val="22"/>
            <w:szCs w:val="22"/>
          </w:rPr>
          <w:t>2</w:t>
        </w:r>
      </w:hyperlink>
      <w:r w:rsidR="00E30E23" w:rsidRPr="00DB363C">
        <w:rPr>
          <w:sz w:val="22"/>
          <w:szCs w:val="22"/>
        </w:rPr>
        <w:t>)</w:t>
      </w:r>
    </w:p>
    <w:p w:rsidR="00235B47" w:rsidRPr="00DB363C" w:rsidRDefault="00DB363C" w:rsidP="0031387C">
      <w:pPr>
        <w:jc w:val="both"/>
        <w:rPr>
          <w:b/>
          <w:sz w:val="22"/>
          <w:szCs w:val="22"/>
        </w:rPr>
      </w:pPr>
      <w:r w:rsidRPr="00DB363C">
        <w:rPr>
          <w:b/>
          <w:sz w:val="22"/>
          <w:szCs w:val="22"/>
        </w:rPr>
        <w:t>2019 SCC 23 / 2019 CSC 23</w:t>
      </w:r>
    </w:p>
    <w:p w:rsidR="00235B47" w:rsidRPr="00DB363C" w:rsidRDefault="00235B47" w:rsidP="0031387C">
      <w:pPr>
        <w:jc w:val="both"/>
        <w:rPr>
          <w:sz w:val="22"/>
          <w:szCs w:val="22"/>
        </w:rPr>
      </w:pPr>
    </w:p>
    <w:p w:rsidR="00DB363C" w:rsidRPr="00DB363C" w:rsidRDefault="00DB363C" w:rsidP="0031387C">
      <w:pPr>
        <w:jc w:val="both"/>
        <w:rPr>
          <w:sz w:val="22"/>
          <w:szCs w:val="22"/>
        </w:rPr>
      </w:pPr>
      <w:r w:rsidRPr="00DB363C">
        <w:rPr>
          <w:sz w:val="22"/>
          <w:szCs w:val="22"/>
        </w:rPr>
        <w:t>Coram: The Court</w:t>
      </w:r>
    </w:p>
    <w:p w:rsidR="00DB363C" w:rsidRPr="00DB363C" w:rsidRDefault="00DB363C" w:rsidP="0031387C">
      <w:pPr>
        <w:jc w:val="both"/>
        <w:rPr>
          <w:sz w:val="22"/>
          <w:szCs w:val="22"/>
        </w:rPr>
      </w:pPr>
    </w:p>
    <w:p w:rsidR="00DB363C" w:rsidRPr="00F54CA1" w:rsidRDefault="00DB363C" w:rsidP="0031387C">
      <w:pPr>
        <w:jc w:val="both"/>
        <w:rPr>
          <w:b/>
          <w:sz w:val="22"/>
          <w:szCs w:val="22"/>
        </w:rPr>
      </w:pPr>
      <w:r w:rsidRPr="00F54CA1">
        <w:rPr>
          <w:b/>
          <w:sz w:val="22"/>
          <w:szCs w:val="22"/>
        </w:rPr>
        <w:t>GRANTED / ACCUEILLIE</w:t>
      </w:r>
    </w:p>
    <w:p w:rsidR="00DB363C" w:rsidRPr="00235B47" w:rsidRDefault="00DB363C" w:rsidP="0031387C">
      <w:pPr>
        <w:jc w:val="both"/>
        <w:rPr>
          <w:sz w:val="20"/>
        </w:rPr>
      </w:pPr>
    </w:p>
    <w:p w:rsidR="006F0310" w:rsidRPr="00235B47" w:rsidRDefault="006F0310" w:rsidP="006C152B">
      <w:pPr>
        <w:ind w:left="360" w:hanging="360"/>
        <w:contextualSpacing/>
        <w:jc w:val="both"/>
        <w:rPr>
          <w:sz w:val="20"/>
        </w:rPr>
      </w:pPr>
    </w:p>
    <w:p w:rsidR="00824220" w:rsidRPr="00235B47" w:rsidRDefault="00824220" w:rsidP="006C152B">
      <w:pPr>
        <w:ind w:left="360" w:hanging="360"/>
        <w:contextualSpacing/>
        <w:jc w:val="both"/>
        <w:rPr>
          <w:sz w:val="20"/>
        </w:rPr>
      </w:pPr>
    </w:p>
    <w:p w:rsidR="002E4682" w:rsidRPr="00B2152E" w:rsidRDefault="002E4682" w:rsidP="002E4682">
      <w:pPr>
        <w:widowControl w:val="0"/>
        <w:outlineLvl w:val="0"/>
      </w:pPr>
      <w:r w:rsidRPr="00B2152E">
        <w:t xml:space="preserve">Supreme Court of Canada / Cour suprême du </w:t>
      </w:r>
      <w:proofErr w:type="gramStart"/>
      <w:r w:rsidRPr="00B2152E">
        <w:t>Canada :</w:t>
      </w:r>
      <w:proofErr w:type="gramEnd"/>
      <w:r w:rsidRPr="00B2152E">
        <w:t xml:space="preserve"> </w:t>
      </w:r>
    </w:p>
    <w:p w:rsidR="002E4682" w:rsidRPr="00B2152E" w:rsidRDefault="00186CB6" w:rsidP="002E4682">
      <w:pPr>
        <w:widowControl w:val="0"/>
        <w:outlineLvl w:val="0"/>
        <w:rPr>
          <w:color w:val="0000FF"/>
          <w:u w:val="single"/>
        </w:rPr>
      </w:pPr>
      <w:hyperlink r:id="rId26" w:history="1">
        <w:r w:rsidR="002E4682" w:rsidRPr="00B2152E">
          <w:rPr>
            <w:rStyle w:val="Hyperlink"/>
          </w:rPr>
          <w:t>comments-commentaires@scc-csc.ca</w:t>
        </w:r>
      </w:hyperlink>
    </w:p>
    <w:p w:rsidR="002E4682" w:rsidRPr="00B2152E" w:rsidRDefault="002E4682" w:rsidP="002E4682">
      <w:pPr>
        <w:widowControl w:val="0"/>
        <w:outlineLvl w:val="0"/>
      </w:pPr>
      <w:r w:rsidRPr="00B2152E">
        <w:t>(613) 995-4330</w:t>
      </w:r>
    </w:p>
    <w:p w:rsidR="002E4682" w:rsidRPr="00B2152E" w:rsidRDefault="002E4682" w:rsidP="002E4682">
      <w:pPr>
        <w:widowControl w:val="0"/>
        <w:rPr>
          <w:sz w:val="20"/>
        </w:rPr>
      </w:pPr>
    </w:p>
    <w:p w:rsidR="002E4682" w:rsidRPr="00B2152E" w:rsidRDefault="002E4682" w:rsidP="002E4682">
      <w:pPr>
        <w:widowControl w:val="0"/>
        <w:rPr>
          <w:sz w:val="20"/>
        </w:rPr>
      </w:pPr>
    </w:p>
    <w:p w:rsidR="000C541E" w:rsidRPr="0057289B" w:rsidRDefault="002E4682">
      <w:pPr>
        <w:pStyle w:val="Footer"/>
        <w:jc w:val="center"/>
      </w:pPr>
      <w:r w:rsidRPr="00B2152E">
        <w:t>- 30 -</w:t>
      </w:r>
    </w:p>
    <w:sectPr w:rsidR="000C541E" w:rsidRPr="0057289B" w:rsidSect="007C3E99">
      <w:footerReference w:type="defaul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6"/>
  </w:num>
  <w:num w:numId="5">
    <w:abstractNumId w:val="29"/>
  </w:num>
  <w:num w:numId="6">
    <w:abstractNumId w:val="21"/>
  </w:num>
  <w:num w:numId="7">
    <w:abstractNumId w:val="3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26"/>
  </w:num>
  <w:num w:numId="13">
    <w:abstractNumId w:val="9"/>
  </w:num>
  <w:num w:numId="14">
    <w:abstractNumId w:val="7"/>
  </w:num>
  <w:num w:numId="15">
    <w:abstractNumId w:val="28"/>
  </w:num>
  <w:num w:numId="16">
    <w:abstractNumId w:val="14"/>
  </w:num>
  <w:num w:numId="17">
    <w:abstractNumId w:val="30"/>
  </w:num>
  <w:num w:numId="18">
    <w:abstractNumId w:val="16"/>
  </w:num>
  <w:num w:numId="19">
    <w:abstractNumId w:val="1"/>
  </w:num>
  <w:num w:numId="20">
    <w:abstractNumId w:val="3"/>
  </w:num>
  <w:num w:numId="21">
    <w:abstractNumId w:val="24"/>
  </w:num>
  <w:num w:numId="22">
    <w:abstractNumId w:val="32"/>
  </w:num>
  <w:num w:numId="23">
    <w:abstractNumId w:val="19"/>
  </w:num>
  <w:num w:numId="24">
    <w:abstractNumId w:val="31"/>
  </w:num>
  <w:num w:numId="25">
    <w:abstractNumId w:val="5"/>
  </w:num>
  <w:num w:numId="26">
    <w:abstractNumId w:val="27"/>
  </w:num>
  <w:num w:numId="27">
    <w:abstractNumId w:val="35"/>
  </w:num>
  <w:num w:numId="28">
    <w:abstractNumId w:val="34"/>
  </w:num>
  <w:num w:numId="29">
    <w:abstractNumId w:val="36"/>
  </w:num>
  <w:num w:numId="30">
    <w:abstractNumId w:val="37"/>
  </w:num>
  <w:num w:numId="31">
    <w:abstractNumId w:val="17"/>
  </w:num>
  <w:num w:numId="32">
    <w:abstractNumId w:val="22"/>
  </w:num>
  <w:num w:numId="33">
    <w:abstractNumId w:val="2"/>
  </w:num>
  <w:num w:numId="34">
    <w:abstractNumId w:val="4"/>
  </w:num>
  <w:num w:numId="35">
    <w:abstractNumId w:val="20"/>
  </w:num>
  <w:num w:numId="36">
    <w:abstractNumId w:val="13"/>
  </w:num>
  <w:num w:numId="37">
    <w:abstractNumId w:val="15"/>
  </w:num>
  <w:num w:numId="38">
    <w:abstractNumId w:val="38"/>
  </w:num>
  <w:num w:numId="39">
    <w:abstractNumId w:val="11"/>
  </w:num>
  <w:num w:numId="40">
    <w:abstractNumId w:val="39"/>
  </w:num>
  <w:num w:numId="41">
    <w:abstractNumId w:val="40"/>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9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4C8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177"/>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46AE"/>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5BA6"/>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86C"/>
    <w:rsid w:val="00124DEC"/>
    <w:rsid w:val="00127484"/>
    <w:rsid w:val="00130FF5"/>
    <w:rsid w:val="00131605"/>
    <w:rsid w:val="0013170A"/>
    <w:rsid w:val="00132635"/>
    <w:rsid w:val="00132E67"/>
    <w:rsid w:val="001352E4"/>
    <w:rsid w:val="001354E7"/>
    <w:rsid w:val="00136895"/>
    <w:rsid w:val="001403D2"/>
    <w:rsid w:val="00141200"/>
    <w:rsid w:val="00141BC5"/>
    <w:rsid w:val="0014243F"/>
    <w:rsid w:val="00142C72"/>
    <w:rsid w:val="00143DD1"/>
    <w:rsid w:val="00144111"/>
    <w:rsid w:val="00145454"/>
    <w:rsid w:val="0014650B"/>
    <w:rsid w:val="00147BE4"/>
    <w:rsid w:val="00147DE3"/>
    <w:rsid w:val="00150453"/>
    <w:rsid w:val="00151336"/>
    <w:rsid w:val="00151B13"/>
    <w:rsid w:val="001528A1"/>
    <w:rsid w:val="001542B0"/>
    <w:rsid w:val="0015605D"/>
    <w:rsid w:val="001560EC"/>
    <w:rsid w:val="00156172"/>
    <w:rsid w:val="00156618"/>
    <w:rsid w:val="00160F87"/>
    <w:rsid w:val="00163365"/>
    <w:rsid w:val="00167B9C"/>
    <w:rsid w:val="001716F7"/>
    <w:rsid w:val="0017350D"/>
    <w:rsid w:val="00173B3A"/>
    <w:rsid w:val="00174655"/>
    <w:rsid w:val="00176790"/>
    <w:rsid w:val="00176C45"/>
    <w:rsid w:val="00176CC2"/>
    <w:rsid w:val="001813C3"/>
    <w:rsid w:val="00183170"/>
    <w:rsid w:val="001833DD"/>
    <w:rsid w:val="00185355"/>
    <w:rsid w:val="001866BF"/>
    <w:rsid w:val="00186884"/>
    <w:rsid w:val="0019030D"/>
    <w:rsid w:val="00190C7A"/>
    <w:rsid w:val="00190F7F"/>
    <w:rsid w:val="00193547"/>
    <w:rsid w:val="001947C1"/>
    <w:rsid w:val="00194F2A"/>
    <w:rsid w:val="00195C65"/>
    <w:rsid w:val="00196DF0"/>
    <w:rsid w:val="001A06DE"/>
    <w:rsid w:val="001A1AE7"/>
    <w:rsid w:val="001A1C62"/>
    <w:rsid w:val="001A2314"/>
    <w:rsid w:val="001A35B0"/>
    <w:rsid w:val="001A4547"/>
    <w:rsid w:val="001A485B"/>
    <w:rsid w:val="001A48FB"/>
    <w:rsid w:val="001A4F22"/>
    <w:rsid w:val="001A562F"/>
    <w:rsid w:val="001B07C7"/>
    <w:rsid w:val="001B133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5B47"/>
    <w:rsid w:val="0023658B"/>
    <w:rsid w:val="00237C53"/>
    <w:rsid w:val="002407C6"/>
    <w:rsid w:val="00243304"/>
    <w:rsid w:val="002434DF"/>
    <w:rsid w:val="0024428B"/>
    <w:rsid w:val="00244CDD"/>
    <w:rsid w:val="002450B0"/>
    <w:rsid w:val="00245D73"/>
    <w:rsid w:val="00245DAC"/>
    <w:rsid w:val="00247323"/>
    <w:rsid w:val="0025056A"/>
    <w:rsid w:val="0025069B"/>
    <w:rsid w:val="00250C28"/>
    <w:rsid w:val="002514CA"/>
    <w:rsid w:val="00252FDB"/>
    <w:rsid w:val="00253613"/>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1C"/>
    <w:rsid w:val="00305583"/>
    <w:rsid w:val="00306E8A"/>
    <w:rsid w:val="00307DB0"/>
    <w:rsid w:val="00312D0B"/>
    <w:rsid w:val="003134D7"/>
    <w:rsid w:val="00313652"/>
    <w:rsid w:val="0031387C"/>
    <w:rsid w:val="00314319"/>
    <w:rsid w:val="003151B5"/>
    <w:rsid w:val="00315FF3"/>
    <w:rsid w:val="00316DFA"/>
    <w:rsid w:val="003205B7"/>
    <w:rsid w:val="003207FB"/>
    <w:rsid w:val="00320863"/>
    <w:rsid w:val="00322EB7"/>
    <w:rsid w:val="0032335F"/>
    <w:rsid w:val="003235CC"/>
    <w:rsid w:val="00324F71"/>
    <w:rsid w:val="00325668"/>
    <w:rsid w:val="00325E05"/>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6082"/>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14D"/>
    <w:rsid w:val="00377868"/>
    <w:rsid w:val="00377A03"/>
    <w:rsid w:val="00377C17"/>
    <w:rsid w:val="0038055B"/>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3334"/>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4DD6"/>
    <w:rsid w:val="0041524E"/>
    <w:rsid w:val="00416949"/>
    <w:rsid w:val="00417BA7"/>
    <w:rsid w:val="00420FC0"/>
    <w:rsid w:val="0042539D"/>
    <w:rsid w:val="00426676"/>
    <w:rsid w:val="00426976"/>
    <w:rsid w:val="00427F4F"/>
    <w:rsid w:val="00430373"/>
    <w:rsid w:val="00431306"/>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574C4"/>
    <w:rsid w:val="00460794"/>
    <w:rsid w:val="00463D03"/>
    <w:rsid w:val="00464F61"/>
    <w:rsid w:val="00464FEE"/>
    <w:rsid w:val="004672B7"/>
    <w:rsid w:val="00467391"/>
    <w:rsid w:val="00472190"/>
    <w:rsid w:val="00472396"/>
    <w:rsid w:val="00474D9B"/>
    <w:rsid w:val="0047577A"/>
    <w:rsid w:val="0047588F"/>
    <w:rsid w:val="0047739A"/>
    <w:rsid w:val="004773AA"/>
    <w:rsid w:val="00480523"/>
    <w:rsid w:val="00480EB5"/>
    <w:rsid w:val="00481888"/>
    <w:rsid w:val="004835D8"/>
    <w:rsid w:val="00484C8D"/>
    <w:rsid w:val="00484F51"/>
    <w:rsid w:val="00484F57"/>
    <w:rsid w:val="004904F3"/>
    <w:rsid w:val="00490C9F"/>
    <w:rsid w:val="00490DDC"/>
    <w:rsid w:val="00491173"/>
    <w:rsid w:val="00491D60"/>
    <w:rsid w:val="00494283"/>
    <w:rsid w:val="00494CD1"/>
    <w:rsid w:val="004957BA"/>
    <w:rsid w:val="00495E18"/>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6FB"/>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613"/>
    <w:rsid w:val="00554EC9"/>
    <w:rsid w:val="00555E60"/>
    <w:rsid w:val="00557DCC"/>
    <w:rsid w:val="005617DA"/>
    <w:rsid w:val="00561B18"/>
    <w:rsid w:val="00563EBA"/>
    <w:rsid w:val="00566C79"/>
    <w:rsid w:val="00570169"/>
    <w:rsid w:val="0057289B"/>
    <w:rsid w:val="005756A3"/>
    <w:rsid w:val="005805A8"/>
    <w:rsid w:val="005812EF"/>
    <w:rsid w:val="005822FD"/>
    <w:rsid w:val="00583F19"/>
    <w:rsid w:val="0058734E"/>
    <w:rsid w:val="00587897"/>
    <w:rsid w:val="00587914"/>
    <w:rsid w:val="005910F3"/>
    <w:rsid w:val="005925EC"/>
    <w:rsid w:val="0059402F"/>
    <w:rsid w:val="005948A5"/>
    <w:rsid w:val="0059611F"/>
    <w:rsid w:val="00596337"/>
    <w:rsid w:val="00597224"/>
    <w:rsid w:val="0059795B"/>
    <w:rsid w:val="005A1B7D"/>
    <w:rsid w:val="005A3592"/>
    <w:rsid w:val="005A4082"/>
    <w:rsid w:val="005A5BE4"/>
    <w:rsid w:val="005A7109"/>
    <w:rsid w:val="005B0AAB"/>
    <w:rsid w:val="005B0D9E"/>
    <w:rsid w:val="005B10FF"/>
    <w:rsid w:val="005B22FC"/>
    <w:rsid w:val="005B4EB8"/>
    <w:rsid w:val="005B65BA"/>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480"/>
    <w:rsid w:val="005D29DE"/>
    <w:rsid w:val="005D2C20"/>
    <w:rsid w:val="005D2DE6"/>
    <w:rsid w:val="005D3069"/>
    <w:rsid w:val="005D3730"/>
    <w:rsid w:val="005D3A8B"/>
    <w:rsid w:val="005D7831"/>
    <w:rsid w:val="005E0EF2"/>
    <w:rsid w:val="005E2F89"/>
    <w:rsid w:val="005E45F2"/>
    <w:rsid w:val="005E67A8"/>
    <w:rsid w:val="005E73A1"/>
    <w:rsid w:val="005E7A89"/>
    <w:rsid w:val="005F04EB"/>
    <w:rsid w:val="005F05B6"/>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2AAE"/>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4798C"/>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5A18"/>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5C84"/>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649"/>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4570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E1A"/>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4806"/>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48E"/>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588C"/>
    <w:rsid w:val="00975D0F"/>
    <w:rsid w:val="00977C25"/>
    <w:rsid w:val="0098041E"/>
    <w:rsid w:val="009807C9"/>
    <w:rsid w:val="0098122A"/>
    <w:rsid w:val="00982768"/>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2707A"/>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462"/>
    <w:rsid w:val="00A45F29"/>
    <w:rsid w:val="00A466AC"/>
    <w:rsid w:val="00A476D4"/>
    <w:rsid w:val="00A50604"/>
    <w:rsid w:val="00A50E26"/>
    <w:rsid w:val="00A50E6F"/>
    <w:rsid w:val="00A52186"/>
    <w:rsid w:val="00A54818"/>
    <w:rsid w:val="00A56409"/>
    <w:rsid w:val="00A5682D"/>
    <w:rsid w:val="00A575AD"/>
    <w:rsid w:val="00A57B79"/>
    <w:rsid w:val="00A602C0"/>
    <w:rsid w:val="00A60CA4"/>
    <w:rsid w:val="00A62285"/>
    <w:rsid w:val="00A635D9"/>
    <w:rsid w:val="00A64BF1"/>
    <w:rsid w:val="00A70197"/>
    <w:rsid w:val="00A714EF"/>
    <w:rsid w:val="00A73387"/>
    <w:rsid w:val="00A8029C"/>
    <w:rsid w:val="00A8033D"/>
    <w:rsid w:val="00A80F5B"/>
    <w:rsid w:val="00A81963"/>
    <w:rsid w:val="00A8395A"/>
    <w:rsid w:val="00A83C7E"/>
    <w:rsid w:val="00A8418C"/>
    <w:rsid w:val="00A8486E"/>
    <w:rsid w:val="00A84DA1"/>
    <w:rsid w:val="00A86B78"/>
    <w:rsid w:val="00A9019A"/>
    <w:rsid w:val="00A94210"/>
    <w:rsid w:val="00A960E9"/>
    <w:rsid w:val="00A96928"/>
    <w:rsid w:val="00A96AEB"/>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4EA"/>
    <w:rsid w:val="00AC5AEC"/>
    <w:rsid w:val="00AD0097"/>
    <w:rsid w:val="00AD020B"/>
    <w:rsid w:val="00AD30C3"/>
    <w:rsid w:val="00AD3CB0"/>
    <w:rsid w:val="00AD4780"/>
    <w:rsid w:val="00AD52A6"/>
    <w:rsid w:val="00AD68F4"/>
    <w:rsid w:val="00AD6AD0"/>
    <w:rsid w:val="00AD7038"/>
    <w:rsid w:val="00AE2218"/>
    <w:rsid w:val="00AE42F5"/>
    <w:rsid w:val="00AE4721"/>
    <w:rsid w:val="00AE62B2"/>
    <w:rsid w:val="00AE747B"/>
    <w:rsid w:val="00AF1653"/>
    <w:rsid w:val="00AF1EFF"/>
    <w:rsid w:val="00AF5A9D"/>
    <w:rsid w:val="00AF6461"/>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52E"/>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3DE"/>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B7D76"/>
    <w:rsid w:val="00BC0A42"/>
    <w:rsid w:val="00BC0DDB"/>
    <w:rsid w:val="00BC3E39"/>
    <w:rsid w:val="00BC3EED"/>
    <w:rsid w:val="00BC45E1"/>
    <w:rsid w:val="00BC471A"/>
    <w:rsid w:val="00BC4A7B"/>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47B7D"/>
    <w:rsid w:val="00C500FA"/>
    <w:rsid w:val="00C5207F"/>
    <w:rsid w:val="00C52D21"/>
    <w:rsid w:val="00C52EF2"/>
    <w:rsid w:val="00C5378C"/>
    <w:rsid w:val="00C54E0E"/>
    <w:rsid w:val="00C55342"/>
    <w:rsid w:val="00C564DC"/>
    <w:rsid w:val="00C573B1"/>
    <w:rsid w:val="00C5767F"/>
    <w:rsid w:val="00C61411"/>
    <w:rsid w:val="00C6146D"/>
    <w:rsid w:val="00C619A6"/>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0470"/>
    <w:rsid w:val="00C935F6"/>
    <w:rsid w:val="00C9530B"/>
    <w:rsid w:val="00C9531C"/>
    <w:rsid w:val="00C959D0"/>
    <w:rsid w:val="00C95D6B"/>
    <w:rsid w:val="00C96CB2"/>
    <w:rsid w:val="00C97388"/>
    <w:rsid w:val="00C9788C"/>
    <w:rsid w:val="00C97B4F"/>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0C4"/>
    <w:rsid w:val="00D56538"/>
    <w:rsid w:val="00D60131"/>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5BE4"/>
    <w:rsid w:val="00D90F27"/>
    <w:rsid w:val="00D90F8B"/>
    <w:rsid w:val="00D92517"/>
    <w:rsid w:val="00D92F3E"/>
    <w:rsid w:val="00D93297"/>
    <w:rsid w:val="00D94E30"/>
    <w:rsid w:val="00D95F43"/>
    <w:rsid w:val="00DA06BD"/>
    <w:rsid w:val="00DA17B0"/>
    <w:rsid w:val="00DA2720"/>
    <w:rsid w:val="00DA2B3F"/>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63C"/>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8C6"/>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0E23"/>
    <w:rsid w:val="00E31B7F"/>
    <w:rsid w:val="00E31BA9"/>
    <w:rsid w:val="00E337E8"/>
    <w:rsid w:val="00E33E8D"/>
    <w:rsid w:val="00E33F7B"/>
    <w:rsid w:val="00E34AA2"/>
    <w:rsid w:val="00E35507"/>
    <w:rsid w:val="00E370F1"/>
    <w:rsid w:val="00E37552"/>
    <w:rsid w:val="00E37FAF"/>
    <w:rsid w:val="00E42B30"/>
    <w:rsid w:val="00E42DA2"/>
    <w:rsid w:val="00E45E6B"/>
    <w:rsid w:val="00E472FA"/>
    <w:rsid w:val="00E5097C"/>
    <w:rsid w:val="00E51050"/>
    <w:rsid w:val="00E51833"/>
    <w:rsid w:val="00E53109"/>
    <w:rsid w:val="00E5361B"/>
    <w:rsid w:val="00E546FD"/>
    <w:rsid w:val="00E54925"/>
    <w:rsid w:val="00E6107B"/>
    <w:rsid w:val="00E611B7"/>
    <w:rsid w:val="00E61C4E"/>
    <w:rsid w:val="00E632EE"/>
    <w:rsid w:val="00E655FB"/>
    <w:rsid w:val="00E65A41"/>
    <w:rsid w:val="00E706D8"/>
    <w:rsid w:val="00E710C9"/>
    <w:rsid w:val="00E71911"/>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EAD"/>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294C"/>
    <w:rsid w:val="00F44405"/>
    <w:rsid w:val="00F44A77"/>
    <w:rsid w:val="00F46255"/>
    <w:rsid w:val="00F46BAA"/>
    <w:rsid w:val="00F50007"/>
    <w:rsid w:val="00F50E67"/>
    <w:rsid w:val="00F5158A"/>
    <w:rsid w:val="00F53282"/>
    <w:rsid w:val="00F53A2D"/>
    <w:rsid w:val="00F53B21"/>
    <w:rsid w:val="00F54CA1"/>
    <w:rsid w:val="00F55369"/>
    <w:rsid w:val="00F5608F"/>
    <w:rsid w:val="00F60DAD"/>
    <w:rsid w:val="00F61F8E"/>
    <w:rsid w:val="00F63405"/>
    <w:rsid w:val="00F637F6"/>
    <w:rsid w:val="00F64156"/>
    <w:rsid w:val="00F64951"/>
    <w:rsid w:val="00F66A19"/>
    <w:rsid w:val="00F67501"/>
    <w:rsid w:val="00F67CBF"/>
    <w:rsid w:val="00F67D60"/>
    <w:rsid w:val="00F7108B"/>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1E2B"/>
    <w:rsid w:val="00FA3AA3"/>
    <w:rsid w:val="00FA5D62"/>
    <w:rsid w:val="00FA76D8"/>
    <w:rsid w:val="00FB08CC"/>
    <w:rsid w:val="00FB11CF"/>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749E"/>
    <w:rsid w:val="00FD147A"/>
    <w:rsid w:val="00FD15AF"/>
    <w:rsid w:val="00FD23EE"/>
    <w:rsid w:val="00FD2F1A"/>
    <w:rsid w:val="00FD5F57"/>
    <w:rsid w:val="00FD6865"/>
    <w:rsid w:val="00FD7F01"/>
    <w:rsid w:val="00FE1185"/>
    <w:rsid w:val="00FE338F"/>
    <w:rsid w:val="00FE44CF"/>
    <w:rsid w:val="00FE4692"/>
    <w:rsid w:val="00FE4721"/>
    <w:rsid w:val="00FE4D2A"/>
    <w:rsid w:val="00FE4FD0"/>
    <w:rsid w:val="00FF073E"/>
    <w:rsid w:val="00FF0799"/>
    <w:rsid w:val="00FF0E92"/>
    <w:rsid w:val="00FF21F2"/>
    <w:rsid w:val="00FF291B"/>
    <w:rsid w:val="00FF3659"/>
    <w:rsid w:val="00FF4730"/>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olexhl">
    <w:name w:val="solexhl"/>
    <w:basedOn w:val="DefaultParagraphFont"/>
    <w:rsid w:val="0045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6120242">
      <w:bodyDiv w:val="1"/>
      <w:marLeft w:val="0"/>
      <w:marRight w:val="0"/>
      <w:marTop w:val="0"/>
      <w:marBottom w:val="0"/>
      <w:divBdr>
        <w:top w:val="none" w:sz="0" w:space="0" w:color="auto"/>
        <w:left w:val="none" w:sz="0" w:space="0" w:color="auto"/>
        <w:bottom w:val="none" w:sz="0" w:space="0" w:color="auto"/>
        <w:right w:val="none" w:sz="0" w:space="0" w:color="auto"/>
      </w:divBdr>
      <w:divsChild>
        <w:div w:id="1726173990">
          <w:marLeft w:val="0"/>
          <w:marRight w:val="0"/>
          <w:marTop w:val="0"/>
          <w:marBottom w:val="0"/>
          <w:divBdr>
            <w:top w:val="none" w:sz="0" w:space="0" w:color="auto"/>
            <w:left w:val="none" w:sz="0" w:space="0" w:color="auto"/>
            <w:bottom w:val="none" w:sz="0" w:space="0" w:color="auto"/>
            <w:right w:val="none" w:sz="0" w:space="0" w:color="auto"/>
          </w:divBdr>
          <w:divsChild>
            <w:div w:id="1321351738">
              <w:marLeft w:val="-225"/>
              <w:marRight w:val="-225"/>
              <w:marTop w:val="0"/>
              <w:marBottom w:val="0"/>
              <w:divBdr>
                <w:top w:val="none" w:sz="0" w:space="0" w:color="auto"/>
                <w:left w:val="none" w:sz="0" w:space="0" w:color="auto"/>
                <w:bottom w:val="none" w:sz="0" w:space="0" w:color="auto"/>
                <w:right w:val="none" w:sz="0" w:space="0" w:color="auto"/>
              </w:divBdr>
              <w:divsChild>
                <w:div w:id="728188231">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627928388">
                          <w:marLeft w:val="0"/>
                          <w:marRight w:val="0"/>
                          <w:marTop w:val="225"/>
                          <w:marBottom w:val="0"/>
                          <w:divBdr>
                            <w:top w:val="none" w:sz="0" w:space="0" w:color="auto"/>
                            <w:left w:val="none" w:sz="0" w:space="0" w:color="auto"/>
                            <w:bottom w:val="none" w:sz="0" w:space="0" w:color="auto"/>
                            <w:right w:val="none" w:sz="0" w:space="0" w:color="auto"/>
                          </w:divBdr>
                          <w:divsChild>
                            <w:div w:id="2003117666">
                              <w:marLeft w:val="0"/>
                              <w:marRight w:val="0"/>
                              <w:marTop w:val="0"/>
                              <w:marBottom w:val="0"/>
                              <w:divBdr>
                                <w:top w:val="none" w:sz="0" w:space="0" w:color="auto"/>
                                <w:left w:val="none" w:sz="0" w:space="0" w:color="auto"/>
                                <w:bottom w:val="none" w:sz="0" w:space="0" w:color="auto"/>
                                <w:right w:val="none" w:sz="0" w:space="0" w:color="auto"/>
                              </w:divBdr>
                            </w:div>
                            <w:div w:id="47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eng.aspx?cas=38477" TargetMode="External"/><Relationship Id="rId18" Type="http://schemas.openxmlformats.org/officeDocument/2006/relationships/hyperlink" Target="https://www.scc-csc.ca/case-dossier/info/sum-som-eng.aspx?cas=38439" TargetMode="External"/><Relationship Id="rId26"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hyperlink" Target="https://www.scc-csc.ca/case-dossier/info/sum-som-fra.aspx?cas=38456" TargetMode="Externa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fra.aspx?cas=38430" TargetMode="External"/><Relationship Id="rId17" Type="http://schemas.openxmlformats.org/officeDocument/2006/relationships/hyperlink" Target="https://www.scc-csc.ca/case-dossier/info/sum-som-eng.aspx?cas=38346" TargetMode="External"/><Relationship Id="rId25" Type="http://schemas.openxmlformats.org/officeDocument/2006/relationships/hyperlink" Target="https://www.scc-csc.ca/case-dossier/info/sum-som-eng.aspx?cas=38512" TargetMode="External"/><Relationship Id="rId2" Type="http://schemas.openxmlformats.org/officeDocument/2006/relationships/styles" Target="styles.xml"/><Relationship Id="rId16" Type="http://schemas.openxmlformats.org/officeDocument/2006/relationships/hyperlink" Target="https://www.scc-csc.ca/case-dossier/info/sum-som-eng.aspx?cas=38404" TargetMode="External"/><Relationship Id="rId20" Type="http://schemas.openxmlformats.org/officeDocument/2006/relationships/hyperlink" Target="https://www.scc-csc.ca/case-dossier/info/sum-som-eng.aspx?cas=3844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38311" TargetMode="External"/><Relationship Id="rId24" Type="http://schemas.openxmlformats.org/officeDocument/2006/relationships/hyperlink" Target="https://scc-csc.lexum.com/scc-csc/scc-csc/fr/item/17682/index.do" TargetMode="External"/><Relationship Id="rId5" Type="http://schemas.openxmlformats.org/officeDocument/2006/relationships/footnotes" Target="footnotes.xml"/><Relationship Id="rId15" Type="http://schemas.openxmlformats.org/officeDocument/2006/relationships/hyperlink" Target="https://www.scc-csc.ca/case-dossier/info/sum-som-fra.aspx?cas=38330" TargetMode="External"/><Relationship Id="rId23" Type="http://schemas.openxmlformats.org/officeDocument/2006/relationships/hyperlink" Target="https://scc-csc.lexum.com/scc-csc/scc-csc/en/item/17682/index.do" TargetMode="External"/><Relationship Id="rId28" Type="http://schemas.openxmlformats.org/officeDocument/2006/relationships/fontTable" Target="fontTable.xml"/><Relationship Id="rId10" Type="http://schemas.openxmlformats.org/officeDocument/2006/relationships/hyperlink" Target="https://www.scc-csc.ca/case-dossier/info/sum-som-fra.aspx?cas=38268" TargetMode="External"/><Relationship Id="rId19" Type="http://schemas.openxmlformats.org/officeDocument/2006/relationships/hyperlink" Target="https://www.scc-csc.ca/case-dossier/info/sum-som-eng.aspx?cas=38446"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449" TargetMode="External"/><Relationship Id="rId14" Type="http://schemas.openxmlformats.org/officeDocument/2006/relationships/hyperlink" Target="https://www.scc-csc.ca/case-dossier/info/sum-som-eng.aspx?cas=38460" TargetMode="External"/><Relationship Id="rId22" Type="http://schemas.openxmlformats.org/officeDocument/2006/relationships/hyperlink" Target="https://www.scc-csc.ca/case-dossier/info/sum-som-eng.aspx?cas=3846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2019-04-18T13:34:00Z</dcterms:created>
  <dcterms:modified xsi:type="dcterms:W3CDTF">2019-04-18T13:34:00Z</dcterms:modified>
</cp:coreProperties>
</file>