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E5531" w:rsidRDefault="001C4415" w:rsidP="001C4415">
      <w:pPr>
        <w:pStyle w:val="Header"/>
        <w:jc w:val="center"/>
        <w:rPr>
          <w:b/>
          <w:sz w:val="32"/>
        </w:rPr>
      </w:pPr>
      <w:r w:rsidRPr="00EE5531">
        <w:rPr>
          <w:b/>
          <w:sz w:val="32"/>
        </w:rPr>
        <w:t>Supreme Court of Canada / Cour suprême du Canada</w:t>
      </w:r>
    </w:p>
    <w:p w:rsidR="001C4415" w:rsidRPr="00EE5531" w:rsidRDefault="001C4415" w:rsidP="001C4415">
      <w:pPr>
        <w:widowControl w:val="0"/>
        <w:rPr>
          <w:i/>
        </w:rPr>
      </w:pPr>
    </w:p>
    <w:p w:rsidR="001C4415" w:rsidRPr="00EE5531" w:rsidRDefault="001C4415" w:rsidP="001C4415">
      <w:pPr>
        <w:widowControl w:val="0"/>
        <w:rPr>
          <w:i/>
        </w:rPr>
      </w:pPr>
    </w:p>
    <w:p w:rsidR="001C4415" w:rsidRPr="00EE5531" w:rsidRDefault="001C4415" w:rsidP="001C4415">
      <w:pPr>
        <w:widowControl w:val="0"/>
        <w:rPr>
          <w:i/>
        </w:rPr>
      </w:pPr>
      <w:r w:rsidRPr="00EE5531">
        <w:rPr>
          <w:i/>
        </w:rPr>
        <w:t>(le français suit)</w:t>
      </w:r>
    </w:p>
    <w:p w:rsidR="001C4415" w:rsidRPr="00EE5531" w:rsidRDefault="001C4415" w:rsidP="001C4415">
      <w:pPr>
        <w:widowControl w:val="0"/>
      </w:pPr>
    </w:p>
    <w:p w:rsidR="001C4415" w:rsidRPr="00EE5A88" w:rsidRDefault="000347C1" w:rsidP="00214729">
      <w:pPr>
        <w:widowControl w:val="0"/>
        <w:jc w:val="center"/>
        <w:rPr>
          <w:b/>
        </w:rPr>
      </w:pPr>
      <w:r w:rsidRPr="00EE5A88">
        <w:fldChar w:fldCharType="begin"/>
      </w:r>
      <w:r w:rsidR="00FA7412" w:rsidRPr="00EE5A88">
        <w:instrText xml:space="preserve"> SEQ CHAPTER \h \r 1</w:instrText>
      </w:r>
      <w:r w:rsidRPr="00EE5A88">
        <w:fldChar w:fldCharType="end"/>
      </w:r>
      <w:r w:rsidR="00455BB9" w:rsidRPr="00EE5A88">
        <w:rPr>
          <w:b/>
        </w:rPr>
        <w:t>JUDGMENT</w:t>
      </w:r>
      <w:r w:rsidR="00FA7412" w:rsidRPr="00EE5A88">
        <w:rPr>
          <w:b/>
        </w:rPr>
        <w:t xml:space="preserve"> TO BE RENDERED IN APPEA</w:t>
      </w:r>
      <w:r w:rsidR="00CC2799" w:rsidRPr="00EE5A88">
        <w:rPr>
          <w:b/>
        </w:rPr>
        <w:t>L</w:t>
      </w:r>
    </w:p>
    <w:p w:rsidR="005A7C1B" w:rsidRPr="00EE5A88" w:rsidRDefault="005A7C1B" w:rsidP="005A7C1B">
      <w:pPr>
        <w:widowControl w:val="0"/>
      </w:pPr>
    </w:p>
    <w:p w:rsidR="00EC79B0" w:rsidRPr="00EE5A88" w:rsidRDefault="000A226B" w:rsidP="00EC79B0">
      <w:pPr>
        <w:widowControl w:val="0"/>
        <w:rPr>
          <w:b/>
        </w:rPr>
      </w:pPr>
      <w:r>
        <w:rPr>
          <w:b/>
        </w:rPr>
        <w:t>June</w:t>
      </w:r>
      <w:r w:rsidR="00C86395" w:rsidRPr="00EE5A88">
        <w:rPr>
          <w:b/>
        </w:rPr>
        <w:t xml:space="preserve"> </w:t>
      </w:r>
      <w:r>
        <w:rPr>
          <w:b/>
        </w:rPr>
        <w:t>3</w:t>
      </w:r>
      <w:r w:rsidR="00EC79B0" w:rsidRPr="00EE5A88">
        <w:rPr>
          <w:b/>
        </w:rPr>
        <w:t>, 2</w:t>
      </w:r>
      <w:r w:rsidR="00E6600C" w:rsidRPr="00EE5A88">
        <w:rPr>
          <w:b/>
        </w:rPr>
        <w:t>0</w:t>
      </w:r>
      <w:r w:rsidR="00EC79B0" w:rsidRPr="00EE5A88">
        <w:rPr>
          <w:b/>
        </w:rPr>
        <w:t>1</w:t>
      </w:r>
      <w:r w:rsidR="008C5ACC" w:rsidRPr="00EE5A88">
        <w:rPr>
          <w:b/>
        </w:rPr>
        <w:t>9</w:t>
      </w:r>
    </w:p>
    <w:p w:rsidR="00EC79B0" w:rsidRPr="00EE5531" w:rsidRDefault="00EC79B0" w:rsidP="00EC79B0">
      <w:pPr>
        <w:widowControl w:val="0"/>
        <w:rPr>
          <w:b/>
        </w:rPr>
      </w:pPr>
      <w:r w:rsidRPr="00EE5A88">
        <w:rPr>
          <w:b/>
        </w:rPr>
        <w:t>For im</w:t>
      </w:r>
      <w:r w:rsidRPr="00EE5531">
        <w:rPr>
          <w:b/>
        </w:rPr>
        <w:t>mediate release</w:t>
      </w:r>
    </w:p>
    <w:p w:rsidR="00EC79B0" w:rsidRPr="00EE5531" w:rsidRDefault="00EC79B0" w:rsidP="00EC79B0">
      <w:pPr>
        <w:widowControl w:val="0"/>
      </w:pPr>
    </w:p>
    <w:p w:rsidR="00EC79B0" w:rsidRPr="00300AF2" w:rsidRDefault="00EC79B0" w:rsidP="00EC79B0">
      <w:pPr>
        <w:widowControl w:val="0"/>
        <w:rPr>
          <w:lang w:val="fr-CA"/>
        </w:rPr>
      </w:pPr>
      <w:r w:rsidRPr="00EE5531">
        <w:rPr>
          <w:b/>
        </w:rPr>
        <w:t>OTTAWA</w:t>
      </w:r>
      <w:r w:rsidRPr="00EE5531">
        <w:t xml:space="preserve"> – The Supreme Court of Canad</w:t>
      </w:r>
      <w:r w:rsidR="00455BB9" w:rsidRPr="00EE5531">
        <w:t>a announced today that judgment</w:t>
      </w:r>
      <w:r w:rsidRPr="00EE5531">
        <w:t xml:space="preserve"> in the following appeal will be delivered at 9:45 a.m. E</w:t>
      </w:r>
      <w:r w:rsidR="00954614" w:rsidRPr="00EE5531">
        <w:t>D</w:t>
      </w:r>
      <w:r w:rsidR="00DC6C1E" w:rsidRPr="00EE5531">
        <w:t>T</w:t>
      </w:r>
      <w:r w:rsidR="00D74667" w:rsidRPr="00EE5531">
        <w:t xml:space="preserve"> on</w:t>
      </w:r>
      <w:r w:rsidR="00DC6C1E" w:rsidRPr="00EE5531">
        <w:t xml:space="preserve"> </w:t>
      </w:r>
      <w:r w:rsidR="002F55A8">
        <w:t>Friday</w:t>
      </w:r>
      <w:r w:rsidR="000A7900" w:rsidRPr="00EE5531">
        <w:t xml:space="preserve">, </w:t>
      </w:r>
      <w:r w:rsidR="000A226B">
        <w:t>June</w:t>
      </w:r>
      <w:r w:rsidR="004E605A" w:rsidRPr="00EE5531">
        <w:t xml:space="preserve"> </w:t>
      </w:r>
      <w:r w:rsidR="000A226B">
        <w:t>7</w:t>
      </w:r>
      <w:r w:rsidR="00E63199" w:rsidRPr="00EE5531">
        <w:t>, 2</w:t>
      </w:r>
      <w:r w:rsidR="0086609D" w:rsidRPr="00EE5531">
        <w:t>01</w:t>
      </w:r>
      <w:r w:rsidR="008C5ACC" w:rsidRPr="00EE5531">
        <w:t>9</w:t>
      </w:r>
      <w:r w:rsidR="00455BB9" w:rsidRPr="00EE5531">
        <w:t xml:space="preserve">. </w:t>
      </w:r>
      <w:r w:rsidR="00455BB9" w:rsidRPr="00300AF2">
        <w:rPr>
          <w:lang w:val="fr-CA"/>
        </w:rPr>
        <w:t>This</w:t>
      </w:r>
      <w:r w:rsidRPr="00300AF2">
        <w:rPr>
          <w:lang w:val="fr-CA"/>
        </w:rPr>
        <w:t xml:space="preserve"> list is subject to change.</w:t>
      </w:r>
    </w:p>
    <w:p w:rsidR="001F76DD" w:rsidRPr="00300AF2" w:rsidRDefault="001F76DD" w:rsidP="001C4415">
      <w:pPr>
        <w:widowControl w:val="0"/>
        <w:rPr>
          <w:szCs w:val="24"/>
          <w:lang w:val="fr-CA"/>
        </w:rPr>
      </w:pPr>
    </w:p>
    <w:p w:rsidR="001C4415" w:rsidRPr="00300AF2" w:rsidRDefault="001C4415" w:rsidP="001C4415">
      <w:pPr>
        <w:widowControl w:val="0"/>
        <w:rPr>
          <w:lang w:val="fr-CA"/>
        </w:rPr>
      </w:pPr>
    </w:p>
    <w:p w:rsidR="001335A1" w:rsidRPr="00095EDD" w:rsidRDefault="001335A1" w:rsidP="001335A1">
      <w:pPr>
        <w:widowControl w:val="0"/>
        <w:jc w:val="center"/>
        <w:rPr>
          <w:b/>
          <w:lang w:val="fr-CA"/>
        </w:rPr>
      </w:pPr>
      <w:r w:rsidRPr="00095EDD">
        <w:rPr>
          <w:b/>
          <w:lang w:val="fr-CA"/>
        </w:rPr>
        <w:t>PROCHAIN JUGEMENT</w:t>
      </w:r>
      <w:r w:rsidR="00455BB9" w:rsidRPr="00095EDD">
        <w:rPr>
          <w:b/>
          <w:lang w:val="fr-CA"/>
        </w:rPr>
        <w:t xml:space="preserve"> SUR APPEL</w:t>
      </w:r>
    </w:p>
    <w:p w:rsidR="001335A1" w:rsidRPr="00095EDD" w:rsidRDefault="001335A1" w:rsidP="001335A1">
      <w:pPr>
        <w:widowControl w:val="0"/>
        <w:rPr>
          <w:lang w:val="fr-CA"/>
        </w:rPr>
      </w:pPr>
    </w:p>
    <w:p w:rsidR="00EC79B0" w:rsidRPr="00095EDD" w:rsidRDefault="00EC79B0" w:rsidP="00EC79B0">
      <w:pPr>
        <w:widowControl w:val="0"/>
        <w:rPr>
          <w:b/>
          <w:lang w:val="fr-CA"/>
        </w:rPr>
      </w:pPr>
      <w:r w:rsidRPr="00095EDD">
        <w:rPr>
          <w:b/>
          <w:lang w:val="fr-CA"/>
        </w:rPr>
        <w:t xml:space="preserve">Le </w:t>
      </w:r>
      <w:r w:rsidR="000A226B">
        <w:rPr>
          <w:b/>
          <w:lang w:val="fr-CA"/>
        </w:rPr>
        <w:t>3</w:t>
      </w:r>
      <w:r w:rsidR="00FA5450" w:rsidRPr="00095EDD">
        <w:rPr>
          <w:b/>
          <w:lang w:val="fr-CA"/>
        </w:rPr>
        <w:t xml:space="preserve"> </w:t>
      </w:r>
      <w:r w:rsidR="000A226B">
        <w:rPr>
          <w:b/>
          <w:lang w:val="fr-CA"/>
        </w:rPr>
        <w:t>juin</w:t>
      </w:r>
      <w:r w:rsidR="00C86395" w:rsidRPr="00095EDD">
        <w:rPr>
          <w:b/>
          <w:lang w:val="fr-CA"/>
        </w:rPr>
        <w:t xml:space="preserve"> </w:t>
      </w:r>
      <w:r w:rsidR="0086609D" w:rsidRPr="00095EDD">
        <w:rPr>
          <w:b/>
          <w:lang w:val="fr-CA"/>
        </w:rPr>
        <w:t>201</w:t>
      </w:r>
      <w:r w:rsidR="008C5ACC" w:rsidRPr="00095EDD">
        <w:rPr>
          <w:b/>
          <w:lang w:val="fr-CA"/>
        </w:rPr>
        <w:t>9</w:t>
      </w:r>
    </w:p>
    <w:p w:rsidR="00EC79B0" w:rsidRPr="00095EDD" w:rsidRDefault="00EC79B0" w:rsidP="00EC79B0">
      <w:pPr>
        <w:widowControl w:val="0"/>
        <w:rPr>
          <w:b/>
          <w:lang w:val="fr-CA"/>
        </w:rPr>
      </w:pPr>
      <w:r w:rsidRPr="00095EDD">
        <w:rPr>
          <w:b/>
          <w:lang w:val="fr-CA"/>
        </w:rPr>
        <w:t>Pour diffusion immédiate</w:t>
      </w:r>
    </w:p>
    <w:p w:rsidR="00EC79B0" w:rsidRPr="00095EDD" w:rsidRDefault="00EC79B0" w:rsidP="00EC79B0">
      <w:pPr>
        <w:widowControl w:val="0"/>
        <w:rPr>
          <w:b/>
          <w:lang w:val="fr-CA"/>
        </w:rPr>
      </w:pPr>
    </w:p>
    <w:p w:rsidR="00EC79B0" w:rsidRPr="00095EDD" w:rsidRDefault="00EC79B0" w:rsidP="00EC79B0">
      <w:pPr>
        <w:widowControl w:val="0"/>
        <w:rPr>
          <w:lang w:val="fr-CA"/>
        </w:rPr>
      </w:pPr>
      <w:r w:rsidRPr="00095EDD">
        <w:rPr>
          <w:b/>
          <w:lang w:val="fr-CA"/>
        </w:rPr>
        <w:t>OTTAWA</w:t>
      </w:r>
      <w:r w:rsidRPr="00095EDD">
        <w:rPr>
          <w:lang w:val="fr-CA"/>
        </w:rPr>
        <w:t xml:space="preserve"> – La Cour suprême du Canada annonce que jugement ser</w:t>
      </w:r>
      <w:r w:rsidR="00C86395" w:rsidRPr="00095EDD">
        <w:rPr>
          <w:lang w:val="fr-CA"/>
        </w:rPr>
        <w:t>a</w:t>
      </w:r>
      <w:r w:rsidRPr="00095EDD">
        <w:rPr>
          <w:lang w:val="fr-CA"/>
        </w:rPr>
        <w:t xml:space="preserve"> rendu dans </w:t>
      </w:r>
      <w:r w:rsidR="001F1643" w:rsidRPr="00095EDD">
        <w:rPr>
          <w:lang w:val="fr-CA"/>
        </w:rPr>
        <w:t>l</w:t>
      </w:r>
      <w:r w:rsidR="00C86395" w:rsidRPr="00095EDD">
        <w:rPr>
          <w:lang w:val="fr-CA"/>
        </w:rPr>
        <w:t>’</w:t>
      </w:r>
      <w:r w:rsidR="001F1643" w:rsidRPr="00095EDD">
        <w:rPr>
          <w:lang w:val="fr-CA"/>
        </w:rPr>
        <w:t xml:space="preserve">appel </w:t>
      </w:r>
      <w:r w:rsidRPr="00095EDD">
        <w:rPr>
          <w:lang w:val="fr-CA"/>
        </w:rPr>
        <w:t xml:space="preserve">suivant le </w:t>
      </w:r>
      <w:r w:rsidR="002F55A8" w:rsidRPr="00095EDD">
        <w:rPr>
          <w:lang w:val="fr-CA"/>
        </w:rPr>
        <w:t>v</w:t>
      </w:r>
      <w:r w:rsidR="008B03CF" w:rsidRPr="00095EDD">
        <w:rPr>
          <w:lang w:val="fr-CA"/>
        </w:rPr>
        <w:t>e</w:t>
      </w:r>
      <w:r w:rsidR="002F55A8" w:rsidRPr="00095EDD">
        <w:rPr>
          <w:lang w:val="fr-CA"/>
        </w:rPr>
        <w:t>ndre</w:t>
      </w:r>
      <w:r w:rsidR="00266607" w:rsidRPr="00095EDD">
        <w:rPr>
          <w:lang w:val="fr-CA"/>
        </w:rPr>
        <w:t>d</w:t>
      </w:r>
      <w:r w:rsidR="00945121" w:rsidRPr="00095EDD">
        <w:rPr>
          <w:lang w:val="fr-CA"/>
        </w:rPr>
        <w:t>i</w:t>
      </w:r>
      <w:r w:rsidR="007C1648" w:rsidRPr="00095EDD">
        <w:rPr>
          <w:lang w:val="fr-CA"/>
        </w:rPr>
        <w:t xml:space="preserve"> </w:t>
      </w:r>
      <w:r w:rsidR="000A226B">
        <w:rPr>
          <w:lang w:val="fr-CA"/>
        </w:rPr>
        <w:t>7</w:t>
      </w:r>
      <w:r w:rsidR="00F62251" w:rsidRPr="00095EDD">
        <w:rPr>
          <w:lang w:val="fr-CA"/>
        </w:rPr>
        <w:t xml:space="preserve"> </w:t>
      </w:r>
      <w:r w:rsidR="000A226B">
        <w:rPr>
          <w:lang w:val="fr-CA"/>
        </w:rPr>
        <w:t>juin</w:t>
      </w:r>
      <w:r w:rsidR="00282563" w:rsidRPr="00095EDD">
        <w:rPr>
          <w:lang w:val="fr-CA"/>
        </w:rPr>
        <w:t xml:space="preserve"> </w:t>
      </w:r>
      <w:r w:rsidRPr="00095EDD">
        <w:rPr>
          <w:lang w:val="fr-CA"/>
        </w:rPr>
        <w:t>201</w:t>
      </w:r>
      <w:r w:rsidR="008C5ACC" w:rsidRPr="00095EDD">
        <w:rPr>
          <w:lang w:val="fr-CA"/>
        </w:rPr>
        <w:t>9</w:t>
      </w:r>
      <w:r w:rsidRPr="00095EDD">
        <w:rPr>
          <w:lang w:val="fr-CA"/>
        </w:rPr>
        <w:t>, à 9 h 45 H</w:t>
      </w:r>
      <w:r w:rsidR="00E7729C" w:rsidRPr="00095EDD">
        <w:rPr>
          <w:lang w:val="fr-CA"/>
        </w:rPr>
        <w:t>A</w:t>
      </w:r>
      <w:r w:rsidRPr="00095EDD">
        <w:rPr>
          <w:lang w:val="fr-CA"/>
        </w:rPr>
        <w:t>E. Cette liste est sujette à modifications.</w:t>
      </w:r>
    </w:p>
    <w:p w:rsidR="00340C6D" w:rsidRPr="00095EDD" w:rsidRDefault="00340C6D" w:rsidP="00340C6D">
      <w:pPr>
        <w:jc w:val="both"/>
        <w:rPr>
          <w:bCs/>
          <w:szCs w:val="24"/>
          <w:lang w:val="fr-CA"/>
        </w:rPr>
      </w:pPr>
    </w:p>
    <w:p w:rsidR="008F607D" w:rsidRDefault="00880CD4" w:rsidP="00340C6D">
      <w:pPr>
        <w:jc w:val="both"/>
        <w:rPr>
          <w:bCs/>
          <w:szCs w:val="24"/>
          <w:lang w:val="fr-CA"/>
        </w:rPr>
      </w:pPr>
      <w:r>
        <w:rPr>
          <w:sz w:val="20"/>
        </w:rPr>
        <w:pict>
          <v:rect id="_x0000_i1025" style="width:2in;height:1pt" o:hrpct="0" o:hralign="center" o:hrstd="t" o:hrnoshade="t" o:hr="t" fillcolor="black [3213]" stroked="f"/>
        </w:pict>
      </w:r>
    </w:p>
    <w:p w:rsidR="008F607D" w:rsidRPr="00EE5531" w:rsidRDefault="008F607D" w:rsidP="00340C6D">
      <w:pPr>
        <w:jc w:val="both"/>
        <w:rPr>
          <w:bCs/>
          <w:szCs w:val="24"/>
          <w:lang w:val="fr-CA"/>
        </w:rPr>
      </w:pPr>
    </w:p>
    <w:p w:rsidR="00772636" w:rsidRPr="000A226B" w:rsidRDefault="000A226B" w:rsidP="00772636">
      <w:pPr>
        <w:jc w:val="both"/>
        <w:rPr>
          <w:szCs w:val="24"/>
          <w:lang w:val="fr-CA"/>
        </w:rPr>
      </w:pPr>
      <w:r w:rsidRPr="000A226B">
        <w:rPr>
          <w:i/>
          <w:szCs w:val="24"/>
          <w:lang w:val="fr-CA"/>
        </w:rPr>
        <w:t>L’Oratoire Saint-Joseph du Mont-Royal</w:t>
      </w:r>
      <w:r w:rsidR="00300AF2">
        <w:rPr>
          <w:i/>
          <w:szCs w:val="24"/>
          <w:lang w:val="fr-CA"/>
        </w:rPr>
        <w:t>,</w:t>
      </w:r>
      <w:r w:rsidRPr="000A226B">
        <w:rPr>
          <w:i/>
          <w:szCs w:val="24"/>
          <w:lang w:val="fr-CA"/>
        </w:rPr>
        <w:t xml:space="preserve"> et a</w:t>
      </w:r>
      <w:r w:rsidR="00300AF2">
        <w:rPr>
          <w:i/>
          <w:szCs w:val="24"/>
          <w:lang w:val="fr-CA"/>
        </w:rPr>
        <w:t>l.</w:t>
      </w:r>
      <w:r w:rsidRPr="000A226B">
        <w:rPr>
          <w:i/>
          <w:szCs w:val="24"/>
          <w:lang w:val="fr-CA"/>
        </w:rPr>
        <w:t xml:space="preserve"> c. J.J.</w:t>
      </w:r>
      <w:r>
        <w:rPr>
          <w:i/>
          <w:szCs w:val="24"/>
          <w:lang w:val="fr-CA"/>
        </w:rPr>
        <w:t>,</w:t>
      </w:r>
      <w:r w:rsidRPr="000A226B">
        <w:rPr>
          <w:i/>
          <w:szCs w:val="24"/>
          <w:lang w:val="fr-CA"/>
        </w:rPr>
        <w:t xml:space="preserve"> et a</w:t>
      </w:r>
      <w:r>
        <w:rPr>
          <w:i/>
          <w:szCs w:val="24"/>
          <w:lang w:val="fr-CA"/>
        </w:rPr>
        <w:t>l</w:t>
      </w:r>
      <w:r w:rsidR="00880CD4">
        <w:rPr>
          <w:i/>
          <w:szCs w:val="24"/>
          <w:lang w:val="fr-CA"/>
        </w:rPr>
        <w:t>.</w:t>
      </w:r>
      <w:bookmarkStart w:id="0" w:name="_GoBack"/>
      <w:bookmarkEnd w:id="0"/>
      <w:r w:rsidR="00D21369" w:rsidRPr="000A226B">
        <w:rPr>
          <w:i/>
          <w:szCs w:val="24"/>
          <w:lang w:val="fr-CA"/>
        </w:rPr>
        <w:t xml:space="preserve"> </w:t>
      </w:r>
      <w:r w:rsidR="00772636" w:rsidRPr="000A226B">
        <w:rPr>
          <w:szCs w:val="24"/>
          <w:lang w:val="fr-CA"/>
        </w:rPr>
        <w:t>(</w:t>
      </w:r>
      <w:r w:rsidR="002E6C2C">
        <w:rPr>
          <w:szCs w:val="24"/>
          <w:lang w:val="fr-CA"/>
        </w:rPr>
        <w:t>Qc</w:t>
      </w:r>
      <w:r w:rsidR="00772636" w:rsidRPr="000A226B">
        <w:rPr>
          <w:szCs w:val="24"/>
          <w:lang w:val="fr-CA"/>
        </w:rPr>
        <w:t xml:space="preserve">) </w:t>
      </w:r>
      <w:r w:rsidR="00772636" w:rsidRPr="000A226B">
        <w:rPr>
          <w:lang w:val="fr-CA"/>
        </w:rPr>
        <w:t>(</w:t>
      </w:r>
      <w:hyperlink r:id="rId7" w:history="1">
        <w:r w:rsidR="00772636" w:rsidRPr="000A226B">
          <w:rPr>
            <w:rStyle w:val="Hyperlink"/>
            <w:lang w:val="fr-CA"/>
          </w:rPr>
          <w:t>3</w:t>
        </w:r>
        <w:r w:rsidR="00296694" w:rsidRPr="000A226B">
          <w:rPr>
            <w:rStyle w:val="Hyperlink"/>
            <w:lang w:val="fr-CA"/>
          </w:rPr>
          <w:t>7</w:t>
        </w:r>
        <w:r w:rsidRPr="000A226B">
          <w:rPr>
            <w:rStyle w:val="Hyperlink"/>
            <w:lang w:val="fr-CA"/>
          </w:rPr>
          <w:t>855</w:t>
        </w:r>
      </w:hyperlink>
      <w:r w:rsidR="00772636" w:rsidRPr="000A226B">
        <w:rPr>
          <w:lang w:val="fr-CA"/>
        </w:rPr>
        <w:t>)</w:t>
      </w:r>
    </w:p>
    <w:p w:rsidR="009F18D7" w:rsidRDefault="009F18D7" w:rsidP="00340C6D">
      <w:pPr>
        <w:jc w:val="both"/>
        <w:rPr>
          <w:lang w:val="fr-CA"/>
        </w:rPr>
      </w:pPr>
    </w:p>
    <w:p w:rsidR="00260C25" w:rsidRDefault="00260C25" w:rsidP="00340C6D">
      <w:pPr>
        <w:jc w:val="both"/>
        <w:rPr>
          <w:lang w:val="fr-CA"/>
        </w:rPr>
      </w:pPr>
    </w:p>
    <w:tbl>
      <w:tblPr>
        <w:tblW w:w="4793" w:type="pct"/>
        <w:tblLayout w:type="fixed"/>
        <w:tblCellMar>
          <w:left w:w="0" w:type="dxa"/>
          <w:bottom w:w="99" w:type="dxa"/>
          <w:right w:w="0" w:type="dxa"/>
        </w:tblCellMar>
        <w:tblLook w:val="04A0" w:firstRow="1" w:lastRow="0" w:firstColumn="1" w:lastColumn="0" w:noHBand="0" w:noVBand="1"/>
      </w:tblPr>
      <w:tblGrid>
        <w:gridCol w:w="709"/>
        <w:gridCol w:w="8263"/>
      </w:tblGrid>
      <w:tr w:rsidR="00260C25" w:rsidRPr="00260C25" w:rsidTr="006F5317">
        <w:tc>
          <w:tcPr>
            <w:tcW w:w="395" w:type="pct"/>
          </w:tcPr>
          <w:p w:rsidR="00260C25" w:rsidRPr="00260C25" w:rsidRDefault="00260C25" w:rsidP="00CB2697">
            <w:pPr>
              <w:rPr>
                <w:sz w:val="20"/>
                <w:lang w:val="en-CA"/>
              </w:rPr>
            </w:pPr>
            <w:r w:rsidRPr="00260C25">
              <w:rPr>
                <w:rStyle w:val="SCCFileNumberChar"/>
                <w:sz w:val="20"/>
                <w:szCs w:val="20"/>
                <w:lang w:val="en-CA"/>
              </w:rPr>
              <w:t>37855</w:t>
            </w:r>
          </w:p>
        </w:tc>
        <w:tc>
          <w:tcPr>
            <w:tcW w:w="4605" w:type="pct"/>
          </w:tcPr>
          <w:p w:rsidR="00260C25" w:rsidRPr="00EA6772" w:rsidRDefault="00260C25" w:rsidP="006F5317">
            <w:pPr>
              <w:pStyle w:val="SCCLsocParty"/>
              <w:rPr>
                <w:b/>
                <w:i w:val="0"/>
                <w:sz w:val="20"/>
                <w:szCs w:val="20"/>
              </w:rPr>
            </w:pPr>
            <w:r w:rsidRPr="00EA6772">
              <w:rPr>
                <w:b/>
                <w:sz w:val="20"/>
                <w:szCs w:val="20"/>
              </w:rPr>
              <w:t>L’Oratoire Saint-Joseph du Mont-Royal v. J. J.</w:t>
            </w:r>
          </w:p>
          <w:p w:rsidR="00260C25" w:rsidRPr="00260C25" w:rsidRDefault="00260C25" w:rsidP="00E11E1B">
            <w:pPr>
              <w:pStyle w:val="SCCLsocOtherPartySeparator"/>
              <w:rPr>
                <w:b/>
                <w:sz w:val="20"/>
                <w:szCs w:val="20"/>
                <w:lang w:val="fr-CA"/>
              </w:rPr>
            </w:pPr>
            <w:r w:rsidRPr="00260C25">
              <w:rPr>
                <w:b/>
                <w:sz w:val="20"/>
                <w:szCs w:val="20"/>
                <w:lang w:val="fr-CA"/>
              </w:rPr>
              <w:t>- and -</w:t>
            </w:r>
          </w:p>
          <w:p w:rsidR="00260C25" w:rsidRPr="00260C25" w:rsidRDefault="00260C25" w:rsidP="00E11E1B">
            <w:pPr>
              <w:rPr>
                <w:b/>
                <w:i/>
                <w:sz w:val="20"/>
                <w:lang w:val="fr-CA"/>
              </w:rPr>
            </w:pPr>
            <w:r w:rsidRPr="00260C25">
              <w:rPr>
                <w:b/>
                <w:i/>
                <w:sz w:val="20"/>
                <w:lang w:val="fr-CA"/>
              </w:rPr>
              <w:t>La Province canadienne de la Congrégation de Sainte-Croix</w:t>
            </w:r>
          </w:p>
          <w:p w:rsidR="00260C25" w:rsidRPr="00260C25" w:rsidRDefault="00260C25" w:rsidP="00E11E1B">
            <w:pPr>
              <w:pStyle w:val="SCCLsocSubfileSeparator"/>
              <w:rPr>
                <w:b/>
                <w:sz w:val="20"/>
                <w:szCs w:val="20"/>
                <w:lang w:val="fr-CA"/>
              </w:rPr>
            </w:pPr>
            <w:r w:rsidRPr="00260C25">
              <w:rPr>
                <w:b/>
                <w:sz w:val="20"/>
                <w:szCs w:val="20"/>
                <w:lang w:val="fr-CA"/>
              </w:rPr>
              <w:t>- and between -</w:t>
            </w:r>
          </w:p>
          <w:p w:rsidR="00260C25" w:rsidRPr="00EA6772" w:rsidRDefault="00260C25" w:rsidP="00E11E1B">
            <w:pPr>
              <w:pStyle w:val="SCCLsocParty"/>
              <w:rPr>
                <w:b/>
                <w:i w:val="0"/>
                <w:sz w:val="20"/>
                <w:szCs w:val="20"/>
              </w:rPr>
            </w:pPr>
            <w:r w:rsidRPr="00EA6772">
              <w:rPr>
                <w:b/>
                <w:sz w:val="20"/>
                <w:szCs w:val="20"/>
              </w:rPr>
              <w:t>La Province canadienne de la Congrégation de Sainte-Croix v. J. J.</w:t>
            </w:r>
          </w:p>
          <w:p w:rsidR="00260C25" w:rsidRPr="00260C25" w:rsidRDefault="00260C25" w:rsidP="00E11E1B">
            <w:pPr>
              <w:pStyle w:val="SCCLsocOtherPartySeparator"/>
              <w:rPr>
                <w:b/>
                <w:sz w:val="20"/>
                <w:szCs w:val="20"/>
                <w:lang w:val="fr-CA"/>
              </w:rPr>
            </w:pPr>
            <w:r w:rsidRPr="00260C25">
              <w:rPr>
                <w:b/>
                <w:sz w:val="20"/>
                <w:szCs w:val="20"/>
                <w:lang w:val="fr-CA"/>
              </w:rPr>
              <w:t>- and -</w:t>
            </w:r>
          </w:p>
          <w:p w:rsidR="00260C25" w:rsidRPr="00260C25" w:rsidRDefault="00260C25" w:rsidP="00E11E1B">
            <w:pPr>
              <w:rPr>
                <w:b/>
                <w:i/>
                <w:sz w:val="20"/>
                <w:lang w:val="fr-CA"/>
              </w:rPr>
            </w:pPr>
            <w:r w:rsidRPr="00260C25">
              <w:rPr>
                <w:b/>
                <w:i/>
                <w:sz w:val="20"/>
                <w:lang w:val="fr-CA"/>
              </w:rPr>
              <w:t>L’Oratoire Saint-Joseph du Mont-Royal</w:t>
            </w:r>
          </w:p>
          <w:p w:rsidR="00260C25" w:rsidRPr="00260C25" w:rsidRDefault="00260C25" w:rsidP="00416539">
            <w:pPr>
              <w:rPr>
                <w:sz w:val="20"/>
                <w:lang w:val="en-CA"/>
              </w:rPr>
            </w:pPr>
            <w:r w:rsidRPr="00260C25">
              <w:rPr>
                <w:sz w:val="20"/>
                <w:lang w:val="en-CA"/>
              </w:rPr>
              <w:t>(Que.) (Civil) (By Leave)</w:t>
            </w:r>
          </w:p>
        </w:tc>
      </w:tr>
      <w:tr w:rsidR="00260C25" w:rsidRPr="00260C25" w:rsidTr="006F5317">
        <w:tc>
          <w:tcPr>
            <w:tcW w:w="5000" w:type="pct"/>
            <w:gridSpan w:val="2"/>
          </w:tcPr>
          <w:p w:rsidR="00260C25" w:rsidRPr="00260C25" w:rsidRDefault="00260C25" w:rsidP="00E7398C">
            <w:pPr>
              <w:rPr>
                <w:sz w:val="20"/>
                <w:lang w:val="en-CA"/>
              </w:rPr>
            </w:pPr>
          </w:p>
          <w:p w:rsidR="00260C25" w:rsidRPr="00260C25" w:rsidRDefault="00260C25" w:rsidP="00213F94">
            <w:pPr>
              <w:rPr>
                <w:smallCaps/>
                <w:sz w:val="20"/>
                <w:lang w:val="en-CA"/>
              </w:rPr>
            </w:pPr>
            <w:r w:rsidRPr="00260C25">
              <w:rPr>
                <w:sz w:val="20"/>
                <w:lang w:val="en-CA"/>
              </w:rPr>
              <w:t xml:space="preserve">Civil procedure - Class action - Action for damages for sexual assault - Whether art. 2926.1 para. 2 C.C.Q. establishes time limit applicable to any </w:t>
            </w:r>
            <w:r w:rsidRPr="00260C25">
              <w:rPr>
                <w:sz w:val="20"/>
                <w:lang w:val="en"/>
              </w:rPr>
              <w:t>action for damages for bodily injury resulting from act which could constitute criminal offence</w:t>
            </w:r>
            <w:r w:rsidRPr="00260C25">
              <w:rPr>
                <w:sz w:val="20"/>
                <w:lang w:val="en-CA"/>
              </w:rPr>
              <w:t xml:space="preserve"> - If so, whether application to institute class action must be dismissed where right of applicant seeking to be appointed as representative plaintiff has been forfeited, on basis that criteria in art. 575(2) and (4) C.C.P. not met - Whether Court of Appeal should have considered issue of nature of time period in art. 2926.1 para. 2 C.C.Q. on its own initiative - Whether class action may be authorized against entity formed after commission of alleged offences in absence of allegations involving tangible facts, based solely on context and nature of class action contemplated by applicant - Whether Quebec Court of Appeal erred in interpreting and applying criterion in art. 575(1) C.C.P. by finding that issues submitted by respondent as issues to be dealt with collectively were, under law, </w:t>
            </w:r>
            <w:r w:rsidRPr="00260C25">
              <w:rPr>
                <w:sz w:val="20"/>
                <w:lang w:val="en"/>
              </w:rPr>
              <w:t xml:space="preserve">identical, similar or related for all members, including those concerned by conclusion seeking damages specifically against </w:t>
            </w:r>
            <w:r w:rsidRPr="00260C25">
              <w:rPr>
                <w:sz w:val="20"/>
                <w:lang w:val="en-CA"/>
              </w:rPr>
              <w:t xml:space="preserve">Oratoire - Whether Quebec Court of Appeal erred in interpreting and applying criterion in art. 575(2) C.C.P., including by relying essentially on context of respondent’s claim to find that his mere allegation that abuse had been committed on premises owned by Oratoire was enough to establish sufficient cause of action against Oratoire - Whether Quebec Court of Appeal erred in declining to express view on interpretation, scope and application of art. 2926.1 para. 2 C.C.Q. and, if so, whether right of action that respondent is proposing to exercise in this case was extinguished by expiry of </w:t>
            </w:r>
            <w:r w:rsidRPr="00260C25">
              <w:rPr>
                <w:sz w:val="20"/>
                <w:lang w:val="en-CA"/>
              </w:rPr>
              <w:lastRenderedPageBreak/>
              <w:t xml:space="preserve">time limit of </w:t>
            </w:r>
            <w:r w:rsidRPr="00260C25">
              <w:rPr>
                <w:sz w:val="20"/>
                <w:lang w:val="en"/>
              </w:rPr>
              <w:t>three years from death</w:t>
            </w:r>
            <w:r w:rsidRPr="00260C25">
              <w:rPr>
                <w:sz w:val="20"/>
                <w:lang w:val="en-CA"/>
              </w:rPr>
              <w:t xml:space="preserve"> of Father Bernard on January 16, 2001 - </w:t>
            </w:r>
            <w:r w:rsidRPr="00260C25">
              <w:rPr>
                <w:i/>
                <w:sz w:val="20"/>
                <w:lang w:val="en-CA"/>
              </w:rPr>
              <w:t>Code of Civil Procedure</w:t>
            </w:r>
            <w:r w:rsidRPr="00260C25">
              <w:rPr>
                <w:sz w:val="20"/>
                <w:lang w:val="en-CA"/>
              </w:rPr>
              <w:t>, CQLR, c. C</w:t>
            </w:r>
            <w:r w:rsidRPr="00260C25">
              <w:rPr>
                <w:sz w:val="20"/>
                <w:lang w:val="en-CA"/>
              </w:rPr>
              <w:noBreakHyphen/>
              <w:t xml:space="preserve">25 (repealed), art. 1003 - </w:t>
            </w:r>
            <w:r w:rsidRPr="00260C25">
              <w:rPr>
                <w:i/>
                <w:sz w:val="20"/>
                <w:lang w:val="en-CA"/>
              </w:rPr>
              <w:t>Code of Civil Procedure</w:t>
            </w:r>
            <w:r w:rsidRPr="00260C25">
              <w:rPr>
                <w:sz w:val="20"/>
                <w:lang w:val="en-CA"/>
              </w:rPr>
              <w:t>, CQLR, c. C</w:t>
            </w:r>
            <w:r w:rsidRPr="00260C25">
              <w:rPr>
                <w:sz w:val="20"/>
                <w:lang w:val="en-CA"/>
              </w:rPr>
              <w:noBreakHyphen/>
              <w:t xml:space="preserve">25.01, art. 575 - </w:t>
            </w:r>
            <w:r w:rsidRPr="00260C25">
              <w:rPr>
                <w:i/>
                <w:sz w:val="20"/>
                <w:lang w:val="en-CA"/>
              </w:rPr>
              <w:t>Civil Code of Québec</w:t>
            </w:r>
            <w:r w:rsidRPr="00260C25">
              <w:rPr>
                <w:sz w:val="20"/>
                <w:lang w:val="en-CA"/>
              </w:rPr>
              <w:t>, arts. 2878, 2904 and 2926.1.</w:t>
            </w:r>
          </w:p>
        </w:tc>
      </w:tr>
      <w:tr w:rsidR="00260C25" w:rsidRPr="00260C25" w:rsidTr="006F5317">
        <w:tc>
          <w:tcPr>
            <w:tcW w:w="5000" w:type="pct"/>
            <w:gridSpan w:val="2"/>
          </w:tcPr>
          <w:p w:rsidR="00260C25" w:rsidRPr="00260C25" w:rsidRDefault="00260C25" w:rsidP="00CB2697">
            <w:pPr>
              <w:rPr>
                <w:sz w:val="20"/>
                <w:lang w:val="en-CA"/>
              </w:rPr>
            </w:pPr>
          </w:p>
        </w:tc>
      </w:tr>
      <w:tr w:rsidR="00260C25" w:rsidRPr="00260C25" w:rsidTr="006F5317">
        <w:tc>
          <w:tcPr>
            <w:tcW w:w="5000" w:type="pct"/>
            <w:gridSpan w:val="2"/>
          </w:tcPr>
          <w:p w:rsidR="00260C25" w:rsidRPr="00260C25" w:rsidRDefault="00260C25" w:rsidP="00416539">
            <w:pPr>
              <w:rPr>
                <w:sz w:val="20"/>
                <w:lang w:val="en-CA"/>
              </w:rPr>
            </w:pPr>
            <w:r w:rsidRPr="00260C25">
              <w:rPr>
                <w:sz w:val="20"/>
                <w:lang w:val="en-CA"/>
              </w:rPr>
              <w:t>The respondent J.J. attended the Notre-Dame-des-Neiges elementary school for four years, from 1951 to 1955, when he and his family were living in a dwelling owned by the appellant and intervener La Province canadienne de la Congrégation de Sainte-Croix that was near the appellant and intervener L’Oratoire Saint-Joseph du Mont-Royal. He alleges that he was sexually assaulted by members of the Congrégation de Sainte-Croix during that time, both at the elementary school and at the Oratoire. The respondent allegedly kept silent about the sexual assault until he saw a report in 2011 on the sexual assaults committed by members of the Congrégation de Sainte-Croix that had been prepared by the public affairs show Enquête and broadcast on Radio</w:t>
            </w:r>
            <w:r w:rsidRPr="00260C25">
              <w:rPr>
                <w:sz w:val="20"/>
                <w:lang w:val="en-CA"/>
              </w:rPr>
              <w:noBreakHyphen/>
              <w:t>Canada. Convinced that hundreds of people had also been sexually assaulted by members of the Congrégation de Sainte-Croix, the respondent asked a court to authorize a class action against the appellants and interveners and to appoint him as representative plaintiff.</w:t>
            </w:r>
          </w:p>
        </w:tc>
      </w:tr>
    </w:tbl>
    <w:p w:rsidR="00260C25" w:rsidRDefault="00260C25" w:rsidP="00DE33A2">
      <w:pPr>
        <w:widowControl w:val="0"/>
        <w:rPr>
          <w:sz w:val="20"/>
          <w:lang w:val="en-CA"/>
        </w:rPr>
      </w:pPr>
    </w:p>
    <w:p w:rsidR="00EA6772" w:rsidRPr="00260C25" w:rsidRDefault="00EA6772" w:rsidP="00DE33A2">
      <w:pPr>
        <w:widowControl w:val="0"/>
        <w:rPr>
          <w:sz w:val="20"/>
          <w:lang w:val="en-CA"/>
        </w:rPr>
      </w:pPr>
    </w:p>
    <w:tbl>
      <w:tblPr>
        <w:tblW w:w="4793" w:type="pct"/>
        <w:tblLayout w:type="fixed"/>
        <w:tblCellMar>
          <w:left w:w="0" w:type="dxa"/>
          <w:bottom w:w="99" w:type="dxa"/>
          <w:right w:w="0" w:type="dxa"/>
        </w:tblCellMar>
        <w:tblLook w:val="04A0" w:firstRow="1" w:lastRow="0" w:firstColumn="1" w:lastColumn="0" w:noHBand="0" w:noVBand="1"/>
      </w:tblPr>
      <w:tblGrid>
        <w:gridCol w:w="709"/>
        <w:gridCol w:w="8263"/>
      </w:tblGrid>
      <w:tr w:rsidR="00260C25" w:rsidRPr="00260C25" w:rsidTr="009D5C1D">
        <w:tc>
          <w:tcPr>
            <w:tcW w:w="395" w:type="pct"/>
          </w:tcPr>
          <w:p w:rsidR="00260C25" w:rsidRPr="00260C25" w:rsidRDefault="00260C25" w:rsidP="00CB2697">
            <w:pPr>
              <w:rPr>
                <w:sz w:val="20"/>
              </w:rPr>
            </w:pPr>
            <w:r w:rsidRPr="00260C25">
              <w:rPr>
                <w:rStyle w:val="SCCFileNumberChar"/>
                <w:sz w:val="20"/>
                <w:szCs w:val="20"/>
              </w:rPr>
              <w:t>37855</w:t>
            </w:r>
          </w:p>
        </w:tc>
        <w:tc>
          <w:tcPr>
            <w:tcW w:w="4605" w:type="pct"/>
          </w:tcPr>
          <w:p w:rsidR="00260C25" w:rsidRPr="00EA6772" w:rsidRDefault="00260C25" w:rsidP="009D5C1D">
            <w:pPr>
              <w:pStyle w:val="SCCLsocParty"/>
              <w:rPr>
                <w:b/>
                <w:i w:val="0"/>
                <w:sz w:val="20"/>
                <w:szCs w:val="20"/>
              </w:rPr>
            </w:pPr>
            <w:r w:rsidRPr="00EA6772">
              <w:rPr>
                <w:b/>
                <w:sz w:val="20"/>
                <w:szCs w:val="20"/>
              </w:rPr>
              <w:t>L’Oratoire Saint-Joseph du Mont-Royal c. J. J.</w:t>
            </w:r>
          </w:p>
          <w:p w:rsidR="00260C25" w:rsidRPr="00260C25" w:rsidRDefault="00260C25" w:rsidP="00E11E1B">
            <w:pPr>
              <w:pStyle w:val="SCCLsocOtherPartySeparator"/>
              <w:rPr>
                <w:b/>
                <w:sz w:val="20"/>
                <w:szCs w:val="20"/>
                <w:lang w:val="fr-CA"/>
              </w:rPr>
            </w:pPr>
            <w:r w:rsidRPr="00260C25">
              <w:rPr>
                <w:b/>
                <w:sz w:val="20"/>
                <w:szCs w:val="20"/>
                <w:lang w:val="fr-CA"/>
              </w:rPr>
              <w:t>- et -</w:t>
            </w:r>
          </w:p>
          <w:p w:rsidR="00260C25" w:rsidRPr="00260C25" w:rsidRDefault="00260C25" w:rsidP="00E11E1B">
            <w:pPr>
              <w:rPr>
                <w:b/>
                <w:i/>
                <w:sz w:val="20"/>
                <w:lang w:val="fr-CA"/>
              </w:rPr>
            </w:pPr>
            <w:r w:rsidRPr="00260C25">
              <w:rPr>
                <w:b/>
                <w:i/>
                <w:sz w:val="20"/>
                <w:lang w:val="fr-CA"/>
              </w:rPr>
              <w:t>La Province canadienne de la Congrégation de Sainte-Croix</w:t>
            </w:r>
          </w:p>
          <w:p w:rsidR="00260C25" w:rsidRPr="00260C25" w:rsidRDefault="00260C25" w:rsidP="00E11E1B">
            <w:pPr>
              <w:pStyle w:val="SCCLsocSubfileSeparator"/>
              <w:rPr>
                <w:b/>
                <w:sz w:val="20"/>
                <w:szCs w:val="20"/>
                <w:lang w:val="fr-CA"/>
              </w:rPr>
            </w:pPr>
            <w:r w:rsidRPr="00260C25">
              <w:rPr>
                <w:b/>
                <w:sz w:val="20"/>
                <w:szCs w:val="20"/>
                <w:lang w:val="fr-CA"/>
              </w:rPr>
              <w:t>- et entre -</w:t>
            </w:r>
          </w:p>
          <w:p w:rsidR="00260C25" w:rsidRPr="00EA6772" w:rsidRDefault="00260C25" w:rsidP="00E11E1B">
            <w:pPr>
              <w:pStyle w:val="SCCLsocParty"/>
              <w:rPr>
                <w:b/>
                <w:i w:val="0"/>
                <w:sz w:val="20"/>
                <w:szCs w:val="20"/>
              </w:rPr>
            </w:pPr>
            <w:r w:rsidRPr="00EA6772">
              <w:rPr>
                <w:b/>
                <w:sz w:val="20"/>
                <w:szCs w:val="20"/>
              </w:rPr>
              <w:t>La Province canadienne de la Congrégation de Sainte-Croix c. J. J.</w:t>
            </w:r>
          </w:p>
          <w:p w:rsidR="00260C25" w:rsidRPr="00260C25" w:rsidRDefault="00260C25" w:rsidP="00E11E1B">
            <w:pPr>
              <w:pStyle w:val="SCCLsocOtherPartySeparator"/>
              <w:rPr>
                <w:b/>
                <w:sz w:val="20"/>
                <w:szCs w:val="20"/>
                <w:lang w:val="fr-CA"/>
              </w:rPr>
            </w:pPr>
            <w:r w:rsidRPr="00260C25">
              <w:rPr>
                <w:b/>
                <w:sz w:val="20"/>
                <w:szCs w:val="20"/>
                <w:lang w:val="fr-CA"/>
              </w:rPr>
              <w:t>- et -</w:t>
            </w:r>
          </w:p>
          <w:p w:rsidR="00260C25" w:rsidRPr="00260C25" w:rsidRDefault="00260C25" w:rsidP="00E11E1B">
            <w:pPr>
              <w:rPr>
                <w:b/>
                <w:i/>
                <w:sz w:val="20"/>
                <w:lang w:val="fr-CA"/>
              </w:rPr>
            </w:pPr>
            <w:r w:rsidRPr="00260C25">
              <w:rPr>
                <w:b/>
                <w:i/>
                <w:sz w:val="20"/>
                <w:lang w:val="fr-CA"/>
              </w:rPr>
              <w:t>L’Oratoire Saint-Joseph du Mont-Royal</w:t>
            </w:r>
          </w:p>
          <w:p w:rsidR="00260C25" w:rsidRPr="00260C25" w:rsidRDefault="00260C25" w:rsidP="00E7398C">
            <w:pPr>
              <w:rPr>
                <w:sz w:val="20"/>
              </w:rPr>
            </w:pPr>
            <w:r w:rsidRPr="00260C25">
              <w:rPr>
                <w:sz w:val="20"/>
              </w:rPr>
              <w:t>(Qc) (Civile) (Autorisation)</w:t>
            </w:r>
          </w:p>
        </w:tc>
      </w:tr>
      <w:tr w:rsidR="00260C25" w:rsidRPr="00880CD4" w:rsidTr="009D5C1D">
        <w:tc>
          <w:tcPr>
            <w:tcW w:w="5000" w:type="pct"/>
            <w:gridSpan w:val="2"/>
          </w:tcPr>
          <w:p w:rsidR="00260C25" w:rsidRPr="00260C25" w:rsidRDefault="00260C25" w:rsidP="00E7398C">
            <w:pPr>
              <w:rPr>
                <w:sz w:val="20"/>
                <w:lang w:val="fr-CA"/>
              </w:rPr>
            </w:pPr>
          </w:p>
          <w:p w:rsidR="00260C25" w:rsidRPr="00260C25" w:rsidRDefault="00260C25" w:rsidP="009D5C1D">
            <w:pPr>
              <w:rPr>
                <w:smallCaps/>
                <w:sz w:val="20"/>
                <w:lang w:val="fr-CA"/>
              </w:rPr>
            </w:pPr>
            <w:r w:rsidRPr="00260C25">
              <w:rPr>
                <w:sz w:val="20"/>
                <w:lang w:val="fr-CA"/>
              </w:rPr>
              <w:t xml:space="preserve">Procédure civile - Recours collectif - Action en réparation pour agressions sexuelles - L’ali. 2926.1(2) C.c.Q. est-il un délai de déchéance applicable à toute action en réparation du préjudice corporel résultant d’un acte pouvant constituer une infraction criminelle? Dans l’affirmative, une demande d’exercer une action collective doit-elle être refusée lorsque le droit du requérant voulant obtenir le statut de représentant est déchu, le tout considérant que les critères des par. 575(2) et 575(4) C.p.c. ne sont pas remplis? - La Cour d’appel devrait-elle se saisir d’office de la question de la nature du délai prévu à l’al. 2926.1(2) C.c.Q? - Une action collective peut-elle être autorisée à l’encontre d’une entité constituée après la commission des prétendus délits allégués en l’absence d’allégations de faits palpables en raison du seul contexte et de la nature de l’action collective envisagée par le requérant? - La Cour d’appel du Québec a-t-elle erré dans son interprétation et dans son application du critère prévu à l’art. 575(1) C.p.c. en concluant que les questions soumises par l’intimé comme devant être traitées collectivement constituaient en vertu de la loi des questions identiques, similaires ou connexes à tous les membres, incluant ceux visés par la conclusion en dommages visant spécifiquement l’Oratoire? - La Cour d’appel du Québec a-t-elle erré dans son interprétation et dans son application du critère prévu à l’art. 575(2) C.p.c., notamment en se justifiant essentiellement du contexte de la réclamation de l’intimé pour conclure que le seul fait pour celui-ci d’alléguer que des sévices ont été commis sur les lieux propriété de l’Oratoire était suffisant pour démontrer l’existence d’une cause d’action suffisante contre celui-ci? - La Cour d’appel du Québec a-t-elle erré en refusant de se prononcer sur l’interprétation, la portée et l’application du l’art. 2926.1 al. 2 C.c.Q. et dans l’affirmative, est-ce que le droit d’action que se propose d’instituer l’intimé en l’instance est éteint par l’expiration du délai de 3 ans à compter du décès du père Bernard le 16 janvier 2001? - </w:t>
            </w:r>
            <w:r w:rsidRPr="00260C25">
              <w:rPr>
                <w:i/>
                <w:sz w:val="20"/>
                <w:lang w:val="fr-FR"/>
              </w:rPr>
              <w:t>Code de procédure civile</w:t>
            </w:r>
            <w:r w:rsidRPr="00260C25">
              <w:rPr>
                <w:sz w:val="20"/>
                <w:lang w:val="fr-FR"/>
              </w:rPr>
              <w:t>, RLRQ c. C-25 (abrogé), art. 1003</w:t>
            </w:r>
            <w:r w:rsidRPr="00260C25">
              <w:rPr>
                <w:sz w:val="20"/>
                <w:lang w:val="fr-CA"/>
              </w:rPr>
              <w:t xml:space="preserve"> - </w:t>
            </w:r>
            <w:r w:rsidRPr="00260C25">
              <w:rPr>
                <w:i/>
                <w:sz w:val="20"/>
                <w:lang w:val="fr-FR"/>
              </w:rPr>
              <w:t>Code de procédure civile</w:t>
            </w:r>
            <w:r w:rsidRPr="00260C25">
              <w:rPr>
                <w:sz w:val="20"/>
                <w:lang w:val="fr-FR"/>
              </w:rPr>
              <w:t>, RLRQ c. C-25.01, art. 575</w:t>
            </w:r>
            <w:r w:rsidRPr="00260C25">
              <w:rPr>
                <w:sz w:val="20"/>
                <w:lang w:val="fr-CA"/>
              </w:rPr>
              <w:t xml:space="preserve"> -</w:t>
            </w:r>
            <w:r w:rsidRPr="00260C25">
              <w:rPr>
                <w:sz w:val="20"/>
                <w:lang w:val="fr-FR"/>
              </w:rPr>
              <w:t> </w:t>
            </w:r>
            <w:r w:rsidRPr="00260C25">
              <w:rPr>
                <w:i/>
                <w:sz w:val="20"/>
                <w:lang w:val="fr-CA"/>
              </w:rPr>
              <w:t>Code civil du Québec</w:t>
            </w:r>
            <w:r w:rsidRPr="00260C25">
              <w:rPr>
                <w:sz w:val="20"/>
                <w:lang w:val="fr-CA"/>
              </w:rPr>
              <w:t>, art. 2878, 2904 et 2926.1.</w:t>
            </w:r>
          </w:p>
        </w:tc>
      </w:tr>
      <w:tr w:rsidR="00260C25" w:rsidRPr="00880CD4" w:rsidTr="009D5C1D">
        <w:tc>
          <w:tcPr>
            <w:tcW w:w="5000" w:type="pct"/>
            <w:gridSpan w:val="2"/>
          </w:tcPr>
          <w:p w:rsidR="00260C25" w:rsidRPr="00260C25" w:rsidRDefault="00260C25" w:rsidP="00CB2697">
            <w:pPr>
              <w:rPr>
                <w:sz w:val="20"/>
                <w:lang w:val="fr-CA"/>
              </w:rPr>
            </w:pPr>
          </w:p>
        </w:tc>
      </w:tr>
      <w:tr w:rsidR="00260C25" w:rsidRPr="00880CD4" w:rsidTr="009D5C1D">
        <w:tc>
          <w:tcPr>
            <w:tcW w:w="5000" w:type="pct"/>
            <w:gridSpan w:val="2"/>
          </w:tcPr>
          <w:p w:rsidR="00260C25" w:rsidRPr="00260C25" w:rsidRDefault="00260C25" w:rsidP="00E11E1B">
            <w:pPr>
              <w:rPr>
                <w:sz w:val="20"/>
                <w:lang w:val="fr-CA"/>
              </w:rPr>
            </w:pPr>
            <w:r w:rsidRPr="00260C25">
              <w:rPr>
                <w:sz w:val="20"/>
                <w:lang w:val="fr-CA"/>
              </w:rPr>
              <w:t xml:space="preserve">L’intimé, J.J., a fréquenté l’école primaire Notre-Dame-des-Neiges durant quatre ans, de 1951 à 1955, alors que sa famille et lui résidaient dans un logement appartenant à l’appelante et intervenante, la Province canadienne de la Congrégation de Sainte-Croix, près de l’Oratoire Saint-Joseph du Mont-Royal également appelant et intervenant. Au cours de cette période, il affirme avoir été victime d’agressions sexuelles de la part de membres de la Congrégation Sainte-Croix tant à l’école primaire qu’à l’Oratoire. L’intimé aurait gardé sous silence ces agressions sexuelles jusqu’au visionnement, en 2011, d’un reportage portant sur des agressions sexuelles commises par des membres de la Congrégation de Sainte-Croix préparé par l’émission d’affaires publiques Enquête et télédiffusé à Radio-Canada. Convaincu que plusieurs centaines de personnes auraient été également victimes d’agressions sexuelles de la part des membres de la Congrégation de Sainte-Croix, l’intimé a demandé </w:t>
            </w:r>
            <w:r w:rsidRPr="00260C25">
              <w:rPr>
                <w:sz w:val="20"/>
                <w:lang w:val="fr-CA"/>
              </w:rPr>
              <w:lastRenderedPageBreak/>
              <w:t>au tribunal d’autoriser une action collective contre les appelants et intervenants et de lui attribuer le statut de représentant.</w:t>
            </w:r>
          </w:p>
        </w:tc>
      </w:tr>
    </w:tbl>
    <w:p w:rsidR="00260C25" w:rsidRPr="000A226B" w:rsidRDefault="00260C25" w:rsidP="00340C6D">
      <w:pPr>
        <w:jc w:val="both"/>
        <w:rPr>
          <w:lang w:val="fr-CA"/>
        </w:rPr>
      </w:pPr>
    </w:p>
    <w:p w:rsidR="00072A63" w:rsidRPr="000A226B" w:rsidRDefault="00072A63" w:rsidP="00340C6D">
      <w:pPr>
        <w:jc w:val="both"/>
        <w:rPr>
          <w:szCs w:val="24"/>
          <w:lang w:val="fr-CA"/>
        </w:rPr>
      </w:pPr>
    </w:p>
    <w:p w:rsidR="00072A63" w:rsidRPr="000A226B" w:rsidRDefault="00072A63" w:rsidP="00EC79B0">
      <w:pPr>
        <w:jc w:val="both"/>
        <w:rPr>
          <w:szCs w:val="24"/>
          <w:lang w:val="fr-CA"/>
        </w:rPr>
      </w:pPr>
    </w:p>
    <w:p w:rsidR="001C4415" w:rsidRPr="00EE5531" w:rsidRDefault="001C4415" w:rsidP="001C4415">
      <w:pPr>
        <w:widowControl w:val="0"/>
        <w:outlineLvl w:val="0"/>
      </w:pPr>
      <w:r w:rsidRPr="00EE5531">
        <w:t xml:space="preserve">Supreme Court of Canada / Cour suprême du </w:t>
      </w:r>
      <w:proofErr w:type="gramStart"/>
      <w:r w:rsidRPr="00EE5531">
        <w:t>Canada :</w:t>
      </w:r>
      <w:proofErr w:type="gramEnd"/>
      <w:r w:rsidRPr="00EE5531">
        <w:t xml:space="preserve"> </w:t>
      </w:r>
    </w:p>
    <w:p w:rsidR="001C4415" w:rsidRPr="00EE5531" w:rsidRDefault="00880CD4" w:rsidP="001C4415">
      <w:pPr>
        <w:widowControl w:val="0"/>
        <w:outlineLvl w:val="0"/>
      </w:pPr>
      <w:hyperlink r:id="rId8" w:history="1">
        <w:r w:rsidR="001C4415" w:rsidRPr="00EE5531">
          <w:rPr>
            <w:rStyle w:val="Hyperlink"/>
          </w:rPr>
          <w:t>comments-commentaires@scc-csc.ca</w:t>
        </w:r>
      </w:hyperlink>
    </w:p>
    <w:p w:rsidR="001C4415" w:rsidRPr="00EE5531" w:rsidRDefault="001C4415" w:rsidP="001C4415">
      <w:pPr>
        <w:widowControl w:val="0"/>
        <w:outlineLvl w:val="0"/>
      </w:pPr>
      <w:r w:rsidRPr="00EE5531">
        <w:t>(613) 995-4330</w:t>
      </w:r>
    </w:p>
    <w:p w:rsidR="001C4415" w:rsidRPr="00EE5531" w:rsidRDefault="001C4415" w:rsidP="001C4415">
      <w:pPr>
        <w:widowControl w:val="0"/>
        <w:rPr>
          <w:sz w:val="20"/>
        </w:rPr>
      </w:pPr>
    </w:p>
    <w:p w:rsidR="0036476C" w:rsidRPr="00A8502B" w:rsidRDefault="001C4415" w:rsidP="0036476C">
      <w:pPr>
        <w:pStyle w:val="Footer"/>
        <w:jc w:val="center"/>
        <w:rPr>
          <w:lang w:val="fr-CA"/>
        </w:rPr>
      </w:pPr>
      <w:r w:rsidRPr="00EE5531">
        <w:rPr>
          <w:lang w:val="fr-CA"/>
        </w:rPr>
        <w:t xml:space="preserve">- 30 </w:t>
      </w:r>
      <w:r w:rsidR="003C1B6E" w:rsidRPr="00EE5531">
        <w:rPr>
          <w:lang w:val="fr-CA"/>
        </w:rPr>
        <w:t>-</w:t>
      </w:r>
    </w:p>
    <w:p w:rsidR="0036476C" w:rsidRPr="00A8502B" w:rsidRDefault="0036476C" w:rsidP="0036476C">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45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376CC"/>
    <w:rsid w:val="00042B21"/>
    <w:rsid w:val="000446D3"/>
    <w:rsid w:val="000454BF"/>
    <w:rsid w:val="00053111"/>
    <w:rsid w:val="00060140"/>
    <w:rsid w:val="00060B39"/>
    <w:rsid w:val="00061A14"/>
    <w:rsid w:val="00072A63"/>
    <w:rsid w:val="0008116D"/>
    <w:rsid w:val="000855FD"/>
    <w:rsid w:val="00087122"/>
    <w:rsid w:val="00095EDD"/>
    <w:rsid w:val="0009615F"/>
    <w:rsid w:val="000A03A4"/>
    <w:rsid w:val="000A063C"/>
    <w:rsid w:val="000A0834"/>
    <w:rsid w:val="000A21DA"/>
    <w:rsid w:val="000A226B"/>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14B"/>
    <w:rsid w:val="00101539"/>
    <w:rsid w:val="0010171C"/>
    <w:rsid w:val="00103400"/>
    <w:rsid w:val="00105085"/>
    <w:rsid w:val="001065AF"/>
    <w:rsid w:val="00113326"/>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0C25"/>
    <w:rsid w:val="002617BB"/>
    <w:rsid w:val="0026289A"/>
    <w:rsid w:val="00262BC7"/>
    <w:rsid w:val="0026466A"/>
    <w:rsid w:val="00264AA1"/>
    <w:rsid w:val="00266607"/>
    <w:rsid w:val="002667BA"/>
    <w:rsid w:val="002667ED"/>
    <w:rsid w:val="00266A8B"/>
    <w:rsid w:val="002723AE"/>
    <w:rsid w:val="00272EAB"/>
    <w:rsid w:val="002768F6"/>
    <w:rsid w:val="00282563"/>
    <w:rsid w:val="0028630C"/>
    <w:rsid w:val="00290E05"/>
    <w:rsid w:val="00290F21"/>
    <w:rsid w:val="00291F84"/>
    <w:rsid w:val="00295263"/>
    <w:rsid w:val="00296694"/>
    <w:rsid w:val="00297E1D"/>
    <w:rsid w:val="002A1A63"/>
    <w:rsid w:val="002A23AD"/>
    <w:rsid w:val="002A2F5A"/>
    <w:rsid w:val="002A3DD8"/>
    <w:rsid w:val="002A4252"/>
    <w:rsid w:val="002A44BE"/>
    <w:rsid w:val="002A5496"/>
    <w:rsid w:val="002A6B95"/>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E6C2C"/>
    <w:rsid w:val="002F28E0"/>
    <w:rsid w:val="002F2E89"/>
    <w:rsid w:val="002F4212"/>
    <w:rsid w:val="002F55A8"/>
    <w:rsid w:val="00300AF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3ECD"/>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4E7E"/>
    <w:rsid w:val="003B6ECB"/>
    <w:rsid w:val="003C1B6E"/>
    <w:rsid w:val="003C381F"/>
    <w:rsid w:val="003D4D2A"/>
    <w:rsid w:val="003D4E95"/>
    <w:rsid w:val="003D74E7"/>
    <w:rsid w:val="003E0326"/>
    <w:rsid w:val="003E101F"/>
    <w:rsid w:val="003E1BBF"/>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39C1"/>
    <w:rsid w:val="00475644"/>
    <w:rsid w:val="0047787E"/>
    <w:rsid w:val="004824D8"/>
    <w:rsid w:val="00486701"/>
    <w:rsid w:val="0048671C"/>
    <w:rsid w:val="0048741E"/>
    <w:rsid w:val="00491284"/>
    <w:rsid w:val="004927D1"/>
    <w:rsid w:val="004A017B"/>
    <w:rsid w:val="004A2228"/>
    <w:rsid w:val="004A40E1"/>
    <w:rsid w:val="004A4570"/>
    <w:rsid w:val="004A56AC"/>
    <w:rsid w:val="004A6F06"/>
    <w:rsid w:val="004B22B5"/>
    <w:rsid w:val="004B4821"/>
    <w:rsid w:val="004B6E20"/>
    <w:rsid w:val="004B6F3A"/>
    <w:rsid w:val="004C070B"/>
    <w:rsid w:val="004C0F87"/>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224A"/>
    <w:rsid w:val="00525362"/>
    <w:rsid w:val="00525B8E"/>
    <w:rsid w:val="005271AD"/>
    <w:rsid w:val="00530DD0"/>
    <w:rsid w:val="00531567"/>
    <w:rsid w:val="00534E1E"/>
    <w:rsid w:val="00537187"/>
    <w:rsid w:val="005400BA"/>
    <w:rsid w:val="00542361"/>
    <w:rsid w:val="0054302E"/>
    <w:rsid w:val="0054378D"/>
    <w:rsid w:val="005441B9"/>
    <w:rsid w:val="00545B3E"/>
    <w:rsid w:val="005463D9"/>
    <w:rsid w:val="005511F1"/>
    <w:rsid w:val="00552278"/>
    <w:rsid w:val="0055520C"/>
    <w:rsid w:val="00560D32"/>
    <w:rsid w:val="005631B8"/>
    <w:rsid w:val="00563EF8"/>
    <w:rsid w:val="005671BC"/>
    <w:rsid w:val="005717F4"/>
    <w:rsid w:val="00572E24"/>
    <w:rsid w:val="00575FA2"/>
    <w:rsid w:val="0057727D"/>
    <w:rsid w:val="00580897"/>
    <w:rsid w:val="00580EBF"/>
    <w:rsid w:val="005831CF"/>
    <w:rsid w:val="00591F70"/>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29EF"/>
    <w:rsid w:val="00650518"/>
    <w:rsid w:val="00651F3A"/>
    <w:rsid w:val="006533EC"/>
    <w:rsid w:val="006630E5"/>
    <w:rsid w:val="00663CDF"/>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294E"/>
    <w:rsid w:val="00711DBC"/>
    <w:rsid w:val="0071224C"/>
    <w:rsid w:val="0071392B"/>
    <w:rsid w:val="00716381"/>
    <w:rsid w:val="00717966"/>
    <w:rsid w:val="00724953"/>
    <w:rsid w:val="00724998"/>
    <w:rsid w:val="00727681"/>
    <w:rsid w:val="00731268"/>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4DF6"/>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39F"/>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0CD4"/>
    <w:rsid w:val="008814A0"/>
    <w:rsid w:val="0088190D"/>
    <w:rsid w:val="0088662B"/>
    <w:rsid w:val="00890FD7"/>
    <w:rsid w:val="00893647"/>
    <w:rsid w:val="008B03CF"/>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7015"/>
    <w:rsid w:val="008E703D"/>
    <w:rsid w:val="008E7777"/>
    <w:rsid w:val="008F15CD"/>
    <w:rsid w:val="008F246A"/>
    <w:rsid w:val="008F607D"/>
    <w:rsid w:val="008F66A1"/>
    <w:rsid w:val="008F6C55"/>
    <w:rsid w:val="0090380F"/>
    <w:rsid w:val="009050BE"/>
    <w:rsid w:val="009062BF"/>
    <w:rsid w:val="009079AF"/>
    <w:rsid w:val="00911071"/>
    <w:rsid w:val="00916404"/>
    <w:rsid w:val="00916B9F"/>
    <w:rsid w:val="009202FD"/>
    <w:rsid w:val="00921102"/>
    <w:rsid w:val="009214B3"/>
    <w:rsid w:val="0092264F"/>
    <w:rsid w:val="0092285E"/>
    <w:rsid w:val="009234CE"/>
    <w:rsid w:val="009246D2"/>
    <w:rsid w:val="00925384"/>
    <w:rsid w:val="00931A3C"/>
    <w:rsid w:val="0093468B"/>
    <w:rsid w:val="00935D33"/>
    <w:rsid w:val="009408A3"/>
    <w:rsid w:val="009421D0"/>
    <w:rsid w:val="009448B0"/>
    <w:rsid w:val="00945121"/>
    <w:rsid w:val="00945199"/>
    <w:rsid w:val="00945849"/>
    <w:rsid w:val="00946EC7"/>
    <w:rsid w:val="00954614"/>
    <w:rsid w:val="00955BCE"/>
    <w:rsid w:val="009603A2"/>
    <w:rsid w:val="00961DA1"/>
    <w:rsid w:val="00962301"/>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3D6D"/>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6A2D"/>
    <w:rsid w:val="00B348B0"/>
    <w:rsid w:val="00B36EC1"/>
    <w:rsid w:val="00B435C2"/>
    <w:rsid w:val="00B46027"/>
    <w:rsid w:val="00B4618B"/>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94C3E"/>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E030B"/>
    <w:rsid w:val="00BF00CF"/>
    <w:rsid w:val="00BF07B1"/>
    <w:rsid w:val="00BF0DC4"/>
    <w:rsid w:val="00BF1E18"/>
    <w:rsid w:val="00BF336E"/>
    <w:rsid w:val="00BF4B52"/>
    <w:rsid w:val="00BF5E12"/>
    <w:rsid w:val="00C02565"/>
    <w:rsid w:val="00C02A35"/>
    <w:rsid w:val="00C05DB6"/>
    <w:rsid w:val="00C06000"/>
    <w:rsid w:val="00C06A7B"/>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4D4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369"/>
    <w:rsid w:val="00D22031"/>
    <w:rsid w:val="00D303D6"/>
    <w:rsid w:val="00D32687"/>
    <w:rsid w:val="00D32D6E"/>
    <w:rsid w:val="00D3314A"/>
    <w:rsid w:val="00D362A2"/>
    <w:rsid w:val="00D37B27"/>
    <w:rsid w:val="00D424D2"/>
    <w:rsid w:val="00D42E9E"/>
    <w:rsid w:val="00D51791"/>
    <w:rsid w:val="00D522B4"/>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503"/>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3DBE"/>
    <w:rsid w:val="00E9584F"/>
    <w:rsid w:val="00EA00F5"/>
    <w:rsid w:val="00EA2FA7"/>
    <w:rsid w:val="00EA389B"/>
    <w:rsid w:val="00EA6772"/>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5531"/>
    <w:rsid w:val="00EE5A88"/>
    <w:rsid w:val="00EE642E"/>
    <w:rsid w:val="00EE677E"/>
    <w:rsid w:val="00EE77E0"/>
    <w:rsid w:val="00EF0BD7"/>
    <w:rsid w:val="00EF65C0"/>
    <w:rsid w:val="00EF778F"/>
    <w:rsid w:val="00EF78B8"/>
    <w:rsid w:val="00EF7999"/>
    <w:rsid w:val="00F006DA"/>
    <w:rsid w:val="00F01ED3"/>
    <w:rsid w:val="00F020DF"/>
    <w:rsid w:val="00F03BFD"/>
    <w:rsid w:val="00F043BC"/>
    <w:rsid w:val="00F118D3"/>
    <w:rsid w:val="00F1242C"/>
    <w:rsid w:val="00F128C3"/>
    <w:rsid w:val="00F1711D"/>
    <w:rsid w:val="00F200BC"/>
    <w:rsid w:val="00F223F4"/>
    <w:rsid w:val="00F23EAF"/>
    <w:rsid w:val="00F25C3E"/>
    <w:rsid w:val="00F269BB"/>
    <w:rsid w:val="00F317F9"/>
    <w:rsid w:val="00F33A4A"/>
    <w:rsid w:val="00F353AE"/>
    <w:rsid w:val="00F36D46"/>
    <w:rsid w:val="00F42BF1"/>
    <w:rsid w:val="00F4365C"/>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paragraph" w:customStyle="1" w:styleId="SCCFileNumber">
    <w:name w:val="SCC.FileNumber"/>
    <w:basedOn w:val="Normal"/>
    <w:next w:val="Normal"/>
    <w:link w:val="SCCFileNumberChar"/>
    <w:rsid w:val="00260C25"/>
    <w:pPr>
      <w:jc w:val="both"/>
    </w:pPr>
    <w:rPr>
      <w:rFonts w:eastAsiaTheme="minorHAnsi" w:cstheme="minorBidi"/>
      <w:b/>
      <w:szCs w:val="22"/>
      <w:lang w:val="fr-CA"/>
    </w:rPr>
  </w:style>
  <w:style w:type="character" w:customStyle="1" w:styleId="SCCFileNumberChar">
    <w:name w:val="SCC.FileNumber Char"/>
    <w:basedOn w:val="DefaultParagraphFont"/>
    <w:link w:val="SCCFileNumber"/>
    <w:rsid w:val="00260C25"/>
    <w:rPr>
      <w:rFonts w:eastAsiaTheme="minorHAnsi" w:cstheme="minorBidi"/>
      <w:b/>
      <w:sz w:val="24"/>
      <w:szCs w:val="22"/>
      <w:lang w:val="fr-CA"/>
    </w:rPr>
  </w:style>
  <w:style w:type="character" w:customStyle="1" w:styleId="SCCLsocOtherPartySeparatorChar">
    <w:name w:val="SCC.Lsoc.OtherPartySeparator Char"/>
    <w:basedOn w:val="DefaultParagraphFont"/>
    <w:link w:val="SCCLsocOtherPartySeparator"/>
    <w:rsid w:val="00260C25"/>
    <w:rPr>
      <w:rFonts w:eastAsiaTheme="minorHAnsi" w:cstheme="minorBidi"/>
      <w:i/>
      <w:sz w:val="24"/>
      <w:szCs w:val="22"/>
    </w:rPr>
  </w:style>
  <w:style w:type="paragraph" w:customStyle="1" w:styleId="SCCLsocOtherPartySeparator">
    <w:name w:val="SCC.Lsoc.OtherPartySeparator"/>
    <w:basedOn w:val="Normal"/>
    <w:next w:val="Normal"/>
    <w:link w:val="SCCLsocOtherPartySeparatorChar"/>
    <w:rsid w:val="00260C25"/>
    <w:rPr>
      <w:rFonts w:eastAsiaTheme="minorHAnsi" w:cstheme="minorBidi"/>
      <w:i/>
      <w:szCs w:val="22"/>
    </w:rPr>
  </w:style>
  <w:style w:type="character" w:customStyle="1" w:styleId="SCCLsocSubfileSeparatorChar">
    <w:name w:val="SCC.Lsoc.SubfileSeparator Char"/>
    <w:basedOn w:val="DefaultParagraphFont"/>
    <w:link w:val="SCCLsocSubfileSeparator"/>
    <w:rsid w:val="00260C25"/>
    <w:rPr>
      <w:rFonts w:eastAsiaTheme="minorHAnsi"/>
      <w:i/>
      <w:sz w:val="24"/>
      <w:szCs w:val="24"/>
    </w:rPr>
  </w:style>
  <w:style w:type="paragraph" w:customStyle="1" w:styleId="SCCLsocSubfileSeparator">
    <w:name w:val="SCC.Lsoc.SubfileSeparator"/>
    <w:basedOn w:val="Normal"/>
    <w:next w:val="Normal"/>
    <w:link w:val="SCCLsocSubfileSeparatorChar"/>
    <w:rsid w:val="00260C25"/>
    <w:rPr>
      <w:rFonts w:eastAsiaTheme="minorHAns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fra.aspx?cas=3785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1211</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7882</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2019-05-27T18:53:00Z</dcterms:created>
  <dcterms:modified xsi:type="dcterms:W3CDTF">2019-05-27T18:59:00Z</dcterms:modified>
</cp:coreProperties>
</file>