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C51ECB" w:rsidRDefault="00F61846" w:rsidP="00122CE1">
      <w:pPr>
        <w:pStyle w:val="Header"/>
        <w:tabs>
          <w:tab w:val="left" w:pos="1620"/>
          <w:tab w:val="left" w:pos="1710"/>
        </w:tabs>
        <w:jc w:val="center"/>
        <w:rPr>
          <w:b/>
          <w:sz w:val="32"/>
        </w:rPr>
      </w:pPr>
      <w:r w:rsidRPr="00C51ECB">
        <w:rPr>
          <w:b/>
          <w:sz w:val="32"/>
        </w:rPr>
        <w:t>S</w:t>
      </w:r>
      <w:r w:rsidR="003F43E6" w:rsidRPr="00C51ECB">
        <w:rPr>
          <w:b/>
          <w:sz w:val="32"/>
        </w:rPr>
        <w:t>upreme Court of Canada / Cour suprême du Canada</w:t>
      </w:r>
    </w:p>
    <w:p w:rsidR="003F43E6" w:rsidRPr="00C51ECB" w:rsidRDefault="003F43E6" w:rsidP="006F2579">
      <w:pPr>
        <w:widowControl w:val="0"/>
        <w:rPr>
          <w:i/>
        </w:rPr>
      </w:pPr>
    </w:p>
    <w:p w:rsidR="006F2579" w:rsidRPr="00C51ECB" w:rsidRDefault="006F2579" w:rsidP="006F2579">
      <w:pPr>
        <w:widowControl w:val="0"/>
        <w:rPr>
          <w:i/>
        </w:rPr>
      </w:pPr>
      <w:r w:rsidRPr="00C51ECB">
        <w:rPr>
          <w:i/>
        </w:rPr>
        <w:t>(le français suit)</w:t>
      </w:r>
    </w:p>
    <w:p w:rsidR="006F2579" w:rsidRPr="00C51ECB" w:rsidRDefault="006F2579" w:rsidP="006F2579">
      <w:pPr>
        <w:widowControl w:val="0"/>
      </w:pPr>
    </w:p>
    <w:p w:rsidR="006F2579" w:rsidRPr="00C51ECB" w:rsidRDefault="00B07908" w:rsidP="006F2579">
      <w:pPr>
        <w:widowControl w:val="0"/>
        <w:jc w:val="center"/>
        <w:rPr>
          <w:b/>
        </w:rPr>
      </w:pPr>
      <w:r w:rsidRPr="00C51ECB">
        <w:fldChar w:fldCharType="begin"/>
      </w:r>
      <w:r w:rsidR="006F2579" w:rsidRPr="00C51ECB">
        <w:instrText xml:space="preserve"> SEQ CHAPTER \h \r 1</w:instrText>
      </w:r>
      <w:r w:rsidRPr="00C51ECB">
        <w:fldChar w:fldCharType="end"/>
      </w:r>
      <w:r w:rsidR="006F2579" w:rsidRPr="00C51ECB">
        <w:rPr>
          <w:b/>
        </w:rPr>
        <w:t>JUDGMENT</w:t>
      </w:r>
      <w:r w:rsidR="00B17AAC" w:rsidRPr="00C51ECB">
        <w:rPr>
          <w:b/>
        </w:rPr>
        <w:t>S</w:t>
      </w:r>
      <w:r w:rsidR="006F2579" w:rsidRPr="00C51ECB">
        <w:rPr>
          <w:b/>
        </w:rPr>
        <w:t xml:space="preserve"> TO B</w:t>
      </w:r>
      <w:r w:rsidR="00001846" w:rsidRPr="00C51ECB">
        <w:rPr>
          <w:b/>
        </w:rPr>
        <w:t>E RENDERED IN LE</w:t>
      </w:r>
      <w:r w:rsidR="00A0288A" w:rsidRPr="00C51ECB">
        <w:rPr>
          <w:b/>
        </w:rPr>
        <w:t>A</w:t>
      </w:r>
      <w:r w:rsidR="00001846" w:rsidRPr="00C51ECB">
        <w:rPr>
          <w:b/>
        </w:rPr>
        <w:t>VE APPLICATION</w:t>
      </w:r>
      <w:r w:rsidR="00E94FDF" w:rsidRPr="00C51ECB">
        <w:rPr>
          <w:b/>
        </w:rPr>
        <w:t>S</w:t>
      </w:r>
    </w:p>
    <w:p w:rsidR="006F2579" w:rsidRPr="00C51ECB" w:rsidRDefault="006F2579" w:rsidP="006F2579">
      <w:pPr>
        <w:widowControl w:val="0"/>
      </w:pPr>
    </w:p>
    <w:p w:rsidR="006F2579" w:rsidRPr="00C51ECB" w:rsidRDefault="0087269F" w:rsidP="006F2579">
      <w:pPr>
        <w:widowControl w:val="0"/>
        <w:rPr>
          <w:b/>
        </w:rPr>
      </w:pPr>
      <w:r w:rsidRPr="00C51ECB">
        <w:rPr>
          <w:b/>
        </w:rPr>
        <w:t>June</w:t>
      </w:r>
      <w:r w:rsidR="00A15B66" w:rsidRPr="00C51ECB">
        <w:rPr>
          <w:b/>
        </w:rPr>
        <w:t xml:space="preserve"> </w:t>
      </w:r>
      <w:r w:rsidR="00AC2E79" w:rsidRPr="00C51ECB">
        <w:rPr>
          <w:b/>
        </w:rPr>
        <w:t>10</w:t>
      </w:r>
      <w:r w:rsidR="004441C7" w:rsidRPr="00C51ECB">
        <w:rPr>
          <w:b/>
        </w:rPr>
        <w:t>,</w:t>
      </w:r>
      <w:r w:rsidR="006F2579" w:rsidRPr="00C51ECB">
        <w:rPr>
          <w:b/>
        </w:rPr>
        <w:t xml:space="preserve"> </w:t>
      </w:r>
      <w:r w:rsidR="0054689F" w:rsidRPr="00C51ECB">
        <w:rPr>
          <w:b/>
        </w:rPr>
        <w:t>201</w:t>
      </w:r>
      <w:r w:rsidR="00313D36" w:rsidRPr="00C51ECB">
        <w:rPr>
          <w:b/>
        </w:rPr>
        <w:t>9</w:t>
      </w:r>
    </w:p>
    <w:p w:rsidR="006F2579" w:rsidRPr="00C51ECB" w:rsidRDefault="00674F39" w:rsidP="006F2579">
      <w:pPr>
        <w:widowControl w:val="0"/>
        <w:rPr>
          <w:b/>
        </w:rPr>
      </w:pPr>
      <w:r w:rsidRPr="00C51ECB">
        <w:rPr>
          <w:b/>
        </w:rPr>
        <w:t>For immediate release</w:t>
      </w:r>
    </w:p>
    <w:p w:rsidR="006F2579" w:rsidRPr="00C51ECB" w:rsidRDefault="006F2579" w:rsidP="006F2579">
      <w:pPr>
        <w:widowControl w:val="0"/>
      </w:pPr>
    </w:p>
    <w:p w:rsidR="006F2579" w:rsidRPr="00C51ECB" w:rsidRDefault="006F2579" w:rsidP="006F2579">
      <w:pPr>
        <w:widowControl w:val="0"/>
        <w:rPr>
          <w:lang w:val="fr-CA"/>
        </w:rPr>
      </w:pPr>
      <w:r w:rsidRPr="00C51ECB">
        <w:rPr>
          <w:b/>
        </w:rPr>
        <w:t>OTTAWA</w:t>
      </w:r>
      <w:r w:rsidRPr="00C51ECB">
        <w:t xml:space="preserve"> – The Supreme Court of Canad</w:t>
      </w:r>
      <w:r w:rsidR="006246E4" w:rsidRPr="00C51ECB">
        <w:t>a</w:t>
      </w:r>
      <w:r w:rsidRPr="00C51ECB">
        <w:t xml:space="preserve"> announced today that judgment in the following application</w:t>
      </w:r>
      <w:r w:rsidR="008600ED" w:rsidRPr="00C51ECB">
        <w:t>s</w:t>
      </w:r>
      <w:r w:rsidRPr="00C51ECB">
        <w:t xml:space="preserve"> for leave to appeal will be delivered at 9:45 a.m. </w:t>
      </w:r>
      <w:r w:rsidR="00E05816" w:rsidRPr="00C51ECB">
        <w:t>E</w:t>
      </w:r>
      <w:r w:rsidR="005B48B5" w:rsidRPr="00C51ECB">
        <w:t>D</w:t>
      </w:r>
      <w:r w:rsidR="00E05816" w:rsidRPr="00C51ECB">
        <w:t>T</w:t>
      </w:r>
      <w:r w:rsidRPr="00C51ECB">
        <w:t xml:space="preserve"> on Thursday, </w:t>
      </w:r>
      <w:r w:rsidR="0087269F" w:rsidRPr="00C51ECB">
        <w:t>June</w:t>
      </w:r>
      <w:r w:rsidR="00455912" w:rsidRPr="00C51ECB">
        <w:t xml:space="preserve"> </w:t>
      </w:r>
      <w:r w:rsidR="00AC2E79" w:rsidRPr="00C51ECB">
        <w:t>13</w:t>
      </w:r>
      <w:r w:rsidR="007E112F" w:rsidRPr="00C51ECB">
        <w:t>,</w:t>
      </w:r>
      <w:r w:rsidR="002F38D7" w:rsidRPr="00C51ECB">
        <w:t xml:space="preserve"> </w:t>
      </w:r>
      <w:r w:rsidR="006648D1" w:rsidRPr="00C51ECB">
        <w:t>201</w:t>
      </w:r>
      <w:r w:rsidR="00313D36" w:rsidRPr="00C51ECB">
        <w:t>9</w:t>
      </w:r>
      <w:r w:rsidRPr="00C51ECB">
        <w:t xml:space="preserve">. </w:t>
      </w:r>
      <w:r w:rsidRPr="00C51ECB">
        <w:rPr>
          <w:lang w:val="fr-CA"/>
        </w:rPr>
        <w:t>This list is subject to chang</w:t>
      </w:r>
      <w:r w:rsidR="00192F7F" w:rsidRPr="00C51ECB">
        <w:rPr>
          <w:lang w:val="fr-CA"/>
        </w:rPr>
        <w:t>e</w:t>
      </w:r>
      <w:r w:rsidRPr="00C51ECB">
        <w:rPr>
          <w:lang w:val="fr-CA"/>
        </w:rPr>
        <w:t>.</w:t>
      </w:r>
    </w:p>
    <w:p w:rsidR="00EF2A9D" w:rsidRPr="00C51ECB" w:rsidRDefault="00EF2A9D" w:rsidP="006F2579">
      <w:pPr>
        <w:widowControl w:val="0"/>
        <w:rPr>
          <w:sz w:val="20"/>
          <w:lang w:val="fr-CA"/>
        </w:rPr>
      </w:pPr>
    </w:p>
    <w:p w:rsidR="00B43418" w:rsidRPr="00C51ECB" w:rsidRDefault="00B43418" w:rsidP="006F2579">
      <w:pPr>
        <w:widowControl w:val="0"/>
        <w:rPr>
          <w:sz w:val="20"/>
          <w:lang w:val="fr-CA"/>
        </w:rPr>
      </w:pPr>
    </w:p>
    <w:p w:rsidR="006F2579" w:rsidRPr="00C51ECB" w:rsidRDefault="006F2579" w:rsidP="006F2579">
      <w:pPr>
        <w:widowControl w:val="0"/>
        <w:jc w:val="center"/>
        <w:rPr>
          <w:lang w:val="fr-CA"/>
        </w:rPr>
      </w:pPr>
      <w:r w:rsidRPr="00C51ECB">
        <w:rPr>
          <w:b/>
          <w:lang w:val="fr-CA"/>
        </w:rPr>
        <w:t>PROCHAIN</w:t>
      </w:r>
      <w:r w:rsidR="00B17AAC" w:rsidRPr="00C51ECB">
        <w:rPr>
          <w:b/>
          <w:lang w:val="fr-CA"/>
        </w:rPr>
        <w:t>S</w:t>
      </w:r>
      <w:r w:rsidRPr="00C51ECB">
        <w:rPr>
          <w:b/>
          <w:lang w:val="fr-CA"/>
        </w:rPr>
        <w:t xml:space="preserve"> JUGEMENT</w:t>
      </w:r>
      <w:r w:rsidR="00B17AAC" w:rsidRPr="00C51ECB">
        <w:rPr>
          <w:b/>
          <w:lang w:val="fr-CA"/>
        </w:rPr>
        <w:t>S</w:t>
      </w:r>
      <w:r w:rsidR="00001846" w:rsidRPr="00C51ECB">
        <w:rPr>
          <w:b/>
          <w:lang w:val="fr-CA"/>
        </w:rPr>
        <w:t xml:space="preserve"> SUR DEMANDE</w:t>
      </w:r>
      <w:r w:rsidR="00B17AAC" w:rsidRPr="00C51ECB">
        <w:rPr>
          <w:b/>
          <w:lang w:val="fr-CA"/>
        </w:rPr>
        <w:t>S</w:t>
      </w:r>
      <w:r w:rsidRPr="00C51ECB">
        <w:rPr>
          <w:b/>
          <w:lang w:val="fr-CA"/>
        </w:rPr>
        <w:t xml:space="preserve"> D’AUTORISATION</w:t>
      </w:r>
    </w:p>
    <w:p w:rsidR="006F2579" w:rsidRPr="00C51ECB" w:rsidRDefault="006F2579" w:rsidP="006F2579">
      <w:pPr>
        <w:widowControl w:val="0"/>
        <w:rPr>
          <w:lang w:val="fr-CA"/>
        </w:rPr>
      </w:pPr>
    </w:p>
    <w:p w:rsidR="006F2579" w:rsidRPr="00C51ECB" w:rsidRDefault="006F2579" w:rsidP="006F2579">
      <w:pPr>
        <w:widowControl w:val="0"/>
        <w:rPr>
          <w:b/>
          <w:lang w:val="fr-CA"/>
        </w:rPr>
      </w:pPr>
      <w:r w:rsidRPr="00C51ECB">
        <w:rPr>
          <w:b/>
          <w:lang w:val="fr-CA"/>
        </w:rPr>
        <w:t>Le</w:t>
      </w:r>
      <w:r w:rsidR="00957A76" w:rsidRPr="00C51ECB">
        <w:rPr>
          <w:b/>
          <w:lang w:val="fr-CA"/>
        </w:rPr>
        <w:t xml:space="preserve"> </w:t>
      </w:r>
      <w:r w:rsidR="00AC2E79" w:rsidRPr="00C51ECB">
        <w:rPr>
          <w:b/>
          <w:lang w:val="fr-CA"/>
        </w:rPr>
        <w:t>10</w:t>
      </w:r>
      <w:r w:rsidR="00136C09" w:rsidRPr="00C51ECB">
        <w:rPr>
          <w:b/>
          <w:lang w:val="fr-CA"/>
        </w:rPr>
        <w:t xml:space="preserve"> </w:t>
      </w:r>
      <w:r w:rsidR="0087269F" w:rsidRPr="00C51ECB">
        <w:rPr>
          <w:b/>
          <w:lang w:val="fr-CA"/>
        </w:rPr>
        <w:t>juin</w:t>
      </w:r>
      <w:r w:rsidR="00A151D1" w:rsidRPr="00C51ECB">
        <w:rPr>
          <w:b/>
          <w:lang w:val="fr-CA"/>
        </w:rPr>
        <w:t xml:space="preserve"> 201</w:t>
      </w:r>
      <w:r w:rsidR="00313D36" w:rsidRPr="00C51ECB">
        <w:rPr>
          <w:b/>
          <w:lang w:val="fr-CA"/>
        </w:rPr>
        <w:t>9</w:t>
      </w:r>
    </w:p>
    <w:p w:rsidR="006F2579" w:rsidRPr="00C51ECB" w:rsidRDefault="006F2579" w:rsidP="006F2579">
      <w:pPr>
        <w:widowControl w:val="0"/>
        <w:rPr>
          <w:b/>
          <w:lang w:val="fr-CA"/>
        </w:rPr>
      </w:pPr>
      <w:r w:rsidRPr="00C51ECB">
        <w:rPr>
          <w:b/>
          <w:lang w:val="fr-CA"/>
        </w:rPr>
        <w:t>Pour diffusion immédiate</w:t>
      </w:r>
    </w:p>
    <w:p w:rsidR="006F2579" w:rsidRPr="00C51ECB" w:rsidRDefault="006F2579" w:rsidP="006F2579">
      <w:pPr>
        <w:widowControl w:val="0"/>
        <w:rPr>
          <w:lang w:val="fr-CA"/>
        </w:rPr>
      </w:pPr>
    </w:p>
    <w:p w:rsidR="006F2579" w:rsidRPr="00C51ECB" w:rsidRDefault="006F2579" w:rsidP="006F2579">
      <w:pPr>
        <w:widowControl w:val="0"/>
        <w:rPr>
          <w:lang w:val="fr-CA"/>
        </w:rPr>
      </w:pPr>
      <w:r w:rsidRPr="00C51ECB">
        <w:rPr>
          <w:b/>
          <w:lang w:val="fr-CA"/>
        </w:rPr>
        <w:t>OTTAWA</w:t>
      </w:r>
      <w:r w:rsidRPr="00C51ECB">
        <w:rPr>
          <w:lang w:val="fr-CA"/>
        </w:rPr>
        <w:t xml:space="preserve"> – La Cour suprême du Canada annonce que jugement ser</w:t>
      </w:r>
      <w:r w:rsidR="004259F9" w:rsidRPr="00C51ECB">
        <w:rPr>
          <w:lang w:val="fr-CA"/>
        </w:rPr>
        <w:t>a</w:t>
      </w:r>
      <w:r w:rsidRPr="00C51ECB">
        <w:rPr>
          <w:lang w:val="fr-CA"/>
        </w:rPr>
        <w:t xml:space="preserve"> rendu dans l</w:t>
      </w:r>
      <w:r w:rsidR="008600ED" w:rsidRPr="00C51ECB">
        <w:rPr>
          <w:lang w:val="fr-CA"/>
        </w:rPr>
        <w:t>es</w:t>
      </w:r>
      <w:r w:rsidRPr="00C51ECB">
        <w:rPr>
          <w:lang w:val="fr-CA"/>
        </w:rPr>
        <w:t xml:space="preserve"> demande</w:t>
      </w:r>
      <w:r w:rsidR="008600ED" w:rsidRPr="00C51ECB">
        <w:rPr>
          <w:lang w:val="fr-CA"/>
        </w:rPr>
        <w:t>s</w:t>
      </w:r>
      <w:r w:rsidRPr="00C51ECB">
        <w:rPr>
          <w:lang w:val="fr-CA"/>
        </w:rPr>
        <w:t xml:space="preserve"> d</w:t>
      </w:r>
      <w:r w:rsidR="00001846" w:rsidRPr="00C51ECB">
        <w:rPr>
          <w:lang w:val="fr-CA"/>
        </w:rPr>
        <w:t>’autorisation d’appel suivant</w:t>
      </w:r>
      <w:r w:rsidR="00B27839" w:rsidRPr="00C51ECB">
        <w:rPr>
          <w:lang w:val="fr-CA"/>
        </w:rPr>
        <w:t>e</w:t>
      </w:r>
      <w:r w:rsidR="008600ED" w:rsidRPr="00C51ECB">
        <w:rPr>
          <w:lang w:val="fr-CA"/>
        </w:rPr>
        <w:t>s</w:t>
      </w:r>
      <w:r w:rsidRPr="00C51ECB">
        <w:rPr>
          <w:lang w:val="fr-CA"/>
        </w:rPr>
        <w:t xml:space="preserve"> le jeudi </w:t>
      </w:r>
      <w:r w:rsidR="00AC2E79" w:rsidRPr="00C51ECB">
        <w:rPr>
          <w:lang w:val="fr-CA"/>
        </w:rPr>
        <w:t>13</w:t>
      </w:r>
      <w:r w:rsidR="00780317" w:rsidRPr="00C51ECB">
        <w:rPr>
          <w:lang w:val="fr-CA"/>
        </w:rPr>
        <w:t xml:space="preserve"> </w:t>
      </w:r>
      <w:r w:rsidR="0087269F" w:rsidRPr="00C51ECB">
        <w:rPr>
          <w:lang w:val="fr-CA"/>
        </w:rPr>
        <w:t>juin</w:t>
      </w:r>
      <w:r w:rsidR="00694391" w:rsidRPr="00C51ECB">
        <w:rPr>
          <w:lang w:val="fr-CA"/>
        </w:rPr>
        <w:t xml:space="preserve"> 2</w:t>
      </w:r>
      <w:r w:rsidR="006648D1" w:rsidRPr="00C51ECB">
        <w:rPr>
          <w:lang w:val="fr-CA"/>
        </w:rPr>
        <w:t>01</w:t>
      </w:r>
      <w:r w:rsidR="00313D36" w:rsidRPr="00C51ECB">
        <w:rPr>
          <w:lang w:val="fr-CA"/>
        </w:rPr>
        <w:t>9</w:t>
      </w:r>
      <w:r w:rsidRPr="00C51ECB">
        <w:rPr>
          <w:lang w:val="fr-CA"/>
        </w:rPr>
        <w:t xml:space="preserve">, à 9 h 45 </w:t>
      </w:r>
      <w:r w:rsidR="000627A2" w:rsidRPr="00C51ECB">
        <w:rPr>
          <w:lang w:val="fr-CA"/>
        </w:rPr>
        <w:t>H</w:t>
      </w:r>
      <w:r w:rsidR="005B48B5" w:rsidRPr="00C51ECB">
        <w:rPr>
          <w:lang w:val="fr-CA"/>
        </w:rPr>
        <w:t>A</w:t>
      </w:r>
      <w:r w:rsidRPr="00C51ECB">
        <w:rPr>
          <w:lang w:val="fr-CA"/>
        </w:rPr>
        <w:t>E. Cette liste est sujette à modifications.</w:t>
      </w:r>
    </w:p>
    <w:p w:rsidR="00EF2A9D" w:rsidRPr="00C51ECB" w:rsidRDefault="00EF2A9D" w:rsidP="009B14F4">
      <w:pPr>
        <w:widowControl w:val="0"/>
        <w:jc w:val="both"/>
        <w:rPr>
          <w:sz w:val="20"/>
          <w:lang w:val="fr-CA"/>
        </w:rPr>
      </w:pPr>
    </w:p>
    <w:p w:rsidR="001838E0" w:rsidRPr="00C51ECB" w:rsidRDefault="00C51ECB" w:rsidP="009B14F4">
      <w:pPr>
        <w:widowControl w:val="0"/>
        <w:jc w:val="both"/>
        <w:rPr>
          <w:sz w:val="20"/>
          <w:lang w:val="fr-CA"/>
        </w:rPr>
      </w:pPr>
      <w:r w:rsidRPr="00C51ECB">
        <w:rPr>
          <w:sz w:val="20"/>
        </w:rPr>
        <w:pict>
          <v:rect id="_x0000_i1025" style="width:2in;height:1pt" o:hrpct="0" o:hralign="center" o:hrstd="t" o:hrnoshade="t" o:hr="t" fillcolor="black [3213]" stroked="f"/>
        </w:pict>
      </w:r>
    </w:p>
    <w:p w:rsidR="009F5EC1" w:rsidRPr="00C51ECB" w:rsidRDefault="009F5EC1" w:rsidP="009F5EC1">
      <w:pPr>
        <w:jc w:val="both"/>
        <w:rPr>
          <w:sz w:val="20"/>
        </w:rPr>
      </w:pPr>
    </w:p>
    <w:p w:rsidR="00AA7FC0" w:rsidRPr="00C51ECB" w:rsidRDefault="00AA7FC0" w:rsidP="00576CAE">
      <w:pPr>
        <w:pStyle w:val="SCCAppellantInfoAppellantInfo"/>
        <w:numPr>
          <w:ilvl w:val="0"/>
          <w:numId w:val="42"/>
        </w:numPr>
        <w:ind w:left="357" w:hanging="357"/>
        <w:rPr>
          <w:sz w:val="20"/>
          <w:szCs w:val="20"/>
          <w:lang w:val="fr-CA"/>
        </w:rPr>
      </w:pPr>
      <w:r w:rsidRPr="00C51ECB">
        <w:rPr>
          <w:i/>
          <w:sz w:val="20"/>
          <w:szCs w:val="20"/>
          <w:lang w:val="fr-CA"/>
        </w:rPr>
        <w:t>Richard Girard c. Procureure générale du Québec, et al.</w:t>
      </w:r>
      <w:r w:rsidRPr="00C51ECB">
        <w:rPr>
          <w:sz w:val="20"/>
          <w:szCs w:val="20"/>
          <w:lang w:val="fr-CA"/>
        </w:rPr>
        <w:t xml:space="preserve"> (Q</w:t>
      </w:r>
      <w:r w:rsidR="00F21629" w:rsidRPr="00C51ECB">
        <w:rPr>
          <w:sz w:val="20"/>
          <w:szCs w:val="20"/>
          <w:lang w:val="fr-CA"/>
        </w:rPr>
        <w:t xml:space="preserve">c) (Criminelle) (Autorisation) </w:t>
      </w:r>
      <w:r w:rsidR="00186A9F" w:rsidRPr="00C51ECB">
        <w:rPr>
          <w:sz w:val="20"/>
          <w:lang w:val="fr-CA"/>
        </w:rPr>
        <w:t>(</w:t>
      </w:r>
      <w:hyperlink r:id="rId8" w:history="1">
        <w:r w:rsidR="00186A9F" w:rsidRPr="00C51ECB">
          <w:rPr>
            <w:rStyle w:val="Hyperlink"/>
            <w:sz w:val="20"/>
            <w:szCs w:val="20"/>
            <w:lang w:val="fr-CA"/>
          </w:rPr>
          <w:t>38</w:t>
        </w:r>
        <w:r w:rsidR="00F21629" w:rsidRPr="00C51ECB">
          <w:rPr>
            <w:rStyle w:val="Hyperlink"/>
            <w:sz w:val="20"/>
            <w:szCs w:val="20"/>
            <w:lang w:val="fr-CA"/>
          </w:rPr>
          <w:t>482</w:t>
        </w:r>
      </w:hyperlink>
      <w:r w:rsidR="00186A9F" w:rsidRPr="00C51ECB">
        <w:rPr>
          <w:sz w:val="20"/>
          <w:lang w:val="fr-CA"/>
        </w:rPr>
        <w:t>)</w:t>
      </w:r>
    </w:p>
    <w:p w:rsidR="00AA7FC0" w:rsidRPr="00C51ECB" w:rsidRDefault="00AA7FC0" w:rsidP="00576CAE">
      <w:pPr>
        <w:ind w:left="357" w:hanging="357"/>
        <w:rPr>
          <w:sz w:val="20"/>
          <w:lang w:val="fr-CA"/>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lang w:val="en-US"/>
        </w:rPr>
        <w:t>Fort McKay Métis Community Association v. Alberta Energy Regulator, et al.</w:t>
      </w:r>
      <w:r w:rsidR="00603321" w:rsidRPr="00C51ECB">
        <w:rPr>
          <w:sz w:val="20"/>
          <w:szCs w:val="20"/>
          <w:lang w:val="en-US"/>
        </w:rPr>
        <w:t xml:space="preserve"> </w:t>
      </w:r>
      <w:r w:rsidRPr="00C51ECB">
        <w:rPr>
          <w:sz w:val="20"/>
          <w:szCs w:val="20"/>
        </w:rPr>
        <w:t>(Alta.) (Civil) (By Leave)</w:t>
      </w:r>
      <w:r w:rsidR="00186A9F" w:rsidRPr="00C51ECB">
        <w:rPr>
          <w:sz w:val="20"/>
          <w:szCs w:val="20"/>
        </w:rPr>
        <w:t xml:space="preserve"> </w:t>
      </w:r>
      <w:r w:rsidR="00186A9F" w:rsidRPr="00C51ECB">
        <w:rPr>
          <w:sz w:val="20"/>
        </w:rPr>
        <w:t>(</w:t>
      </w:r>
      <w:hyperlink r:id="rId9" w:history="1">
        <w:r w:rsidR="00186A9F" w:rsidRPr="00C51ECB">
          <w:rPr>
            <w:rStyle w:val="Hyperlink"/>
            <w:sz w:val="20"/>
            <w:szCs w:val="20"/>
          </w:rPr>
          <w:t>385</w:t>
        </w:r>
        <w:r w:rsidR="000154CC" w:rsidRPr="00C51ECB">
          <w:rPr>
            <w:rStyle w:val="Hyperlink"/>
            <w:sz w:val="20"/>
            <w:szCs w:val="20"/>
          </w:rPr>
          <w:t>49</w:t>
        </w:r>
      </w:hyperlink>
      <w:r w:rsidR="00186A9F" w:rsidRPr="00C51ECB">
        <w:rPr>
          <w:sz w:val="20"/>
        </w:rPr>
        <w:t>)</w:t>
      </w:r>
    </w:p>
    <w:p w:rsidR="00AA7FC0" w:rsidRPr="00C51ECB" w:rsidRDefault="00AA7FC0" w:rsidP="00576CAE">
      <w:pPr>
        <w:ind w:left="357" w:hanging="357"/>
        <w:rPr>
          <w:sz w:val="20"/>
          <w:lang w:val="en-CA"/>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rPr>
        <w:t>Prashant Jadhav v. David Kielly</w:t>
      </w:r>
      <w:r w:rsidRPr="00C51ECB">
        <w:rPr>
          <w:sz w:val="20"/>
          <w:szCs w:val="20"/>
        </w:rPr>
        <w:t xml:space="preserve"> (N.L.) (Civil) (By Leave) </w:t>
      </w:r>
      <w:r w:rsidR="00186A9F" w:rsidRPr="00C51ECB">
        <w:rPr>
          <w:sz w:val="20"/>
        </w:rPr>
        <w:t>(</w:t>
      </w:r>
      <w:hyperlink r:id="rId10" w:history="1">
        <w:r w:rsidR="00186A9F" w:rsidRPr="00C51ECB">
          <w:rPr>
            <w:rStyle w:val="Hyperlink"/>
            <w:sz w:val="20"/>
            <w:szCs w:val="20"/>
          </w:rPr>
          <w:t>385</w:t>
        </w:r>
        <w:r w:rsidR="00EE1DD9" w:rsidRPr="00C51ECB">
          <w:rPr>
            <w:rStyle w:val="Hyperlink"/>
            <w:sz w:val="20"/>
            <w:szCs w:val="20"/>
          </w:rPr>
          <w:t>6</w:t>
        </w:r>
        <w:r w:rsidR="00186A9F" w:rsidRPr="00C51ECB">
          <w:rPr>
            <w:rStyle w:val="Hyperlink"/>
            <w:sz w:val="20"/>
            <w:szCs w:val="20"/>
          </w:rPr>
          <w:t>0</w:t>
        </w:r>
      </w:hyperlink>
      <w:r w:rsidR="00186A9F" w:rsidRPr="00C51ECB">
        <w:rPr>
          <w:sz w:val="20"/>
        </w:rPr>
        <w:t>)</w:t>
      </w:r>
    </w:p>
    <w:p w:rsidR="00AA7FC0" w:rsidRPr="00C51ECB" w:rsidRDefault="00AA7FC0" w:rsidP="00576CAE">
      <w:pPr>
        <w:ind w:left="357" w:hanging="357"/>
        <w:rPr>
          <w:sz w:val="20"/>
          <w:lang w:val="en-CA"/>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rPr>
        <w:t>Michael W. Fleury v. Bassman Paulus, et al.</w:t>
      </w:r>
      <w:r w:rsidRPr="00C51ECB">
        <w:rPr>
          <w:sz w:val="20"/>
          <w:szCs w:val="20"/>
        </w:rPr>
        <w:t xml:space="preserve"> (Ont.) (Civil) (By Leave)</w:t>
      </w:r>
      <w:r w:rsidR="00186A9F" w:rsidRPr="00C51ECB">
        <w:rPr>
          <w:sz w:val="20"/>
          <w:szCs w:val="20"/>
        </w:rPr>
        <w:t xml:space="preserve"> </w:t>
      </w:r>
      <w:r w:rsidR="00186A9F" w:rsidRPr="00C51ECB">
        <w:rPr>
          <w:sz w:val="20"/>
        </w:rPr>
        <w:t>(</w:t>
      </w:r>
      <w:hyperlink r:id="rId11" w:history="1">
        <w:r w:rsidR="00186A9F" w:rsidRPr="00C51ECB">
          <w:rPr>
            <w:rStyle w:val="Hyperlink"/>
            <w:sz w:val="20"/>
            <w:szCs w:val="20"/>
          </w:rPr>
          <w:t>385</w:t>
        </w:r>
        <w:r w:rsidR="00626DA9" w:rsidRPr="00C51ECB">
          <w:rPr>
            <w:rStyle w:val="Hyperlink"/>
            <w:sz w:val="20"/>
            <w:szCs w:val="20"/>
          </w:rPr>
          <w:t>3</w:t>
        </w:r>
        <w:r w:rsidR="00186A9F" w:rsidRPr="00C51ECB">
          <w:rPr>
            <w:rStyle w:val="Hyperlink"/>
            <w:sz w:val="20"/>
            <w:szCs w:val="20"/>
          </w:rPr>
          <w:t>0</w:t>
        </w:r>
      </w:hyperlink>
      <w:r w:rsidR="00186A9F" w:rsidRPr="00C51ECB">
        <w:rPr>
          <w:sz w:val="20"/>
        </w:rPr>
        <w:t>)</w:t>
      </w:r>
    </w:p>
    <w:p w:rsidR="00AA7FC0" w:rsidRPr="00C51ECB" w:rsidRDefault="00AA7FC0" w:rsidP="00576CAE">
      <w:pPr>
        <w:ind w:left="357" w:hanging="357"/>
        <w:rPr>
          <w:sz w:val="20"/>
          <w:lang w:val="en-CA"/>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rPr>
        <w:t>Daniel Barna v. Her Majesty the Queen</w:t>
      </w:r>
      <w:r w:rsidRPr="00C51ECB">
        <w:rPr>
          <w:sz w:val="20"/>
          <w:szCs w:val="20"/>
        </w:rPr>
        <w:t xml:space="preserve"> (Ont.) (Criminal) (By Leave)</w:t>
      </w:r>
      <w:r w:rsidR="00186A9F" w:rsidRPr="00C51ECB">
        <w:rPr>
          <w:sz w:val="20"/>
          <w:szCs w:val="20"/>
        </w:rPr>
        <w:t xml:space="preserve"> </w:t>
      </w:r>
      <w:r w:rsidR="00186A9F" w:rsidRPr="00C51ECB">
        <w:rPr>
          <w:sz w:val="20"/>
        </w:rPr>
        <w:t>(</w:t>
      </w:r>
      <w:hyperlink r:id="rId12" w:history="1">
        <w:r w:rsidR="00186A9F" w:rsidRPr="00C51ECB">
          <w:rPr>
            <w:rStyle w:val="Hyperlink"/>
            <w:sz w:val="20"/>
            <w:szCs w:val="20"/>
          </w:rPr>
          <w:t>385</w:t>
        </w:r>
        <w:r w:rsidR="004E1D94" w:rsidRPr="00C51ECB">
          <w:rPr>
            <w:rStyle w:val="Hyperlink"/>
            <w:sz w:val="20"/>
            <w:szCs w:val="20"/>
          </w:rPr>
          <w:t>1</w:t>
        </w:r>
        <w:r w:rsidR="00186A9F" w:rsidRPr="00C51ECB">
          <w:rPr>
            <w:rStyle w:val="Hyperlink"/>
            <w:sz w:val="20"/>
            <w:szCs w:val="20"/>
          </w:rPr>
          <w:t>0</w:t>
        </w:r>
      </w:hyperlink>
      <w:r w:rsidR="00186A9F" w:rsidRPr="00C51ECB">
        <w:rPr>
          <w:sz w:val="20"/>
        </w:rPr>
        <w:t>)</w:t>
      </w:r>
    </w:p>
    <w:p w:rsidR="00AA7FC0" w:rsidRPr="00C51ECB" w:rsidRDefault="00AA7FC0" w:rsidP="00576CAE">
      <w:pPr>
        <w:ind w:left="357" w:hanging="357"/>
        <w:rPr>
          <w:sz w:val="20"/>
          <w:lang w:val="en-CA"/>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rPr>
        <w:t>Lyudmila Chavdarova a.k.a. Mila Chavdarova v. The Staffing Exchange Inc.</w:t>
      </w:r>
      <w:r w:rsidRPr="00C51ECB">
        <w:rPr>
          <w:sz w:val="20"/>
          <w:szCs w:val="20"/>
        </w:rPr>
        <w:t xml:space="preserve"> (Ont.) (Civil) (By Leave)</w:t>
      </w:r>
      <w:r w:rsidR="00186A9F" w:rsidRPr="00C51ECB">
        <w:rPr>
          <w:sz w:val="20"/>
          <w:szCs w:val="20"/>
        </w:rPr>
        <w:t xml:space="preserve"> </w:t>
      </w:r>
      <w:r w:rsidR="00186A9F" w:rsidRPr="00C51ECB">
        <w:rPr>
          <w:sz w:val="20"/>
        </w:rPr>
        <w:t>(</w:t>
      </w:r>
      <w:hyperlink r:id="rId13" w:history="1">
        <w:r w:rsidR="00186A9F" w:rsidRPr="00C51ECB">
          <w:rPr>
            <w:rStyle w:val="Hyperlink"/>
            <w:sz w:val="20"/>
            <w:szCs w:val="20"/>
          </w:rPr>
          <w:t>385</w:t>
        </w:r>
        <w:r w:rsidR="00357E8F" w:rsidRPr="00C51ECB">
          <w:rPr>
            <w:rStyle w:val="Hyperlink"/>
            <w:sz w:val="20"/>
            <w:szCs w:val="20"/>
          </w:rPr>
          <w:t>67</w:t>
        </w:r>
      </w:hyperlink>
      <w:r w:rsidR="00186A9F" w:rsidRPr="00C51ECB">
        <w:rPr>
          <w:sz w:val="20"/>
        </w:rPr>
        <w:t>)</w:t>
      </w:r>
    </w:p>
    <w:p w:rsidR="00AA7FC0" w:rsidRPr="00C51ECB" w:rsidRDefault="00AA7FC0" w:rsidP="00576CAE">
      <w:pPr>
        <w:pStyle w:val="SCCAppellantInfoAppellantInfo"/>
        <w:ind w:left="357" w:hanging="357"/>
        <w:rPr>
          <w:sz w:val="20"/>
          <w:szCs w:val="20"/>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rPr>
        <w:t>Alex Martinez v. Her Majesty the Queen, et al.</w:t>
      </w:r>
      <w:r w:rsidRPr="00C51ECB">
        <w:rPr>
          <w:sz w:val="20"/>
          <w:szCs w:val="20"/>
        </w:rPr>
        <w:t xml:space="preserve"> (F</w:t>
      </w:r>
      <w:r w:rsidR="00603321" w:rsidRPr="00C51ECB">
        <w:rPr>
          <w:sz w:val="20"/>
          <w:szCs w:val="20"/>
        </w:rPr>
        <w:t>.</w:t>
      </w:r>
      <w:r w:rsidRPr="00C51ECB">
        <w:rPr>
          <w:sz w:val="20"/>
          <w:szCs w:val="20"/>
        </w:rPr>
        <w:t>C</w:t>
      </w:r>
      <w:r w:rsidR="00603321" w:rsidRPr="00C51ECB">
        <w:rPr>
          <w:sz w:val="20"/>
          <w:szCs w:val="20"/>
        </w:rPr>
        <w:t>.</w:t>
      </w:r>
      <w:r w:rsidRPr="00C51ECB">
        <w:rPr>
          <w:sz w:val="20"/>
          <w:szCs w:val="20"/>
        </w:rPr>
        <w:t>) (Civil) (By Leave)</w:t>
      </w:r>
      <w:r w:rsidR="00186A9F" w:rsidRPr="00C51ECB">
        <w:rPr>
          <w:sz w:val="20"/>
          <w:szCs w:val="20"/>
        </w:rPr>
        <w:t xml:space="preserve"> </w:t>
      </w:r>
      <w:r w:rsidR="00186A9F" w:rsidRPr="00C51ECB">
        <w:rPr>
          <w:sz w:val="20"/>
        </w:rPr>
        <w:t>(</w:t>
      </w:r>
      <w:hyperlink r:id="rId14" w:history="1">
        <w:r w:rsidR="00186A9F" w:rsidRPr="00C51ECB">
          <w:rPr>
            <w:rStyle w:val="Hyperlink"/>
            <w:sz w:val="20"/>
            <w:szCs w:val="20"/>
          </w:rPr>
          <w:t>385</w:t>
        </w:r>
        <w:r w:rsidR="00D24B2D" w:rsidRPr="00C51ECB">
          <w:rPr>
            <w:rStyle w:val="Hyperlink"/>
            <w:sz w:val="20"/>
            <w:szCs w:val="20"/>
          </w:rPr>
          <w:t>63</w:t>
        </w:r>
      </w:hyperlink>
      <w:r w:rsidR="00186A9F" w:rsidRPr="00C51ECB">
        <w:rPr>
          <w:sz w:val="20"/>
        </w:rPr>
        <w:t>)</w:t>
      </w:r>
    </w:p>
    <w:p w:rsidR="00AA7FC0" w:rsidRPr="00C51ECB" w:rsidRDefault="00AA7FC0" w:rsidP="00576CAE">
      <w:pPr>
        <w:ind w:left="357" w:hanging="357"/>
        <w:rPr>
          <w:sz w:val="20"/>
          <w:lang w:val="en-CA"/>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rPr>
        <w:t>Salwa Abdalla v. Her Majesty the Queen</w:t>
      </w:r>
      <w:r w:rsidRPr="00C51ECB">
        <w:rPr>
          <w:sz w:val="20"/>
          <w:szCs w:val="20"/>
        </w:rPr>
        <w:t xml:space="preserve"> (F</w:t>
      </w:r>
      <w:r w:rsidR="00770E73" w:rsidRPr="00C51ECB">
        <w:rPr>
          <w:sz w:val="20"/>
          <w:szCs w:val="20"/>
        </w:rPr>
        <w:t>.</w:t>
      </w:r>
      <w:r w:rsidRPr="00C51ECB">
        <w:rPr>
          <w:sz w:val="20"/>
          <w:szCs w:val="20"/>
        </w:rPr>
        <w:t>C</w:t>
      </w:r>
      <w:r w:rsidR="00770E73" w:rsidRPr="00C51ECB">
        <w:rPr>
          <w:sz w:val="20"/>
          <w:szCs w:val="20"/>
        </w:rPr>
        <w:t>.</w:t>
      </w:r>
      <w:r w:rsidRPr="00C51ECB">
        <w:rPr>
          <w:sz w:val="20"/>
          <w:szCs w:val="20"/>
        </w:rPr>
        <w:t>) (Civil) (By Leave)</w:t>
      </w:r>
      <w:r w:rsidR="00186A9F" w:rsidRPr="00C51ECB">
        <w:rPr>
          <w:sz w:val="20"/>
          <w:szCs w:val="20"/>
        </w:rPr>
        <w:t xml:space="preserve"> </w:t>
      </w:r>
      <w:r w:rsidR="00186A9F" w:rsidRPr="00C51ECB">
        <w:rPr>
          <w:sz w:val="20"/>
        </w:rPr>
        <w:t>(</w:t>
      </w:r>
      <w:hyperlink r:id="rId15" w:history="1">
        <w:r w:rsidR="00186A9F" w:rsidRPr="00C51ECB">
          <w:rPr>
            <w:rStyle w:val="Hyperlink"/>
            <w:sz w:val="20"/>
            <w:szCs w:val="20"/>
          </w:rPr>
          <w:t>385</w:t>
        </w:r>
        <w:r w:rsidR="000B7975" w:rsidRPr="00C51ECB">
          <w:rPr>
            <w:rStyle w:val="Hyperlink"/>
            <w:sz w:val="20"/>
            <w:szCs w:val="20"/>
          </w:rPr>
          <w:t>43</w:t>
        </w:r>
      </w:hyperlink>
      <w:r w:rsidR="00186A9F" w:rsidRPr="00C51ECB">
        <w:rPr>
          <w:sz w:val="20"/>
        </w:rPr>
        <w:t>)</w:t>
      </w:r>
    </w:p>
    <w:p w:rsidR="00AA7FC0" w:rsidRPr="00C51ECB" w:rsidRDefault="00AA7FC0" w:rsidP="00576CAE">
      <w:pPr>
        <w:ind w:left="357" w:hanging="357"/>
        <w:rPr>
          <w:sz w:val="20"/>
          <w:lang w:val="en-CA"/>
        </w:rPr>
      </w:pPr>
    </w:p>
    <w:p w:rsidR="00AA7FC0" w:rsidRPr="00C51ECB" w:rsidRDefault="00AA7FC0" w:rsidP="00576CAE">
      <w:pPr>
        <w:pStyle w:val="SCCAppellantInfoAppellantInfo"/>
        <w:numPr>
          <w:ilvl w:val="0"/>
          <w:numId w:val="42"/>
        </w:numPr>
        <w:ind w:left="357" w:hanging="357"/>
        <w:rPr>
          <w:sz w:val="20"/>
          <w:szCs w:val="20"/>
        </w:rPr>
      </w:pPr>
      <w:r w:rsidRPr="00C51ECB">
        <w:rPr>
          <w:i/>
          <w:sz w:val="20"/>
          <w:szCs w:val="20"/>
        </w:rPr>
        <w:t>Chief Roger William on his own behalf and on behalf of all other members of the Xeni Gwet’in First Nations Government and the Tsilhqot’in Nation v. Attorney General of British Columbia, et al.</w:t>
      </w:r>
      <w:r w:rsidRPr="00C51ECB">
        <w:rPr>
          <w:sz w:val="20"/>
          <w:szCs w:val="20"/>
        </w:rPr>
        <w:t xml:space="preserve"> (B.C.) (Civil) (By Leave)</w:t>
      </w:r>
      <w:r w:rsidR="00186A9F" w:rsidRPr="00C51ECB">
        <w:rPr>
          <w:sz w:val="20"/>
          <w:szCs w:val="20"/>
        </w:rPr>
        <w:t xml:space="preserve"> </w:t>
      </w:r>
      <w:r w:rsidR="00186A9F" w:rsidRPr="00C51ECB">
        <w:rPr>
          <w:sz w:val="20"/>
        </w:rPr>
        <w:t>(</w:t>
      </w:r>
      <w:hyperlink r:id="rId16" w:history="1">
        <w:r w:rsidR="00186A9F" w:rsidRPr="00C51ECB">
          <w:rPr>
            <w:rStyle w:val="Hyperlink"/>
            <w:sz w:val="20"/>
            <w:szCs w:val="20"/>
          </w:rPr>
          <w:t>385</w:t>
        </w:r>
        <w:r w:rsidR="001F1095" w:rsidRPr="00C51ECB">
          <w:rPr>
            <w:rStyle w:val="Hyperlink"/>
            <w:sz w:val="20"/>
            <w:szCs w:val="20"/>
          </w:rPr>
          <w:t>4</w:t>
        </w:r>
        <w:r w:rsidR="00186A9F" w:rsidRPr="00C51ECB">
          <w:rPr>
            <w:rStyle w:val="Hyperlink"/>
            <w:sz w:val="20"/>
            <w:szCs w:val="20"/>
          </w:rPr>
          <w:t>8</w:t>
        </w:r>
      </w:hyperlink>
      <w:r w:rsidR="00186A9F" w:rsidRPr="00C51ECB">
        <w:rPr>
          <w:sz w:val="20"/>
        </w:rPr>
        <w:t>)</w:t>
      </w:r>
    </w:p>
    <w:p w:rsidR="00983736" w:rsidRPr="00C51ECB" w:rsidRDefault="00983736" w:rsidP="00576CAE">
      <w:pPr>
        <w:widowControl w:val="0"/>
        <w:autoSpaceDE w:val="0"/>
        <w:autoSpaceDN w:val="0"/>
        <w:adjustRightInd w:val="0"/>
        <w:ind w:left="357" w:hanging="357"/>
        <w:rPr>
          <w:bCs/>
          <w:sz w:val="20"/>
          <w:lang w:val="en-CA"/>
        </w:rPr>
      </w:pPr>
    </w:p>
    <w:p w:rsidR="001F3E3F" w:rsidRPr="00C51ECB" w:rsidRDefault="001F3E3F" w:rsidP="00576CAE">
      <w:pPr>
        <w:pStyle w:val="SCCAppellantInfoAppellantInfo"/>
        <w:numPr>
          <w:ilvl w:val="0"/>
          <w:numId w:val="42"/>
        </w:numPr>
        <w:ind w:left="357" w:hanging="357"/>
        <w:rPr>
          <w:sz w:val="20"/>
          <w:szCs w:val="20"/>
          <w:lang w:val="fr-CA"/>
        </w:rPr>
      </w:pPr>
      <w:r w:rsidRPr="00C51ECB">
        <w:rPr>
          <w:i/>
          <w:sz w:val="20"/>
          <w:szCs w:val="20"/>
          <w:lang w:val="fr-CA"/>
        </w:rPr>
        <w:t>Procureure générale du Québec, et al. c. Karl Lefrançois, et al.</w:t>
      </w:r>
      <w:r w:rsidRPr="00C51ECB">
        <w:rPr>
          <w:sz w:val="20"/>
          <w:szCs w:val="20"/>
          <w:lang w:val="fr-CA"/>
        </w:rPr>
        <w:t xml:space="preserve"> (Qc) (Criminelle) (Autorisation) </w:t>
      </w:r>
      <w:r w:rsidRPr="00C51ECB">
        <w:rPr>
          <w:sz w:val="20"/>
        </w:rPr>
        <w:t>(</w:t>
      </w:r>
      <w:hyperlink r:id="rId17" w:history="1">
        <w:r w:rsidRPr="00C51ECB">
          <w:rPr>
            <w:rStyle w:val="Hyperlink"/>
            <w:sz w:val="20"/>
          </w:rPr>
          <w:t>38</w:t>
        </w:r>
        <w:r w:rsidR="00394FBC" w:rsidRPr="00C51ECB">
          <w:rPr>
            <w:rStyle w:val="Hyperlink"/>
            <w:sz w:val="20"/>
          </w:rPr>
          <w:t>47</w:t>
        </w:r>
        <w:r w:rsidRPr="00C51ECB">
          <w:rPr>
            <w:rStyle w:val="Hyperlink"/>
            <w:sz w:val="20"/>
          </w:rPr>
          <w:t>0</w:t>
        </w:r>
      </w:hyperlink>
      <w:r w:rsidRPr="00C51ECB">
        <w:rPr>
          <w:sz w:val="20"/>
        </w:rPr>
        <w:t>)</w:t>
      </w:r>
    </w:p>
    <w:p w:rsidR="001F3E3F" w:rsidRPr="00C51ECB" w:rsidRDefault="001F3E3F" w:rsidP="00576CAE">
      <w:pPr>
        <w:widowControl w:val="0"/>
        <w:autoSpaceDE w:val="0"/>
        <w:autoSpaceDN w:val="0"/>
        <w:adjustRightInd w:val="0"/>
        <w:ind w:left="357" w:hanging="357"/>
        <w:rPr>
          <w:bCs/>
          <w:sz w:val="20"/>
          <w:lang w:val="fr-CA"/>
        </w:rPr>
      </w:pPr>
    </w:p>
    <w:p w:rsidR="00983736" w:rsidRPr="00C51ECB" w:rsidRDefault="00983736" w:rsidP="00576CAE">
      <w:pPr>
        <w:pStyle w:val="ListParagraph"/>
        <w:numPr>
          <w:ilvl w:val="0"/>
          <w:numId w:val="42"/>
        </w:numPr>
        <w:ind w:left="357" w:hanging="357"/>
        <w:rPr>
          <w:rFonts w:eastAsia="Calibri"/>
          <w:sz w:val="20"/>
          <w:lang w:val="en-CA"/>
        </w:rPr>
      </w:pPr>
      <w:r w:rsidRPr="00C51ECB">
        <w:rPr>
          <w:rFonts w:eastAsia="Calibri"/>
          <w:i/>
          <w:sz w:val="20"/>
          <w:lang w:val="en-CA"/>
        </w:rPr>
        <w:t>Nathan Harvey Allman Wolfleg v. Her Majesty the Queen</w:t>
      </w:r>
      <w:r w:rsidRPr="00C51ECB">
        <w:rPr>
          <w:rFonts w:eastAsia="Calibri"/>
          <w:sz w:val="20"/>
          <w:lang w:val="en-CA"/>
        </w:rPr>
        <w:t xml:space="preserve"> (Alta.) (Criminal) (By Leave)</w:t>
      </w:r>
      <w:r w:rsidR="00186A9F" w:rsidRPr="00C51ECB">
        <w:rPr>
          <w:rFonts w:eastAsia="Calibri"/>
          <w:sz w:val="20"/>
          <w:lang w:val="en-CA"/>
        </w:rPr>
        <w:t xml:space="preserve"> </w:t>
      </w:r>
      <w:r w:rsidR="00186A9F" w:rsidRPr="00C51ECB">
        <w:rPr>
          <w:sz w:val="20"/>
        </w:rPr>
        <w:t>(</w:t>
      </w:r>
      <w:hyperlink r:id="rId18" w:history="1">
        <w:r w:rsidR="00186A9F" w:rsidRPr="00C51ECB">
          <w:rPr>
            <w:rStyle w:val="Hyperlink"/>
            <w:sz w:val="20"/>
          </w:rPr>
          <w:t>385</w:t>
        </w:r>
        <w:r w:rsidR="001E6CB1" w:rsidRPr="00C51ECB">
          <w:rPr>
            <w:rStyle w:val="Hyperlink"/>
            <w:sz w:val="20"/>
          </w:rPr>
          <w:t>42</w:t>
        </w:r>
      </w:hyperlink>
      <w:r w:rsidR="00186A9F" w:rsidRPr="00C51ECB">
        <w:rPr>
          <w:sz w:val="20"/>
        </w:rPr>
        <w:t>)</w:t>
      </w:r>
    </w:p>
    <w:p w:rsidR="00983736" w:rsidRPr="00C51ECB" w:rsidRDefault="00983736" w:rsidP="00576CAE">
      <w:pPr>
        <w:widowControl w:val="0"/>
        <w:autoSpaceDE w:val="0"/>
        <w:autoSpaceDN w:val="0"/>
        <w:adjustRightInd w:val="0"/>
        <w:ind w:left="357" w:hanging="357"/>
        <w:rPr>
          <w:sz w:val="20"/>
          <w:lang w:val="en-CA"/>
        </w:rPr>
      </w:pPr>
    </w:p>
    <w:p w:rsidR="00983736" w:rsidRPr="00C51ECB" w:rsidRDefault="00983736" w:rsidP="00576CAE">
      <w:pPr>
        <w:pStyle w:val="ListParagraph"/>
        <w:numPr>
          <w:ilvl w:val="0"/>
          <w:numId w:val="42"/>
        </w:numPr>
        <w:ind w:left="357" w:hanging="357"/>
        <w:rPr>
          <w:sz w:val="20"/>
          <w:lang w:val="en-CA"/>
        </w:rPr>
      </w:pPr>
      <w:r w:rsidRPr="00C51ECB">
        <w:rPr>
          <w:i/>
          <w:sz w:val="20"/>
        </w:rPr>
        <w:t>Chando Kayne Jackson v. Her Majesty the Queen</w:t>
      </w:r>
      <w:r w:rsidRPr="00C51ECB">
        <w:rPr>
          <w:sz w:val="20"/>
        </w:rPr>
        <w:t xml:space="preserve"> (Alta.) (Criminal) (By Leave)</w:t>
      </w:r>
      <w:r w:rsidR="00186A9F" w:rsidRPr="00C51ECB">
        <w:rPr>
          <w:sz w:val="20"/>
        </w:rPr>
        <w:t xml:space="preserve"> (</w:t>
      </w:r>
      <w:hyperlink r:id="rId19" w:history="1">
        <w:r w:rsidR="00186A9F" w:rsidRPr="00C51ECB">
          <w:rPr>
            <w:rStyle w:val="Hyperlink"/>
            <w:sz w:val="20"/>
          </w:rPr>
          <w:t>385</w:t>
        </w:r>
        <w:r w:rsidR="0064364D" w:rsidRPr="00C51ECB">
          <w:rPr>
            <w:rStyle w:val="Hyperlink"/>
            <w:sz w:val="20"/>
          </w:rPr>
          <w:t>65</w:t>
        </w:r>
      </w:hyperlink>
      <w:r w:rsidR="00186A9F" w:rsidRPr="00C51ECB">
        <w:rPr>
          <w:sz w:val="20"/>
        </w:rPr>
        <w:t>)</w:t>
      </w:r>
    </w:p>
    <w:p w:rsidR="00983736" w:rsidRPr="00C51ECB" w:rsidRDefault="00983736" w:rsidP="00576CAE">
      <w:pPr>
        <w:widowControl w:val="0"/>
        <w:autoSpaceDE w:val="0"/>
        <w:autoSpaceDN w:val="0"/>
        <w:adjustRightInd w:val="0"/>
        <w:ind w:left="357" w:hanging="357"/>
        <w:rPr>
          <w:sz w:val="20"/>
          <w:lang w:val="en-CA"/>
        </w:rPr>
      </w:pPr>
    </w:p>
    <w:p w:rsidR="00983736" w:rsidRPr="00C51ECB" w:rsidRDefault="00983736" w:rsidP="00576CAE">
      <w:pPr>
        <w:pStyle w:val="ListParagraph"/>
        <w:numPr>
          <w:ilvl w:val="0"/>
          <w:numId w:val="42"/>
        </w:numPr>
        <w:ind w:left="357" w:hanging="357"/>
        <w:rPr>
          <w:rFonts w:eastAsia="Calibri"/>
          <w:sz w:val="20"/>
          <w:lang w:val="en-CA"/>
        </w:rPr>
      </w:pPr>
      <w:r w:rsidRPr="00C51ECB">
        <w:rPr>
          <w:i/>
          <w:sz w:val="20"/>
        </w:rPr>
        <w:t>Shelly Ann Petz v. Patrick Duguay</w:t>
      </w:r>
      <w:r w:rsidRPr="00C51ECB">
        <w:rPr>
          <w:sz w:val="20"/>
        </w:rPr>
        <w:t xml:space="preserve"> (Alta.) (Civil) (By Leave)</w:t>
      </w:r>
      <w:r w:rsidR="00337063" w:rsidRPr="00C51ECB">
        <w:rPr>
          <w:sz w:val="20"/>
        </w:rPr>
        <w:t xml:space="preserve"> </w:t>
      </w:r>
      <w:r w:rsidR="00186A9F" w:rsidRPr="00C51ECB">
        <w:rPr>
          <w:sz w:val="20"/>
        </w:rPr>
        <w:t>(</w:t>
      </w:r>
      <w:hyperlink r:id="rId20" w:history="1">
        <w:r w:rsidR="00186A9F" w:rsidRPr="00C51ECB">
          <w:rPr>
            <w:rStyle w:val="Hyperlink"/>
            <w:sz w:val="20"/>
          </w:rPr>
          <w:t>38</w:t>
        </w:r>
        <w:r w:rsidR="00C249E9" w:rsidRPr="00C51ECB">
          <w:rPr>
            <w:rStyle w:val="Hyperlink"/>
            <w:sz w:val="20"/>
          </w:rPr>
          <w:t>49</w:t>
        </w:r>
        <w:r w:rsidR="00186A9F" w:rsidRPr="00C51ECB">
          <w:rPr>
            <w:rStyle w:val="Hyperlink"/>
            <w:sz w:val="20"/>
          </w:rPr>
          <w:t>5</w:t>
        </w:r>
      </w:hyperlink>
      <w:r w:rsidR="00186A9F" w:rsidRPr="00C51ECB">
        <w:rPr>
          <w:sz w:val="20"/>
        </w:rPr>
        <w:t>)</w:t>
      </w:r>
    </w:p>
    <w:p w:rsidR="00DC1BE4" w:rsidRPr="00C51ECB" w:rsidRDefault="00DC1BE4" w:rsidP="009F5EC1">
      <w:pPr>
        <w:jc w:val="both"/>
        <w:rPr>
          <w:sz w:val="20"/>
        </w:rPr>
      </w:pPr>
    </w:p>
    <w:p w:rsidR="00602309" w:rsidRPr="00C51ECB" w:rsidRDefault="00C51ECB" w:rsidP="00542899">
      <w:pPr>
        <w:ind w:left="142" w:hanging="142"/>
        <w:rPr>
          <w:sz w:val="20"/>
        </w:rPr>
      </w:pPr>
      <w:r w:rsidRPr="00C51ECB">
        <w:rPr>
          <w:sz w:val="20"/>
        </w:rPr>
        <w:pict>
          <v:rect id="_x0000_i1026" style="width:2in;height:1pt" o:hrpct="0" o:hralign="center" o:hrstd="t" o:hrnoshade="t" o:hr="t" fillcolor="black [3213]" stroked="f"/>
        </w:pict>
      </w:r>
    </w:p>
    <w:p w:rsidR="00602309" w:rsidRPr="00C51ECB" w:rsidRDefault="00602309" w:rsidP="00542899">
      <w:pPr>
        <w:ind w:left="142" w:hanging="142"/>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lang w:val="en-CA"/>
              </w:rPr>
            </w:pPr>
            <w:r w:rsidRPr="00C51ECB">
              <w:rPr>
                <w:rStyle w:val="SCCFileNumberChar"/>
                <w:sz w:val="20"/>
                <w:szCs w:val="20"/>
              </w:rPr>
              <w:t>38482</w:t>
            </w:r>
          </w:p>
        </w:tc>
        <w:tc>
          <w:tcPr>
            <w:tcW w:w="4457" w:type="pct"/>
            <w:gridSpan w:val="3"/>
          </w:tcPr>
          <w:p w:rsidR="00D84BE0" w:rsidRPr="00C51ECB" w:rsidRDefault="00D84BE0" w:rsidP="00465096">
            <w:pPr>
              <w:pStyle w:val="SCCLsocParty"/>
              <w:jc w:val="both"/>
              <w:rPr>
                <w:b/>
                <w:sz w:val="20"/>
                <w:szCs w:val="20"/>
                <w:lang w:val="en-CA"/>
              </w:rPr>
            </w:pPr>
            <w:r w:rsidRPr="00C51ECB">
              <w:rPr>
                <w:b/>
                <w:sz w:val="20"/>
                <w:szCs w:val="20"/>
                <w:lang w:val="en-CA"/>
              </w:rPr>
              <w:t>Richard Girard v. Attorney General of Quebec, Land Registrar</w:t>
            </w:r>
          </w:p>
          <w:p w:rsidR="00D84BE0" w:rsidRPr="00C51ECB" w:rsidRDefault="00D84BE0" w:rsidP="00465096">
            <w:pPr>
              <w:jc w:val="both"/>
              <w:rPr>
                <w:sz w:val="20"/>
                <w:lang w:val="en-CA"/>
              </w:rPr>
            </w:pPr>
            <w:r w:rsidRPr="00C51ECB">
              <w:rPr>
                <w:sz w:val="20"/>
                <w:lang w:val="en-CA"/>
              </w:rPr>
              <w:t>(Que.) (Criminal) (By Leave)</w:t>
            </w:r>
          </w:p>
        </w:tc>
      </w:tr>
      <w:tr w:rsidR="00D84BE0" w:rsidRPr="00C51ECB" w:rsidTr="00E95A6A">
        <w:tc>
          <w:tcPr>
            <w:tcW w:w="5000" w:type="pct"/>
            <w:gridSpan w:val="4"/>
          </w:tcPr>
          <w:p w:rsidR="00D84BE0" w:rsidRPr="00C51ECB" w:rsidRDefault="00D84BE0" w:rsidP="00465096">
            <w:pPr>
              <w:jc w:val="both"/>
              <w:rPr>
                <w:sz w:val="20"/>
                <w:lang w:val="en-CA"/>
              </w:rPr>
            </w:pPr>
            <w:r w:rsidRPr="00C51ECB">
              <w:rPr>
                <w:iCs/>
                <w:sz w:val="20"/>
                <w:lang w:val="en-CA"/>
              </w:rPr>
              <w:t xml:space="preserve">Criminal law — Controlled drugs and substances — Forfeiture orders — Whether s. 19.1(3) of </w:t>
            </w:r>
            <w:r w:rsidRPr="00C51ECB">
              <w:rPr>
                <w:i/>
                <w:iCs/>
                <w:sz w:val="20"/>
                <w:lang w:val="en-CA"/>
              </w:rPr>
              <w:t>Controlled Drugs and Substances Act</w:t>
            </w:r>
            <w:r w:rsidRPr="00C51ECB">
              <w:rPr>
                <w:iCs/>
                <w:sz w:val="20"/>
                <w:lang w:val="en-CA"/>
              </w:rPr>
              <w:t>, S.C. 1996, c. 19, requires accused to show that full forfeiture of his or her offence</w:t>
            </w:r>
            <w:r w:rsidRPr="00C51ECB">
              <w:rPr>
                <w:iCs/>
                <w:sz w:val="20"/>
                <w:lang w:val="en-CA"/>
              </w:rPr>
              <w:noBreakHyphen/>
              <w:t xml:space="preserve">related property would be unreasonable — Whether judge erred in principle in applying tests set out in </w:t>
            </w:r>
            <w:r w:rsidRPr="00C51ECB">
              <w:rPr>
                <w:i/>
                <w:iCs/>
                <w:sz w:val="20"/>
                <w:lang w:val="en-CA"/>
              </w:rPr>
              <w:t>R. v. Craig</w:t>
            </w:r>
            <w:r w:rsidRPr="00C51ECB">
              <w:rPr>
                <w:iCs/>
                <w:sz w:val="20"/>
                <w:lang w:val="en-CA"/>
              </w:rPr>
              <w:t>, 2009 SCC 23, [2009] 1 S.C.R. 762.</w:t>
            </w:r>
          </w:p>
        </w:tc>
      </w:tr>
      <w:tr w:rsidR="00D84BE0" w:rsidRPr="00C51ECB" w:rsidTr="00E95A6A">
        <w:tc>
          <w:tcPr>
            <w:tcW w:w="5000" w:type="pct"/>
            <w:gridSpan w:val="4"/>
          </w:tcPr>
          <w:p w:rsidR="00D84BE0" w:rsidRPr="00C51ECB" w:rsidRDefault="00D84BE0" w:rsidP="00465096">
            <w:pPr>
              <w:jc w:val="both"/>
              <w:rPr>
                <w:sz w:val="20"/>
                <w:lang w:val="en-CA"/>
              </w:rPr>
            </w:pPr>
          </w:p>
        </w:tc>
      </w:tr>
      <w:tr w:rsidR="00D84BE0" w:rsidRPr="00C51ECB" w:rsidTr="00E95A6A">
        <w:tc>
          <w:tcPr>
            <w:tcW w:w="5000" w:type="pct"/>
            <w:gridSpan w:val="4"/>
          </w:tcPr>
          <w:p w:rsidR="00D84BE0" w:rsidRPr="00C51ECB" w:rsidRDefault="00D84BE0" w:rsidP="00465096">
            <w:pPr>
              <w:jc w:val="both"/>
              <w:rPr>
                <w:sz w:val="20"/>
                <w:lang w:val="en-CA"/>
              </w:rPr>
            </w:pPr>
            <w:r w:rsidRPr="00C51ECB">
              <w:rPr>
                <w:sz w:val="20"/>
                <w:lang w:val="en-CA"/>
              </w:rPr>
              <w:t xml:space="preserve">The applicant, Mr. Girard, was convicted of conspiracy to traffic in cocaine, conspiracy to traffic in a sum of money with a value exceeding $5,000, trafficking in cocaine, trafficking in a sum of money with a value exceeding $5,000 and possession of cannabis </w:t>
            </w:r>
            <w:proofErr w:type="gramStart"/>
            <w:r w:rsidRPr="00C51ECB">
              <w:rPr>
                <w:sz w:val="20"/>
                <w:lang w:val="en-CA"/>
              </w:rPr>
              <w:t>for the purpose of</w:t>
            </w:r>
            <w:proofErr w:type="gramEnd"/>
            <w:r w:rsidRPr="00C51ECB">
              <w:rPr>
                <w:sz w:val="20"/>
                <w:lang w:val="en-CA"/>
              </w:rPr>
              <w:t xml:space="preserve"> trafficking. He </w:t>
            </w:r>
            <w:proofErr w:type="gramStart"/>
            <w:r w:rsidRPr="00C51ECB">
              <w:rPr>
                <w:sz w:val="20"/>
                <w:lang w:val="en-CA"/>
              </w:rPr>
              <w:t>was sentenced</w:t>
            </w:r>
            <w:proofErr w:type="gramEnd"/>
            <w:r w:rsidRPr="00C51ECB">
              <w:rPr>
                <w:sz w:val="20"/>
                <w:lang w:val="en-CA"/>
              </w:rPr>
              <w:t xml:space="preserve"> to four years’ imprisonment. Since his residence was offence</w:t>
            </w:r>
            <w:r w:rsidRPr="00C51ECB">
              <w:rPr>
                <w:sz w:val="20"/>
                <w:lang w:val="en-CA"/>
              </w:rPr>
              <w:noBreakHyphen/>
              <w:t xml:space="preserve">related property, its full forfeiture </w:t>
            </w:r>
            <w:proofErr w:type="gramStart"/>
            <w:r w:rsidRPr="00C51ECB">
              <w:rPr>
                <w:sz w:val="20"/>
                <w:lang w:val="en-CA"/>
              </w:rPr>
              <w:t>was ordered</w:t>
            </w:r>
            <w:proofErr w:type="gramEnd"/>
            <w:r w:rsidRPr="00C51ECB">
              <w:rPr>
                <w:sz w:val="20"/>
                <w:lang w:val="en-CA"/>
              </w:rPr>
              <w:t xml:space="preserve"> under s. 19.1(3) of the </w:t>
            </w:r>
            <w:r w:rsidRPr="00C51ECB">
              <w:rPr>
                <w:i/>
                <w:sz w:val="20"/>
                <w:lang w:val="en-CA"/>
              </w:rPr>
              <w:t>Controlled Drugs and Substances Act</w:t>
            </w:r>
            <w:r w:rsidRPr="00C51ECB">
              <w:rPr>
                <w:iCs/>
                <w:sz w:val="20"/>
                <w:lang w:val="en-CA"/>
              </w:rPr>
              <w:t xml:space="preserve">, S.C. 1996, c. 19. On appeal, Mr. Girard argued, among other things, that only partial forfeiture </w:t>
            </w:r>
            <w:proofErr w:type="gramStart"/>
            <w:r w:rsidRPr="00C51ECB">
              <w:rPr>
                <w:iCs/>
                <w:sz w:val="20"/>
                <w:lang w:val="en-CA"/>
              </w:rPr>
              <w:t>should have been ordered</w:t>
            </w:r>
            <w:proofErr w:type="gramEnd"/>
            <w:r w:rsidRPr="00C51ECB">
              <w:rPr>
                <w:iCs/>
                <w:sz w:val="20"/>
                <w:lang w:val="en-CA"/>
              </w:rPr>
              <w:t>. The Court of Appeal dismissed the appeal.</w:t>
            </w:r>
          </w:p>
          <w:p w:rsidR="00D84BE0" w:rsidRPr="00C51ECB" w:rsidRDefault="00D84BE0" w:rsidP="00465096">
            <w:pPr>
              <w:jc w:val="both"/>
              <w:rPr>
                <w:sz w:val="20"/>
                <w:lang w:val="en-CA"/>
              </w:rPr>
            </w:pPr>
          </w:p>
        </w:tc>
      </w:tr>
      <w:tr w:rsidR="00D84BE0" w:rsidRPr="00C51ECB" w:rsidTr="00E95A6A">
        <w:tc>
          <w:tcPr>
            <w:tcW w:w="2427" w:type="pct"/>
            <w:gridSpan w:val="2"/>
          </w:tcPr>
          <w:p w:rsidR="00D84BE0" w:rsidRPr="00C51ECB" w:rsidRDefault="00D84BE0" w:rsidP="00465096">
            <w:pPr>
              <w:jc w:val="both"/>
              <w:rPr>
                <w:sz w:val="20"/>
                <w:lang w:val="en-CA"/>
              </w:rPr>
            </w:pPr>
            <w:r w:rsidRPr="00C51ECB">
              <w:rPr>
                <w:sz w:val="20"/>
                <w:lang w:val="en-CA"/>
              </w:rPr>
              <w:t>March 16, 2018</w:t>
            </w:r>
          </w:p>
          <w:p w:rsidR="00D84BE0" w:rsidRPr="00C51ECB" w:rsidRDefault="00D84BE0" w:rsidP="00465096">
            <w:pPr>
              <w:jc w:val="both"/>
              <w:rPr>
                <w:sz w:val="20"/>
                <w:lang w:val="en-CA"/>
              </w:rPr>
            </w:pPr>
            <w:r w:rsidRPr="00C51ECB">
              <w:rPr>
                <w:sz w:val="20"/>
                <w:lang w:val="en-CA"/>
              </w:rPr>
              <w:t>Court of Québec</w:t>
            </w:r>
          </w:p>
          <w:p w:rsidR="00D84BE0" w:rsidRPr="00C51ECB" w:rsidRDefault="00D84BE0" w:rsidP="00465096">
            <w:pPr>
              <w:jc w:val="both"/>
              <w:rPr>
                <w:sz w:val="20"/>
                <w:lang w:val="en-CA"/>
              </w:rPr>
            </w:pPr>
            <w:r w:rsidRPr="00C51ECB">
              <w:rPr>
                <w:sz w:val="20"/>
                <w:lang w:val="en-CA"/>
              </w:rPr>
              <w:t>(Judge Boulet)</w:t>
            </w:r>
          </w:p>
          <w:p w:rsidR="00D84BE0" w:rsidRPr="00C51ECB" w:rsidRDefault="00D84BE0" w:rsidP="00465096">
            <w:pPr>
              <w:jc w:val="both"/>
              <w:rPr>
                <w:sz w:val="20"/>
                <w:lang w:val="en-CA"/>
              </w:rPr>
            </w:pPr>
          </w:p>
        </w:tc>
        <w:tc>
          <w:tcPr>
            <w:tcW w:w="243" w:type="pct"/>
          </w:tcPr>
          <w:p w:rsidR="00D84BE0" w:rsidRPr="00C51ECB" w:rsidRDefault="00D84BE0" w:rsidP="00465096">
            <w:pPr>
              <w:jc w:val="both"/>
              <w:rPr>
                <w:sz w:val="20"/>
                <w:lang w:val="en-CA"/>
              </w:rPr>
            </w:pPr>
          </w:p>
        </w:tc>
        <w:tc>
          <w:tcPr>
            <w:tcW w:w="2330" w:type="pct"/>
          </w:tcPr>
          <w:p w:rsidR="00D84BE0" w:rsidRPr="00C51ECB" w:rsidRDefault="00D84BE0" w:rsidP="00465096">
            <w:pPr>
              <w:jc w:val="both"/>
              <w:rPr>
                <w:sz w:val="20"/>
                <w:lang w:val="en-CA"/>
              </w:rPr>
            </w:pPr>
            <w:r w:rsidRPr="00C51ECB">
              <w:rPr>
                <w:sz w:val="20"/>
                <w:lang w:val="en-CA"/>
              </w:rPr>
              <w:t xml:space="preserve">Full forfeiture of applicant’s residence ordered (s. 19.1(3) of </w:t>
            </w:r>
            <w:r w:rsidRPr="00C51ECB">
              <w:rPr>
                <w:i/>
                <w:sz w:val="20"/>
                <w:lang w:val="en-CA"/>
              </w:rPr>
              <w:t>Controlled Drugs and Substances Act</w:t>
            </w:r>
            <w:r w:rsidRPr="00C51ECB">
              <w:rPr>
                <w:sz w:val="20"/>
                <w:lang w:val="en-CA"/>
              </w:rPr>
              <w:t>)</w:t>
            </w:r>
          </w:p>
          <w:p w:rsidR="00D84BE0" w:rsidRPr="00C51ECB" w:rsidRDefault="00D84BE0" w:rsidP="00465096">
            <w:pPr>
              <w:jc w:val="both"/>
              <w:rPr>
                <w:sz w:val="20"/>
                <w:lang w:val="en-CA"/>
              </w:rPr>
            </w:pPr>
          </w:p>
        </w:tc>
      </w:tr>
      <w:tr w:rsidR="00D84BE0" w:rsidRPr="00C51ECB" w:rsidTr="00E95A6A">
        <w:tc>
          <w:tcPr>
            <w:tcW w:w="2427" w:type="pct"/>
            <w:gridSpan w:val="2"/>
          </w:tcPr>
          <w:p w:rsidR="00D84BE0" w:rsidRPr="00C51ECB" w:rsidRDefault="00D84BE0" w:rsidP="00465096">
            <w:pPr>
              <w:jc w:val="both"/>
              <w:rPr>
                <w:sz w:val="20"/>
                <w:lang w:val="en-CA"/>
              </w:rPr>
            </w:pPr>
            <w:r w:rsidRPr="00C51ECB">
              <w:rPr>
                <w:sz w:val="20"/>
                <w:lang w:val="en-CA"/>
              </w:rPr>
              <w:t>November 20, 2018</w:t>
            </w:r>
          </w:p>
          <w:p w:rsidR="00D84BE0" w:rsidRPr="00C51ECB" w:rsidRDefault="00D84BE0" w:rsidP="00465096">
            <w:pPr>
              <w:jc w:val="both"/>
              <w:rPr>
                <w:sz w:val="20"/>
                <w:lang w:val="en-CA"/>
              </w:rPr>
            </w:pPr>
            <w:r w:rsidRPr="00C51ECB">
              <w:rPr>
                <w:sz w:val="20"/>
                <w:lang w:val="en-CA"/>
              </w:rPr>
              <w:t>Quebec Court of Appeal (Québec)</w:t>
            </w:r>
          </w:p>
          <w:p w:rsidR="00D84BE0" w:rsidRPr="00C51ECB" w:rsidRDefault="00D84BE0" w:rsidP="00465096">
            <w:pPr>
              <w:jc w:val="both"/>
              <w:rPr>
                <w:sz w:val="20"/>
                <w:lang w:val="en-CA"/>
              </w:rPr>
            </w:pPr>
            <w:r w:rsidRPr="00C51ECB">
              <w:rPr>
                <w:sz w:val="20"/>
                <w:lang w:val="en-CA"/>
              </w:rPr>
              <w:t>(Morissette, Bouchard and Ruel JJ.A.)</w:t>
            </w:r>
          </w:p>
          <w:p w:rsidR="00D84BE0" w:rsidRPr="00C51ECB" w:rsidRDefault="00C51ECB" w:rsidP="00465096">
            <w:pPr>
              <w:jc w:val="both"/>
              <w:rPr>
                <w:sz w:val="20"/>
                <w:lang w:val="en-CA"/>
              </w:rPr>
            </w:pPr>
            <w:hyperlink r:id="rId21" w:history="1">
              <w:r w:rsidR="00D84BE0" w:rsidRPr="00C51ECB">
                <w:rPr>
                  <w:rStyle w:val="Hyperlink"/>
                  <w:sz w:val="20"/>
                  <w:lang w:val="en-CA"/>
                </w:rPr>
                <w:t>2018 QCCA 1961</w:t>
              </w:r>
            </w:hyperlink>
          </w:p>
          <w:p w:rsidR="00D84BE0" w:rsidRPr="00C51ECB" w:rsidRDefault="00D84BE0" w:rsidP="00465096">
            <w:pPr>
              <w:jc w:val="both"/>
              <w:rPr>
                <w:sz w:val="20"/>
                <w:lang w:val="en-CA"/>
              </w:rPr>
            </w:pPr>
          </w:p>
        </w:tc>
        <w:tc>
          <w:tcPr>
            <w:tcW w:w="243" w:type="pct"/>
          </w:tcPr>
          <w:p w:rsidR="00D84BE0" w:rsidRPr="00C51ECB" w:rsidRDefault="00D84BE0" w:rsidP="00465096">
            <w:pPr>
              <w:jc w:val="both"/>
              <w:rPr>
                <w:sz w:val="20"/>
                <w:lang w:val="en-CA"/>
              </w:rPr>
            </w:pPr>
          </w:p>
        </w:tc>
        <w:tc>
          <w:tcPr>
            <w:tcW w:w="2330" w:type="pct"/>
          </w:tcPr>
          <w:p w:rsidR="00D84BE0" w:rsidRPr="00C51ECB" w:rsidRDefault="00D84BE0" w:rsidP="00465096">
            <w:pPr>
              <w:jc w:val="both"/>
              <w:rPr>
                <w:sz w:val="20"/>
                <w:lang w:val="en-CA"/>
              </w:rPr>
            </w:pPr>
            <w:r w:rsidRPr="00C51ECB">
              <w:rPr>
                <w:sz w:val="20"/>
                <w:lang w:val="en-CA"/>
              </w:rPr>
              <w:t>Appeal dismissed</w:t>
            </w:r>
          </w:p>
          <w:p w:rsidR="00D84BE0" w:rsidRPr="00C51ECB" w:rsidRDefault="00D84BE0" w:rsidP="00465096">
            <w:pPr>
              <w:jc w:val="both"/>
              <w:rPr>
                <w:sz w:val="20"/>
                <w:lang w:val="en-CA"/>
              </w:rPr>
            </w:pPr>
          </w:p>
        </w:tc>
      </w:tr>
      <w:tr w:rsidR="00D84BE0" w:rsidRPr="00C51ECB" w:rsidTr="00E95A6A">
        <w:tc>
          <w:tcPr>
            <w:tcW w:w="2427" w:type="pct"/>
            <w:gridSpan w:val="2"/>
          </w:tcPr>
          <w:p w:rsidR="00D84BE0" w:rsidRPr="00C51ECB" w:rsidRDefault="00D84BE0" w:rsidP="00465096">
            <w:pPr>
              <w:jc w:val="both"/>
              <w:rPr>
                <w:sz w:val="20"/>
                <w:lang w:val="en-CA"/>
              </w:rPr>
            </w:pPr>
            <w:r w:rsidRPr="00C51ECB">
              <w:rPr>
                <w:sz w:val="20"/>
                <w:lang w:val="en-CA"/>
              </w:rPr>
              <w:t>January 18, 2019</w:t>
            </w:r>
          </w:p>
          <w:p w:rsidR="00D84BE0" w:rsidRPr="00C51ECB" w:rsidRDefault="00D84BE0" w:rsidP="00465096">
            <w:pPr>
              <w:jc w:val="both"/>
              <w:rPr>
                <w:sz w:val="20"/>
                <w:lang w:val="en-CA"/>
              </w:rPr>
            </w:pPr>
            <w:r w:rsidRPr="00C51ECB">
              <w:rPr>
                <w:sz w:val="20"/>
                <w:lang w:val="en-CA"/>
              </w:rPr>
              <w:t>Supreme Court of Canada</w:t>
            </w:r>
          </w:p>
        </w:tc>
        <w:tc>
          <w:tcPr>
            <w:tcW w:w="243" w:type="pct"/>
          </w:tcPr>
          <w:p w:rsidR="00D84BE0" w:rsidRPr="00C51ECB" w:rsidRDefault="00D84BE0" w:rsidP="00465096">
            <w:pPr>
              <w:jc w:val="both"/>
              <w:rPr>
                <w:sz w:val="20"/>
                <w:lang w:val="en-CA"/>
              </w:rPr>
            </w:pPr>
          </w:p>
        </w:tc>
        <w:tc>
          <w:tcPr>
            <w:tcW w:w="2330" w:type="pct"/>
          </w:tcPr>
          <w:p w:rsidR="00D84BE0" w:rsidRPr="00C51ECB" w:rsidRDefault="00D84BE0" w:rsidP="00465096">
            <w:pPr>
              <w:jc w:val="both"/>
              <w:rPr>
                <w:sz w:val="20"/>
                <w:lang w:val="en-CA"/>
              </w:rPr>
            </w:pPr>
            <w:r w:rsidRPr="00C51ECB">
              <w:rPr>
                <w:sz w:val="20"/>
                <w:lang w:val="en-CA"/>
              </w:rPr>
              <w:t>Application for leave to appeal filed</w:t>
            </w:r>
          </w:p>
          <w:p w:rsidR="00D84BE0" w:rsidRPr="00C51ECB" w:rsidRDefault="00D84BE0" w:rsidP="00465096">
            <w:pPr>
              <w:jc w:val="both"/>
              <w:rPr>
                <w:sz w:val="20"/>
                <w:lang w:val="en-CA"/>
              </w:rPr>
            </w:pPr>
          </w:p>
        </w:tc>
      </w:tr>
    </w:tbl>
    <w:p w:rsidR="00D84BE0" w:rsidRPr="00C51ECB" w:rsidRDefault="00D84BE0" w:rsidP="00465096">
      <w:pPr>
        <w:jc w:val="both"/>
        <w:rPr>
          <w:sz w:val="20"/>
          <w:lang w:val="en-CA"/>
        </w:rPr>
      </w:pPr>
    </w:p>
    <w:p w:rsidR="0084772C" w:rsidRPr="00C51ECB" w:rsidRDefault="0084772C" w:rsidP="00465096">
      <w:pPr>
        <w:jc w:val="both"/>
        <w:rPr>
          <w:sz w:val="20"/>
          <w:lang w:val="en-CA"/>
        </w:rPr>
      </w:pPr>
      <w:r w:rsidRPr="00C51ECB">
        <w:rPr>
          <w:sz w:val="20"/>
        </w:rPr>
        <w:pict>
          <v:rect id="_x0000_i1027" style="width:2in;height:1pt" o:hrpct="0" o:hralign="center" o:hrstd="t" o:hrnoshade="t" o:hr="t" fillcolor="black [3213]" stroked="f"/>
        </w:pict>
      </w:r>
    </w:p>
    <w:p w:rsidR="0084772C" w:rsidRPr="00C51ECB" w:rsidRDefault="0084772C" w:rsidP="004650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rPr>
            </w:pPr>
            <w:r w:rsidRPr="00C51ECB">
              <w:rPr>
                <w:rStyle w:val="SCCFileNumberChar"/>
                <w:sz w:val="20"/>
                <w:szCs w:val="20"/>
              </w:rPr>
              <w:t>38482</w:t>
            </w:r>
          </w:p>
        </w:tc>
        <w:tc>
          <w:tcPr>
            <w:tcW w:w="4457" w:type="pct"/>
            <w:gridSpan w:val="3"/>
          </w:tcPr>
          <w:p w:rsidR="00D84BE0" w:rsidRPr="00C51ECB" w:rsidRDefault="00D84BE0" w:rsidP="00465096">
            <w:pPr>
              <w:pStyle w:val="SCCLsocParty"/>
              <w:jc w:val="both"/>
              <w:rPr>
                <w:b/>
                <w:sz w:val="20"/>
                <w:szCs w:val="20"/>
              </w:rPr>
            </w:pPr>
            <w:r w:rsidRPr="00C51ECB">
              <w:rPr>
                <w:b/>
                <w:sz w:val="20"/>
                <w:szCs w:val="20"/>
              </w:rPr>
              <w:t>Richard Girard c. Procureure générale du Québec, Officier de la publicité foncière</w:t>
            </w:r>
          </w:p>
          <w:p w:rsidR="00D84BE0" w:rsidRPr="00C51ECB" w:rsidRDefault="00D84BE0" w:rsidP="00465096">
            <w:pPr>
              <w:jc w:val="both"/>
              <w:rPr>
                <w:sz w:val="20"/>
              </w:rPr>
            </w:pPr>
            <w:r w:rsidRPr="00C51ECB">
              <w:rPr>
                <w:sz w:val="20"/>
              </w:rPr>
              <w:t>(Qc) (Criminelle) (Autorisation)</w:t>
            </w:r>
          </w:p>
        </w:tc>
      </w:tr>
      <w:tr w:rsidR="00D84BE0" w:rsidRPr="00C51ECB" w:rsidTr="00E95A6A">
        <w:tc>
          <w:tcPr>
            <w:tcW w:w="5000" w:type="pct"/>
            <w:gridSpan w:val="4"/>
          </w:tcPr>
          <w:p w:rsidR="00D84BE0" w:rsidRPr="00C51ECB" w:rsidRDefault="00D84BE0" w:rsidP="00465096">
            <w:pPr>
              <w:jc w:val="both"/>
              <w:rPr>
                <w:sz w:val="20"/>
                <w:lang w:val="fr-CA"/>
              </w:rPr>
            </w:pPr>
            <w:r w:rsidRPr="00C51ECB">
              <w:rPr>
                <w:iCs/>
                <w:sz w:val="20"/>
                <w:lang w:val="fr-CA"/>
              </w:rPr>
              <w:t xml:space="preserve">Droit criminel — Drogues et autres substances réglementées — Ordonnances de confiscation — Le par. 19.1(3) de la </w:t>
            </w:r>
            <w:r w:rsidRPr="00C51ECB">
              <w:rPr>
                <w:i/>
                <w:iCs/>
                <w:sz w:val="20"/>
                <w:lang w:val="fr-CA"/>
              </w:rPr>
              <w:t>Loi réglementant certaines drogues et autres substances</w:t>
            </w:r>
            <w:r w:rsidRPr="00C51ECB">
              <w:rPr>
                <w:iCs/>
                <w:sz w:val="20"/>
                <w:lang w:val="fr-CA"/>
              </w:rPr>
              <w:t>, L.C. 1996, ch. 19, impose</w:t>
            </w:r>
            <w:r w:rsidRPr="00C51ECB">
              <w:rPr>
                <w:iCs/>
                <w:sz w:val="20"/>
                <w:lang w:val="fr-CA"/>
              </w:rPr>
              <w:noBreakHyphen/>
              <w:t>t</w:t>
            </w:r>
            <w:r w:rsidRPr="00C51ECB">
              <w:rPr>
                <w:iCs/>
                <w:sz w:val="20"/>
                <w:lang w:val="fr-CA"/>
              </w:rPr>
              <w:noBreakHyphen/>
              <w:t>il à l’accusé de démontrer le caractère déraisonnable de la confiscation totale de son bien infractionnel? — Le juge a</w:t>
            </w:r>
            <w:r w:rsidRPr="00C51ECB">
              <w:rPr>
                <w:iCs/>
                <w:sz w:val="20"/>
                <w:lang w:val="fr-CA"/>
              </w:rPr>
              <w:noBreakHyphen/>
              <w:t>t</w:t>
            </w:r>
            <w:r w:rsidRPr="00C51ECB">
              <w:rPr>
                <w:iCs/>
                <w:sz w:val="20"/>
                <w:lang w:val="fr-CA"/>
              </w:rPr>
              <w:noBreakHyphen/>
              <w:t xml:space="preserve">il commis des erreurs de principe dans l’application des critères énoncés dans l’arrêt </w:t>
            </w:r>
            <w:r w:rsidRPr="00C51ECB">
              <w:rPr>
                <w:i/>
                <w:iCs/>
                <w:sz w:val="20"/>
                <w:lang w:val="fr-CA"/>
              </w:rPr>
              <w:t>R. c. Craig</w:t>
            </w:r>
            <w:r w:rsidRPr="00C51ECB">
              <w:rPr>
                <w:iCs/>
                <w:sz w:val="20"/>
                <w:lang w:val="fr-CA"/>
              </w:rPr>
              <w:t>, 2009 CSC 23, [2009] 1 R.C.S. 762?</w:t>
            </w:r>
          </w:p>
        </w:tc>
      </w:tr>
      <w:tr w:rsidR="00D84BE0" w:rsidRPr="00C51ECB" w:rsidTr="00E95A6A">
        <w:tc>
          <w:tcPr>
            <w:tcW w:w="5000" w:type="pct"/>
            <w:gridSpan w:val="4"/>
          </w:tcPr>
          <w:p w:rsidR="00D84BE0" w:rsidRPr="00C51ECB" w:rsidRDefault="00D84BE0" w:rsidP="00465096">
            <w:pPr>
              <w:jc w:val="both"/>
              <w:rPr>
                <w:sz w:val="20"/>
                <w:lang w:val="fr-CA"/>
              </w:rPr>
            </w:pPr>
          </w:p>
        </w:tc>
      </w:tr>
      <w:tr w:rsidR="00D84BE0" w:rsidRPr="00C51ECB" w:rsidTr="00E95A6A">
        <w:tc>
          <w:tcPr>
            <w:tcW w:w="5000" w:type="pct"/>
            <w:gridSpan w:val="4"/>
          </w:tcPr>
          <w:p w:rsidR="00D84BE0" w:rsidRPr="00C51ECB" w:rsidRDefault="00D84BE0" w:rsidP="00465096">
            <w:pPr>
              <w:jc w:val="both"/>
              <w:rPr>
                <w:sz w:val="20"/>
              </w:rPr>
            </w:pPr>
            <w:r w:rsidRPr="00C51ECB">
              <w:rPr>
                <w:sz w:val="20"/>
                <w:lang w:val="fr-CA"/>
              </w:rPr>
              <w:t xml:space="preserve">Monsieur Girard, demandeur, a été déclaré coupable de complot pour trafic de cocaïne, complot pour trafic d’une somme d’argent d’une valeur dépassant 5000 $, trafic de cocaïne, trafic d’une somme d’argent d’une valeur dépassant 5000$ et possession en vue de trafic de cannabis. Il a été condamné à quatre ans d’emprisonnement. La résidence de M. Girard étant un bien infractionnel, sa confiscation totale a été ordonnée en vertu du par. 19.1(3) de la </w:t>
            </w:r>
            <w:r w:rsidRPr="00C51ECB">
              <w:rPr>
                <w:i/>
                <w:iCs/>
                <w:sz w:val="20"/>
                <w:lang w:val="fr-CA"/>
              </w:rPr>
              <w:t>Loi réglementant certaines drogues et autres substances</w:t>
            </w:r>
            <w:r w:rsidRPr="00C51ECB">
              <w:rPr>
                <w:iCs/>
                <w:sz w:val="20"/>
                <w:lang w:val="fr-CA"/>
              </w:rPr>
              <w:t xml:space="preserve">, L.C. 1996, ch. 19. En appel, M. Girard a plaidé entre autres que seule la confiscation partielle aurait dû être ordonnée. </w:t>
            </w:r>
            <w:r w:rsidRPr="00C51ECB">
              <w:rPr>
                <w:iCs/>
                <w:sz w:val="20"/>
              </w:rPr>
              <w:t>La Cour d’appel a rejeté l’appel.</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Le 16 mars 2018</w:t>
            </w:r>
          </w:p>
          <w:p w:rsidR="00D84BE0" w:rsidRPr="00C51ECB" w:rsidRDefault="00D84BE0" w:rsidP="00465096">
            <w:pPr>
              <w:jc w:val="both"/>
              <w:rPr>
                <w:sz w:val="20"/>
                <w:lang w:val="fr-CA"/>
              </w:rPr>
            </w:pPr>
            <w:r w:rsidRPr="00C51ECB">
              <w:rPr>
                <w:sz w:val="20"/>
                <w:lang w:val="fr-CA"/>
              </w:rPr>
              <w:t>Cour du Québec</w:t>
            </w:r>
          </w:p>
          <w:p w:rsidR="00D84BE0" w:rsidRPr="00C51ECB" w:rsidRDefault="00D84BE0" w:rsidP="00465096">
            <w:pPr>
              <w:jc w:val="both"/>
              <w:rPr>
                <w:sz w:val="20"/>
                <w:lang w:val="fr-CA"/>
              </w:rPr>
            </w:pPr>
            <w:r w:rsidRPr="00C51ECB">
              <w:rPr>
                <w:sz w:val="20"/>
                <w:lang w:val="fr-CA"/>
              </w:rPr>
              <w:t>(Le juge Boulet)</w:t>
            </w:r>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 xml:space="preserve">Confiscation totale de la résidence du demandeur ordonnée (par. 19.1(3) de la </w:t>
            </w:r>
            <w:r w:rsidRPr="00C51ECB">
              <w:rPr>
                <w:i/>
                <w:sz w:val="20"/>
                <w:lang w:val="fr-CA"/>
              </w:rPr>
              <w:t>Loi réglementant certaines drogues et autres substances</w:t>
            </w:r>
            <w:r w:rsidRPr="00C51ECB">
              <w:rPr>
                <w:sz w:val="20"/>
                <w:lang w:val="fr-CA"/>
              </w:rPr>
              <w:t>)</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lastRenderedPageBreak/>
              <w:t>Le 20 novembre 2018</w:t>
            </w:r>
          </w:p>
          <w:p w:rsidR="00D84BE0" w:rsidRPr="00C51ECB" w:rsidRDefault="00D84BE0" w:rsidP="00465096">
            <w:pPr>
              <w:jc w:val="both"/>
              <w:rPr>
                <w:sz w:val="20"/>
                <w:lang w:val="fr-CA"/>
              </w:rPr>
            </w:pPr>
            <w:r w:rsidRPr="00C51ECB">
              <w:rPr>
                <w:sz w:val="20"/>
                <w:lang w:val="fr-CA"/>
              </w:rPr>
              <w:t>Cour d’appel du Québec (Québec)</w:t>
            </w:r>
          </w:p>
          <w:p w:rsidR="00D84BE0" w:rsidRPr="00C51ECB" w:rsidRDefault="00D84BE0" w:rsidP="00465096">
            <w:pPr>
              <w:jc w:val="both"/>
              <w:rPr>
                <w:sz w:val="20"/>
                <w:lang w:val="fr-CA"/>
              </w:rPr>
            </w:pPr>
            <w:r w:rsidRPr="00C51ECB">
              <w:rPr>
                <w:sz w:val="20"/>
                <w:lang w:val="fr-CA"/>
              </w:rPr>
              <w:t>(Les juges Morissette, Bouchard et Ruel)</w:t>
            </w:r>
          </w:p>
          <w:p w:rsidR="00D84BE0" w:rsidRPr="00C51ECB" w:rsidRDefault="00C51ECB" w:rsidP="00465096">
            <w:pPr>
              <w:jc w:val="both"/>
              <w:rPr>
                <w:sz w:val="20"/>
              </w:rPr>
            </w:pPr>
            <w:hyperlink r:id="rId22" w:history="1">
              <w:r w:rsidR="00D84BE0" w:rsidRPr="00C51ECB">
                <w:rPr>
                  <w:rStyle w:val="Hyperlink"/>
                  <w:sz w:val="20"/>
                </w:rPr>
                <w:t>2018 QCCA 1961</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Appel rejeté</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Le 18 janvier 2019</w:t>
            </w:r>
          </w:p>
          <w:p w:rsidR="00D84BE0" w:rsidRPr="00C51ECB" w:rsidRDefault="00D84BE0" w:rsidP="00465096">
            <w:pPr>
              <w:jc w:val="both"/>
              <w:rPr>
                <w:sz w:val="20"/>
                <w:lang w:val="fr-CA"/>
              </w:rPr>
            </w:pPr>
            <w:r w:rsidRPr="00C51ECB">
              <w:rPr>
                <w:sz w:val="20"/>
                <w:lang w:val="fr-CA"/>
              </w:rPr>
              <w:t>Cour suprême du Canada</w:t>
            </w: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rPr>
            </w:pPr>
            <w:r w:rsidRPr="00C51ECB">
              <w:rPr>
                <w:sz w:val="20"/>
              </w:rPr>
              <w:t xml:space="preserve">Demande d'autorisation d'appel </w:t>
            </w:r>
            <w:proofErr w:type="spellStart"/>
            <w:r w:rsidRPr="00C51ECB">
              <w:rPr>
                <w:sz w:val="20"/>
              </w:rPr>
              <w:t>déposée</w:t>
            </w:r>
            <w:proofErr w:type="spellEnd"/>
          </w:p>
          <w:p w:rsidR="00D84BE0" w:rsidRPr="00C51ECB" w:rsidRDefault="00D84BE0" w:rsidP="00465096">
            <w:pPr>
              <w:jc w:val="both"/>
              <w:rPr>
                <w:sz w:val="20"/>
              </w:rPr>
            </w:pPr>
          </w:p>
        </w:tc>
      </w:tr>
    </w:tbl>
    <w:p w:rsidR="00D84BE0" w:rsidRPr="00C51ECB" w:rsidRDefault="00D84BE0" w:rsidP="00465096">
      <w:pPr>
        <w:jc w:val="both"/>
        <w:rPr>
          <w:sz w:val="20"/>
        </w:rPr>
      </w:pPr>
    </w:p>
    <w:p w:rsidR="0084772C" w:rsidRPr="00C51ECB" w:rsidRDefault="0084772C" w:rsidP="00465096">
      <w:pPr>
        <w:jc w:val="both"/>
        <w:rPr>
          <w:sz w:val="20"/>
        </w:rPr>
      </w:pPr>
      <w:r w:rsidRPr="00C51ECB">
        <w:rPr>
          <w:sz w:val="20"/>
        </w:rPr>
        <w:pict>
          <v:rect id="_x0000_i1028" style="width:2in;height:1pt" o:hrpct="0" o:hralign="center" o:hrstd="t" o:hrnoshade="t" o:hr="t" fillcolor="black [3213]" stroked="f"/>
        </w:pict>
      </w:r>
    </w:p>
    <w:p w:rsidR="00D84BE0" w:rsidRPr="00C51ECB" w:rsidRDefault="00D84BE0" w:rsidP="00465096">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rPr>
            </w:pPr>
            <w:r w:rsidRPr="00C51ECB">
              <w:rPr>
                <w:rStyle w:val="SCCFileNumberChar"/>
                <w:sz w:val="20"/>
                <w:szCs w:val="20"/>
              </w:rPr>
              <w:t>38549</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 xml:space="preserve">Fort </w:t>
            </w:r>
            <w:proofErr w:type="spellStart"/>
            <w:r w:rsidRPr="00C51ECB">
              <w:rPr>
                <w:b/>
                <w:sz w:val="20"/>
                <w:szCs w:val="20"/>
                <w:lang w:val="en-US"/>
              </w:rPr>
              <w:t>Mckay</w:t>
            </w:r>
            <w:proofErr w:type="spellEnd"/>
            <w:r w:rsidRPr="00C51ECB">
              <w:rPr>
                <w:b/>
                <w:sz w:val="20"/>
                <w:szCs w:val="20"/>
                <w:lang w:val="en-US"/>
              </w:rPr>
              <w:t xml:space="preserve"> Métis Community Association v. Alberta Energy Regulator, Prosper Petroleum Ltd.</w:t>
            </w:r>
          </w:p>
          <w:p w:rsidR="00D84BE0" w:rsidRPr="00C51ECB" w:rsidRDefault="00D84BE0" w:rsidP="00465096">
            <w:pPr>
              <w:jc w:val="both"/>
              <w:rPr>
                <w:sz w:val="20"/>
              </w:rPr>
            </w:pPr>
            <w:r w:rsidRPr="00C51ECB">
              <w:rPr>
                <w:sz w:val="20"/>
              </w:rPr>
              <w:t>(Alta.) (Civil) (By Leave)</w:t>
            </w:r>
          </w:p>
        </w:tc>
      </w:tr>
      <w:tr w:rsidR="00D84BE0" w:rsidRPr="00C51ECB" w:rsidTr="00E95A6A">
        <w:tc>
          <w:tcPr>
            <w:tcW w:w="5000" w:type="pct"/>
            <w:gridSpan w:val="4"/>
          </w:tcPr>
          <w:p w:rsidR="00D84BE0" w:rsidRPr="00C51ECB" w:rsidRDefault="00D84BE0" w:rsidP="00465096">
            <w:pPr>
              <w:jc w:val="both"/>
              <w:rPr>
                <w:sz w:val="20"/>
              </w:rPr>
            </w:pPr>
            <w:r w:rsidRPr="00C51ECB">
              <w:rPr>
                <w:sz w:val="20"/>
              </w:rPr>
              <w:t>Constitutional law — Aboriginal peoples — Treaty rights — Natural resources — Oil and gas — Whether specific guidance should be given to decision</w:t>
            </w:r>
            <w:r w:rsidRPr="00C51ECB">
              <w:rPr>
                <w:sz w:val="20"/>
              </w:rPr>
              <w:noBreakHyphen/>
              <w:t>makers on the acceptance, priority and weight of evidence of Indigenous traditional knowledge when assessing potential adverse impacts on Aboriginal or treaty rights — Whether evidence of Indigenous traditional knowledge requires justification or corroboration from “western” science evidence when assessing adverse impacts to Aboriginal or treaty rights.</w:t>
            </w:r>
          </w:p>
        </w:tc>
      </w:tr>
      <w:tr w:rsidR="00D84BE0" w:rsidRPr="00C51ECB" w:rsidTr="00E95A6A">
        <w:tc>
          <w:tcPr>
            <w:tcW w:w="5000" w:type="pct"/>
            <w:gridSpan w:val="4"/>
          </w:tcPr>
          <w:p w:rsidR="00D84BE0" w:rsidRPr="00C51ECB" w:rsidRDefault="00D84BE0" w:rsidP="00465096">
            <w:pPr>
              <w:jc w:val="both"/>
              <w:rPr>
                <w:sz w:val="20"/>
              </w:rPr>
            </w:pPr>
          </w:p>
        </w:tc>
      </w:tr>
      <w:tr w:rsidR="00D84BE0" w:rsidRPr="00C51ECB" w:rsidTr="00E95A6A">
        <w:tc>
          <w:tcPr>
            <w:tcW w:w="5000" w:type="pct"/>
            <w:gridSpan w:val="4"/>
          </w:tcPr>
          <w:p w:rsidR="00D84BE0" w:rsidRPr="00C51ECB" w:rsidRDefault="00D84BE0" w:rsidP="00465096">
            <w:pPr>
              <w:jc w:val="both"/>
              <w:rPr>
                <w:sz w:val="20"/>
              </w:rPr>
            </w:pPr>
            <w:r w:rsidRPr="00C51ECB">
              <w:rPr>
                <w:sz w:val="20"/>
              </w:rPr>
              <w:t xml:space="preserve">Prosper Petroleum Ltd. is the proponent of a bitumen recovery project that will operate within 10 km of two of the Fort McKay First Nation’s reserves. In 2015, Prosper applied to the Alberta Energy Regulator (“AER”) for approval of the Project under the </w:t>
            </w:r>
            <w:r w:rsidRPr="00C51ECB">
              <w:rPr>
                <w:i/>
                <w:sz w:val="20"/>
              </w:rPr>
              <w:t>Oil Sands Conservation Act</w:t>
            </w:r>
            <w:r w:rsidRPr="00C51ECB">
              <w:rPr>
                <w:sz w:val="20"/>
              </w:rPr>
              <w:t>, R.S.A. 2000, c. O</w:t>
            </w:r>
            <w:r w:rsidRPr="00C51ECB">
              <w:rPr>
                <w:sz w:val="20"/>
              </w:rPr>
              <w:noBreakHyphen/>
              <w:t xml:space="preserve">7 (“OSCA”), the </w:t>
            </w:r>
            <w:r w:rsidRPr="00C51ECB">
              <w:rPr>
                <w:i/>
                <w:sz w:val="20"/>
              </w:rPr>
              <w:t>Environmental Protection and Enhancement Act</w:t>
            </w:r>
            <w:r w:rsidRPr="00C51ECB">
              <w:rPr>
                <w:sz w:val="20"/>
              </w:rPr>
              <w:t>, R.S.A. 2000, c. E</w:t>
            </w:r>
            <w:r w:rsidRPr="00C51ECB">
              <w:rPr>
                <w:sz w:val="20"/>
              </w:rPr>
              <w:noBreakHyphen/>
              <w:t xml:space="preserve">12 (“EPEA”), and the </w:t>
            </w:r>
            <w:r w:rsidRPr="00C51ECB">
              <w:rPr>
                <w:i/>
                <w:sz w:val="20"/>
              </w:rPr>
              <w:t>Water Act</w:t>
            </w:r>
            <w:r w:rsidRPr="00C51ECB">
              <w:rPr>
                <w:sz w:val="20"/>
              </w:rPr>
              <w:t>, R.S.A. 2000, c. W</w:t>
            </w:r>
            <w:r w:rsidRPr="00C51ECB">
              <w:rPr>
                <w:sz w:val="20"/>
              </w:rPr>
              <w:noBreakHyphen/>
              <w:t xml:space="preserve">3. Fort McKay filed an objection to the </w:t>
            </w:r>
            <w:r w:rsidRPr="00C51ECB">
              <w:rPr>
                <w:i/>
                <w:sz w:val="20"/>
              </w:rPr>
              <w:t>Water Act</w:t>
            </w:r>
            <w:r w:rsidRPr="00C51ECB">
              <w:rPr>
                <w:sz w:val="20"/>
              </w:rPr>
              <w:t xml:space="preserve"> application based on impacts to the groundwater and the surface water.</w:t>
            </w:r>
          </w:p>
          <w:p w:rsidR="00D84BE0" w:rsidRPr="00C51ECB" w:rsidRDefault="00D84BE0" w:rsidP="00465096">
            <w:pPr>
              <w:jc w:val="both"/>
              <w:rPr>
                <w:sz w:val="20"/>
              </w:rPr>
            </w:pPr>
          </w:p>
          <w:p w:rsidR="00D84BE0" w:rsidRPr="00C51ECB" w:rsidRDefault="00D84BE0" w:rsidP="00465096">
            <w:pPr>
              <w:jc w:val="both"/>
              <w:rPr>
                <w:sz w:val="20"/>
              </w:rPr>
            </w:pPr>
            <w:r w:rsidRPr="00C51ECB">
              <w:rPr>
                <w:sz w:val="20"/>
              </w:rPr>
              <w:t xml:space="preserve">The AER allowed Fort McKay to participate fully in the hearing, and considered it to have rights to hunt and harvest for subsistence purposes and to exercise incidental activities on the lands and waters extending to lands included in the Prosper lease. The AER found that the Project was in the public interest, taking into account the burdens it placed on the Fort McKay Métis and the Fort McKay First Nation. While the Project might limit their choice of where and when to exercise their rights, those possible limitations did not tip the balance against the Project. The Project met the statutory goal of protecting the environment and promoting sustainable resource development while considering economic growth, and its surface water monitoring program exceeded the applicable regulatory requirements. It gave conditional approval to the applications under the OSCA, the EPEA, and the </w:t>
            </w:r>
            <w:r w:rsidRPr="00C51ECB">
              <w:rPr>
                <w:i/>
                <w:sz w:val="20"/>
              </w:rPr>
              <w:t>Water Act</w:t>
            </w:r>
            <w:r w:rsidRPr="00C51ECB">
              <w:rPr>
                <w:sz w:val="20"/>
              </w:rPr>
              <w:t>. As the approvals were conditional, Prosper was to seek input from the Fort McKay Métis and the Fort McKay First Nation before continuing with the development of its monitoring program, and the Project could not proceed without Cabinet approval. Fort McKay requested permission to appeal. When the Court of Appeal heard the application, Cabinet had not issued its decision on the Project. Permission was denied.</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January 16, 2019</w:t>
            </w:r>
          </w:p>
          <w:p w:rsidR="00D84BE0" w:rsidRPr="00C51ECB" w:rsidRDefault="00D84BE0" w:rsidP="00465096">
            <w:pPr>
              <w:jc w:val="both"/>
              <w:rPr>
                <w:sz w:val="20"/>
              </w:rPr>
            </w:pPr>
            <w:r w:rsidRPr="00C51ECB">
              <w:rPr>
                <w:sz w:val="20"/>
              </w:rPr>
              <w:t>Court of Appeal of Alberta (Edmonton)</w:t>
            </w:r>
          </w:p>
          <w:p w:rsidR="00D84BE0" w:rsidRPr="00C51ECB" w:rsidRDefault="00D84BE0" w:rsidP="00465096">
            <w:pPr>
              <w:jc w:val="both"/>
              <w:rPr>
                <w:sz w:val="20"/>
              </w:rPr>
            </w:pPr>
            <w:r w:rsidRPr="00C51ECB">
              <w:rPr>
                <w:sz w:val="20"/>
              </w:rPr>
              <w:t>(</w:t>
            </w:r>
            <w:proofErr w:type="spellStart"/>
            <w:r w:rsidRPr="00C51ECB">
              <w:rPr>
                <w:sz w:val="20"/>
              </w:rPr>
              <w:t>Khullar</w:t>
            </w:r>
            <w:proofErr w:type="spellEnd"/>
            <w:r w:rsidRPr="00C51ECB">
              <w:rPr>
                <w:sz w:val="20"/>
              </w:rPr>
              <w:t xml:space="preserve"> J.A.)</w:t>
            </w:r>
          </w:p>
          <w:p w:rsidR="00D84BE0" w:rsidRPr="00C51ECB" w:rsidRDefault="00C51ECB" w:rsidP="00465096">
            <w:pPr>
              <w:jc w:val="both"/>
              <w:rPr>
                <w:sz w:val="20"/>
              </w:rPr>
            </w:pPr>
            <w:hyperlink r:id="rId23" w:history="1">
              <w:r w:rsidR="00D84BE0" w:rsidRPr="00C51ECB">
                <w:rPr>
                  <w:rStyle w:val="Hyperlink"/>
                  <w:sz w:val="20"/>
                </w:rPr>
                <w:t>2019 ABCA 15</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Application for permission to appeal dismissed</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March 18, 2019</w:t>
            </w:r>
          </w:p>
          <w:p w:rsidR="00D84BE0" w:rsidRPr="00C51ECB" w:rsidRDefault="00D84BE0" w:rsidP="00465096">
            <w:pPr>
              <w:jc w:val="both"/>
              <w:rPr>
                <w:sz w:val="20"/>
              </w:rPr>
            </w:pPr>
            <w:r w:rsidRPr="00C51ECB">
              <w:rPr>
                <w:sz w:val="20"/>
              </w:rPr>
              <w:t>Supreme Court of Canada</w:t>
            </w: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Application for leave to appeal filed</w:t>
            </w:r>
          </w:p>
        </w:tc>
      </w:tr>
    </w:tbl>
    <w:p w:rsidR="00D84BE0" w:rsidRPr="00C51ECB" w:rsidRDefault="00D84BE0" w:rsidP="00465096">
      <w:pPr>
        <w:jc w:val="both"/>
        <w:rPr>
          <w:sz w:val="20"/>
        </w:rPr>
      </w:pPr>
    </w:p>
    <w:p w:rsidR="0084772C" w:rsidRPr="00C51ECB" w:rsidRDefault="0084772C" w:rsidP="00465096">
      <w:pPr>
        <w:jc w:val="both"/>
        <w:rPr>
          <w:sz w:val="20"/>
        </w:rPr>
      </w:pPr>
      <w:r w:rsidRPr="00C51ECB">
        <w:rPr>
          <w:sz w:val="20"/>
        </w:rPr>
        <w:pict>
          <v:rect id="_x0000_i1029"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lang w:val="fr-CA"/>
              </w:rPr>
            </w:pPr>
            <w:r w:rsidRPr="00C51ECB">
              <w:rPr>
                <w:rStyle w:val="SCCFileNumberChar"/>
                <w:sz w:val="20"/>
                <w:szCs w:val="20"/>
                <w:lang w:val="fr-CA"/>
              </w:rPr>
              <w:t>38549</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Fort McKay Métis Community Association c. Alberta Energy Regulator, Prosper Petroleum Ltd.</w:t>
            </w:r>
          </w:p>
          <w:p w:rsidR="00D84BE0" w:rsidRPr="00C51ECB" w:rsidRDefault="00D84BE0" w:rsidP="00465096">
            <w:pPr>
              <w:jc w:val="both"/>
              <w:rPr>
                <w:sz w:val="20"/>
                <w:lang w:val="fr-CA"/>
              </w:rPr>
            </w:pPr>
            <w:r w:rsidRPr="00C51ECB">
              <w:rPr>
                <w:sz w:val="20"/>
                <w:lang w:val="fr-CA"/>
              </w:rPr>
              <w:t>(Alb.) (Civile) (Autorisation)</w:t>
            </w: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Droit constitutionnel — Peuples autochtones — Droits issus de traités — Ressources naturelles — Pétrole et gaz — Quelles indications précises faut</w:t>
            </w:r>
            <w:r w:rsidRPr="00C51ECB">
              <w:rPr>
                <w:sz w:val="20"/>
                <w:lang w:val="fr-CA"/>
              </w:rPr>
              <w:noBreakHyphen/>
              <w:t xml:space="preserve">il donner aux décideurs à propos de l’acceptation, de la priorité et du poids de la preuve de connaissances autochtones traditionnelles dans l’évaluation des effets préjudiciables éventuels sur des </w:t>
            </w:r>
            <w:r w:rsidRPr="00C51ECB">
              <w:rPr>
                <w:sz w:val="20"/>
                <w:lang w:val="fr-CA"/>
              </w:rPr>
              <w:lastRenderedPageBreak/>
              <w:t>droits ancestraux ou issus de traités? — La preuve de connaissances autochtones traditionnelles doit</w:t>
            </w:r>
            <w:r w:rsidRPr="00C51ECB">
              <w:rPr>
                <w:sz w:val="20"/>
                <w:lang w:val="fr-CA"/>
              </w:rPr>
              <w:noBreakHyphen/>
              <w:t>elle être justifiée ou corroborée par une preuve fondée sur la science « occidentale » dans l’évaluation des effets préjudiciables sur les droits ancestraux ou issus de traités?</w:t>
            </w:r>
          </w:p>
        </w:tc>
      </w:tr>
      <w:tr w:rsidR="00D84BE0" w:rsidRPr="00C51ECB" w:rsidTr="00E95A6A">
        <w:tc>
          <w:tcPr>
            <w:tcW w:w="5000" w:type="pct"/>
            <w:gridSpan w:val="4"/>
          </w:tcPr>
          <w:p w:rsidR="00D84BE0" w:rsidRPr="00C51ECB" w:rsidRDefault="00D84BE0" w:rsidP="00465096">
            <w:pPr>
              <w:jc w:val="both"/>
              <w:rPr>
                <w:sz w:val="20"/>
                <w:lang w:val="fr-CA"/>
              </w:rPr>
            </w:pP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Prosper Petroleum Ltd. est le promoteur d’un projet de récupération de bitume qui sera exploité à moins de 10 km de deux réserves de la Première Nation de Fort McKay. En 2015, Prosper a présenté une demande à l’Alberta Energy Regulator (« AER ») pour l’approbation du projet en application de l’</w:t>
            </w:r>
            <w:r w:rsidRPr="00C51ECB">
              <w:rPr>
                <w:i/>
                <w:sz w:val="20"/>
                <w:lang w:val="fr-CA"/>
              </w:rPr>
              <w:t>Oil Sands Conservation Act</w:t>
            </w:r>
            <w:r w:rsidRPr="00C51ECB">
              <w:rPr>
                <w:sz w:val="20"/>
                <w:lang w:val="fr-CA"/>
              </w:rPr>
              <w:t>, R.S.A. 2000, ch. </w:t>
            </w:r>
            <w:r w:rsidRPr="00C51ECB">
              <w:rPr>
                <w:sz w:val="20"/>
              </w:rPr>
              <w:t>O</w:t>
            </w:r>
            <w:r w:rsidRPr="00C51ECB">
              <w:rPr>
                <w:sz w:val="20"/>
              </w:rPr>
              <w:noBreakHyphen/>
              <w:t xml:space="preserve">7 (« OSCA »), </w:t>
            </w:r>
            <w:proofErr w:type="spellStart"/>
            <w:r w:rsidRPr="00C51ECB">
              <w:rPr>
                <w:sz w:val="20"/>
              </w:rPr>
              <w:t>l’</w:t>
            </w:r>
            <w:r w:rsidRPr="00C51ECB">
              <w:rPr>
                <w:i/>
                <w:sz w:val="20"/>
              </w:rPr>
              <w:t>Environmental</w:t>
            </w:r>
            <w:proofErr w:type="spellEnd"/>
            <w:r w:rsidRPr="00C51ECB">
              <w:rPr>
                <w:i/>
                <w:sz w:val="20"/>
              </w:rPr>
              <w:t xml:space="preserve"> Protection and Enhancement Act</w:t>
            </w:r>
            <w:r w:rsidRPr="00C51ECB">
              <w:rPr>
                <w:sz w:val="20"/>
              </w:rPr>
              <w:t xml:space="preserve">, R.S.A. 2000, </w:t>
            </w:r>
            <w:proofErr w:type="spellStart"/>
            <w:r w:rsidRPr="00C51ECB">
              <w:rPr>
                <w:sz w:val="20"/>
              </w:rPr>
              <w:t>ch.</w:t>
            </w:r>
            <w:proofErr w:type="spellEnd"/>
            <w:r w:rsidRPr="00C51ECB">
              <w:rPr>
                <w:sz w:val="20"/>
              </w:rPr>
              <w:t> </w:t>
            </w:r>
            <w:r w:rsidRPr="00C51ECB">
              <w:rPr>
                <w:sz w:val="20"/>
                <w:lang w:val="fr-CA"/>
              </w:rPr>
              <w:t>E</w:t>
            </w:r>
            <w:r w:rsidRPr="00C51ECB">
              <w:rPr>
                <w:sz w:val="20"/>
                <w:lang w:val="fr-CA"/>
              </w:rPr>
              <w:noBreakHyphen/>
              <w:t xml:space="preserve">12 (« EPEA »), et la </w:t>
            </w:r>
            <w:r w:rsidRPr="00C51ECB">
              <w:rPr>
                <w:i/>
                <w:sz w:val="20"/>
                <w:lang w:val="fr-CA"/>
              </w:rPr>
              <w:t>Water Act</w:t>
            </w:r>
            <w:r w:rsidRPr="00C51ECB">
              <w:rPr>
                <w:sz w:val="20"/>
                <w:lang w:val="fr-CA"/>
              </w:rPr>
              <w:t>, R.S.A. 2000, ch. W</w:t>
            </w:r>
            <w:r w:rsidRPr="00C51ECB">
              <w:rPr>
                <w:sz w:val="20"/>
                <w:lang w:val="fr-CA"/>
              </w:rPr>
              <w:noBreakHyphen/>
              <w:t xml:space="preserve">3. Fort McKay a déposé une opposition à la demande en application de la </w:t>
            </w:r>
            <w:r w:rsidRPr="00C51ECB">
              <w:rPr>
                <w:i/>
                <w:sz w:val="20"/>
                <w:lang w:val="fr-CA"/>
              </w:rPr>
              <w:t>Water Act</w:t>
            </w:r>
            <w:r w:rsidRPr="00C51ECB">
              <w:rPr>
                <w:sz w:val="20"/>
                <w:lang w:val="fr-CA"/>
              </w:rPr>
              <w:t xml:space="preserve"> sur le fondement des effets sur l’eau souterraine et l’eau de surface.</w:t>
            </w:r>
          </w:p>
          <w:p w:rsidR="00D84BE0" w:rsidRPr="00C51ECB" w:rsidRDefault="00D84BE0" w:rsidP="00465096">
            <w:pPr>
              <w:jc w:val="both"/>
              <w:rPr>
                <w:sz w:val="20"/>
                <w:lang w:val="fr-CA"/>
              </w:rPr>
            </w:pPr>
          </w:p>
          <w:p w:rsidR="00D84BE0" w:rsidRPr="00C51ECB" w:rsidRDefault="00D84BE0" w:rsidP="00465096">
            <w:pPr>
              <w:jc w:val="both"/>
              <w:rPr>
                <w:sz w:val="20"/>
                <w:lang w:val="fr-CA"/>
              </w:rPr>
            </w:pPr>
            <w:r w:rsidRPr="00C51ECB">
              <w:rPr>
                <w:sz w:val="20"/>
                <w:lang w:val="fr-CA"/>
              </w:rPr>
              <w:t xml:space="preserve">L’AER a permis à Fort McKay de participer pleinement à l’audience et a estimé que Fort McKay était titulaire de droits de chasse et de récolte à des fins de subsistance et du droit d’exercer des activités accessoires sur les terres et les eaux se rendant aux terres comprises dans le bail de Prosper. L’AER a conclu que le projet était d’intérêt public, prenant en compte les fardeaux qu’il imposait aux Métis de Fort McKay et à la Première Nation de Fort McKay. Même si le projet était susceptible de limiter leur choix quant à l’endroit et au moment d’exercer leurs droits, ces restrictions éventuelles ne faisaient pas pencher la balance contre le projet. Le projet répondait à l’objectif législatif de protéger l’environnement et de promouvoir la mise en valeur durable des ressources, tout en prenant en compte la croissance économique, et son programme de surveillance de l’eau de surface surpassait les exigences réglementaires applicables. L’AER a approuvé conditionnellement les demandes en application de l’OSCA, de l’EPEA et de la </w:t>
            </w:r>
            <w:r w:rsidRPr="00C51ECB">
              <w:rPr>
                <w:i/>
                <w:sz w:val="20"/>
                <w:lang w:val="fr-CA"/>
              </w:rPr>
              <w:t>Water Act</w:t>
            </w:r>
            <w:r w:rsidRPr="00C51ECB">
              <w:rPr>
                <w:sz w:val="20"/>
                <w:lang w:val="fr-CA"/>
              </w:rPr>
              <w:t>. Puisque les approbations étaient conditionnelles, Prosper devait recueillir des commentaires des Métis de Fort McKay et de la Première Nation de Fort McKay avant de poursuivre le développement de son programme de surveillance et le projet ne pouvait aller de l’avant sans l’approbation du conseil des ministres. Fort McKay a demandé l’autorisation d’interjeter appel. Lorsque la Cour d’appel a instruit la demande, le conseil des ministres n’avait pas publié sa décision relativement au projet. L’autorisation a été refusée.</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16 janvier 2019</w:t>
            </w:r>
          </w:p>
          <w:p w:rsidR="00D84BE0" w:rsidRPr="00C51ECB" w:rsidRDefault="00D84BE0" w:rsidP="00465096">
            <w:pPr>
              <w:jc w:val="both"/>
              <w:rPr>
                <w:sz w:val="20"/>
                <w:lang w:val="fr-CA"/>
              </w:rPr>
            </w:pPr>
            <w:r w:rsidRPr="00C51ECB">
              <w:rPr>
                <w:sz w:val="20"/>
                <w:lang w:val="fr-CA"/>
              </w:rPr>
              <w:t>Cour d’appel de l’Alberta (Edmonton)</w:t>
            </w:r>
          </w:p>
          <w:p w:rsidR="00D84BE0" w:rsidRPr="00C51ECB" w:rsidRDefault="00D84BE0" w:rsidP="00465096">
            <w:pPr>
              <w:jc w:val="both"/>
              <w:rPr>
                <w:sz w:val="20"/>
                <w:lang w:val="fr-CA"/>
              </w:rPr>
            </w:pPr>
            <w:r w:rsidRPr="00C51ECB">
              <w:rPr>
                <w:sz w:val="20"/>
                <w:lang w:val="fr-CA"/>
              </w:rPr>
              <w:t>(Juge Khullar)</w:t>
            </w:r>
          </w:p>
          <w:p w:rsidR="00D84BE0" w:rsidRPr="00C51ECB" w:rsidRDefault="00C51ECB" w:rsidP="00465096">
            <w:pPr>
              <w:jc w:val="both"/>
              <w:rPr>
                <w:sz w:val="20"/>
                <w:lang w:val="fr-CA"/>
              </w:rPr>
            </w:pPr>
            <w:hyperlink r:id="rId24" w:history="1">
              <w:r w:rsidR="00D84BE0" w:rsidRPr="00C51ECB">
                <w:rPr>
                  <w:rStyle w:val="Hyperlink"/>
                  <w:sz w:val="20"/>
                  <w:lang w:val="fr-CA"/>
                </w:rPr>
                <w:t>2019 ABCA 15</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Rejet de la demande pour permission d’en appeler</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18 mars 2019</w:t>
            </w:r>
          </w:p>
          <w:p w:rsidR="00D84BE0" w:rsidRPr="00C51ECB" w:rsidRDefault="00D84BE0" w:rsidP="00465096">
            <w:pPr>
              <w:jc w:val="both"/>
              <w:rPr>
                <w:sz w:val="20"/>
                <w:lang w:val="fr-CA"/>
              </w:rPr>
            </w:pPr>
            <w:r w:rsidRPr="00C51ECB">
              <w:rPr>
                <w:sz w:val="20"/>
                <w:lang w:val="fr-CA"/>
              </w:rPr>
              <w:t>Cour suprême du Canada</w:t>
            </w: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Dépôt de la demande d’autorisation d’appel</w:t>
            </w:r>
          </w:p>
        </w:tc>
      </w:tr>
    </w:tbl>
    <w:p w:rsidR="00D84BE0" w:rsidRPr="00C51ECB" w:rsidRDefault="00D84BE0" w:rsidP="00465096">
      <w:pPr>
        <w:jc w:val="both"/>
        <w:rPr>
          <w:sz w:val="20"/>
          <w:lang w:val="fr-CA"/>
        </w:rPr>
      </w:pPr>
    </w:p>
    <w:p w:rsidR="0084772C" w:rsidRPr="00C51ECB" w:rsidRDefault="0084772C" w:rsidP="00465096">
      <w:pPr>
        <w:jc w:val="both"/>
        <w:rPr>
          <w:sz w:val="20"/>
          <w:lang w:val="fr-CA"/>
        </w:rPr>
      </w:pPr>
      <w:r w:rsidRPr="00C51ECB">
        <w:rPr>
          <w:sz w:val="20"/>
        </w:rPr>
        <w:pict>
          <v:rect id="_x0000_i1030" style="width:2in;height:1pt" o:hrpct="0" o:hralign="center" o:hrstd="t" o:hrnoshade="t" o:hr="t" fillcolor="black [3213]" stroked="f"/>
        </w:pict>
      </w:r>
    </w:p>
    <w:p w:rsidR="00D84BE0" w:rsidRPr="00C51ECB" w:rsidRDefault="00D84BE0"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rPr>
            </w:pPr>
            <w:r w:rsidRPr="00C51ECB">
              <w:rPr>
                <w:rStyle w:val="SCCFileNumberChar"/>
                <w:sz w:val="20"/>
                <w:szCs w:val="20"/>
              </w:rPr>
              <w:t>38560</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Prashant Jadhav v. David Kielly</w:t>
            </w:r>
          </w:p>
          <w:p w:rsidR="00D84BE0" w:rsidRPr="00C51ECB" w:rsidRDefault="00D84BE0" w:rsidP="00465096">
            <w:pPr>
              <w:jc w:val="both"/>
              <w:rPr>
                <w:sz w:val="20"/>
              </w:rPr>
            </w:pPr>
            <w:r w:rsidRPr="00C51ECB">
              <w:rPr>
                <w:sz w:val="20"/>
              </w:rPr>
              <w:t>(N.L.) (Civil) (By Leave)</w:t>
            </w:r>
          </w:p>
        </w:tc>
      </w:tr>
      <w:tr w:rsidR="00D84BE0" w:rsidRPr="00C51ECB" w:rsidTr="00E95A6A">
        <w:tc>
          <w:tcPr>
            <w:tcW w:w="5000" w:type="pct"/>
            <w:gridSpan w:val="4"/>
          </w:tcPr>
          <w:p w:rsidR="00D84BE0" w:rsidRPr="00C51ECB" w:rsidRDefault="00D84BE0" w:rsidP="00465096">
            <w:pPr>
              <w:jc w:val="both"/>
              <w:rPr>
                <w:sz w:val="20"/>
              </w:rPr>
            </w:pPr>
            <w:r w:rsidRPr="00C51ECB">
              <w:rPr>
                <w:sz w:val="20"/>
              </w:rPr>
              <w:t>Torts — Negligence — Motor vehicles — Causation — When applying the “but for” test for causation, does a plaintiff have to prove that “nothing but” a defendant’s negligence could have caused the loss, or should this Court’s “common sense inference” approach be applied?</w:t>
            </w:r>
          </w:p>
        </w:tc>
      </w:tr>
      <w:tr w:rsidR="00D84BE0" w:rsidRPr="00C51ECB" w:rsidTr="00E95A6A">
        <w:tc>
          <w:tcPr>
            <w:tcW w:w="5000" w:type="pct"/>
            <w:gridSpan w:val="4"/>
          </w:tcPr>
          <w:p w:rsidR="00D84BE0" w:rsidRPr="00C51ECB" w:rsidRDefault="00D84BE0" w:rsidP="00465096">
            <w:pPr>
              <w:jc w:val="both"/>
              <w:rPr>
                <w:sz w:val="20"/>
              </w:rPr>
            </w:pPr>
          </w:p>
        </w:tc>
      </w:tr>
      <w:tr w:rsidR="00D84BE0" w:rsidRPr="00C51ECB" w:rsidTr="00E95A6A">
        <w:tc>
          <w:tcPr>
            <w:tcW w:w="5000" w:type="pct"/>
            <w:gridSpan w:val="4"/>
          </w:tcPr>
          <w:p w:rsidR="00D84BE0" w:rsidRPr="00C51ECB" w:rsidRDefault="00D84BE0" w:rsidP="00465096">
            <w:pPr>
              <w:jc w:val="both"/>
              <w:rPr>
                <w:sz w:val="20"/>
              </w:rPr>
            </w:pPr>
            <w:r w:rsidRPr="00C51ECB">
              <w:rPr>
                <w:sz w:val="20"/>
              </w:rPr>
              <w:t>On October 27, 2013, at approximately 10:45pm, David Kielly struck Prashant Jadhav with his motor vehicle. At the time, it was raining heavily, windy, and dark. Mr. Jadhav was dressed entirely in black, without any reflective material, and was walking on the right</w:t>
            </w:r>
            <w:r w:rsidRPr="00C51ECB">
              <w:rPr>
                <w:sz w:val="20"/>
              </w:rPr>
              <w:noBreakHyphen/>
              <w:t>hand side of the road with traffic. In the area where the accident occurred, the road was straight with one paved lane in each direction. The road had gravel shoulders and no sidewalks. Mr. Jadhav sued Mr. Kielly for negligent driving. The Supreme Court of Newfoundland and Labrador General Division found that Mr. Kielly was driving at an excessive speed given the conditions (50</w:t>
            </w:r>
            <w:r w:rsidRPr="00C51ECB">
              <w:rPr>
                <w:sz w:val="20"/>
              </w:rPr>
              <w:noBreakHyphen/>
              <w:t>55 kilometers per hour in a zone with a posted limit of 50 kilometres per hour). The trial judge also found that Mr. Jadhav was struck on the shoulder of the road, not the pavement. As a result, the trial judge concluded that Mr. Kielly drove negligently. However, since Mr. Jadhav was wearing dark clothing making it difficult to see him, the trial judge found him contributorily negligent. The Court of Appeal of Newfoundland and Labrador</w:t>
            </w:r>
            <w:r w:rsidRPr="00C51ECB">
              <w:rPr>
                <w:b/>
                <w:sz w:val="20"/>
              </w:rPr>
              <w:t xml:space="preserve"> </w:t>
            </w:r>
            <w:r w:rsidRPr="00C51ECB">
              <w:rPr>
                <w:sz w:val="20"/>
              </w:rPr>
              <w:t xml:space="preserve">granted the cross-appeal on the basis that the trial </w:t>
            </w:r>
            <w:r w:rsidRPr="00C51ECB">
              <w:rPr>
                <w:sz w:val="20"/>
              </w:rPr>
              <w:lastRenderedPageBreak/>
              <w:t>judge made palpable and overriding errors. It found that Mr. Jadhav was walking on the pavement, not the shoulder of the road when he was struck. The Court of Appeal determined that he trial judge failed to apply the ‘but for’ test in causation. It concluded that no matter the speed at which Mr. Kielly was driving, if Mr. Jadhav had not been on the road, there would have been no accident. Since Mr. Jadhav had failed to prove causation, negligence was not established.</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lastRenderedPageBreak/>
              <w:t>May 1, 2018</w:t>
            </w:r>
          </w:p>
          <w:p w:rsidR="00D84BE0" w:rsidRPr="00C51ECB" w:rsidRDefault="00D84BE0" w:rsidP="00465096">
            <w:pPr>
              <w:jc w:val="both"/>
              <w:rPr>
                <w:sz w:val="20"/>
              </w:rPr>
            </w:pPr>
            <w:r w:rsidRPr="00C51ECB">
              <w:rPr>
                <w:sz w:val="20"/>
              </w:rPr>
              <w:t xml:space="preserve">Supreme Court of Newfoundland and </w:t>
            </w:r>
          </w:p>
          <w:p w:rsidR="00D84BE0" w:rsidRPr="00C51ECB" w:rsidRDefault="00D84BE0" w:rsidP="00465096">
            <w:pPr>
              <w:jc w:val="both"/>
              <w:rPr>
                <w:sz w:val="20"/>
              </w:rPr>
            </w:pPr>
            <w:r w:rsidRPr="00C51ECB">
              <w:rPr>
                <w:sz w:val="20"/>
              </w:rPr>
              <w:t>Labrador, General Division</w:t>
            </w:r>
          </w:p>
          <w:p w:rsidR="00D84BE0" w:rsidRPr="00C51ECB" w:rsidRDefault="00D84BE0" w:rsidP="00465096">
            <w:pPr>
              <w:jc w:val="both"/>
              <w:rPr>
                <w:sz w:val="20"/>
              </w:rPr>
            </w:pPr>
            <w:r w:rsidRPr="00C51ECB">
              <w:rPr>
                <w:sz w:val="20"/>
              </w:rPr>
              <w:t>(</w:t>
            </w:r>
            <w:proofErr w:type="spellStart"/>
            <w:r w:rsidRPr="00C51ECB">
              <w:rPr>
                <w:sz w:val="20"/>
              </w:rPr>
              <w:t>Khaladar</w:t>
            </w:r>
            <w:proofErr w:type="spellEnd"/>
            <w:r w:rsidRPr="00C51ECB">
              <w:rPr>
                <w:sz w:val="20"/>
              </w:rPr>
              <w:t xml:space="preserve"> J.)</w:t>
            </w:r>
          </w:p>
          <w:p w:rsidR="00D84BE0" w:rsidRPr="00C51ECB" w:rsidRDefault="00C51ECB" w:rsidP="00465096">
            <w:pPr>
              <w:jc w:val="both"/>
              <w:rPr>
                <w:sz w:val="20"/>
              </w:rPr>
            </w:pPr>
            <w:hyperlink r:id="rId25" w:history="1">
              <w:r w:rsidR="00D84BE0" w:rsidRPr="00C51ECB">
                <w:rPr>
                  <w:rStyle w:val="Hyperlink"/>
                  <w:sz w:val="20"/>
                </w:rPr>
                <w:t>2018 NLSC 97</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Liability for motor vehicle accident apportioned 90% to David Kielly and 10% to Prashant Jadhav.</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January 22, 2019</w:t>
            </w:r>
          </w:p>
          <w:p w:rsidR="00D84BE0" w:rsidRPr="00C51ECB" w:rsidRDefault="00D84BE0" w:rsidP="00465096">
            <w:pPr>
              <w:jc w:val="both"/>
              <w:rPr>
                <w:sz w:val="20"/>
              </w:rPr>
            </w:pPr>
            <w:r w:rsidRPr="00C51ECB">
              <w:rPr>
                <w:sz w:val="20"/>
              </w:rPr>
              <w:t xml:space="preserve">Court of Appeal of Newfoundland and </w:t>
            </w:r>
          </w:p>
          <w:p w:rsidR="00D84BE0" w:rsidRPr="00C51ECB" w:rsidRDefault="00D84BE0" w:rsidP="00465096">
            <w:pPr>
              <w:jc w:val="both"/>
              <w:rPr>
                <w:sz w:val="20"/>
              </w:rPr>
            </w:pPr>
            <w:r w:rsidRPr="00C51ECB">
              <w:rPr>
                <w:sz w:val="20"/>
              </w:rPr>
              <w:t>Labrador</w:t>
            </w:r>
          </w:p>
          <w:p w:rsidR="00D84BE0" w:rsidRPr="00C51ECB" w:rsidRDefault="00D84BE0" w:rsidP="00465096">
            <w:pPr>
              <w:jc w:val="both"/>
              <w:rPr>
                <w:sz w:val="20"/>
              </w:rPr>
            </w:pPr>
            <w:r w:rsidRPr="00C51ECB">
              <w:rPr>
                <w:sz w:val="20"/>
              </w:rPr>
              <w:t>(Fry C.J.N.L., Welsh, and White JJ.A.)</w:t>
            </w:r>
          </w:p>
          <w:p w:rsidR="00D84BE0" w:rsidRPr="00C51ECB" w:rsidRDefault="00C51ECB" w:rsidP="00465096">
            <w:pPr>
              <w:jc w:val="both"/>
              <w:rPr>
                <w:sz w:val="20"/>
              </w:rPr>
            </w:pPr>
            <w:hyperlink r:id="rId26" w:history="1">
              <w:r w:rsidR="00D84BE0" w:rsidRPr="00C51ECB">
                <w:rPr>
                  <w:rStyle w:val="Hyperlink"/>
                  <w:sz w:val="20"/>
                </w:rPr>
                <w:t>2019 NLCA 5</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Cross</w:t>
            </w:r>
            <w:r w:rsidRPr="00C51ECB">
              <w:rPr>
                <w:sz w:val="20"/>
              </w:rPr>
              <w:noBreakHyphen/>
              <w:t>appeal allowed, no finding of negligence; appeal not considered.</w:t>
            </w:r>
          </w:p>
        </w:tc>
      </w:tr>
      <w:tr w:rsidR="00D84BE0" w:rsidRPr="00C51ECB" w:rsidTr="00E95A6A">
        <w:tc>
          <w:tcPr>
            <w:tcW w:w="2427" w:type="pct"/>
            <w:gridSpan w:val="2"/>
          </w:tcPr>
          <w:p w:rsidR="00D84BE0" w:rsidRPr="00C51ECB" w:rsidRDefault="00D84BE0" w:rsidP="00465096">
            <w:pPr>
              <w:jc w:val="both"/>
              <w:rPr>
                <w:sz w:val="20"/>
              </w:rPr>
            </w:pPr>
            <w:r w:rsidRPr="00C51ECB">
              <w:rPr>
                <w:sz w:val="20"/>
              </w:rPr>
              <w:t>March 22, 2019</w:t>
            </w:r>
          </w:p>
          <w:p w:rsidR="00D84BE0" w:rsidRPr="00C51ECB" w:rsidRDefault="00D84BE0" w:rsidP="00465096">
            <w:pPr>
              <w:jc w:val="both"/>
              <w:rPr>
                <w:sz w:val="20"/>
              </w:rPr>
            </w:pPr>
            <w:r w:rsidRPr="00C51ECB">
              <w:rPr>
                <w:sz w:val="20"/>
              </w:rPr>
              <w:t>Supreme Court of Canada</w:t>
            </w: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Application for leave to appeal filed</w:t>
            </w:r>
          </w:p>
          <w:p w:rsidR="00D84BE0" w:rsidRPr="00C51ECB" w:rsidRDefault="00D84BE0" w:rsidP="00465096">
            <w:pPr>
              <w:jc w:val="both"/>
              <w:rPr>
                <w:sz w:val="20"/>
              </w:rPr>
            </w:pPr>
          </w:p>
        </w:tc>
      </w:tr>
    </w:tbl>
    <w:p w:rsidR="00D84BE0" w:rsidRPr="00C51ECB" w:rsidRDefault="00D84BE0" w:rsidP="00465096">
      <w:pPr>
        <w:jc w:val="both"/>
        <w:rPr>
          <w:sz w:val="20"/>
        </w:rPr>
      </w:pPr>
    </w:p>
    <w:p w:rsidR="0084772C" w:rsidRPr="00C51ECB" w:rsidRDefault="0084772C" w:rsidP="00465096">
      <w:pPr>
        <w:jc w:val="both"/>
        <w:rPr>
          <w:sz w:val="20"/>
        </w:rPr>
      </w:pPr>
      <w:r w:rsidRPr="00C51ECB">
        <w:rPr>
          <w:sz w:val="20"/>
        </w:rPr>
        <w:pict>
          <v:rect id="_x0000_i1031"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lang w:val="fr-CA"/>
              </w:rPr>
            </w:pPr>
            <w:r w:rsidRPr="00C51ECB">
              <w:rPr>
                <w:rStyle w:val="SCCFileNumberChar"/>
                <w:sz w:val="20"/>
                <w:szCs w:val="20"/>
                <w:lang w:val="fr-CA"/>
              </w:rPr>
              <w:t>38560</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Prashant Jadhav c. David Kielly</w:t>
            </w:r>
          </w:p>
          <w:p w:rsidR="00D84BE0" w:rsidRPr="00C51ECB" w:rsidRDefault="00D84BE0" w:rsidP="00465096">
            <w:pPr>
              <w:jc w:val="both"/>
              <w:rPr>
                <w:sz w:val="20"/>
                <w:lang w:val="fr-CA"/>
              </w:rPr>
            </w:pPr>
            <w:r w:rsidRPr="00C51ECB">
              <w:rPr>
                <w:sz w:val="20"/>
              </w:rPr>
              <w:t>(T.</w:t>
            </w:r>
            <w:r w:rsidRPr="00C51ECB">
              <w:rPr>
                <w:sz w:val="20"/>
              </w:rPr>
              <w:noBreakHyphen/>
              <w:t>N.</w:t>
            </w:r>
            <w:r w:rsidRPr="00C51ECB">
              <w:rPr>
                <w:sz w:val="20"/>
              </w:rPr>
              <w:noBreakHyphen/>
              <w:t xml:space="preserve">L.) </w:t>
            </w:r>
            <w:r w:rsidRPr="00C51ECB">
              <w:rPr>
                <w:sz w:val="20"/>
                <w:lang w:val="fr-CA"/>
              </w:rPr>
              <w:t>(Civile) (Autorisation)</w:t>
            </w: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Responsabilité délictuelle — Négligence — Véhicules à moteur — Causalité — Dans l’application du critère du facteur déterminant utilisé pour établir la causalité, le demandeur doit</w:t>
            </w:r>
            <w:r w:rsidRPr="00C51ECB">
              <w:rPr>
                <w:sz w:val="20"/>
                <w:lang w:val="fr-CA"/>
              </w:rPr>
              <w:noBreakHyphen/>
              <w:t>il prouver que seule la négligence du défendeur aurait pu causer le préjudice, ou faut</w:t>
            </w:r>
            <w:r w:rsidRPr="00C51ECB">
              <w:rPr>
                <w:sz w:val="20"/>
                <w:lang w:val="fr-CA"/>
              </w:rPr>
              <w:noBreakHyphen/>
              <w:t>il plutôt appliquer l’approche de notre Cour, c’est</w:t>
            </w:r>
            <w:r w:rsidRPr="00C51ECB">
              <w:rPr>
                <w:sz w:val="20"/>
                <w:lang w:val="fr-CA"/>
              </w:rPr>
              <w:noBreakHyphen/>
              <w:t>à</w:t>
            </w:r>
            <w:r w:rsidRPr="00C51ECB">
              <w:rPr>
                <w:sz w:val="20"/>
                <w:lang w:val="fr-CA"/>
              </w:rPr>
              <w:noBreakHyphen/>
              <w:t>dire de tirer des « inférences suivant le bon sens »?</w:t>
            </w:r>
          </w:p>
        </w:tc>
      </w:tr>
      <w:tr w:rsidR="00D84BE0" w:rsidRPr="00C51ECB" w:rsidTr="00E95A6A">
        <w:tc>
          <w:tcPr>
            <w:tcW w:w="5000" w:type="pct"/>
            <w:gridSpan w:val="4"/>
          </w:tcPr>
          <w:p w:rsidR="00D84BE0" w:rsidRPr="00C51ECB" w:rsidRDefault="00D84BE0" w:rsidP="00465096">
            <w:pPr>
              <w:jc w:val="both"/>
              <w:rPr>
                <w:sz w:val="20"/>
                <w:lang w:val="fr-CA"/>
              </w:rPr>
            </w:pP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Le 27 octobre 2013, vers 22 h 45, David Kielly a heurté Prashant Jadhav avec son véhicule à moteur. À ce moment, il pleuvait beaucoup, il ventait et il faisait noir. Monsieur Jadhav était entièrement vêtu de noir, sans matériau réfléchissant, et il marchait du côté droit de la route, dans le sens de la circulation. Dans la zone où l’accident s’est produit, la route était droite et avait une voie pavée dans chaque direction. La route avait des accotements en gravier, sans trottoir. Monsieur Jadhav a poursuivi M. Kielly pour conduite négligente. La Section générale de la Cour suprême de Terre</w:t>
            </w:r>
            <w:r w:rsidRPr="00C51ECB">
              <w:rPr>
                <w:sz w:val="20"/>
                <w:lang w:val="fr-CA"/>
              </w:rPr>
              <w:noBreakHyphen/>
              <w:t>Neuve</w:t>
            </w:r>
            <w:r w:rsidRPr="00C51ECB">
              <w:rPr>
                <w:sz w:val="20"/>
                <w:lang w:val="fr-CA"/>
              </w:rPr>
              <w:noBreakHyphen/>
              <w:t>et</w:t>
            </w:r>
            <w:r w:rsidRPr="00C51ECB">
              <w:rPr>
                <w:sz w:val="20"/>
                <w:lang w:val="fr-CA"/>
              </w:rPr>
              <w:noBreakHyphen/>
              <w:t xml:space="preserve">Labrador a conclu que M. Kielly conduisait à une vitesse excessive compte tenu des conditions (50 à 55 kilomètre/heure dans une zone où la limite affichée était de 50 kilomètres/heure). Le juge de première instance a conclu en outre que M. Jadhav avait été heurté sur l’accotement de la route, et non sur le pavage. En conséquence, le juge de première </w:t>
            </w:r>
            <w:proofErr w:type="gramStart"/>
            <w:r w:rsidRPr="00C51ECB">
              <w:rPr>
                <w:sz w:val="20"/>
                <w:lang w:val="fr-CA"/>
              </w:rPr>
              <w:t>instance a</w:t>
            </w:r>
            <w:proofErr w:type="gramEnd"/>
            <w:r w:rsidRPr="00C51ECB">
              <w:rPr>
                <w:sz w:val="20"/>
                <w:lang w:val="fr-CA"/>
              </w:rPr>
              <w:t xml:space="preserve"> conclu que M. Kielly avec conduit de façon négligente. Toutefois, parce que M. Jadhav portait des vêtements sombres, ce qui le rendait difficile à voir, le juge de première instance a conclu qu’il avait fait preuve de négligence contributive. La Cour d’appel de Terre</w:t>
            </w:r>
            <w:r w:rsidRPr="00C51ECB">
              <w:rPr>
                <w:sz w:val="20"/>
                <w:lang w:val="fr-CA"/>
              </w:rPr>
              <w:noBreakHyphen/>
              <w:t>Neuve</w:t>
            </w:r>
            <w:r w:rsidRPr="00C51ECB">
              <w:rPr>
                <w:sz w:val="20"/>
                <w:lang w:val="fr-CA"/>
              </w:rPr>
              <w:noBreakHyphen/>
              <w:t>et</w:t>
            </w:r>
            <w:r w:rsidRPr="00C51ECB">
              <w:rPr>
                <w:sz w:val="20"/>
                <w:lang w:val="fr-CA"/>
              </w:rPr>
              <w:noBreakHyphen/>
              <w:t>Labrador a accueilli l’appel incident au motif que le juge de première instance avait commis des erreurs manifestes et dominantes. Elle a conclu que M. Jadhav marchait sur le pavage, et non sur l’accotement de la route lorsqu’il a été frappé. La Cour d’appel a statué que le juge de première instance avait omis d’appliquer le critère du facteur déterminant pour établir la causalité. Elle a conclu que peu importe la vitesse à laquelle M. Kielly roulait, si M. Jadhav ne s’était pas trouvé sur la route, il n’y aurait pas eu d’accident. Puisque M. Jadhav n’avait pas prouvé la causalité, la négligence n’a pas été établie.</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w:t>
            </w:r>
            <w:r w:rsidRPr="00C51ECB">
              <w:rPr>
                <w:sz w:val="20"/>
                <w:vertAlign w:val="superscript"/>
                <w:lang w:val="fr-CA"/>
              </w:rPr>
              <w:t>er</w:t>
            </w:r>
            <w:r w:rsidRPr="00C51ECB">
              <w:rPr>
                <w:sz w:val="20"/>
                <w:lang w:val="fr-CA"/>
              </w:rPr>
              <w:t> mai 2018</w:t>
            </w:r>
          </w:p>
          <w:p w:rsidR="00D84BE0" w:rsidRPr="00C51ECB" w:rsidRDefault="00D84BE0" w:rsidP="00465096">
            <w:pPr>
              <w:jc w:val="both"/>
              <w:rPr>
                <w:sz w:val="20"/>
                <w:lang w:val="fr-CA"/>
              </w:rPr>
            </w:pPr>
            <w:r w:rsidRPr="00C51ECB">
              <w:rPr>
                <w:sz w:val="20"/>
                <w:lang w:val="fr-CA"/>
              </w:rPr>
              <w:t>Cour suprême de Terre-Neuve</w:t>
            </w:r>
            <w:r w:rsidRPr="00C51ECB">
              <w:rPr>
                <w:sz w:val="20"/>
                <w:lang w:val="fr-CA"/>
              </w:rPr>
              <w:noBreakHyphen/>
              <w:t>et</w:t>
            </w:r>
            <w:r w:rsidRPr="00C51ECB">
              <w:rPr>
                <w:sz w:val="20"/>
                <w:lang w:val="fr-CA"/>
              </w:rPr>
              <w:noBreakHyphen/>
              <w:t>Labrador, General Division, Section générale</w:t>
            </w:r>
          </w:p>
          <w:p w:rsidR="00D84BE0" w:rsidRPr="00C51ECB" w:rsidRDefault="00D84BE0" w:rsidP="00465096">
            <w:pPr>
              <w:jc w:val="both"/>
              <w:rPr>
                <w:sz w:val="20"/>
                <w:lang w:val="fr-CA"/>
              </w:rPr>
            </w:pPr>
            <w:r w:rsidRPr="00C51ECB">
              <w:rPr>
                <w:sz w:val="20"/>
                <w:lang w:val="fr-CA"/>
              </w:rPr>
              <w:t>(Juge Khaladkar)</w:t>
            </w:r>
          </w:p>
          <w:p w:rsidR="00D84BE0" w:rsidRPr="00C51ECB" w:rsidRDefault="00C51ECB" w:rsidP="00465096">
            <w:pPr>
              <w:jc w:val="both"/>
              <w:rPr>
                <w:sz w:val="20"/>
                <w:lang w:val="fr-CA"/>
              </w:rPr>
            </w:pPr>
            <w:hyperlink r:id="rId27" w:history="1">
              <w:r w:rsidR="00D84BE0" w:rsidRPr="00C51ECB">
                <w:rPr>
                  <w:rStyle w:val="Hyperlink"/>
                  <w:sz w:val="20"/>
                  <w:lang w:val="fr-CA"/>
                </w:rPr>
                <w:t>2018 NLSC 97</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Jugement imputant la responsabilité de l’accident de la route dans une proportion de 90 % à David Kielly et dans une proportion de 10 % à Prashant Jadhav.</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lastRenderedPageBreak/>
              <w:t>22 janvier 2019</w:t>
            </w:r>
          </w:p>
          <w:p w:rsidR="00D84BE0" w:rsidRPr="00C51ECB" w:rsidRDefault="00D84BE0" w:rsidP="00465096">
            <w:pPr>
              <w:jc w:val="both"/>
              <w:rPr>
                <w:sz w:val="20"/>
                <w:lang w:val="fr-CA"/>
              </w:rPr>
            </w:pPr>
            <w:r w:rsidRPr="00C51ECB">
              <w:rPr>
                <w:sz w:val="20"/>
                <w:lang w:val="fr-CA"/>
              </w:rPr>
              <w:t>Cour d’appel de Terre</w:t>
            </w:r>
            <w:r w:rsidRPr="00C51ECB">
              <w:rPr>
                <w:sz w:val="20"/>
                <w:lang w:val="fr-CA"/>
              </w:rPr>
              <w:noBreakHyphen/>
              <w:t>Neuve</w:t>
            </w:r>
            <w:r w:rsidRPr="00C51ECB">
              <w:rPr>
                <w:sz w:val="20"/>
                <w:lang w:val="fr-CA"/>
              </w:rPr>
              <w:noBreakHyphen/>
              <w:t>et</w:t>
            </w:r>
            <w:r w:rsidRPr="00C51ECB">
              <w:rPr>
                <w:sz w:val="20"/>
                <w:lang w:val="fr-CA"/>
              </w:rPr>
              <w:noBreakHyphen/>
              <w:t>Labrador</w:t>
            </w:r>
          </w:p>
          <w:p w:rsidR="00D84BE0" w:rsidRPr="00C51ECB" w:rsidRDefault="00D84BE0" w:rsidP="00465096">
            <w:pPr>
              <w:jc w:val="both"/>
              <w:rPr>
                <w:sz w:val="20"/>
                <w:lang w:val="fr-CA"/>
              </w:rPr>
            </w:pPr>
            <w:r w:rsidRPr="00C51ECB">
              <w:rPr>
                <w:sz w:val="20"/>
                <w:lang w:val="fr-CA"/>
              </w:rPr>
              <w:t>(Juge en chef Fry, juges Welsh et White)</w:t>
            </w:r>
          </w:p>
          <w:p w:rsidR="00D84BE0" w:rsidRPr="00C51ECB" w:rsidRDefault="00C51ECB" w:rsidP="00465096">
            <w:pPr>
              <w:jc w:val="both"/>
              <w:rPr>
                <w:sz w:val="20"/>
                <w:lang w:val="fr-CA"/>
              </w:rPr>
            </w:pPr>
            <w:hyperlink r:id="rId28" w:history="1">
              <w:r w:rsidR="00D84BE0" w:rsidRPr="00C51ECB">
                <w:rPr>
                  <w:rStyle w:val="Hyperlink"/>
                  <w:sz w:val="20"/>
                  <w:lang w:val="fr-CA"/>
                </w:rPr>
                <w:t>2019 NLCA 5</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Arrêt accueillant l’appel incident, la négligence n’ayant pas été établie; appel non examiné</w:t>
            </w: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22 mars 2019</w:t>
            </w:r>
          </w:p>
          <w:p w:rsidR="00D84BE0" w:rsidRPr="00C51ECB" w:rsidRDefault="00D84BE0" w:rsidP="00465096">
            <w:pPr>
              <w:jc w:val="both"/>
              <w:rPr>
                <w:sz w:val="20"/>
                <w:lang w:val="fr-CA"/>
              </w:rPr>
            </w:pPr>
            <w:r w:rsidRPr="00C51ECB">
              <w:rPr>
                <w:sz w:val="20"/>
                <w:lang w:val="fr-CA"/>
              </w:rPr>
              <w:t>Cour suprême du Canada</w:t>
            </w: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Dépôt de la demande d’autorisation d’appel</w:t>
            </w:r>
          </w:p>
          <w:p w:rsidR="00D84BE0" w:rsidRPr="00C51ECB" w:rsidRDefault="00D84BE0" w:rsidP="00465096">
            <w:pPr>
              <w:jc w:val="both"/>
              <w:rPr>
                <w:sz w:val="20"/>
                <w:lang w:val="fr-CA"/>
              </w:rPr>
            </w:pPr>
          </w:p>
        </w:tc>
      </w:tr>
    </w:tbl>
    <w:p w:rsidR="00D84BE0" w:rsidRPr="00C51ECB" w:rsidRDefault="00D84BE0" w:rsidP="00465096">
      <w:pPr>
        <w:jc w:val="both"/>
        <w:rPr>
          <w:sz w:val="20"/>
          <w:lang w:val="fr-CA"/>
        </w:rPr>
      </w:pPr>
    </w:p>
    <w:p w:rsidR="0084772C" w:rsidRPr="00C51ECB" w:rsidRDefault="0084772C" w:rsidP="00465096">
      <w:pPr>
        <w:jc w:val="both"/>
        <w:rPr>
          <w:sz w:val="20"/>
          <w:lang w:val="fr-CA"/>
        </w:rPr>
      </w:pPr>
      <w:r w:rsidRPr="00C51ECB">
        <w:rPr>
          <w:sz w:val="20"/>
        </w:rPr>
        <w:pict>
          <v:rect id="_x0000_i1032" style="width:2in;height:1pt" o:hrpct="0" o:hralign="center" o:hrstd="t" o:hrnoshade="t" o:hr="t" fillcolor="black [3213]" stroked="f"/>
        </w:pict>
      </w:r>
    </w:p>
    <w:p w:rsidR="00D84BE0" w:rsidRPr="00C51ECB" w:rsidRDefault="00D84BE0"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rPr>
            </w:pPr>
            <w:r w:rsidRPr="00C51ECB">
              <w:rPr>
                <w:rStyle w:val="SCCFileNumberChar"/>
                <w:sz w:val="20"/>
                <w:szCs w:val="20"/>
              </w:rPr>
              <w:t>38530</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 xml:space="preserve">Michael W. Fleury v. Bassman Paulus, </w:t>
            </w:r>
            <w:proofErr w:type="spellStart"/>
            <w:r w:rsidRPr="00C51ECB">
              <w:rPr>
                <w:b/>
                <w:sz w:val="20"/>
                <w:szCs w:val="20"/>
                <w:lang w:val="en-US"/>
              </w:rPr>
              <w:t>Basma</w:t>
            </w:r>
            <w:proofErr w:type="spellEnd"/>
            <w:r w:rsidRPr="00C51ECB">
              <w:rPr>
                <w:b/>
                <w:sz w:val="20"/>
                <w:szCs w:val="20"/>
                <w:lang w:val="en-US"/>
              </w:rPr>
              <w:t xml:space="preserve"> Paulus, Rita Paulus and </w:t>
            </w:r>
            <w:proofErr w:type="spellStart"/>
            <w:r w:rsidRPr="00C51ECB">
              <w:rPr>
                <w:b/>
                <w:sz w:val="20"/>
                <w:szCs w:val="20"/>
                <w:lang w:val="en-US"/>
              </w:rPr>
              <w:t>Ayad</w:t>
            </w:r>
            <w:proofErr w:type="spellEnd"/>
            <w:r w:rsidRPr="00C51ECB">
              <w:rPr>
                <w:b/>
                <w:sz w:val="20"/>
                <w:szCs w:val="20"/>
                <w:lang w:val="en-US"/>
              </w:rPr>
              <w:t xml:space="preserve"> Paulus, both minors by their litigation guardian, Bassman Paulus</w:t>
            </w:r>
          </w:p>
          <w:p w:rsidR="00D84BE0" w:rsidRPr="00C51ECB" w:rsidRDefault="00D84BE0" w:rsidP="00465096">
            <w:pPr>
              <w:jc w:val="both"/>
              <w:rPr>
                <w:sz w:val="20"/>
              </w:rPr>
            </w:pPr>
            <w:r w:rsidRPr="00C51ECB">
              <w:rPr>
                <w:sz w:val="20"/>
              </w:rPr>
              <w:t>(Ont.) (Civil) (By Leave)</w:t>
            </w:r>
          </w:p>
        </w:tc>
      </w:tr>
      <w:tr w:rsidR="00D84BE0" w:rsidRPr="00C51ECB" w:rsidTr="00E95A6A">
        <w:tc>
          <w:tcPr>
            <w:tcW w:w="5000" w:type="pct"/>
            <w:gridSpan w:val="4"/>
          </w:tcPr>
          <w:p w:rsidR="00D84BE0" w:rsidRPr="00C51ECB" w:rsidRDefault="00D84BE0" w:rsidP="00465096">
            <w:pPr>
              <w:jc w:val="both"/>
              <w:rPr>
                <w:sz w:val="20"/>
              </w:rPr>
            </w:pPr>
            <w:r w:rsidRPr="00C51ECB">
              <w:rPr>
                <w:sz w:val="20"/>
              </w:rPr>
              <w:t>Civil procedure — Pretrial conference — Parties settling motor vehicle negligence claim at pretrial after plaintiff’s counsel making statements about potential witness testimony —Defendant’s counsel learning of witness testimony frailties and renouncing settlement agreement — Plaintiff seeking to enforce terms of agreement — Whether and to what extent counsel and parties should rely on representations of opposing counsel — When can lawyers accept and rely, without further verification, on opposing lawyer’s word as “fact” as opposed to disregarding it as “advocacy”.</w:t>
            </w:r>
          </w:p>
        </w:tc>
      </w:tr>
      <w:tr w:rsidR="00D84BE0" w:rsidRPr="00C51ECB" w:rsidTr="00E95A6A">
        <w:tc>
          <w:tcPr>
            <w:tcW w:w="5000" w:type="pct"/>
            <w:gridSpan w:val="4"/>
          </w:tcPr>
          <w:p w:rsidR="00D84BE0" w:rsidRPr="00C51ECB" w:rsidRDefault="00D84BE0" w:rsidP="00465096">
            <w:pPr>
              <w:jc w:val="both"/>
              <w:rPr>
                <w:sz w:val="20"/>
              </w:rPr>
            </w:pPr>
          </w:p>
        </w:tc>
      </w:tr>
      <w:tr w:rsidR="00D84BE0" w:rsidRPr="00C51ECB" w:rsidTr="00E95A6A">
        <w:tc>
          <w:tcPr>
            <w:tcW w:w="5000" w:type="pct"/>
            <w:gridSpan w:val="4"/>
          </w:tcPr>
          <w:p w:rsidR="00D84BE0" w:rsidRPr="00C51ECB" w:rsidRDefault="00D84BE0" w:rsidP="00465096">
            <w:pPr>
              <w:jc w:val="both"/>
              <w:rPr>
                <w:sz w:val="20"/>
              </w:rPr>
            </w:pPr>
            <w:r w:rsidRPr="00C51ECB">
              <w:rPr>
                <w:sz w:val="20"/>
              </w:rPr>
              <w:t>The applicant and respondents were involved in a motor vehicle accident in November 2008 when the vehicle operated by Mr. Fleury</w:t>
            </w:r>
            <w:r w:rsidRPr="00C51ECB">
              <w:rPr>
                <w:sz w:val="20"/>
                <w:lang w:val="en"/>
              </w:rPr>
              <w:t xml:space="preserve"> struck the Paulus family vehicle from behind at an intersection.  The Paulus family brought an action for damages against Mr. Fleury. The parties and their counsel appeared at a pre</w:t>
            </w:r>
            <w:r w:rsidRPr="00C51ECB">
              <w:rPr>
                <w:sz w:val="20"/>
                <w:lang w:val="en"/>
              </w:rPr>
              <w:noBreakHyphen/>
              <w:t xml:space="preserve">trial conference and causation was in issue. During that conference, counsel for the Paulus family stated that he had “independent” witnesses to the collision who would make “good witnesses” and corroborated his clients’ story about the accident. Mr. Fleury’s counsel agreed to settle the claim. Immediately after the pretrial, Mr. Fleury’s counsel learned that the witnesses had difficulty communicating in English and that they also knew the Paulus family. Mr. Fleury’s counsel wrote to the plaintiffs’ counsel to repudiate the settlement. The Paulus family moved to enforce the settlement. </w:t>
            </w:r>
            <w:r w:rsidRPr="00C51ECB">
              <w:rPr>
                <w:sz w:val="20"/>
              </w:rPr>
              <w:t>The motion judge dismissed their motion. This decision was overturned on appeal.</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February 20, 2018</w:t>
            </w:r>
          </w:p>
          <w:p w:rsidR="00D84BE0" w:rsidRPr="00C51ECB" w:rsidRDefault="00D84BE0" w:rsidP="00465096">
            <w:pPr>
              <w:jc w:val="both"/>
              <w:rPr>
                <w:sz w:val="20"/>
              </w:rPr>
            </w:pPr>
            <w:r w:rsidRPr="00C51ECB">
              <w:rPr>
                <w:sz w:val="20"/>
              </w:rPr>
              <w:t>Ontario Superior Court of Justice</w:t>
            </w:r>
          </w:p>
          <w:p w:rsidR="00D84BE0" w:rsidRPr="00C51ECB" w:rsidRDefault="00D84BE0" w:rsidP="00465096">
            <w:pPr>
              <w:jc w:val="both"/>
              <w:rPr>
                <w:sz w:val="20"/>
              </w:rPr>
            </w:pPr>
            <w:r w:rsidRPr="00C51ECB">
              <w:rPr>
                <w:sz w:val="20"/>
              </w:rPr>
              <w:t>(Heeney J.)</w:t>
            </w:r>
          </w:p>
          <w:p w:rsidR="00D84BE0" w:rsidRPr="00C51ECB" w:rsidRDefault="00C51ECB" w:rsidP="00465096">
            <w:pPr>
              <w:jc w:val="both"/>
              <w:rPr>
                <w:sz w:val="20"/>
              </w:rPr>
            </w:pPr>
            <w:hyperlink r:id="rId29" w:history="1">
              <w:r w:rsidR="00D84BE0" w:rsidRPr="00C51ECB">
                <w:rPr>
                  <w:rStyle w:val="Hyperlink"/>
                  <w:sz w:val="20"/>
                </w:rPr>
                <w:t>2018 ONSC 1188</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Respondents’ motion to enforce settlement of motor vehicle accident action under Rule 49.09 dismissed</w:t>
            </w:r>
          </w:p>
          <w:p w:rsidR="00D84BE0" w:rsidRPr="00C51ECB" w:rsidRDefault="00D84BE0" w:rsidP="00465096">
            <w:pPr>
              <w:jc w:val="both"/>
              <w:rPr>
                <w:sz w:val="20"/>
              </w:rPr>
            </w:pP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December 21, 2018</w:t>
            </w:r>
          </w:p>
          <w:p w:rsidR="00D84BE0" w:rsidRPr="00C51ECB" w:rsidRDefault="00D84BE0" w:rsidP="00465096">
            <w:pPr>
              <w:jc w:val="both"/>
              <w:rPr>
                <w:sz w:val="20"/>
              </w:rPr>
            </w:pPr>
            <w:r w:rsidRPr="00C51ECB">
              <w:rPr>
                <w:sz w:val="20"/>
              </w:rPr>
              <w:t>Court of Appeal for Ontario</w:t>
            </w:r>
          </w:p>
          <w:p w:rsidR="00D84BE0" w:rsidRPr="00C51ECB" w:rsidRDefault="00D84BE0" w:rsidP="00465096">
            <w:pPr>
              <w:jc w:val="both"/>
              <w:rPr>
                <w:sz w:val="20"/>
              </w:rPr>
            </w:pPr>
            <w:r w:rsidRPr="00C51ECB">
              <w:rPr>
                <w:sz w:val="20"/>
              </w:rPr>
              <w:t>(Feldman, Pardu and Roberts JJ.A.)</w:t>
            </w:r>
          </w:p>
          <w:p w:rsidR="00D84BE0" w:rsidRPr="00C51ECB" w:rsidRDefault="00C51ECB" w:rsidP="00465096">
            <w:pPr>
              <w:jc w:val="both"/>
              <w:rPr>
                <w:sz w:val="20"/>
              </w:rPr>
            </w:pPr>
            <w:hyperlink r:id="rId30" w:history="1">
              <w:r w:rsidR="00D84BE0" w:rsidRPr="00C51ECB">
                <w:rPr>
                  <w:rStyle w:val="Hyperlink"/>
                  <w:sz w:val="20"/>
                </w:rPr>
                <w:t>2018 ONCA 1072</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Respondents’ appeal allowed</w:t>
            </w:r>
          </w:p>
          <w:p w:rsidR="00D84BE0" w:rsidRPr="00C51ECB" w:rsidRDefault="00D84BE0" w:rsidP="00465096">
            <w:pPr>
              <w:jc w:val="both"/>
              <w:rPr>
                <w:sz w:val="20"/>
              </w:rPr>
            </w:pP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February 18, 2019</w:t>
            </w:r>
          </w:p>
          <w:p w:rsidR="00D84BE0" w:rsidRPr="00C51ECB" w:rsidRDefault="00D84BE0" w:rsidP="00465096">
            <w:pPr>
              <w:jc w:val="both"/>
              <w:rPr>
                <w:sz w:val="20"/>
              </w:rPr>
            </w:pPr>
            <w:r w:rsidRPr="00C51ECB">
              <w:rPr>
                <w:sz w:val="20"/>
              </w:rPr>
              <w:t>Supreme Court of Canada</w:t>
            </w: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Application for leave to appeal filed</w:t>
            </w:r>
          </w:p>
          <w:p w:rsidR="00D84BE0" w:rsidRPr="00C51ECB" w:rsidRDefault="00D84BE0" w:rsidP="00465096">
            <w:pPr>
              <w:jc w:val="both"/>
              <w:rPr>
                <w:sz w:val="20"/>
              </w:rPr>
            </w:pPr>
          </w:p>
        </w:tc>
      </w:tr>
    </w:tbl>
    <w:p w:rsidR="00D84BE0" w:rsidRPr="00C51ECB" w:rsidRDefault="00D84BE0" w:rsidP="00465096">
      <w:pPr>
        <w:jc w:val="both"/>
        <w:rPr>
          <w:sz w:val="20"/>
        </w:rPr>
      </w:pPr>
    </w:p>
    <w:p w:rsidR="0084772C" w:rsidRPr="00C51ECB" w:rsidRDefault="0084772C" w:rsidP="00465096">
      <w:pPr>
        <w:jc w:val="both"/>
        <w:rPr>
          <w:sz w:val="20"/>
        </w:rPr>
      </w:pPr>
      <w:r w:rsidRPr="00C51ECB">
        <w:rPr>
          <w:sz w:val="20"/>
        </w:rPr>
        <w:pict>
          <v:rect id="_x0000_i1033"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lang w:val="fr-CA"/>
              </w:rPr>
            </w:pPr>
            <w:r w:rsidRPr="00C51ECB">
              <w:rPr>
                <w:rStyle w:val="SCCFileNumberChar"/>
                <w:sz w:val="20"/>
                <w:szCs w:val="20"/>
                <w:lang w:val="fr-CA"/>
              </w:rPr>
              <w:t>38530</w:t>
            </w:r>
          </w:p>
        </w:tc>
        <w:tc>
          <w:tcPr>
            <w:tcW w:w="4457" w:type="pct"/>
            <w:gridSpan w:val="3"/>
          </w:tcPr>
          <w:p w:rsidR="00D84BE0" w:rsidRPr="00C51ECB" w:rsidRDefault="00D84BE0" w:rsidP="00465096">
            <w:pPr>
              <w:pStyle w:val="SCCLsocParty"/>
              <w:jc w:val="both"/>
              <w:rPr>
                <w:b/>
                <w:sz w:val="20"/>
                <w:szCs w:val="20"/>
              </w:rPr>
            </w:pPr>
            <w:r w:rsidRPr="00C51ECB">
              <w:rPr>
                <w:b/>
                <w:sz w:val="20"/>
                <w:szCs w:val="20"/>
              </w:rPr>
              <w:t>Michael W. Fleury c. Bassman Paulus, Basma Paulus, Rita Paulus et Ayad Paulus, les deux mineurs représentés par leur tuteur à l’instance, Bassman Paulus</w:t>
            </w:r>
          </w:p>
          <w:p w:rsidR="00D84BE0" w:rsidRPr="00C51ECB" w:rsidRDefault="00D84BE0" w:rsidP="00465096">
            <w:pPr>
              <w:jc w:val="both"/>
              <w:rPr>
                <w:sz w:val="20"/>
                <w:lang w:val="fr-CA"/>
              </w:rPr>
            </w:pPr>
            <w:r w:rsidRPr="00C51ECB">
              <w:rPr>
                <w:sz w:val="20"/>
                <w:lang w:val="fr-CA"/>
              </w:rPr>
              <w:t>(Ont.) (Civile) (Autorisation)</w:t>
            </w: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 xml:space="preserve">Procédure civile — Conférence préparatoire au procès — Les parties ont réglé à l’amiable avant l’instruction une action en négligence au volant après que l’avocat des demandeurs en première instance a fait des déclarations sur le </w:t>
            </w:r>
            <w:r w:rsidRPr="00C51ECB">
              <w:rPr>
                <w:sz w:val="20"/>
                <w:lang w:val="fr-CA"/>
              </w:rPr>
              <w:lastRenderedPageBreak/>
              <w:t>témoignage d’un témoin éventuel — L’avocat du défendeur a appris que le témoignage présentait des faiblesses et a renoncé à la transaction — Les demandeurs en première instance tentent de faire exécuter les conditions de la transaction — Les avocats et les parties doivent</w:t>
            </w:r>
            <w:r w:rsidRPr="00C51ECB">
              <w:rPr>
                <w:sz w:val="20"/>
                <w:lang w:val="fr-CA"/>
              </w:rPr>
              <w:noBreakHyphen/>
              <w:t>ils s’appuyer sur les déclarations de l’avocat de la partie adverse et, dans l’affirmative, dans quelle mesure? — Dans quelles situations les avocats peuvent</w:t>
            </w:r>
            <w:r w:rsidRPr="00C51ECB">
              <w:rPr>
                <w:sz w:val="20"/>
                <w:lang w:val="fr-CA"/>
              </w:rPr>
              <w:noBreakHyphen/>
              <w:t xml:space="preserve">ils tenir pour </w:t>
            </w:r>
            <w:proofErr w:type="spellStart"/>
            <w:r w:rsidRPr="00C51ECB">
              <w:rPr>
                <w:sz w:val="20"/>
                <w:lang w:val="fr-CA"/>
              </w:rPr>
              <w:t>avérée</w:t>
            </w:r>
            <w:proofErr w:type="spellEnd"/>
            <w:r w:rsidRPr="00C51ECB">
              <w:rPr>
                <w:sz w:val="20"/>
                <w:lang w:val="fr-CA"/>
              </w:rPr>
              <w:t>, sans autre vérification, la parole de l’avocat de la partie adverse, et s’y fier, plutôt que d’en faire fi comme n’étant que la « défense d’une cause ».</w:t>
            </w:r>
          </w:p>
        </w:tc>
      </w:tr>
      <w:tr w:rsidR="00D84BE0" w:rsidRPr="00C51ECB" w:rsidTr="00E95A6A">
        <w:tc>
          <w:tcPr>
            <w:tcW w:w="5000" w:type="pct"/>
            <w:gridSpan w:val="4"/>
          </w:tcPr>
          <w:p w:rsidR="00D84BE0" w:rsidRPr="00C51ECB" w:rsidRDefault="00D84BE0" w:rsidP="00465096">
            <w:pPr>
              <w:jc w:val="both"/>
              <w:rPr>
                <w:sz w:val="20"/>
                <w:lang w:val="fr-CA"/>
              </w:rPr>
            </w:pP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Le demandeur et les intimés ont été impliqués dans un accident de la route en novembre 2008, lorsque le véhicule conduit par M. Fleury a embouti l’arrière du véhicule de la famille Paulus à une intersection. La famille Paulus a poursuivi M. Fleury en dommages-intérêts. Les parties et leurs avocats ont comparu à une conférence préparatoire au procès et il y a été question de causalité. Pendant cette conférence, l’avocat de la famille Paulus a affirmé qu’il avait des témoins « indépendants » de la collision, que ceux</w:t>
            </w:r>
            <w:r w:rsidRPr="00C51ECB">
              <w:rPr>
                <w:sz w:val="20"/>
                <w:lang w:val="fr-CA"/>
              </w:rPr>
              <w:noBreakHyphen/>
              <w:t>ci seraient « de bons témoins » et qu’ils corroboraient le récit de ses clients à propos de l’accident. L’avocat de M. Fleury a accepté de régler le dossier à l’amiable. Immédiatement après la conférence, l’avocat de M. Fleury a appris que les témoins avaient de la difficulté à communiquer en anglais et qu’ils connaissaient la famille Paulus. L’avocat de M. Fleury a écrit à l’avocat des demandeurs pour répudier la transaction. Par motion, la famille Paulus a demandé l’exécution de la transaction. Le juge de première instance a rejeté leur motion. Cette décision a été infirmée en appel.</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20 février 2018</w:t>
            </w:r>
          </w:p>
          <w:p w:rsidR="00D84BE0" w:rsidRPr="00C51ECB" w:rsidRDefault="00D84BE0" w:rsidP="00465096">
            <w:pPr>
              <w:jc w:val="both"/>
              <w:rPr>
                <w:sz w:val="20"/>
                <w:lang w:val="fr-CA"/>
              </w:rPr>
            </w:pPr>
            <w:r w:rsidRPr="00C51ECB">
              <w:rPr>
                <w:sz w:val="20"/>
                <w:lang w:val="fr-CA"/>
              </w:rPr>
              <w:t>Cour supérieure de justice de l’Ontario</w:t>
            </w:r>
          </w:p>
          <w:p w:rsidR="00D84BE0" w:rsidRPr="00C51ECB" w:rsidRDefault="00D84BE0" w:rsidP="00465096">
            <w:pPr>
              <w:jc w:val="both"/>
              <w:rPr>
                <w:sz w:val="20"/>
                <w:lang w:val="fr-CA"/>
              </w:rPr>
            </w:pPr>
            <w:r w:rsidRPr="00C51ECB">
              <w:rPr>
                <w:sz w:val="20"/>
                <w:lang w:val="fr-CA"/>
              </w:rPr>
              <w:t>(Juge Heeney)</w:t>
            </w:r>
          </w:p>
          <w:p w:rsidR="00D84BE0" w:rsidRPr="00C51ECB" w:rsidRDefault="00C51ECB" w:rsidP="00465096">
            <w:pPr>
              <w:jc w:val="both"/>
              <w:rPr>
                <w:sz w:val="20"/>
                <w:lang w:val="fr-CA"/>
              </w:rPr>
            </w:pPr>
            <w:hyperlink r:id="rId31" w:history="1">
              <w:r w:rsidR="00D84BE0" w:rsidRPr="00C51ECB">
                <w:rPr>
                  <w:rStyle w:val="Hyperlink"/>
                  <w:sz w:val="20"/>
                  <w:lang w:val="fr-CA"/>
                </w:rPr>
                <w:t>2018 ONSC 1188</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Rejet de la motion des intimés en exécution d’une transaction sur l’action pour accident de la route en application de la règle 49.09</w:t>
            </w:r>
          </w:p>
          <w:p w:rsidR="00D84BE0" w:rsidRPr="00C51ECB" w:rsidRDefault="00D84BE0" w:rsidP="00465096">
            <w:pPr>
              <w:jc w:val="both"/>
              <w:rPr>
                <w:sz w:val="20"/>
                <w:lang w:val="fr-CA"/>
              </w:rPr>
            </w:pP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21 décembre 2018</w:t>
            </w:r>
          </w:p>
          <w:p w:rsidR="00D84BE0" w:rsidRPr="00C51ECB" w:rsidRDefault="00D84BE0" w:rsidP="00465096">
            <w:pPr>
              <w:jc w:val="both"/>
              <w:rPr>
                <w:sz w:val="20"/>
                <w:lang w:val="fr-CA"/>
              </w:rPr>
            </w:pPr>
            <w:r w:rsidRPr="00C51ECB">
              <w:rPr>
                <w:sz w:val="20"/>
                <w:lang w:val="fr-CA"/>
              </w:rPr>
              <w:t>Cour d’appel de l’Ontario</w:t>
            </w:r>
          </w:p>
          <w:p w:rsidR="00D84BE0" w:rsidRPr="00C51ECB" w:rsidRDefault="00D84BE0" w:rsidP="00465096">
            <w:pPr>
              <w:jc w:val="both"/>
              <w:rPr>
                <w:sz w:val="20"/>
                <w:lang w:val="fr-CA"/>
              </w:rPr>
            </w:pPr>
            <w:r w:rsidRPr="00C51ECB">
              <w:rPr>
                <w:sz w:val="20"/>
                <w:lang w:val="fr-CA"/>
              </w:rPr>
              <w:t>(Juges Feldman, Pardu et Roberts)</w:t>
            </w:r>
          </w:p>
          <w:p w:rsidR="00D84BE0" w:rsidRPr="00C51ECB" w:rsidRDefault="00C51ECB" w:rsidP="00465096">
            <w:pPr>
              <w:jc w:val="both"/>
              <w:rPr>
                <w:sz w:val="20"/>
                <w:lang w:val="fr-CA"/>
              </w:rPr>
            </w:pPr>
            <w:hyperlink r:id="rId32" w:history="1">
              <w:r w:rsidR="00D84BE0" w:rsidRPr="00C51ECB">
                <w:rPr>
                  <w:rStyle w:val="Hyperlink"/>
                  <w:sz w:val="20"/>
                  <w:lang w:val="fr-CA"/>
                </w:rPr>
                <w:t>2018 ONCA 1072</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Arrêt accueillant l’appel des intimés</w:t>
            </w:r>
          </w:p>
          <w:p w:rsidR="00D84BE0" w:rsidRPr="00C51ECB" w:rsidRDefault="00D84BE0" w:rsidP="00465096">
            <w:pPr>
              <w:jc w:val="both"/>
              <w:rPr>
                <w:sz w:val="20"/>
                <w:lang w:val="fr-CA"/>
              </w:rPr>
            </w:pP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18 février 2019</w:t>
            </w:r>
          </w:p>
          <w:p w:rsidR="00D84BE0" w:rsidRPr="00C51ECB" w:rsidRDefault="00D84BE0" w:rsidP="00465096">
            <w:pPr>
              <w:jc w:val="both"/>
              <w:rPr>
                <w:sz w:val="20"/>
                <w:lang w:val="fr-CA"/>
              </w:rPr>
            </w:pPr>
            <w:r w:rsidRPr="00C51ECB">
              <w:rPr>
                <w:sz w:val="20"/>
                <w:lang w:val="fr-CA"/>
              </w:rPr>
              <w:t>Cour suprême du Canada</w:t>
            </w: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Dépôt de la demande d’autorisation d’appel</w:t>
            </w:r>
          </w:p>
          <w:p w:rsidR="00D84BE0" w:rsidRPr="00C51ECB" w:rsidRDefault="00D84BE0" w:rsidP="00465096">
            <w:pPr>
              <w:jc w:val="both"/>
              <w:rPr>
                <w:sz w:val="20"/>
                <w:lang w:val="fr-CA"/>
              </w:rPr>
            </w:pPr>
          </w:p>
        </w:tc>
      </w:tr>
    </w:tbl>
    <w:p w:rsidR="00D84BE0" w:rsidRPr="00C51ECB" w:rsidRDefault="00D84BE0" w:rsidP="00465096">
      <w:pPr>
        <w:jc w:val="both"/>
        <w:rPr>
          <w:sz w:val="20"/>
          <w:lang w:val="fr-CA"/>
        </w:rPr>
      </w:pPr>
    </w:p>
    <w:p w:rsidR="00D84BE0" w:rsidRPr="00C51ECB" w:rsidRDefault="0084772C" w:rsidP="00465096">
      <w:pPr>
        <w:ind w:left="142" w:hanging="142"/>
        <w:jc w:val="both"/>
        <w:rPr>
          <w:sz w:val="20"/>
          <w:lang w:val="fr-CA"/>
        </w:rPr>
      </w:pPr>
      <w:r w:rsidRPr="00C51ECB">
        <w:rPr>
          <w:sz w:val="20"/>
        </w:rPr>
        <w:pict>
          <v:rect id="_x0000_i1034" style="width:2in;height:1pt" o:hrpct="0" o:hralign="center" o:hrstd="t" o:hrnoshade="t" o:hr="t" fillcolor="black [3213]" stroked="f"/>
        </w:pict>
      </w:r>
    </w:p>
    <w:p w:rsidR="0084772C" w:rsidRPr="00C51ECB" w:rsidRDefault="0084772C"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rPr>
            </w:pPr>
            <w:r w:rsidRPr="00C51ECB">
              <w:rPr>
                <w:rStyle w:val="SCCFileNumberChar"/>
                <w:sz w:val="20"/>
                <w:szCs w:val="20"/>
              </w:rPr>
              <w:t>38510</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Daniel Barna v. Her Majesty the Queen</w:t>
            </w:r>
          </w:p>
          <w:p w:rsidR="00D84BE0" w:rsidRPr="00C51ECB" w:rsidRDefault="00D84BE0" w:rsidP="00465096">
            <w:pPr>
              <w:jc w:val="both"/>
              <w:rPr>
                <w:sz w:val="20"/>
              </w:rPr>
            </w:pPr>
            <w:r w:rsidRPr="00C51ECB">
              <w:rPr>
                <w:sz w:val="20"/>
              </w:rPr>
              <w:t>(Ont.) (Criminal) (By Leave)</w:t>
            </w:r>
          </w:p>
        </w:tc>
      </w:tr>
      <w:tr w:rsidR="00D84BE0" w:rsidRPr="00C51ECB" w:rsidTr="00E95A6A">
        <w:tc>
          <w:tcPr>
            <w:tcW w:w="5000" w:type="pct"/>
            <w:gridSpan w:val="4"/>
          </w:tcPr>
          <w:p w:rsidR="00D84BE0" w:rsidRPr="00C51ECB" w:rsidRDefault="00D84BE0" w:rsidP="00465096">
            <w:pPr>
              <w:jc w:val="both"/>
              <w:rPr>
                <w:sz w:val="20"/>
              </w:rPr>
            </w:pPr>
            <w:r w:rsidRPr="00C51ECB">
              <w:rPr>
                <w:i/>
                <w:sz w:val="20"/>
              </w:rPr>
              <w:t>Charter of Rights —</w:t>
            </w:r>
            <w:r w:rsidRPr="00C51ECB">
              <w:rPr>
                <w:sz w:val="20"/>
              </w:rPr>
              <w:t xml:space="preserve"> Right to be tried within a reasonable time — Criminal law — Elements of offence — Whether the applicant’s s. 11(b) </w:t>
            </w:r>
            <w:r w:rsidRPr="00C51ECB">
              <w:rPr>
                <w:i/>
                <w:sz w:val="20"/>
              </w:rPr>
              <w:t>Charter</w:t>
            </w:r>
            <w:r w:rsidRPr="00C51ECB">
              <w:rPr>
                <w:sz w:val="20"/>
              </w:rPr>
              <w:t xml:space="preserve"> rights were violated — Whether the Court of Appeal erred in not reversing the trial judge’s ruling on the applicant’s s. 11(b) </w:t>
            </w:r>
            <w:r w:rsidRPr="00C51ECB">
              <w:rPr>
                <w:i/>
                <w:sz w:val="20"/>
              </w:rPr>
              <w:t>Charter</w:t>
            </w:r>
            <w:r w:rsidRPr="00C51ECB">
              <w:rPr>
                <w:sz w:val="20"/>
              </w:rPr>
              <w:t xml:space="preserve"> motion — Whether the </w:t>
            </w:r>
            <w:r w:rsidRPr="00C51ECB">
              <w:rPr>
                <w:color w:val="000000"/>
                <w:sz w:val="20"/>
              </w:rPr>
              <w:t xml:space="preserve">prosecution can roll multiple charges and accused together and then on an 11(b) motion claim the case was “complex” because it required more time to be heard — Whether the Court of Appeal misinterpreted or misapplied the </w:t>
            </w:r>
            <w:r w:rsidRPr="00C51ECB">
              <w:rPr>
                <w:i/>
                <w:color w:val="000000"/>
                <w:sz w:val="20"/>
              </w:rPr>
              <w:t>Lyttle</w:t>
            </w:r>
            <w:r w:rsidRPr="00C51ECB">
              <w:rPr>
                <w:color w:val="000000"/>
                <w:sz w:val="20"/>
              </w:rPr>
              <w:t xml:space="preserve"> decision — Whether the Court of Appeal erred in their consideration of willful blindness and the </w:t>
            </w:r>
            <w:r w:rsidRPr="00C51ECB">
              <w:rPr>
                <w:i/>
                <w:color w:val="000000"/>
                <w:sz w:val="20"/>
              </w:rPr>
              <w:t>actus reus</w:t>
            </w:r>
            <w:r w:rsidRPr="00C51ECB">
              <w:rPr>
                <w:color w:val="000000"/>
                <w:sz w:val="20"/>
              </w:rPr>
              <w:t xml:space="preserve"> of the offence </w:t>
            </w:r>
            <w:r w:rsidRPr="00C51ECB">
              <w:rPr>
                <w:sz w:val="20"/>
              </w:rPr>
              <w:t xml:space="preserve">— s. 11(b) of the </w:t>
            </w:r>
            <w:r w:rsidRPr="00C51ECB">
              <w:rPr>
                <w:i/>
                <w:sz w:val="20"/>
              </w:rPr>
              <w:t>Charter of Rights and Freedoms</w:t>
            </w:r>
            <w:r w:rsidRPr="00C51ECB">
              <w:rPr>
                <w:sz w:val="20"/>
              </w:rPr>
              <w:t>.</w:t>
            </w:r>
          </w:p>
          <w:p w:rsidR="00D84BE0" w:rsidRPr="00C51ECB" w:rsidRDefault="00D84BE0" w:rsidP="00465096">
            <w:pPr>
              <w:jc w:val="both"/>
              <w:rPr>
                <w:sz w:val="20"/>
              </w:rPr>
            </w:pPr>
          </w:p>
        </w:tc>
      </w:tr>
      <w:tr w:rsidR="00D84BE0" w:rsidRPr="00C51ECB" w:rsidTr="00E95A6A">
        <w:tc>
          <w:tcPr>
            <w:tcW w:w="5000" w:type="pct"/>
            <w:gridSpan w:val="4"/>
          </w:tcPr>
          <w:p w:rsidR="00D84BE0" w:rsidRPr="00C51ECB" w:rsidRDefault="00D84BE0" w:rsidP="00465096">
            <w:pPr>
              <w:jc w:val="both"/>
              <w:rPr>
                <w:sz w:val="20"/>
              </w:rPr>
            </w:pPr>
            <w:r w:rsidRPr="00C51ECB">
              <w:rPr>
                <w:sz w:val="20"/>
                <w:lang w:val="en"/>
              </w:rPr>
              <w:t>The charges arise out of three separate financial transactions which occurred in September of 2009 in Toronto and Caledon. The Crown alleges that three fraudulent financial instruments totaling approximately $1.5 million were deposited into bank accounts at CIBC in Scarborough and the RBC in Bolton and the proceeds immediately withdrawn in cash or cash equivalents and dispersed. The Crown alleges that this was part of one scheme to defraud the banks in question and launder the money received. The Crown further alleges that Daniel Barna and other individuals were involved and participated in the scheme. Mr. Barna and the other co</w:t>
            </w:r>
            <w:r w:rsidRPr="00C51ECB">
              <w:rPr>
                <w:sz w:val="20"/>
                <w:lang w:val="en"/>
              </w:rPr>
              <w:noBreakHyphen/>
              <w:t xml:space="preserve">accused brought an application asserting that </w:t>
            </w:r>
            <w:proofErr w:type="spellStart"/>
            <w:r w:rsidRPr="00C51ECB">
              <w:rPr>
                <w:sz w:val="20"/>
                <w:lang w:val="en"/>
              </w:rPr>
              <w:t>their s</w:t>
            </w:r>
            <w:proofErr w:type="spellEnd"/>
            <w:r w:rsidRPr="00C51ECB">
              <w:rPr>
                <w:sz w:val="20"/>
                <w:lang w:val="en"/>
              </w:rPr>
              <w:t xml:space="preserve">. 11(b) </w:t>
            </w:r>
            <w:r w:rsidRPr="00C51ECB">
              <w:rPr>
                <w:i/>
                <w:sz w:val="20"/>
                <w:lang w:val="en"/>
              </w:rPr>
              <w:t>Charter</w:t>
            </w:r>
            <w:r w:rsidRPr="00C51ECB">
              <w:rPr>
                <w:sz w:val="20"/>
                <w:lang w:val="en"/>
              </w:rPr>
              <w:t xml:space="preserve"> rights had been breached due to the delay in the charges coming to trial. </w:t>
            </w:r>
            <w:r w:rsidRPr="00C51ECB">
              <w:rPr>
                <w:sz w:val="20"/>
              </w:rPr>
              <w:t xml:space="preserve">The application judge held that the transitional exceptional circumstance was dispositive and dismissed the s. 11(b) </w:t>
            </w:r>
            <w:r w:rsidRPr="00C51ECB">
              <w:rPr>
                <w:i/>
                <w:sz w:val="20"/>
              </w:rPr>
              <w:t>Charter</w:t>
            </w:r>
            <w:r w:rsidRPr="00C51ECB">
              <w:rPr>
                <w:sz w:val="20"/>
              </w:rPr>
              <w:t xml:space="preserve"> application. Mr. Barna was convicted of money laundering and his conviction appeal was dismissed.</w:t>
            </w:r>
          </w:p>
          <w:p w:rsidR="00D84BE0" w:rsidRPr="00C51ECB" w:rsidRDefault="00D84BE0" w:rsidP="00465096">
            <w:pPr>
              <w:jc w:val="both"/>
              <w:rPr>
                <w:sz w:val="20"/>
                <w:lang w:val="en"/>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lastRenderedPageBreak/>
              <w:t>June 20, 2014</w:t>
            </w:r>
          </w:p>
          <w:p w:rsidR="00D84BE0" w:rsidRPr="00C51ECB" w:rsidRDefault="00D84BE0" w:rsidP="00465096">
            <w:pPr>
              <w:jc w:val="both"/>
              <w:rPr>
                <w:sz w:val="20"/>
              </w:rPr>
            </w:pPr>
            <w:r w:rsidRPr="00C51ECB">
              <w:rPr>
                <w:sz w:val="20"/>
              </w:rPr>
              <w:t>Ontario Superior Court of Justice</w:t>
            </w:r>
          </w:p>
          <w:p w:rsidR="00D84BE0" w:rsidRPr="00C51ECB" w:rsidRDefault="00D84BE0" w:rsidP="00465096">
            <w:pPr>
              <w:jc w:val="both"/>
              <w:rPr>
                <w:sz w:val="20"/>
              </w:rPr>
            </w:pPr>
            <w:r w:rsidRPr="00C51ECB">
              <w:rPr>
                <w:sz w:val="20"/>
              </w:rPr>
              <w:t>(Pattillo J.)</w:t>
            </w:r>
          </w:p>
          <w:p w:rsidR="00D84BE0" w:rsidRPr="00C51ECB" w:rsidRDefault="00C51ECB" w:rsidP="00465096">
            <w:pPr>
              <w:jc w:val="both"/>
              <w:rPr>
                <w:sz w:val="20"/>
              </w:rPr>
            </w:pPr>
            <w:hyperlink r:id="rId33" w:history="1">
              <w:r w:rsidR="00D84BE0" w:rsidRPr="00C51ECB">
                <w:rPr>
                  <w:rStyle w:val="Hyperlink"/>
                  <w:sz w:val="20"/>
                </w:rPr>
                <w:t>2014 ONSC 1011</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Conviction: money laundering</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December 14, 2018</w:t>
            </w:r>
          </w:p>
          <w:p w:rsidR="00D84BE0" w:rsidRPr="00C51ECB" w:rsidRDefault="00D84BE0" w:rsidP="00465096">
            <w:pPr>
              <w:jc w:val="both"/>
              <w:rPr>
                <w:sz w:val="20"/>
              </w:rPr>
            </w:pPr>
            <w:r w:rsidRPr="00C51ECB">
              <w:rPr>
                <w:sz w:val="20"/>
              </w:rPr>
              <w:t>Court of Appeal for Ontario</w:t>
            </w:r>
          </w:p>
          <w:p w:rsidR="00D84BE0" w:rsidRPr="00C51ECB" w:rsidRDefault="00D84BE0" w:rsidP="00465096">
            <w:pPr>
              <w:jc w:val="both"/>
              <w:rPr>
                <w:sz w:val="20"/>
              </w:rPr>
            </w:pPr>
            <w:r w:rsidRPr="00C51ECB">
              <w:rPr>
                <w:sz w:val="20"/>
              </w:rPr>
              <w:t>(Hoy A.C.J.O., Feldman and Benotto JJ.A.)</w:t>
            </w:r>
          </w:p>
          <w:p w:rsidR="00D84BE0" w:rsidRPr="00C51ECB" w:rsidRDefault="00C51ECB" w:rsidP="00465096">
            <w:pPr>
              <w:jc w:val="both"/>
              <w:rPr>
                <w:sz w:val="20"/>
              </w:rPr>
            </w:pPr>
            <w:hyperlink r:id="rId34" w:history="1">
              <w:r w:rsidR="00D84BE0" w:rsidRPr="00C51ECB">
                <w:rPr>
                  <w:rStyle w:val="Hyperlink"/>
                  <w:sz w:val="20"/>
                </w:rPr>
                <w:t>2018 ONCA 1034</w:t>
              </w:r>
            </w:hyperlink>
            <w:r w:rsidR="00D84BE0" w:rsidRPr="00C51ECB">
              <w:rPr>
                <w:sz w:val="20"/>
              </w:rPr>
              <w:t>;C59314</w:t>
            </w:r>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Appeal against conviction dismissed</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February 11, 2019</w:t>
            </w:r>
          </w:p>
          <w:p w:rsidR="00D84BE0" w:rsidRPr="00C51ECB" w:rsidRDefault="00D84BE0" w:rsidP="00465096">
            <w:pPr>
              <w:jc w:val="both"/>
              <w:rPr>
                <w:sz w:val="20"/>
              </w:rPr>
            </w:pPr>
            <w:r w:rsidRPr="00C51ECB">
              <w:rPr>
                <w:sz w:val="20"/>
              </w:rPr>
              <w:t xml:space="preserve">Supreme Court of Canada </w:t>
            </w: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Application for leave to appeal filed</w:t>
            </w:r>
          </w:p>
          <w:p w:rsidR="00D84BE0" w:rsidRPr="00C51ECB" w:rsidRDefault="00D84BE0" w:rsidP="00465096">
            <w:pPr>
              <w:jc w:val="both"/>
              <w:rPr>
                <w:sz w:val="20"/>
              </w:rPr>
            </w:pPr>
          </w:p>
        </w:tc>
      </w:tr>
    </w:tbl>
    <w:p w:rsidR="00D84BE0" w:rsidRPr="00C51ECB" w:rsidRDefault="00D84BE0" w:rsidP="00465096">
      <w:pPr>
        <w:jc w:val="both"/>
        <w:rPr>
          <w:sz w:val="20"/>
        </w:rPr>
      </w:pPr>
    </w:p>
    <w:p w:rsidR="0084772C" w:rsidRPr="00C51ECB" w:rsidRDefault="0084772C" w:rsidP="00465096">
      <w:pPr>
        <w:jc w:val="both"/>
        <w:rPr>
          <w:sz w:val="20"/>
        </w:rPr>
      </w:pPr>
      <w:r w:rsidRPr="00C51ECB">
        <w:rPr>
          <w:sz w:val="20"/>
        </w:rPr>
        <w:pict>
          <v:rect id="_x0000_i1035"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lang w:val="fr-CA"/>
              </w:rPr>
            </w:pPr>
            <w:r w:rsidRPr="00C51ECB">
              <w:rPr>
                <w:rStyle w:val="SCCFileNumberChar"/>
                <w:sz w:val="20"/>
                <w:szCs w:val="20"/>
                <w:lang w:val="fr-CA"/>
              </w:rPr>
              <w:t>38510</w:t>
            </w:r>
          </w:p>
        </w:tc>
        <w:tc>
          <w:tcPr>
            <w:tcW w:w="4457" w:type="pct"/>
            <w:gridSpan w:val="3"/>
          </w:tcPr>
          <w:p w:rsidR="00D84BE0" w:rsidRPr="00C51ECB" w:rsidRDefault="00D84BE0" w:rsidP="00465096">
            <w:pPr>
              <w:pStyle w:val="SCCLsocParty"/>
              <w:jc w:val="both"/>
              <w:rPr>
                <w:b/>
                <w:sz w:val="20"/>
                <w:szCs w:val="20"/>
              </w:rPr>
            </w:pPr>
            <w:r w:rsidRPr="00C51ECB">
              <w:rPr>
                <w:b/>
                <w:sz w:val="20"/>
                <w:szCs w:val="20"/>
              </w:rPr>
              <w:t>Daniel Barna c. Sa Majesté la Reine</w:t>
            </w:r>
          </w:p>
          <w:p w:rsidR="00D84BE0" w:rsidRPr="00C51ECB" w:rsidRDefault="00D84BE0" w:rsidP="0084772C">
            <w:pPr>
              <w:jc w:val="both"/>
              <w:rPr>
                <w:sz w:val="20"/>
                <w:lang w:val="fr-CA"/>
              </w:rPr>
            </w:pPr>
            <w:r w:rsidRPr="00C51ECB">
              <w:rPr>
                <w:sz w:val="20"/>
                <w:lang w:val="fr-CA"/>
              </w:rPr>
              <w:t>(Ont.) (Criminelle) (Autorisation)</w:t>
            </w:r>
          </w:p>
        </w:tc>
      </w:tr>
      <w:tr w:rsidR="00D84BE0" w:rsidRPr="00C51ECB" w:rsidTr="00E95A6A">
        <w:tc>
          <w:tcPr>
            <w:tcW w:w="5000" w:type="pct"/>
            <w:gridSpan w:val="4"/>
          </w:tcPr>
          <w:p w:rsidR="00D84BE0" w:rsidRPr="00C51ECB" w:rsidRDefault="00D84BE0" w:rsidP="00465096">
            <w:pPr>
              <w:jc w:val="both"/>
              <w:rPr>
                <w:sz w:val="20"/>
                <w:lang w:val="fr-CA"/>
              </w:rPr>
            </w:pPr>
            <w:r w:rsidRPr="00C51ECB">
              <w:rPr>
                <w:i/>
                <w:sz w:val="20"/>
                <w:lang w:val="fr-CA"/>
              </w:rPr>
              <w:t>Charte des droits —</w:t>
            </w:r>
            <w:r w:rsidRPr="00C51ECB">
              <w:rPr>
                <w:sz w:val="20"/>
                <w:lang w:val="fr-CA"/>
              </w:rPr>
              <w:t xml:space="preserve"> Procès dans un délai raisonnable — Droit criminel — Éléments de l’infraction — Les droits que l’al. 11b) de la </w:t>
            </w:r>
            <w:r w:rsidRPr="00C51ECB">
              <w:rPr>
                <w:i/>
                <w:sz w:val="20"/>
                <w:lang w:val="fr-CA"/>
              </w:rPr>
              <w:t>Charte</w:t>
            </w:r>
            <w:r w:rsidRPr="00C51ECB">
              <w:rPr>
                <w:sz w:val="20"/>
                <w:lang w:val="fr-CA"/>
              </w:rPr>
              <w:t xml:space="preserve"> garantit au demandeur ont</w:t>
            </w:r>
            <w:r w:rsidRPr="00C51ECB">
              <w:rPr>
                <w:sz w:val="20"/>
                <w:lang w:val="fr-CA"/>
              </w:rPr>
              <w:noBreakHyphen/>
              <w:t>ils été violés? — La Cour d’appel a</w:t>
            </w:r>
            <w:r w:rsidRPr="00C51ECB">
              <w:rPr>
                <w:sz w:val="20"/>
                <w:lang w:val="fr-CA"/>
              </w:rPr>
              <w:noBreakHyphen/>
              <w:t>t</w:t>
            </w:r>
            <w:r w:rsidRPr="00C51ECB">
              <w:rPr>
                <w:sz w:val="20"/>
                <w:lang w:val="fr-CA"/>
              </w:rPr>
              <w:noBreakHyphen/>
              <w:t xml:space="preserve">elle eu tort de ne pas infirmer le jugement du juge du procès sur la motion du demandeur fondée sur l’al. 11b) de la </w:t>
            </w:r>
            <w:r w:rsidRPr="00C51ECB">
              <w:rPr>
                <w:i/>
                <w:sz w:val="20"/>
                <w:lang w:val="fr-CA"/>
              </w:rPr>
              <w:t>Charte</w:t>
            </w:r>
            <w:r w:rsidRPr="00C51ECB">
              <w:rPr>
                <w:sz w:val="20"/>
                <w:lang w:val="fr-CA"/>
              </w:rPr>
              <w:t>? — La poursuite peut</w:t>
            </w:r>
            <w:r w:rsidRPr="00C51ECB">
              <w:rPr>
                <w:sz w:val="20"/>
                <w:lang w:val="fr-CA"/>
              </w:rPr>
              <w:noBreakHyphen/>
              <w:t>elle réunir plusieurs inculpations et plusieurs accusés, puis, en réponse à une motion fondée sur l’al. 1</w:t>
            </w:r>
            <w:r w:rsidRPr="00C51ECB">
              <w:rPr>
                <w:color w:val="000000"/>
                <w:sz w:val="20"/>
                <w:lang w:val="fr-CA"/>
              </w:rPr>
              <w:t>1b), prétendre qu’une affaire est « complexe » parce qu’il a fallu plus de temps pour l’instruire? — La Cour d’appel a</w:t>
            </w:r>
            <w:r w:rsidRPr="00C51ECB">
              <w:rPr>
                <w:color w:val="000000"/>
                <w:sz w:val="20"/>
                <w:lang w:val="fr-CA"/>
              </w:rPr>
              <w:noBreakHyphen/>
              <w:t>t</w:t>
            </w:r>
            <w:r w:rsidRPr="00C51ECB">
              <w:rPr>
                <w:color w:val="000000"/>
                <w:sz w:val="20"/>
                <w:lang w:val="fr-CA"/>
              </w:rPr>
              <w:noBreakHyphen/>
              <w:t xml:space="preserve">elle mal interprété ou mal appliqué l’arrêt </w:t>
            </w:r>
            <w:r w:rsidRPr="00C51ECB">
              <w:rPr>
                <w:i/>
                <w:color w:val="000000"/>
                <w:sz w:val="20"/>
                <w:lang w:val="fr-CA"/>
              </w:rPr>
              <w:t>Lyttle</w:t>
            </w:r>
            <w:r w:rsidRPr="00C51ECB">
              <w:rPr>
                <w:color w:val="000000"/>
                <w:sz w:val="20"/>
                <w:lang w:val="fr-CA"/>
              </w:rPr>
              <w:t>? — La Cour d’appel a</w:t>
            </w:r>
            <w:r w:rsidRPr="00C51ECB">
              <w:rPr>
                <w:color w:val="000000"/>
                <w:sz w:val="20"/>
                <w:lang w:val="fr-CA"/>
              </w:rPr>
              <w:noBreakHyphen/>
              <w:t>t</w:t>
            </w:r>
            <w:r w:rsidRPr="00C51ECB">
              <w:rPr>
                <w:color w:val="000000"/>
                <w:sz w:val="20"/>
                <w:lang w:val="fr-CA"/>
              </w:rPr>
              <w:noBreakHyphen/>
              <w:t xml:space="preserve">elle commis des erreurs dans son examen de l’aveuglement volontaire et de </w:t>
            </w:r>
            <w:proofErr w:type="gramStart"/>
            <w:r w:rsidRPr="00C51ECB">
              <w:rPr>
                <w:color w:val="000000"/>
                <w:sz w:val="20"/>
                <w:lang w:val="fr-CA"/>
              </w:rPr>
              <w:t>l’</w:t>
            </w:r>
            <w:r w:rsidRPr="00C51ECB">
              <w:rPr>
                <w:i/>
                <w:color w:val="000000"/>
                <w:sz w:val="20"/>
                <w:lang w:val="fr-CA"/>
              </w:rPr>
              <w:t>actus</w:t>
            </w:r>
            <w:proofErr w:type="gramEnd"/>
            <w:r w:rsidRPr="00C51ECB">
              <w:rPr>
                <w:i/>
                <w:color w:val="000000"/>
                <w:sz w:val="20"/>
                <w:lang w:val="fr-CA"/>
              </w:rPr>
              <w:t xml:space="preserve"> reus</w:t>
            </w:r>
            <w:r w:rsidRPr="00C51ECB">
              <w:rPr>
                <w:color w:val="000000"/>
                <w:sz w:val="20"/>
                <w:lang w:val="fr-CA"/>
              </w:rPr>
              <w:t xml:space="preserve"> de l’infraction?</w:t>
            </w:r>
            <w:r w:rsidRPr="00C51ECB">
              <w:rPr>
                <w:sz w:val="20"/>
                <w:lang w:val="fr-CA"/>
              </w:rPr>
              <w:t xml:space="preserve"> — Alinéa 11b) de la </w:t>
            </w:r>
            <w:r w:rsidRPr="00C51ECB">
              <w:rPr>
                <w:i/>
                <w:sz w:val="20"/>
                <w:lang w:val="fr-CA"/>
              </w:rPr>
              <w:t>Charte des droits et libertés</w:t>
            </w:r>
            <w:r w:rsidRPr="00C51ECB">
              <w:rPr>
                <w:sz w:val="20"/>
                <w:lang w:val="fr-CA"/>
              </w:rPr>
              <w:t>.</w:t>
            </w:r>
          </w:p>
          <w:p w:rsidR="00D84BE0" w:rsidRPr="00C51ECB" w:rsidRDefault="00D84BE0" w:rsidP="00465096">
            <w:pPr>
              <w:jc w:val="both"/>
              <w:rPr>
                <w:sz w:val="20"/>
                <w:lang w:val="fr-CA"/>
              </w:rPr>
            </w:pP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Les inculpations découlent de trois opérations financières distinctes qui ont eu lieu en septembre 2009 à Toronto et à Caledon. Le ministère public allègue que trois instruments financiers frauduleux totalisant environ 1,5 million de dollars ont été déposés dans des comptes bancaires de la CIBC à Scarborough et de la RBC à Bolton et que les produits ont été immédiatement retirés en espèces ou en quasi</w:t>
            </w:r>
            <w:r w:rsidRPr="00C51ECB">
              <w:rPr>
                <w:sz w:val="20"/>
                <w:lang w:val="fr-CA"/>
              </w:rPr>
              <w:noBreakHyphen/>
              <w:t xml:space="preserve">espèces, puis dispersés. Le ministère public allègue que ces opérations faisaient partie d’un stratagème pour frauder les banques en question et blanchir l’argent reçu. Le ministère public allègue en outre que Daniel Barna et d’autres personnes étaient impliqués et ont participé au stratagème. Monsieur Barna et les autres coaccusés ont présenté une requête alléguant que les droits que leur </w:t>
            </w:r>
            <w:proofErr w:type="gramStart"/>
            <w:r w:rsidRPr="00C51ECB">
              <w:rPr>
                <w:sz w:val="20"/>
                <w:lang w:val="fr-CA"/>
              </w:rPr>
              <w:t>garantit</w:t>
            </w:r>
            <w:proofErr w:type="gramEnd"/>
            <w:r w:rsidRPr="00C51ECB">
              <w:rPr>
                <w:sz w:val="20"/>
                <w:lang w:val="fr-CA"/>
              </w:rPr>
              <w:t xml:space="preserve"> l’al. 11b) de la </w:t>
            </w:r>
            <w:r w:rsidRPr="00C51ECB">
              <w:rPr>
                <w:i/>
                <w:sz w:val="20"/>
                <w:lang w:val="fr-CA"/>
              </w:rPr>
              <w:t>Charte</w:t>
            </w:r>
            <w:r w:rsidRPr="00C51ECB">
              <w:rPr>
                <w:sz w:val="20"/>
                <w:lang w:val="fr-CA"/>
              </w:rPr>
              <w:t xml:space="preserve"> avaient été violés en raison du délai qui s’est écoulé entre les inculpations et le procès. Le juge des requêtes a statué que la mesure transitoire exceptionnelle était déterminante et a rejeté la requête fondée sur l’al. 11b) de la </w:t>
            </w:r>
            <w:r w:rsidRPr="00C51ECB">
              <w:rPr>
                <w:i/>
                <w:sz w:val="20"/>
                <w:lang w:val="fr-CA"/>
              </w:rPr>
              <w:t>Charte</w:t>
            </w:r>
            <w:r w:rsidRPr="00C51ECB">
              <w:rPr>
                <w:sz w:val="20"/>
                <w:lang w:val="fr-CA"/>
              </w:rPr>
              <w:t>. Monsieur Barna a été déclaré coupable de blanchiment d’argent et son appel de la déclaration de culpabilité a été rejeté.</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20 juin 2014</w:t>
            </w:r>
          </w:p>
          <w:p w:rsidR="00D84BE0" w:rsidRPr="00C51ECB" w:rsidRDefault="00D84BE0" w:rsidP="00465096">
            <w:pPr>
              <w:jc w:val="both"/>
              <w:rPr>
                <w:sz w:val="20"/>
                <w:lang w:val="fr-CA"/>
              </w:rPr>
            </w:pPr>
            <w:r w:rsidRPr="00C51ECB">
              <w:rPr>
                <w:sz w:val="20"/>
                <w:lang w:val="fr-CA"/>
              </w:rPr>
              <w:t>Cour supérieure de justice de l’Ontario</w:t>
            </w:r>
          </w:p>
          <w:p w:rsidR="00D84BE0" w:rsidRPr="00C51ECB" w:rsidRDefault="00D84BE0" w:rsidP="00465096">
            <w:pPr>
              <w:jc w:val="both"/>
              <w:rPr>
                <w:sz w:val="20"/>
                <w:lang w:val="fr-CA"/>
              </w:rPr>
            </w:pPr>
            <w:r w:rsidRPr="00C51ECB">
              <w:rPr>
                <w:sz w:val="20"/>
                <w:lang w:val="fr-CA"/>
              </w:rPr>
              <w:t>(Juge Pattillo)</w:t>
            </w:r>
          </w:p>
          <w:p w:rsidR="00D84BE0" w:rsidRPr="00C51ECB" w:rsidRDefault="00C51ECB" w:rsidP="00465096">
            <w:pPr>
              <w:jc w:val="both"/>
              <w:rPr>
                <w:sz w:val="20"/>
                <w:lang w:val="fr-CA"/>
              </w:rPr>
            </w:pPr>
            <w:hyperlink r:id="rId35" w:history="1">
              <w:r w:rsidR="00D84BE0" w:rsidRPr="00C51ECB">
                <w:rPr>
                  <w:rStyle w:val="Hyperlink"/>
                  <w:sz w:val="20"/>
                  <w:lang w:val="fr-CA"/>
                </w:rPr>
                <w:t>2014 ONSC 1011</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Déclaration de culpabilité : blanchiment d’argent</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14 décembre 2018</w:t>
            </w:r>
          </w:p>
          <w:p w:rsidR="00D84BE0" w:rsidRPr="00C51ECB" w:rsidRDefault="00D84BE0" w:rsidP="00465096">
            <w:pPr>
              <w:jc w:val="both"/>
              <w:rPr>
                <w:sz w:val="20"/>
                <w:lang w:val="fr-CA"/>
              </w:rPr>
            </w:pPr>
            <w:r w:rsidRPr="00C51ECB">
              <w:rPr>
                <w:sz w:val="20"/>
                <w:lang w:val="fr-CA"/>
              </w:rPr>
              <w:t>Cour d’appel de l’Ontario</w:t>
            </w:r>
          </w:p>
          <w:p w:rsidR="00D84BE0" w:rsidRPr="00C51ECB" w:rsidRDefault="00D84BE0" w:rsidP="00465096">
            <w:pPr>
              <w:jc w:val="both"/>
              <w:rPr>
                <w:sz w:val="20"/>
                <w:lang w:val="fr-CA"/>
              </w:rPr>
            </w:pPr>
            <w:r w:rsidRPr="00C51ECB">
              <w:rPr>
                <w:sz w:val="20"/>
                <w:lang w:val="fr-CA"/>
              </w:rPr>
              <w:t>(Juge en chef adjointe Hoy, juges Feldman et Benotto)</w:t>
            </w:r>
          </w:p>
          <w:p w:rsidR="00D84BE0" w:rsidRPr="00C51ECB" w:rsidRDefault="00C51ECB" w:rsidP="00465096">
            <w:pPr>
              <w:jc w:val="both"/>
              <w:rPr>
                <w:sz w:val="20"/>
                <w:lang w:val="fr-CA"/>
              </w:rPr>
            </w:pPr>
            <w:hyperlink r:id="rId36" w:history="1">
              <w:r w:rsidR="00D84BE0" w:rsidRPr="00C51ECB">
                <w:rPr>
                  <w:rStyle w:val="Hyperlink"/>
                  <w:sz w:val="20"/>
                  <w:lang w:val="fr-CA"/>
                </w:rPr>
                <w:t>2018 ONCA 1034</w:t>
              </w:r>
            </w:hyperlink>
            <w:r w:rsidR="00D84BE0" w:rsidRPr="00C51ECB">
              <w:rPr>
                <w:sz w:val="20"/>
                <w:lang w:val="fr-CA"/>
              </w:rPr>
              <w:t>;C59314</w:t>
            </w:r>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Rejet de l’appel de la déclaration de culpabilité</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11 février 2019</w:t>
            </w:r>
          </w:p>
          <w:p w:rsidR="00D84BE0" w:rsidRPr="00C51ECB" w:rsidRDefault="00D84BE0" w:rsidP="00465096">
            <w:pPr>
              <w:jc w:val="both"/>
              <w:rPr>
                <w:sz w:val="20"/>
                <w:lang w:val="fr-CA"/>
              </w:rPr>
            </w:pPr>
            <w:r w:rsidRPr="00C51ECB">
              <w:rPr>
                <w:sz w:val="20"/>
                <w:lang w:val="fr-CA"/>
              </w:rPr>
              <w:t xml:space="preserve">Cour suprême du Canada </w:t>
            </w: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Dépôt de la demande d’autorisation d’appel</w:t>
            </w:r>
          </w:p>
          <w:p w:rsidR="00D84BE0" w:rsidRPr="00C51ECB" w:rsidRDefault="00D84BE0" w:rsidP="00465096">
            <w:pPr>
              <w:jc w:val="both"/>
              <w:rPr>
                <w:sz w:val="20"/>
                <w:lang w:val="fr-CA"/>
              </w:rPr>
            </w:pPr>
          </w:p>
        </w:tc>
      </w:tr>
    </w:tbl>
    <w:p w:rsidR="00D84BE0" w:rsidRPr="00C51ECB" w:rsidRDefault="00D84BE0" w:rsidP="00465096">
      <w:pPr>
        <w:jc w:val="both"/>
        <w:rPr>
          <w:sz w:val="20"/>
          <w:lang w:val="fr-CA"/>
        </w:rPr>
      </w:pPr>
    </w:p>
    <w:p w:rsidR="0084772C" w:rsidRPr="00C51ECB" w:rsidRDefault="0084772C" w:rsidP="00465096">
      <w:pPr>
        <w:jc w:val="both"/>
        <w:rPr>
          <w:sz w:val="20"/>
          <w:lang w:val="fr-CA"/>
        </w:rPr>
      </w:pPr>
      <w:r w:rsidRPr="00C51ECB">
        <w:rPr>
          <w:sz w:val="20"/>
        </w:rPr>
        <w:pict>
          <v:rect id="_x0000_i1036" style="width:2in;height:1pt" o:hrpct="0" o:hralign="center" o:hrstd="t" o:hrnoshade="t" o:hr="t" fillcolor="black [3213]" stroked="f"/>
        </w:pict>
      </w:r>
    </w:p>
    <w:p w:rsidR="00D84BE0" w:rsidRPr="00C51ECB" w:rsidRDefault="00D84BE0"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rPr>
            </w:pPr>
            <w:r w:rsidRPr="00C51ECB">
              <w:rPr>
                <w:rStyle w:val="SCCFileNumberChar"/>
                <w:sz w:val="20"/>
                <w:szCs w:val="20"/>
              </w:rPr>
              <w:t>38567</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Lyudmila Chavdarova a.k.a. Mila Chavdarova v. The Staffing Exchange Inc. a.k.a. TSE Canada Inc.</w:t>
            </w:r>
          </w:p>
          <w:p w:rsidR="00D84BE0" w:rsidRPr="00C51ECB" w:rsidRDefault="00D84BE0" w:rsidP="00465096">
            <w:pPr>
              <w:jc w:val="both"/>
              <w:rPr>
                <w:sz w:val="20"/>
              </w:rPr>
            </w:pPr>
            <w:r w:rsidRPr="00C51ECB">
              <w:rPr>
                <w:sz w:val="20"/>
              </w:rPr>
              <w:t>(Ont.) (Civil) (By Leave)</w:t>
            </w:r>
          </w:p>
        </w:tc>
      </w:tr>
      <w:tr w:rsidR="00D84BE0" w:rsidRPr="00C51ECB" w:rsidTr="00E95A6A">
        <w:tc>
          <w:tcPr>
            <w:tcW w:w="5000" w:type="pct"/>
            <w:gridSpan w:val="4"/>
          </w:tcPr>
          <w:p w:rsidR="00D84BE0" w:rsidRPr="00C51ECB" w:rsidRDefault="00D84BE0" w:rsidP="00465096">
            <w:pPr>
              <w:pStyle w:val="Default"/>
              <w:jc w:val="both"/>
              <w:rPr>
                <w:sz w:val="20"/>
                <w:szCs w:val="20"/>
              </w:rPr>
            </w:pPr>
            <w:r w:rsidRPr="00C51ECB">
              <w:rPr>
                <w:sz w:val="20"/>
                <w:szCs w:val="20"/>
              </w:rPr>
              <w:t>Civil procedure — Appeals — Courts — Jurisdiction — Self</w:t>
            </w:r>
            <w:r w:rsidRPr="00C51ECB">
              <w:rPr>
                <w:sz w:val="20"/>
                <w:szCs w:val="20"/>
              </w:rPr>
              <w:noBreakHyphen/>
              <w:t xml:space="preserve">represented applicant filing appeal in Court of Appeal rather than Divisional Court — Appeal quashed — </w:t>
            </w:r>
            <w:r w:rsidRPr="00C51ECB">
              <w:rPr>
                <w:bCs/>
                <w:sz w:val="20"/>
                <w:szCs w:val="20"/>
              </w:rPr>
              <w:t>Whether justice was deliberately denied to self</w:t>
            </w:r>
            <w:r w:rsidRPr="00C51ECB">
              <w:rPr>
                <w:bCs/>
                <w:sz w:val="20"/>
                <w:szCs w:val="20"/>
              </w:rPr>
              <w:noBreakHyphen/>
              <w:t xml:space="preserve">represented litigant for simple jurisdictional problem — Whether guidance required to avoid double standards applied to self- represented litigants in overcomplicated court system </w:t>
            </w:r>
          </w:p>
        </w:tc>
      </w:tr>
      <w:tr w:rsidR="00D84BE0" w:rsidRPr="00C51ECB" w:rsidTr="00E95A6A">
        <w:tc>
          <w:tcPr>
            <w:tcW w:w="5000" w:type="pct"/>
            <w:gridSpan w:val="4"/>
          </w:tcPr>
          <w:p w:rsidR="00D84BE0" w:rsidRPr="00C51ECB" w:rsidRDefault="00D84BE0" w:rsidP="00465096">
            <w:pPr>
              <w:jc w:val="both"/>
              <w:rPr>
                <w:sz w:val="20"/>
              </w:rPr>
            </w:pPr>
          </w:p>
        </w:tc>
      </w:tr>
      <w:tr w:rsidR="00D84BE0" w:rsidRPr="00C51ECB" w:rsidTr="00E95A6A">
        <w:tc>
          <w:tcPr>
            <w:tcW w:w="5000" w:type="pct"/>
            <w:gridSpan w:val="4"/>
          </w:tcPr>
          <w:p w:rsidR="00D84BE0" w:rsidRPr="00C51ECB" w:rsidRDefault="00D84BE0" w:rsidP="00465096">
            <w:pPr>
              <w:jc w:val="both"/>
              <w:rPr>
                <w:sz w:val="20"/>
              </w:rPr>
            </w:pPr>
            <w:r w:rsidRPr="00C51ECB">
              <w:rPr>
                <w:sz w:val="20"/>
              </w:rPr>
              <w:t>Ms. Chavdarova was awarded $22,317 in damages in her action against the respondent. She appealed that award to the Court of Appeal. Despite being advised that she had filed her appeal in the wrong court, Ms. Chavdarova insisted that she had filed her appeal properly. The Court of Appeal quashed her appeal as it should have been brought before Divisional Court. Ms. </w:t>
            </w:r>
            <w:proofErr w:type="spellStart"/>
            <w:r w:rsidRPr="00C51ECB">
              <w:rPr>
                <w:sz w:val="20"/>
              </w:rPr>
              <w:t>Chavdarova’s</w:t>
            </w:r>
            <w:proofErr w:type="spellEnd"/>
            <w:r w:rsidRPr="00C51ECB">
              <w:rPr>
                <w:sz w:val="20"/>
              </w:rPr>
              <w:t xml:space="preserve"> motion to transfer her appeal to Divisional Court was dismissed. Ms. Chavdarova then brought a motion in the Superior Court of Justice for an extension of time to file her appeal in the Divisional Court. The motion was dismissed because the Court of Appeal had already dismissed her motion to transfer.</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May 9, 2018</w:t>
            </w:r>
          </w:p>
          <w:p w:rsidR="00D84BE0" w:rsidRPr="00C51ECB" w:rsidRDefault="00D84BE0" w:rsidP="00465096">
            <w:pPr>
              <w:jc w:val="both"/>
              <w:rPr>
                <w:sz w:val="20"/>
              </w:rPr>
            </w:pPr>
            <w:r w:rsidRPr="00C51ECB">
              <w:rPr>
                <w:sz w:val="20"/>
              </w:rPr>
              <w:t>Ontario Superior Court of Justice</w:t>
            </w:r>
          </w:p>
          <w:p w:rsidR="00D84BE0" w:rsidRPr="00C51ECB" w:rsidRDefault="00D84BE0" w:rsidP="00465096">
            <w:pPr>
              <w:jc w:val="both"/>
              <w:rPr>
                <w:sz w:val="20"/>
              </w:rPr>
            </w:pPr>
            <w:r w:rsidRPr="00C51ECB">
              <w:rPr>
                <w:sz w:val="20"/>
              </w:rPr>
              <w:t>(Gray J.)</w:t>
            </w:r>
          </w:p>
          <w:p w:rsidR="00D84BE0" w:rsidRPr="00C51ECB" w:rsidRDefault="00C51ECB" w:rsidP="00465096">
            <w:pPr>
              <w:jc w:val="both"/>
              <w:rPr>
                <w:sz w:val="20"/>
              </w:rPr>
            </w:pPr>
            <w:hyperlink r:id="rId37" w:history="1">
              <w:r w:rsidR="00D84BE0" w:rsidRPr="00C51ECB">
                <w:rPr>
                  <w:rStyle w:val="Hyperlink"/>
                  <w:sz w:val="20"/>
                </w:rPr>
                <w:t>2018 ONSC 2909</w:t>
              </w:r>
            </w:hyperlink>
            <w:r w:rsidR="00D84BE0" w:rsidRPr="00C51ECB">
              <w:rPr>
                <w:sz w:val="20"/>
              </w:rPr>
              <w:t xml:space="preserve"> </w:t>
            </w:r>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Applicant awarded damages of $22,317</w:t>
            </w:r>
          </w:p>
          <w:p w:rsidR="00D84BE0" w:rsidRPr="00C51ECB" w:rsidRDefault="00D84BE0" w:rsidP="00465096">
            <w:pPr>
              <w:jc w:val="both"/>
              <w:rPr>
                <w:sz w:val="20"/>
              </w:rPr>
            </w:pP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September 11, 2018</w:t>
            </w:r>
          </w:p>
          <w:p w:rsidR="00D84BE0" w:rsidRPr="00C51ECB" w:rsidRDefault="00D84BE0" w:rsidP="00465096">
            <w:pPr>
              <w:jc w:val="both"/>
              <w:rPr>
                <w:sz w:val="20"/>
              </w:rPr>
            </w:pPr>
            <w:r w:rsidRPr="00C51ECB">
              <w:rPr>
                <w:sz w:val="20"/>
              </w:rPr>
              <w:t>Court of Appeal for Ontario</w:t>
            </w:r>
          </w:p>
          <w:p w:rsidR="00D84BE0" w:rsidRPr="00C51ECB" w:rsidRDefault="00D84BE0" w:rsidP="00465096">
            <w:pPr>
              <w:jc w:val="both"/>
              <w:rPr>
                <w:sz w:val="20"/>
              </w:rPr>
            </w:pPr>
            <w:r w:rsidRPr="00C51ECB">
              <w:rPr>
                <w:sz w:val="20"/>
              </w:rPr>
              <w:t>(Rouleau, Pardu and Benotto JJ.A.)</w:t>
            </w:r>
          </w:p>
          <w:p w:rsidR="00D84BE0" w:rsidRPr="00C51ECB" w:rsidRDefault="00C51ECB" w:rsidP="00465096">
            <w:pPr>
              <w:jc w:val="both"/>
              <w:rPr>
                <w:sz w:val="20"/>
              </w:rPr>
            </w:pPr>
            <w:hyperlink r:id="rId38" w:history="1">
              <w:r w:rsidR="00D84BE0" w:rsidRPr="00C51ECB">
                <w:rPr>
                  <w:rStyle w:val="Hyperlink"/>
                  <w:sz w:val="20"/>
                </w:rPr>
                <w:t>2018 ONCA 744</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Applicant’s appeal quashed</w:t>
            </w:r>
          </w:p>
          <w:p w:rsidR="00D84BE0" w:rsidRPr="00C51ECB" w:rsidRDefault="00D84BE0" w:rsidP="00465096">
            <w:pPr>
              <w:jc w:val="both"/>
              <w:rPr>
                <w:sz w:val="20"/>
              </w:rPr>
            </w:pP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October 3, 2018</w:t>
            </w:r>
          </w:p>
          <w:p w:rsidR="00D84BE0" w:rsidRPr="00C51ECB" w:rsidRDefault="00D84BE0" w:rsidP="00465096">
            <w:pPr>
              <w:jc w:val="both"/>
              <w:rPr>
                <w:sz w:val="20"/>
              </w:rPr>
            </w:pPr>
            <w:r w:rsidRPr="00C51ECB">
              <w:rPr>
                <w:sz w:val="20"/>
              </w:rPr>
              <w:t>Court of Appeal for Ontario</w:t>
            </w:r>
          </w:p>
          <w:p w:rsidR="00D84BE0" w:rsidRPr="00C51ECB" w:rsidRDefault="00D84BE0" w:rsidP="00465096">
            <w:pPr>
              <w:jc w:val="both"/>
              <w:rPr>
                <w:sz w:val="20"/>
              </w:rPr>
            </w:pPr>
            <w:r w:rsidRPr="00C51ECB">
              <w:rPr>
                <w:sz w:val="20"/>
              </w:rPr>
              <w:t>(Benotto J.A.)</w:t>
            </w:r>
          </w:p>
          <w:p w:rsidR="00D84BE0" w:rsidRPr="00C51ECB" w:rsidRDefault="00D84BE0" w:rsidP="00465096">
            <w:pPr>
              <w:jc w:val="both"/>
              <w:rPr>
                <w:sz w:val="20"/>
              </w:rPr>
            </w:pPr>
            <w:r w:rsidRPr="00C51ECB">
              <w:rPr>
                <w:sz w:val="20"/>
              </w:rPr>
              <w:t>Unreported</w:t>
            </w:r>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Applicant’s motion to transfer file to Divisional Court dismissed</w:t>
            </w:r>
          </w:p>
          <w:p w:rsidR="00D84BE0" w:rsidRPr="00C51ECB" w:rsidRDefault="00D84BE0" w:rsidP="00465096">
            <w:pPr>
              <w:jc w:val="both"/>
              <w:rPr>
                <w:sz w:val="20"/>
              </w:rPr>
            </w:pP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December 11, 2018</w:t>
            </w:r>
          </w:p>
          <w:p w:rsidR="00D84BE0" w:rsidRPr="00C51ECB" w:rsidRDefault="00D84BE0" w:rsidP="00465096">
            <w:pPr>
              <w:jc w:val="both"/>
              <w:rPr>
                <w:sz w:val="20"/>
              </w:rPr>
            </w:pPr>
            <w:r w:rsidRPr="00C51ECB">
              <w:rPr>
                <w:sz w:val="20"/>
              </w:rPr>
              <w:t>Ontario Superior Court of Justice</w:t>
            </w:r>
          </w:p>
          <w:p w:rsidR="00D84BE0" w:rsidRPr="00C51ECB" w:rsidRDefault="00D84BE0" w:rsidP="00465096">
            <w:pPr>
              <w:jc w:val="both"/>
              <w:rPr>
                <w:sz w:val="20"/>
              </w:rPr>
            </w:pPr>
            <w:r w:rsidRPr="00C51ECB">
              <w:rPr>
                <w:sz w:val="20"/>
              </w:rPr>
              <w:t>(Lemon J.)</w:t>
            </w:r>
          </w:p>
          <w:p w:rsidR="00D84BE0" w:rsidRPr="00C51ECB" w:rsidRDefault="00C51ECB" w:rsidP="00465096">
            <w:pPr>
              <w:jc w:val="both"/>
              <w:rPr>
                <w:sz w:val="20"/>
              </w:rPr>
            </w:pPr>
            <w:hyperlink r:id="rId39" w:history="1">
              <w:r w:rsidR="00D84BE0" w:rsidRPr="00C51ECB">
                <w:rPr>
                  <w:rStyle w:val="Hyperlink"/>
                  <w:sz w:val="20"/>
                </w:rPr>
                <w:t>2018 ONSC 7350</w:t>
              </w:r>
            </w:hyperlink>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Applicant’s motion for extension of time to file appeal in Divisional Court dismissed</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February 5, 2019</w:t>
            </w:r>
          </w:p>
          <w:p w:rsidR="00D84BE0" w:rsidRPr="00C51ECB" w:rsidRDefault="00D84BE0" w:rsidP="00465096">
            <w:pPr>
              <w:jc w:val="both"/>
              <w:rPr>
                <w:sz w:val="20"/>
              </w:rPr>
            </w:pPr>
            <w:r w:rsidRPr="00C51ECB">
              <w:rPr>
                <w:sz w:val="20"/>
              </w:rPr>
              <w:t>Supreme Court of Canada</w:t>
            </w: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Application for leave to appeal filed</w:t>
            </w:r>
          </w:p>
          <w:p w:rsidR="00D84BE0" w:rsidRPr="00C51ECB" w:rsidRDefault="00D84BE0" w:rsidP="00465096">
            <w:pPr>
              <w:jc w:val="both"/>
              <w:rPr>
                <w:sz w:val="20"/>
              </w:rPr>
            </w:pPr>
          </w:p>
        </w:tc>
      </w:tr>
    </w:tbl>
    <w:p w:rsidR="00D84BE0" w:rsidRPr="00C51ECB" w:rsidRDefault="00D84BE0" w:rsidP="00465096">
      <w:pPr>
        <w:jc w:val="both"/>
        <w:rPr>
          <w:sz w:val="20"/>
        </w:rPr>
      </w:pPr>
    </w:p>
    <w:p w:rsidR="0084772C" w:rsidRPr="00C51ECB" w:rsidRDefault="0084772C" w:rsidP="00465096">
      <w:pPr>
        <w:jc w:val="both"/>
        <w:rPr>
          <w:sz w:val="20"/>
        </w:rPr>
      </w:pPr>
      <w:r w:rsidRPr="00C51ECB">
        <w:rPr>
          <w:sz w:val="20"/>
        </w:rPr>
        <w:pict>
          <v:rect id="_x0000_i1037"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lang w:val="fr-CA"/>
              </w:rPr>
            </w:pPr>
            <w:r w:rsidRPr="00C51ECB">
              <w:rPr>
                <w:rStyle w:val="SCCFileNumberChar"/>
                <w:sz w:val="20"/>
                <w:szCs w:val="20"/>
                <w:lang w:val="fr-CA"/>
              </w:rPr>
              <w:t>38567</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Lyudmila Chavdarova alias Mila Chavdarova c. The Staffing Exchange Inc. alias TSE Canada Inc.</w:t>
            </w:r>
          </w:p>
          <w:p w:rsidR="00D84BE0" w:rsidRPr="00C51ECB" w:rsidRDefault="00D84BE0" w:rsidP="00465096">
            <w:pPr>
              <w:jc w:val="both"/>
              <w:rPr>
                <w:sz w:val="20"/>
                <w:lang w:val="fr-CA"/>
              </w:rPr>
            </w:pPr>
            <w:r w:rsidRPr="00C51ECB">
              <w:rPr>
                <w:sz w:val="20"/>
                <w:lang w:val="fr-CA"/>
              </w:rPr>
              <w:t>(Ont.) (Civile) (Autorisation)</w:t>
            </w:r>
          </w:p>
        </w:tc>
      </w:tr>
      <w:tr w:rsidR="00D84BE0" w:rsidRPr="00C51ECB" w:rsidTr="00E95A6A">
        <w:tc>
          <w:tcPr>
            <w:tcW w:w="5000" w:type="pct"/>
            <w:gridSpan w:val="4"/>
          </w:tcPr>
          <w:p w:rsidR="00D84BE0" w:rsidRPr="00C51ECB" w:rsidRDefault="00D84BE0" w:rsidP="00465096">
            <w:pPr>
              <w:pStyle w:val="Default"/>
              <w:jc w:val="both"/>
              <w:rPr>
                <w:sz w:val="20"/>
                <w:szCs w:val="20"/>
                <w:lang w:val="fr-CA"/>
              </w:rPr>
            </w:pPr>
            <w:r w:rsidRPr="00C51ECB">
              <w:rPr>
                <w:sz w:val="20"/>
                <w:szCs w:val="20"/>
                <w:lang w:val="fr-CA"/>
              </w:rPr>
              <w:t xml:space="preserve">Procédure civile — Appels — Tribunaux — Compétence — La demanderesse non représentée a déposé un appel en Cour d’appel, plutôt qu’en Cour divisionnaire — L’appel a été cassé — </w:t>
            </w:r>
            <w:r w:rsidRPr="00C51ECB">
              <w:rPr>
                <w:bCs/>
                <w:sz w:val="20"/>
                <w:szCs w:val="20"/>
                <w:lang w:val="fr-CA"/>
              </w:rPr>
              <w:t>Y a</w:t>
            </w:r>
            <w:r w:rsidRPr="00C51ECB">
              <w:rPr>
                <w:bCs/>
                <w:sz w:val="20"/>
                <w:szCs w:val="20"/>
                <w:lang w:val="fr-CA"/>
              </w:rPr>
              <w:noBreakHyphen/>
              <w:t>t</w:t>
            </w:r>
            <w:r w:rsidRPr="00C51ECB">
              <w:rPr>
                <w:bCs/>
                <w:sz w:val="20"/>
                <w:szCs w:val="20"/>
                <w:lang w:val="fr-CA"/>
              </w:rPr>
              <w:noBreakHyphen/>
              <w:t>il eu déni de justice délibéré à l’endroit de la plaideuse non représentée pour un simple problème de compétence? — Faut-il offrir de l’encadrement pour éviter aux plaideurs non représentés d’être défavorisés dans un système judiciaire trop complexe?</w:t>
            </w:r>
          </w:p>
        </w:tc>
      </w:tr>
      <w:tr w:rsidR="00D84BE0" w:rsidRPr="00C51ECB" w:rsidTr="00E95A6A">
        <w:tc>
          <w:tcPr>
            <w:tcW w:w="5000" w:type="pct"/>
            <w:gridSpan w:val="4"/>
          </w:tcPr>
          <w:p w:rsidR="00D84BE0" w:rsidRPr="00C51ECB" w:rsidRDefault="00D84BE0" w:rsidP="00465096">
            <w:pPr>
              <w:jc w:val="both"/>
              <w:rPr>
                <w:sz w:val="20"/>
                <w:lang w:val="fr-CA"/>
              </w:rPr>
            </w:pP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lastRenderedPageBreak/>
              <w:t>Madame Chavdarova s’est vu accorder des dommages</w:t>
            </w:r>
            <w:r w:rsidRPr="00C51ECB">
              <w:rPr>
                <w:sz w:val="20"/>
                <w:lang w:val="fr-CA"/>
              </w:rPr>
              <w:noBreakHyphen/>
              <w:t>intérêts de 22 317 $ dans son action contre l’intimée. Elle a interjeté appel de ce jugement à la Cour d’appel. Même si on lui a dit qu’elle avait déposé son appel devant le mauvais tribunal, Mme Chavdarova a insisté qu’elle avait déposé son appel correctement. La Cour d’appel a cassé son appel, puisque celui</w:t>
            </w:r>
            <w:r w:rsidRPr="00C51ECB">
              <w:rPr>
                <w:sz w:val="20"/>
                <w:lang w:val="fr-CA"/>
              </w:rPr>
              <w:noBreakHyphen/>
              <w:t>ci aurait dû être interjeté à la Cour divisionnaire. La motion de Mme Chavdarova en vue de transférer son appel à la Cour divisionnaire a été rejetée. Madame Chavdarova a ensuite présenté une motion à la Cour supérieure de justice pour une prorogation du délai pour déposer son appel à la Cour divisionnaire. La motion a été rejetée parce que la Cour d’appel avait déjà rejeté sa motion en transfert.</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9 mai 2018</w:t>
            </w:r>
          </w:p>
          <w:p w:rsidR="00D84BE0" w:rsidRPr="00C51ECB" w:rsidRDefault="00D84BE0" w:rsidP="00465096">
            <w:pPr>
              <w:jc w:val="both"/>
              <w:rPr>
                <w:sz w:val="20"/>
                <w:lang w:val="fr-CA"/>
              </w:rPr>
            </w:pPr>
            <w:r w:rsidRPr="00C51ECB">
              <w:rPr>
                <w:sz w:val="20"/>
                <w:lang w:val="fr-CA"/>
              </w:rPr>
              <w:t>Cour supérieure de justice de l’Ontario</w:t>
            </w:r>
          </w:p>
          <w:p w:rsidR="00D84BE0" w:rsidRPr="00C51ECB" w:rsidRDefault="00D84BE0" w:rsidP="00465096">
            <w:pPr>
              <w:jc w:val="both"/>
              <w:rPr>
                <w:sz w:val="20"/>
                <w:lang w:val="fr-CA"/>
              </w:rPr>
            </w:pPr>
            <w:r w:rsidRPr="00C51ECB">
              <w:rPr>
                <w:sz w:val="20"/>
                <w:lang w:val="fr-CA"/>
              </w:rPr>
              <w:t>(Juge Gray)</w:t>
            </w:r>
          </w:p>
          <w:p w:rsidR="00D84BE0" w:rsidRPr="00C51ECB" w:rsidRDefault="00C51ECB" w:rsidP="00465096">
            <w:pPr>
              <w:jc w:val="both"/>
              <w:rPr>
                <w:sz w:val="20"/>
                <w:lang w:val="fr-CA"/>
              </w:rPr>
            </w:pPr>
            <w:hyperlink r:id="rId40" w:history="1">
              <w:r w:rsidR="00D84BE0" w:rsidRPr="00C51ECB">
                <w:rPr>
                  <w:rStyle w:val="Hyperlink"/>
                  <w:sz w:val="20"/>
                  <w:lang w:val="fr-CA"/>
                </w:rPr>
                <w:t>2018 ONSC 2909</w:t>
              </w:r>
            </w:hyperlink>
            <w:r w:rsidR="00D84BE0" w:rsidRPr="00C51ECB">
              <w:rPr>
                <w:sz w:val="20"/>
                <w:lang w:val="fr-CA"/>
              </w:rPr>
              <w:t xml:space="preserve"> </w:t>
            </w:r>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Jugement accordant à la demanderesse des dommages</w:t>
            </w:r>
            <w:r w:rsidRPr="00C51ECB">
              <w:rPr>
                <w:sz w:val="20"/>
                <w:lang w:val="fr-CA"/>
              </w:rPr>
              <w:noBreakHyphen/>
              <w:t>intérêts de 22 317 $</w:t>
            </w:r>
          </w:p>
          <w:p w:rsidR="00D84BE0" w:rsidRPr="00C51ECB" w:rsidRDefault="00D84BE0" w:rsidP="00465096">
            <w:pPr>
              <w:jc w:val="both"/>
              <w:rPr>
                <w:sz w:val="20"/>
                <w:lang w:val="fr-CA"/>
              </w:rPr>
            </w:pP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11 septembre 2018</w:t>
            </w:r>
          </w:p>
          <w:p w:rsidR="00D84BE0" w:rsidRPr="00C51ECB" w:rsidRDefault="00D84BE0" w:rsidP="00465096">
            <w:pPr>
              <w:jc w:val="both"/>
              <w:rPr>
                <w:sz w:val="20"/>
                <w:lang w:val="fr-CA"/>
              </w:rPr>
            </w:pPr>
            <w:r w:rsidRPr="00C51ECB">
              <w:rPr>
                <w:sz w:val="20"/>
                <w:lang w:val="fr-CA"/>
              </w:rPr>
              <w:t>Cour d’appel de l’Ontario</w:t>
            </w:r>
          </w:p>
          <w:p w:rsidR="00D84BE0" w:rsidRPr="00C51ECB" w:rsidRDefault="00D84BE0" w:rsidP="00465096">
            <w:pPr>
              <w:jc w:val="both"/>
              <w:rPr>
                <w:sz w:val="20"/>
                <w:lang w:val="fr-CA"/>
              </w:rPr>
            </w:pPr>
            <w:r w:rsidRPr="00C51ECB">
              <w:rPr>
                <w:sz w:val="20"/>
                <w:lang w:val="fr-CA"/>
              </w:rPr>
              <w:t>(Juges Rouleau, Pardu et Benotto)</w:t>
            </w:r>
          </w:p>
          <w:p w:rsidR="00D84BE0" w:rsidRPr="00C51ECB" w:rsidRDefault="00C51ECB" w:rsidP="00465096">
            <w:pPr>
              <w:jc w:val="both"/>
              <w:rPr>
                <w:sz w:val="20"/>
                <w:lang w:val="fr-CA"/>
              </w:rPr>
            </w:pPr>
            <w:hyperlink r:id="rId41" w:history="1">
              <w:r w:rsidR="00D84BE0" w:rsidRPr="00C51ECB">
                <w:rPr>
                  <w:rStyle w:val="Hyperlink"/>
                  <w:sz w:val="20"/>
                  <w:lang w:val="fr-CA"/>
                </w:rPr>
                <w:t>2018 ONCA 744</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Cassation de l’appel de la demanderesse</w:t>
            </w:r>
          </w:p>
          <w:p w:rsidR="00D84BE0" w:rsidRPr="00C51ECB" w:rsidRDefault="00D84BE0" w:rsidP="00465096">
            <w:pPr>
              <w:jc w:val="both"/>
              <w:rPr>
                <w:sz w:val="20"/>
                <w:lang w:val="fr-CA"/>
              </w:rPr>
            </w:pP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3 octobre 2018</w:t>
            </w:r>
          </w:p>
          <w:p w:rsidR="00D84BE0" w:rsidRPr="00C51ECB" w:rsidRDefault="00D84BE0" w:rsidP="00465096">
            <w:pPr>
              <w:jc w:val="both"/>
              <w:rPr>
                <w:sz w:val="20"/>
                <w:lang w:val="fr-CA"/>
              </w:rPr>
            </w:pPr>
            <w:r w:rsidRPr="00C51ECB">
              <w:rPr>
                <w:sz w:val="20"/>
                <w:lang w:val="fr-CA"/>
              </w:rPr>
              <w:t>Cour d’appel de l’Ontario</w:t>
            </w:r>
          </w:p>
          <w:p w:rsidR="00D84BE0" w:rsidRPr="00C51ECB" w:rsidRDefault="00D84BE0" w:rsidP="00465096">
            <w:pPr>
              <w:jc w:val="both"/>
              <w:rPr>
                <w:sz w:val="20"/>
                <w:lang w:val="fr-CA"/>
              </w:rPr>
            </w:pPr>
            <w:r w:rsidRPr="00C51ECB">
              <w:rPr>
                <w:sz w:val="20"/>
                <w:lang w:val="fr-CA"/>
              </w:rPr>
              <w:t>(Juge Benotto)</w:t>
            </w:r>
          </w:p>
          <w:p w:rsidR="00D84BE0" w:rsidRPr="00C51ECB" w:rsidRDefault="00D84BE0" w:rsidP="00465096">
            <w:pPr>
              <w:jc w:val="both"/>
              <w:rPr>
                <w:sz w:val="20"/>
                <w:lang w:val="fr-CA"/>
              </w:rPr>
            </w:pPr>
            <w:r w:rsidRPr="00C51ECB">
              <w:rPr>
                <w:sz w:val="20"/>
                <w:lang w:val="fr-CA"/>
              </w:rPr>
              <w:t>Non publié</w:t>
            </w:r>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Rejet de la motion de la demanderesse en vue de transférer le dossier à la Cour divisionnaire</w:t>
            </w:r>
          </w:p>
          <w:p w:rsidR="00D84BE0" w:rsidRPr="00C51ECB" w:rsidRDefault="00D84BE0" w:rsidP="00465096">
            <w:pPr>
              <w:jc w:val="both"/>
              <w:rPr>
                <w:sz w:val="20"/>
                <w:lang w:val="fr-CA"/>
              </w:rPr>
            </w:pP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11 décembre 2018</w:t>
            </w:r>
          </w:p>
          <w:p w:rsidR="00D84BE0" w:rsidRPr="00C51ECB" w:rsidRDefault="00D84BE0" w:rsidP="00465096">
            <w:pPr>
              <w:jc w:val="both"/>
              <w:rPr>
                <w:sz w:val="20"/>
                <w:lang w:val="fr-CA"/>
              </w:rPr>
            </w:pPr>
            <w:r w:rsidRPr="00C51ECB">
              <w:rPr>
                <w:sz w:val="20"/>
                <w:lang w:val="fr-CA"/>
              </w:rPr>
              <w:t>Cour supérieure de justice de l’Ontario</w:t>
            </w:r>
          </w:p>
          <w:p w:rsidR="00D84BE0" w:rsidRPr="00C51ECB" w:rsidRDefault="00D84BE0" w:rsidP="00465096">
            <w:pPr>
              <w:jc w:val="both"/>
              <w:rPr>
                <w:sz w:val="20"/>
                <w:lang w:val="fr-CA"/>
              </w:rPr>
            </w:pPr>
            <w:r w:rsidRPr="00C51ECB">
              <w:rPr>
                <w:sz w:val="20"/>
                <w:lang w:val="fr-CA"/>
              </w:rPr>
              <w:t>(Juge Lemon)</w:t>
            </w:r>
          </w:p>
          <w:p w:rsidR="00D84BE0" w:rsidRPr="00C51ECB" w:rsidRDefault="00C51ECB" w:rsidP="00465096">
            <w:pPr>
              <w:jc w:val="both"/>
              <w:rPr>
                <w:sz w:val="20"/>
                <w:lang w:val="fr-CA"/>
              </w:rPr>
            </w:pPr>
            <w:hyperlink r:id="rId42" w:history="1">
              <w:r w:rsidR="00D84BE0" w:rsidRPr="00C51ECB">
                <w:rPr>
                  <w:rStyle w:val="Hyperlink"/>
                  <w:sz w:val="20"/>
                  <w:lang w:val="fr-CA"/>
                </w:rPr>
                <w:t>2018 ONSC 7350</w:t>
              </w:r>
            </w:hyperlink>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Rejet de la motion de la demanderesse en prorogation du délai pour déposer un appel en Cour divisionnaire</w:t>
            </w:r>
          </w:p>
          <w:p w:rsidR="00D84BE0" w:rsidRPr="00C51ECB" w:rsidRDefault="00D84BE0" w:rsidP="00465096">
            <w:pPr>
              <w:jc w:val="both"/>
              <w:rPr>
                <w:sz w:val="20"/>
                <w:lang w:val="fr-CA"/>
              </w:rPr>
            </w:pP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5 février 2019</w:t>
            </w:r>
          </w:p>
          <w:p w:rsidR="00D84BE0" w:rsidRPr="00C51ECB" w:rsidRDefault="00D84BE0" w:rsidP="00465096">
            <w:pPr>
              <w:jc w:val="both"/>
              <w:rPr>
                <w:sz w:val="20"/>
                <w:lang w:val="fr-CA"/>
              </w:rPr>
            </w:pPr>
            <w:r w:rsidRPr="00C51ECB">
              <w:rPr>
                <w:sz w:val="20"/>
                <w:lang w:val="fr-CA"/>
              </w:rPr>
              <w:t>Cour suprême du Canada</w:t>
            </w: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Dépôt de la demande d’autorisation d’appel</w:t>
            </w:r>
          </w:p>
          <w:p w:rsidR="00D84BE0" w:rsidRPr="00C51ECB" w:rsidRDefault="00D84BE0" w:rsidP="00465096">
            <w:pPr>
              <w:jc w:val="both"/>
              <w:rPr>
                <w:sz w:val="20"/>
                <w:lang w:val="fr-CA"/>
              </w:rPr>
            </w:pPr>
          </w:p>
        </w:tc>
      </w:tr>
    </w:tbl>
    <w:p w:rsidR="00D84BE0" w:rsidRPr="00C51ECB" w:rsidRDefault="00D84BE0" w:rsidP="00465096">
      <w:pPr>
        <w:jc w:val="both"/>
        <w:rPr>
          <w:sz w:val="20"/>
          <w:lang w:val="fr-CA"/>
        </w:rPr>
      </w:pPr>
    </w:p>
    <w:p w:rsidR="0084772C" w:rsidRPr="00C51ECB" w:rsidRDefault="0084772C" w:rsidP="00465096">
      <w:pPr>
        <w:jc w:val="both"/>
        <w:rPr>
          <w:sz w:val="20"/>
          <w:lang w:val="fr-CA"/>
        </w:rPr>
      </w:pPr>
      <w:r w:rsidRPr="00C51ECB">
        <w:rPr>
          <w:sz w:val="20"/>
        </w:rPr>
        <w:pict>
          <v:rect id="_x0000_i1038" style="width:2in;height:1pt" o:hrpct="0" o:hralign="center" o:hrstd="t" o:hrnoshade="t" o:hr="t" fillcolor="black [3213]" stroked="f"/>
        </w:pict>
      </w:r>
    </w:p>
    <w:p w:rsidR="00D84BE0" w:rsidRPr="00C51ECB" w:rsidRDefault="00D84BE0"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rPr>
            </w:pPr>
            <w:r w:rsidRPr="00C51ECB">
              <w:rPr>
                <w:rStyle w:val="SCCFileNumberChar"/>
                <w:sz w:val="20"/>
                <w:szCs w:val="20"/>
              </w:rPr>
              <w:t>38563</w:t>
            </w:r>
          </w:p>
        </w:tc>
        <w:tc>
          <w:tcPr>
            <w:tcW w:w="4457" w:type="pct"/>
            <w:gridSpan w:val="3"/>
          </w:tcPr>
          <w:p w:rsidR="00D84BE0" w:rsidRPr="00C51ECB" w:rsidRDefault="00D84BE0" w:rsidP="00465096">
            <w:pPr>
              <w:pStyle w:val="SCCLsocParty"/>
              <w:jc w:val="both"/>
              <w:rPr>
                <w:b/>
                <w:sz w:val="20"/>
                <w:szCs w:val="20"/>
                <w:lang w:val="en-US"/>
              </w:rPr>
            </w:pPr>
            <w:r w:rsidRPr="00C51ECB">
              <w:rPr>
                <w:b/>
                <w:sz w:val="20"/>
                <w:szCs w:val="20"/>
                <w:lang w:val="en-US"/>
              </w:rPr>
              <w:t xml:space="preserve">Alex Martinez v. Her Majesty the Queen, Government of British Columbia, Royal Canadian Mounted Police (RCMP), Communications Security Establishment (CSE), Public Complaints Commission to the Royal Canadian Mounted Police, British Columbia Public Service, The City of Calgary, The University of Calgary, The Government of Alberta, Teck Coal Limited, Court of Queen's Bench Calgary, Manitoba Court of Queen's Bench, Manitoba Court of Appeal, Governement of Manitoba, The Winnipeg Police Service, Bell Canada, Manitoba Telecom System Allstream, Vonage Canada, </w:t>
            </w:r>
            <w:proofErr w:type="spellStart"/>
            <w:r w:rsidRPr="00C51ECB">
              <w:rPr>
                <w:b/>
                <w:sz w:val="20"/>
                <w:szCs w:val="20"/>
                <w:lang w:val="en-US"/>
              </w:rPr>
              <w:t>Telus</w:t>
            </w:r>
            <w:proofErr w:type="spellEnd"/>
            <w:r w:rsidRPr="00C51ECB">
              <w:rPr>
                <w:b/>
                <w:sz w:val="20"/>
                <w:szCs w:val="20"/>
                <w:lang w:val="en-US"/>
              </w:rPr>
              <w:t xml:space="preserve"> Canada, Presidents Choice Financial, Presidents Choice Bank, </w:t>
            </w:r>
            <w:proofErr w:type="spellStart"/>
            <w:r w:rsidRPr="00C51ECB">
              <w:rPr>
                <w:b/>
                <w:sz w:val="20"/>
                <w:szCs w:val="20"/>
                <w:lang w:val="en-US"/>
              </w:rPr>
              <w:t>BofA</w:t>
            </w:r>
            <w:proofErr w:type="spellEnd"/>
            <w:r w:rsidRPr="00C51ECB">
              <w:rPr>
                <w:b/>
                <w:sz w:val="20"/>
                <w:szCs w:val="20"/>
                <w:lang w:val="en-US"/>
              </w:rPr>
              <w:t xml:space="preserve"> Canada Bank, Toronto-Dominion Bank, Winnipeg Child and Family Services, Manitoba Institute of Registered Social Workers, Manitoba Public Insurance Corporation</w:t>
            </w:r>
          </w:p>
          <w:p w:rsidR="00D84BE0" w:rsidRPr="00C51ECB" w:rsidRDefault="00D84BE0" w:rsidP="00465096">
            <w:pPr>
              <w:jc w:val="both"/>
              <w:rPr>
                <w:sz w:val="20"/>
              </w:rPr>
            </w:pPr>
            <w:r w:rsidRPr="00C51ECB">
              <w:rPr>
                <w:sz w:val="20"/>
              </w:rPr>
              <w:t>(F</w:t>
            </w:r>
            <w:r w:rsidR="00745BC2" w:rsidRPr="00C51ECB">
              <w:rPr>
                <w:sz w:val="20"/>
              </w:rPr>
              <w:t>.</w:t>
            </w:r>
            <w:r w:rsidRPr="00C51ECB">
              <w:rPr>
                <w:sz w:val="20"/>
              </w:rPr>
              <w:t>C</w:t>
            </w:r>
            <w:r w:rsidR="00745BC2" w:rsidRPr="00C51ECB">
              <w:rPr>
                <w:sz w:val="20"/>
              </w:rPr>
              <w:t>.</w:t>
            </w:r>
            <w:r w:rsidRPr="00C51ECB">
              <w:rPr>
                <w:sz w:val="20"/>
              </w:rPr>
              <w:t>) (Civil) (By Leave)</w:t>
            </w:r>
          </w:p>
        </w:tc>
      </w:tr>
      <w:tr w:rsidR="00D84BE0" w:rsidRPr="00C51ECB" w:rsidTr="00E95A6A">
        <w:tc>
          <w:tcPr>
            <w:tcW w:w="5000" w:type="pct"/>
            <w:gridSpan w:val="4"/>
          </w:tcPr>
          <w:p w:rsidR="00D84BE0" w:rsidRPr="00C51ECB" w:rsidRDefault="00D84BE0" w:rsidP="00465096">
            <w:pPr>
              <w:jc w:val="both"/>
              <w:rPr>
                <w:sz w:val="20"/>
              </w:rPr>
            </w:pPr>
            <w:r w:rsidRPr="00C51ECB">
              <w:rPr>
                <w:sz w:val="20"/>
              </w:rPr>
              <w:t>Judgments and orders — Summary judgments — Motion to strike pleadings — Attorney General of Canada’s motion to strike applicant’s statement of claim granted — Whether willful misconduct and fraud occurred — Whether Federal Court of Appeal was premature in making decision and failed to address the issue of civil and criminal contempt</w:t>
            </w:r>
          </w:p>
        </w:tc>
      </w:tr>
      <w:tr w:rsidR="00D84BE0" w:rsidRPr="00C51ECB" w:rsidTr="00E95A6A">
        <w:tc>
          <w:tcPr>
            <w:tcW w:w="5000" w:type="pct"/>
            <w:gridSpan w:val="4"/>
          </w:tcPr>
          <w:p w:rsidR="00D84BE0" w:rsidRPr="00C51ECB" w:rsidRDefault="00D84BE0" w:rsidP="00465096">
            <w:pPr>
              <w:jc w:val="both"/>
              <w:rPr>
                <w:sz w:val="20"/>
              </w:rPr>
            </w:pPr>
          </w:p>
        </w:tc>
      </w:tr>
      <w:tr w:rsidR="00D84BE0" w:rsidRPr="00C51ECB" w:rsidTr="00E95A6A">
        <w:tc>
          <w:tcPr>
            <w:tcW w:w="5000" w:type="pct"/>
            <w:gridSpan w:val="4"/>
          </w:tcPr>
          <w:p w:rsidR="00D84BE0" w:rsidRPr="00C51ECB" w:rsidRDefault="00D84BE0" w:rsidP="00465096">
            <w:pPr>
              <w:jc w:val="both"/>
              <w:rPr>
                <w:sz w:val="20"/>
              </w:rPr>
            </w:pPr>
            <w:r w:rsidRPr="00C51ECB">
              <w:rPr>
                <w:sz w:val="20"/>
              </w:rPr>
              <w:t xml:space="preserve">In 2005, Mr. Martinez’s former girlfriend called 911 after she observed a man committing an indecent act across the street from her home. A police report was prepared in which Mr. Martinez was named as a witness. He denies that he witnessed the incident. Mr. Martinez commenced an action against various respondents claiming damages. The </w:t>
            </w:r>
            <w:r w:rsidRPr="00C51ECB">
              <w:rPr>
                <w:sz w:val="20"/>
              </w:rPr>
              <w:lastRenderedPageBreak/>
              <w:t>motion judge struck the applicant’s statement of claim in its entirety. The applicant’s subsequent motion for contempt and reconsideration was dismissed.</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lastRenderedPageBreak/>
              <w:t>May 11, 2018</w:t>
            </w:r>
          </w:p>
          <w:p w:rsidR="00D84BE0" w:rsidRPr="00C51ECB" w:rsidRDefault="00D84BE0" w:rsidP="00465096">
            <w:pPr>
              <w:jc w:val="both"/>
              <w:rPr>
                <w:sz w:val="20"/>
              </w:rPr>
            </w:pPr>
            <w:r w:rsidRPr="00C51ECB">
              <w:rPr>
                <w:sz w:val="20"/>
              </w:rPr>
              <w:t>Federal Court</w:t>
            </w:r>
          </w:p>
          <w:p w:rsidR="00D84BE0" w:rsidRPr="00C51ECB" w:rsidRDefault="00D84BE0" w:rsidP="00465096">
            <w:pPr>
              <w:jc w:val="both"/>
              <w:rPr>
                <w:sz w:val="20"/>
              </w:rPr>
            </w:pPr>
            <w:r w:rsidRPr="00C51ECB">
              <w:rPr>
                <w:sz w:val="20"/>
              </w:rPr>
              <w:t>(Tabib J.)</w:t>
            </w:r>
          </w:p>
          <w:p w:rsidR="00D84BE0" w:rsidRPr="00C51ECB" w:rsidRDefault="00D84BE0" w:rsidP="00465096">
            <w:pPr>
              <w:jc w:val="both"/>
              <w:rPr>
                <w:sz w:val="20"/>
              </w:rPr>
            </w:pPr>
            <w:r w:rsidRPr="00C51ECB">
              <w:rPr>
                <w:sz w:val="20"/>
              </w:rPr>
              <w:t>Unreported</w:t>
            </w:r>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Applicant’s statement of claim struck in its entirety without leave to amend</w:t>
            </w: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October 18, 2018</w:t>
            </w:r>
          </w:p>
          <w:p w:rsidR="00D84BE0" w:rsidRPr="00C51ECB" w:rsidRDefault="00D84BE0" w:rsidP="00465096">
            <w:pPr>
              <w:jc w:val="both"/>
              <w:rPr>
                <w:sz w:val="20"/>
              </w:rPr>
            </w:pPr>
            <w:r w:rsidRPr="00C51ECB">
              <w:rPr>
                <w:sz w:val="20"/>
              </w:rPr>
              <w:t>Federal Court of Appeal</w:t>
            </w:r>
          </w:p>
          <w:p w:rsidR="00D84BE0" w:rsidRPr="00C51ECB" w:rsidRDefault="00D84BE0" w:rsidP="00465096">
            <w:pPr>
              <w:jc w:val="both"/>
              <w:rPr>
                <w:sz w:val="20"/>
              </w:rPr>
            </w:pPr>
            <w:r w:rsidRPr="00C51ECB">
              <w:rPr>
                <w:sz w:val="20"/>
              </w:rPr>
              <w:t>(</w:t>
            </w:r>
            <w:proofErr w:type="spellStart"/>
            <w:r w:rsidRPr="00C51ECB">
              <w:rPr>
                <w:sz w:val="20"/>
              </w:rPr>
              <w:t>Stratas</w:t>
            </w:r>
            <w:proofErr w:type="spellEnd"/>
            <w:r w:rsidRPr="00C51ECB">
              <w:rPr>
                <w:sz w:val="20"/>
              </w:rPr>
              <w:t xml:space="preserve"> J.A.)</w:t>
            </w:r>
          </w:p>
          <w:p w:rsidR="00D84BE0" w:rsidRPr="00C51ECB" w:rsidRDefault="00D84BE0" w:rsidP="00465096">
            <w:pPr>
              <w:jc w:val="both"/>
              <w:rPr>
                <w:sz w:val="20"/>
              </w:rPr>
            </w:pPr>
            <w:r w:rsidRPr="00C51ECB">
              <w:rPr>
                <w:sz w:val="20"/>
              </w:rPr>
              <w:t>Unreported</w:t>
            </w:r>
          </w:p>
          <w:p w:rsidR="00D84BE0" w:rsidRPr="00C51ECB" w:rsidRDefault="00D84BE0" w:rsidP="00465096">
            <w:pPr>
              <w:jc w:val="both"/>
              <w:rPr>
                <w:sz w:val="20"/>
              </w:rPr>
            </w:pP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Applicant’s motion for contempt and reconsideration dismissed</w:t>
            </w:r>
          </w:p>
          <w:p w:rsidR="00D84BE0" w:rsidRPr="00C51ECB" w:rsidRDefault="00D84BE0" w:rsidP="00465096">
            <w:pPr>
              <w:jc w:val="both"/>
              <w:rPr>
                <w:sz w:val="20"/>
              </w:rPr>
            </w:pPr>
          </w:p>
          <w:p w:rsidR="00D84BE0" w:rsidRPr="00C51ECB" w:rsidRDefault="00D84BE0" w:rsidP="00465096">
            <w:pPr>
              <w:jc w:val="both"/>
              <w:rPr>
                <w:sz w:val="20"/>
              </w:rPr>
            </w:pPr>
          </w:p>
        </w:tc>
      </w:tr>
      <w:tr w:rsidR="00D84BE0" w:rsidRPr="00C51ECB" w:rsidTr="00E95A6A">
        <w:tc>
          <w:tcPr>
            <w:tcW w:w="2427" w:type="pct"/>
            <w:gridSpan w:val="2"/>
          </w:tcPr>
          <w:p w:rsidR="00D84BE0" w:rsidRPr="00C51ECB" w:rsidRDefault="00D84BE0" w:rsidP="00465096">
            <w:pPr>
              <w:jc w:val="both"/>
              <w:rPr>
                <w:sz w:val="20"/>
              </w:rPr>
            </w:pPr>
            <w:r w:rsidRPr="00C51ECB">
              <w:rPr>
                <w:sz w:val="20"/>
              </w:rPr>
              <w:t>December 19, 2018</w:t>
            </w:r>
          </w:p>
          <w:p w:rsidR="00D84BE0" w:rsidRPr="00C51ECB" w:rsidRDefault="00D84BE0" w:rsidP="00465096">
            <w:pPr>
              <w:jc w:val="both"/>
              <w:rPr>
                <w:sz w:val="20"/>
              </w:rPr>
            </w:pPr>
            <w:r w:rsidRPr="00C51ECB">
              <w:rPr>
                <w:sz w:val="20"/>
              </w:rPr>
              <w:t>Supreme Court of Canada</w:t>
            </w:r>
          </w:p>
        </w:tc>
        <w:tc>
          <w:tcPr>
            <w:tcW w:w="243" w:type="pct"/>
          </w:tcPr>
          <w:p w:rsidR="00D84BE0" w:rsidRPr="00C51ECB" w:rsidRDefault="00D84BE0" w:rsidP="00465096">
            <w:pPr>
              <w:jc w:val="both"/>
              <w:rPr>
                <w:sz w:val="20"/>
              </w:rPr>
            </w:pPr>
          </w:p>
        </w:tc>
        <w:tc>
          <w:tcPr>
            <w:tcW w:w="2330" w:type="pct"/>
          </w:tcPr>
          <w:p w:rsidR="00D84BE0" w:rsidRPr="00C51ECB" w:rsidRDefault="00D84BE0" w:rsidP="00465096">
            <w:pPr>
              <w:jc w:val="both"/>
              <w:rPr>
                <w:sz w:val="20"/>
              </w:rPr>
            </w:pPr>
            <w:r w:rsidRPr="00C51ECB">
              <w:rPr>
                <w:sz w:val="20"/>
              </w:rPr>
              <w:t>Application for leave to appeal filed</w:t>
            </w:r>
          </w:p>
          <w:p w:rsidR="00D84BE0" w:rsidRPr="00C51ECB" w:rsidRDefault="00D84BE0" w:rsidP="00465096">
            <w:pPr>
              <w:jc w:val="both"/>
              <w:rPr>
                <w:sz w:val="20"/>
              </w:rPr>
            </w:pPr>
          </w:p>
        </w:tc>
      </w:tr>
    </w:tbl>
    <w:p w:rsidR="00D84BE0" w:rsidRPr="00C51ECB" w:rsidRDefault="00D84BE0" w:rsidP="00465096">
      <w:pPr>
        <w:jc w:val="both"/>
        <w:rPr>
          <w:sz w:val="20"/>
        </w:rPr>
      </w:pPr>
    </w:p>
    <w:p w:rsidR="0084772C" w:rsidRPr="00C51ECB" w:rsidRDefault="0084772C" w:rsidP="00465096">
      <w:pPr>
        <w:jc w:val="both"/>
        <w:rPr>
          <w:sz w:val="20"/>
        </w:rPr>
      </w:pPr>
      <w:r w:rsidRPr="00C51ECB">
        <w:rPr>
          <w:sz w:val="20"/>
        </w:rPr>
        <w:pict>
          <v:rect id="_x0000_i1039"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84BE0" w:rsidRPr="00C51ECB" w:rsidTr="00E95A6A">
        <w:tc>
          <w:tcPr>
            <w:tcW w:w="543" w:type="pct"/>
          </w:tcPr>
          <w:p w:rsidR="00D84BE0" w:rsidRPr="00C51ECB" w:rsidRDefault="00D84BE0" w:rsidP="00465096">
            <w:pPr>
              <w:jc w:val="both"/>
              <w:rPr>
                <w:sz w:val="20"/>
                <w:lang w:val="fr-CA"/>
              </w:rPr>
            </w:pPr>
            <w:r w:rsidRPr="00C51ECB">
              <w:rPr>
                <w:rStyle w:val="SCCFileNumberChar"/>
                <w:sz w:val="20"/>
                <w:szCs w:val="20"/>
                <w:lang w:val="fr-CA"/>
              </w:rPr>
              <w:t>38563</w:t>
            </w:r>
          </w:p>
        </w:tc>
        <w:tc>
          <w:tcPr>
            <w:tcW w:w="4457" w:type="pct"/>
            <w:gridSpan w:val="3"/>
          </w:tcPr>
          <w:p w:rsidR="00D84BE0" w:rsidRPr="00C51ECB" w:rsidRDefault="00D84BE0" w:rsidP="00465096">
            <w:pPr>
              <w:pStyle w:val="SCCLsocParty"/>
              <w:jc w:val="both"/>
              <w:rPr>
                <w:b/>
                <w:sz w:val="20"/>
                <w:szCs w:val="20"/>
              </w:rPr>
            </w:pPr>
            <w:r w:rsidRPr="00C51ECB">
              <w:rPr>
                <w:b/>
                <w:sz w:val="20"/>
                <w:szCs w:val="20"/>
              </w:rPr>
              <w:t>Alex Martinez c. Sa Majesté la Reine, gouvernement de la Colombie-Britannique, Gendarmerie royale du Canada (GRC), Centre de la sécurité des télécommunications (CST), Commission des plaintes du public contre  la Gendarmerie royale du Canada, British Columbia Public Service, Ville de Calgary, Université de Calgary, gouvernement de l’Alberta, Teck Coal Limited, Cour du Banc de la Reine Calgary, Cour du Banc de la Reine du Manitoba, Cour d'appel du Manitoba, gouvernement du Manitoba, Service de police de Winnipeg, Bell Canada, Manitoba Telecom System Allstream, Vonage Canada, Telus Canada, Presidents Choice Financial, Presidents Choice Bank, BofA Canada Bank, La Banque Toronto-Dominion, Winnipeg Child and Family Services, Manitoba Institute of Registered Social Workers, Société d’assurance publique du Manitoba</w:t>
            </w:r>
          </w:p>
          <w:p w:rsidR="00D84BE0" w:rsidRPr="00C51ECB" w:rsidRDefault="00D84BE0" w:rsidP="00465096">
            <w:pPr>
              <w:jc w:val="both"/>
              <w:rPr>
                <w:sz w:val="20"/>
                <w:lang w:val="fr-CA"/>
              </w:rPr>
            </w:pPr>
            <w:r w:rsidRPr="00C51ECB">
              <w:rPr>
                <w:sz w:val="20"/>
                <w:lang w:val="fr-CA"/>
              </w:rPr>
              <w:t>(C</w:t>
            </w:r>
            <w:r w:rsidR="005D0888" w:rsidRPr="00C51ECB">
              <w:rPr>
                <w:sz w:val="20"/>
                <w:lang w:val="fr-CA"/>
              </w:rPr>
              <w:t>.</w:t>
            </w:r>
            <w:r w:rsidRPr="00C51ECB">
              <w:rPr>
                <w:sz w:val="20"/>
                <w:lang w:val="fr-CA"/>
              </w:rPr>
              <w:t>F</w:t>
            </w:r>
            <w:r w:rsidR="005D0888" w:rsidRPr="00C51ECB">
              <w:rPr>
                <w:sz w:val="20"/>
                <w:lang w:val="fr-CA"/>
              </w:rPr>
              <w:t>.</w:t>
            </w:r>
            <w:r w:rsidRPr="00C51ECB">
              <w:rPr>
                <w:sz w:val="20"/>
                <w:lang w:val="fr-CA"/>
              </w:rPr>
              <w:t>) (Civile) (Autorisation)</w:t>
            </w: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Jugements et ordonnances — Jugements sommaires — Requête en radiation d’actes de procédure — La requête du procureur général du Canada en radiation de la déclaration du demandeur est accueillie — Y a</w:t>
            </w:r>
            <w:r w:rsidRPr="00C51ECB">
              <w:rPr>
                <w:sz w:val="20"/>
                <w:lang w:val="fr-CA"/>
              </w:rPr>
              <w:noBreakHyphen/>
              <w:t>t</w:t>
            </w:r>
            <w:r w:rsidRPr="00C51ECB">
              <w:rPr>
                <w:sz w:val="20"/>
                <w:lang w:val="fr-CA"/>
              </w:rPr>
              <w:noBreakHyphen/>
              <w:t>il eu inconduite volontaire et fraude? — La Cour d’appel fédérale a</w:t>
            </w:r>
            <w:r w:rsidRPr="00C51ECB">
              <w:rPr>
                <w:sz w:val="20"/>
                <w:lang w:val="fr-CA"/>
              </w:rPr>
              <w:noBreakHyphen/>
              <w:t>t</w:t>
            </w:r>
            <w:r w:rsidRPr="00C51ECB">
              <w:rPr>
                <w:sz w:val="20"/>
                <w:lang w:val="fr-CA"/>
              </w:rPr>
              <w:noBreakHyphen/>
              <w:t>elle statué prématurément et omis d’aborder la question de l’outrage civil et criminel?</w:t>
            </w:r>
          </w:p>
        </w:tc>
      </w:tr>
      <w:tr w:rsidR="00D84BE0" w:rsidRPr="00C51ECB" w:rsidTr="00E95A6A">
        <w:tc>
          <w:tcPr>
            <w:tcW w:w="5000" w:type="pct"/>
            <w:gridSpan w:val="4"/>
          </w:tcPr>
          <w:p w:rsidR="00D84BE0" w:rsidRPr="00C51ECB" w:rsidRDefault="00D84BE0" w:rsidP="00465096">
            <w:pPr>
              <w:jc w:val="both"/>
              <w:rPr>
                <w:sz w:val="20"/>
                <w:lang w:val="fr-CA"/>
              </w:rPr>
            </w:pPr>
          </w:p>
        </w:tc>
      </w:tr>
      <w:tr w:rsidR="00D84BE0" w:rsidRPr="00C51ECB" w:rsidTr="00E95A6A">
        <w:tc>
          <w:tcPr>
            <w:tcW w:w="5000" w:type="pct"/>
            <w:gridSpan w:val="4"/>
          </w:tcPr>
          <w:p w:rsidR="00D84BE0" w:rsidRPr="00C51ECB" w:rsidRDefault="00D84BE0" w:rsidP="00465096">
            <w:pPr>
              <w:jc w:val="both"/>
              <w:rPr>
                <w:sz w:val="20"/>
                <w:lang w:val="fr-CA"/>
              </w:rPr>
            </w:pPr>
            <w:r w:rsidRPr="00C51ECB">
              <w:rPr>
                <w:sz w:val="20"/>
                <w:lang w:val="fr-CA"/>
              </w:rPr>
              <w:t>En 2005, l’ancienne petite amie de M. Martinez a appelé au 911 après qu’elle eut observé un homme en train de commettre un acte indécent de l’autre côté de la rue de chez elle. Un rapport de police a été établi dans lequel M. Martinez a été nommé comme témoin. Il nie avoir été témoin de l’incident. Monsieur Martinez a intenté une action en dommages</w:t>
            </w:r>
            <w:r w:rsidRPr="00C51ECB">
              <w:rPr>
                <w:sz w:val="20"/>
                <w:lang w:val="fr-CA"/>
              </w:rPr>
              <w:noBreakHyphen/>
              <w:t>intérêts contre divers intimés. La juge des requêtes a radié au complet la déclaration du demandeur. La requête subséquente du demandeur en outrage et en réexamen a été rejetée.</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11 mai 2018</w:t>
            </w:r>
          </w:p>
          <w:p w:rsidR="00D84BE0" w:rsidRPr="00C51ECB" w:rsidRDefault="00D84BE0" w:rsidP="00465096">
            <w:pPr>
              <w:jc w:val="both"/>
              <w:rPr>
                <w:sz w:val="20"/>
                <w:lang w:val="fr-CA"/>
              </w:rPr>
            </w:pPr>
            <w:r w:rsidRPr="00C51ECB">
              <w:rPr>
                <w:sz w:val="20"/>
                <w:lang w:val="fr-CA"/>
              </w:rPr>
              <w:t>Cour fédérale</w:t>
            </w:r>
          </w:p>
          <w:p w:rsidR="00D84BE0" w:rsidRPr="00C51ECB" w:rsidRDefault="00D84BE0" w:rsidP="00465096">
            <w:pPr>
              <w:jc w:val="both"/>
              <w:rPr>
                <w:sz w:val="20"/>
                <w:lang w:val="fr-CA"/>
              </w:rPr>
            </w:pPr>
            <w:r w:rsidRPr="00C51ECB">
              <w:rPr>
                <w:sz w:val="20"/>
                <w:lang w:val="fr-CA"/>
              </w:rPr>
              <w:t>(Juge Tabib)</w:t>
            </w:r>
          </w:p>
          <w:p w:rsidR="00D84BE0" w:rsidRPr="00C51ECB" w:rsidRDefault="00D84BE0" w:rsidP="00465096">
            <w:pPr>
              <w:jc w:val="both"/>
              <w:rPr>
                <w:sz w:val="20"/>
                <w:lang w:val="fr-CA"/>
              </w:rPr>
            </w:pPr>
            <w:r w:rsidRPr="00C51ECB">
              <w:rPr>
                <w:sz w:val="20"/>
                <w:lang w:val="fr-CA"/>
              </w:rPr>
              <w:t>Non publié</w:t>
            </w:r>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 xml:space="preserve">Radiation au complet de la déclaration du demandeur sans autorisation de la modifier </w:t>
            </w: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18 octobre 2018</w:t>
            </w:r>
          </w:p>
          <w:p w:rsidR="00D84BE0" w:rsidRPr="00C51ECB" w:rsidRDefault="00D84BE0" w:rsidP="00465096">
            <w:pPr>
              <w:jc w:val="both"/>
              <w:rPr>
                <w:sz w:val="20"/>
                <w:lang w:val="fr-CA"/>
              </w:rPr>
            </w:pPr>
            <w:r w:rsidRPr="00C51ECB">
              <w:rPr>
                <w:sz w:val="20"/>
                <w:lang w:val="fr-CA"/>
              </w:rPr>
              <w:t>Cour d’appel fédérale</w:t>
            </w:r>
          </w:p>
          <w:p w:rsidR="00D84BE0" w:rsidRPr="00C51ECB" w:rsidRDefault="00D84BE0" w:rsidP="00465096">
            <w:pPr>
              <w:jc w:val="both"/>
              <w:rPr>
                <w:sz w:val="20"/>
                <w:lang w:val="fr-CA"/>
              </w:rPr>
            </w:pPr>
            <w:r w:rsidRPr="00C51ECB">
              <w:rPr>
                <w:sz w:val="20"/>
                <w:lang w:val="fr-CA"/>
              </w:rPr>
              <w:t>(Juge Stratas)</w:t>
            </w:r>
          </w:p>
          <w:p w:rsidR="00D84BE0" w:rsidRPr="00C51ECB" w:rsidRDefault="00D84BE0" w:rsidP="00465096">
            <w:pPr>
              <w:jc w:val="both"/>
              <w:rPr>
                <w:sz w:val="20"/>
                <w:lang w:val="fr-CA"/>
              </w:rPr>
            </w:pPr>
            <w:r w:rsidRPr="00C51ECB">
              <w:rPr>
                <w:sz w:val="20"/>
                <w:lang w:val="fr-CA"/>
              </w:rPr>
              <w:t>Non publié</w:t>
            </w:r>
          </w:p>
          <w:p w:rsidR="00D84BE0" w:rsidRPr="00C51ECB" w:rsidRDefault="00D84BE0" w:rsidP="00465096">
            <w:pPr>
              <w:jc w:val="both"/>
              <w:rPr>
                <w:sz w:val="20"/>
                <w:lang w:val="fr-CA"/>
              </w:rPr>
            </w:pP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Rejet de la requête du demandeur en outrage et en réexamen</w:t>
            </w:r>
          </w:p>
          <w:p w:rsidR="00D84BE0" w:rsidRPr="00C51ECB" w:rsidRDefault="00D84BE0" w:rsidP="00465096">
            <w:pPr>
              <w:jc w:val="both"/>
              <w:rPr>
                <w:sz w:val="20"/>
                <w:lang w:val="fr-CA"/>
              </w:rPr>
            </w:pPr>
          </w:p>
          <w:p w:rsidR="00D84BE0" w:rsidRPr="00C51ECB" w:rsidRDefault="00D84BE0" w:rsidP="00465096">
            <w:pPr>
              <w:jc w:val="both"/>
              <w:rPr>
                <w:sz w:val="20"/>
                <w:lang w:val="fr-CA"/>
              </w:rPr>
            </w:pPr>
          </w:p>
        </w:tc>
      </w:tr>
      <w:tr w:rsidR="00D84BE0" w:rsidRPr="00C51ECB" w:rsidTr="00E95A6A">
        <w:tc>
          <w:tcPr>
            <w:tcW w:w="2427" w:type="pct"/>
            <w:gridSpan w:val="2"/>
          </w:tcPr>
          <w:p w:rsidR="00D84BE0" w:rsidRPr="00C51ECB" w:rsidRDefault="00D84BE0" w:rsidP="00465096">
            <w:pPr>
              <w:jc w:val="both"/>
              <w:rPr>
                <w:sz w:val="20"/>
                <w:lang w:val="fr-CA"/>
              </w:rPr>
            </w:pPr>
            <w:r w:rsidRPr="00C51ECB">
              <w:rPr>
                <w:sz w:val="20"/>
                <w:lang w:val="fr-CA"/>
              </w:rPr>
              <w:t>19 décembre 2018</w:t>
            </w:r>
          </w:p>
          <w:p w:rsidR="00D84BE0" w:rsidRPr="00C51ECB" w:rsidRDefault="00D84BE0" w:rsidP="00465096">
            <w:pPr>
              <w:jc w:val="both"/>
              <w:rPr>
                <w:sz w:val="20"/>
                <w:lang w:val="fr-CA"/>
              </w:rPr>
            </w:pPr>
            <w:r w:rsidRPr="00C51ECB">
              <w:rPr>
                <w:sz w:val="20"/>
                <w:lang w:val="fr-CA"/>
              </w:rPr>
              <w:t>Cour suprême du Canada</w:t>
            </w:r>
          </w:p>
        </w:tc>
        <w:tc>
          <w:tcPr>
            <w:tcW w:w="243" w:type="pct"/>
          </w:tcPr>
          <w:p w:rsidR="00D84BE0" w:rsidRPr="00C51ECB" w:rsidRDefault="00D84BE0" w:rsidP="00465096">
            <w:pPr>
              <w:jc w:val="both"/>
              <w:rPr>
                <w:sz w:val="20"/>
                <w:lang w:val="fr-CA"/>
              </w:rPr>
            </w:pPr>
          </w:p>
        </w:tc>
        <w:tc>
          <w:tcPr>
            <w:tcW w:w="2330" w:type="pct"/>
          </w:tcPr>
          <w:p w:rsidR="00D84BE0" w:rsidRPr="00C51ECB" w:rsidRDefault="00D84BE0" w:rsidP="00465096">
            <w:pPr>
              <w:jc w:val="both"/>
              <w:rPr>
                <w:sz w:val="20"/>
                <w:lang w:val="fr-CA"/>
              </w:rPr>
            </w:pPr>
            <w:r w:rsidRPr="00C51ECB">
              <w:rPr>
                <w:sz w:val="20"/>
                <w:lang w:val="fr-CA"/>
              </w:rPr>
              <w:t>Dépôt de la demande d’autorisation d’appel</w:t>
            </w:r>
          </w:p>
          <w:p w:rsidR="00D84BE0" w:rsidRPr="00C51ECB" w:rsidRDefault="00D84BE0" w:rsidP="00465096">
            <w:pPr>
              <w:jc w:val="both"/>
              <w:rPr>
                <w:sz w:val="20"/>
                <w:lang w:val="fr-CA"/>
              </w:rPr>
            </w:pPr>
          </w:p>
        </w:tc>
      </w:tr>
    </w:tbl>
    <w:p w:rsidR="00D84BE0" w:rsidRPr="00C51ECB" w:rsidRDefault="00D84BE0" w:rsidP="00465096">
      <w:pPr>
        <w:jc w:val="both"/>
        <w:rPr>
          <w:sz w:val="20"/>
          <w:lang w:val="fr-CA"/>
        </w:rPr>
      </w:pPr>
    </w:p>
    <w:p w:rsidR="0084772C" w:rsidRPr="00C51ECB" w:rsidRDefault="0084772C" w:rsidP="00465096">
      <w:pPr>
        <w:jc w:val="both"/>
        <w:rPr>
          <w:sz w:val="20"/>
          <w:lang w:val="fr-CA"/>
        </w:rPr>
      </w:pPr>
      <w:r w:rsidRPr="00C51ECB">
        <w:rPr>
          <w:sz w:val="20"/>
        </w:rPr>
        <w:pict>
          <v:rect id="_x0000_i1040" style="width:2in;height:1pt" o:hrpct="0" o:hralign="center" o:hrstd="t" o:hrnoshade="t" o:hr="t" fillcolor="black [3213]" stroked="f"/>
        </w:pict>
      </w:r>
    </w:p>
    <w:p w:rsidR="00D84BE0" w:rsidRPr="00C51ECB" w:rsidRDefault="00D84BE0"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rPr>
            </w:pPr>
            <w:r w:rsidRPr="00C51ECB">
              <w:rPr>
                <w:rStyle w:val="SCCFileNumberChar"/>
                <w:sz w:val="20"/>
                <w:szCs w:val="20"/>
              </w:rPr>
              <w:t>38543</w:t>
            </w:r>
          </w:p>
        </w:tc>
        <w:tc>
          <w:tcPr>
            <w:tcW w:w="4457" w:type="pct"/>
            <w:gridSpan w:val="3"/>
          </w:tcPr>
          <w:p w:rsidR="00465096" w:rsidRPr="00C51ECB" w:rsidRDefault="00465096" w:rsidP="00465096">
            <w:pPr>
              <w:pStyle w:val="SCCLsocParty"/>
              <w:jc w:val="both"/>
              <w:rPr>
                <w:b/>
                <w:sz w:val="20"/>
                <w:szCs w:val="20"/>
                <w:lang w:val="en-US"/>
              </w:rPr>
            </w:pPr>
            <w:r w:rsidRPr="00C51ECB">
              <w:rPr>
                <w:b/>
                <w:sz w:val="20"/>
                <w:szCs w:val="20"/>
                <w:lang w:val="en-US"/>
              </w:rPr>
              <w:t>Salwa Abdalla v. Her Majesty the Queen</w:t>
            </w:r>
          </w:p>
          <w:p w:rsidR="00465096" w:rsidRPr="00C51ECB" w:rsidRDefault="00465096" w:rsidP="00465096">
            <w:pPr>
              <w:jc w:val="both"/>
              <w:rPr>
                <w:sz w:val="20"/>
              </w:rPr>
            </w:pPr>
            <w:r w:rsidRPr="00C51ECB">
              <w:rPr>
                <w:sz w:val="20"/>
              </w:rPr>
              <w:t>(F</w:t>
            </w:r>
            <w:r w:rsidR="001B1C6D" w:rsidRPr="00C51ECB">
              <w:rPr>
                <w:sz w:val="20"/>
              </w:rPr>
              <w:t>.</w:t>
            </w:r>
            <w:r w:rsidRPr="00C51ECB">
              <w:rPr>
                <w:sz w:val="20"/>
              </w:rPr>
              <w:t>C</w:t>
            </w:r>
            <w:r w:rsidR="001B1C6D" w:rsidRPr="00C51ECB">
              <w:rPr>
                <w:sz w:val="20"/>
              </w:rPr>
              <w:t>.</w:t>
            </w:r>
            <w:r w:rsidRPr="00C51ECB">
              <w:rPr>
                <w:sz w:val="20"/>
              </w:rPr>
              <w:t>) (Civil) (By Leave)</w:t>
            </w:r>
          </w:p>
        </w:tc>
      </w:tr>
      <w:tr w:rsidR="00465096" w:rsidRPr="00C51ECB" w:rsidTr="00E95A6A">
        <w:tc>
          <w:tcPr>
            <w:tcW w:w="5000" w:type="pct"/>
            <w:gridSpan w:val="4"/>
          </w:tcPr>
          <w:p w:rsidR="00465096" w:rsidRPr="00C51ECB" w:rsidRDefault="00465096" w:rsidP="00465096">
            <w:pPr>
              <w:jc w:val="both"/>
              <w:rPr>
                <w:sz w:val="20"/>
              </w:rPr>
            </w:pPr>
            <w:r w:rsidRPr="00C51ECB">
              <w:rPr>
                <w:sz w:val="20"/>
              </w:rPr>
              <w:t xml:space="preserve">Taxation — Income Tax — Assessment — Federal Court of Appeal upholding decision finding “Agreement to be Bound and Waiver of Objection and Appeal Rights” constituted a valid and binding waiver — Whether Federal Court of Appeal’s application of civil insurance waiver test as set out in </w:t>
            </w:r>
            <w:r w:rsidRPr="00C51ECB">
              <w:rPr>
                <w:i/>
                <w:sz w:val="20"/>
              </w:rPr>
              <w:t>River Bungalows Ltd. v. Maritime Life Insurance Co.</w:t>
            </w:r>
            <w:r w:rsidRPr="00C51ECB">
              <w:rPr>
                <w:sz w:val="20"/>
              </w:rPr>
              <w:t xml:space="preserve">, [1994] 2 S.C.R. 490 is appropriate in tax context — Whether Federal Court of Appeal erred in finding that applicant provided a valid waiver at law by signing Agreement — Whether Federal Court of Appeal erred in finding that Crown did not bring any undue pressure upon applicant to sign Agreement — </w:t>
            </w:r>
            <w:r w:rsidRPr="00C51ECB">
              <w:rPr>
                <w:i/>
                <w:sz w:val="20"/>
              </w:rPr>
              <w:t xml:space="preserve">Income Tax Act, </w:t>
            </w:r>
            <w:r w:rsidRPr="00C51ECB">
              <w:rPr>
                <w:i/>
                <w:sz w:val="20"/>
                <w:lang w:val="en"/>
              </w:rPr>
              <w:t>R.S.C</w:t>
            </w:r>
            <w:r w:rsidRPr="00C51ECB">
              <w:rPr>
                <w:sz w:val="20"/>
                <w:lang w:val="en"/>
              </w:rPr>
              <w:t xml:space="preserve">., 1985, c. 1 (5th Supp.), </w:t>
            </w:r>
            <w:r w:rsidRPr="00C51ECB">
              <w:rPr>
                <w:sz w:val="20"/>
              </w:rPr>
              <w:t>s. 169(2.2).</w:t>
            </w:r>
          </w:p>
        </w:tc>
      </w:tr>
      <w:tr w:rsidR="00465096" w:rsidRPr="00C51ECB" w:rsidTr="00E95A6A">
        <w:tc>
          <w:tcPr>
            <w:tcW w:w="5000" w:type="pct"/>
            <w:gridSpan w:val="4"/>
          </w:tcPr>
          <w:p w:rsidR="00465096" w:rsidRPr="00C51ECB" w:rsidRDefault="00465096" w:rsidP="00465096">
            <w:pPr>
              <w:jc w:val="both"/>
              <w:rPr>
                <w:sz w:val="20"/>
              </w:rPr>
            </w:pPr>
          </w:p>
        </w:tc>
      </w:tr>
      <w:tr w:rsidR="00465096" w:rsidRPr="00C51ECB" w:rsidTr="00E95A6A">
        <w:tc>
          <w:tcPr>
            <w:tcW w:w="5000" w:type="pct"/>
            <w:gridSpan w:val="4"/>
          </w:tcPr>
          <w:p w:rsidR="00465096" w:rsidRPr="00C51ECB" w:rsidRDefault="00465096" w:rsidP="00465096">
            <w:pPr>
              <w:spacing w:after="240"/>
              <w:jc w:val="both"/>
              <w:rPr>
                <w:sz w:val="20"/>
              </w:rPr>
            </w:pPr>
            <w:r w:rsidRPr="00C51ECB">
              <w:rPr>
                <w:sz w:val="20"/>
              </w:rPr>
              <w:t xml:space="preserve">This matter came before the Tax Court of Canada by way of Notice of Motion by the Crown. The Crown sought to quash the appeal presented to the Tax Court of Canada by the applicant for the 2007 and 2009 taxation years, pursuant to s. 12 of the </w:t>
            </w:r>
            <w:r w:rsidRPr="00C51ECB">
              <w:rPr>
                <w:i/>
                <w:sz w:val="20"/>
              </w:rPr>
              <w:t>Tax Court of Canada Act</w:t>
            </w:r>
            <w:r w:rsidRPr="00C51ECB">
              <w:rPr>
                <w:sz w:val="20"/>
              </w:rPr>
              <w:t xml:space="preserve"> and s. 169(2.2) of the </w:t>
            </w:r>
            <w:r w:rsidRPr="00C51ECB">
              <w:rPr>
                <w:i/>
                <w:sz w:val="20"/>
              </w:rPr>
              <w:t>Income Tax Act</w:t>
            </w:r>
            <w:r w:rsidRPr="00C51ECB">
              <w:rPr>
                <w:sz w:val="20"/>
              </w:rPr>
              <w:t>.</w:t>
            </w:r>
          </w:p>
          <w:p w:rsidR="00465096" w:rsidRPr="00C51ECB" w:rsidRDefault="00465096" w:rsidP="00465096">
            <w:pPr>
              <w:spacing w:after="240"/>
              <w:jc w:val="both"/>
              <w:rPr>
                <w:sz w:val="20"/>
              </w:rPr>
            </w:pPr>
            <w:r w:rsidRPr="00C51ECB">
              <w:rPr>
                <w:sz w:val="20"/>
              </w:rPr>
              <w:t xml:space="preserve">The Crown sought to quash the appeal on the basis that the applicant was bound by a lead appeal known as </w:t>
            </w:r>
            <w:r w:rsidRPr="00C51ECB">
              <w:rPr>
                <w:i/>
                <w:sz w:val="20"/>
              </w:rPr>
              <w:t>Mariano v. The Queen</w:t>
            </w:r>
            <w:r w:rsidRPr="00C51ECB">
              <w:rPr>
                <w:sz w:val="20"/>
              </w:rPr>
              <w:t>, 2015 TCC 244, pursuant to an “Agreement to be Bound and Waiver of Objection and Appeal Rights” (“Agreement”) she had signed.</w:t>
            </w:r>
          </w:p>
          <w:p w:rsidR="00465096" w:rsidRPr="00C51ECB" w:rsidRDefault="00465096" w:rsidP="00465096">
            <w:pPr>
              <w:spacing w:after="240"/>
              <w:jc w:val="both"/>
              <w:rPr>
                <w:sz w:val="20"/>
              </w:rPr>
            </w:pPr>
            <w:r w:rsidRPr="00C51ECB">
              <w:rPr>
                <w:sz w:val="20"/>
              </w:rPr>
              <w:t>The applicant took a position to the contrary indicating that the motion should not be granted because no valid consideration had been exchanged; CRA created conditions whereby consent was not fully informed; and the Agreement was obtained by way of undue pressure.</w:t>
            </w:r>
          </w:p>
          <w:p w:rsidR="00465096" w:rsidRPr="00C51ECB" w:rsidRDefault="00465096" w:rsidP="00465096">
            <w:pPr>
              <w:jc w:val="both"/>
              <w:rPr>
                <w:sz w:val="20"/>
              </w:rPr>
            </w:pPr>
            <w:r w:rsidRPr="00C51ECB">
              <w:rPr>
                <w:sz w:val="20"/>
              </w:rPr>
              <w:t>The Tax Court granted the motion and quashed the appeal. The Federal Court of Appeal</w:t>
            </w:r>
            <w:r w:rsidRPr="00C51ECB">
              <w:rPr>
                <w:b/>
                <w:sz w:val="20"/>
              </w:rPr>
              <w:t xml:space="preserve"> </w:t>
            </w:r>
            <w:r w:rsidRPr="00C51ECB">
              <w:rPr>
                <w:sz w:val="20"/>
              </w:rPr>
              <w:t>dismissed the appeal.</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November 10, 2017</w:t>
            </w:r>
          </w:p>
          <w:p w:rsidR="00465096" w:rsidRPr="00C51ECB" w:rsidRDefault="00465096" w:rsidP="00465096">
            <w:pPr>
              <w:jc w:val="both"/>
              <w:rPr>
                <w:sz w:val="20"/>
              </w:rPr>
            </w:pPr>
            <w:r w:rsidRPr="00C51ECB">
              <w:rPr>
                <w:sz w:val="20"/>
              </w:rPr>
              <w:t>Tax Court of Canada</w:t>
            </w:r>
          </w:p>
          <w:p w:rsidR="00465096" w:rsidRPr="00C51ECB" w:rsidRDefault="00465096" w:rsidP="00465096">
            <w:pPr>
              <w:jc w:val="both"/>
              <w:rPr>
                <w:sz w:val="20"/>
              </w:rPr>
            </w:pPr>
            <w:r w:rsidRPr="00C51ECB">
              <w:rPr>
                <w:sz w:val="20"/>
              </w:rPr>
              <w:t>(Rossiter C.J.)</w:t>
            </w:r>
          </w:p>
          <w:p w:rsidR="00465096" w:rsidRPr="00C51ECB" w:rsidRDefault="00465096" w:rsidP="00465096">
            <w:pPr>
              <w:jc w:val="both"/>
              <w:rPr>
                <w:sz w:val="20"/>
              </w:rPr>
            </w:pPr>
            <w:hyperlink r:id="rId43" w:history="1">
              <w:r w:rsidRPr="00C51ECB">
                <w:rPr>
                  <w:rStyle w:val="Hyperlink"/>
                  <w:sz w:val="20"/>
                </w:rPr>
                <w:t>2017 TCC 222</w:t>
              </w:r>
            </w:hyperlink>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 xml:space="preserve">Appeals from reassessments made under the </w:t>
            </w:r>
            <w:r w:rsidRPr="00C51ECB">
              <w:rPr>
                <w:i/>
                <w:sz w:val="20"/>
              </w:rPr>
              <w:t>Income Tax Act</w:t>
            </w:r>
            <w:r w:rsidRPr="00C51ECB">
              <w:rPr>
                <w:sz w:val="20"/>
              </w:rPr>
              <w:t xml:space="preserve"> in respect of 2007 and 2009 taxation years quashed.</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January 8, 2019</w:t>
            </w:r>
          </w:p>
          <w:p w:rsidR="00465096" w:rsidRPr="00C51ECB" w:rsidRDefault="00465096" w:rsidP="00465096">
            <w:pPr>
              <w:jc w:val="both"/>
              <w:rPr>
                <w:sz w:val="20"/>
              </w:rPr>
            </w:pPr>
            <w:r w:rsidRPr="00C51ECB">
              <w:rPr>
                <w:sz w:val="20"/>
              </w:rPr>
              <w:t>Federal Court of Appeal</w:t>
            </w:r>
          </w:p>
          <w:p w:rsidR="00465096" w:rsidRPr="00C51ECB" w:rsidRDefault="00465096" w:rsidP="00465096">
            <w:pPr>
              <w:jc w:val="both"/>
              <w:rPr>
                <w:sz w:val="20"/>
              </w:rPr>
            </w:pPr>
            <w:r w:rsidRPr="00C51ECB">
              <w:rPr>
                <w:sz w:val="20"/>
              </w:rPr>
              <w:t>(Nadon, de Montigny and Gleason JJ.A.)</w:t>
            </w:r>
          </w:p>
          <w:p w:rsidR="00465096" w:rsidRPr="00C51ECB" w:rsidRDefault="00465096" w:rsidP="00465096">
            <w:pPr>
              <w:jc w:val="both"/>
              <w:rPr>
                <w:sz w:val="20"/>
              </w:rPr>
            </w:pPr>
            <w:hyperlink r:id="rId44" w:history="1">
              <w:r w:rsidRPr="00C51ECB">
                <w:rPr>
                  <w:rStyle w:val="Hyperlink"/>
                  <w:sz w:val="20"/>
                </w:rPr>
                <w:t>2019 FCA 5</w:t>
              </w:r>
            </w:hyperlink>
          </w:p>
          <w:p w:rsidR="00465096" w:rsidRPr="00C51ECB" w:rsidRDefault="00465096" w:rsidP="00465096">
            <w:pPr>
              <w:jc w:val="both"/>
              <w:rPr>
                <w:sz w:val="20"/>
              </w:rPr>
            </w:pPr>
            <w:r w:rsidRPr="00C51ECB">
              <w:rPr>
                <w:sz w:val="20"/>
              </w:rPr>
              <w:t>File No.: A</w:t>
            </w:r>
            <w:r w:rsidRPr="00C51ECB">
              <w:rPr>
                <w:sz w:val="20"/>
              </w:rPr>
              <w:noBreakHyphen/>
              <w:t>375</w:t>
            </w:r>
            <w:r w:rsidRPr="00C51ECB">
              <w:rPr>
                <w:sz w:val="20"/>
              </w:rPr>
              <w:noBreakHyphen/>
              <w:t>17</w:t>
            </w:r>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Appeal dismissed.</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March 8, 2019</w:t>
            </w:r>
          </w:p>
          <w:p w:rsidR="00465096" w:rsidRPr="00C51ECB" w:rsidRDefault="00465096" w:rsidP="00465096">
            <w:pPr>
              <w:jc w:val="both"/>
              <w:rPr>
                <w:sz w:val="20"/>
              </w:rPr>
            </w:pPr>
            <w:r w:rsidRPr="00C51ECB">
              <w:rPr>
                <w:sz w:val="20"/>
              </w:rPr>
              <w:t>Supreme Court of Canada</w:t>
            </w: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Application for leave to appeal filed.</w:t>
            </w:r>
          </w:p>
          <w:p w:rsidR="00465096" w:rsidRPr="00C51ECB" w:rsidRDefault="00465096" w:rsidP="00465096">
            <w:pPr>
              <w:jc w:val="both"/>
              <w:rPr>
                <w:sz w:val="20"/>
              </w:rPr>
            </w:pPr>
          </w:p>
        </w:tc>
      </w:tr>
    </w:tbl>
    <w:p w:rsidR="00465096" w:rsidRPr="00C51ECB" w:rsidRDefault="00465096" w:rsidP="00465096">
      <w:pPr>
        <w:jc w:val="both"/>
        <w:rPr>
          <w:sz w:val="20"/>
        </w:rPr>
      </w:pPr>
    </w:p>
    <w:p w:rsidR="0084772C" w:rsidRPr="00C51ECB" w:rsidRDefault="0084772C" w:rsidP="00465096">
      <w:pPr>
        <w:jc w:val="both"/>
        <w:rPr>
          <w:sz w:val="20"/>
        </w:rPr>
      </w:pPr>
      <w:r w:rsidRPr="00C51ECB">
        <w:rPr>
          <w:sz w:val="20"/>
        </w:rPr>
        <w:pict>
          <v:rect id="_x0000_i1041"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lang w:val="fr-CA"/>
              </w:rPr>
            </w:pPr>
            <w:r w:rsidRPr="00C51ECB">
              <w:rPr>
                <w:rStyle w:val="SCCFileNumberChar"/>
                <w:sz w:val="20"/>
                <w:szCs w:val="20"/>
                <w:lang w:val="fr-CA"/>
              </w:rPr>
              <w:t>38543</w:t>
            </w:r>
          </w:p>
        </w:tc>
        <w:tc>
          <w:tcPr>
            <w:tcW w:w="4457" w:type="pct"/>
            <w:gridSpan w:val="3"/>
          </w:tcPr>
          <w:p w:rsidR="00465096" w:rsidRPr="00C51ECB" w:rsidRDefault="00465096" w:rsidP="00465096">
            <w:pPr>
              <w:pStyle w:val="SCCLsocParty"/>
              <w:jc w:val="both"/>
              <w:rPr>
                <w:b/>
                <w:sz w:val="20"/>
                <w:szCs w:val="20"/>
              </w:rPr>
            </w:pPr>
            <w:r w:rsidRPr="00C51ECB">
              <w:rPr>
                <w:b/>
                <w:sz w:val="20"/>
                <w:szCs w:val="20"/>
              </w:rPr>
              <w:t>Salwa Abdalla c. Sa Majesté la Reine</w:t>
            </w:r>
          </w:p>
          <w:p w:rsidR="00465096" w:rsidRPr="00C51ECB" w:rsidRDefault="00465096" w:rsidP="00465096">
            <w:pPr>
              <w:jc w:val="both"/>
              <w:rPr>
                <w:sz w:val="20"/>
                <w:lang w:val="fr-CA"/>
              </w:rPr>
            </w:pPr>
            <w:r w:rsidRPr="00C51ECB">
              <w:rPr>
                <w:sz w:val="20"/>
                <w:lang w:val="fr-CA"/>
              </w:rPr>
              <w:t>(C</w:t>
            </w:r>
            <w:r w:rsidR="001B1C6D" w:rsidRPr="00C51ECB">
              <w:rPr>
                <w:sz w:val="20"/>
                <w:lang w:val="fr-CA"/>
              </w:rPr>
              <w:t>.</w:t>
            </w:r>
            <w:r w:rsidRPr="00C51ECB">
              <w:rPr>
                <w:sz w:val="20"/>
                <w:lang w:val="fr-CA"/>
              </w:rPr>
              <w:t>F</w:t>
            </w:r>
            <w:r w:rsidR="001B1C6D" w:rsidRPr="00C51ECB">
              <w:rPr>
                <w:sz w:val="20"/>
                <w:lang w:val="fr-CA"/>
              </w:rPr>
              <w:t>.</w:t>
            </w:r>
            <w:r w:rsidRPr="00C51ECB">
              <w:rPr>
                <w:sz w:val="20"/>
                <w:lang w:val="fr-CA"/>
              </w:rPr>
              <w:t>) (Civile) (Autorisation)</w:t>
            </w:r>
          </w:p>
        </w:tc>
      </w:tr>
      <w:tr w:rsidR="00465096" w:rsidRPr="00C51ECB" w:rsidTr="00E95A6A">
        <w:tc>
          <w:tcPr>
            <w:tcW w:w="5000" w:type="pct"/>
            <w:gridSpan w:val="4"/>
          </w:tcPr>
          <w:p w:rsidR="00465096" w:rsidRPr="00C51ECB" w:rsidRDefault="00465096" w:rsidP="00465096">
            <w:pPr>
              <w:jc w:val="both"/>
              <w:rPr>
                <w:sz w:val="20"/>
                <w:lang w:val="fr-CA"/>
              </w:rPr>
            </w:pPr>
            <w:r w:rsidRPr="00C51ECB">
              <w:rPr>
                <w:sz w:val="20"/>
                <w:lang w:val="fr-CA"/>
              </w:rPr>
              <w:t xml:space="preserve">Droit fiscal — Impôt sur le revenu — Cotisation — La Cour d’appel fédérale a confirmé le jugement concluant qu’une acceptation et une renonciation aux droits d’opposition et d’appel constituaient une renonciation valide et exécutoire — L’application par la Cour d’appel fédérale du critère relatif à la renonciation d’assurance en matière civile exposé dans l’arrêt </w:t>
            </w:r>
            <w:r w:rsidRPr="00C51ECB">
              <w:rPr>
                <w:i/>
                <w:sz w:val="20"/>
                <w:lang w:val="fr-CA"/>
              </w:rPr>
              <w:t>River Bungalows Ltd. c. La Maritime, Compagnie d’assurance-vie</w:t>
            </w:r>
            <w:r w:rsidRPr="00C51ECB">
              <w:rPr>
                <w:sz w:val="20"/>
                <w:lang w:val="fr-CA"/>
              </w:rPr>
              <w:t>, [1994] 2 R.C.S. 490 est</w:t>
            </w:r>
            <w:r w:rsidRPr="00C51ECB">
              <w:rPr>
                <w:sz w:val="20"/>
                <w:lang w:val="fr-CA"/>
              </w:rPr>
              <w:noBreakHyphen/>
              <w:t>elle appropriée dans le contexte fiscal? — La Cour d’appel fédérale a</w:t>
            </w:r>
            <w:r w:rsidRPr="00C51ECB">
              <w:rPr>
                <w:sz w:val="20"/>
                <w:lang w:val="fr-CA"/>
              </w:rPr>
              <w:noBreakHyphen/>
              <w:t>t</w:t>
            </w:r>
            <w:r w:rsidRPr="00C51ECB">
              <w:rPr>
                <w:sz w:val="20"/>
                <w:lang w:val="fr-CA"/>
              </w:rPr>
              <w:noBreakHyphen/>
              <w:t>elle eu tort de conclure que le demandeur avait fourni une renonciation juridiquement valide en signant l’acceptation? — La Cour d’appel fédérale a</w:t>
            </w:r>
            <w:r w:rsidRPr="00C51ECB">
              <w:rPr>
                <w:sz w:val="20"/>
                <w:lang w:val="fr-CA"/>
              </w:rPr>
              <w:noBreakHyphen/>
              <w:t>t</w:t>
            </w:r>
            <w:r w:rsidRPr="00C51ECB">
              <w:rPr>
                <w:sz w:val="20"/>
                <w:lang w:val="fr-CA"/>
              </w:rPr>
              <w:noBreakHyphen/>
              <w:t xml:space="preserve">elle eu </w:t>
            </w:r>
            <w:r w:rsidRPr="00C51ECB">
              <w:rPr>
                <w:sz w:val="20"/>
                <w:lang w:val="fr-CA"/>
              </w:rPr>
              <w:lastRenderedPageBreak/>
              <w:t xml:space="preserve">tort de conclure que Sa Majesté n’a pas exercé de pression indue sur la demanderesse pour qu’elle signe l’acceptation? — </w:t>
            </w:r>
            <w:r w:rsidRPr="00C51ECB">
              <w:rPr>
                <w:i/>
                <w:sz w:val="20"/>
                <w:lang w:val="fr-CA"/>
              </w:rPr>
              <w:t xml:space="preserve">Loi de l’impôt sur le revenu, </w:t>
            </w:r>
            <w:r w:rsidRPr="00C51ECB">
              <w:rPr>
                <w:sz w:val="20"/>
                <w:lang w:val="fr-CA"/>
              </w:rPr>
              <w:t>L.R.C. 1985, ch. 1 (5</w:t>
            </w:r>
            <w:r w:rsidRPr="00C51ECB">
              <w:rPr>
                <w:sz w:val="20"/>
                <w:vertAlign w:val="superscript"/>
                <w:lang w:val="fr-CA"/>
              </w:rPr>
              <w:t>e</w:t>
            </w:r>
            <w:r w:rsidRPr="00C51ECB">
              <w:rPr>
                <w:sz w:val="20"/>
                <w:lang w:val="fr-CA"/>
              </w:rPr>
              <w:t xml:space="preserve"> suppl.), par. 169(2.2).</w:t>
            </w:r>
          </w:p>
        </w:tc>
      </w:tr>
      <w:tr w:rsidR="00465096" w:rsidRPr="00C51ECB" w:rsidTr="00E95A6A">
        <w:tc>
          <w:tcPr>
            <w:tcW w:w="5000" w:type="pct"/>
            <w:gridSpan w:val="4"/>
          </w:tcPr>
          <w:p w:rsidR="00465096" w:rsidRPr="00C51ECB" w:rsidRDefault="00465096" w:rsidP="00465096">
            <w:pPr>
              <w:jc w:val="both"/>
              <w:rPr>
                <w:sz w:val="20"/>
                <w:lang w:val="fr-CA"/>
              </w:rPr>
            </w:pPr>
          </w:p>
        </w:tc>
      </w:tr>
      <w:tr w:rsidR="00465096" w:rsidRPr="00C51ECB" w:rsidTr="00E95A6A">
        <w:tc>
          <w:tcPr>
            <w:tcW w:w="5000" w:type="pct"/>
            <w:gridSpan w:val="4"/>
          </w:tcPr>
          <w:p w:rsidR="00465096" w:rsidRPr="00C51ECB" w:rsidRDefault="00465096" w:rsidP="00465096">
            <w:pPr>
              <w:spacing w:after="240"/>
              <w:jc w:val="both"/>
              <w:rPr>
                <w:sz w:val="20"/>
                <w:lang w:val="fr-CA"/>
              </w:rPr>
            </w:pPr>
            <w:r w:rsidRPr="00C51ECB">
              <w:rPr>
                <w:sz w:val="20"/>
                <w:lang w:val="fr-CA"/>
              </w:rPr>
              <w:t>Ce dossier a été entendu par la Cour canadienne de l’impôt à la suite du dépôt d’un avis de requête par Sa Majesté. Sa Majesté visait à faire casser les appels présentés à la Cour canadienne de l’impôt par la demanderesse relativement aux années d’imposition 2007 et 2009, en vertu de l’article 12 de la </w:t>
            </w:r>
            <w:r w:rsidRPr="00C51ECB">
              <w:rPr>
                <w:i/>
                <w:iCs/>
                <w:sz w:val="20"/>
                <w:lang w:val="fr-CA"/>
              </w:rPr>
              <w:t>Loi sur la Cour canadienne de l’impôt</w:t>
            </w:r>
            <w:r w:rsidRPr="00C51ECB">
              <w:rPr>
                <w:sz w:val="20"/>
                <w:lang w:val="fr-CA"/>
              </w:rPr>
              <w:t> et du paragraphe 169(2.2) de la </w:t>
            </w:r>
            <w:r w:rsidRPr="00C51ECB">
              <w:rPr>
                <w:i/>
                <w:iCs/>
                <w:sz w:val="20"/>
                <w:lang w:val="fr-CA"/>
              </w:rPr>
              <w:t>Loi de l’impôt sur le revenu</w:t>
            </w:r>
            <w:r w:rsidRPr="00C51ECB">
              <w:rPr>
                <w:sz w:val="20"/>
                <w:lang w:val="fr-CA"/>
              </w:rPr>
              <w:t>.</w:t>
            </w:r>
          </w:p>
          <w:p w:rsidR="00465096" w:rsidRPr="00C51ECB" w:rsidRDefault="00465096" w:rsidP="00465096">
            <w:pPr>
              <w:spacing w:after="240"/>
              <w:jc w:val="both"/>
              <w:rPr>
                <w:sz w:val="20"/>
                <w:lang w:val="fr-CA"/>
              </w:rPr>
            </w:pPr>
            <w:r w:rsidRPr="00C51ECB">
              <w:rPr>
                <w:sz w:val="20"/>
                <w:lang w:val="fr-CA"/>
              </w:rPr>
              <w:t>Sa Majesté cherche à casser l’appel au motif que la demanderesse était liée par l’appel principal connu sous l’intitulé </w:t>
            </w:r>
            <w:r w:rsidRPr="00C51ECB">
              <w:rPr>
                <w:i/>
                <w:iCs/>
                <w:sz w:val="20"/>
                <w:lang w:val="fr-CA"/>
              </w:rPr>
              <w:t>Mariano c La Reine</w:t>
            </w:r>
            <w:r w:rsidRPr="00C51ECB">
              <w:rPr>
                <w:sz w:val="20"/>
                <w:lang w:val="fr-CA"/>
              </w:rPr>
              <w:t>, 2015 CCI 244, conformément à une acceptation et à une renonciation aux droits d’opposition et d’appel (l’« acceptation ») qu’elle avait signée.</w:t>
            </w:r>
          </w:p>
          <w:p w:rsidR="00465096" w:rsidRPr="00C51ECB" w:rsidRDefault="00465096" w:rsidP="00465096">
            <w:pPr>
              <w:spacing w:after="240"/>
              <w:jc w:val="both"/>
              <w:rPr>
                <w:sz w:val="20"/>
                <w:lang w:val="fr-CA"/>
              </w:rPr>
            </w:pPr>
            <w:r w:rsidRPr="00C51ECB">
              <w:rPr>
                <w:sz w:val="20"/>
                <w:lang w:val="fr-CA"/>
              </w:rPr>
              <w:t>La demanderesse soutient que la requête devrait être rejetée parce qu’aucune contrepartie valide n’a été échangée, que l’ARC a créé des conditions viciant le caractère éclairé du consentement et que l’acceptation a été obtenue sous pression indue.</w:t>
            </w:r>
          </w:p>
          <w:p w:rsidR="00465096" w:rsidRPr="00C51ECB" w:rsidRDefault="00465096" w:rsidP="00465096">
            <w:pPr>
              <w:jc w:val="both"/>
              <w:rPr>
                <w:sz w:val="20"/>
                <w:lang w:val="fr-CA"/>
              </w:rPr>
            </w:pPr>
            <w:r w:rsidRPr="00C51ECB">
              <w:rPr>
                <w:sz w:val="20"/>
                <w:lang w:val="fr-CA"/>
              </w:rPr>
              <w:t>La Cour de l’impôt a accueilli la requête et a cassé l’appel. La Cour d’appel fédérale a rejeté l’appel.</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10 novembre 2017</w:t>
            </w:r>
          </w:p>
          <w:p w:rsidR="00465096" w:rsidRPr="00C51ECB" w:rsidRDefault="00465096" w:rsidP="00465096">
            <w:pPr>
              <w:jc w:val="both"/>
              <w:rPr>
                <w:sz w:val="20"/>
                <w:lang w:val="fr-CA"/>
              </w:rPr>
            </w:pPr>
            <w:r w:rsidRPr="00C51ECB">
              <w:rPr>
                <w:sz w:val="20"/>
                <w:lang w:val="fr-CA"/>
              </w:rPr>
              <w:t>Cour canadienne de l’impôt</w:t>
            </w:r>
          </w:p>
          <w:p w:rsidR="00465096" w:rsidRPr="00C51ECB" w:rsidRDefault="00465096" w:rsidP="00465096">
            <w:pPr>
              <w:jc w:val="both"/>
              <w:rPr>
                <w:sz w:val="20"/>
                <w:lang w:val="fr-CA"/>
              </w:rPr>
            </w:pPr>
            <w:r w:rsidRPr="00C51ECB">
              <w:rPr>
                <w:sz w:val="20"/>
                <w:lang w:val="fr-CA"/>
              </w:rPr>
              <w:t>(Juge en chef Rossiter)</w:t>
            </w:r>
          </w:p>
          <w:p w:rsidR="00465096" w:rsidRPr="00C51ECB" w:rsidRDefault="00465096" w:rsidP="00465096">
            <w:pPr>
              <w:jc w:val="both"/>
              <w:rPr>
                <w:sz w:val="20"/>
                <w:lang w:val="fr-CA"/>
              </w:rPr>
            </w:pPr>
            <w:hyperlink r:id="rId45" w:history="1">
              <w:r w:rsidRPr="00C51ECB">
                <w:rPr>
                  <w:rStyle w:val="Hyperlink"/>
                  <w:sz w:val="20"/>
                  <w:lang w:val="fr-CA"/>
                </w:rPr>
                <w:t>2017 CCI 222</w:t>
              </w:r>
            </w:hyperlink>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Cassation des appels interjetés à l’égard des nouvelles cotisations établies en vertu de la </w:t>
            </w:r>
            <w:r w:rsidRPr="00C51ECB">
              <w:rPr>
                <w:i/>
                <w:iCs/>
                <w:sz w:val="20"/>
                <w:lang w:val="fr-CA"/>
              </w:rPr>
              <w:t>Loi sur le revenu</w:t>
            </w:r>
            <w:r w:rsidRPr="00C51ECB">
              <w:rPr>
                <w:sz w:val="20"/>
                <w:lang w:val="fr-CA"/>
              </w:rPr>
              <w:t> pour les années d’imposition de 2007 et de 2009.</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8 janvier 2019</w:t>
            </w:r>
          </w:p>
          <w:p w:rsidR="00465096" w:rsidRPr="00C51ECB" w:rsidRDefault="00465096" w:rsidP="00465096">
            <w:pPr>
              <w:jc w:val="both"/>
              <w:rPr>
                <w:sz w:val="20"/>
                <w:lang w:val="fr-CA"/>
              </w:rPr>
            </w:pPr>
            <w:r w:rsidRPr="00C51ECB">
              <w:rPr>
                <w:sz w:val="20"/>
                <w:lang w:val="fr-CA"/>
              </w:rPr>
              <w:t>Cour d’appel fédérale</w:t>
            </w:r>
          </w:p>
          <w:p w:rsidR="00465096" w:rsidRPr="00C51ECB" w:rsidRDefault="00465096" w:rsidP="00465096">
            <w:pPr>
              <w:jc w:val="both"/>
              <w:rPr>
                <w:sz w:val="20"/>
                <w:lang w:val="fr-CA"/>
              </w:rPr>
            </w:pPr>
            <w:r w:rsidRPr="00C51ECB">
              <w:rPr>
                <w:sz w:val="20"/>
                <w:lang w:val="fr-CA"/>
              </w:rPr>
              <w:t>(Juges Nadon, de Montigny et Gleason)</w:t>
            </w:r>
          </w:p>
          <w:p w:rsidR="00465096" w:rsidRPr="00C51ECB" w:rsidRDefault="00465096" w:rsidP="00465096">
            <w:pPr>
              <w:jc w:val="both"/>
              <w:rPr>
                <w:sz w:val="20"/>
                <w:lang w:val="fr-CA"/>
              </w:rPr>
            </w:pPr>
            <w:hyperlink r:id="rId46" w:history="1">
              <w:r w:rsidRPr="00C51ECB">
                <w:rPr>
                  <w:rStyle w:val="Hyperlink"/>
                  <w:sz w:val="20"/>
                  <w:lang w:val="fr-CA"/>
                </w:rPr>
                <w:t>2019 FCA 5</w:t>
              </w:r>
            </w:hyperlink>
          </w:p>
          <w:p w:rsidR="00465096" w:rsidRPr="00C51ECB" w:rsidRDefault="00465096" w:rsidP="00465096">
            <w:pPr>
              <w:jc w:val="both"/>
              <w:rPr>
                <w:sz w:val="20"/>
                <w:lang w:val="fr-CA"/>
              </w:rPr>
            </w:pPr>
            <w:r w:rsidRPr="00C51ECB">
              <w:rPr>
                <w:sz w:val="20"/>
                <w:lang w:val="fr-CA"/>
              </w:rPr>
              <w:t>N</w:t>
            </w:r>
            <w:r w:rsidRPr="00C51ECB">
              <w:rPr>
                <w:sz w:val="20"/>
                <w:vertAlign w:val="superscript"/>
                <w:lang w:val="fr-CA"/>
              </w:rPr>
              <w:t>o</w:t>
            </w:r>
            <w:r w:rsidRPr="00C51ECB">
              <w:rPr>
                <w:sz w:val="20"/>
                <w:lang w:val="fr-CA"/>
              </w:rPr>
              <w:t xml:space="preserve"> de dossier : A</w:t>
            </w:r>
            <w:r w:rsidRPr="00C51ECB">
              <w:rPr>
                <w:sz w:val="20"/>
                <w:lang w:val="fr-CA"/>
              </w:rPr>
              <w:noBreakHyphen/>
              <w:t>375</w:t>
            </w:r>
            <w:r w:rsidRPr="00C51ECB">
              <w:rPr>
                <w:sz w:val="20"/>
                <w:lang w:val="fr-CA"/>
              </w:rPr>
              <w:noBreakHyphen/>
              <w:t>17</w:t>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Rejet de l’appel.</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8 mars 2019</w:t>
            </w:r>
          </w:p>
          <w:p w:rsidR="00465096" w:rsidRPr="00C51ECB" w:rsidRDefault="00465096" w:rsidP="00465096">
            <w:pPr>
              <w:jc w:val="both"/>
              <w:rPr>
                <w:sz w:val="20"/>
                <w:lang w:val="fr-CA"/>
              </w:rPr>
            </w:pPr>
            <w:r w:rsidRPr="00C51ECB">
              <w:rPr>
                <w:sz w:val="20"/>
                <w:lang w:val="fr-CA"/>
              </w:rPr>
              <w:t>Cour suprême du Canada</w:t>
            </w: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Dépôt de la demande d’autorisation d’appel.</w:t>
            </w:r>
          </w:p>
          <w:p w:rsidR="00465096" w:rsidRPr="00C51ECB" w:rsidRDefault="00465096" w:rsidP="00465096">
            <w:pPr>
              <w:jc w:val="both"/>
              <w:rPr>
                <w:sz w:val="20"/>
                <w:lang w:val="fr-CA"/>
              </w:rPr>
            </w:pPr>
          </w:p>
        </w:tc>
      </w:tr>
    </w:tbl>
    <w:p w:rsidR="00465096" w:rsidRPr="00C51ECB" w:rsidRDefault="00465096" w:rsidP="00465096">
      <w:pPr>
        <w:jc w:val="both"/>
        <w:rPr>
          <w:sz w:val="20"/>
          <w:lang w:val="fr-CA"/>
        </w:rPr>
      </w:pPr>
    </w:p>
    <w:p w:rsidR="00D84BE0" w:rsidRPr="00C51ECB" w:rsidRDefault="0084772C" w:rsidP="00465096">
      <w:pPr>
        <w:ind w:left="142" w:hanging="142"/>
        <w:jc w:val="both"/>
        <w:rPr>
          <w:sz w:val="20"/>
          <w:lang w:val="fr-CA"/>
        </w:rPr>
      </w:pPr>
      <w:r w:rsidRPr="00C51ECB">
        <w:rPr>
          <w:sz w:val="20"/>
        </w:rPr>
        <w:pict>
          <v:rect id="_x0000_i1042" style="width:2in;height:1pt" o:hrpct="0" o:hralign="center" o:hrstd="t" o:hrnoshade="t" o:hr="t" fillcolor="black [3213]" stroked="f"/>
        </w:pict>
      </w:r>
    </w:p>
    <w:p w:rsidR="0084772C" w:rsidRPr="00C51ECB" w:rsidRDefault="0084772C"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rPr>
            </w:pPr>
            <w:r w:rsidRPr="00C51ECB">
              <w:rPr>
                <w:rStyle w:val="SCCFileNumberChar"/>
                <w:sz w:val="20"/>
                <w:szCs w:val="20"/>
              </w:rPr>
              <w:t>38548</w:t>
            </w:r>
          </w:p>
        </w:tc>
        <w:tc>
          <w:tcPr>
            <w:tcW w:w="4457" w:type="pct"/>
            <w:gridSpan w:val="3"/>
          </w:tcPr>
          <w:p w:rsidR="00465096" w:rsidRPr="00C51ECB" w:rsidRDefault="00465096" w:rsidP="00465096">
            <w:pPr>
              <w:pStyle w:val="SCCLsocParty"/>
              <w:jc w:val="both"/>
              <w:rPr>
                <w:b/>
                <w:sz w:val="20"/>
                <w:szCs w:val="20"/>
                <w:lang w:val="en-US"/>
              </w:rPr>
            </w:pPr>
            <w:r w:rsidRPr="00C51ECB">
              <w:rPr>
                <w:b/>
                <w:sz w:val="20"/>
                <w:szCs w:val="20"/>
                <w:lang w:val="en-US"/>
              </w:rPr>
              <w:t xml:space="preserve">Chief Roger William on his own behalf and on behalf of all other members of the Xeni Gwet'in First Nations Government and the Tsilhqot'in Nation v. Attorney General of British Columbia, Chief Inspector of Mines and </w:t>
            </w:r>
            <w:proofErr w:type="spellStart"/>
            <w:r w:rsidRPr="00C51ECB">
              <w:rPr>
                <w:b/>
                <w:sz w:val="20"/>
                <w:szCs w:val="20"/>
                <w:lang w:val="en-US"/>
              </w:rPr>
              <w:t>Taseko</w:t>
            </w:r>
            <w:proofErr w:type="spellEnd"/>
            <w:r w:rsidRPr="00C51ECB">
              <w:rPr>
                <w:b/>
                <w:sz w:val="20"/>
                <w:szCs w:val="20"/>
                <w:lang w:val="en-US"/>
              </w:rPr>
              <w:t xml:space="preserve"> Mines Limited</w:t>
            </w:r>
          </w:p>
          <w:p w:rsidR="00465096" w:rsidRPr="00C51ECB" w:rsidRDefault="00465096" w:rsidP="00465096">
            <w:pPr>
              <w:jc w:val="both"/>
              <w:rPr>
                <w:sz w:val="20"/>
              </w:rPr>
            </w:pPr>
            <w:r w:rsidRPr="00C51ECB">
              <w:rPr>
                <w:sz w:val="20"/>
              </w:rPr>
              <w:t>(B.C.) (Civil) (By Leave)</w:t>
            </w:r>
          </w:p>
        </w:tc>
      </w:tr>
      <w:tr w:rsidR="00465096" w:rsidRPr="00C51ECB" w:rsidTr="00E95A6A">
        <w:tc>
          <w:tcPr>
            <w:tcW w:w="5000" w:type="pct"/>
            <w:gridSpan w:val="4"/>
          </w:tcPr>
          <w:p w:rsidR="00465096" w:rsidRPr="00C51ECB" w:rsidRDefault="00465096" w:rsidP="00465096">
            <w:pPr>
              <w:jc w:val="both"/>
              <w:rPr>
                <w:sz w:val="20"/>
              </w:rPr>
            </w:pPr>
            <w:r w:rsidRPr="00C51ECB">
              <w:rPr>
                <w:sz w:val="20"/>
              </w:rPr>
              <w:t xml:space="preserve">Constitutional law — Aboriginal peoples — Aboriginal law — Aboriginal rights — Duty to consult and accommodate — Crown law — Honour of the Crown — Administrative law — Judicial review — What is the legal framework for assessing the substantive outcome of consultation and adequacy of accommodation in the context of judicial review of administrative decisions that limit s. 35 rights? — How does the </w:t>
            </w:r>
            <w:proofErr w:type="spellStart"/>
            <w:r w:rsidRPr="00C51ECB">
              <w:rPr>
                <w:i/>
                <w:sz w:val="20"/>
              </w:rPr>
              <w:t>Haida</w:t>
            </w:r>
            <w:proofErr w:type="spellEnd"/>
            <w:r w:rsidRPr="00C51ECB">
              <w:rPr>
                <w:i/>
                <w:sz w:val="20"/>
              </w:rPr>
              <w:t xml:space="preserve"> </w:t>
            </w:r>
            <w:r w:rsidRPr="00C51ECB">
              <w:rPr>
                <w:sz w:val="20"/>
              </w:rPr>
              <w:t>framework for consultation and accommodation apply in the context of proven and conceded Aboriginal rights? — How does the honour of the Crown require the Crown to consult on how affected rights should be balanced against the objectives of a proposed activity? — How should serious impacts to the cultural, spiritual, and experiential aspects of Aboriginal rights be taken into account by the duty to consult and accommodate?</w:t>
            </w:r>
          </w:p>
          <w:p w:rsidR="00465096" w:rsidRPr="00C51ECB" w:rsidRDefault="00465096" w:rsidP="00465096">
            <w:pPr>
              <w:jc w:val="both"/>
              <w:rPr>
                <w:sz w:val="20"/>
              </w:rPr>
            </w:pPr>
          </w:p>
        </w:tc>
      </w:tr>
      <w:tr w:rsidR="00465096" w:rsidRPr="00C51ECB" w:rsidTr="00E95A6A">
        <w:tc>
          <w:tcPr>
            <w:tcW w:w="5000" w:type="pct"/>
            <w:gridSpan w:val="4"/>
          </w:tcPr>
          <w:p w:rsidR="00465096" w:rsidRPr="00C51ECB" w:rsidRDefault="00465096" w:rsidP="00465096">
            <w:pPr>
              <w:jc w:val="both"/>
              <w:rPr>
                <w:sz w:val="20"/>
              </w:rPr>
            </w:pPr>
            <w:r w:rsidRPr="00C51ECB">
              <w:rPr>
                <w:sz w:val="20"/>
              </w:rPr>
              <w:t xml:space="preserve">The Xeni Gwet’in First Nations Government is a “band” within the meaning of the </w:t>
            </w:r>
            <w:r w:rsidRPr="00C51ECB">
              <w:rPr>
                <w:i/>
                <w:sz w:val="20"/>
              </w:rPr>
              <w:t>Indian Act</w:t>
            </w:r>
            <w:r w:rsidRPr="00C51ECB">
              <w:rPr>
                <w:sz w:val="20"/>
              </w:rPr>
              <w:t>, RSC 1985, c. I</w:t>
            </w:r>
            <w:r w:rsidRPr="00C51ECB">
              <w:rPr>
                <w:sz w:val="20"/>
              </w:rPr>
              <w:noBreakHyphen/>
              <w:t>5, and is a sub</w:t>
            </w:r>
            <w:r w:rsidRPr="00C51ECB">
              <w:rPr>
                <w:sz w:val="20"/>
              </w:rPr>
              <w:noBreakHyphen/>
              <w:t xml:space="preserve">group of the Tsilhqot’in Nation. Roger William is former chief of the band. The members of the Tsilhqot’in Nation hold proven Aboriginal hunting, trapping, and trade rights throughout the area 125 kilometres southwest of Williams Lake, BC that includes </w:t>
            </w:r>
            <w:proofErr w:type="spellStart"/>
            <w:r w:rsidRPr="00C51ECB">
              <w:rPr>
                <w:sz w:val="20"/>
              </w:rPr>
              <w:t>Teztan</w:t>
            </w:r>
            <w:proofErr w:type="spellEnd"/>
            <w:r w:rsidRPr="00C51ECB">
              <w:rPr>
                <w:sz w:val="20"/>
              </w:rPr>
              <w:t xml:space="preserve"> </w:t>
            </w:r>
            <w:proofErr w:type="spellStart"/>
            <w:r w:rsidRPr="00C51ECB">
              <w:rPr>
                <w:sz w:val="20"/>
              </w:rPr>
              <w:t>Biny</w:t>
            </w:r>
            <w:proofErr w:type="spellEnd"/>
            <w:r w:rsidRPr="00C51ECB">
              <w:rPr>
                <w:sz w:val="20"/>
              </w:rPr>
              <w:t xml:space="preserve"> (Fish Lake), </w:t>
            </w:r>
            <w:proofErr w:type="spellStart"/>
            <w:r w:rsidRPr="00C51ECB">
              <w:rPr>
                <w:sz w:val="20"/>
              </w:rPr>
              <w:t>Y’anah</w:t>
            </w:r>
            <w:proofErr w:type="spellEnd"/>
            <w:r w:rsidRPr="00C51ECB">
              <w:rPr>
                <w:sz w:val="20"/>
              </w:rPr>
              <w:t xml:space="preserve"> </w:t>
            </w:r>
            <w:proofErr w:type="spellStart"/>
            <w:r w:rsidRPr="00C51ECB">
              <w:rPr>
                <w:sz w:val="20"/>
              </w:rPr>
              <w:t>Biny</w:t>
            </w:r>
            <w:proofErr w:type="spellEnd"/>
            <w:r w:rsidRPr="00C51ECB">
              <w:rPr>
                <w:sz w:val="20"/>
              </w:rPr>
              <w:t xml:space="preserve"> (Little Fish Lake) and </w:t>
            </w:r>
            <w:proofErr w:type="spellStart"/>
            <w:r w:rsidRPr="00C51ECB">
              <w:rPr>
                <w:sz w:val="20"/>
              </w:rPr>
              <w:t>Nabas</w:t>
            </w:r>
            <w:proofErr w:type="spellEnd"/>
            <w:r w:rsidRPr="00C51ECB">
              <w:rPr>
                <w:sz w:val="20"/>
              </w:rPr>
              <w:t xml:space="preserve"> (the surrounding area). In addition to hunting and trapping, the Tsilhqot’in </w:t>
            </w:r>
            <w:proofErr w:type="spellStart"/>
            <w:r w:rsidRPr="00C51ECB">
              <w:rPr>
                <w:sz w:val="20"/>
              </w:rPr>
              <w:t>counduct</w:t>
            </w:r>
            <w:proofErr w:type="spellEnd"/>
            <w:r w:rsidRPr="00C51ECB">
              <w:rPr>
                <w:sz w:val="20"/>
              </w:rPr>
              <w:t xml:space="preserve"> fishing, gathering, spiritual and ceremonial </w:t>
            </w:r>
            <w:r w:rsidRPr="00C51ECB">
              <w:rPr>
                <w:sz w:val="20"/>
              </w:rPr>
              <w:lastRenderedPageBreak/>
              <w:t xml:space="preserve">activities in this area; the area serves as a resting place for a number of the Tsilhqot’in peoples’ ancestors. </w:t>
            </w:r>
            <w:proofErr w:type="spellStart"/>
            <w:r w:rsidRPr="00C51ECB">
              <w:rPr>
                <w:sz w:val="20"/>
              </w:rPr>
              <w:t>Taseko</w:t>
            </w:r>
            <w:proofErr w:type="spellEnd"/>
            <w:r w:rsidRPr="00C51ECB">
              <w:rPr>
                <w:sz w:val="20"/>
              </w:rPr>
              <w:t xml:space="preserve"> Mines Limited holds a mineral lease and mineral claims to this same area; their tenure rights remain in place until at least 2035. </w:t>
            </w:r>
            <w:proofErr w:type="spellStart"/>
            <w:r w:rsidRPr="00C51ECB">
              <w:rPr>
                <w:sz w:val="20"/>
              </w:rPr>
              <w:t>Taseko’s</w:t>
            </w:r>
            <w:proofErr w:type="spellEnd"/>
            <w:r w:rsidRPr="00C51ECB">
              <w:rPr>
                <w:sz w:val="20"/>
              </w:rPr>
              <w:t xml:space="preserve"> proposed plan for a mine (named the Prosperity Project) underwent provincial and federal environmental assessments. The province issued an environmental assessment certificate. The federal government concluded that the Prosperity Project would have significant adverse environmental effects and rejected the Prosperity Project. </w:t>
            </w:r>
            <w:proofErr w:type="spellStart"/>
            <w:r w:rsidRPr="00C51ECB">
              <w:rPr>
                <w:sz w:val="20"/>
              </w:rPr>
              <w:t>Taseko</w:t>
            </w:r>
            <w:proofErr w:type="spellEnd"/>
            <w:r w:rsidRPr="00C51ECB">
              <w:rPr>
                <w:sz w:val="20"/>
              </w:rPr>
              <w:t xml:space="preserve"> revised its mining design and applied for an amendment to its provincial environmental certificate. The province granted a five</w:t>
            </w:r>
            <w:r w:rsidRPr="00C51ECB">
              <w:rPr>
                <w:sz w:val="20"/>
              </w:rPr>
              <w:noBreakHyphen/>
              <w:t xml:space="preserve">year extension on its environmental certificate which expires on January 14, 2020 if the project has not “substantially started” by that date. </w:t>
            </w:r>
            <w:proofErr w:type="spellStart"/>
            <w:r w:rsidRPr="00C51ECB">
              <w:rPr>
                <w:sz w:val="20"/>
              </w:rPr>
              <w:t>Taseko</w:t>
            </w:r>
            <w:proofErr w:type="spellEnd"/>
            <w:r w:rsidRPr="00C51ECB">
              <w:rPr>
                <w:sz w:val="20"/>
              </w:rPr>
              <w:t xml:space="preserve"> also re</w:t>
            </w:r>
            <w:r w:rsidRPr="00C51ECB">
              <w:rPr>
                <w:sz w:val="20"/>
              </w:rPr>
              <w:noBreakHyphen/>
              <w:t xml:space="preserve">applied to the federal government for approval. In February 2014, the federal government rejected the redesigned project. </w:t>
            </w:r>
            <w:proofErr w:type="spellStart"/>
            <w:r w:rsidRPr="00C51ECB">
              <w:rPr>
                <w:sz w:val="20"/>
              </w:rPr>
              <w:t>Taseko</w:t>
            </w:r>
            <w:proofErr w:type="spellEnd"/>
            <w:r w:rsidRPr="00C51ECB">
              <w:rPr>
                <w:sz w:val="20"/>
              </w:rPr>
              <w:t xml:space="preserve"> then applied to the province for permits to carry out a new, expanded drilling exploration program. The province consulted with the Tsilhqot’in who opposed the new program on the basis that it would have lasting adverse effects on their rights. In July 2017, the province’s Senior Inspector of Mines provided a 30 page written decision approving the expanded drilling program. The decision included 37 mitigation conditions in order for </w:t>
            </w:r>
            <w:proofErr w:type="spellStart"/>
            <w:r w:rsidRPr="00C51ECB">
              <w:rPr>
                <w:sz w:val="20"/>
              </w:rPr>
              <w:t>Taseko</w:t>
            </w:r>
            <w:proofErr w:type="spellEnd"/>
            <w:r w:rsidRPr="00C51ECB">
              <w:rPr>
                <w:sz w:val="20"/>
              </w:rPr>
              <w:t xml:space="preserve"> Mines to conduct their drilling. The applicants applied for judicial review of this decision. The Supreme Court of British Columbia dismissed the petition for judicial review on the basis that the Senior Inspector’s decision was reasonable. The Court of Appeal for British Columbia dismissed the subsequent appeal.</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lastRenderedPageBreak/>
              <w:t>August 23, 2018</w:t>
            </w:r>
          </w:p>
          <w:p w:rsidR="00465096" w:rsidRPr="00C51ECB" w:rsidRDefault="00465096" w:rsidP="00465096">
            <w:pPr>
              <w:jc w:val="both"/>
              <w:rPr>
                <w:sz w:val="20"/>
              </w:rPr>
            </w:pPr>
            <w:r w:rsidRPr="00C51ECB">
              <w:rPr>
                <w:sz w:val="20"/>
              </w:rPr>
              <w:t>Supreme Court of British Columbia</w:t>
            </w:r>
          </w:p>
          <w:p w:rsidR="00465096" w:rsidRPr="00C51ECB" w:rsidRDefault="00465096" w:rsidP="00465096">
            <w:pPr>
              <w:jc w:val="both"/>
              <w:rPr>
                <w:sz w:val="20"/>
              </w:rPr>
            </w:pPr>
            <w:r w:rsidRPr="00C51ECB">
              <w:rPr>
                <w:sz w:val="20"/>
              </w:rPr>
              <w:t>(Branch J.)</w:t>
            </w:r>
          </w:p>
          <w:p w:rsidR="00465096" w:rsidRPr="00C51ECB" w:rsidRDefault="00465096" w:rsidP="00465096">
            <w:pPr>
              <w:jc w:val="both"/>
              <w:rPr>
                <w:sz w:val="20"/>
              </w:rPr>
            </w:pPr>
            <w:hyperlink r:id="rId47" w:history="1">
              <w:r w:rsidRPr="00C51ECB">
                <w:rPr>
                  <w:rStyle w:val="Hyperlink"/>
                  <w:sz w:val="20"/>
                </w:rPr>
                <w:t>2019 BCCA 74</w:t>
              </w:r>
            </w:hyperlink>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Application for judicial review dismissed.</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March 1, 2019</w:t>
            </w:r>
          </w:p>
          <w:p w:rsidR="00465096" w:rsidRPr="00C51ECB" w:rsidRDefault="00465096" w:rsidP="00465096">
            <w:pPr>
              <w:jc w:val="both"/>
              <w:rPr>
                <w:sz w:val="20"/>
              </w:rPr>
            </w:pPr>
            <w:r w:rsidRPr="00C51ECB">
              <w:rPr>
                <w:sz w:val="20"/>
              </w:rPr>
              <w:t>Court of Appeal for British Columbia (Vancouver)</w:t>
            </w:r>
          </w:p>
          <w:p w:rsidR="00465096" w:rsidRPr="00C51ECB" w:rsidRDefault="00465096" w:rsidP="00465096">
            <w:pPr>
              <w:jc w:val="both"/>
              <w:rPr>
                <w:sz w:val="20"/>
              </w:rPr>
            </w:pPr>
            <w:r w:rsidRPr="00C51ECB">
              <w:rPr>
                <w:sz w:val="20"/>
              </w:rPr>
              <w:t xml:space="preserve">(Kirkpatrick, </w:t>
            </w:r>
            <w:proofErr w:type="spellStart"/>
            <w:r w:rsidRPr="00C51ECB">
              <w:rPr>
                <w:sz w:val="20"/>
              </w:rPr>
              <w:t>Goepel</w:t>
            </w:r>
            <w:proofErr w:type="spellEnd"/>
            <w:r w:rsidRPr="00C51ECB">
              <w:rPr>
                <w:sz w:val="20"/>
              </w:rPr>
              <w:t xml:space="preserve">, and </w:t>
            </w:r>
            <w:proofErr w:type="spellStart"/>
            <w:r w:rsidRPr="00C51ECB">
              <w:rPr>
                <w:sz w:val="20"/>
              </w:rPr>
              <w:t>Fenlon</w:t>
            </w:r>
            <w:proofErr w:type="spellEnd"/>
            <w:r w:rsidRPr="00C51ECB">
              <w:rPr>
                <w:sz w:val="20"/>
              </w:rPr>
              <w:t xml:space="preserve"> JJ.A.)</w:t>
            </w:r>
          </w:p>
          <w:p w:rsidR="00465096" w:rsidRPr="00C51ECB" w:rsidRDefault="00465096" w:rsidP="00465096">
            <w:pPr>
              <w:jc w:val="both"/>
              <w:rPr>
                <w:sz w:val="20"/>
              </w:rPr>
            </w:pPr>
            <w:hyperlink r:id="rId48" w:history="1">
              <w:r w:rsidRPr="00C51ECB">
                <w:rPr>
                  <w:rStyle w:val="Hyperlink"/>
                  <w:sz w:val="20"/>
                </w:rPr>
                <w:t>2018 BCSC 1425</w:t>
              </w:r>
            </w:hyperlink>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Appeal dismissed.</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March 13, 2019</w:t>
            </w:r>
          </w:p>
          <w:p w:rsidR="00465096" w:rsidRPr="00C51ECB" w:rsidRDefault="00465096" w:rsidP="00465096">
            <w:pPr>
              <w:jc w:val="both"/>
              <w:rPr>
                <w:sz w:val="20"/>
              </w:rPr>
            </w:pPr>
            <w:r w:rsidRPr="00C51ECB">
              <w:rPr>
                <w:sz w:val="20"/>
              </w:rPr>
              <w:t>Supreme Court of Canada</w:t>
            </w: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Application for leave to appeal filed.</w:t>
            </w:r>
          </w:p>
        </w:tc>
      </w:tr>
    </w:tbl>
    <w:p w:rsidR="00465096" w:rsidRPr="00C51ECB" w:rsidRDefault="00465096" w:rsidP="00465096">
      <w:pPr>
        <w:jc w:val="both"/>
        <w:rPr>
          <w:sz w:val="20"/>
        </w:rPr>
      </w:pPr>
    </w:p>
    <w:p w:rsidR="0084772C" w:rsidRPr="00C51ECB" w:rsidRDefault="0084772C" w:rsidP="00465096">
      <w:pPr>
        <w:jc w:val="both"/>
        <w:rPr>
          <w:sz w:val="20"/>
        </w:rPr>
      </w:pPr>
      <w:r w:rsidRPr="00C51ECB">
        <w:rPr>
          <w:sz w:val="20"/>
        </w:rPr>
        <w:pict>
          <v:rect id="_x0000_i1043"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lang w:val="fr-CA"/>
              </w:rPr>
            </w:pPr>
            <w:r w:rsidRPr="00C51ECB">
              <w:rPr>
                <w:rStyle w:val="SCCFileNumberChar"/>
                <w:sz w:val="20"/>
                <w:szCs w:val="20"/>
                <w:lang w:val="fr-CA"/>
              </w:rPr>
              <w:t>38548</w:t>
            </w:r>
          </w:p>
        </w:tc>
        <w:tc>
          <w:tcPr>
            <w:tcW w:w="4457" w:type="pct"/>
            <w:gridSpan w:val="3"/>
          </w:tcPr>
          <w:p w:rsidR="00465096" w:rsidRPr="00C51ECB" w:rsidRDefault="00465096" w:rsidP="00465096">
            <w:pPr>
              <w:pStyle w:val="SCCLsocParty"/>
              <w:jc w:val="both"/>
              <w:rPr>
                <w:b/>
                <w:sz w:val="20"/>
                <w:szCs w:val="20"/>
              </w:rPr>
            </w:pPr>
            <w:r w:rsidRPr="00C51ECB">
              <w:rPr>
                <w:b/>
                <w:sz w:val="20"/>
                <w:szCs w:val="20"/>
              </w:rPr>
              <w:t>Chef Roger William, en son nom et a</w:t>
            </w:r>
            <w:r w:rsidRPr="00C51ECB">
              <w:rPr>
                <w:b/>
                <w:bCs/>
                <w:sz w:val="20"/>
                <w:szCs w:val="20"/>
              </w:rPr>
              <w:t>u nom de tous les autres membres</w:t>
            </w:r>
            <w:r w:rsidR="002007E9" w:rsidRPr="00C51ECB">
              <w:rPr>
                <w:b/>
                <w:bCs/>
                <w:sz w:val="20"/>
                <w:szCs w:val="20"/>
              </w:rPr>
              <w:t xml:space="preserve"> </w:t>
            </w:r>
            <w:r w:rsidRPr="00C51ECB">
              <w:rPr>
                <w:b/>
                <w:bCs/>
                <w:sz w:val="20"/>
                <w:szCs w:val="20"/>
              </w:rPr>
              <w:t>du gouvernement de la Première Nation Xeni Gwet’in et de la Nation Tsilhqot’in</w:t>
            </w:r>
            <w:r w:rsidR="002007E9" w:rsidRPr="00C51ECB">
              <w:rPr>
                <w:b/>
                <w:bCs/>
                <w:sz w:val="20"/>
                <w:szCs w:val="20"/>
              </w:rPr>
              <w:t xml:space="preserve"> </w:t>
            </w:r>
            <w:r w:rsidRPr="00C51ECB">
              <w:rPr>
                <w:b/>
                <w:sz w:val="20"/>
                <w:szCs w:val="20"/>
              </w:rPr>
              <w:t xml:space="preserve">c. Procureur général de la Colombie-Britannique, Chief </w:t>
            </w:r>
            <w:proofErr w:type="spellStart"/>
            <w:r w:rsidRPr="00C51ECB">
              <w:rPr>
                <w:b/>
                <w:sz w:val="20"/>
                <w:szCs w:val="20"/>
              </w:rPr>
              <w:t>Inspector</w:t>
            </w:r>
            <w:proofErr w:type="spellEnd"/>
            <w:r w:rsidRPr="00C51ECB">
              <w:rPr>
                <w:b/>
                <w:sz w:val="20"/>
                <w:szCs w:val="20"/>
              </w:rPr>
              <w:t xml:space="preserve"> of Mines et </w:t>
            </w:r>
            <w:proofErr w:type="spellStart"/>
            <w:r w:rsidRPr="00C51ECB">
              <w:rPr>
                <w:b/>
                <w:sz w:val="20"/>
                <w:szCs w:val="20"/>
              </w:rPr>
              <w:t>Taseko</w:t>
            </w:r>
            <w:proofErr w:type="spellEnd"/>
            <w:r w:rsidRPr="00C51ECB">
              <w:rPr>
                <w:b/>
                <w:sz w:val="20"/>
                <w:szCs w:val="20"/>
              </w:rPr>
              <w:t xml:space="preserve"> Mines Limited</w:t>
            </w:r>
          </w:p>
          <w:p w:rsidR="00465096" w:rsidRPr="00C51ECB" w:rsidRDefault="00465096" w:rsidP="00465096">
            <w:pPr>
              <w:jc w:val="both"/>
              <w:rPr>
                <w:sz w:val="20"/>
                <w:lang w:val="fr-CA"/>
              </w:rPr>
            </w:pPr>
            <w:r w:rsidRPr="00C51ECB">
              <w:rPr>
                <w:sz w:val="20"/>
                <w:lang w:val="fr-CA"/>
              </w:rPr>
              <w:t>(C.</w:t>
            </w:r>
            <w:r w:rsidRPr="00C51ECB">
              <w:rPr>
                <w:sz w:val="20"/>
                <w:lang w:val="fr-CA"/>
              </w:rPr>
              <w:noBreakHyphen/>
              <w:t>B.) (Civile) (Autorisation)</w:t>
            </w:r>
          </w:p>
        </w:tc>
      </w:tr>
      <w:tr w:rsidR="00465096" w:rsidRPr="00C51ECB" w:rsidTr="00E95A6A">
        <w:tc>
          <w:tcPr>
            <w:tcW w:w="5000" w:type="pct"/>
            <w:gridSpan w:val="4"/>
          </w:tcPr>
          <w:p w:rsidR="00465096" w:rsidRPr="00C51ECB" w:rsidRDefault="00465096" w:rsidP="00465096">
            <w:pPr>
              <w:jc w:val="both"/>
              <w:rPr>
                <w:sz w:val="20"/>
                <w:lang w:val="fr-CA"/>
              </w:rPr>
            </w:pPr>
            <w:r w:rsidRPr="00C51ECB">
              <w:rPr>
                <w:sz w:val="20"/>
                <w:lang w:val="fr-CA"/>
              </w:rPr>
              <w:t xml:space="preserve">Droit constitutionnel — Peuples autochtones — Droit des Autochtones — Droits ancestraux — Obligation de consulter et d’accommoder — Droit de la Couronne — Honneur de la Couronne — Droit administratif — Contrôle judiciaire — Quel est le cadre juridique qui permet d’évaluer le résultat concret d’une consultation et la suffisance de l’accommodement dans le contexte du contrôle judiciaire de décisions administratives qui limitent des droits garantis par l’art. 35? — Comment le cadre de consultation et d’accommodement établi par l’arrêt </w:t>
            </w:r>
            <w:proofErr w:type="spellStart"/>
            <w:r w:rsidRPr="00C51ECB">
              <w:rPr>
                <w:i/>
                <w:sz w:val="20"/>
                <w:lang w:val="fr-CA"/>
              </w:rPr>
              <w:t>Haida</w:t>
            </w:r>
            <w:proofErr w:type="spellEnd"/>
            <w:r w:rsidRPr="00C51ECB">
              <w:rPr>
                <w:i/>
                <w:sz w:val="20"/>
                <w:lang w:val="fr-CA"/>
              </w:rPr>
              <w:t xml:space="preserve"> </w:t>
            </w:r>
            <w:r w:rsidRPr="00C51ECB">
              <w:rPr>
                <w:sz w:val="20"/>
                <w:lang w:val="fr-CA"/>
              </w:rPr>
              <w:t>s’applique</w:t>
            </w:r>
            <w:r w:rsidRPr="00C51ECB">
              <w:rPr>
                <w:sz w:val="20"/>
                <w:lang w:val="fr-CA"/>
              </w:rPr>
              <w:noBreakHyphen/>
              <w:t>t</w:t>
            </w:r>
            <w:r w:rsidRPr="00C51ECB">
              <w:rPr>
                <w:sz w:val="20"/>
                <w:lang w:val="fr-CA"/>
              </w:rPr>
              <w:noBreakHyphen/>
              <w:t>il dans le contexte de droits ancestraux prouvés et admis? — Comment l’honneur de la Couronne oblige</w:t>
            </w:r>
            <w:r w:rsidRPr="00C51ECB">
              <w:rPr>
                <w:sz w:val="20"/>
                <w:lang w:val="fr-CA"/>
              </w:rPr>
              <w:noBreakHyphen/>
              <w:t>t</w:t>
            </w:r>
            <w:r w:rsidRPr="00C51ECB">
              <w:rPr>
                <w:sz w:val="20"/>
                <w:lang w:val="fr-CA"/>
              </w:rPr>
              <w:noBreakHyphen/>
              <w:t>il la Couronne à consulter sur la manière dont les droits touchés devraient être mis en balance avec les objectifs d’une activité projetée? — Comment les conséquences graves sur les aspects culturels, spirituels et expérientiels des droits ancestraux doivent</w:t>
            </w:r>
            <w:r w:rsidRPr="00C51ECB">
              <w:rPr>
                <w:sz w:val="20"/>
                <w:lang w:val="fr-CA"/>
              </w:rPr>
              <w:noBreakHyphen/>
              <w:t>elles être prises en compte par l’obligation de consulter et d’accommoder?</w:t>
            </w:r>
          </w:p>
          <w:p w:rsidR="00465096" w:rsidRPr="00C51ECB" w:rsidRDefault="00465096" w:rsidP="00465096">
            <w:pPr>
              <w:jc w:val="both"/>
              <w:rPr>
                <w:sz w:val="20"/>
                <w:lang w:val="fr-CA"/>
              </w:rPr>
            </w:pPr>
          </w:p>
        </w:tc>
      </w:tr>
      <w:tr w:rsidR="00465096" w:rsidRPr="00C51ECB" w:rsidTr="00E95A6A">
        <w:tc>
          <w:tcPr>
            <w:tcW w:w="5000" w:type="pct"/>
            <w:gridSpan w:val="4"/>
          </w:tcPr>
          <w:p w:rsidR="00465096" w:rsidRPr="00C51ECB" w:rsidRDefault="00465096" w:rsidP="00465096">
            <w:pPr>
              <w:jc w:val="both"/>
              <w:rPr>
                <w:sz w:val="20"/>
                <w:lang w:val="fr-CA"/>
              </w:rPr>
            </w:pPr>
            <w:r w:rsidRPr="00C51ECB">
              <w:rPr>
                <w:bCs/>
                <w:sz w:val="20"/>
                <w:lang w:val="fr-CA"/>
              </w:rPr>
              <w:t>Le gouvernement de la Première Nation Xeni Gwet’in</w:t>
            </w:r>
            <w:r w:rsidRPr="00C51ECB">
              <w:rPr>
                <w:b/>
                <w:bCs/>
                <w:sz w:val="20"/>
                <w:lang w:val="fr-CA"/>
              </w:rPr>
              <w:t> </w:t>
            </w:r>
            <w:r w:rsidRPr="00C51ECB">
              <w:rPr>
                <w:sz w:val="20"/>
                <w:lang w:val="fr-CA"/>
              </w:rPr>
              <w:t xml:space="preserve"> est une « bande » au sens de la </w:t>
            </w:r>
            <w:r w:rsidRPr="00C51ECB">
              <w:rPr>
                <w:i/>
                <w:sz w:val="20"/>
                <w:lang w:val="fr-CA"/>
              </w:rPr>
              <w:t>Loi sur les Indiens</w:t>
            </w:r>
            <w:r w:rsidRPr="00C51ECB">
              <w:rPr>
                <w:sz w:val="20"/>
                <w:lang w:val="fr-CA"/>
              </w:rPr>
              <w:t>, LRC 1985, ch. I</w:t>
            </w:r>
            <w:r w:rsidRPr="00C51ECB">
              <w:rPr>
                <w:sz w:val="20"/>
                <w:lang w:val="fr-CA"/>
              </w:rPr>
              <w:noBreakHyphen/>
              <w:t>5, et constitue un sous</w:t>
            </w:r>
            <w:r w:rsidRPr="00C51ECB">
              <w:rPr>
                <w:sz w:val="20"/>
                <w:lang w:val="fr-CA"/>
              </w:rPr>
              <w:noBreakHyphen/>
              <w:t>groupe de la Nation Tsilhqot’in. Roger William est l’ancien chef de la bande. Les membres de la Nation Tsilhqot’in sont titulaires de droits ancestraux prouvés de chasse, de piégeage et de commerce dans toute la zone située à 125 kilomètres au sud</w:t>
            </w:r>
            <w:r w:rsidRPr="00C51ECB">
              <w:rPr>
                <w:sz w:val="20"/>
                <w:lang w:val="fr-CA"/>
              </w:rPr>
              <w:noBreakHyphen/>
              <w:t>ouest de Williams Lake (C.</w:t>
            </w:r>
            <w:r w:rsidRPr="00C51ECB">
              <w:rPr>
                <w:sz w:val="20"/>
                <w:lang w:val="fr-CA"/>
              </w:rPr>
              <w:noBreakHyphen/>
              <w:t xml:space="preserve">B.) qui comprend </w:t>
            </w:r>
            <w:proofErr w:type="spellStart"/>
            <w:r w:rsidRPr="00C51ECB">
              <w:rPr>
                <w:sz w:val="20"/>
                <w:lang w:val="fr-CA"/>
              </w:rPr>
              <w:t>Teztan</w:t>
            </w:r>
            <w:proofErr w:type="spellEnd"/>
            <w:r w:rsidRPr="00C51ECB">
              <w:rPr>
                <w:sz w:val="20"/>
                <w:lang w:val="fr-CA"/>
              </w:rPr>
              <w:t xml:space="preserve"> </w:t>
            </w:r>
            <w:proofErr w:type="spellStart"/>
            <w:r w:rsidRPr="00C51ECB">
              <w:rPr>
                <w:sz w:val="20"/>
                <w:lang w:val="fr-CA"/>
              </w:rPr>
              <w:t>Biny</w:t>
            </w:r>
            <w:proofErr w:type="spellEnd"/>
            <w:r w:rsidRPr="00C51ECB">
              <w:rPr>
                <w:sz w:val="20"/>
                <w:lang w:val="fr-CA"/>
              </w:rPr>
              <w:t xml:space="preserve"> (Fish Lake), Y’</w:t>
            </w:r>
            <w:proofErr w:type="spellStart"/>
            <w:r w:rsidRPr="00C51ECB">
              <w:rPr>
                <w:sz w:val="20"/>
                <w:lang w:val="fr-CA"/>
              </w:rPr>
              <w:t>anah</w:t>
            </w:r>
            <w:proofErr w:type="spellEnd"/>
            <w:r w:rsidRPr="00C51ECB">
              <w:rPr>
                <w:sz w:val="20"/>
                <w:lang w:val="fr-CA"/>
              </w:rPr>
              <w:t xml:space="preserve"> </w:t>
            </w:r>
            <w:proofErr w:type="spellStart"/>
            <w:r w:rsidRPr="00C51ECB">
              <w:rPr>
                <w:sz w:val="20"/>
                <w:lang w:val="fr-CA"/>
              </w:rPr>
              <w:t>Biny</w:t>
            </w:r>
            <w:proofErr w:type="spellEnd"/>
            <w:r w:rsidRPr="00C51ECB">
              <w:rPr>
                <w:sz w:val="20"/>
                <w:lang w:val="fr-CA"/>
              </w:rPr>
              <w:t xml:space="preserve"> (</w:t>
            </w:r>
            <w:proofErr w:type="spellStart"/>
            <w:r w:rsidRPr="00C51ECB">
              <w:rPr>
                <w:sz w:val="20"/>
                <w:lang w:val="fr-CA"/>
              </w:rPr>
              <w:t>Little</w:t>
            </w:r>
            <w:proofErr w:type="spellEnd"/>
            <w:r w:rsidRPr="00C51ECB">
              <w:rPr>
                <w:sz w:val="20"/>
                <w:lang w:val="fr-CA"/>
              </w:rPr>
              <w:t xml:space="preserve"> Fish Lake) et </w:t>
            </w:r>
            <w:proofErr w:type="spellStart"/>
            <w:r w:rsidRPr="00C51ECB">
              <w:rPr>
                <w:sz w:val="20"/>
                <w:lang w:val="fr-CA"/>
              </w:rPr>
              <w:t>Nabas</w:t>
            </w:r>
            <w:proofErr w:type="spellEnd"/>
            <w:r w:rsidRPr="00C51ECB">
              <w:rPr>
                <w:sz w:val="20"/>
                <w:lang w:val="fr-CA"/>
              </w:rPr>
              <w:t xml:space="preserve"> (la zone environnante). En plus de la chasse et du piégeage, les Tsilhqot’in s’adonnent à la pêche, se réunissent et exercent des activités spirituelles et cérémoniales dans cette zone; la zone sert de lieu de sépulture des ancêtres de certains Tsilhqot’in. </w:t>
            </w:r>
            <w:proofErr w:type="spellStart"/>
            <w:r w:rsidRPr="00C51ECB">
              <w:rPr>
                <w:sz w:val="20"/>
                <w:lang w:val="fr-CA"/>
              </w:rPr>
              <w:t>Taseko</w:t>
            </w:r>
            <w:proofErr w:type="spellEnd"/>
            <w:r w:rsidRPr="00C51ECB">
              <w:rPr>
                <w:sz w:val="20"/>
                <w:lang w:val="fr-CA"/>
              </w:rPr>
              <w:t xml:space="preserve"> Mines Limited est titulaire d’un bail </w:t>
            </w:r>
            <w:r w:rsidRPr="00C51ECB">
              <w:rPr>
                <w:sz w:val="20"/>
                <w:lang w:val="fr-CA"/>
              </w:rPr>
              <w:lastRenderedPageBreak/>
              <w:t xml:space="preserve">d’exploitation minière et de concessions minières dans cette même zone; ses droits de tenure demeurent en place jusqu’à au moins 2035. Le projet de mine de </w:t>
            </w:r>
            <w:proofErr w:type="spellStart"/>
            <w:r w:rsidRPr="00C51ECB">
              <w:rPr>
                <w:sz w:val="20"/>
                <w:lang w:val="fr-CA"/>
              </w:rPr>
              <w:t>Taseko</w:t>
            </w:r>
            <w:proofErr w:type="spellEnd"/>
            <w:r w:rsidRPr="00C51ECB">
              <w:rPr>
                <w:sz w:val="20"/>
                <w:lang w:val="fr-CA"/>
              </w:rPr>
              <w:t xml:space="preserve"> (appelé </w:t>
            </w:r>
            <w:proofErr w:type="spellStart"/>
            <w:r w:rsidRPr="00C51ECB">
              <w:rPr>
                <w:sz w:val="20"/>
                <w:lang w:val="fr-CA"/>
              </w:rPr>
              <w:t>Prosperity</w:t>
            </w:r>
            <w:proofErr w:type="spellEnd"/>
            <w:r w:rsidRPr="00C51ECB">
              <w:rPr>
                <w:sz w:val="20"/>
                <w:lang w:val="fr-CA"/>
              </w:rPr>
              <w:t xml:space="preserve"> Project) a été l’objet d’évaluations environnementales provinciale et fédérale. La Province a délivré un certificat d’évaluation environnementale. Le gouvernement fédéral a conclu que le </w:t>
            </w:r>
            <w:proofErr w:type="spellStart"/>
            <w:r w:rsidRPr="00C51ECB">
              <w:rPr>
                <w:sz w:val="20"/>
                <w:lang w:val="fr-CA"/>
              </w:rPr>
              <w:t>Prosperity</w:t>
            </w:r>
            <w:proofErr w:type="spellEnd"/>
            <w:r w:rsidRPr="00C51ECB">
              <w:rPr>
                <w:sz w:val="20"/>
                <w:lang w:val="fr-CA"/>
              </w:rPr>
              <w:t xml:space="preserve"> Project aurait des effets environnementaux négatifs et importants et il a rejeté le projet. </w:t>
            </w:r>
            <w:proofErr w:type="spellStart"/>
            <w:r w:rsidRPr="00C51ECB">
              <w:rPr>
                <w:sz w:val="20"/>
                <w:lang w:val="fr-CA"/>
              </w:rPr>
              <w:t>Taseko</w:t>
            </w:r>
            <w:proofErr w:type="spellEnd"/>
            <w:r w:rsidRPr="00C51ECB">
              <w:rPr>
                <w:sz w:val="20"/>
                <w:lang w:val="fr-CA"/>
              </w:rPr>
              <w:t xml:space="preserve"> a revu la conception de sa mine et a demandé une modification à son certificat provincial d’évaluation environnementale. La Province a accordé une prorogation de cinq ans de son certificat d’évaluation environnementale qui expire le 14 janvier 2020 si le projet n’a pas [</w:t>
            </w:r>
            <w:r w:rsidRPr="00C51ECB">
              <w:rPr>
                <w:smallCaps/>
                <w:sz w:val="20"/>
                <w:lang w:val="fr-CA"/>
              </w:rPr>
              <w:t>traduction</w:t>
            </w:r>
            <w:r w:rsidRPr="00C51ECB">
              <w:rPr>
                <w:sz w:val="20"/>
                <w:lang w:val="fr-CA"/>
              </w:rPr>
              <w:t xml:space="preserve">] « substantiellement démarré » à cette date. </w:t>
            </w:r>
            <w:proofErr w:type="spellStart"/>
            <w:r w:rsidRPr="00C51ECB">
              <w:rPr>
                <w:sz w:val="20"/>
                <w:lang w:val="fr-CA"/>
              </w:rPr>
              <w:t>Taseko</w:t>
            </w:r>
            <w:proofErr w:type="spellEnd"/>
            <w:r w:rsidRPr="00C51ECB">
              <w:rPr>
                <w:sz w:val="20"/>
                <w:lang w:val="fr-CA"/>
              </w:rPr>
              <w:t xml:space="preserve"> a en outre présenté une nouvelle demande d’approbation au gouvernement fédéral. En février 2014, le gouvernement fédéral a rejeté le projet remanié. </w:t>
            </w:r>
            <w:proofErr w:type="spellStart"/>
            <w:r w:rsidRPr="00C51ECB">
              <w:rPr>
                <w:sz w:val="20"/>
                <w:lang w:val="fr-CA"/>
              </w:rPr>
              <w:t>Taseko</w:t>
            </w:r>
            <w:proofErr w:type="spellEnd"/>
            <w:r w:rsidRPr="00C51ECB">
              <w:rPr>
                <w:sz w:val="20"/>
                <w:lang w:val="fr-CA"/>
              </w:rPr>
              <w:t xml:space="preserve"> a ensuite demandé à la Province de lui délivrer des permis pour réaliser un nouveau programme d’exploration et de forage élargi. La Province a consulté les Tsilhqot’in qui se sont opposés au nouveau programme parce qu’il aurait des effets négatifs durables sur leurs droits. En juillet 2017, l’inspecteur principal des mines a rendu une décision écrite de 30 pages approuvant le programme de forage élargi. La décision renfermait 37 conditions d’atténuation pour que </w:t>
            </w:r>
            <w:proofErr w:type="spellStart"/>
            <w:r w:rsidRPr="00C51ECB">
              <w:rPr>
                <w:sz w:val="20"/>
                <w:lang w:val="fr-CA"/>
              </w:rPr>
              <w:t>Taseko</w:t>
            </w:r>
            <w:proofErr w:type="spellEnd"/>
            <w:r w:rsidRPr="00C51ECB">
              <w:rPr>
                <w:sz w:val="20"/>
                <w:lang w:val="fr-CA"/>
              </w:rPr>
              <w:t xml:space="preserve"> Mines puisse effectuer ses forages. Les demandeurs ont demandé le contrôle judiciaire de cette décision. La Cour suprême de la Colombie</w:t>
            </w:r>
            <w:r w:rsidRPr="00C51ECB">
              <w:rPr>
                <w:sz w:val="20"/>
                <w:lang w:val="fr-CA"/>
              </w:rPr>
              <w:noBreakHyphen/>
              <w:t>Britannique a rejeté la demande de contrôle judiciaire, concluant que la décision de l’inspecteur principal était raisonnable. La Cour d’appel de la Colombie</w:t>
            </w:r>
            <w:r w:rsidRPr="00C51ECB">
              <w:rPr>
                <w:sz w:val="20"/>
                <w:lang w:val="fr-CA"/>
              </w:rPr>
              <w:noBreakHyphen/>
              <w:t>Britannique a rejeté l’appel subséquent.</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lastRenderedPageBreak/>
              <w:t>23 août 2018</w:t>
            </w:r>
          </w:p>
          <w:p w:rsidR="00465096" w:rsidRPr="00C51ECB" w:rsidRDefault="00465096" w:rsidP="00465096">
            <w:pPr>
              <w:jc w:val="both"/>
              <w:rPr>
                <w:sz w:val="20"/>
                <w:lang w:val="fr-CA"/>
              </w:rPr>
            </w:pPr>
            <w:r w:rsidRPr="00C51ECB">
              <w:rPr>
                <w:sz w:val="20"/>
                <w:lang w:val="fr-CA"/>
              </w:rPr>
              <w:t>Cour suprême de la Colombie</w:t>
            </w:r>
            <w:r w:rsidRPr="00C51ECB">
              <w:rPr>
                <w:sz w:val="20"/>
                <w:lang w:val="fr-CA"/>
              </w:rPr>
              <w:noBreakHyphen/>
              <w:t>Britannique</w:t>
            </w:r>
          </w:p>
          <w:p w:rsidR="00465096" w:rsidRPr="00C51ECB" w:rsidRDefault="00465096" w:rsidP="00465096">
            <w:pPr>
              <w:jc w:val="both"/>
              <w:rPr>
                <w:sz w:val="20"/>
                <w:lang w:val="fr-CA"/>
              </w:rPr>
            </w:pPr>
            <w:r w:rsidRPr="00C51ECB">
              <w:rPr>
                <w:sz w:val="20"/>
                <w:lang w:val="fr-CA"/>
              </w:rPr>
              <w:t>(Juge Branch)</w:t>
            </w:r>
          </w:p>
          <w:p w:rsidR="00465096" w:rsidRPr="00C51ECB" w:rsidRDefault="00465096" w:rsidP="00465096">
            <w:pPr>
              <w:jc w:val="both"/>
              <w:rPr>
                <w:sz w:val="20"/>
                <w:lang w:val="fr-CA"/>
              </w:rPr>
            </w:pPr>
            <w:hyperlink r:id="rId49" w:history="1">
              <w:r w:rsidRPr="00C51ECB">
                <w:rPr>
                  <w:rStyle w:val="Hyperlink"/>
                  <w:sz w:val="20"/>
                  <w:lang w:val="fr-CA"/>
                </w:rPr>
                <w:t>2019 BCCA 74</w:t>
              </w:r>
            </w:hyperlink>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Rejet de la demande de contrôle judiciaire.</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1</w:t>
            </w:r>
            <w:r w:rsidRPr="00C51ECB">
              <w:rPr>
                <w:sz w:val="20"/>
                <w:vertAlign w:val="superscript"/>
                <w:lang w:val="fr-CA"/>
              </w:rPr>
              <w:t>er</w:t>
            </w:r>
            <w:r w:rsidRPr="00C51ECB">
              <w:rPr>
                <w:sz w:val="20"/>
                <w:lang w:val="fr-CA"/>
              </w:rPr>
              <w:t> mars 2019</w:t>
            </w:r>
          </w:p>
          <w:p w:rsidR="00465096" w:rsidRPr="00C51ECB" w:rsidRDefault="00465096" w:rsidP="00465096">
            <w:pPr>
              <w:jc w:val="both"/>
              <w:rPr>
                <w:sz w:val="20"/>
                <w:lang w:val="fr-CA"/>
              </w:rPr>
            </w:pPr>
            <w:r w:rsidRPr="00C51ECB">
              <w:rPr>
                <w:sz w:val="20"/>
                <w:lang w:val="fr-CA"/>
              </w:rPr>
              <w:t>Cour d’appel de la Colombie</w:t>
            </w:r>
            <w:r w:rsidRPr="00C51ECB">
              <w:rPr>
                <w:sz w:val="20"/>
                <w:lang w:val="fr-CA"/>
              </w:rPr>
              <w:noBreakHyphen/>
              <w:t>Britannique (Vancouver)</w:t>
            </w:r>
          </w:p>
          <w:p w:rsidR="00465096" w:rsidRPr="00C51ECB" w:rsidRDefault="00465096" w:rsidP="00465096">
            <w:pPr>
              <w:jc w:val="both"/>
              <w:rPr>
                <w:sz w:val="20"/>
                <w:lang w:val="fr-CA"/>
              </w:rPr>
            </w:pPr>
            <w:r w:rsidRPr="00C51ECB">
              <w:rPr>
                <w:sz w:val="20"/>
                <w:lang w:val="fr-CA"/>
              </w:rPr>
              <w:t xml:space="preserve">(Juges </w:t>
            </w:r>
            <w:proofErr w:type="spellStart"/>
            <w:r w:rsidRPr="00C51ECB">
              <w:rPr>
                <w:sz w:val="20"/>
                <w:lang w:val="fr-CA"/>
              </w:rPr>
              <w:t>Kirkpatrick</w:t>
            </w:r>
            <w:proofErr w:type="spellEnd"/>
            <w:r w:rsidRPr="00C51ECB">
              <w:rPr>
                <w:sz w:val="20"/>
                <w:lang w:val="fr-CA"/>
              </w:rPr>
              <w:t xml:space="preserve">, </w:t>
            </w:r>
            <w:proofErr w:type="spellStart"/>
            <w:r w:rsidRPr="00C51ECB">
              <w:rPr>
                <w:sz w:val="20"/>
                <w:lang w:val="fr-CA"/>
              </w:rPr>
              <w:t>Goepel</w:t>
            </w:r>
            <w:proofErr w:type="spellEnd"/>
            <w:r w:rsidRPr="00C51ECB">
              <w:rPr>
                <w:sz w:val="20"/>
                <w:lang w:val="fr-CA"/>
              </w:rPr>
              <w:t xml:space="preserve"> et </w:t>
            </w:r>
            <w:proofErr w:type="spellStart"/>
            <w:r w:rsidRPr="00C51ECB">
              <w:rPr>
                <w:sz w:val="20"/>
                <w:lang w:val="fr-CA"/>
              </w:rPr>
              <w:t>Fenlon</w:t>
            </w:r>
            <w:proofErr w:type="spellEnd"/>
            <w:r w:rsidRPr="00C51ECB">
              <w:rPr>
                <w:sz w:val="20"/>
                <w:lang w:val="fr-CA"/>
              </w:rPr>
              <w:t>)</w:t>
            </w:r>
          </w:p>
          <w:p w:rsidR="00465096" w:rsidRPr="00C51ECB" w:rsidRDefault="00465096" w:rsidP="00465096">
            <w:pPr>
              <w:jc w:val="both"/>
              <w:rPr>
                <w:sz w:val="20"/>
                <w:lang w:val="fr-CA"/>
              </w:rPr>
            </w:pPr>
            <w:hyperlink r:id="rId50" w:history="1">
              <w:r w:rsidRPr="00C51ECB">
                <w:rPr>
                  <w:rStyle w:val="Hyperlink"/>
                  <w:sz w:val="20"/>
                  <w:lang w:val="fr-CA"/>
                </w:rPr>
                <w:t>2018 BCSC 1425</w:t>
              </w:r>
            </w:hyperlink>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Rejet de l’appel.</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13 mars 2019</w:t>
            </w:r>
          </w:p>
          <w:p w:rsidR="00465096" w:rsidRPr="00C51ECB" w:rsidRDefault="00465096" w:rsidP="00465096">
            <w:pPr>
              <w:jc w:val="both"/>
              <w:rPr>
                <w:sz w:val="20"/>
                <w:lang w:val="fr-CA"/>
              </w:rPr>
            </w:pPr>
            <w:r w:rsidRPr="00C51ECB">
              <w:rPr>
                <w:sz w:val="20"/>
                <w:lang w:val="fr-CA"/>
              </w:rPr>
              <w:t>Cour suprême du Canada</w:t>
            </w: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Dépôt de la demande d’autorisation d’appel.</w:t>
            </w:r>
          </w:p>
        </w:tc>
      </w:tr>
    </w:tbl>
    <w:p w:rsidR="00465096" w:rsidRPr="00C51ECB" w:rsidRDefault="00465096" w:rsidP="00465096">
      <w:pPr>
        <w:jc w:val="both"/>
        <w:rPr>
          <w:sz w:val="20"/>
          <w:lang w:val="fr-CA"/>
        </w:rPr>
      </w:pPr>
    </w:p>
    <w:p w:rsidR="0084772C" w:rsidRPr="00C51ECB" w:rsidRDefault="0084772C" w:rsidP="00465096">
      <w:pPr>
        <w:jc w:val="both"/>
        <w:rPr>
          <w:sz w:val="20"/>
          <w:lang w:val="fr-CA"/>
        </w:rPr>
      </w:pPr>
      <w:r w:rsidRPr="00C51ECB">
        <w:rPr>
          <w:sz w:val="20"/>
        </w:rPr>
        <w:pict>
          <v:rect id="_x0000_i1044" style="width:2in;height:1pt" o:hrpct="0" o:hralign="center" o:hrstd="t" o:hrnoshade="t" o:hr="t" fillcolor="black [3213]" stroked="f"/>
        </w:pict>
      </w:r>
    </w:p>
    <w:p w:rsidR="00D84BE0" w:rsidRPr="00C51ECB" w:rsidRDefault="00D84BE0"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lang w:val="en-CA"/>
              </w:rPr>
            </w:pPr>
            <w:r w:rsidRPr="00C51ECB">
              <w:rPr>
                <w:rStyle w:val="SCCFileNumberChar"/>
                <w:sz w:val="20"/>
                <w:szCs w:val="20"/>
              </w:rPr>
              <w:t>38470</w:t>
            </w:r>
          </w:p>
        </w:tc>
        <w:tc>
          <w:tcPr>
            <w:tcW w:w="4457" w:type="pct"/>
            <w:gridSpan w:val="3"/>
          </w:tcPr>
          <w:p w:rsidR="00465096" w:rsidRPr="00C51ECB" w:rsidRDefault="00465096" w:rsidP="00465096">
            <w:pPr>
              <w:pStyle w:val="SCCLsocParty"/>
              <w:jc w:val="both"/>
              <w:rPr>
                <w:b/>
                <w:sz w:val="20"/>
                <w:szCs w:val="20"/>
                <w:lang w:val="en-CA"/>
              </w:rPr>
            </w:pPr>
            <w:r w:rsidRPr="00C51ECB">
              <w:rPr>
                <w:b/>
                <w:sz w:val="20"/>
                <w:szCs w:val="20"/>
                <w:lang w:val="en-CA"/>
              </w:rPr>
              <w:t>Attorney General of Quebec v. Karl Lefrançois</w:t>
            </w:r>
          </w:p>
          <w:p w:rsidR="00465096" w:rsidRPr="00C51ECB" w:rsidRDefault="00465096" w:rsidP="00465096">
            <w:pPr>
              <w:pStyle w:val="SCCLsocSubfileSeparator"/>
              <w:rPr>
                <w:sz w:val="20"/>
                <w:szCs w:val="20"/>
                <w:lang w:val="en-CA"/>
              </w:rPr>
            </w:pPr>
            <w:r w:rsidRPr="00C51ECB">
              <w:rPr>
                <w:sz w:val="20"/>
                <w:szCs w:val="20"/>
                <w:lang w:val="en-CA"/>
              </w:rPr>
              <w:t>— and between —</w:t>
            </w:r>
          </w:p>
          <w:p w:rsidR="00465096" w:rsidRPr="00C51ECB" w:rsidRDefault="00465096" w:rsidP="00465096">
            <w:pPr>
              <w:pStyle w:val="SCCLsocParty"/>
              <w:jc w:val="both"/>
              <w:rPr>
                <w:b/>
                <w:sz w:val="20"/>
                <w:szCs w:val="20"/>
                <w:lang w:val="en-CA"/>
              </w:rPr>
            </w:pPr>
            <w:r w:rsidRPr="00C51ECB">
              <w:rPr>
                <w:b/>
                <w:sz w:val="20"/>
                <w:szCs w:val="20"/>
                <w:lang w:val="en-CA"/>
              </w:rPr>
              <w:t>Her Majesty the Queen v. Karl Lefrançois</w:t>
            </w:r>
          </w:p>
          <w:p w:rsidR="00465096" w:rsidRPr="00C51ECB" w:rsidRDefault="00465096" w:rsidP="00465096">
            <w:pPr>
              <w:jc w:val="both"/>
              <w:rPr>
                <w:sz w:val="20"/>
                <w:lang w:val="en-CA"/>
              </w:rPr>
            </w:pPr>
            <w:r w:rsidRPr="00C51ECB">
              <w:rPr>
                <w:sz w:val="20"/>
                <w:lang w:val="en-CA"/>
              </w:rPr>
              <w:t>(Que.) (Civil) (By Leave)</w:t>
            </w:r>
          </w:p>
        </w:tc>
      </w:tr>
      <w:tr w:rsidR="00465096" w:rsidRPr="00C51ECB" w:rsidTr="00E95A6A">
        <w:tc>
          <w:tcPr>
            <w:tcW w:w="5000" w:type="pct"/>
            <w:gridSpan w:val="4"/>
          </w:tcPr>
          <w:p w:rsidR="00465096" w:rsidRPr="00C51ECB" w:rsidRDefault="00465096" w:rsidP="00465096">
            <w:pPr>
              <w:jc w:val="both"/>
              <w:rPr>
                <w:sz w:val="20"/>
                <w:lang w:val="en-CA"/>
              </w:rPr>
            </w:pPr>
            <w:proofErr w:type="gramStart"/>
            <w:r w:rsidRPr="00C51ECB">
              <w:rPr>
                <w:i/>
                <w:sz w:val="20"/>
                <w:lang w:val="en-CA"/>
              </w:rPr>
              <w:t>Charter of Rights</w:t>
            </w:r>
            <w:r w:rsidRPr="00C51ECB">
              <w:rPr>
                <w:sz w:val="20"/>
                <w:lang w:val="en-CA"/>
              </w:rPr>
              <w:t xml:space="preserve"> — Cruel and unusual treatment or punishment — Sentencing — Mandatory minimum sentence — Trafficking/making of prohibited firearms — Importing of prohibited firearms — Whether Court of Appeal erred in principle in inappropriately tempering principles of general deterrence and denunciation in relation to importing of prohibited firearm devices and making of prohibited firearms — Whether sentence upheld by Court of Appeal is demonstrably unfit because it is disproportionate to objective and subjective gravity of offences and represents unjustified marked departure from sentences generally imposed elsewhere in Canada — Weight that can be attached in sentencing to loss of privilege of using firearm as collateral but foreseeable consequence of offences of importing and making firearms and prohibited firearm devices — Whether sections 99(2)(a) and 103(2)(a) of </w:t>
            </w:r>
            <w:r w:rsidRPr="00C51ECB">
              <w:rPr>
                <w:i/>
                <w:sz w:val="20"/>
                <w:lang w:val="en-CA"/>
              </w:rPr>
              <w:t>Criminal Code</w:t>
            </w:r>
            <w:r w:rsidRPr="00C51ECB">
              <w:rPr>
                <w:sz w:val="20"/>
                <w:lang w:val="en-CA"/>
              </w:rPr>
              <w:t>, R.S.C. 1985, c. C</w:t>
            </w:r>
            <w:r w:rsidRPr="00C51ECB">
              <w:rPr>
                <w:sz w:val="20"/>
                <w:lang w:val="en-CA"/>
              </w:rPr>
              <w:noBreakHyphen/>
              <w:t xml:space="preserve">46, violate s. 12 of </w:t>
            </w:r>
            <w:r w:rsidRPr="00C51ECB">
              <w:rPr>
                <w:i/>
                <w:sz w:val="20"/>
                <w:lang w:val="en-CA"/>
              </w:rPr>
              <w:t>Canadian Charter of Rights and Freedoms</w:t>
            </w:r>
            <w:r w:rsidRPr="00C51ECB">
              <w:rPr>
                <w:sz w:val="20"/>
                <w:lang w:val="en-CA"/>
              </w:rPr>
              <w:t>.</w:t>
            </w:r>
            <w:proofErr w:type="gramEnd"/>
          </w:p>
        </w:tc>
      </w:tr>
      <w:tr w:rsidR="00465096" w:rsidRPr="00C51ECB" w:rsidTr="00E95A6A">
        <w:tc>
          <w:tcPr>
            <w:tcW w:w="5000" w:type="pct"/>
            <w:gridSpan w:val="4"/>
          </w:tcPr>
          <w:p w:rsidR="00465096" w:rsidRPr="00C51ECB" w:rsidRDefault="00465096" w:rsidP="00465096">
            <w:pPr>
              <w:jc w:val="both"/>
              <w:rPr>
                <w:sz w:val="20"/>
                <w:lang w:val="en-CA"/>
              </w:rPr>
            </w:pPr>
          </w:p>
        </w:tc>
      </w:tr>
      <w:tr w:rsidR="00465096" w:rsidRPr="00C51ECB" w:rsidTr="00E95A6A">
        <w:tc>
          <w:tcPr>
            <w:tcW w:w="5000" w:type="pct"/>
            <w:gridSpan w:val="4"/>
          </w:tcPr>
          <w:p w:rsidR="00465096" w:rsidRPr="00C51ECB" w:rsidRDefault="00465096" w:rsidP="00465096">
            <w:pPr>
              <w:jc w:val="both"/>
              <w:rPr>
                <w:sz w:val="20"/>
                <w:lang w:val="en-CA"/>
              </w:rPr>
            </w:pPr>
            <w:r w:rsidRPr="00C51ECB">
              <w:rPr>
                <w:sz w:val="20"/>
                <w:lang w:val="en-CA"/>
              </w:rPr>
              <w:t>The respondent, Mr. Lefrançois, pleaded guilty to eight counts laid against him, including possessing a prohibited firearm, possessing and importing prohibited devices, and making a prohibited firearm. Despite the mandatory minimum sentences of three years provided for in ss.  99(2</w:t>
            </w:r>
            <w:proofErr w:type="gramStart"/>
            <w:r w:rsidRPr="00C51ECB">
              <w:rPr>
                <w:sz w:val="20"/>
                <w:lang w:val="en-CA"/>
              </w:rPr>
              <w:t>)(</w:t>
            </w:r>
            <w:proofErr w:type="gramEnd"/>
            <w:r w:rsidRPr="00C51ECB">
              <w:rPr>
                <w:sz w:val="20"/>
                <w:lang w:val="en-CA"/>
              </w:rPr>
              <w:t xml:space="preserve">a) and 103(2)(a) of the </w:t>
            </w:r>
            <w:r w:rsidRPr="00C51ECB">
              <w:rPr>
                <w:i/>
                <w:sz w:val="20"/>
                <w:lang w:val="en-CA"/>
              </w:rPr>
              <w:t>Criminal Code</w:t>
            </w:r>
            <w:r w:rsidRPr="00C51ECB">
              <w:rPr>
                <w:sz w:val="20"/>
                <w:lang w:val="en-CA"/>
              </w:rPr>
              <w:t xml:space="preserve">, the sentencing judge imposed a sentence of 12  months’ imprisonment. </w:t>
            </w:r>
            <w:proofErr w:type="gramStart"/>
            <w:r w:rsidRPr="00C51ECB">
              <w:rPr>
                <w:sz w:val="20"/>
                <w:lang w:val="en-CA"/>
              </w:rPr>
              <w:t>The appeal was dismissed by a majority of the Court of Appeal</w:t>
            </w:r>
            <w:proofErr w:type="gramEnd"/>
            <w:r w:rsidRPr="00C51ECB">
              <w:rPr>
                <w:sz w:val="20"/>
                <w:lang w:val="en-CA"/>
              </w:rPr>
              <w:t>.</w:t>
            </w:r>
          </w:p>
          <w:p w:rsidR="00465096" w:rsidRPr="00C51ECB" w:rsidRDefault="00465096" w:rsidP="00465096">
            <w:pPr>
              <w:jc w:val="both"/>
              <w:rPr>
                <w:sz w:val="20"/>
                <w:lang w:val="en-CA"/>
              </w:rPr>
            </w:pPr>
          </w:p>
        </w:tc>
      </w:tr>
      <w:tr w:rsidR="00465096" w:rsidRPr="00C51ECB" w:rsidTr="00E95A6A">
        <w:tc>
          <w:tcPr>
            <w:tcW w:w="2427" w:type="pct"/>
            <w:gridSpan w:val="2"/>
          </w:tcPr>
          <w:p w:rsidR="00465096" w:rsidRPr="00C51ECB" w:rsidRDefault="00465096" w:rsidP="00465096">
            <w:pPr>
              <w:jc w:val="both"/>
              <w:rPr>
                <w:sz w:val="20"/>
                <w:lang w:val="en-CA"/>
              </w:rPr>
            </w:pPr>
            <w:r w:rsidRPr="00C51ECB">
              <w:rPr>
                <w:sz w:val="20"/>
                <w:lang w:val="en-CA"/>
              </w:rPr>
              <w:lastRenderedPageBreak/>
              <w:t>February 9, 2018</w:t>
            </w:r>
          </w:p>
          <w:p w:rsidR="00465096" w:rsidRPr="00C51ECB" w:rsidRDefault="00465096" w:rsidP="00465096">
            <w:pPr>
              <w:jc w:val="both"/>
              <w:rPr>
                <w:sz w:val="20"/>
                <w:lang w:val="en-CA"/>
              </w:rPr>
            </w:pPr>
            <w:r w:rsidRPr="00C51ECB">
              <w:rPr>
                <w:sz w:val="20"/>
                <w:lang w:val="en-CA"/>
              </w:rPr>
              <w:t>Court of Québec</w:t>
            </w:r>
          </w:p>
          <w:p w:rsidR="00465096" w:rsidRPr="00C51ECB" w:rsidRDefault="00465096" w:rsidP="00465096">
            <w:pPr>
              <w:jc w:val="both"/>
              <w:rPr>
                <w:sz w:val="20"/>
                <w:lang w:val="en-CA"/>
              </w:rPr>
            </w:pPr>
            <w:r w:rsidRPr="00C51ECB">
              <w:rPr>
                <w:sz w:val="20"/>
                <w:lang w:val="en-CA"/>
              </w:rPr>
              <w:t>(Judge Morand)</w:t>
            </w:r>
          </w:p>
          <w:p w:rsidR="00465096" w:rsidRPr="00C51ECB" w:rsidRDefault="00465096" w:rsidP="00465096">
            <w:pPr>
              <w:jc w:val="both"/>
              <w:rPr>
                <w:sz w:val="20"/>
                <w:lang w:val="en-CA"/>
              </w:rPr>
            </w:pPr>
            <w:hyperlink r:id="rId51" w:history="1">
              <w:r w:rsidRPr="00C51ECB">
                <w:rPr>
                  <w:rStyle w:val="Hyperlink"/>
                  <w:sz w:val="20"/>
                  <w:lang w:val="en-CA"/>
                </w:rPr>
                <w:t>2018 QCCQ 553</w:t>
              </w:r>
            </w:hyperlink>
          </w:p>
          <w:p w:rsidR="00465096" w:rsidRPr="00C51ECB" w:rsidRDefault="00465096" w:rsidP="00465096">
            <w:pPr>
              <w:jc w:val="both"/>
              <w:rPr>
                <w:sz w:val="20"/>
                <w:lang w:val="en-CA"/>
              </w:rPr>
            </w:pPr>
          </w:p>
        </w:tc>
        <w:tc>
          <w:tcPr>
            <w:tcW w:w="243" w:type="pct"/>
          </w:tcPr>
          <w:p w:rsidR="00465096" w:rsidRPr="00C51ECB" w:rsidRDefault="00465096" w:rsidP="00465096">
            <w:pPr>
              <w:jc w:val="both"/>
              <w:rPr>
                <w:sz w:val="20"/>
                <w:lang w:val="en-CA"/>
              </w:rPr>
            </w:pPr>
          </w:p>
        </w:tc>
        <w:tc>
          <w:tcPr>
            <w:tcW w:w="2330" w:type="pct"/>
          </w:tcPr>
          <w:p w:rsidR="00465096" w:rsidRPr="00C51ECB" w:rsidRDefault="00465096" w:rsidP="00465096">
            <w:pPr>
              <w:jc w:val="both"/>
              <w:rPr>
                <w:sz w:val="20"/>
                <w:lang w:val="en-CA"/>
              </w:rPr>
            </w:pPr>
            <w:r w:rsidRPr="00C51ECB">
              <w:rPr>
                <w:sz w:val="20"/>
                <w:lang w:val="en-CA"/>
              </w:rPr>
              <w:t>Respondent sentenced to 12 months’ imprisonment; mandatory minimum sentences of 3 years’ imprisonment provided for in ss. 99(2)(a) and 103(2)(a) declared to be of no force or effect with respect to him</w:t>
            </w:r>
          </w:p>
          <w:p w:rsidR="00465096" w:rsidRPr="00C51ECB" w:rsidRDefault="00465096" w:rsidP="00465096">
            <w:pPr>
              <w:jc w:val="both"/>
              <w:rPr>
                <w:sz w:val="20"/>
                <w:lang w:val="en-CA"/>
              </w:rPr>
            </w:pPr>
          </w:p>
        </w:tc>
      </w:tr>
      <w:tr w:rsidR="00465096" w:rsidRPr="00C51ECB" w:rsidTr="00E95A6A">
        <w:tc>
          <w:tcPr>
            <w:tcW w:w="2427" w:type="pct"/>
            <w:gridSpan w:val="2"/>
          </w:tcPr>
          <w:p w:rsidR="00465096" w:rsidRPr="00C51ECB" w:rsidRDefault="00465096" w:rsidP="00465096">
            <w:pPr>
              <w:jc w:val="both"/>
              <w:rPr>
                <w:sz w:val="20"/>
                <w:lang w:val="en-CA"/>
              </w:rPr>
            </w:pPr>
            <w:r w:rsidRPr="00C51ECB">
              <w:rPr>
                <w:sz w:val="20"/>
                <w:lang w:val="en-CA"/>
              </w:rPr>
              <w:t>October 26, 2018</w:t>
            </w:r>
          </w:p>
          <w:p w:rsidR="00465096" w:rsidRPr="00C51ECB" w:rsidRDefault="00465096" w:rsidP="00465096">
            <w:pPr>
              <w:jc w:val="both"/>
              <w:rPr>
                <w:sz w:val="20"/>
                <w:lang w:val="en-CA"/>
              </w:rPr>
            </w:pPr>
            <w:r w:rsidRPr="00C51ECB">
              <w:rPr>
                <w:sz w:val="20"/>
                <w:lang w:val="en-CA"/>
              </w:rPr>
              <w:t>Quebec Court of Appeal (Québec)</w:t>
            </w:r>
          </w:p>
          <w:p w:rsidR="00465096" w:rsidRPr="00C51ECB" w:rsidRDefault="00465096" w:rsidP="00465096">
            <w:pPr>
              <w:jc w:val="both"/>
              <w:rPr>
                <w:sz w:val="20"/>
                <w:lang w:val="fr-CA"/>
              </w:rPr>
            </w:pPr>
            <w:r w:rsidRPr="00C51ECB">
              <w:rPr>
                <w:sz w:val="20"/>
                <w:lang w:val="fr-CA"/>
              </w:rPr>
              <w:t xml:space="preserve">(Bélanger, Gagnon and Ruel </w:t>
            </w:r>
          </w:p>
          <w:p w:rsidR="00465096" w:rsidRPr="00C51ECB" w:rsidRDefault="00465096" w:rsidP="00465096">
            <w:pPr>
              <w:jc w:val="both"/>
              <w:rPr>
                <w:sz w:val="20"/>
                <w:lang w:val="fr-CA"/>
              </w:rPr>
            </w:pPr>
            <w:r w:rsidRPr="00C51ECB">
              <w:rPr>
                <w:sz w:val="20"/>
                <w:lang w:val="fr-CA"/>
              </w:rPr>
              <w:t>[dissenting] JJ.A.)</w:t>
            </w:r>
          </w:p>
          <w:p w:rsidR="00465096" w:rsidRPr="00C51ECB" w:rsidRDefault="00465096" w:rsidP="00465096">
            <w:pPr>
              <w:jc w:val="both"/>
              <w:rPr>
                <w:sz w:val="20"/>
                <w:lang w:val="en-CA"/>
              </w:rPr>
            </w:pPr>
            <w:hyperlink r:id="rId52" w:history="1">
              <w:r w:rsidRPr="00C51ECB">
                <w:rPr>
                  <w:rStyle w:val="Hyperlink"/>
                  <w:sz w:val="20"/>
                  <w:lang w:val="en-CA"/>
                </w:rPr>
                <w:t>2018 QCCA 1793</w:t>
              </w:r>
            </w:hyperlink>
          </w:p>
          <w:p w:rsidR="00465096" w:rsidRPr="00C51ECB" w:rsidRDefault="00465096" w:rsidP="00465096">
            <w:pPr>
              <w:jc w:val="both"/>
              <w:rPr>
                <w:sz w:val="20"/>
                <w:lang w:val="en-CA"/>
              </w:rPr>
            </w:pPr>
          </w:p>
        </w:tc>
        <w:tc>
          <w:tcPr>
            <w:tcW w:w="243" w:type="pct"/>
          </w:tcPr>
          <w:p w:rsidR="00465096" w:rsidRPr="00C51ECB" w:rsidRDefault="00465096" w:rsidP="00465096">
            <w:pPr>
              <w:jc w:val="both"/>
              <w:rPr>
                <w:sz w:val="20"/>
                <w:lang w:val="en-CA"/>
              </w:rPr>
            </w:pPr>
          </w:p>
        </w:tc>
        <w:tc>
          <w:tcPr>
            <w:tcW w:w="2330" w:type="pct"/>
          </w:tcPr>
          <w:p w:rsidR="00465096" w:rsidRPr="00C51ECB" w:rsidRDefault="00465096" w:rsidP="00465096">
            <w:pPr>
              <w:jc w:val="both"/>
              <w:rPr>
                <w:sz w:val="20"/>
                <w:lang w:val="en-CA"/>
              </w:rPr>
            </w:pPr>
            <w:r w:rsidRPr="00C51ECB">
              <w:rPr>
                <w:sz w:val="20"/>
                <w:lang w:val="en-CA"/>
              </w:rPr>
              <w:t>Appeal dismissed</w:t>
            </w:r>
          </w:p>
          <w:p w:rsidR="00465096" w:rsidRPr="00C51ECB" w:rsidRDefault="00465096" w:rsidP="00465096">
            <w:pPr>
              <w:jc w:val="both"/>
              <w:rPr>
                <w:sz w:val="20"/>
                <w:lang w:val="en-CA"/>
              </w:rPr>
            </w:pPr>
          </w:p>
        </w:tc>
      </w:tr>
      <w:tr w:rsidR="00465096" w:rsidRPr="00C51ECB" w:rsidTr="00E95A6A">
        <w:tc>
          <w:tcPr>
            <w:tcW w:w="2427" w:type="pct"/>
            <w:gridSpan w:val="2"/>
          </w:tcPr>
          <w:p w:rsidR="00465096" w:rsidRPr="00C51ECB" w:rsidRDefault="00465096" w:rsidP="00465096">
            <w:pPr>
              <w:jc w:val="both"/>
              <w:rPr>
                <w:sz w:val="20"/>
                <w:lang w:val="en-CA"/>
              </w:rPr>
            </w:pPr>
            <w:r w:rsidRPr="00C51ECB">
              <w:rPr>
                <w:sz w:val="20"/>
              </w:rPr>
              <w:t>December 20</w:t>
            </w:r>
            <w:r w:rsidRPr="00C51ECB">
              <w:rPr>
                <w:sz w:val="20"/>
                <w:lang w:val="en-CA"/>
              </w:rPr>
              <w:t>, 2018</w:t>
            </w:r>
          </w:p>
          <w:p w:rsidR="00465096" w:rsidRPr="00C51ECB" w:rsidRDefault="00465096" w:rsidP="00465096">
            <w:pPr>
              <w:jc w:val="both"/>
              <w:rPr>
                <w:sz w:val="20"/>
                <w:lang w:val="en-CA"/>
              </w:rPr>
            </w:pPr>
            <w:r w:rsidRPr="00C51ECB">
              <w:rPr>
                <w:sz w:val="20"/>
                <w:lang w:val="en-CA"/>
              </w:rPr>
              <w:t>Supreme Court of Canada</w:t>
            </w:r>
          </w:p>
          <w:p w:rsidR="00465096" w:rsidRPr="00C51ECB" w:rsidRDefault="00465096" w:rsidP="00465096">
            <w:pPr>
              <w:jc w:val="both"/>
              <w:rPr>
                <w:sz w:val="20"/>
                <w:lang w:val="en-CA"/>
              </w:rPr>
            </w:pPr>
          </w:p>
        </w:tc>
        <w:tc>
          <w:tcPr>
            <w:tcW w:w="243" w:type="pct"/>
          </w:tcPr>
          <w:p w:rsidR="00465096" w:rsidRPr="00C51ECB" w:rsidRDefault="00465096" w:rsidP="00465096">
            <w:pPr>
              <w:jc w:val="both"/>
              <w:rPr>
                <w:sz w:val="20"/>
                <w:lang w:val="en-CA"/>
              </w:rPr>
            </w:pPr>
          </w:p>
        </w:tc>
        <w:tc>
          <w:tcPr>
            <w:tcW w:w="2330" w:type="pct"/>
          </w:tcPr>
          <w:p w:rsidR="00465096" w:rsidRPr="00C51ECB" w:rsidRDefault="00465096" w:rsidP="00465096">
            <w:pPr>
              <w:jc w:val="both"/>
              <w:rPr>
                <w:sz w:val="20"/>
                <w:lang w:val="en-CA"/>
              </w:rPr>
            </w:pPr>
            <w:r w:rsidRPr="00C51ECB">
              <w:rPr>
                <w:sz w:val="20"/>
                <w:lang w:val="en-CA"/>
              </w:rPr>
              <w:t xml:space="preserve">Application for leave to appeal filed by Attorney General of Quebec </w:t>
            </w:r>
          </w:p>
        </w:tc>
      </w:tr>
      <w:tr w:rsidR="00465096" w:rsidRPr="00C51ECB" w:rsidTr="00E95A6A">
        <w:tc>
          <w:tcPr>
            <w:tcW w:w="2427" w:type="pct"/>
            <w:gridSpan w:val="2"/>
          </w:tcPr>
          <w:p w:rsidR="00465096" w:rsidRPr="00C51ECB" w:rsidRDefault="00465096" w:rsidP="00465096">
            <w:pPr>
              <w:jc w:val="both"/>
              <w:rPr>
                <w:sz w:val="20"/>
                <w:lang w:val="en-CA"/>
              </w:rPr>
            </w:pPr>
            <w:r w:rsidRPr="00C51ECB">
              <w:rPr>
                <w:sz w:val="20"/>
                <w:lang w:val="en-CA"/>
              </w:rPr>
              <w:t>December 27, 2018</w:t>
            </w:r>
          </w:p>
          <w:p w:rsidR="00465096" w:rsidRPr="00C51ECB" w:rsidRDefault="00465096" w:rsidP="00465096">
            <w:pPr>
              <w:jc w:val="both"/>
              <w:rPr>
                <w:sz w:val="20"/>
                <w:lang w:val="en-CA"/>
              </w:rPr>
            </w:pPr>
            <w:r w:rsidRPr="00C51ECB">
              <w:rPr>
                <w:sz w:val="20"/>
                <w:lang w:val="en-CA"/>
              </w:rPr>
              <w:t>Supreme Court of Canada</w:t>
            </w:r>
          </w:p>
        </w:tc>
        <w:tc>
          <w:tcPr>
            <w:tcW w:w="243" w:type="pct"/>
          </w:tcPr>
          <w:p w:rsidR="00465096" w:rsidRPr="00C51ECB" w:rsidRDefault="00465096" w:rsidP="00465096">
            <w:pPr>
              <w:jc w:val="both"/>
              <w:rPr>
                <w:sz w:val="20"/>
                <w:lang w:val="en-CA"/>
              </w:rPr>
            </w:pPr>
          </w:p>
        </w:tc>
        <w:tc>
          <w:tcPr>
            <w:tcW w:w="2330" w:type="pct"/>
          </w:tcPr>
          <w:p w:rsidR="00465096" w:rsidRPr="00C51ECB" w:rsidRDefault="00465096" w:rsidP="00465096">
            <w:pPr>
              <w:jc w:val="both"/>
              <w:rPr>
                <w:sz w:val="20"/>
                <w:lang w:val="en-CA"/>
              </w:rPr>
            </w:pPr>
            <w:r w:rsidRPr="00C51ECB">
              <w:rPr>
                <w:sz w:val="20"/>
                <w:lang w:val="en-CA"/>
              </w:rPr>
              <w:t>Application for leave to appeal filed by Her Majesty the Queen</w:t>
            </w:r>
          </w:p>
        </w:tc>
      </w:tr>
    </w:tbl>
    <w:p w:rsidR="00465096" w:rsidRPr="00C51ECB" w:rsidRDefault="00465096" w:rsidP="00465096">
      <w:pPr>
        <w:jc w:val="both"/>
        <w:rPr>
          <w:sz w:val="20"/>
          <w:lang w:val="en-CA"/>
        </w:rPr>
      </w:pPr>
    </w:p>
    <w:p w:rsidR="0084772C" w:rsidRPr="00C51ECB" w:rsidRDefault="0084772C" w:rsidP="00465096">
      <w:pPr>
        <w:jc w:val="both"/>
        <w:rPr>
          <w:sz w:val="20"/>
          <w:lang w:val="en-CA"/>
        </w:rPr>
      </w:pPr>
      <w:r w:rsidRPr="00C51ECB">
        <w:rPr>
          <w:sz w:val="20"/>
        </w:rPr>
        <w:pict>
          <v:rect id="_x0000_i1045" style="width:2in;height:1pt" o:hrpct="0" o:hralign="center" o:hrstd="t" o:hrnoshade="t" o:hr="t" fillcolor="black [3213]" stroked="f"/>
        </w:pict>
      </w:r>
    </w:p>
    <w:p w:rsidR="0084772C" w:rsidRPr="00C51ECB" w:rsidRDefault="0084772C" w:rsidP="00465096">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rPr>
            </w:pPr>
            <w:r w:rsidRPr="00C51ECB">
              <w:rPr>
                <w:rStyle w:val="SCCFileNumberChar"/>
                <w:sz w:val="20"/>
                <w:szCs w:val="20"/>
              </w:rPr>
              <w:t>38470</w:t>
            </w:r>
          </w:p>
        </w:tc>
        <w:tc>
          <w:tcPr>
            <w:tcW w:w="4457" w:type="pct"/>
            <w:gridSpan w:val="3"/>
          </w:tcPr>
          <w:p w:rsidR="00465096" w:rsidRPr="00C51ECB" w:rsidRDefault="00465096" w:rsidP="00465096">
            <w:pPr>
              <w:pStyle w:val="SCCLsocParty"/>
              <w:jc w:val="both"/>
              <w:rPr>
                <w:b/>
                <w:sz w:val="20"/>
                <w:szCs w:val="20"/>
              </w:rPr>
            </w:pPr>
            <w:r w:rsidRPr="00C51ECB">
              <w:rPr>
                <w:b/>
                <w:sz w:val="20"/>
                <w:szCs w:val="20"/>
              </w:rPr>
              <w:t>Procureure générale du Québec c. Karl Lefrançois</w:t>
            </w:r>
          </w:p>
          <w:p w:rsidR="00465096" w:rsidRPr="00C51ECB" w:rsidRDefault="00465096" w:rsidP="00465096">
            <w:pPr>
              <w:pStyle w:val="SCCLsocSubfileSeparator"/>
              <w:rPr>
                <w:sz w:val="20"/>
                <w:szCs w:val="20"/>
              </w:rPr>
            </w:pPr>
            <w:r w:rsidRPr="00C51ECB">
              <w:rPr>
                <w:sz w:val="20"/>
                <w:szCs w:val="20"/>
              </w:rPr>
              <w:t>— et entre —</w:t>
            </w:r>
          </w:p>
          <w:p w:rsidR="00465096" w:rsidRPr="00C51ECB" w:rsidRDefault="00465096" w:rsidP="00465096">
            <w:pPr>
              <w:pStyle w:val="SCCLsocParty"/>
              <w:jc w:val="both"/>
              <w:rPr>
                <w:b/>
                <w:sz w:val="20"/>
                <w:szCs w:val="20"/>
              </w:rPr>
            </w:pPr>
            <w:r w:rsidRPr="00C51ECB">
              <w:rPr>
                <w:b/>
                <w:sz w:val="20"/>
                <w:szCs w:val="20"/>
              </w:rPr>
              <w:t>Sa Majesté la Reine c. Karl Lefrançois</w:t>
            </w:r>
          </w:p>
          <w:p w:rsidR="00465096" w:rsidRPr="00C51ECB" w:rsidRDefault="00465096" w:rsidP="00465096">
            <w:pPr>
              <w:jc w:val="both"/>
              <w:rPr>
                <w:sz w:val="20"/>
              </w:rPr>
            </w:pPr>
            <w:r w:rsidRPr="00C51ECB">
              <w:rPr>
                <w:sz w:val="20"/>
              </w:rPr>
              <w:t>(Qc) (Civile) (Autorisation)</w:t>
            </w:r>
          </w:p>
        </w:tc>
      </w:tr>
      <w:tr w:rsidR="00465096" w:rsidRPr="00C51ECB" w:rsidTr="00E95A6A">
        <w:tc>
          <w:tcPr>
            <w:tcW w:w="5000" w:type="pct"/>
            <w:gridSpan w:val="4"/>
          </w:tcPr>
          <w:p w:rsidR="00465096" w:rsidRPr="00C51ECB" w:rsidRDefault="00465096" w:rsidP="00465096">
            <w:pPr>
              <w:jc w:val="both"/>
              <w:rPr>
                <w:sz w:val="20"/>
                <w:lang w:val="fr-CA"/>
              </w:rPr>
            </w:pPr>
            <w:r w:rsidRPr="00C51ECB">
              <w:rPr>
                <w:i/>
                <w:sz w:val="20"/>
                <w:lang w:val="fr-CA"/>
              </w:rPr>
              <w:t>Charte des droits</w:t>
            </w:r>
            <w:r w:rsidRPr="00C51ECB">
              <w:rPr>
                <w:sz w:val="20"/>
                <w:lang w:val="fr-CA"/>
              </w:rPr>
              <w:t xml:space="preserve"> — Traitements ou peines cruels et inusités — Détermination de la peine — Peine minimale obligatoire — Trafic/fabrication d’armes à feu prohibées — Importation d’armes à feu prohibées — La Cour d’appel a-t-elle commis une erreur de principe en mitigeant indûment les principes de dissuasion générale et de dénonciation liés à l’importation de dispositifs d’armes à feu prohibées et du fabrication d’armes à feu prohibées? — La peine confirmée par la Cour d’appel est</w:t>
            </w:r>
            <w:r w:rsidRPr="00C51ECB">
              <w:rPr>
                <w:sz w:val="20"/>
                <w:lang w:val="fr-CA"/>
              </w:rPr>
              <w:noBreakHyphen/>
              <w:t xml:space="preserve">elle manifestement non indiquée, car hors de proportion avec les gravités objective et subjective des infractions et constituant un écart marqué et injustifié avec les peines généralement imposées ailleurs au Canada? — Quel poids peut-on accorder, dans la détermination de la peine, à la perte du privilège d’utiliser une arme à feu, comme conséquence indirecte mais prévisible d’infractions d’importation et de fabrication d’armes à feu et de dispositifs prohibés d’armes à feu? — Les alinéas 99(2)a) et 103(2)a) du </w:t>
            </w:r>
            <w:r w:rsidRPr="00C51ECB">
              <w:rPr>
                <w:i/>
                <w:sz w:val="20"/>
                <w:lang w:val="fr-CA"/>
              </w:rPr>
              <w:t>Code criminel</w:t>
            </w:r>
            <w:r w:rsidRPr="00C51ECB">
              <w:rPr>
                <w:sz w:val="20"/>
                <w:lang w:val="fr-CA"/>
              </w:rPr>
              <w:t>, L.R.C. 1985, c. C</w:t>
            </w:r>
            <w:r w:rsidRPr="00C51ECB">
              <w:rPr>
                <w:sz w:val="20"/>
                <w:lang w:val="fr-CA"/>
              </w:rPr>
              <w:noBreakHyphen/>
              <w:t>46, contreviennent</w:t>
            </w:r>
            <w:r w:rsidRPr="00C51ECB">
              <w:rPr>
                <w:sz w:val="20"/>
                <w:lang w:val="fr-CA"/>
              </w:rPr>
              <w:noBreakHyphen/>
              <w:t xml:space="preserve">ils à l’art. 12 de la </w:t>
            </w:r>
            <w:r w:rsidRPr="00C51ECB">
              <w:rPr>
                <w:i/>
                <w:sz w:val="20"/>
                <w:lang w:val="fr-CA"/>
              </w:rPr>
              <w:t>Charte canadienne des droits et libertés</w:t>
            </w:r>
            <w:r w:rsidRPr="00C51ECB">
              <w:rPr>
                <w:sz w:val="20"/>
                <w:lang w:val="fr-CA"/>
              </w:rPr>
              <w:t>?</w:t>
            </w:r>
          </w:p>
        </w:tc>
      </w:tr>
      <w:tr w:rsidR="00465096" w:rsidRPr="00C51ECB" w:rsidTr="00E95A6A">
        <w:tc>
          <w:tcPr>
            <w:tcW w:w="5000" w:type="pct"/>
            <w:gridSpan w:val="4"/>
          </w:tcPr>
          <w:p w:rsidR="00465096" w:rsidRPr="00C51ECB" w:rsidRDefault="00465096" w:rsidP="00465096">
            <w:pPr>
              <w:jc w:val="both"/>
              <w:rPr>
                <w:sz w:val="20"/>
                <w:lang w:val="fr-CA"/>
              </w:rPr>
            </w:pPr>
          </w:p>
        </w:tc>
      </w:tr>
      <w:tr w:rsidR="00465096" w:rsidRPr="00C51ECB" w:rsidTr="00E95A6A">
        <w:tc>
          <w:tcPr>
            <w:tcW w:w="5000" w:type="pct"/>
            <w:gridSpan w:val="4"/>
          </w:tcPr>
          <w:p w:rsidR="00465096" w:rsidRPr="00C51ECB" w:rsidRDefault="00465096" w:rsidP="00465096">
            <w:pPr>
              <w:jc w:val="both"/>
              <w:rPr>
                <w:sz w:val="20"/>
              </w:rPr>
            </w:pPr>
            <w:r w:rsidRPr="00C51ECB">
              <w:rPr>
                <w:sz w:val="20"/>
                <w:lang w:val="fr-CA"/>
              </w:rPr>
              <w:t xml:space="preserve">Monsieur Lefrançois, intimé, a plaidé coupable à huit chefs d’accusation portés contre lui, incluant possession d’une arme à feu prohibée, possession et importation de dispositifs prohibés et fabrication d’une arme à feu prohibée. Malgré les peines minimales obligatoires de trois ans prévues aux al. 99(2)a) et 103(2)a) du </w:t>
            </w:r>
            <w:r w:rsidRPr="00C51ECB">
              <w:rPr>
                <w:i/>
                <w:sz w:val="20"/>
                <w:lang w:val="fr-CA"/>
              </w:rPr>
              <w:t>Code criminel</w:t>
            </w:r>
            <w:r w:rsidRPr="00C51ECB">
              <w:rPr>
                <w:sz w:val="20"/>
                <w:lang w:val="fr-CA"/>
              </w:rPr>
              <w:t xml:space="preserve">, le juge de la peine a imposé une peine de 12 mois d’emprisonnent. </w:t>
            </w:r>
            <w:r w:rsidRPr="00C51ECB">
              <w:rPr>
                <w:sz w:val="20"/>
              </w:rPr>
              <w:t>La Cour d’appel, à la majorité, a rejeté l’appel</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Le 9 février 2018</w:t>
            </w:r>
          </w:p>
          <w:p w:rsidR="00465096" w:rsidRPr="00C51ECB" w:rsidRDefault="00465096" w:rsidP="00465096">
            <w:pPr>
              <w:jc w:val="both"/>
              <w:rPr>
                <w:sz w:val="20"/>
                <w:lang w:val="fr-CA"/>
              </w:rPr>
            </w:pPr>
            <w:r w:rsidRPr="00C51ECB">
              <w:rPr>
                <w:sz w:val="20"/>
                <w:lang w:val="fr-CA"/>
              </w:rPr>
              <w:t>Cour du Québec</w:t>
            </w:r>
          </w:p>
          <w:p w:rsidR="00465096" w:rsidRPr="00C51ECB" w:rsidRDefault="00465096" w:rsidP="00465096">
            <w:pPr>
              <w:jc w:val="both"/>
              <w:rPr>
                <w:sz w:val="20"/>
                <w:lang w:val="fr-CA"/>
              </w:rPr>
            </w:pPr>
            <w:r w:rsidRPr="00C51ECB">
              <w:rPr>
                <w:sz w:val="20"/>
                <w:lang w:val="fr-CA"/>
              </w:rPr>
              <w:t>(Le juge Morand)</w:t>
            </w:r>
          </w:p>
          <w:p w:rsidR="00465096" w:rsidRPr="00C51ECB" w:rsidRDefault="00465096" w:rsidP="00465096">
            <w:pPr>
              <w:jc w:val="both"/>
              <w:rPr>
                <w:sz w:val="20"/>
              </w:rPr>
            </w:pPr>
            <w:hyperlink r:id="rId53" w:history="1">
              <w:r w:rsidRPr="00C51ECB">
                <w:rPr>
                  <w:rStyle w:val="Hyperlink"/>
                  <w:sz w:val="20"/>
                </w:rPr>
                <w:t>2018 QCCQ 553</w:t>
              </w:r>
            </w:hyperlink>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lang w:val="fr-CA"/>
              </w:rPr>
            </w:pPr>
            <w:r w:rsidRPr="00C51ECB">
              <w:rPr>
                <w:sz w:val="20"/>
                <w:lang w:val="fr-CA"/>
              </w:rPr>
              <w:t>Intimé condamné à une peine de 12 mois d’emprisonnement; peines minimales obligatoires de 3 ans d’emprisonnement prévues aux al. 99(2)a) et 103(2)a) déclarées inopérantes à son endroit</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Le 26 octobre 2018</w:t>
            </w:r>
          </w:p>
          <w:p w:rsidR="00465096" w:rsidRPr="00C51ECB" w:rsidRDefault="00465096" w:rsidP="00465096">
            <w:pPr>
              <w:jc w:val="both"/>
              <w:rPr>
                <w:sz w:val="20"/>
                <w:lang w:val="fr-CA"/>
              </w:rPr>
            </w:pPr>
            <w:r w:rsidRPr="00C51ECB">
              <w:rPr>
                <w:sz w:val="20"/>
                <w:lang w:val="fr-CA"/>
              </w:rPr>
              <w:t>Cour d’appel du Québec (Québec)</w:t>
            </w:r>
          </w:p>
          <w:p w:rsidR="00465096" w:rsidRPr="00C51ECB" w:rsidRDefault="00465096" w:rsidP="00465096">
            <w:pPr>
              <w:jc w:val="both"/>
              <w:rPr>
                <w:sz w:val="20"/>
                <w:lang w:val="fr-CA"/>
              </w:rPr>
            </w:pPr>
            <w:r w:rsidRPr="00C51ECB">
              <w:rPr>
                <w:sz w:val="20"/>
                <w:lang w:val="fr-CA"/>
              </w:rPr>
              <w:t xml:space="preserve">(Les juges Bélanger, Gagnon et Ruel </w:t>
            </w:r>
          </w:p>
          <w:p w:rsidR="00465096" w:rsidRPr="00C51ECB" w:rsidRDefault="00465096" w:rsidP="00465096">
            <w:pPr>
              <w:jc w:val="both"/>
              <w:rPr>
                <w:sz w:val="20"/>
              </w:rPr>
            </w:pPr>
            <w:r w:rsidRPr="00C51ECB">
              <w:rPr>
                <w:sz w:val="20"/>
              </w:rPr>
              <w:t>[dissident])</w:t>
            </w:r>
          </w:p>
          <w:p w:rsidR="00465096" w:rsidRPr="00C51ECB" w:rsidRDefault="00465096" w:rsidP="00465096">
            <w:pPr>
              <w:jc w:val="both"/>
              <w:rPr>
                <w:sz w:val="20"/>
              </w:rPr>
            </w:pPr>
            <w:hyperlink r:id="rId54" w:history="1">
              <w:r w:rsidRPr="00C51ECB">
                <w:rPr>
                  <w:rStyle w:val="Hyperlink"/>
                  <w:sz w:val="20"/>
                </w:rPr>
                <w:t>2018 QCCA 1793</w:t>
              </w:r>
            </w:hyperlink>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Appel rejeté</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lastRenderedPageBreak/>
              <w:t>Le 20 décembre 2018</w:t>
            </w:r>
          </w:p>
          <w:p w:rsidR="00465096" w:rsidRPr="00C51ECB" w:rsidRDefault="00465096" w:rsidP="00465096">
            <w:pPr>
              <w:jc w:val="both"/>
              <w:rPr>
                <w:sz w:val="20"/>
                <w:lang w:val="fr-CA"/>
              </w:rPr>
            </w:pPr>
            <w:r w:rsidRPr="00C51ECB">
              <w:rPr>
                <w:sz w:val="20"/>
                <w:lang w:val="fr-CA"/>
              </w:rPr>
              <w:t>Cour suprême du Canada</w:t>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 xml:space="preserve">Demande d’autorisation d’appel déposée par la Procureure générale du Québec </w:t>
            </w: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Le 27 décembre 2018</w:t>
            </w:r>
          </w:p>
          <w:p w:rsidR="00465096" w:rsidRPr="00C51ECB" w:rsidRDefault="00465096" w:rsidP="00465096">
            <w:pPr>
              <w:jc w:val="both"/>
              <w:rPr>
                <w:sz w:val="20"/>
                <w:lang w:val="fr-CA"/>
              </w:rPr>
            </w:pPr>
            <w:r w:rsidRPr="00C51ECB">
              <w:rPr>
                <w:sz w:val="20"/>
                <w:lang w:val="fr-CA"/>
              </w:rPr>
              <w:t>Cour suprême du Canada</w:t>
            </w: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 xml:space="preserve">Demande d’autorisation d’appel déposée par Sa Majesté la Reine </w:t>
            </w:r>
          </w:p>
        </w:tc>
      </w:tr>
    </w:tbl>
    <w:p w:rsidR="00465096" w:rsidRPr="00C51ECB" w:rsidRDefault="00465096" w:rsidP="00465096">
      <w:pPr>
        <w:jc w:val="both"/>
        <w:rPr>
          <w:sz w:val="20"/>
          <w:lang w:val="fr-CA"/>
        </w:rPr>
      </w:pPr>
    </w:p>
    <w:p w:rsidR="00D84BE0" w:rsidRPr="00C51ECB" w:rsidRDefault="0084772C" w:rsidP="00465096">
      <w:pPr>
        <w:ind w:left="142" w:hanging="142"/>
        <w:jc w:val="both"/>
        <w:rPr>
          <w:sz w:val="20"/>
          <w:lang w:val="fr-CA"/>
        </w:rPr>
      </w:pPr>
      <w:r w:rsidRPr="00C51ECB">
        <w:rPr>
          <w:sz w:val="20"/>
        </w:rPr>
        <w:pict>
          <v:rect id="_x0000_i1046" style="width:2in;height:1pt" o:hrpct="0" o:hralign="center" o:hrstd="t" o:hrnoshade="t" o:hr="t" fillcolor="black [3213]" stroked="f"/>
        </w:pict>
      </w:r>
    </w:p>
    <w:p w:rsidR="0084772C" w:rsidRPr="00C51ECB" w:rsidRDefault="0084772C"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rPr>
            </w:pPr>
            <w:r w:rsidRPr="00C51ECB">
              <w:rPr>
                <w:rStyle w:val="SCCFileNumberChar"/>
                <w:sz w:val="20"/>
                <w:szCs w:val="20"/>
              </w:rPr>
              <w:t>38542</w:t>
            </w:r>
          </w:p>
        </w:tc>
        <w:tc>
          <w:tcPr>
            <w:tcW w:w="4457" w:type="pct"/>
            <w:gridSpan w:val="3"/>
          </w:tcPr>
          <w:p w:rsidR="00465096" w:rsidRPr="00C51ECB" w:rsidRDefault="00465096" w:rsidP="00465096">
            <w:pPr>
              <w:pStyle w:val="SCCLsocParty"/>
              <w:jc w:val="both"/>
              <w:rPr>
                <w:b/>
                <w:sz w:val="20"/>
                <w:szCs w:val="20"/>
                <w:lang w:val="en-US"/>
              </w:rPr>
            </w:pPr>
            <w:r w:rsidRPr="00C51ECB">
              <w:rPr>
                <w:b/>
                <w:sz w:val="20"/>
                <w:szCs w:val="20"/>
                <w:lang w:val="en-US"/>
              </w:rPr>
              <w:t>Nathan Harvey Allman Wolfleg v. Her Majesty the Queen</w:t>
            </w:r>
          </w:p>
          <w:p w:rsidR="00465096" w:rsidRPr="00C51ECB" w:rsidRDefault="00465096" w:rsidP="00465096">
            <w:pPr>
              <w:jc w:val="both"/>
              <w:rPr>
                <w:sz w:val="20"/>
              </w:rPr>
            </w:pPr>
            <w:r w:rsidRPr="00C51ECB">
              <w:rPr>
                <w:sz w:val="20"/>
              </w:rPr>
              <w:t>(Alta.) (Criminal) (By Leave)</w:t>
            </w:r>
          </w:p>
        </w:tc>
      </w:tr>
      <w:tr w:rsidR="00465096" w:rsidRPr="00C51ECB" w:rsidTr="00E95A6A">
        <w:tc>
          <w:tcPr>
            <w:tcW w:w="5000" w:type="pct"/>
            <w:gridSpan w:val="4"/>
          </w:tcPr>
          <w:p w:rsidR="00465096" w:rsidRPr="00C51ECB" w:rsidRDefault="00465096" w:rsidP="00465096">
            <w:pPr>
              <w:pStyle w:val="SCCBanSummary"/>
              <w:rPr>
                <w:sz w:val="20"/>
                <w:szCs w:val="20"/>
              </w:rPr>
            </w:pPr>
            <w:r w:rsidRPr="00C51ECB">
              <w:rPr>
                <w:sz w:val="20"/>
                <w:szCs w:val="20"/>
              </w:rPr>
              <w:t>(Publication ban in case)</w:t>
            </w:r>
          </w:p>
          <w:p w:rsidR="00465096" w:rsidRPr="00C51ECB" w:rsidRDefault="00465096" w:rsidP="00465096">
            <w:pPr>
              <w:jc w:val="both"/>
              <w:rPr>
                <w:sz w:val="20"/>
              </w:rPr>
            </w:pPr>
          </w:p>
        </w:tc>
      </w:tr>
      <w:tr w:rsidR="00465096" w:rsidRPr="00C51ECB" w:rsidTr="00E95A6A">
        <w:tc>
          <w:tcPr>
            <w:tcW w:w="5000" w:type="pct"/>
            <w:gridSpan w:val="4"/>
          </w:tcPr>
          <w:p w:rsidR="00465096" w:rsidRPr="00C51ECB" w:rsidRDefault="00465096" w:rsidP="00465096">
            <w:pPr>
              <w:jc w:val="both"/>
              <w:rPr>
                <w:sz w:val="20"/>
              </w:rPr>
            </w:pPr>
            <w:r w:rsidRPr="00C51ECB">
              <w:rPr>
                <w:sz w:val="20"/>
              </w:rPr>
              <w:t xml:space="preserve">Criminal law — Sentencing — Considerations — Application by the Crown for a dangerous offender designation — Consideration and application of </w:t>
            </w:r>
            <w:r w:rsidRPr="00C51ECB">
              <w:rPr>
                <w:i/>
                <w:sz w:val="20"/>
              </w:rPr>
              <w:t>Gladue</w:t>
            </w:r>
            <w:r w:rsidRPr="00C51ECB">
              <w:rPr>
                <w:sz w:val="20"/>
              </w:rPr>
              <w:t xml:space="preserve"> principles — Whether the Court of Appeal erred in upholding the sentencing judge’s decision to designate the applicant a dangerous offender — </w:t>
            </w:r>
            <w:r w:rsidRPr="00C51ECB">
              <w:rPr>
                <w:bCs/>
                <w:sz w:val="20"/>
              </w:rPr>
              <w:t xml:space="preserve">How are s. 718.2(e) of the </w:t>
            </w:r>
            <w:r w:rsidRPr="00C51ECB">
              <w:rPr>
                <w:bCs/>
                <w:i/>
                <w:iCs/>
                <w:sz w:val="20"/>
              </w:rPr>
              <w:t xml:space="preserve">Criminal Code, </w:t>
            </w:r>
            <w:r w:rsidRPr="00C51ECB">
              <w:rPr>
                <w:bCs/>
                <w:sz w:val="20"/>
              </w:rPr>
              <w:t xml:space="preserve">along with </w:t>
            </w:r>
            <w:r w:rsidRPr="00C51ECB">
              <w:rPr>
                <w:bCs/>
                <w:i/>
                <w:iCs/>
                <w:sz w:val="20"/>
              </w:rPr>
              <w:t xml:space="preserve">Gladue </w:t>
            </w:r>
            <w:r w:rsidRPr="00C51ECB">
              <w:rPr>
                <w:bCs/>
                <w:sz w:val="20"/>
              </w:rPr>
              <w:t xml:space="preserve">principles to be substantively applied by appellate courts in dangerous offender proceedings? </w:t>
            </w:r>
            <w:r w:rsidRPr="00C51ECB">
              <w:rPr>
                <w:sz w:val="20"/>
              </w:rPr>
              <w:t xml:space="preserve">— </w:t>
            </w:r>
            <w:r w:rsidRPr="00C51ECB">
              <w:rPr>
                <w:bCs/>
                <w:sz w:val="20"/>
              </w:rPr>
              <w:t xml:space="preserve">What is the effect of this Court’s declaration in </w:t>
            </w:r>
            <w:r w:rsidRPr="00C51ECB">
              <w:rPr>
                <w:bCs/>
                <w:i/>
                <w:iCs/>
                <w:sz w:val="20"/>
              </w:rPr>
              <w:t xml:space="preserve">Ewert v. Canada </w:t>
            </w:r>
            <w:r w:rsidRPr="00C51ECB">
              <w:rPr>
                <w:bCs/>
                <w:sz w:val="20"/>
              </w:rPr>
              <w:t>on dangerous offender</w:t>
            </w:r>
            <w:r w:rsidRPr="00C51ECB">
              <w:rPr>
                <w:sz w:val="20"/>
              </w:rPr>
              <w:t xml:space="preserve"> </w:t>
            </w:r>
            <w:r w:rsidRPr="00C51ECB">
              <w:rPr>
                <w:bCs/>
                <w:sz w:val="20"/>
              </w:rPr>
              <w:t>proceedings involving Aboriginal offenders?</w:t>
            </w:r>
          </w:p>
          <w:p w:rsidR="00465096" w:rsidRPr="00C51ECB" w:rsidRDefault="00465096" w:rsidP="00465096">
            <w:pPr>
              <w:jc w:val="both"/>
              <w:rPr>
                <w:sz w:val="20"/>
              </w:rPr>
            </w:pPr>
          </w:p>
        </w:tc>
      </w:tr>
      <w:tr w:rsidR="00465096" w:rsidRPr="00C51ECB" w:rsidTr="00E95A6A">
        <w:tc>
          <w:tcPr>
            <w:tcW w:w="5000" w:type="pct"/>
            <w:gridSpan w:val="4"/>
          </w:tcPr>
          <w:p w:rsidR="00465096" w:rsidRPr="00C51ECB" w:rsidRDefault="00465096" w:rsidP="00465096">
            <w:pPr>
              <w:jc w:val="both"/>
              <w:rPr>
                <w:sz w:val="20"/>
              </w:rPr>
            </w:pPr>
            <w:r w:rsidRPr="00C51ECB">
              <w:rPr>
                <w:sz w:val="20"/>
                <w:lang w:val="en"/>
              </w:rPr>
              <w:t xml:space="preserve">Mr. Wolfleg was convicted of two counts of assault causing bodily harm, one count of uttering a threat, and one count of sexual assault. Mr. Wolfleg has a criminal record involving numerous prior violent incidents involving his intimate partners. The sentencing judge found that Mr. Wolfleg is a prototypical psychopath with no realistic prospect of undergoing meaningful change through treatment. </w:t>
            </w:r>
            <w:r w:rsidRPr="00C51ECB">
              <w:rPr>
                <w:sz w:val="20"/>
              </w:rPr>
              <w:t xml:space="preserve">Mr. Wolfleg was declared a dangerous offender and was sentenced to an indeterminate term of imprisonment. The Court of Appeal </w:t>
            </w:r>
            <w:r w:rsidRPr="00C51ECB">
              <w:rPr>
                <w:sz w:val="20"/>
                <w:lang w:val="en"/>
              </w:rPr>
              <w:t>granted Mr. </w:t>
            </w:r>
            <w:proofErr w:type="spellStart"/>
            <w:r w:rsidRPr="00C51ECB">
              <w:rPr>
                <w:sz w:val="20"/>
                <w:lang w:val="en"/>
              </w:rPr>
              <w:t>Wolfleg’s</w:t>
            </w:r>
            <w:proofErr w:type="spellEnd"/>
            <w:r w:rsidRPr="00C51ECB">
              <w:rPr>
                <w:sz w:val="20"/>
                <w:lang w:val="en"/>
              </w:rPr>
              <w:t xml:space="preserve"> application to admit the </w:t>
            </w:r>
            <w:r w:rsidRPr="00C51ECB">
              <w:rPr>
                <w:i/>
                <w:iCs/>
                <w:sz w:val="20"/>
                <w:lang w:val="en"/>
              </w:rPr>
              <w:t>Gladue</w:t>
            </w:r>
            <w:r w:rsidRPr="00C51ECB">
              <w:rPr>
                <w:sz w:val="20"/>
                <w:lang w:val="en"/>
              </w:rPr>
              <w:t xml:space="preserve"> report, granted leave to appeal, and dismissed the sentence appeal.</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June 24, 2009</w:t>
            </w:r>
          </w:p>
          <w:p w:rsidR="00465096" w:rsidRPr="00C51ECB" w:rsidRDefault="00465096" w:rsidP="00465096">
            <w:pPr>
              <w:jc w:val="both"/>
              <w:rPr>
                <w:sz w:val="20"/>
              </w:rPr>
            </w:pPr>
            <w:r w:rsidRPr="00C51ECB">
              <w:rPr>
                <w:sz w:val="20"/>
              </w:rPr>
              <w:t>Queen’s Bench of Alberta</w:t>
            </w:r>
          </w:p>
          <w:p w:rsidR="00465096" w:rsidRPr="00C51ECB" w:rsidRDefault="00465096" w:rsidP="00465096">
            <w:pPr>
              <w:jc w:val="both"/>
              <w:rPr>
                <w:sz w:val="20"/>
              </w:rPr>
            </w:pPr>
            <w:r w:rsidRPr="00C51ECB">
              <w:rPr>
                <w:sz w:val="20"/>
              </w:rPr>
              <w:t>(Romaine J.)</w:t>
            </w:r>
          </w:p>
          <w:p w:rsidR="00465096" w:rsidRPr="00C51ECB" w:rsidRDefault="00465096" w:rsidP="00465096">
            <w:pPr>
              <w:jc w:val="both"/>
              <w:rPr>
                <w:sz w:val="20"/>
              </w:rPr>
            </w:pPr>
            <w:hyperlink r:id="rId55" w:history="1">
              <w:r w:rsidRPr="00C51ECB">
                <w:rPr>
                  <w:rStyle w:val="Hyperlink"/>
                  <w:sz w:val="20"/>
                </w:rPr>
                <w:t>2009 ABQB 358</w:t>
              </w:r>
            </w:hyperlink>
            <w:r w:rsidRPr="00C51ECB">
              <w:rPr>
                <w:sz w:val="20"/>
              </w:rPr>
              <w:tab/>
            </w:r>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Sentence imposed: applicant declared a dangerous offender and sentenced to an indeterminate term of imprisonment</w:t>
            </w:r>
          </w:p>
        </w:tc>
      </w:tr>
      <w:tr w:rsidR="00465096" w:rsidRPr="00C51ECB" w:rsidTr="00E95A6A">
        <w:tc>
          <w:tcPr>
            <w:tcW w:w="2427" w:type="pct"/>
            <w:gridSpan w:val="2"/>
          </w:tcPr>
          <w:p w:rsidR="00465096" w:rsidRPr="00C51ECB" w:rsidRDefault="00465096" w:rsidP="00465096">
            <w:pPr>
              <w:jc w:val="both"/>
              <w:rPr>
                <w:sz w:val="20"/>
              </w:rPr>
            </w:pPr>
            <w:r w:rsidRPr="00C51ECB">
              <w:rPr>
                <w:sz w:val="20"/>
              </w:rPr>
              <w:t>June 13, 2018</w:t>
            </w:r>
          </w:p>
          <w:p w:rsidR="00465096" w:rsidRPr="00C51ECB" w:rsidRDefault="00465096" w:rsidP="00465096">
            <w:pPr>
              <w:jc w:val="both"/>
              <w:rPr>
                <w:sz w:val="20"/>
              </w:rPr>
            </w:pPr>
            <w:r w:rsidRPr="00C51ECB">
              <w:rPr>
                <w:sz w:val="20"/>
              </w:rPr>
              <w:t>Court of Appeal of Alberta (Calgary)</w:t>
            </w:r>
          </w:p>
          <w:p w:rsidR="00465096" w:rsidRPr="00C51ECB" w:rsidRDefault="00465096" w:rsidP="00465096">
            <w:pPr>
              <w:jc w:val="both"/>
              <w:rPr>
                <w:sz w:val="20"/>
              </w:rPr>
            </w:pPr>
            <w:r w:rsidRPr="00C51ECB">
              <w:rPr>
                <w:sz w:val="20"/>
              </w:rPr>
              <w:t>(Paperny, Martin, Schutz JJ.A.)</w:t>
            </w:r>
          </w:p>
          <w:p w:rsidR="00465096" w:rsidRPr="00C51ECB" w:rsidRDefault="00465096" w:rsidP="00465096">
            <w:pPr>
              <w:jc w:val="both"/>
              <w:rPr>
                <w:sz w:val="20"/>
              </w:rPr>
            </w:pPr>
            <w:hyperlink r:id="rId56" w:history="1">
              <w:r w:rsidRPr="00C51ECB">
                <w:rPr>
                  <w:rStyle w:val="Hyperlink"/>
                  <w:sz w:val="20"/>
                </w:rPr>
                <w:t>2018 ABCA 222</w:t>
              </w:r>
            </w:hyperlink>
            <w:r w:rsidRPr="00C51ECB">
              <w:rPr>
                <w:sz w:val="20"/>
              </w:rPr>
              <w:t>;0901</w:t>
            </w:r>
            <w:r w:rsidRPr="00C51ECB">
              <w:rPr>
                <w:sz w:val="20"/>
              </w:rPr>
              <w:noBreakHyphen/>
              <w:t>0177</w:t>
            </w:r>
            <w:r w:rsidRPr="00C51ECB">
              <w:rPr>
                <w:sz w:val="20"/>
              </w:rPr>
              <w:noBreakHyphen/>
              <w:t>A</w:t>
            </w:r>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p>
          <w:p w:rsidR="00465096" w:rsidRPr="00C51ECB" w:rsidRDefault="00465096" w:rsidP="00465096">
            <w:pPr>
              <w:jc w:val="both"/>
              <w:rPr>
                <w:sz w:val="20"/>
              </w:rPr>
            </w:pPr>
            <w:r w:rsidRPr="00C51ECB">
              <w:rPr>
                <w:sz w:val="20"/>
              </w:rPr>
              <w:t>Appeal dismissed</w:t>
            </w:r>
          </w:p>
        </w:tc>
      </w:tr>
      <w:tr w:rsidR="00465096" w:rsidRPr="00C51ECB" w:rsidTr="00E95A6A">
        <w:tc>
          <w:tcPr>
            <w:tcW w:w="2427" w:type="pct"/>
            <w:gridSpan w:val="2"/>
          </w:tcPr>
          <w:p w:rsidR="00465096" w:rsidRPr="00C51ECB" w:rsidRDefault="00465096" w:rsidP="00465096">
            <w:pPr>
              <w:jc w:val="both"/>
              <w:rPr>
                <w:sz w:val="20"/>
              </w:rPr>
            </w:pPr>
            <w:r w:rsidRPr="00C51ECB">
              <w:rPr>
                <w:sz w:val="20"/>
              </w:rPr>
              <w:t>March 8, 2019</w:t>
            </w:r>
          </w:p>
          <w:p w:rsidR="00465096" w:rsidRPr="00C51ECB" w:rsidRDefault="00465096" w:rsidP="00212AE1">
            <w:pPr>
              <w:jc w:val="both"/>
              <w:rPr>
                <w:sz w:val="20"/>
              </w:rPr>
            </w:pPr>
            <w:r w:rsidRPr="00C51ECB">
              <w:rPr>
                <w:sz w:val="20"/>
              </w:rPr>
              <w:t>Supreme Court of Canada</w:t>
            </w: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Motion for an extension of time to serve and file the application for leave to appeal and application for leave to appeal filed</w:t>
            </w:r>
          </w:p>
        </w:tc>
      </w:tr>
    </w:tbl>
    <w:p w:rsidR="00465096" w:rsidRPr="00C51ECB" w:rsidRDefault="00465096" w:rsidP="00465096">
      <w:pPr>
        <w:jc w:val="both"/>
        <w:rPr>
          <w:sz w:val="20"/>
        </w:rPr>
      </w:pPr>
    </w:p>
    <w:p w:rsidR="0084772C" w:rsidRPr="00C51ECB" w:rsidRDefault="0084772C" w:rsidP="00465096">
      <w:pPr>
        <w:jc w:val="both"/>
        <w:rPr>
          <w:sz w:val="20"/>
        </w:rPr>
      </w:pPr>
      <w:r w:rsidRPr="00C51ECB">
        <w:rPr>
          <w:sz w:val="20"/>
        </w:rPr>
        <w:pict>
          <v:rect id="_x0000_i1047"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lang w:val="fr-CA"/>
              </w:rPr>
            </w:pPr>
            <w:r w:rsidRPr="00C51ECB">
              <w:rPr>
                <w:rStyle w:val="SCCFileNumberChar"/>
                <w:sz w:val="20"/>
                <w:szCs w:val="20"/>
                <w:lang w:val="fr-CA"/>
              </w:rPr>
              <w:t>38542</w:t>
            </w:r>
          </w:p>
        </w:tc>
        <w:tc>
          <w:tcPr>
            <w:tcW w:w="4457" w:type="pct"/>
            <w:gridSpan w:val="3"/>
          </w:tcPr>
          <w:p w:rsidR="00465096" w:rsidRPr="00C51ECB" w:rsidRDefault="00465096" w:rsidP="00465096">
            <w:pPr>
              <w:pStyle w:val="SCCLsocParty"/>
              <w:jc w:val="both"/>
              <w:rPr>
                <w:b/>
                <w:sz w:val="20"/>
                <w:szCs w:val="20"/>
              </w:rPr>
            </w:pPr>
            <w:r w:rsidRPr="00C51ECB">
              <w:rPr>
                <w:b/>
                <w:sz w:val="20"/>
                <w:szCs w:val="20"/>
              </w:rPr>
              <w:t>Nathan Harvey Allman Wolfleg c. Sa Majesté la Reine</w:t>
            </w:r>
          </w:p>
          <w:p w:rsidR="00465096" w:rsidRPr="00C51ECB" w:rsidRDefault="00465096" w:rsidP="00465096">
            <w:pPr>
              <w:jc w:val="both"/>
              <w:rPr>
                <w:sz w:val="20"/>
                <w:lang w:val="fr-CA"/>
              </w:rPr>
            </w:pPr>
            <w:r w:rsidRPr="00C51ECB">
              <w:rPr>
                <w:sz w:val="20"/>
                <w:lang w:val="fr-CA"/>
              </w:rPr>
              <w:t>(Alb.) (Criminelle) (Autorisation)</w:t>
            </w:r>
          </w:p>
        </w:tc>
      </w:tr>
      <w:tr w:rsidR="00465096" w:rsidRPr="00C51ECB" w:rsidTr="00E95A6A">
        <w:tc>
          <w:tcPr>
            <w:tcW w:w="5000" w:type="pct"/>
            <w:gridSpan w:val="4"/>
          </w:tcPr>
          <w:p w:rsidR="00465096" w:rsidRPr="00C51ECB" w:rsidRDefault="00465096" w:rsidP="00465096">
            <w:pPr>
              <w:pStyle w:val="SCCBanSummary"/>
              <w:rPr>
                <w:sz w:val="20"/>
                <w:szCs w:val="20"/>
                <w:lang w:val="fr-CA"/>
              </w:rPr>
            </w:pPr>
            <w:r w:rsidRPr="00C51ECB">
              <w:rPr>
                <w:sz w:val="20"/>
                <w:szCs w:val="20"/>
                <w:lang w:val="fr-CA"/>
              </w:rPr>
              <w:t>(Ordonnance de non</w:t>
            </w:r>
            <w:r w:rsidRPr="00C51ECB">
              <w:rPr>
                <w:sz w:val="20"/>
                <w:szCs w:val="20"/>
                <w:lang w:val="fr-CA"/>
              </w:rPr>
              <w:noBreakHyphen/>
              <w:t>publication dans le dossier)</w:t>
            </w:r>
          </w:p>
          <w:p w:rsidR="00465096" w:rsidRPr="00C51ECB" w:rsidRDefault="00465096" w:rsidP="00465096">
            <w:pPr>
              <w:jc w:val="both"/>
              <w:rPr>
                <w:sz w:val="20"/>
                <w:lang w:val="fr-CA"/>
              </w:rPr>
            </w:pPr>
          </w:p>
        </w:tc>
      </w:tr>
      <w:tr w:rsidR="00465096" w:rsidRPr="00C51ECB" w:rsidTr="00E95A6A">
        <w:tc>
          <w:tcPr>
            <w:tcW w:w="5000" w:type="pct"/>
            <w:gridSpan w:val="4"/>
          </w:tcPr>
          <w:p w:rsidR="00465096" w:rsidRPr="00C51ECB" w:rsidRDefault="00465096" w:rsidP="00465096">
            <w:pPr>
              <w:jc w:val="both"/>
              <w:rPr>
                <w:sz w:val="20"/>
                <w:lang w:val="fr-CA"/>
              </w:rPr>
            </w:pPr>
            <w:r w:rsidRPr="00C51ECB">
              <w:rPr>
                <w:sz w:val="20"/>
                <w:lang w:val="fr-CA"/>
              </w:rPr>
              <w:t xml:space="preserve">Droit criminel — Détermination de la peine — Facteurs devant être pris en considération — Demande de déclaration de délinquant dangereux présentée par le ministère public — Examen et application des principes de l’arrêt </w:t>
            </w:r>
            <w:r w:rsidRPr="00C51ECB">
              <w:rPr>
                <w:i/>
                <w:sz w:val="20"/>
                <w:lang w:val="fr-CA"/>
              </w:rPr>
              <w:t>Gladue</w:t>
            </w:r>
            <w:r w:rsidRPr="00C51ECB">
              <w:rPr>
                <w:sz w:val="20"/>
                <w:lang w:val="fr-CA"/>
              </w:rPr>
              <w:t xml:space="preserve"> — La Cour d’appel a</w:t>
            </w:r>
            <w:r w:rsidRPr="00C51ECB">
              <w:rPr>
                <w:sz w:val="20"/>
                <w:lang w:val="fr-CA"/>
              </w:rPr>
              <w:noBreakHyphen/>
              <w:t>t</w:t>
            </w:r>
            <w:r w:rsidRPr="00C51ECB">
              <w:rPr>
                <w:sz w:val="20"/>
                <w:lang w:val="fr-CA"/>
              </w:rPr>
              <w:noBreakHyphen/>
              <w:t xml:space="preserve">elle eu tort de confirmer la décision du juge de la peine de déclarer le demandeur délinquant dangereux? — </w:t>
            </w:r>
            <w:r w:rsidRPr="00C51ECB">
              <w:rPr>
                <w:bCs/>
                <w:sz w:val="20"/>
                <w:lang w:val="fr-CA"/>
              </w:rPr>
              <w:t>Comment les cours d’appel doivent</w:t>
            </w:r>
            <w:r w:rsidRPr="00C51ECB">
              <w:rPr>
                <w:bCs/>
                <w:sz w:val="20"/>
                <w:lang w:val="fr-CA"/>
              </w:rPr>
              <w:noBreakHyphen/>
              <w:t xml:space="preserve">elles essentiellement </w:t>
            </w:r>
            <w:proofErr w:type="gramStart"/>
            <w:r w:rsidRPr="00C51ECB">
              <w:rPr>
                <w:bCs/>
                <w:sz w:val="20"/>
                <w:lang w:val="fr-CA"/>
              </w:rPr>
              <w:t>appliquer</w:t>
            </w:r>
            <w:proofErr w:type="gramEnd"/>
            <w:r w:rsidRPr="00C51ECB">
              <w:rPr>
                <w:bCs/>
                <w:sz w:val="20"/>
                <w:lang w:val="fr-CA"/>
              </w:rPr>
              <w:t xml:space="preserve"> l’al. 718.2e) du </w:t>
            </w:r>
            <w:r w:rsidRPr="00C51ECB">
              <w:rPr>
                <w:bCs/>
                <w:i/>
                <w:iCs/>
                <w:sz w:val="20"/>
                <w:lang w:val="fr-CA"/>
              </w:rPr>
              <w:t xml:space="preserve">Code criminel </w:t>
            </w:r>
            <w:r w:rsidRPr="00C51ECB">
              <w:rPr>
                <w:bCs/>
                <w:sz w:val="20"/>
                <w:lang w:val="fr-CA"/>
              </w:rPr>
              <w:t xml:space="preserve">et les principes de l’arrêt </w:t>
            </w:r>
            <w:r w:rsidRPr="00C51ECB">
              <w:rPr>
                <w:bCs/>
                <w:i/>
                <w:iCs/>
                <w:sz w:val="20"/>
                <w:lang w:val="fr-CA"/>
              </w:rPr>
              <w:t xml:space="preserve">Gladue </w:t>
            </w:r>
            <w:r w:rsidRPr="00C51ECB">
              <w:rPr>
                <w:bCs/>
                <w:sz w:val="20"/>
                <w:lang w:val="fr-CA"/>
              </w:rPr>
              <w:t xml:space="preserve">dans des procédures relatives au statut de délinquant dangereux? </w:t>
            </w:r>
            <w:r w:rsidRPr="00C51ECB">
              <w:rPr>
                <w:sz w:val="20"/>
                <w:lang w:val="fr-CA"/>
              </w:rPr>
              <w:t xml:space="preserve">— </w:t>
            </w:r>
            <w:r w:rsidRPr="00C51ECB">
              <w:rPr>
                <w:bCs/>
                <w:sz w:val="20"/>
                <w:lang w:val="fr-CA"/>
              </w:rPr>
              <w:t xml:space="preserve">Quel est l’effet </w:t>
            </w:r>
            <w:r w:rsidRPr="00C51ECB">
              <w:rPr>
                <w:bCs/>
                <w:sz w:val="20"/>
                <w:lang w:val="fr-CA"/>
              </w:rPr>
              <w:lastRenderedPageBreak/>
              <w:t xml:space="preserve">de la déclaration de la Cour dans l’arrêt </w:t>
            </w:r>
            <w:r w:rsidRPr="00C51ECB">
              <w:rPr>
                <w:bCs/>
                <w:i/>
                <w:iCs/>
                <w:sz w:val="20"/>
                <w:lang w:val="fr-CA"/>
              </w:rPr>
              <w:t xml:space="preserve">Ewert c. Canada </w:t>
            </w:r>
            <w:r w:rsidRPr="00C51ECB">
              <w:rPr>
                <w:bCs/>
                <w:sz w:val="20"/>
                <w:lang w:val="fr-CA"/>
              </w:rPr>
              <w:t>sur les procédures relatives au statut de délinquant dangereux intéressant des délinquants autochtones?</w:t>
            </w:r>
          </w:p>
          <w:p w:rsidR="00465096" w:rsidRPr="00C51ECB" w:rsidRDefault="00465096" w:rsidP="00465096">
            <w:pPr>
              <w:jc w:val="both"/>
              <w:rPr>
                <w:sz w:val="20"/>
                <w:lang w:val="fr-CA"/>
              </w:rPr>
            </w:pPr>
          </w:p>
        </w:tc>
      </w:tr>
      <w:tr w:rsidR="00465096" w:rsidRPr="00C51ECB" w:rsidTr="00E95A6A">
        <w:tc>
          <w:tcPr>
            <w:tcW w:w="5000" w:type="pct"/>
            <w:gridSpan w:val="4"/>
          </w:tcPr>
          <w:p w:rsidR="00465096" w:rsidRPr="00C51ECB" w:rsidRDefault="00465096" w:rsidP="00465096">
            <w:pPr>
              <w:jc w:val="both"/>
              <w:rPr>
                <w:sz w:val="20"/>
                <w:lang w:val="fr-CA"/>
              </w:rPr>
            </w:pPr>
            <w:r w:rsidRPr="00C51ECB">
              <w:rPr>
                <w:sz w:val="20"/>
                <w:lang w:val="fr-CA"/>
              </w:rPr>
              <w:lastRenderedPageBreak/>
              <w:t xml:space="preserve">Monsieur Wolfleg a été déclaré coupable de deux chefs d’accusation de voies de fait causant des lésions corporelles, d’un chef d’accusation de menaces et d’un chef d’accusation d’agression sexuelle. Monsieur Wolfleg a un casier judiciaire pour plusieurs incidents violents antérieurs intéressant ses partenaires intimes. Le juge de la peine a conclu que M. Wolfleg est un psychopathe prototypique n’ayant aucune possibilité réelle de connaître un changement important par un traitement. Monsieur Wolfleg a été déclaré délinquant dangereux et a été condamné à une peine d’emprisonnement d’une durée indéterminée. La Cour d’appel a accueilli la requête de M. Wolfleg en vue d’admettre le rapport semblable à celui décrit dans l’arrêt </w:t>
            </w:r>
            <w:r w:rsidRPr="00C51ECB">
              <w:rPr>
                <w:i/>
                <w:iCs/>
                <w:sz w:val="20"/>
                <w:lang w:val="fr-CA"/>
              </w:rPr>
              <w:t>Gladue</w:t>
            </w:r>
            <w:r w:rsidRPr="00C51ECB">
              <w:rPr>
                <w:sz w:val="20"/>
                <w:lang w:val="fr-CA"/>
              </w:rPr>
              <w:t>, a accordé l’autorisation d’en appeler et a rejeté l’appel de la peine.</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24 juin 2009</w:t>
            </w:r>
          </w:p>
          <w:p w:rsidR="00465096" w:rsidRPr="00C51ECB" w:rsidRDefault="00465096" w:rsidP="00465096">
            <w:pPr>
              <w:jc w:val="both"/>
              <w:rPr>
                <w:sz w:val="20"/>
                <w:lang w:val="fr-CA"/>
              </w:rPr>
            </w:pPr>
            <w:r w:rsidRPr="00C51ECB">
              <w:rPr>
                <w:sz w:val="20"/>
                <w:lang w:val="fr-CA"/>
              </w:rPr>
              <w:t>Cour du Banc de la Reine de l’Alberta</w:t>
            </w:r>
          </w:p>
          <w:p w:rsidR="00465096" w:rsidRPr="00C51ECB" w:rsidRDefault="00465096" w:rsidP="00465096">
            <w:pPr>
              <w:jc w:val="both"/>
              <w:rPr>
                <w:sz w:val="20"/>
                <w:lang w:val="fr-CA"/>
              </w:rPr>
            </w:pPr>
            <w:r w:rsidRPr="00C51ECB">
              <w:rPr>
                <w:sz w:val="20"/>
                <w:lang w:val="fr-CA"/>
              </w:rPr>
              <w:t>(Juge Romaine)</w:t>
            </w:r>
          </w:p>
          <w:p w:rsidR="00465096" w:rsidRPr="00C51ECB" w:rsidRDefault="00465096" w:rsidP="00465096">
            <w:pPr>
              <w:jc w:val="both"/>
              <w:rPr>
                <w:sz w:val="20"/>
                <w:lang w:val="fr-CA"/>
              </w:rPr>
            </w:pPr>
            <w:hyperlink r:id="rId57" w:history="1">
              <w:r w:rsidRPr="00C51ECB">
                <w:rPr>
                  <w:rStyle w:val="Hyperlink"/>
                  <w:sz w:val="20"/>
                  <w:lang w:val="fr-CA"/>
                </w:rPr>
                <w:t>2009 ABQB 358</w:t>
              </w:r>
            </w:hyperlink>
            <w:r w:rsidRPr="00C51ECB">
              <w:rPr>
                <w:sz w:val="20"/>
                <w:lang w:val="fr-CA"/>
              </w:rPr>
              <w:tab/>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Peine : le demandeur est déclaré délinquant dangereux et condamné à une peine d’emprisonnement d’une durée indéterminée</w:t>
            </w: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13 juin 2018</w:t>
            </w:r>
          </w:p>
          <w:p w:rsidR="00465096" w:rsidRPr="00C51ECB" w:rsidRDefault="00465096" w:rsidP="00465096">
            <w:pPr>
              <w:jc w:val="both"/>
              <w:rPr>
                <w:sz w:val="20"/>
                <w:lang w:val="fr-CA"/>
              </w:rPr>
            </w:pPr>
            <w:r w:rsidRPr="00C51ECB">
              <w:rPr>
                <w:sz w:val="20"/>
                <w:lang w:val="fr-CA"/>
              </w:rPr>
              <w:t>Cour d’appel de l’Alberta (Calgary)</w:t>
            </w:r>
          </w:p>
          <w:p w:rsidR="00465096" w:rsidRPr="00C51ECB" w:rsidRDefault="00465096" w:rsidP="00465096">
            <w:pPr>
              <w:jc w:val="both"/>
              <w:rPr>
                <w:sz w:val="20"/>
                <w:lang w:val="fr-CA"/>
              </w:rPr>
            </w:pPr>
            <w:r w:rsidRPr="00C51ECB">
              <w:rPr>
                <w:sz w:val="20"/>
                <w:lang w:val="fr-CA"/>
              </w:rPr>
              <w:t>(Juges Paperny, Martin et Schutz)</w:t>
            </w:r>
          </w:p>
          <w:p w:rsidR="00465096" w:rsidRPr="00C51ECB" w:rsidRDefault="00465096" w:rsidP="00465096">
            <w:pPr>
              <w:jc w:val="both"/>
              <w:rPr>
                <w:sz w:val="20"/>
                <w:lang w:val="fr-CA"/>
              </w:rPr>
            </w:pPr>
            <w:hyperlink r:id="rId58" w:history="1">
              <w:r w:rsidRPr="00C51ECB">
                <w:rPr>
                  <w:rStyle w:val="Hyperlink"/>
                  <w:sz w:val="20"/>
                  <w:lang w:val="fr-CA"/>
                </w:rPr>
                <w:t>2018 ABCA 222</w:t>
              </w:r>
            </w:hyperlink>
            <w:r w:rsidRPr="00C51ECB">
              <w:rPr>
                <w:sz w:val="20"/>
                <w:lang w:val="fr-CA"/>
              </w:rPr>
              <w:t>;0901</w:t>
            </w:r>
            <w:r w:rsidRPr="00C51ECB">
              <w:rPr>
                <w:sz w:val="20"/>
                <w:lang w:val="fr-CA"/>
              </w:rPr>
              <w:noBreakHyphen/>
              <w:t>0177</w:t>
            </w:r>
            <w:r w:rsidRPr="00C51ECB">
              <w:rPr>
                <w:sz w:val="20"/>
                <w:lang w:val="fr-CA"/>
              </w:rPr>
              <w:noBreakHyphen/>
              <w:t>A</w:t>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p>
          <w:p w:rsidR="00465096" w:rsidRPr="00C51ECB" w:rsidRDefault="00465096" w:rsidP="00465096">
            <w:pPr>
              <w:jc w:val="both"/>
              <w:rPr>
                <w:sz w:val="20"/>
                <w:lang w:val="fr-CA"/>
              </w:rPr>
            </w:pPr>
            <w:r w:rsidRPr="00C51ECB">
              <w:rPr>
                <w:sz w:val="20"/>
                <w:lang w:val="fr-CA"/>
              </w:rPr>
              <w:t>Rejet de l’appel</w:t>
            </w: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8 mars 2019</w:t>
            </w:r>
          </w:p>
          <w:p w:rsidR="00465096" w:rsidRPr="00C51ECB" w:rsidRDefault="00465096" w:rsidP="00465096">
            <w:pPr>
              <w:jc w:val="both"/>
              <w:rPr>
                <w:sz w:val="20"/>
                <w:lang w:val="fr-CA"/>
              </w:rPr>
            </w:pPr>
            <w:r w:rsidRPr="00C51ECB">
              <w:rPr>
                <w:sz w:val="20"/>
                <w:lang w:val="fr-CA"/>
              </w:rPr>
              <w:t>Cour suprême du Canada</w:t>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Dépôt de la requête en prorogation du délai de signification et de dépôt de la demande d’autorisation d’appel et de la demande d’autorisation d’appel</w:t>
            </w:r>
          </w:p>
        </w:tc>
      </w:tr>
    </w:tbl>
    <w:p w:rsidR="00465096" w:rsidRPr="00C51ECB" w:rsidRDefault="00465096" w:rsidP="00465096">
      <w:pPr>
        <w:jc w:val="both"/>
        <w:rPr>
          <w:sz w:val="20"/>
          <w:lang w:val="fr-CA"/>
        </w:rPr>
      </w:pPr>
    </w:p>
    <w:p w:rsidR="00D84BE0" w:rsidRPr="00C51ECB" w:rsidRDefault="0084772C" w:rsidP="00465096">
      <w:pPr>
        <w:ind w:left="142" w:hanging="142"/>
        <w:jc w:val="both"/>
        <w:rPr>
          <w:sz w:val="20"/>
          <w:lang w:val="fr-CA"/>
        </w:rPr>
      </w:pPr>
      <w:r w:rsidRPr="00C51ECB">
        <w:rPr>
          <w:sz w:val="20"/>
        </w:rPr>
        <w:pict>
          <v:rect id="_x0000_i1048" style="width:2in;height:1pt" o:hrpct="0" o:hralign="center" o:hrstd="t" o:hrnoshade="t" o:hr="t" fillcolor="black [3213]" stroked="f"/>
        </w:pict>
      </w:r>
    </w:p>
    <w:p w:rsidR="0084772C" w:rsidRPr="00C51ECB" w:rsidRDefault="0084772C"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rPr>
            </w:pPr>
            <w:r w:rsidRPr="00C51ECB">
              <w:rPr>
                <w:rStyle w:val="SCCFileNumberChar"/>
                <w:sz w:val="20"/>
                <w:szCs w:val="20"/>
              </w:rPr>
              <w:t>38565</w:t>
            </w:r>
          </w:p>
        </w:tc>
        <w:tc>
          <w:tcPr>
            <w:tcW w:w="4457" w:type="pct"/>
            <w:gridSpan w:val="3"/>
          </w:tcPr>
          <w:p w:rsidR="00465096" w:rsidRPr="00C51ECB" w:rsidRDefault="00465096" w:rsidP="00465096">
            <w:pPr>
              <w:pStyle w:val="SCCLsocParty"/>
              <w:jc w:val="both"/>
              <w:rPr>
                <w:b/>
                <w:sz w:val="20"/>
                <w:szCs w:val="20"/>
                <w:lang w:val="en-US"/>
              </w:rPr>
            </w:pPr>
            <w:r w:rsidRPr="00C51ECB">
              <w:rPr>
                <w:b/>
                <w:sz w:val="20"/>
                <w:szCs w:val="20"/>
                <w:lang w:val="en-US"/>
              </w:rPr>
              <w:t>Chando Kayne Jackson v. Her Majesty the Queen</w:t>
            </w:r>
          </w:p>
          <w:p w:rsidR="00465096" w:rsidRPr="00C51ECB" w:rsidRDefault="00465096" w:rsidP="00465096">
            <w:pPr>
              <w:jc w:val="both"/>
              <w:rPr>
                <w:sz w:val="20"/>
              </w:rPr>
            </w:pPr>
            <w:r w:rsidRPr="00C51ECB">
              <w:rPr>
                <w:sz w:val="20"/>
              </w:rPr>
              <w:t>(Alta.) (Criminal) (By Leave)</w:t>
            </w:r>
          </w:p>
        </w:tc>
      </w:tr>
      <w:tr w:rsidR="00465096" w:rsidRPr="00C51ECB" w:rsidTr="00212AE1">
        <w:trPr>
          <w:trHeight w:val="1439"/>
        </w:trPr>
        <w:tc>
          <w:tcPr>
            <w:tcW w:w="5000" w:type="pct"/>
            <w:gridSpan w:val="4"/>
          </w:tcPr>
          <w:p w:rsidR="00465096" w:rsidRPr="00C51ECB" w:rsidRDefault="00465096" w:rsidP="0084772C">
            <w:pPr>
              <w:jc w:val="both"/>
              <w:rPr>
                <w:sz w:val="20"/>
              </w:rPr>
            </w:pPr>
            <w:r w:rsidRPr="00C51ECB">
              <w:rPr>
                <w:sz w:val="20"/>
              </w:rPr>
              <w:t>Criminal law — Appeals — Defenses — Mental disorder — Applicant charged with breaking and entering and assault causing bodily harm — Applicant found not criminally responsible by reason of mental disorder — Applicant later attempting to appeal verdict and alleging psychosis caused by substance abuse — Court of Appeal dismissing application for extension of time to appeal verdict — Whether trial judge failed to consider absence of any prior psychiatric medications and absence of any prior psychiatric illness — Whether trial judge failed to consider possibility of psychosis induced by substance use instead of by mental disorder</w:t>
            </w:r>
            <w:r w:rsidR="00D2581D" w:rsidRPr="00C51ECB">
              <w:rPr>
                <w:sz w:val="20"/>
              </w:rPr>
              <w:t>.</w:t>
            </w:r>
          </w:p>
          <w:p w:rsidR="0084772C" w:rsidRPr="00C51ECB" w:rsidRDefault="0084772C" w:rsidP="0084772C">
            <w:pPr>
              <w:jc w:val="both"/>
              <w:rPr>
                <w:sz w:val="20"/>
              </w:rPr>
            </w:pPr>
          </w:p>
        </w:tc>
      </w:tr>
      <w:tr w:rsidR="00465096" w:rsidRPr="00C51ECB" w:rsidTr="00E95A6A">
        <w:tc>
          <w:tcPr>
            <w:tcW w:w="5000" w:type="pct"/>
            <w:gridSpan w:val="4"/>
          </w:tcPr>
          <w:p w:rsidR="00465096" w:rsidRPr="00C51ECB" w:rsidRDefault="00465096" w:rsidP="00465096">
            <w:pPr>
              <w:jc w:val="both"/>
              <w:rPr>
                <w:sz w:val="20"/>
              </w:rPr>
            </w:pPr>
            <w:r w:rsidRPr="00C51ECB">
              <w:rPr>
                <w:sz w:val="20"/>
              </w:rPr>
              <w:t>The applicant broke into a residence in March 2012 and assaulted the occupant. The applicant was charged with breaking and entering, assault causing bodily harm, and breach of recognizance. Upon acceptance of a joint submission by defence counsel and Crown counsel, the trial judge found the applicant not criminally responsible (“NCR”) by reason of mental disorder in 2012.</w:t>
            </w:r>
          </w:p>
          <w:p w:rsidR="00465096" w:rsidRPr="00C51ECB" w:rsidRDefault="00465096" w:rsidP="00465096">
            <w:pPr>
              <w:jc w:val="both"/>
              <w:rPr>
                <w:sz w:val="20"/>
              </w:rPr>
            </w:pPr>
          </w:p>
          <w:p w:rsidR="00465096" w:rsidRPr="00C51ECB" w:rsidRDefault="00465096" w:rsidP="00465096">
            <w:pPr>
              <w:jc w:val="both"/>
              <w:rPr>
                <w:sz w:val="20"/>
              </w:rPr>
            </w:pPr>
            <w:r w:rsidRPr="00C51ECB">
              <w:rPr>
                <w:sz w:val="20"/>
              </w:rPr>
              <w:t>In 2016, the applicant filed a notice of appeal with respect to his NCR verdict, along with an application for an extension of time in which to file his appeal. He alleged that he was not really suffering from a mental disorder at the time of the incident, that he was only faking mental illness during his hospital examination, and that his psychosis was caused by substance use. The applicant intended instead to plead guilty to the offences, and seek an appropriate sentence. A single judge of the Alberta Court of Appeal dismissed his application for an extension of time, and granted the Crown’s motion to strike his proposed appeal.</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September 25, 2012</w:t>
            </w:r>
          </w:p>
          <w:p w:rsidR="00465096" w:rsidRPr="00C51ECB" w:rsidRDefault="00465096" w:rsidP="00465096">
            <w:pPr>
              <w:jc w:val="both"/>
              <w:rPr>
                <w:sz w:val="20"/>
              </w:rPr>
            </w:pPr>
            <w:r w:rsidRPr="00C51ECB">
              <w:rPr>
                <w:sz w:val="20"/>
              </w:rPr>
              <w:t>Provincial Court of Alberta</w:t>
            </w:r>
          </w:p>
          <w:p w:rsidR="00465096" w:rsidRPr="00C51ECB" w:rsidRDefault="00465096" w:rsidP="00465096">
            <w:pPr>
              <w:jc w:val="both"/>
              <w:rPr>
                <w:sz w:val="20"/>
              </w:rPr>
            </w:pPr>
            <w:r w:rsidRPr="00C51ECB">
              <w:rPr>
                <w:sz w:val="20"/>
              </w:rPr>
              <w:t>(Williams J.)</w:t>
            </w:r>
          </w:p>
          <w:p w:rsidR="00465096" w:rsidRPr="00C51ECB" w:rsidRDefault="00465096" w:rsidP="00465096">
            <w:pPr>
              <w:jc w:val="both"/>
              <w:rPr>
                <w:sz w:val="20"/>
              </w:rPr>
            </w:pPr>
            <w:r w:rsidRPr="00C51ECB">
              <w:rPr>
                <w:sz w:val="20"/>
              </w:rPr>
              <w:lastRenderedPageBreak/>
              <w:t xml:space="preserve">Court file number: 120448600P101 </w:t>
            </w:r>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Verdict of not criminally responsible by reason of mental disorder</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lastRenderedPageBreak/>
              <w:t>November 2, 2016</w:t>
            </w:r>
          </w:p>
          <w:p w:rsidR="00465096" w:rsidRPr="00C51ECB" w:rsidRDefault="00465096" w:rsidP="00465096">
            <w:pPr>
              <w:jc w:val="both"/>
              <w:rPr>
                <w:sz w:val="20"/>
              </w:rPr>
            </w:pPr>
            <w:r w:rsidRPr="00C51ECB">
              <w:rPr>
                <w:sz w:val="20"/>
              </w:rPr>
              <w:t>Court of Appeal of Alberta (Edmonton)</w:t>
            </w:r>
          </w:p>
          <w:p w:rsidR="00465096" w:rsidRPr="00C51ECB" w:rsidRDefault="00465096" w:rsidP="00465096">
            <w:pPr>
              <w:jc w:val="both"/>
              <w:rPr>
                <w:sz w:val="20"/>
              </w:rPr>
            </w:pPr>
            <w:r w:rsidRPr="00C51ECB">
              <w:rPr>
                <w:sz w:val="20"/>
              </w:rPr>
              <w:t>(</w:t>
            </w:r>
            <w:proofErr w:type="spellStart"/>
            <w:r w:rsidRPr="00C51ECB">
              <w:rPr>
                <w:sz w:val="20"/>
              </w:rPr>
              <w:t>Slatter</w:t>
            </w:r>
            <w:proofErr w:type="spellEnd"/>
            <w:r w:rsidRPr="00C51ECB">
              <w:rPr>
                <w:sz w:val="20"/>
              </w:rPr>
              <w:t xml:space="preserve"> J.A.)</w:t>
            </w:r>
          </w:p>
          <w:p w:rsidR="00465096" w:rsidRPr="00C51ECB" w:rsidRDefault="00465096" w:rsidP="00465096">
            <w:pPr>
              <w:jc w:val="both"/>
              <w:rPr>
                <w:sz w:val="20"/>
              </w:rPr>
            </w:pPr>
            <w:hyperlink r:id="rId59" w:anchor="showHeadnotes" w:history="1">
              <w:r w:rsidRPr="00C51ECB">
                <w:rPr>
                  <w:rStyle w:val="Hyperlink"/>
                  <w:sz w:val="20"/>
                </w:rPr>
                <w:t>2016 ABCA 342</w:t>
              </w:r>
            </w:hyperlink>
            <w:r w:rsidRPr="00C51ECB">
              <w:rPr>
                <w:sz w:val="20"/>
              </w:rPr>
              <w:t xml:space="preserve"> </w:t>
            </w: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Application for extension of time to appeal verdict — dismissed;</w:t>
            </w:r>
          </w:p>
          <w:p w:rsidR="00465096" w:rsidRPr="00C51ECB" w:rsidRDefault="00465096" w:rsidP="00465096">
            <w:pPr>
              <w:jc w:val="both"/>
              <w:rPr>
                <w:sz w:val="20"/>
              </w:rPr>
            </w:pPr>
            <w:r w:rsidRPr="00C51ECB">
              <w:rPr>
                <w:sz w:val="20"/>
              </w:rPr>
              <w:t>Crown’s application to strike appeal — granted</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May 1, 2018</w:t>
            </w:r>
          </w:p>
          <w:p w:rsidR="00465096" w:rsidRPr="00C51ECB" w:rsidRDefault="00465096" w:rsidP="00465096">
            <w:pPr>
              <w:jc w:val="both"/>
              <w:rPr>
                <w:sz w:val="20"/>
              </w:rPr>
            </w:pPr>
            <w:r w:rsidRPr="00C51ECB">
              <w:rPr>
                <w:sz w:val="20"/>
              </w:rPr>
              <w:t>Supreme Court of Canada</w:t>
            </w:r>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Original application for leave to appeal filed by Mr. Jackson</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June 7, 2018</w:t>
            </w:r>
          </w:p>
          <w:p w:rsidR="00465096" w:rsidRPr="00C51ECB" w:rsidRDefault="00465096" w:rsidP="00465096">
            <w:pPr>
              <w:jc w:val="both"/>
              <w:rPr>
                <w:sz w:val="20"/>
              </w:rPr>
            </w:pPr>
            <w:r w:rsidRPr="00C51ECB">
              <w:rPr>
                <w:sz w:val="20"/>
              </w:rPr>
              <w:t>Supreme Court of Canada</w:t>
            </w:r>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Motion filed by Mr. Jackson for an extension of time in which to serve and file application for leave to appeal</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January 2, 2019</w:t>
            </w:r>
          </w:p>
          <w:p w:rsidR="00465096" w:rsidRPr="00C51ECB" w:rsidRDefault="00465096" w:rsidP="00465096">
            <w:pPr>
              <w:jc w:val="both"/>
              <w:rPr>
                <w:sz w:val="20"/>
              </w:rPr>
            </w:pPr>
            <w:r w:rsidRPr="00C51ECB">
              <w:rPr>
                <w:sz w:val="20"/>
              </w:rPr>
              <w:t>Supreme Court of Canada</w:t>
            </w: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Amended application for leave to appeal filed by Mr. Jackson</w:t>
            </w:r>
          </w:p>
        </w:tc>
      </w:tr>
    </w:tbl>
    <w:p w:rsidR="00465096" w:rsidRPr="00C51ECB" w:rsidRDefault="00465096" w:rsidP="00465096">
      <w:pPr>
        <w:jc w:val="both"/>
        <w:rPr>
          <w:sz w:val="20"/>
        </w:rPr>
      </w:pPr>
    </w:p>
    <w:p w:rsidR="0084772C" w:rsidRPr="00C51ECB" w:rsidRDefault="0084772C" w:rsidP="00465096">
      <w:pPr>
        <w:jc w:val="both"/>
        <w:rPr>
          <w:sz w:val="20"/>
        </w:rPr>
      </w:pPr>
      <w:r w:rsidRPr="00C51ECB">
        <w:rPr>
          <w:sz w:val="20"/>
        </w:rPr>
        <w:pict>
          <v:rect id="_x0000_i1049"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lang w:val="fr-CA"/>
              </w:rPr>
            </w:pPr>
            <w:r w:rsidRPr="00C51ECB">
              <w:rPr>
                <w:rStyle w:val="SCCFileNumberChar"/>
                <w:sz w:val="20"/>
                <w:szCs w:val="20"/>
                <w:lang w:val="fr-CA"/>
              </w:rPr>
              <w:t>38565</w:t>
            </w:r>
          </w:p>
        </w:tc>
        <w:tc>
          <w:tcPr>
            <w:tcW w:w="4457" w:type="pct"/>
            <w:gridSpan w:val="3"/>
          </w:tcPr>
          <w:p w:rsidR="00465096" w:rsidRPr="00C51ECB" w:rsidRDefault="00465096" w:rsidP="00465096">
            <w:pPr>
              <w:pStyle w:val="SCCLsocParty"/>
              <w:jc w:val="both"/>
              <w:rPr>
                <w:b/>
                <w:sz w:val="20"/>
                <w:szCs w:val="20"/>
              </w:rPr>
            </w:pPr>
            <w:r w:rsidRPr="00C51ECB">
              <w:rPr>
                <w:b/>
                <w:sz w:val="20"/>
                <w:szCs w:val="20"/>
              </w:rPr>
              <w:t>Chandos Kane Jackson c. Sa Majesté la Reine</w:t>
            </w:r>
          </w:p>
          <w:p w:rsidR="00465096" w:rsidRPr="00C51ECB" w:rsidRDefault="00465096" w:rsidP="00465096">
            <w:pPr>
              <w:jc w:val="both"/>
              <w:rPr>
                <w:sz w:val="20"/>
                <w:lang w:val="fr-CA"/>
              </w:rPr>
            </w:pPr>
            <w:r w:rsidRPr="00C51ECB">
              <w:rPr>
                <w:sz w:val="20"/>
                <w:lang w:val="fr-CA"/>
              </w:rPr>
              <w:t>(Alb.) (Criminelle) (Autorisation)</w:t>
            </w:r>
          </w:p>
        </w:tc>
      </w:tr>
      <w:tr w:rsidR="00465096" w:rsidRPr="00C51ECB" w:rsidTr="00F60D14">
        <w:trPr>
          <w:trHeight w:val="1872"/>
        </w:trPr>
        <w:tc>
          <w:tcPr>
            <w:tcW w:w="5000" w:type="pct"/>
            <w:gridSpan w:val="4"/>
          </w:tcPr>
          <w:p w:rsidR="00465096" w:rsidRPr="00C51ECB" w:rsidRDefault="00465096" w:rsidP="00465096">
            <w:pPr>
              <w:jc w:val="both"/>
              <w:rPr>
                <w:sz w:val="20"/>
                <w:lang w:val="fr-CA"/>
              </w:rPr>
            </w:pPr>
            <w:r w:rsidRPr="00C51ECB">
              <w:rPr>
                <w:sz w:val="20"/>
                <w:lang w:val="fr-CA"/>
              </w:rPr>
              <w:t>Droit criminel — Appels — Moyens de défense — Troubles mentaux — Le demandeur a été déclaré coupable d’introduction par effraction et de voies de fait causant des lésions corporelles — Le demandeur a été déclaré responsable non criminellement pour cause de troubles mentaux — Le demandeur a par la suite tenté d’interjeter appel du verdict et a allégué une psychose causée par la toxicomanie — La Cour d’appel a rejeté la demande de prorogation du délai pour interjeter appel du verdict — La juge du procès a</w:t>
            </w:r>
            <w:r w:rsidRPr="00C51ECB">
              <w:rPr>
                <w:sz w:val="20"/>
                <w:lang w:val="fr-CA"/>
              </w:rPr>
              <w:noBreakHyphen/>
              <w:t>t</w:t>
            </w:r>
            <w:r w:rsidRPr="00C51ECB">
              <w:rPr>
                <w:sz w:val="20"/>
                <w:lang w:val="fr-CA"/>
              </w:rPr>
              <w:noBreakHyphen/>
              <w:t>elle omis de prendre en considération le fait que l’accusé ne prenait antérieurement aucun médicament utilisé en psychiatrie et ne souffrait d’aucune maladie psychiatrique antérieure? — La juge du procès a</w:t>
            </w:r>
            <w:r w:rsidRPr="00C51ECB">
              <w:rPr>
                <w:sz w:val="20"/>
                <w:lang w:val="fr-CA"/>
              </w:rPr>
              <w:noBreakHyphen/>
              <w:t>t</w:t>
            </w:r>
            <w:r w:rsidRPr="00C51ECB">
              <w:rPr>
                <w:sz w:val="20"/>
                <w:lang w:val="fr-CA"/>
              </w:rPr>
              <w:noBreakHyphen/>
              <w:t>elle omis d’envisager la possibilité d’une psychose induite par la toxicomanie plutôt que par des troubles mentaux?</w:t>
            </w:r>
          </w:p>
          <w:p w:rsidR="00465096" w:rsidRPr="00C51ECB" w:rsidRDefault="00465096" w:rsidP="00465096">
            <w:pPr>
              <w:jc w:val="both"/>
              <w:rPr>
                <w:sz w:val="20"/>
                <w:lang w:val="fr-CA"/>
              </w:rPr>
            </w:pPr>
          </w:p>
        </w:tc>
      </w:tr>
      <w:tr w:rsidR="00465096" w:rsidRPr="00C51ECB" w:rsidTr="00E95A6A">
        <w:tc>
          <w:tcPr>
            <w:tcW w:w="5000" w:type="pct"/>
            <w:gridSpan w:val="4"/>
          </w:tcPr>
          <w:p w:rsidR="00465096" w:rsidRPr="00C51ECB" w:rsidRDefault="00465096" w:rsidP="00465096">
            <w:pPr>
              <w:jc w:val="both"/>
              <w:rPr>
                <w:sz w:val="20"/>
                <w:lang w:val="fr-CA"/>
              </w:rPr>
            </w:pPr>
            <w:r w:rsidRPr="00C51ECB">
              <w:rPr>
                <w:sz w:val="20"/>
                <w:lang w:val="fr-CA"/>
              </w:rPr>
              <w:t>En mars 2012, le demandeur s’est introduit par effraction dans une maison d’habitation et a agressé l’occupant. Le demandeur a été accusé d’introduction par effraction, de voies de fait causant des lésions corporelles et de manquement à un engagement. Après avoir accepté les observations conjointes de l’avocat de la défense et de l’avocat de la Couronne, la juge du procès a déclaré le demandeur responsable non criminellement (« NRC ») pour cause de troubles mentaux en 2012.</w:t>
            </w:r>
          </w:p>
          <w:p w:rsidR="00465096" w:rsidRPr="00C51ECB" w:rsidRDefault="00465096" w:rsidP="00465096">
            <w:pPr>
              <w:jc w:val="both"/>
              <w:rPr>
                <w:sz w:val="20"/>
                <w:lang w:val="fr-CA"/>
              </w:rPr>
            </w:pPr>
          </w:p>
          <w:p w:rsidR="00465096" w:rsidRPr="00C51ECB" w:rsidRDefault="00465096" w:rsidP="00465096">
            <w:pPr>
              <w:jc w:val="both"/>
              <w:rPr>
                <w:sz w:val="20"/>
                <w:lang w:val="fr-CA"/>
              </w:rPr>
            </w:pPr>
            <w:r w:rsidRPr="00C51ECB">
              <w:rPr>
                <w:sz w:val="20"/>
                <w:lang w:val="fr-CA"/>
              </w:rPr>
              <w:t>En 2016, le demandeur a déposé un dossier d’appel relativement à son verdict de NRC, accompagné d’une demande de prorogation du délai pour déposer son appel. Il a allégué qu’il ne souffrait pas réellement de troubles mentaux au moment de l’incident, qu’il ne faisait que feindre la maladie mentale pendant son examen à l’hôpital et que sa psychose avait été causée par la toxicomanie. Le demandeur voulait plutôt plaider coupable aux infractions et demander une peine appropriée. Un juge de la Cour d’appel siégeant seul a rejeté sa demande de prorogation de délai et a accueilli la requête du ministère public de radier l’appel qu’il voulait interjeter.</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25 septembre 2012</w:t>
            </w:r>
          </w:p>
          <w:p w:rsidR="00465096" w:rsidRPr="00C51ECB" w:rsidRDefault="00465096" w:rsidP="00465096">
            <w:pPr>
              <w:jc w:val="both"/>
              <w:rPr>
                <w:sz w:val="20"/>
                <w:lang w:val="fr-CA"/>
              </w:rPr>
            </w:pPr>
            <w:r w:rsidRPr="00C51ECB">
              <w:rPr>
                <w:sz w:val="20"/>
                <w:lang w:val="fr-CA"/>
              </w:rPr>
              <w:t>Cour provinciale de l’Alberta</w:t>
            </w:r>
          </w:p>
          <w:p w:rsidR="00465096" w:rsidRPr="00C51ECB" w:rsidRDefault="00465096" w:rsidP="00465096">
            <w:pPr>
              <w:jc w:val="both"/>
              <w:rPr>
                <w:sz w:val="20"/>
                <w:lang w:val="fr-CA"/>
              </w:rPr>
            </w:pPr>
            <w:r w:rsidRPr="00C51ECB">
              <w:rPr>
                <w:sz w:val="20"/>
                <w:lang w:val="fr-CA"/>
              </w:rPr>
              <w:t>(Juge Williams)</w:t>
            </w:r>
          </w:p>
          <w:p w:rsidR="00465096" w:rsidRPr="00C51ECB" w:rsidRDefault="00465096" w:rsidP="00465096">
            <w:pPr>
              <w:jc w:val="both"/>
              <w:rPr>
                <w:sz w:val="20"/>
                <w:lang w:val="fr-CA"/>
              </w:rPr>
            </w:pPr>
            <w:r w:rsidRPr="00C51ECB">
              <w:rPr>
                <w:sz w:val="20"/>
                <w:lang w:val="fr-CA"/>
              </w:rPr>
              <w:t xml:space="preserve">Numéro du dossier de la Cour : 120448600P101 </w:t>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Verdict de non</w:t>
            </w:r>
            <w:r w:rsidRPr="00C51ECB">
              <w:rPr>
                <w:sz w:val="20"/>
                <w:lang w:val="fr-CA"/>
              </w:rPr>
              <w:noBreakHyphen/>
              <w:t>responsabilité criminelle pour cause de troubles mentaux</w:t>
            </w: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2 novembre 2016</w:t>
            </w:r>
          </w:p>
          <w:p w:rsidR="00465096" w:rsidRPr="00C51ECB" w:rsidRDefault="00465096" w:rsidP="00465096">
            <w:pPr>
              <w:jc w:val="both"/>
              <w:rPr>
                <w:sz w:val="20"/>
                <w:lang w:val="fr-CA"/>
              </w:rPr>
            </w:pPr>
            <w:r w:rsidRPr="00C51ECB">
              <w:rPr>
                <w:sz w:val="20"/>
                <w:lang w:val="fr-CA"/>
              </w:rPr>
              <w:t>Cour d’appel de l’Alberta (Edmonton)</w:t>
            </w:r>
          </w:p>
          <w:p w:rsidR="00465096" w:rsidRPr="00C51ECB" w:rsidRDefault="00465096" w:rsidP="00465096">
            <w:pPr>
              <w:jc w:val="both"/>
              <w:rPr>
                <w:sz w:val="20"/>
                <w:lang w:val="fr-CA"/>
              </w:rPr>
            </w:pPr>
            <w:r w:rsidRPr="00C51ECB">
              <w:rPr>
                <w:sz w:val="20"/>
                <w:lang w:val="fr-CA"/>
              </w:rPr>
              <w:t xml:space="preserve">(Juge </w:t>
            </w:r>
            <w:proofErr w:type="spellStart"/>
            <w:r w:rsidRPr="00C51ECB">
              <w:rPr>
                <w:sz w:val="20"/>
                <w:lang w:val="fr-CA"/>
              </w:rPr>
              <w:t>Slatter</w:t>
            </w:r>
            <w:proofErr w:type="spellEnd"/>
            <w:r w:rsidRPr="00C51ECB">
              <w:rPr>
                <w:sz w:val="20"/>
                <w:lang w:val="fr-CA"/>
              </w:rPr>
              <w:t>)</w:t>
            </w:r>
          </w:p>
          <w:p w:rsidR="00465096" w:rsidRPr="00C51ECB" w:rsidRDefault="00465096" w:rsidP="00465096">
            <w:pPr>
              <w:jc w:val="both"/>
              <w:rPr>
                <w:sz w:val="20"/>
                <w:lang w:val="fr-CA"/>
              </w:rPr>
            </w:pPr>
            <w:hyperlink r:id="rId60" w:anchor="showHeadnotes" w:history="1">
              <w:r w:rsidRPr="00C51ECB">
                <w:rPr>
                  <w:rStyle w:val="Hyperlink"/>
                  <w:sz w:val="20"/>
                  <w:lang w:val="fr-CA"/>
                </w:rPr>
                <w:t>2016 ABCA 342</w:t>
              </w:r>
            </w:hyperlink>
            <w:r w:rsidRPr="00C51ECB">
              <w:rPr>
                <w:sz w:val="20"/>
                <w:lang w:val="fr-CA"/>
              </w:rPr>
              <w:t xml:space="preserve"> </w:t>
            </w: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Rejet de la demande de prorogation du délai pour interjeter appel du verdict;</w:t>
            </w:r>
          </w:p>
          <w:p w:rsidR="00465096" w:rsidRPr="00C51ECB" w:rsidRDefault="00465096" w:rsidP="00465096">
            <w:pPr>
              <w:jc w:val="both"/>
              <w:rPr>
                <w:sz w:val="20"/>
                <w:lang w:val="fr-CA"/>
              </w:rPr>
            </w:pPr>
            <w:r w:rsidRPr="00C51ECB">
              <w:rPr>
                <w:sz w:val="20"/>
                <w:lang w:val="fr-CA"/>
              </w:rPr>
              <w:t>Arrêt accueillant la requête du ministère public en radiation de l’appel</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lastRenderedPageBreak/>
              <w:t>1</w:t>
            </w:r>
            <w:r w:rsidRPr="00C51ECB">
              <w:rPr>
                <w:sz w:val="20"/>
                <w:vertAlign w:val="superscript"/>
                <w:lang w:val="fr-CA"/>
              </w:rPr>
              <w:t>er</w:t>
            </w:r>
            <w:r w:rsidRPr="00C51ECB">
              <w:rPr>
                <w:sz w:val="20"/>
                <w:lang w:val="fr-CA"/>
              </w:rPr>
              <w:t> mai 2018</w:t>
            </w:r>
          </w:p>
          <w:p w:rsidR="00465096" w:rsidRPr="00C51ECB" w:rsidRDefault="00465096" w:rsidP="00465096">
            <w:pPr>
              <w:jc w:val="both"/>
              <w:rPr>
                <w:sz w:val="20"/>
                <w:lang w:val="fr-CA"/>
              </w:rPr>
            </w:pPr>
            <w:r w:rsidRPr="00C51ECB">
              <w:rPr>
                <w:sz w:val="20"/>
                <w:lang w:val="fr-CA"/>
              </w:rPr>
              <w:t>Cour suprême du Canada</w:t>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Dépôt par M. Jackson de la demande initiale d’autorisation d’appel</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7 juin 2018</w:t>
            </w:r>
          </w:p>
          <w:p w:rsidR="00465096" w:rsidRPr="00C51ECB" w:rsidRDefault="00465096" w:rsidP="00465096">
            <w:pPr>
              <w:jc w:val="both"/>
              <w:rPr>
                <w:sz w:val="20"/>
                <w:lang w:val="fr-CA"/>
              </w:rPr>
            </w:pPr>
            <w:r w:rsidRPr="00C51ECB">
              <w:rPr>
                <w:sz w:val="20"/>
                <w:lang w:val="fr-CA"/>
              </w:rPr>
              <w:t>Cour suprême du Canada</w:t>
            </w:r>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 xml:space="preserve">Dépôt par M. Jackson de la requête en prorogation du délai de signification et de dépôt de la demande d’autorisation d’appel </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2 janvier 2019</w:t>
            </w:r>
          </w:p>
          <w:p w:rsidR="00465096" w:rsidRPr="00C51ECB" w:rsidRDefault="00465096" w:rsidP="00465096">
            <w:pPr>
              <w:jc w:val="both"/>
              <w:rPr>
                <w:sz w:val="20"/>
                <w:lang w:val="fr-CA"/>
              </w:rPr>
            </w:pPr>
            <w:r w:rsidRPr="00C51ECB">
              <w:rPr>
                <w:sz w:val="20"/>
                <w:lang w:val="fr-CA"/>
              </w:rPr>
              <w:t>Cour suprême du Canada</w:t>
            </w: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Dépôt par M. Jackson de la demande modifiée d’autorisation d’appel</w:t>
            </w:r>
          </w:p>
        </w:tc>
      </w:tr>
    </w:tbl>
    <w:p w:rsidR="00465096" w:rsidRPr="00C51ECB" w:rsidRDefault="00465096" w:rsidP="00465096">
      <w:pPr>
        <w:jc w:val="both"/>
        <w:rPr>
          <w:sz w:val="20"/>
          <w:lang w:val="fr-CA"/>
        </w:rPr>
      </w:pPr>
    </w:p>
    <w:p w:rsidR="0084772C" w:rsidRPr="00C51ECB" w:rsidRDefault="0084772C" w:rsidP="00465096">
      <w:pPr>
        <w:jc w:val="both"/>
        <w:rPr>
          <w:sz w:val="20"/>
          <w:lang w:val="fr-CA"/>
        </w:rPr>
      </w:pPr>
      <w:r w:rsidRPr="00C51ECB">
        <w:rPr>
          <w:sz w:val="20"/>
        </w:rPr>
        <w:pict>
          <v:rect id="_x0000_i1050" style="width:2in;height:1pt" o:hrpct="0" o:hralign="center" o:hrstd="t" o:hrnoshade="t" o:hr="t" fillcolor="black [3213]" stroked="f"/>
        </w:pict>
      </w:r>
    </w:p>
    <w:p w:rsidR="00D84BE0" w:rsidRPr="00C51ECB" w:rsidRDefault="00D84BE0" w:rsidP="00465096">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rPr>
            </w:pPr>
            <w:r w:rsidRPr="00C51ECB">
              <w:rPr>
                <w:rStyle w:val="SCCFileNumberChar"/>
                <w:sz w:val="20"/>
                <w:szCs w:val="20"/>
              </w:rPr>
              <w:t>38495</w:t>
            </w:r>
          </w:p>
        </w:tc>
        <w:tc>
          <w:tcPr>
            <w:tcW w:w="4457" w:type="pct"/>
            <w:gridSpan w:val="3"/>
          </w:tcPr>
          <w:p w:rsidR="00465096" w:rsidRPr="00C51ECB" w:rsidRDefault="00465096" w:rsidP="00465096">
            <w:pPr>
              <w:pStyle w:val="SCCLsocParty"/>
              <w:jc w:val="both"/>
              <w:rPr>
                <w:b/>
                <w:sz w:val="20"/>
                <w:szCs w:val="20"/>
                <w:lang w:val="en-US"/>
              </w:rPr>
            </w:pPr>
            <w:r w:rsidRPr="00C51ECB">
              <w:rPr>
                <w:b/>
                <w:sz w:val="20"/>
                <w:szCs w:val="20"/>
                <w:lang w:val="en-US"/>
              </w:rPr>
              <w:t>Shelly Ann Petz v. Patrick Duguay</w:t>
            </w:r>
          </w:p>
          <w:p w:rsidR="00465096" w:rsidRPr="00C51ECB" w:rsidRDefault="00465096" w:rsidP="00465096">
            <w:pPr>
              <w:jc w:val="both"/>
              <w:rPr>
                <w:sz w:val="20"/>
              </w:rPr>
            </w:pPr>
            <w:r w:rsidRPr="00C51ECB">
              <w:rPr>
                <w:sz w:val="20"/>
              </w:rPr>
              <w:t>(Alta.) (Civil) (By Leave)</w:t>
            </w:r>
          </w:p>
        </w:tc>
      </w:tr>
      <w:tr w:rsidR="00465096" w:rsidRPr="00C51ECB" w:rsidTr="00E95A6A">
        <w:tc>
          <w:tcPr>
            <w:tcW w:w="5000" w:type="pct"/>
            <w:gridSpan w:val="4"/>
          </w:tcPr>
          <w:p w:rsidR="00465096" w:rsidRPr="00C51ECB" w:rsidRDefault="00465096" w:rsidP="00465096">
            <w:pPr>
              <w:jc w:val="both"/>
              <w:rPr>
                <w:sz w:val="20"/>
              </w:rPr>
            </w:pPr>
            <w:r w:rsidRPr="00C51ECB">
              <w:rPr>
                <w:sz w:val="20"/>
              </w:rPr>
              <w:t xml:space="preserve">Torts — Negligence — Personal injury — Causation — Damages — Applicant injured in motor vehicle accident seeking damages for, </w:t>
            </w:r>
            <w:r w:rsidRPr="00C51ECB">
              <w:rPr>
                <w:i/>
                <w:sz w:val="20"/>
              </w:rPr>
              <w:t>inter alia</w:t>
            </w:r>
            <w:r w:rsidRPr="00C51ECB">
              <w:rPr>
                <w:sz w:val="20"/>
              </w:rPr>
              <w:t xml:space="preserve">, ongoing chronic pain and somatic symptom disorder — Trial judge limiting damages limited to those suffered before October 2008 — What is law regarding causation of mental injuries? — Does practice of all medicine and psychiatry hinge on subjective evidence, despite experts insisting they use objective measures? — Under what circumstances can trial judge deny presence of mental illness based finding of poor credibility due to symptoms of same mental illness? — On what basis can trial judge conclude differently from experts on psychiatric diagnosis? — Can court accept expert evidence that SSD exists, but reject same expert evidence when dealing with causation? — Do </w:t>
            </w:r>
            <w:proofErr w:type="spellStart"/>
            <w:r w:rsidRPr="00C51ECB">
              <w:rPr>
                <w:i/>
                <w:sz w:val="20"/>
              </w:rPr>
              <w:t>Athey</w:t>
            </w:r>
            <w:proofErr w:type="spellEnd"/>
            <w:r w:rsidRPr="00C51ECB">
              <w:rPr>
                <w:sz w:val="20"/>
              </w:rPr>
              <w:t xml:space="preserve"> and </w:t>
            </w:r>
            <w:r w:rsidRPr="00C51ECB">
              <w:rPr>
                <w:i/>
                <w:sz w:val="20"/>
              </w:rPr>
              <w:t>Clements</w:t>
            </w:r>
            <w:r w:rsidRPr="00C51ECB">
              <w:rPr>
                <w:sz w:val="20"/>
              </w:rPr>
              <w:t xml:space="preserve"> apply to mental injury? — Does appeal court need to review evidence for palpable and overriding error in appeal on matters of fact?</w:t>
            </w:r>
          </w:p>
        </w:tc>
      </w:tr>
      <w:tr w:rsidR="00465096" w:rsidRPr="00C51ECB" w:rsidTr="00E95A6A">
        <w:tc>
          <w:tcPr>
            <w:tcW w:w="5000" w:type="pct"/>
            <w:gridSpan w:val="4"/>
          </w:tcPr>
          <w:p w:rsidR="00465096" w:rsidRPr="00C51ECB" w:rsidRDefault="00465096" w:rsidP="00465096">
            <w:pPr>
              <w:jc w:val="both"/>
              <w:rPr>
                <w:sz w:val="20"/>
              </w:rPr>
            </w:pPr>
          </w:p>
        </w:tc>
      </w:tr>
      <w:tr w:rsidR="00465096" w:rsidRPr="00C51ECB" w:rsidTr="00E95A6A">
        <w:tc>
          <w:tcPr>
            <w:tcW w:w="5000" w:type="pct"/>
            <w:gridSpan w:val="4"/>
          </w:tcPr>
          <w:p w:rsidR="00465096" w:rsidRPr="00C51ECB" w:rsidRDefault="00465096" w:rsidP="00465096">
            <w:pPr>
              <w:jc w:val="both"/>
              <w:rPr>
                <w:sz w:val="20"/>
              </w:rPr>
            </w:pPr>
            <w:r w:rsidRPr="00C51ECB">
              <w:rPr>
                <w:sz w:val="20"/>
              </w:rPr>
              <w:t>Ms. Petz and Mr. Duguay were involved in a motor vehicle accident in September 2004. Ms. Petz, a passenger in the vehicle, was injured in the collision. She brought an action for damages against Mr. Duguay, who admitted liability. At trial, the primary issues concerned causation and what damages flowed from the accident. Ms. Petz maintained that her chronic pain persisted to the date of trial.</w:t>
            </w: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February 10, 2017</w:t>
            </w:r>
          </w:p>
          <w:p w:rsidR="00465096" w:rsidRPr="00C51ECB" w:rsidRDefault="00465096" w:rsidP="00465096">
            <w:pPr>
              <w:jc w:val="both"/>
              <w:rPr>
                <w:sz w:val="20"/>
              </w:rPr>
            </w:pPr>
            <w:r w:rsidRPr="00C51ECB">
              <w:rPr>
                <w:sz w:val="20"/>
              </w:rPr>
              <w:t>Court of Queen’s Bench of Alberta</w:t>
            </w:r>
          </w:p>
          <w:p w:rsidR="00465096" w:rsidRPr="00C51ECB" w:rsidRDefault="00465096" w:rsidP="00465096">
            <w:pPr>
              <w:jc w:val="both"/>
              <w:rPr>
                <w:sz w:val="20"/>
              </w:rPr>
            </w:pPr>
            <w:r w:rsidRPr="00C51ECB">
              <w:rPr>
                <w:sz w:val="20"/>
              </w:rPr>
              <w:t>(Sullivan J.)</w:t>
            </w:r>
          </w:p>
          <w:p w:rsidR="00465096" w:rsidRPr="00C51ECB" w:rsidRDefault="00465096" w:rsidP="00465096">
            <w:pPr>
              <w:jc w:val="both"/>
              <w:rPr>
                <w:sz w:val="20"/>
              </w:rPr>
            </w:pPr>
            <w:hyperlink r:id="rId61" w:history="1">
              <w:r w:rsidRPr="00C51ECB">
                <w:rPr>
                  <w:rStyle w:val="Hyperlink"/>
                  <w:sz w:val="20"/>
                </w:rPr>
                <w:t>2017 ABQB 90</w:t>
              </w:r>
            </w:hyperlink>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Trial judge awarding applicant damages from date of accident up to October 2008</w:t>
            </w:r>
          </w:p>
          <w:p w:rsidR="00465096" w:rsidRPr="00C51ECB" w:rsidRDefault="00465096" w:rsidP="00465096">
            <w:pPr>
              <w:jc w:val="both"/>
              <w:rPr>
                <w:sz w:val="20"/>
              </w:rPr>
            </w:pP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November 29, 2018</w:t>
            </w:r>
          </w:p>
          <w:p w:rsidR="00465096" w:rsidRPr="00C51ECB" w:rsidRDefault="00465096" w:rsidP="00465096">
            <w:pPr>
              <w:jc w:val="both"/>
              <w:rPr>
                <w:sz w:val="20"/>
              </w:rPr>
            </w:pPr>
            <w:r w:rsidRPr="00C51ECB">
              <w:rPr>
                <w:sz w:val="20"/>
              </w:rPr>
              <w:t>Court of Appeal of Alberta (Calgary)</w:t>
            </w:r>
          </w:p>
          <w:p w:rsidR="00465096" w:rsidRPr="00C51ECB" w:rsidRDefault="00465096" w:rsidP="00465096">
            <w:pPr>
              <w:jc w:val="both"/>
              <w:rPr>
                <w:sz w:val="20"/>
              </w:rPr>
            </w:pPr>
            <w:r w:rsidRPr="00C51ECB">
              <w:rPr>
                <w:sz w:val="20"/>
              </w:rPr>
              <w:t>(McDonald, Greckol [dissenting] and Crighton JJ.A.)</w:t>
            </w:r>
          </w:p>
          <w:p w:rsidR="00465096" w:rsidRPr="00C51ECB" w:rsidRDefault="00465096" w:rsidP="00465096">
            <w:pPr>
              <w:jc w:val="both"/>
              <w:rPr>
                <w:sz w:val="20"/>
              </w:rPr>
            </w:pPr>
            <w:hyperlink r:id="rId62" w:history="1">
              <w:r w:rsidRPr="00C51ECB">
                <w:rPr>
                  <w:rStyle w:val="Hyperlink"/>
                  <w:sz w:val="20"/>
                </w:rPr>
                <w:t>2018 ABCA 402</w:t>
              </w:r>
            </w:hyperlink>
          </w:p>
          <w:p w:rsidR="00465096" w:rsidRPr="00C51ECB" w:rsidRDefault="00465096" w:rsidP="00465096">
            <w:pPr>
              <w:jc w:val="both"/>
              <w:rPr>
                <w:sz w:val="20"/>
              </w:rPr>
            </w:pP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Applicant’s appeal dismissed; Respondent’s appeal on costs allowed in part</w:t>
            </w:r>
          </w:p>
          <w:p w:rsidR="00465096" w:rsidRPr="00C51ECB" w:rsidRDefault="00465096" w:rsidP="00465096">
            <w:pPr>
              <w:jc w:val="both"/>
              <w:rPr>
                <w:sz w:val="20"/>
              </w:rPr>
            </w:pPr>
          </w:p>
          <w:p w:rsidR="00465096" w:rsidRPr="00C51ECB" w:rsidRDefault="00465096" w:rsidP="00465096">
            <w:pPr>
              <w:jc w:val="both"/>
              <w:rPr>
                <w:sz w:val="20"/>
              </w:rPr>
            </w:pPr>
          </w:p>
        </w:tc>
      </w:tr>
      <w:tr w:rsidR="00465096" w:rsidRPr="00C51ECB" w:rsidTr="00E95A6A">
        <w:tc>
          <w:tcPr>
            <w:tcW w:w="2427" w:type="pct"/>
            <w:gridSpan w:val="2"/>
          </w:tcPr>
          <w:p w:rsidR="00465096" w:rsidRPr="00C51ECB" w:rsidRDefault="00465096" w:rsidP="00465096">
            <w:pPr>
              <w:jc w:val="both"/>
              <w:rPr>
                <w:sz w:val="20"/>
              </w:rPr>
            </w:pPr>
            <w:r w:rsidRPr="00C51ECB">
              <w:rPr>
                <w:sz w:val="20"/>
              </w:rPr>
              <w:t>January 25, 2019</w:t>
            </w:r>
          </w:p>
          <w:p w:rsidR="00465096" w:rsidRPr="00C51ECB" w:rsidRDefault="00465096" w:rsidP="00465096">
            <w:pPr>
              <w:jc w:val="both"/>
              <w:rPr>
                <w:sz w:val="20"/>
              </w:rPr>
            </w:pPr>
            <w:r w:rsidRPr="00C51ECB">
              <w:rPr>
                <w:sz w:val="20"/>
              </w:rPr>
              <w:t>Supreme Court of Canada</w:t>
            </w:r>
          </w:p>
        </w:tc>
        <w:tc>
          <w:tcPr>
            <w:tcW w:w="243" w:type="pct"/>
          </w:tcPr>
          <w:p w:rsidR="00465096" w:rsidRPr="00C51ECB" w:rsidRDefault="00465096" w:rsidP="00465096">
            <w:pPr>
              <w:jc w:val="both"/>
              <w:rPr>
                <w:sz w:val="20"/>
              </w:rPr>
            </w:pPr>
          </w:p>
        </w:tc>
        <w:tc>
          <w:tcPr>
            <w:tcW w:w="2330" w:type="pct"/>
          </w:tcPr>
          <w:p w:rsidR="00465096" w:rsidRPr="00C51ECB" w:rsidRDefault="00465096" w:rsidP="00465096">
            <w:pPr>
              <w:jc w:val="both"/>
              <w:rPr>
                <w:sz w:val="20"/>
              </w:rPr>
            </w:pPr>
            <w:r w:rsidRPr="00C51ECB">
              <w:rPr>
                <w:sz w:val="20"/>
              </w:rPr>
              <w:t>Application for leave to appeal filed</w:t>
            </w:r>
          </w:p>
          <w:p w:rsidR="00465096" w:rsidRPr="00C51ECB" w:rsidRDefault="00465096" w:rsidP="00465096">
            <w:pPr>
              <w:jc w:val="both"/>
              <w:rPr>
                <w:sz w:val="20"/>
              </w:rPr>
            </w:pPr>
          </w:p>
        </w:tc>
      </w:tr>
    </w:tbl>
    <w:p w:rsidR="00465096" w:rsidRPr="00C51ECB" w:rsidRDefault="00465096" w:rsidP="00465096">
      <w:pPr>
        <w:jc w:val="both"/>
        <w:rPr>
          <w:sz w:val="20"/>
        </w:rPr>
      </w:pPr>
    </w:p>
    <w:p w:rsidR="0084772C" w:rsidRPr="00C51ECB" w:rsidRDefault="0084772C" w:rsidP="00465096">
      <w:pPr>
        <w:jc w:val="both"/>
        <w:rPr>
          <w:sz w:val="20"/>
        </w:rPr>
      </w:pPr>
      <w:r w:rsidRPr="00C51ECB">
        <w:rPr>
          <w:sz w:val="20"/>
        </w:rPr>
        <w:pict>
          <v:rect id="_x0000_i1051" style="width:2in;height:1pt" o:hrpct="0" o:hralign="center" o:hrstd="t" o:hrnoshade="t" o:hr="t" fillcolor="black [3213]" stroked="f"/>
        </w:pict>
      </w:r>
    </w:p>
    <w:p w:rsidR="0084772C" w:rsidRPr="00C51ECB" w:rsidRDefault="0084772C" w:rsidP="0046509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465096" w:rsidRPr="00C51ECB" w:rsidTr="00E95A6A">
        <w:tc>
          <w:tcPr>
            <w:tcW w:w="543" w:type="pct"/>
          </w:tcPr>
          <w:p w:rsidR="00465096" w:rsidRPr="00C51ECB" w:rsidRDefault="00465096" w:rsidP="00465096">
            <w:pPr>
              <w:jc w:val="both"/>
              <w:rPr>
                <w:sz w:val="20"/>
                <w:lang w:val="fr-CA"/>
              </w:rPr>
            </w:pPr>
            <w:r w:rsidRPr="00C51ECB">
              <w:rPr>
                <w:rStyle w:val="SCCFileNumberChar"/>
                <w:sz w:val="20"/>
                <w:szCs w:val="20"/>
                <w:lang w:val="fr-CA"/>
              </w:rPr>
              <w:t>38495</w:t>
            </w:r>
          </w:p>
        </w:tc>
        <w:tc>
          <w:tcPr>
            <w:tcW w:w="4457" w:type="pct"/>
            <w:gridSpan w:val="3"/>
          </w:tcPr>
          <w:p w:rsidR="00465096" w:rsidRPr="00C51ECB" w:rsidRDefault="00465096" w:rsidP="00465096">
            <w:pPr>
              <w:pStyle w:val="SCCLsocParty"/>
              <w:jc w:val="both"/>
              <w:rPr>
                <w:b/>
                <w:sz w:val="20"/>
                <w:szCs w:val="20"/>
                <w:lang w:val="en-US"/>
              </w:rPr>
            </w:pPr>
            <w:r w:rsidRPr="00C51ECB">
              <w:rPr>
                <w:b/>
                <w:sz w:val="20"/>
                <w:szCs w:val="20"/>
                <w:lang w:val="en-US"/>
              </w:rPr>
              <w:t>Shelly Ann Petz c. Patrick Duguay</w:t>
            </w:r>
          </w:p>
          <w:p w:rsidR="00465096" w:rsidRPr="00C51ECB" w:rsidRDefault="00465096" w:rsidP="00465096">
            <w:pPr>
              <w:jc w:val="both"/>
              <w:rPr>
                <w:sz w:val="20"/>
                <w:lang w:val="fr-CA"/>
              </w:rPr>
            </w:pPr>
            <w:r w:rsidRPr="00C51ECB">
              <w:rPr>
                <w:sz w:val="20"/>
                <w:lang w:val="fr-CA"/>
              </w:rPr>
              <w:t>(Alb.) (Civile) (Autorisation)</w:t>
            </w:r>
          </w:p>
        </w:tc>
      </w:tr>
      <w:tr w:rsidR="00465096" w:rsidRPr="00C51ECB" w:rsidTr="00E95A6A">
        <w:tc>
          <w:tcPr>
            <w:tcW w:w="5000" w:type="pct"/>
            <w:gridSpan w:val="4"/>
          </w:tcPr>
          <w:p w:rsidR="00465096" w:rsidRPr="00C51ECB" w:rsidRDefault="00465096" w:rsidP="00465096">
            <w:pPr>
              <w:jc w:val="both"/>
              <w:rPr>
                <w:sz w:val="20"/>
                <w:lang w:val="fr-CA"/>
              </w:rPr>
            </w:pPr>
            <w:r w:rsidRPr="00C51ECB">
              <w:rPr>
                <w:sz w:val="20"/>
                <w:lang w:val="fr-CA"/>
              </w:rPr>
              <w:t>Responsabilité délictuelle — Négligence — Préjudice personnel — Causalité — Dommages</w:t>
            </w:r>
            <w:r w:rsidRPr="00C51ECB">
              <w:rPr>
                <w:sz w:val="20"/>
                <w:lang w:val="fr-CA"/>
              </w:rPr>
              <w:noBreakHyphen/>
              <w:t>intérêts — La demanderesse blessée dans un accident de la route sollicite des dommages</w:t>
            </w:r>
            <w:r w:rsidRPr="00C51ECB">
              <w:rPr>
                <w:sz w:val="20"/>
                <w:lang w:val="fr-CA"/>
              </w:rPr>
              <w:noBreakHyphen/>
              <w:t>intérêts, notamment pour de la douleur chronique et un trouble à symptomatologie somatique — Le juge de première instance a limité les dommages</w:t>
            </w:r>
            <w:r w:rsidRPr="00C51ECB">
              <w:rPr>
                <w:sz w:val="20"/>
                <w:lang w:val="fr-CA"/>
              </w:rPr>
              <w:noBreakHyphen/>
              <w:t>intérêts au préjudice subi avant octobre 2008 — Quelle est la règle de droit relative à la causalité en matière de préjudice psychologique? — La pratique de toute médecine et de toute psychiatrie repose</w:t>
            </w:r>
            <w:r w:rsidRPr="00C51ECB">
              <w:rPr>
                <w:sz w:val="20"/>
                <w:lang w:val="fr-CA"/>
              </w:rPr>
              <w:noBreakHyphen/>
              <w:t>t</w:t>
            </w:r>
            <w:r w:rsidRPr="00C51ECB">
              <w:rPr>
                <w:sz w:val="20"/>
                <w:lang w:val="fr-CA"/>
              </w:rPr>
              <w:noBreakHyphen/>
              <w:t xml:space="preserve">elle sur une preuve subjective, </w:t>
            </w:r>
            <w:r w:rsidRPr="00C51ECB">
              <w:rPr>
                <w:sz w:val="20"/>
                <w:lang w:val="fr-CA"/>
              </w:rPr>
              <w:lastRenderedPageBreak/>
              <w:t>même si les experts disent faire appel à des mesures objectives? — Dans quelles circonstances un juge de première instance peut</w:t>
            </w:r>
            <w:r w:rsidRPr="00C51ECB">
              <w:rPr>
                <w:sz w:val="20"/>
                <w:lang w:val="fr-CA"/>
              </w:rPr>
              <w:noBreakHyphen/>
              <w:t xml:space="preserve">il </w:t>
            </w:r>
            <w:proofErr w:type="gramStart"/>
            <w:r w:rsidRPr="00C51ECB">
              <w:rPr>
                <w:sz w:val="20"/>
                <w:lang w:val="fr-CA"/>
              </w:rPr>
              <w:t>nier</w:t>
            </w:r>
            <w:proofErr w:type="gramEnd"/>
            <w:r w:rsidRPr="00C51ECB">
              <w:rPr>
                <w:sz w:val="20"/>
                <w:lang w:val="fr-CA"/>
              </w:rPr>
              <w:t xml:space="preserve"> la présence de maladie mentale sur le fondement d’un manque de crédibilité attribuable aux symptômes de cette même maladie? — Sur quel fondement un juge de première peut</w:t>
            </w:r>
            <w:r w:rsidRPr="00C51ECB">
              <w:rPr>
                <w:sz w:val="20"/>
                <w:lang w:val="fr-CA"/>
              </w:rPr>
              <w:noBreakHyphen/>
              <w:t xml:space="preserve">il </w:t>
            </w:r>
            <w:proofErr w:type="gramStart"/>
            <w:r w:rsidRPr="00C51ECB">
              <w:rPr>
                <w:sz w:val="20"/>
                <w:lang w:val="fr-CA"/>
              </w:rPr>
              <w:t>tirer</w:t>
            </w:r>
            <w:proofErr w:type="gramEnd"/>
            <w:r w:rsidRPr="00C51ECB">
              <w:rPr>
                <w:sz w:val="20"/>
                <w:lang w:val="fr-CA"/>
              </w:rPr>
              <w:t xml:space="preserve"> des conclusions différentes de celles des experts sur le diagnostic psychiatrique? — Le tribunal peut</w:t>
            </w:r>
            <w:r w:rsidRPr="00C51ECB">
              <w:rPr>
                <w:sz w:val="20"/>
                <w:lang w:val="fr-CA"/>
              </w:rPr>
              <w:noBreakHyphen/>
              <w:t xml:space="preserve">il admettre la preuve d’expert que la TSS existe, tout en rejetant la même preuve d’expert lorsqu’il s’agit de statuer sur la causalité? — Les arrêts </w:t>
            </w:r>
            <w:proofErr w:type="spellStart"/>
            <w:r w:rsidRPr="00C51ECB">
              <w:rPr>
                <w:i/>
                <w:sz w:val="20"/>
                <w:lang w:val="fr-CA"/>
              </w:rPr>
              <w:t>Athey</w:t>
            </w:r>
            <w:proofErr w:type="spellEnd"/>
            <w:r w:rsidRPr="00C51ECB">
              <w:rPr>
                <w:sz w:val="20"/>
                <w:lang w:val="fr-CA"/>
              </w:rPr>
              <w:t xml:space="preserve"> et </w:t>
            </w:r>
            <w:proofErr w:type="spellStart"/>
            <w:r w:rsidRPr="00C51ECB">
              <w:rPr>
                <w:i/>
                <w:sz w:val="20"/>
                <w:lang w:val="fr-CA"/>
              </w:rPr>
              <w:t>Clements</w:t>
            </w:r>
            <w:proofErr w:type="spellEnd"/>
            <w:r w:rsidRPr="00C51ECB">
              <w:rPr>
                <w:sz w:val="20"/>
                <w:lang w:val="fr-CA"/>
              </w:rPr>
              <w:t xml:space="preserve"> s’appliquent</w:t>
            </w:r>
            <w:r w:rsidRPr="00C51ECB">
              <w:rPr>
                <w:sz w:val="20"/>
                <w:lang w:val="fr-CA"/>
              </w:rPr>
              <w:noBreakHyphen/>
              <w:t>ils au préjudice psychologique? — Dans un appel sur des questions de fait, le tribunal d’appel doit</w:t>
            </w:r>
            <w:r w:rsidRPr="00C51ECB">
              <w:rPr>
                <w:sz w:val="20"/>
                <w:lang w:val="fr-CA"/>
              </w:rPr>
              <w:noBreakHyphen/>
              <w:t>il examiner la preuve pour déterminer si elle est entachée d’une erreur manifeste et dominante?</w:t>
            </w:r>
          </w:p>
        </w:tc>
      </w:tr>
      <w:tr w:rsidR="00465096" w:rsidRPr="00C51ECB" w:rsidTr="00E95A6A">
        <w:tc>
          <w:tcPr>
            <w:tcW w:w="5000" w:type="pct"/>
            <w:gridSpan w:val="4"/>
          </w:tcPr>
          <w:p w:rsidR="00465096" w:rsidRPr="00C51ECB" w:rsidRDefault="00465096" w:rsidP="00465096">
            <w:pPr>
              <w:jc w:val="both"/>
              <w:rPr>
                <w:sz w:val="20"/>
                <w:lang w:val="fr-CA"/>
              </w:rPr>
            </w:pPr>
          </w:p>
        </w:tc>
      </w:tr>
      <w:tr w:rsidR="00465096" w:rsidRPr="00C51ECB" w:rsidTr="00E95A6A">
        <w:tc>
          <w:tcPr>
            <w:tcW w:w="5000" w:type="pct"/>
            <w:gridSpan w:val="4"/>
          </w:tcPr>
          <w:p w:rsidR="00465096" w:rsidRPr="00C51ECB" w:rsidRDefault="00465096" w:rsidP="00465096">
            <w:pPr>
              <w:jc w:val="both"/>
              <w:rPr>
                <w:sz w:val="20"/>
                <w:lang w:val="fr-CA"/>
              </w:rPr>
            </w:pPr>
            <w:r w:rsidRPr="00C51ECB">
              <w:rPr>
                <w:sz w:val="20"/>
                <w:lang w:val="fr-CA"/>
              </w:rPr>
              <w:t>Madame Petz et M. Duguay ont été impliqués dans un accident de la route survenu en septembre 2004. Madame Petz, une passagère dans le véhicule, a été blessée dans la collision. Elle a intenté une action en dommages</w:t>
            </w:r>
            <w:r w:rsidRPr="00C51ECB">
              <w:rPr>
                <w:sz w:val="20"/>
                <w:lang w:val="fr-CA"/>
              </w:rPr>
              <w:noBreakHyphen/>
              <w:t>intérêts contre M. Duguay, qui a admis sa responsabilité. Au procès, les principales questions avaient trait à la causalité et aux préjudices qui ont découlé de l’accident. Madame Petz a soutenu que sa douleur chronique a persisté jusqu’à la date du procès.</w:t>
            </w: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10 février 2017</w:t>
            </w:r>
          </w:p>
          <w:p w:rsidR="00465096" w:rsidRPr="00C51ECB" w:rsidRDefault="00465096" w:rsidP="00465096">
            <w:pPr>
              <w:jc w:val="both"/>
              <w:rPr>
                <w:sz w:val="20"/>
                <w:lang w:val="fr-CA"/>
              </w:rPr>
            </w:pPr>
            <w:r w:rsidRPr="00C51ECB">
              <w:rPr>
                <w:sz w:val="20"/>
                <w:lang w:val="fr-CA"/>
              </w:rPr>
              <w:t>Cour du Banc de la Reine de l’Alberta</w:t>
            </w:r>
          </w:p>
          <w:p w:rsidR="00465096" w:rsidRPr="00C51ECB" w:rsidRDefault="00465096" w:rsidP="00465096">
            <w:pPr>
              <w:jc w:val="both"/>
              <w:rPr>
                <w:sz w:val="20"/>
                <w:lang w:val="fr-CA"/>
              </w:rPr>
            </w:pPr>
            <w:r w:rsidRPr="00C51ECB">
              <w:rPr>
                <w:sz w:val="20"/>
                <w:lang w:val="fr-CA"/>
              </w:rPr>
              <w:t>(Juge Sullivan)</w:t>
            </w:r>
          </w:p>
          <w:p w:rsidR="00465096" w:rsidRPr="00C51ECB" w:rsidRDefault="00465096" w:rsidP="00465096">
            <w:pPr>
              <w:jc w:val="both"/>
              <w:rPr>
                <w:sz w:val="20"/>
                <w:lang w:val="fr-CA"/>
              </w:rPr>
            </w:pPr>
            <w:hyperlink r:id="rId63" w:history="1">
              <w:r w:rsidRPr="00C51ECB">
                <w:rPr>
                  <w:rStyle w:val="Hyperlink"/>
                  <w:sz w:val="20"/>
                  <w:lang w:val="fr-CA"/>
                </w:rPr>
                <w:t>2017 ABQB 90</w:t>
              </w:r>
            </w:hyperlink>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Jugement attribuant à la demanderesse des dommages</w:t>
            </w:r>
            <w:r w:rsidRPr="00C51ECB">
              <w:rPr>
                <w:sz w:val="20"/>
                <w:lang w:val="fr-CA"/>
              </w:rPr>
              <w:noBreakHyphen/>
              <w:t>intérêts pour la période commençant à la date de l’accident jusqu’en octobre 2008</w:t>
            </w:r>
          </w:p>
          <w:p w:rsidR="00465096" w:rsidRPr="00C51ECB" w:rsidRDefault="00465096" w:rsidP="00465096">
            <w:pPr>
              <w:jc w:val="both"/>
              <w:rPr>
                <w:sz w:val="20"/>
                <w:lang w:val="fr-CA"/>
              </w:rPr>
            </w:pP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29 novembre 2018</w:t>
            </w:r>
          </w:p>
          <w:p w:rsidR="00465096" w:rsidRPr="00C51ECB" w:rsidRDefault="00465096" w:rsidP="00465096">
            <w:pPr>
              <w:jc w:val="both"/>
              <w:rPr>
                <w:sz w:val="20"/>
                <w:lang w:val="fr-CA"/>
              </w:rPr>
            </w:pPr>
            <w:r w:rsidRPr="00C51ECB">
              <w:rPr>
                <w:sz w:val="20"/>
                <w:lang w:val="fr-CA"/>
              </w:rPr>
              <w:t>Cour d’appel de l’Alberta (Calgary)</w:t>
            </w:r>
          </w:p>
          <w:p w:rsidR="00465096" w:rsidRPr="00C51ECB" w:rsidRDefault="00465096" w:rsidP="00465096">
            <w:pPr>
              <w:jc w:val="both"/>
              <w:rPr>
                <w:sz w:val="20"/>
                <w:lang w:val="fr-CA"/>
              </w:rPr>
            </w:pPr>
            <w:r w:rsidRPr="00C51ECB">
              <w:rPr>
                <w:sz w:val="20"/>
                <w:lang w:val="fr-CA"/>
              </w:rPr>
              <w:t>(Juges McDonald, Greckol [dissidente] et Crighton)</w:t>
            </w:r>
          </w:p>
          <w:p w:rsidR="00465096" w:rsidRPr="00C51ECB" w:rsidRDefault="00465096" w:rsidP="00465096">
            <w:pPr>
              <w:jc w:val="both"/>
              <w:rPr>
                <w:sz w:val="20"/>
                <w:lang w:val="fr-CA"/>
              </w:rPr>
            </w:pPr>
            <w:hyperlink r:id="rId64" w:history="1">
              <w:r w:rsidRPr="00C51ECB">
                <w:rPr>
                  <w:rStyle w:val="Hyperlink"/>
                  <w:sz w:val="20"/>
                  <w:lang w:val="fr-CA"/>
                </w:rPr>
                <w:t>2018 ABCA 402</w:t>
              </w:r>
            </w:hyperlink>
          </w:p>
          <w:p w:rsidR="00465096" w:rsidRPr="00C51ECB" w:rsidRDefault="00465096" w:rsidP="00465096">
            <w:pPr>
              <w:jc w:val="both"/>
              <w:rPr>
                <w:sz w:val="20"/>
                <w:lang w:val="fr-CA"/>
              </w:rPr>
            </w:pP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Arrêt rejetant l’appel de la demanderesse et accueillant en partie l’appel de l’intimé quant aux dépens</w:t>
            </w:r>
          </w:p>
          <w:p w:rsidR="00465096" w:rsidRPr="00C51ECB" w:rsidRDefault="00465096" w:rsidP="00465096">
            <w:pPr>
              <w:jc w:val="both"/>
              <w:rPr>
                <w:sz w:val="20"/>
                <w:lang w:val="fr-CA"/>
              </w:rPr>
            </w:pPr>
          </w:p>
          <w:p w:rsidR="00465096" w:rsidRPr="00C51ECB" w:rsidRDefault="00465096" w:rsidP="00465096">
            <w:pPr>
              <w:jc w:val="both"/>
              <w:rPr>
                <w:sz w:val="20"/>
                <w:lang w:val="fr-CA"/>
              </w:rPr>
            </w:pPr>
          </w:p>
        </w:tc>
      </w:tr>
      <w:tr w:rsidR="00465096" w:rsidRPr="00C51ECB" w:rsidTr="00E95A6A">
        <w:tc>
          <w:tcPr>
            <w:tcW w:w="2427" w:type="pct"/>
            <w:gridSpan w:val="2"/>
          </w:tcPr>
          <w:p w:rsidR="00465096" w:rsidRPr="00C51ECB" w:rsidRDefault="00465096" w:rsidP="00465096">
            <w:pPr>
              <w:jc w:val="both"/>
              <w:rPr>
                <w:sz w:val="20"/>
                <w:lang w:val="fr-CA"/>
              </w:rPr>
            </w:pPr>
            <w:r w:rsidRPr="00C51ECB">
              <w:rPr>
                <w:sz w:val="20"/>
                <w:lang w:val="fr-CA"/>
              </w:rPr>
              <w:t>25 janvier 2019</w:t>
            </w:r>
          </w:p>
          <w:p w:rsidR="00465096" w:rsidRPr="00C51ECB" w:rsidRDefault="00465096" w:rsidP="00465096">
            <w:pPr>
              <w:jc w:val="both"/>
              <w:rPr>
                <w:sz w:val="20"/>
                <w:lang w:val="fr-CA"/>
              </w:rPr>
            </w:pPr>
            <w:r w:rsidRPr="00C51ECB">
              <w:rPr>
                <w:sz w:val="20"/>
                <w:lang w:val="fr-CA"/>
              </w:rPr>
              <w:t>Cour suprême du Canada</w:t>
            </w:r>
          </w:p>
        </w:tc>
        <w:tc>
          <w:tcPr>
            <w:tcW w:w="243" w:type="pct"/>
          </w:tcPr>
          <w:p w:rsidR="00465096" w:rsidRPr="00C51ECB" w:rsidRDefault="00465096" w:rsidP="00465096">
            <w:pPr>
              <w:jc w:val="both"/>
              <w:rPr>
                <w:sz w:val="20"/>
                <w:lang w:val="fr-CA"/>
              </w:rPr>
            </w:pPr>
          </w:p>
        </w:tc>
        <w:tc>
          <w:tcPr>
            <w:tcW w:w="2330" w:type="pct"/>
          </w:tcPr>
          <w:p w:rsidR="00465096" w:rsidRPr="00C51ECB" w:rsidRDefault="00465096" w:rsidP="00465096">
            <w:pPr>
              <w:jc w:val="both"/>
              <w:rPr>
                <w:sz w:val="20"/>
                <w:lang w:val="fr-CA"/>
              </w:rPr>
            </w:pPr>
            <w:r w:rsidRPr="00C51ECB">
              <w:rPr>
                <w:sz w:val="20"/>
                <w:lang w:val="fr-CA"/>
              </w:rPr>
              <w:t>Dépôt de la demande d’autorisation d’appel</w:t>
            </w:r>
          </w:p>
          <w:p w:rsidR="00465096" w:rsidRPr="00C51ECB" w:rsidRDefault="00465096" w:rsidP="00465096">
            <w:pPr>
              <w:jc w:val="both"/>
              <w:rPr>
                <w:sz w:val="20"/>
                <w:lang w:val="fr-CA"/>
              </w:rPr>
            </w:pPr>
          </w:p>
        </w:tc>
      </w:tr>
    </w:tbl>
    <w:p w:rsidR="00D84BE0" w:rsidRPr="00C51ECB" w:rsidRDefault="00D84BE0" w:rsidP="006A22CA">
      <w:pPr>
        <w:ind w:left="142" w:hanging="142"/>
        <w:jc w:val="both"/>
        <w:rPr>
          <w:sz w:val="20"/>
          <w:lang w:val="fr-CA"/>
        </w:rPr>
      </w:pPr>
    </w:p>
    <w:p w:rsidR="00D84BE0" w:rsidRPr="00C51ECB" w:rsidRDefault="0084772C" w:rsidP="006A22CA">
      <w:pPr>
        <w:ind w:left="142" w:hanging="142"/>
        <w:jc w:val="both"/>
        <w:rPr>
          <w:sz w:val="20"/>
          <w:lang w:val="fr-CA"/>
        </w:rPr>
      </w:pPr>
      <w:r w:rsidRPr="00C51ECB">
        <w:rPr>
          <w:sz w:val="20"/>
        </w:rPr>
        <w:pict>
          <v:rect id="_x0000_i1052" style="width:2in;height:1pt" o:hrpct="0" o:hralign="center" o:hrstd="t" o:hrnoshade="t" o:hr="t" fillcolor="black [3213]" stroked="f"/>
        </w:pict>
      </w:r>
    </w:p>
    <w:p w:rsidR="00D84BE0" w:rsidRPr="00C51ECB" w:rsidRDefault="00D84BE0" w:rsidP="006A22CA">
      <w:pPr>
        <w:ind w:left="142" w:hanging="142"/>
        <w:jc w:val="both"/>
        <w:rPr>
          <w:sz w:val="20"/>
          <w:lang w:val="fr-CA"/>
        </w:rPr>
      </w:pPr>
    </w:p>
    <w:p w:rsidR="0084772C" w:rsidRPr="00C51ECB" w:rsidRDefault="0084772C" w:rsidP="006A22CA">
      <w:pPr>
        <w:ind w:left="142" w:hanging="142"/>
        <w:jc w:val="both"/>
        <w:rPr>
          <w:sz w:val="20"/>
          <w:lang w:val="fr-CA"/>
        </w:rPr>
      </w:pPr>
    </w:p>
    <w:p w:rsidR="00FD3FA0" w:rsidRPr="00C51ECB" w:rsidRDefault="00FD3FA0" w:rsidP="006A22CA">
      <w:pPr>
        <w:ind w:left="142" w:hanging="142"/>
        <w:jc w:val="both"/>
        <w:rPr>
          <w:sz w:val="20"/>
          <w:lang w:val="fr-CA"/>
        </w:rPr>
      </w:pPr>
    </w:p>
    <w:p w:rsidR="00D3344A" w:rsidRPr="00C51ECB" w:rsidRDefault="00D3344A" w:rsidP="00D3344A">
      <w:pPr>
        <w:widowControl w:val="0"/>
        <w:outlineLvl w:val="0"/>
      </w:pPr>
      <w:r w:rsidRPr="00C51ECB">
        <w:t xml:space="preserve">Supreme Court of Canada / Cour suprême du </w:t>
      </w:r>
      <w:proofErr w:type="gramStart"/>
      <w:r w:rsidRPr="00C51ECB">
        <w:t>Canad</w:t>
      </w:r>
      <w:r w:rsidR="00EE289F" w:rsidRPr="00C51ECB">
        <w:t>a</w:t>
      </w:r>
      <w:r w:rsidRPr="00C51ECB">
        <w:t xml:space="preserve"> :</w:t>
      </w:r>
      <w:proofErr w:type="gramEnd"/>
    </w:p>
    <w:p w:rsidR="00D3344A" w:rsidRPr="00C51ECB" w:rsidRDefault="00C51ECB" w:rsidP="00D3344A">
      <w:pPr>
        <w:widowControl w:val="0"/>
        <w:outlineLvl w:val="0"/>
        <w:rPr>
          <w:u w:val="single"/>
        </w:rPr>
      </w:pPr>
      <w:hyperlink r:id="rId65" w:history="1">
        <w:r w:rsidR="009B7391" w:rsidRPr="00C51ECB">
          <w:rPr>
            <w:rStyle w:val="Hyperlink"/>
          </w:rPr>
          <w:t>comments-commentaires@scc-csc.ca</w:t>
        </w:r>
      </w:hyperlink>
    </w:p>
    <w:p w:rsidR="00D3344A" w:rsidRPr="00C51ECB" w:rsidRDefault="0065588C" w:rsidP="00D3344A">
      <w:pPr>
        <w:widowControl w:val="0"/>
        <w:outlineLvl w:val="0"/>
      </w:pPr>
      <w:r w:rsidRPr="00C51ECB">
        <w:t>613-</w:t>
      </w:r>
      <w:r w:rsidR="00D3344A" w:rsidRPr="00C51ECB">
        <w:t>995-4330</w:t>
      </w:r>
    </w:p>
    <w:p w:rsidR="00497B5E" w:rsidRPr="00C51ECB" w:rsidRDefault="00497B5E" w:rsidP="00497B5E">
      <w:pPr>
        <w:widowControl w:val="0"/>
        <w:rPr>
          <w:sz w:val="20"/>
        </w:rPr>
      </w:pPr>
    </w:p>
    <w:p w:rsidR="00F6251B" w:rsidRPr="006E558B" w:rsidRDefault="003F43E6" w:rsidP="00F6251B">
      <w:pPr>
        <w:pStyle w:val="Footer"/>
        <w:jc w:val="center"/>
      </w:pPr>
      <w:r w:rsidRPr="00C51ECB">
        <w:t>- 30 -</w:t>
      </w:r>
      <w:bookmarkStart w:id="0" w:name="_GoBack"/>
      <w:bookmarkEnd w:id="0"/>
    </w:p>
    <w:sectPr w:rsidR="00F6251B" w:rsidRPr="006E558B" w:rsidSect="00524822">
      <w:headerReference w:type="even" r:id="rId66"/>
      <w:headerReference w:type="default" r:id="rId67"/>
      <w:footerReference w:type="even" r:id="rId68"/>
      <w:footerReference w:type="default" r:id="rId69"/>
      <w:headerReference w:type="first" r:id="rId70"/>
      <w:footerReference w:type="first" r:id="rId7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E57"/>
    <w:multiLevelType w:val="hybridMultilevel"/>
    <w:tmpl w:val="58287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826A9"/>
    <w:multiLevelType w:val="hybridMultilevel"/>
    <w:tmpl w:val="BD9ED894"/>
    <w:lvl w:ilvl="0" w:tplc="488480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62598"/>
    <w:multiLevelType w:val="hybridMultilevel"/>
    <w:tmpl w:val="212C0E3C"/>
    <w:lvl w:ilvl="0" w:tplc="65887394">
      <w:start w:val="3"/>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71A2ADC"/>
    <w:multiLevelType w:val="hybridMultilevel"/>
    <w:tmpl w:val="CFC0B0D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26600E"/>
    <w:multiLevelType w:val="hybridMultilevel"/>
    <w:tmpl w:val="0A4EC428"/>
    <w:lvl w:ilvl="0" w:tplc="BAC4616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933E7"/>
    <w:multiLevelType w:val="hybridMultilevel"/>
    <w:tmpl w:val="DB0E3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0147E"/>
    <w:multiLevelType w:val="hybridMultilevel"/>
    <w:tmpl w:val="EB2C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A0DEC"/>
    <w:multiLevelType w:val="hybridMultilevel"/>
    <w:tmpl w:val="E4449AFC"/>
    <w:lvl w:ilvl="0" w:tplc="1DDC0A7E">
      <w:start w:val="2"/>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930F6B"/>
    <w:multiLevelType w:val="hybridMultilevel"/>
    <w:tmpl w:val="F490D576"/>
    <w:lvl w:ilvl="0" w:tplc="983469B4">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13BA9"/>
    <w:multiLevelType w:val="hybridMultilevel"/>
    <w:tmpl w:val="F17C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12E33"/>
    <w:multiLevelType w:val="hybridMultilevel"/>
    <w:tmpl w:val="317A7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A37E5"/>
    <w:multiLevelType w:val="hybridMultilevel"/>
    <w:tmpl w:val="295400B2"/>
    <w:lvl w:ilvl="0" w:tplc="0902CF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8335B"/>
    <w:multiLevelType w:val="hybridMultilevel"/>
    <w:tmpl w:val="1F2433A0"/>
    <w:lvl w:ilvl="0" w:tplc="673E3DA4">
      <w:start w:val="1"/>
      <w:numFmt w:val="decimal"/>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F790B"/>
    <w:multiLevelType w:val="hybridMultilevel"/>
    <w:tmpl w:val="E6F60DE4"/>
    <w:lvl w:ilvl="0" w:tplc="DEAE5608">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7A29"/>
    <w:multiLevelType w:val="hybridMultilevel"/>
    <w:tmpl w:val="70EEF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506E7"/>
    <w:multiLevelType w:val="hybridMultilevel"/>
    <w:tmpl w:val="FBAEE016"/>
    <w:lvl w:ilvl="0" w:tplc="C4B61B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D404C"/>
    <w:multiLevelType w:val="hybridMultilevel"/>
    <w:tmpl w:val="2FD41E04"/>
    <w:lvl w:ilvl="0" w:tplc="70A8647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06C85"/>
    <w:multiLevelType w:val="hybridMultilevel"/>
    <w:tmpl w:val="91E6900A"/>
    <w:lvl w:ilvl="0" w:tplc="AFF61A1E">
      <w:start w:val="4"/>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42F99"/>
    <w:multiLevelType w:val="hybridMultilevel"/>
    <w:tmpl w:val="59069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B1F6F"/>
    <w:multiLevelType w:val="hybridMultilevel"/>
    <w:tmpl w:val="19787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9611D"/>
    <w:multiLevelType w:val="hybridMultilevel"/>
    <w:tmpl w:val="5DB2F802"/>
    <w:lvl w:ilvl="0" w:tplc="0B4A5340">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8B556E5"/>
    <w:multiLevelType w:val="hybridMultilevel"/>
    <w:tmpl w:val="ADF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F45BD"/>
    <w:multiLevelType w:val="hybridMultilevel"/>
    <w:tmpl w:val="502866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92DF0"/>
    <w:multiLevelType w:val="hybridMultilevel"/>
    <w:tmpl w:val="4134EA22"/>
    <w:lvl w:ilvl="0" w:tplc="AA1C70E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E5EA6"/>
    <w:multiLevelType w:val="hybridMultilevel"/>
    <w:tmpl w:val="5928B8D8"/>
    <w:lvl w:ilvl="0" w:tplc="D85E4A5C">
      <w:start w:val="6"/>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EA36D4"/>
    <w:multiLevelType w:val="hybridMultilevel"/>
    <w:tmpl w:val="4ED4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51AF1"/>
    <w:multiLevelType w:val="hybridMultilevel"/>
    <w:tmpl w:val="B03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56B44"/>
    <w:multiLevelType w:val="hybridMultilevel"/>
    <w:tmpl w:val="03B0CB3A"/>
    <w:lvl w:ilvl="0" w:tplc="1904EF8A">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E7791"/>
    <w:multiLevelType w:val="hybridMultilevel"/>
    <w:tmpl w:val="68609A06"/>
    <w:lvl w:ilvl="0" w:tplc="50D0B6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3C5334"/>
    <w:multiLevelType w:val="hybridMultilevel"/>
    <w:tmpl w:val="11FA2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48C7FF5"/>
    <w:multiLevelType w:val="hybridMultilevel"/>
    <w:tmpl w:val="45681954"/>
    <w:lvl w:ilvl="0" w:tplc="6602F5DA">
      <w:start w:val="6"/>
      <w:numFmt w:val="decimal"/>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B2092"/>
    <w:multiLevelType w:val="hybridMultilevel"/>
    <w:tmpl w:val="65A25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A42E1B"/>
    <w:multiLevelType w:val="hybridMultilevel"/>
    <w:tmpl w:val="1FB2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372DA2"/>
    <w:multiLevelType w:val="hybridMultilevel"/>
    <w:tmpl w:val="CB02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38"/>
  </w:num>
  <w:num w:numId="4">
    <w:abstractNumId w:val="29"/>
  </w:num>
  <w:num w:numId="5">
    <w:abstractNumId w:val="4"/>
  </w:num>
  <w:num w:numId="6">
    <w:abstractNumId w:val="30"/>
  </w:num>
  <w:num w:numId="7">
    <w:abstractNumId w:val="21"/>
  </w:num>
  <w:num w:numId="8">
    <w:abstractNumId w:val="17"/>
  </w:num>
  <w:num w:numId="9">
    <w:abstractNumId w:val="16"/>
  </w:num>
  <w:num w:numId="10">
    <w:abstractNumId w:val="15"/>
  </w:num>
  <w:num w:numId="11">
    <w:abstractNumId w:val="39"/>
  </w:num>
  <w:num w:numId="12">
    <w:abstractNumId w:val="11"/>
  </w:num>
  <w:num w:numId="13">
    <w:abstractNumId w:val="24"/>
  </w:num>
  <w:num w:numId="14">
    <w:abstractNumId w:val="32"/>
  </w:num>
  <w:num w:numId="15">
    <w:abstractNumId w:val="34"/>
  </w:num>
  <w:num w:numId="16">
    <w:abstractNumId w:val="18"/>
  </w:num>
  <w:num w:numId="17">
    <w:abstractNumId w:val="28"/>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7"/>
  </w:num>
  <w:num w:numId="22">
    <w:abstractNumId w:val="3"/>
  </w:num>
  <w:num w:numId="23">
    <w:abstractNumId w:val="25"/>
  </w:num>
  <w:num w:numId="24">
    <w:abstractNumId w:val="0"/>
  </w:num>
  <w:num w:numId="25">
    <w:abstractNumId w:val="10"/>
  </w:num>
  <w:num w:numId="26">
    <w:abstractNumId w:val="31"/>
  </w:num>
  <w:num w:numId="27">
    <w:abstractNumId w:val="23"/>
  </w:num>
  <w:num w:numId="28">
    <w:abstractNumId w:val="19"/>
  </w:num>
  <w:num w:numId="29">
    <w:abstractNumId w:val="9"/>
  </w:num>
  <w:num w:numId="30">
    <w:abstractNumId w:val="40"/>
  </w:num>
  <w:num w:numId="31">
    <w:abstractNumId w:val="12"/>
  </w:num>
  <w:num w:numId="32">
    <w:abstractNumId w:val="14"/>
  </w:num>
  <w:num w:numId="33">
    <w:abstractNumId w:val="8"/>
  </w:num>
  <w:num w:numId="34">
    <w:abstractNumId w:val="7"/>
  </w:num>
  <w:num w:numId="35">
    <w:abstractNumId w:val="37"/>
  </w:num>
  <w:num w:numId="36">
    <w:abstractNumId w:val="13"/>
  </w:num>
  <w:num w:numId="37">
    <w:abstractNumId w:val="36"/>
  </w:num>
  <w:num w:numId="38">
    <w:abstractNumId w:val="1"/>
  </w:num>
  <w:num w:numId="39">
    <w:abstractNumId w:val="35"/>
  </w:num>
  <w:num w:numId="40">
    <w:abstractNumId w:val="33"/>
  </w:num>
  <w:num w:numId="41">
    <w:abstractNumId w:val="41"/>
  </w:num>
  <w:num w:numId="4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156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452"/>
    <w:rsid w:val="00014C19"/>
    <w:rsid w:val="000154CC"/>
    <w:rsid w:val="00015958"/>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1DE6"/>
    <w:rsid w:val="00053B2B"/>
    <w:rsid w:val="00053BAF"/>
    <w:rsid w:val="00054353"/>
    <w:rsid w:val="0005486A"/>
    <w:rsid w:val="00054A01"/>
    <w:rsid w:val="00054F8E"/>
    <w:rsid w:val="00055DB2"/>
    <w:rsid w:val="0005719F"/>
    <w:rsid w:val="0005761E"/>
    <w:rsid w:val="000577D9"/>
    <w:rsid w:val="000579A0"/>
    <w:rsid w:val="00060753"/>
    <w:rsid w:val="00060981"/>
    <w:rsid w:val="00060B62"/>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F50"/>
    <w:rsid w:val="00070830"/>
    <w:rsid w:val="00070B2E"/>
    <w:rsid w:val="000718BA"/>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6193"/>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161"/>
    <w:rsid w:val="000D25A2"/>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62C7"/>
    <w:rsid w:val="000F6A2D"/>
    <w:rsid w:val="000F6CBD"/>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5FC"/>
    <w:rsid w:val="00147BE4"/>
    <w:rsid w:val="00147CDB"/>
    <w:rsid w:val="00147DDC"/>
    <w:rsid w:val="00147DE3"/>
    <w:rsid w:val="00150453"/>
    <w:rsid w:val="00150A0F"/>
    <w:rsid w:val="00150C10"/>
    <w:rsid w:val="00150D1B"/>
    <w:rsid w:val="00151336"/>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837"/>
    <w:rsid w:val="00163A54"/>
    <w:rsid w:val="00164791"/>
    <w:rsid w:val="00165EAA"/>
    <w:rsid w:val="0016645E"/>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493"/>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8E0"/>
    <w:rsid w:val="00183A15"/>
    <w:rsid w:val="00185355"/>
    <w:rsid w:val="0018535B"/>
    <w:rsid w:val="00185483"/>
    <w:rsid w:val="00185D52"/>
    <w:rsid w:val="0018628A"/>
    <w:rsid w:val="001866BF"/>
    <w:rsid w:val="00186884"/>
    <w:rsid w:val="00186A9F"/>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3100"/>
    <w:rsid w:val="001A3A22"/>
    <w:rsid w:val="001A3AA1"/>
    <w:rsid w:val="001A3F98"/>
    <w:rsid w:val="001A4109"/>
    <w:rsid w:val="001A4547"/>
    <w:rsid w:val="001A48FB"/>
    <w:rsid w:val="001A4C89"/>
    <w:rsid w:val="001A4F4E"/>
    <w:rsid w:val="001A562F"/>
    <w:rsid w:val="001A6341"/>
    <w:rsid w:val="001A646C"/>
    <w:rsid w:val="001A66AF"/>
    <w:rsid w:val="001B09DF"/>
    <w:rsid w:val="001B0AB2"/>
    <w:rsid w:val="001B1019"/>
    <w:rsid w:val="001B1B0D"/>
    <w:rsid w:val="001B1C6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7038"/>
    <w:rsid w:val="001F7320"/>
    <w:rsid w:val="002007E9"/>
    <w:rsid w:val="00200F31"/>
    <w:rsid w:val="00201B26"/>
    <w:rsid w:val="0020221F"/>
    <w:rsid w:val="00202E67"/>
    <w:rsid w:val="00203082"/>
    <w:rsid w:val="00203AEA"/>
    <w:rsid w:val="00203D33"/>
    <w:rsid w:val="00205051"/>
    <w:rsid w:val="0020794A"/>
    <w:rsid w:val="00207A23"/>
    <w:rsid w:val="00207C7F"/>
    <w:rsid w:val="00210B48"/>
    <w:rsid w:val="00210F53"/>
    <w:rsid w:val="00211174"/>
    <w:rsid w:val="0021175A"/>
    <w:rsid w:val="00211B5E"/>
    <w:rsid w:val="00211B9D"/>
    <w:rsid w:val="002120BD"/>
    <w:rsid w:val="00212962"/>
    <w:rsid w:val="00212AE1"/>
    <w:rsid w:val="00213196"/>
    <w:rsid w:val="00214731"/>
    <w:rsid w:val="00214852"/>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7A81"/>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621"/>
    <w:rsid w:val="002A07B1"/>
    <w:rsid w:val="002A17E0"/>
    <w:rsid w:val="002A21C3"/>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6C3"/>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2E99"/>
    <w:rsid w:val="002D43A1"/>
    <w:rsid w:val="002D50B7"/>
    <w:rsid w:val="002D6310"/>
    <w:rsid w:val="002D63D6"/>
    <w:rsid w:val="002D65E4"/>
    <w:rsid w:val="002D6680"/>
    <w:rsid w:val="002D6EFA"/>
    <w:rsid w:val="002D7F1A"/>
    <w:rsid w:val="002E00CC"/>
    <w:rsid w:val="002E0473"/>
    <w:rsid w:val="002E0BB8"/>
    <w:rsid w:val="002E0C45"/>
    <w:rsid w:val="002E1197"/>
    <w:rsid w:val="002E1312"/>
    <w:rsid w:val="002E1AB7"/>
    <w:rsid w:val="002E1AF1"/>
    <w:rsid w:val="002E1F29"/>
    <w:rsid w:val="002E24D4"/>
    <w:rsid w:val="002E293D"/>
    <w:rsid w:val="002E2A27"/>
    <w:rsid w:val="002E2FEF"/>
    <w:rsid w:val="002E3911"/>
    <w:rsid w:val="002E3E8A"/>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A1E"/>
    <w:rsid w:val="0039180F"/>
    <w:rsid w:val="00393383"/>
    <w:rsid w:val="00393660"/>
    <w:rsid w:val="00393E6D"/>
    <w:rsid w:val="003940A4"/>
    <w:rsid w:val="00394A88"/>
    <w:rsid w:val="00394FBC"/>
    <w:rsid w:val="00395509"/>
    <w:rsid w:val="003957B6"/>
    <w:rsid w:val="003958AE"/>
    <w:rsid w:val="00395D43"/>
    <w:rsid w:val="00396076"/>
    <w:rsid w:val="0039618A"/>
    <w:rsid w:val="0039624A"/>
    <w:rsid w:val="0039709D"/>
    <w:rsid w:val="00397213"/>
    <w:rsid w:val="003A00C9"/>
    <w:rsid w:val="003A0258"/>
    <w:rsid w:val="003A0632"/>
    <w:rsid w:val="003A08CE"/>
    <w:rsid w:val="003A100F"/>
    <w:rsid w:val="003A11C4"/>
    <w:rsid w:val="003A1F69"/>
    <w:rsid w:val="003A320F"/>
    <w:rsid w:val="003A47E8"/>
    <w:rsid w:val="003A4AB7"/>
    <w:rsid w:val="003A58BA"/>
    <w:rsid w:val="003A7124"/>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A80"/>
    <w:rsid w:val="003E6EF7"/>
    <w:rsid w:val="003E7F59"/>
    <w:rsid w:val="003F059B"/>
    <w:rsid w:val="003F069F"/>
    <w:rsid w:val="003F0D8B"/>
    <w:rsid w:val="003F1E6F"/>
    <w:rsid w:val="003F1F9E"/>
    <w:rsid w:val="003F2A93"/>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DBC"/>
    <w:rsid w:val="00450DFB"/>
    <w:rsid w:val="004511AB"/>
    <w:rsid w:val="004511FA"/>
    <w:rsid w:val="004514D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5096"/>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824"/>
    <w:rsid w:val="00475E1A"/>
    <w:rsid w:val="00476077"/>
    <w:rsid w:val="004762ED"/>
    <w:rsid w:val="00476F6F"/>
    <w:rsid w:val="00477469"/>
    <w:rsid w:val="004774B6"/>
    <w:rsid w:val="004775E8"/>
    <w:rsid w:val="00477A87"/>
    <w:rsid w:val="0048052E"/>
    <w:rsid w:val="00481888"/>
    <w:rsid w:val="0048213C"/>
    <w:rsid w:val="00482A6C"/>
    <w:rsid w:val="00482BE4"/>
    <w:rsid w:val="004831E5"/>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E10"/>
    <w:rsid w:val="004B60AB"/>
    <w:rsid w:val="004B612C"/>
    <w:rsid w:val="004B62A5"/>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428"/>
    <w:rsid w:val="004D5D5C"/>
    <w:rsid w:val="004D5FBA"/>
    <w:rsid w:val="004D6E67"/>
    <w:rsid w:val="004D6FCC"/>
    <w:rsid w:val="004D752E"/>
    <w:rsid w:val="004E00B4"/>
    <w:rsid w:val="004E0745"/>
    <w:rsid w:val="004E0963"/>
    <w:rsid w:val="004E0B2F"/>
    <w:rsid w:val="004E0CCF"/>
    <w:rsid w:val="004E1B3F"/>
    <w:rsid w:val="004E1D94"/>
    <w:rsid w:val="004E21ED"/>
    <w:rsid w:val="004E2A8E"/>
    <w:rsid w:val="004E4559"/>
    <w:rsid w:val="004E458C"/>
    <w:rsid w:val="004E5788"/>
    <w:rsid w:val="004E70F1"/>
    <w:rsid w:val="004E714B"/>
    <w:rsid w:val="004F000D"/>
    <w:rsid w:val="004F0EC9"/>
    <w:rsid w:val="004F0F77"/>
    <w:rsid w:val="004F27DD"/>
    <w:rsid w:val="004F3935"/>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410"/>
    <w:rsid w:val="00540D5C"/>
    <w:rsid w:val="00540EBB"/>
    <w:rsid w:val="00541971"/>
    <w:rsid w:val="00541FF9"/>
    <w:rsid w:val="00542899"/>
    <w:rsid w:val="00544481"/>
    <w:rsid w:val="005444FD"/>
    <w:rsid w:val="00544C2E"/>
    <w:rsid w:val="0054689F"/>
    <w:rsid w:val="00546DAD"/>
    <w:rsid w:val="00546F64"/>
    <w:rsid w:val="0054701C"/>
    <w:rsid w:val="0055024A"/>
    <w:rsid w:val="0055040D"/>
    <w:rsid w:val="00550BD7"/>
    <w:rsid w:val="00550D90"/>
    <w:rsid w:val="005510E7"/>
    <w:rsid w:val="00551176"/>
    <w:rsid w:val="0055248D"/>
    <w:rsid w:val="00552EC6"/>
    <w:rsid w:val="005535CA"/>
    <w:rsid w:val="005538CF"/>
    <w:rsid w:val="005542A1"/>
    <w:rsid w:val="00554850"/>
    <w:rsid w:val="005549AB"/>
    <w:rsid w:val="005557FE"/>
    <w:rsid w:val="00555A0C"/>
    <w:rsid w:val="00555A17"/>
    <w:rsid w:val="00555EC7"/>
    <w:rsid w:val="005570AD"/>
    <w:rsid w:val="00557B49"/>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9DA"/>
    <w:rsid w:val="00565B20"/>
    <w:rsid w:val="00566C79"/>
    <w:rsid w:val="00567966"/>
    <w:rsid w:val="00570169"/>
    <w:rsid w:val="00571DC3"/>
    <w:rsid w:val="00571DD3"/>
    <w:rsid w:val="00571EA8"/>
    <w:rsid w:val="00571FF4"/>
    <w:rsid w:val="005720B2"/>
    <w:rsid w:val="00572D19"/>
    <w:rsid w:val="00573C76"/>
    <w:rsid w:val="005748A1"/>
    <w:rsid w:val="00575001"/>
    <w:rsid w:val="005757C3"/>
    <w:rsid w:val="00576CAE"/>
    <w:rsid w:val="0057720B"/>
    <w:rsid w:val="00577800"/>
    <w:rsid w:val="00580185"/>
    <w:rsid w:val="005809B5"/>
    <w:rsid w:val="005812EF"/>
    <w:rsid w:val="00582010"/>
    <w:rsid w:val="0058254B"/>
    <w:rsid w:val="0058351E"/>
    <w:rsid w:val="00584064"/>
    <w:rsid w:val="00584584"/>
    <w:rsid w:val="00584844"/>
    <w:rsid w:val="00584922"/>
    <w:rsid w:val="005854E3"/>
    <w:rsid w:val="005858C5"/>
    <w:rsid w:val="00587407"/>
    <w:rsid w:val="00587914"/>
    <w:rsid w:val="005900F4"/>
    <w:rsid w:val="0059181C"/>
    <w:rsid w:val="005921B3"/>
    <w:rsid w:val="00592318"/>
    <w:rsid w:val="005925EC"/>
    <w:rsid w:val="00594F57"/>
    <w:rsid w:val="00595123"/>
    <w:rsid w:val="00595265"/>
    <w:rsid w:val="0059611F"/>
    <w:rsid w:val="005964F5"/>
    <w:rsid w:val="00597224"/>
    <w:rsid w:val="005A0727"/>
    <w:rsid w:val="005A1B7D"/>
    <w:rsid w:val="005A1FB5"/>
    <w:rsid w:val="005A21F0"/>
    <w:rsid w:val="005A3592"/>
    <w:rsid w:val="005A4082"/>
    <w:rsid w:val="005A46DD"/>
    <w:rsid w:val="005A64FE"/>
    <w:rsid w:val="005A6B39"/>
    <w:rsid w:val="005A6C46"/>
    <w:rsid w:val="005B0AAB"/>
    <w:rsid w:val="005B2FBF"/>
    <w:rsid w:val="005B3737"/>
    <w:rsid w:val="005B3F91"/>
    <w:rsid w:val="005B409A"/>
    <w:rsid w:val="005B4285"/>
    <w:rsid w:val="005B48B5"/>
    <w:rsid w:val="005B4EB8"/>
    <w:rsid w:val="005B51D3"/>
    <w:rsid w:val="005B5497"/>
    <w:rsid w:val="005B5790"/>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0888"/>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1E5"/>
    <w:rsid w:val="005F6596"/>
    <w:rsid w:val="005F6751"/>
    <w:rsid w:val="005F7D76"/>
    <w:rsid w:val="00601639"/>
    <w:rsid w:val="00602309"/>
    <w:rsid w:val="006024F3"/>
    <w:rsid w:val="006028B7"/>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07"/>
    <w:rsid w:val="00626190"/>
    <w:rsid w:val="00626DA9"/>
    <w:rsid w:val="00627517"/>
    <w:rsid w:val="00630B1A"/>
    <w:rsid w:val="00632281"/>
    <w:rsid w:val="00632364"/>
    <w:rsid w:val="006324C1"/>
    <w:rsid w:val="006327BE"/>
    <w:rsid w:val="00632A4A"/>
    <w:rsid w:val="00633369"/>
    <w:rsid w:val="00634573"/>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A27"/>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786"/>
    <w:rsid w:val="006708BC"/>
    <w:rsid w:val="00670BF6"/>
    <w:rsid w:val="00671FD0"/>
    <w:rsid w:val="006721DF"/>
    <w:rsid w:val="00672266"/>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5F49"/>
    <w:rsid w:val="006B60A2"/>
    <w:rsid w:val="006B6A20"/>
    <w:rsid w:val="006B7ABD"/>
    <w:rsid w:val="006C078D"/>
    <w:rsid w:val="006C0D6F"/>
    <w:rsid w:val="006C0F95"/>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713E"/>
    <w:rsid w:val="006F750C"/>
    <w:rsid w:val="006F7EB1"/>
    <w:rsid w:val="00700A36"/>
    <w:rsid w:val="00700AD5"/>
    <w:rsid w:val="00701834"/>
    <w:rsid w:val="0070199E"/>
    <w:rsid w:val="007019C6"/>
    <w:rsid w:val="00701BDD"/>
    <w:rsid w:val="00701E8E"/>
    <w:rsid w:val="00702B85"/>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91D"/>
    <w:rsid w:val="0071695A"/>
    <w:rsid w:val="00716BD8"/>
    <w:rsid w:val="007172B6"/>
    <w:rsid w:val="00717CD9"/>
    <w:rsid w:val="00720C6C"/>
    <w:rsid w:val="00720D93"/>
    <w:rsid w:val="00721EC2"/>
    <w:rsid w:val="007225C9"/>
    <w:rsid w:val="00722634"/>
    <w:rsid w:val="007226F3"/>
    <w:rsid w:val="0072344E"/>
    <w:rsid w:val="007237EE"/>
    <w:rsid w:val="007240C3"/>
    <w:rsid w:val="007243CC"/>
    <w:rsid w:val="0072530B"/>
    <w:rsid w:val="00725B8A"/>
    <w:rsid w:val="007263B7"/>
    <w:rsid w:val="0072677C"/>
    <w:rsid w:val="00727471"/>
    <w:rsid w:val="00727632"/>
    <w:rsid w:val="007301CB"/>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868"/>
    <w:rsid w:val="00745BC2"/>
    <w:rsid w:val="00746066"/>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A8C"/>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41D"/>
    <w:rsid w:val="007E450C"/>
    <w:rsid w:val="007E4A09"/>
    <w:rsid w:val="007E4A1C"/>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9"/>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4ABF"/>
    <w:rsid w:val="00824E32"/>
    <w:rsid w:val="00825B9C"/>
    <w:rsid w:val="00825B9F"/>
    <w:rsid w:val="00827EFF"/>
    <w:rsid w:val="008301C6"/>
    <w:rsid w:val="0083049A"/>
    <w:rsid w:val="008319DA"/>
    <w:rsid w:val="00831D1D"/>
    <w:rsid w:val="008321A6"/>
    <w:rsid w:val="00833393"/>
    <w:rsid w:val="0083380F"/>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61B4"/>
    <w:rsid w:val="008465CB"/>
    <w:rsid w:val="00846A62"/>
    <w:rsid w:val="00846DEF"/>
    <w:rsid w:val="008475B6"/>
    <w:rsid w:val="0084772C"/>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DB6"/>
    <w:rsid w:val="008600ED"/>
    <w:rsid w:val="00860366"/>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269F"/>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05C2"/>
    <w:rsid w:val="008914A2"/>
    <w:rsid w:val="008923EA"/>
    <w:rsid w:val="00893B95"/>
    <w:rsid w:val="008941B2"/>
    <w:rsid w:val="0089486E"/>
    <w:rsid w:val="00894DEA"/>
    <w:rsid w:val="00896875"/>
    <w:rsid w:val="008A0D44"/>
    <w:rsid w:val="008A1084"/>
    <w:rsid w:val="008A1C2F"/>
    <w:rsid w:val="008A1DA7"/>
    <w:rsid w:val="008A1E5E"/>
    <w:rsid w:val="008A29BC"/>
    <w:rsid w:val="008A3884"/>
    <w:rsid w:val="008A3A4B"/>
    <w:rsid w:val="008A41DE"/>
    <w:rsid w:val="008A48F2"/>
    <w:rsid w:val="008A49EA"/>
    <w:rsid w:val="008A4ABF"/>
    <w:rsid w:val="008A4B88"/>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7911"/>
    <w:rsid w:val="008C7FAF"/>
    <w:rsid w:val="008D0BE4"/>
    <w:rsid w:val="008D1475"/>
    <w:rsid w:val="008D151E"/>
    <w:rsid w:val="008D19DB"/>
    <w:rsid w:val="008D2E86"/>
    <w:rsid w:val="008D35E2"/>
    <w:rsid w:val="008D3AB8"/>
    <w:rsid w:val="008D3E52"/>
    <w:rsid w:val="008D41B5"/>
    <w:rsid w:val="008D52D5"/>
    <w:rsid w:val="008D5BE0"/>
    <w:rsid w:val="008D72C3"/>
    <w:rsid w:val="008D7537"/>
    <w:rsid w:val="008D7689"/>
    <w:rsid w:val="008D7B10"/>
    <w:rsid w:val="008E041A"/>
    <w:rsid w:val="008E04F6"/>
    <w:rsid w:val="008E068D"/>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9A9"/>
    <w:rsid w:val="008F5D1E"/>
    <w:rsid w:val="008F7242"/>
    <w:rsid w:val="008F75F1"/>
    <w:rsid w:val="008F7D34"/>
    <w:rsid w:val="00901457"/>
    <w:rsid w:val="00901C77"/>
    <w:rsid w:val="00901ED0"/>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6333"/>
    <w:rsid w:val="00917B03"/>
    <w:rsid w:val="00917B21"/>
    <w:rsid w:val="00917B5F"/>
    <w:rsid w:val="0092168B"/>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6FB"/>
    <w:rsid w:val="00983736"/>
    <w:rsid w:val="009837A3"/>
    <w:rsid w:val="00983F27"/>
    <w:rsid w:val="009843E2"/>
    <w:rsid w:val="0098582B"/>
    <w:rsid w:val="009858DA"/>
    <w:rsid w:val="009861EE"/>
    <w:rsid w:val="009874AF"/>
    <w:rsid w:val="0098795A"/>
    <w:rsid w:val="00987F32"/>
    <w:rsid w:val="0099011B"/>
    <w:rsid w:val="00990557"/>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F4"/>
    <w:rsid w:val="009F6DB9"/>
    <w:rsid w:val="009F70AA"/>
    <w:rsid w:val="009F740D"/>
    <w:rsid w:val="009F77F0"/>
    <w:rsid w:val="009F7E73"/>
    <w:rsid w:val="00A0020E"/>
    <w:rsid w:val="00A00370"/>
    <w:rsid w:val="00A00F88"/>
    <w:rsid w:val="00A01041"/>
    <w:rsid w:val="00A016A7"/>
    <w:rsid w:val="00A01A02"/>
    <w:rsid w:val="00A01AAA"/>
    <w:rsid w:val="00A01AED"/>
    <w:rsid w:val="00A01B9A"/>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F32"/>
    <w:rsid w:val="00A543D2"/>
    <w:rsid w:val="00A54818"/>
    <w:rsid w:val="00A54C21"/>
    <w:rsid w:val="00A550AB"/>
    <w:rsid w:val="00A55DC6"/>
    <w:rsid w:val="00A55DD4"/>
    <w:rsid w:val="00A56070"/>
    <w:rsid w:val="00A56859"/>
    <w:rsid w:val="00A569E0"/>
    <w:rsid w:val="00A56D42"/>
    <w:rsid w:val="00A5707D"/>
    <w:rsid w:val="00A6008D"/>
    <w:rsid w:val="00A60997"/>
    <w:rsid w:val="00A60B09"/>
    <w:rsid w:val="00A60CA4"/>
    <w:rsid w:val="00A6104E"/>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7966"/>
    <w:rsid w:val="00A77A0F"/>
    <w:rsid w:val="00A77F4A"/>
    <w:rsid w:val="00A8029C"/>
    <w:rsid w:val="00A8033D"/>
    <w:rsid w:val="00A80449"/>
    <w:rsid w:val="00A826A0"/>
    <w:rsid w:val="00A826B4"/>
    <w:rsid w:val="00A82E1A"/>
    <w:rsid w:val="00A83266"/>
    <w:rsid w:val="00A8395A"/>
    <w:rsid w:val="00A83B75"/>
    <w:rsid w:val="00A83C7E"/>
    <w:rsid w:val="00A8418C"/>
    <w:rsid w:val="00A84318"/>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DD2"/>
    <w:rsid w:val="00AB40A0"/>
    <w:rsid w:val="00AB5007"/>
    <w:rsid w:val="00AB5528"/>
    <w:rsid w:val="00AB5538"/>
    <w:rsid w:val="00AB5825"/>
    <w:rsid w:val="00AB58D9"/>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2AEF"/>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4BA"/>
    <w:rsid w:val="00B06804"/>
    <w:rsid w:val="00B0782C"/>
    <w:rsid w:val="00B07908"/>
    <w:rsid w:val="00B1005C"/>
    <w:rsid w:val="00B11298"/>
    <w:rsid w:val="00B11D8C"/>
    <w:rsid w:val="00B11F8A"/>
    <w:rsid w:val="00B122A0"/>
    <w:rsid w:val="00B1256E"/>
    <w:rsid w:val="00B13430"/>
    <w:rsid w:val="00B13787"/>
    <w:rsid w:val="00B14007"/>
    <w:rsid w:val="00B1445B"/>
    <w:rsid w:val="00B14D06"/>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300D"/>
    <w:rsid w:val="00B33676"/>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40B"/>
    <w:rsid w:val="00BE56CE"/>
    <w:rsid w:val="00BE6364"/>
    <w:rsid w:val="00BE6576"/>
    <w:rsid w:val="00BE6C1C"/>
    <w:rsid w:val="00BE7433"/>
    <w:rsid w:val="00BE7CB6"/>
    <w:rsid w:val="00BF048F"/>
    <w:rsid w:val="00BF062D"/>
    <w:rsid w:val="00BF0ED5"/>
    <w:rsid w:val="00BF159A"/>
    <w:rsid w:val="00BF1A2A"/>
    <w:rsid w:val="00BF1A6B"/>
    <w:rsid w:val="00BF1EEF"/>
    <w:rsid w:val="00BF1FCA"/>
    <w:rsid w:val="00BF44FB"/>
    <w:rsid w:val="00BF5160"/>
    <w:rsid w:val="00BF6BD1"/>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3EFE"/>
    <w:rsid w:val="00C143CD"/>
    <w:rsid w:val="00C14B68"/>
    <w:rsid w:val="00C14FA2"/>
    <w:rsid w:val="00C15480"/>
    <w:rsid w:val="00C166E5"/>
    <w:rsid w:val="00C17064"/>
    <w:rsid w:val="00C17EE8"/>
    <w:rsid w:val="00C17F02"/>
    <w:rsid w:val="00C204EF"/>
    <w:rsid w:val="00C21013"/>
    <w:rsid w:val="00C21459"/>
    <w:rsid w:val="00C234F7"/>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1ECB"/>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D17"/>
    <w:rsid w:val="00C6294C"/>
    <w:rsid w:val="00C62B06"/>
    <w:rsid w:val="00C62DF8"/>
    <w:rsid w:val="00C62E03"/>
    <w:rsid w:val="00C63365"/>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37CC"/>
    <w:rsid w:val="00CA418B"/>
    <w:rsid w:val="00CA42DE"/>
    <w:rsid w:val="00CA4A0D"/>
    <w:rsid w:val="00CA52C0"/>
    <w:rsid w:val="00CA5922"/>
    <w:rsid w:val="00CA5C69"/>
    <w:rsid w:val="00CA7A1E"/>
    <w:rsid w:val="00CB12E9"/>
    <w:rsid w:val="00CB16E0"/>
    <w:rsid w:val="00CB1766"/>
    <w:rsid w:val="00CB1E90"/>
    <w:rsid w:val="00CB1EB4"/>
    <w:rsid w:val="00CB1F6C"/>
    <w:rsid w:val="00CB21D8"/>
    <w:rsid w:val="00CB328F"/>
    <w:rsid w:val="00CB3573"/>
    <w:rsid w:val="00CB364D"/>
    <w:rsid w:val="00CB3A38"/>
    <w:rsid w:val="00CB3B10"/>
    <w:rsid w:val="00CB425D"/>
    <w:rsid w:val="00CB4831"/>
    <w:rsid w:val="00CB4D25"/>
    <w:rsid w:val="00CB58D5"/>
    <w:rsid w:val="00CB5C51"/>
    <w:rsid w:val="00CB5DBA"/>
    <w:rsid w:val="00CB5FBD"/>
    <w:rsid w:val="00CB65DC"/>
    <w:rsid w:val="00CB6DC9"/>
    <w:rsid w:val="00CB7F2D"/>
    <w:rsid w:val="00CC0989"/>
    <w:rsid w:val="00CC13F5"/>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113C"/>
    <w:rsid w:val="00CE1E9C"/>
    <w:rsid w:val="00CE1F89"/>
    <w:rsid w:val="00CE2C20"/>
    <w:rsid w:val="00CE2CC9"/>
    <w:rsid w:val="00CE3697"/>
    <w:rsid w:val="00CE42F4"/>
    <w:rsid w:val="00CE47E8"/>
    <w:rsid w:val="00CE4C9B"/>
    <w:rsid w:val="00CE6109"/>
    <w:rsid w:val="00CE6260"/>
    <w:rsid w:val="00CE633C"/>
    <w:rsid w:val="00CE6C1C"/>
    <w:rsid w:val="00CE761A"/>
    <w:rsid w:val="00CE7796"/>
    <w:rsid w:val="00CE7B3F"/>
    <w:rsid w:val="00CE7C81"/>
    <w:rsid w:val="00CF0386"/>
    <w:rsid w:val="00CF0D83"/>
    <w:rsid w:val="00CF0EF2"/>
    <w:rsid w:val="00CF234B"/>
    <w:rsid w:val="00CF33AC"/>
    <w:rsid w:val="00CF3400"/>
    <w:rsid w:val="00CF3BB6"/>
    <w:rsid w:val="00CF40C5"/>
    <w:rsid w:val="00CF47E5"/>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E3B"/>
    <w:rsid w:val="00D10705"/>
    <w:rsid w:val="00D11276"/>
    <w:rsid w:val="00D1233D"/>
    <w:rsid w:val="00D123CF"/>
    <w:rsid w:val="00D127DF"/>
    <w:rsid w:val="00D1308F"/>
    <w:rsid w:val="00D13678"/>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81D"/>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0D5"/>
    <w:rsid w:val="00D3486D"/>
    <w:rsid w:val="00D34C41"/>
    <w:rsid w:val="00D34CA3"/>
    <w:rsid w:val="00D356A6"/>
    <w:rsid w:val="00D35AA2"/>
    <w:rsid w:val="00D362BE"/>
    <w:rsid w:val="00D36BE9"/>
    <w:rsid w:val="00D3722A"/>
    <w:rsid w:val="00D37579"/>
    <w:rsid w:val="00D379CE"/>
    <w:rsid w:val="00D4006F"/>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BE0"/>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0112"/>
    <w:rsid w:val="00DC124A"/>
    <w:rsid w:val="00DC159A"/>
    <w:rsid w:val="00DC1BD9"/>
    <w:rsid w:val="00DC1BE4"/>
    <w:rsid w:val="00DC2393"/>
    <w:rsid w:val="00DC23B0"/>
    <w:rsid w:val="00DC246B"/>
    <w:rsid w:val="00DC2AD7"/>
    <w:rsid w:val="00DC2CDA"/>
    <w:rsid w:val="00DC5A4C"/>
    <w:rsid w:val="00DC68D3"/>
    <w:rsid w:val="00DC6EBF"/>
    <w:rsid w:val="00DC76A7"/>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808"/>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BA9"/>
    <w:rsid w:val="00E31C80"/>
    <w:rsid w:val="00E31DD1"/>
    <w:rsid w:val="00E31E1C"/>
    <w:rsid w:val="00E31E48"/>
    <w:rsid w:val="00E32965"/>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65CB"/>
    <w:rsid w:val="00E677B3"/>
    <w:rsid w:val="00E706A0"/>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EEF"/>
    <w:rsid w:val="00ED0E87"/>
    <w:rsid w:val="00ED0EE8"/>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5D5"/>
    <w:rsid w:val="00EE1612"/>
    <w:rsid w:val="00EE173D"/>
    <w:rsid w:val="00EE1BE8"/>
    <w:rsid w:val="00EE1DD9"/>
    <w:rsid w:val="00EE1FE8"/>
    <w:rsid w:val="00EE231A"/>
    <w:rsid w:val="00EE24D6"/>
    <w:rsid w:val="00EE289F"/>
    <w:rsid w:val="00EE2B04"/>
    <w:rsid w:val="00EE3B13"/>
    <w:rsid w:val="00EE59C6"/>
    <w:rsid w:val="00EE69B9"/>
    <w:rsid w:val="00EE75E5"/>
    <w:rsid w:val="00EE76C8"/>
    <w:rsid w:val="00EE7CFC"/>
    <w:rsid w:val="00EF0066"/>
    <w:rsid w:val="00EF1864"/>
    <w:rsid w:val="00EF26B4"/>
    <w:rsid w:val="00EF2732"/>
    <w:rsid w:val="00EF2A9D"/>
    <w:rsid w:val="00EF2BB9"/>
    <w:rsid w:val="00EF3131"/>
    <w:rsid w:val="00EF33BF"/>
    <w:rsid w:val="00EF3BDB"/>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D29"/>
    <w:rsid w:val="00F20D34"/>
    <w:rsid w:val="00F21629"/>
    <w:rsid w:val="00F22383"/>
    <w:rsid w:val="00F2241D"/>
    <w:rsid w:val="00F22912"/>
    <w:rsid w:val="00F22AEB"/>
    <w:rsid w:val="00F22AFE"/>
    <w:rsid w:val="00F22BCA"/>
    <w:rsid w:val="00F23754"/>
    <w:rsid w:val="00F237A4"/>
    <w:rsid w:val="00F23F6D"/>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E9F"/>
    <w:rsid w:val="00F51174"/>
    <w:rsid w:val="00F518F3"/>
    <w:rsid w:val="00F51B7C"/>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233"/>
    <w:rsid w:val="00F6251B"/>
    <w:rsid w:val="00F626C6"/>
    <w:rsid w:val="00F62CF6"/>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1FB8"/>
    <w:rsid w:val="00F921C0"/>
    <w:rsid w:val="00F92282"/>
    <w:rsid w:val="00F9337A"/>
    <w:rsid w:val="00F93967"/>
    <w:rsid w:val="00F9402E"/>
    <w:rsid w:val="00F944B3"/>
    <w:rsid w:val="00F960B1"/>
    <w:rsid w:val="00F962B4"/>
    <w:rsid w:val="00F96CF3"/>
    <w:rsid w:val="00F972B0"/>
    <w:rsid w:val="00FA0210"/>
    <w:rsid w:val="00FA08D8"/>
    <w:rsid w:val="00FA2BC5"/>
    <w:rsid w:val="00FA2BF8"/>
    <w:rsid w:val="00FA381D"/>
    <w:rsid w:val="00FA3AA3"/>
    <w:rsid w:val="00FA3D00"/>
    <w:rsid w:val="00FA3F17"/>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6B8"/>
    <w:rsid w:val="00FC56FC"/>
    <w:rsid w:val="00FC5CFE"/>
    <w:rsid w:val="00FC60B8"/>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7F01"/>
    <w:rsid w:val="00FD7F02"/>
    <w:rsid w:val="00FE0775"/>
    <w:rsid w:val="00FE0F88"/>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DC"/>
    <w:rsid w:val="00FE566B"/>
    <w:rsid w:val="00FE5839"/>
    <w:rsid w:val="00FE5B58"/>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Default">
    <w:name w:val="Default"/>
    <w:rsid w:val="00D84BE0"/>
    <w:pPr>
      <w:autoSpaceDE w:val="0"/>
      <w:autoSpaceDN w:val="0"/>
      <w:adjustRightInd w:val="0"/>
    </w:pPr>
    <w:rPr>
      <w:rFonts w:ascii="Times New Roman" w:eastAsia="Times New Roman" w:hAnsi="Times New Roman"/>
      <w:color w:val="000000"/>
      <w:sz w:val="24"/>
      <w:szCs w:val="24"/>
      <w:lang w:eastAsia="en-CA"/>
    </w:rPr>
  </w:style>
  <w:style w:type="paragraph" w:customStyle="1" w:styleId="SCCLsocSubfileSeparator">
    <w:name w:val="SCC.Lsoc.SubfileSeparator"/>
    <w:basedOn w:val="Normal"/>
    <w:next w:val="Normal"/>
    <w:link w:val="SCCLsocSubfileSeparatorChar"/>
    <w:rsid w:val="00465096"/>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65096"/>
    <w:rPr>
      <w:rFonts w:ascii="Times New Roman" w:eastAsiaTheme="minorHAnsi" w:hAnsi="Times New Roman"/>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567" TargetMode="External"/><Relationship Id="rId18" Type="http://schemas.openxmlformats.org/officeDocument/2006/relationships/hyperlink" Target="https://www.scc-csc.ca/case-dossier/info/sum-som-eng.aspx?cas=38542" TargetMode="External"/><Relationship Id="rId26" Type="http://schemas.openxmlformats.org/officeDocument/2006/relationships/hyperlink" Target="https://www.canlii.org/en/nl/nlca/doc/2019/2019nlca5/2019nlca5.html?autocompleteStr=2019%20NLCA%205&amp;autocompletePos=1" TargetMode="External"/><Relationship Id="rId39" Type="http://schemas.openxmlformats.org/officeDocument/2006/relationships/hyperlink" Target="http://canlii.ca/t/hwj6k" TargetMode="External"/><Relationship Id="rId21" Type="http://schemas.openxmlformats.org/officeDocument/2006/relationships/hyperlink" Target="https://www.canlii.org/fr/qc/qcca/doc/2018/2018qcca1961/2018qcca1961.html?autocompleteStr=2018%20QCCA%201961&amp;autocompletePos=1" TargetMode="External"/><Relationship Id="rId34" Type="http://schemas.openxmlformats.org/officeDocument/2006/relationships/hyperlink" Target="https://www.canlii.org/en/on/onca/doc/2018/2018onca1034/2018onca1034.html?searchUrlHash=AAAAAQAOMjAxOCBPTkNBIDEwMzQAAAAAAQ&amp;resultIndex=1" TargetMode="External"/><Relationship Id="rId42" Type="http://schemas.openxmlformats.org/officeDocument/2006/relationships/hyperlink" Target="http://canlii.ca/t/hwj6k" TargetMode="External"/><Relationship Id="rId47" Type="http://schemas.openxmlformats.org/officeDocument/2006/relationships/hyperlink" Target="https://www.canlii.org/en/bc/bcca/doc/2019/2019bcca74/2019bcca74.html?autocompleteStr=2019%20BCCA%2074&amp;autocompletePos=1" TargetMode="External"/><Relationship Id="rId50" Type="http://schemas.openxmlformats.org/officeDocument/2006/relationships/hyperlink" Target="https://www.canlii.org/en/bc/bcsc/doc/2018/2018bcsc1425/2018bcsc1425.html" TargetMode="External"/><Relationship Id="rId55" Type="http://schemas.openxmlformats.org/officeDocument/2006/relationships/hyperlink" Target="https://www.canlii.org/en/ab/abqb/doc/2009/2009abqb358/2009abqb358.html" TargetMode="External"/><Relationship Id="rId63" Type="http://schemas.openxmlformats.org/officeDocument/2006/relationships/hyperlink" Target="http://canlii.ca/t/h3f0n"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c-csc.ca/case-dossier/info/sum-som-eng.aspx?cas=38548" TargetMode="External"/><Relationship Id="rId29" Type="http://schemas.openxmlformats.org/officeDocument/2006/relationships/hyperlink" Target="http://canlii.ca/t/hqjn0" TargetMode="External"/><Relationship Id="rId11" Type="http://schemas.openxmlformats.org/officeDocument/2006/relationships/hyperlink" Target="https://www.scc-csc.ca/case-dossier/info/sum-som-eng.aspx?cas=38530" TargetMode="External"/><Relationship Id="rId24" Type="http://schemas.openxmlformats.org/officeDocument/2006/relationships/hyperlink" Target="https://www.canlii.org/en/ab/abca/doc/2019/2019abca15/2019abca15.html?autocompleteStr=2019%20ABCA%2015&amp;autocompletePos=1" TargetMode="External"/><Relationship Id="rId32" Type="http://schemas.openxmlformats.org/officeDocument/2006/relationships/hyperlink" Target="http://canlii.ca/t/hwqrd" TargetMode="External"/><Relationship Id="rId37" Type="http://schemas.openxmlformats.org/officeDocument/2006/relationships/hyperlink" Target="http://canlii.ca/t/hrzdb" TargetMode="External"/><Relationship Id="rId40" Type="http://schemas.openxmlformats.org/officeDocument/2006/relationships/hyperlink" Target="http://canlii.ca/t/hrzdb" TargetMode="External"/><Relationship Id="rId45" Type="http://schemas.openxmlformats.org/officeDocument/2006/relationships/hyperlink" Target="https://www.canlii.org/fr/ca/cci/doc/2017/2017cci222/2017cci222.html" TargetMode="External"/><Relationship Id="rId53" Type="http://schemas.openxmlformats.org/officeDocument/2006/relationships/hyperlink" Target="https://www.canlii.org/fr/qc/qccq/doc/2018/2018qccq553/2018qccq553.html" TargetMode="External"/><Relationship Id="rId58" Type="http://schemas.openxmlformats.org/officeDocument/2006/relationships/hyperlink" Target="https://www.canlii.org/en/ab/abca/doc/2018/2018abca222/2018abca222.html?autocompleteStr=Wolfleg&amp;autocompletePos=1"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8543" TargetMode="External"/><Relationship Id="rId23" Type="http://schemas.openxmlformats.org/officeDocument/2006/relationships/hyperlink" Target="https://www.canlii.org/en/ab/abca/doc/2019/2019abca15/2019abca15.html?autocompleteStr=2019%20ABCA%2015&amp;autocompletePos=1" TargetMode="External"/><Relationship Id="rId28" Type="http://schemas.openxmlformats.org/officeDocument/2006/relationships/hyperlink" Target="https://www.canlii.org/en/nl/nlca/doc/2019/2019nlca5/2019nlca5.html?autocompleteStr=2019%20NLCA%205&amp;autocompletePos=1" TargetMode="External"/><Relationship Id="rId36" Type="http://schemas.openxmlformats.org/officeDocument/2006/relationships/hyperlink" Target="https://www.canlii.org/en/on/onca/doc/2018/2018onca1034/2018onca1034.html?searchUrlHash=AAAAAQAOMjAxOCBPTkNBIDEwMzQAAAAAAQ&amp;resultIndex=1" TargetMode="External"/><Relationship Id="rId49" Type="http://schemas.openxmlformats.org/officeDocument/2006/relationships/hyperlink" Target="https://www.canlii.org/en/bc/bcca/doc/2019/2019bcca74/2019bcca74.html?autocompleteStr=2019%20BCCA%2074&amp;autocompletePos=1" TargetMode="External"/><Relationship Id="rId57" Type="http://schemas.openxmlformats.org/officeDocument/2006/relationships/hyperlink" Target="https://www.canlii.org/en/ab/abqb/doc/2009/2009abqb358/2009abqb358.html" TargetMode="External"/><Relationship Id="rId61" Type="http://schemas.openxmlformats.org/officeDocument/2006/relationships/hyperlink" Target="http://canlii.ca/t/h3f0n" TargetMode="External"/><Relationship Id="rId10" Type="http://schemas.openxmlformats.org/officeDocument/2006/relationships/hyperlink" Target="https://www.scc-csc.ca/case-dossier/info/sum-som-eng.aspx?cas=38560" TargetMode="External"/><Relationship Id="rId19" Type="http://schemas.openxmlformats.org/officeDocument/2006/relationships/hyperlink" Target="https://www.scc-csc.ca/case-dossier/info/sum-som-eng.aspx?cas=38565" TargetMode="External"/><Relationship Id="rId31" Type="http://schemas.openxmlformats.org/officeDocument/2006/relationships/hyperlink" Target="http://canlii.ca/t/hqjn0" TargetMode="External"/><Relationship Id="rId44" Type="http://schemas.openxmlformats.org/officeDocument/2006/relationships/hyperlink" Target="https://www.canlii.org/en/ca/fca/doc/2019/2019fca5/2019fca5.html?autocompleteStr=2019%20FCA%205&amp;autocompletePos=1" TargetMode="External"/><Relationship Id="rId52" Type="http://schemas.openxmlformats.org/officeDocument/2006/relationships/hyperlink" Target="https://www.canlii.org/fr/qc/qcca/doc/2018/2018qcca1793/2018qcca1793.html?autocompleteStr=2018%20QCCA%201793&amp;autocompletePos=1" TargetMode="External"/><Relationship Id="rId60" Type="http://schemas.openxmlformats.org/officeDocument/2006/relationships/hyperlink" Target="https://www.canlii.org/en/ab/abca/doc/2016/2016abca342/2016abca342.html?autocompleteStr=2016%20ABCA%20342&amp;autocompletePos=1" TargetMode="External"/><Relationship Id="rId65" Type="http://schemas.openxmlformats.org/officeDocument/2006/relationships/hyperlink" Target="mailto:comments-commentaires@scc-csc.ca"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8549" TargetMode="External"/><Relationship Id="rId14" Type="http://schemas.openxmlformats.org/officeDocument/2006/relationships/hyperlink" Target="https://www.scc-csc.ca/case-dossier/info/sum-som-eng.aspx?cas=38563" TargetMode="External"/><Relationship Id="rId22" Type="http://schemas.openxmlformats.org/officeDocument/2006/relationships/hyperlink" Target="https://www.canlii.org/fr/qc/qcca/doc/2018/2018qcca1961/2018qcca1961.html?autocompleteStr=2018%20QCCA%201961&amp;autocompletePos=1" TargetMode="External"/><Relationship Id="rId27" Type="http://schemas.openxmlformats.org/officeDocument/2006/relationships/hyperlink" Target="https://www.canlii.org/en/nl/nlsc/doc/2018/2018nlsc97/2018nlsc97.html" TargetMode="External"/><Relationship Id="rId30" Type="http://schemas.openxmlformats.org/officeDocument/2006/relationships/hyperlink" Target="http://canlii.ca/t/hwqrd" TargetMode="External"/><Relationship Id="rId35" Type="http://schemas.openxmlformats.org/officeDocument/2006/relationships/hyperlink" Target="https://www.canlii.org/en/on/onsc/doc/2014/2014onsc1011/2014onsc1011.html" TargetMode="External"/><Relationship Id="rId43" Type="http://schemas.openxmlformats.org/officeDocument/2006/relationships/hyperlink" Target="https://www.canlii.org/en/ca/tcc/doc/2017/2017tcc222/2017tcc222.html?autocompleteStr=2017%20TCC%20222&amp;autocompletePos=1" TargetMode="External"/><Relationship Id="rId48" Type="http://schemas.openxmlformats.org/officeDocument/2006/relationships/hyperlink" Target="https://www.canlii.org/en/bc/bcsc/doc/2018/2018bcsc1425/2018bcsc1425.html" TargetMode="External"/><Relationship Id="rId56" Type="http://schemas.openxmlformats.org/officeDocument/2006/relationships/hyperlink" Target="https://www.canlii.org/en/ab/abca/doc/2018/2018abca222/2018abca222.html?autocompleteStr=Wolfleg&amp;autocompletePos=1" TargetMode="External"/><Relationship Id="rId64" Type="http://schemas.openxmlformats.org/officeDocument/2006/relationships/hyperlink" Target="http://canlii.ca/t/hwc5b" TargetMode="External"/><Relationship Id="rId69" Type="http://schemas.openxmlformats.org/officeDocument/2006/relationships/footer" Target="footer2.xml"/><Relationship Id="rId8" Type="http://schemas.openxmlformats.org/officeDocument/2006/relationships/hyperlink" Target="https://www.scc-csc.ca/case-dossier/info/sum-som-fra.aspx?cas=38482" TargetMode="External"/><Relationship Id="rId51" Type="http://schemas.openxmlformats.org/officeDocument/2006/relationships/hyperlink" Target="https://www.canlii.org/fr/qc/qccq/doc/2018/2018qccq553/2018qccq553.html"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cc-csc.ca/case-dossier/info/sum-som-eng.aspx?cas=38510" TargetMode="External"/><Relationship Id="rId17" Type="http://schemas.openxmlformats.org/officeDocument/2006/relationships/hyperlink" Target="https://www.scc-csc.ca/case-dossier/info/sum-som-fra.aspx?cas=38470" TargetMode="External"/><Relationship Id="rId25" Type="http://schemas.openxmlformats.org/officeDocument/2006/relationships/hyperlink" Target="https://www.canlii.org/en/nl/nlsc/doc/2018/2018nlsc97/2018nlsc97.html" TargetMode="External"/><Relationship Id="rId33" Type="http://schemas.openxmlformats.org/officeDocument/2006/relationships/hyperlink" Target="https://www.canlii.org/en/on/onsc/doc/2014/2014onsc1011/2014onsc1011.html" TargetMode="External"/><Relationship Id="rId38" Type="http://schemas.openxmlformats.org/officeDocument/2006/relationships/hyperlink" Target="http://canlii.ca/t/hv316" TargetMode="External"/><Relationship Id="rId46" Type="http://schemas.openxmlformats.org/officeDocument/2006/relationships/hyperlink" Target="https://www.canlii.org/en/ca/fca/doc/2019/2019fca5/2019fca5.html?autocompleteStr=2019%20FCA%205&amp;autocompletePos=1" TargetMode="External"/><Relationship Id="rId59" Type="http://schemas.openxmlformats.org/officeDocument/2006/relationships/hyperlink" Target="https://www.canlii.org/en/ab/abca/doc/2016/2016abca342/2016abca342.html?autocompleteStr=2016%20ABCA%20342&amp;autocompletePos=1" TargetMode="External"/><Relationship Id="rId67" Type="http://schemas.openxmlformats.org/officeDocument/2006/relationships/header" Target="header2.xml"/><Relationship Id="rId20" Type="http://schemas.openxmlformats.org/officeDocument/2006/relationships/hyperlink" Target="https://www.scc-csc.ca/case-dossier/info/sum-som-eng.aspx?cas=38495" TargetMode="External"/><Relationship Id="rId41" Type="http://schemas.openxmlformats.org/officeDocument/2006/relationships/hyperlink" Target="http://canlii.ca/t/hv316" TargetMode="External"/><Relationship Id="rId54" Type="http://schemas.openxmlformats.org/officeDocument/2006/relationships/hyperlink" Target="https://www.canlii.org/fr/qc/qcca/doc/2018/2018qcca1793/2018qcca1793.html?autocompleteStr=2018%20QCCA%201793&amp;autocompletePos=1" TargetMode="External"/><Relationship Id="rId62" Type="http://schemas.openxmlformats.org/officeDocument/2006/relationships/hyperlink" Target="http://canlii.ca/t/hwc5b"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B862F-A65D-4960-886E-E0115BF3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10439</Words>
  <Characters>59505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69805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2019-06-07T15:12:00Z</dcterms:created>
  <dcterms:modified xsi:type="dcterms:W3CDTF">2019-06-07T17:49:00Z</dcterms:modified>
</cp:coreProperties>
</file>