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E5531" w:rsidRDefault="001C4415" w:rsidP="001C4415">
      <w:pPr>
        <w:pStyle w:val="Header"/>
        <w:jc w:val="center"/>
        <w:rPr>
          <w:b/>
          <w:sz w:val="32"/>
        </w:rPr>
      </w:pPr>
      <w:r w:rsidRPr="00EE5531">
        <w:rPr>
          <w:b/>
          <w:sz w:val="32"/>
        </w:rPr>
        <w:t>Supreme Court of Canada / Cour suprême du Canada</w:t>
      </w:r>
    </w:p>
    <w:p w:rsidR="001C4415" w:rsidRPr="00EE5531" w:rsidRDefault="001C4415" w:rsidP="001C4415">
      <w:pPr>
        <w:widowControl w:val="0"/>
        <w:rPr>
          <w:i/>
        </w:rPr>
      </w:pPr>
    </w:p>
    <w:p w:rsidR="001C4415" w:rsidRPr="00EE5531" w:rsidRDefault="001C4415" w:rsidP="001C4415">
      <w:pPr>
        <w:widowControl w:val="0"/>
        <w:rPr>
          <w:i/>
        </w:rPr>
      </w:pPr>
    </w:p>
    <w:p w:rsidR="001C4415" w:rsidRPr="00EE5531" w:rsidRDefault="001C4415" w:rsidP="001C4415">
      <w:pPr>
        <w:widowControl w:val="0"/>
        <w:rPr>
          <w:i/>
        </w:rPr>
      </w:pPr>
      <w:r w:rsidRPr="00EE5531">
        <w:rPr>
          <w:i/>
        </w:rPr>
        <w:t>(le français suit)</w:t>
      </w:r>
    </w:p>
    <w:p w:rsidR="001C4415" w:rsidRPr="00EE5531" w:rsidRDefault="001C4415" w:rsidP="001C4415">
      <w:pPr>
        <w:widowControl w:val="0"/>
      </w:pPr>
    </w:p>
    <w:p w:rsidR="001C4415" w:rsidRPr="00EE5A88" w:rsidRDefault="000347C1" w:rsidP="00214729">
      <w:pPr>
        <w:widowControl w:val="0"/>
        <w:jc w:val="center"/>
        <w:rPr>
          <w:b/>
        </w:rPr>
      </w:pPr>
      <w:r w:rsidRPr="00EE5A88">
        <w:fldChar w:fldCharType="begin"/>
      </w:r>
      <w:r w:rsidR="00FA7412" w:rsidRPr="00EE5A88">
        <w:instrText xml:space="preserve"> SEQ CHAPTER \h \r 1</w:instrText>
      </w:r>
      <w:r w:rsidRPr="00EE5A88">
        <w:fldChar w:fldCharType="end"/>
      </w:r>
      <w:r w:rsidR="00455BB9" w:rsidRPr="00EE5A88">
        <w:rPr>
          <w:b/>
        </w:rPr>
        <w:t>JUDGMENT</w:t>
      </w:r>
      <w:r w:rsidR="00FA7412" w:rsidRPr="00EE5A88">
        <w:rPr>
          <w:b/>
        </w:rPr>
        <w:t xml:space="preserve"> TO BE RENDERED IN APPEA</w:t>
      </w:r>
      <w:r w:rsidR="00CC2799" w:rsidRPr="00EE5A88">
        <w:rPr>
          <w:b/>
        </w:rPr>
        <w:t>L</w:t>
      </w:r>
    </w:p>
    <w:p w:rsidR="005A7C1B" w:rsidRPr="00EE5A88" w:rsidRDefault="005A7C1B" w:rsidP="005A7C1B">
      <w:pPr>
        <w:widowControl w:val="0"/>
      </w:pPr>
    </w:p>
    <w:p w:rsidR="00EC79B0" w:rsidRPr="00EE5A88" w:rsidRDefault="000A226B" w:rsidP="00EC79B0">
      <w:pPr>
        <w:widowControl w:val="0"/>
        <w:rPr>
          <w:b/>
        </w:rPr>
      </w:pPr>
      <w:r>
        <w:rPr>
          <w:b/>
        </w:rPr>
        <w:t>June</w:t>
      </w:r>
      <w:r w:rsidR="00C86395" w:rsidRPr="00EE5A88">
        <w:rPr>
          <w:b/>
        </w:rPr>
        <w:t xml:space="preserve"> </w:t>
      </w:r>
      <w:r w:rsidR="007416D5">
        <w:rPr>
          <w:b/>
        </w:rPr>
        <w:t>21</w:t>
      </w:r>
      <w:r w:rsidR="00492039">
        <w:rPr>
          <w:b/>
        </w:rPr>
        <w:t>,</w:t>
      </w:r>
      <w:bookmarkStart w:id="0" w:name="_GoBack"/>
      <w:bookmarkEnd w:id="0"/>
      <w:r w:rsidR="00EC79B0" w:rsidRPr="00EE5A88">
        <w:rPr>
          <w:b/>
        </w:rPr>
        <w:t xml:space="preserve"> 2</w:t>
      </w:r>
      <w:r w:rsidR="00E6600C" w:rsidRPr="00EE5A88">
        <w:rPr>
          <w:b/>
        </w:rPr>
        <w:t>0</w:t>
      </w:r>
      <w:r w:rsidR="00EC79B0" w:rsidRPr="00EE5A88">
        <w:rPr>
          <w:b/>
        </w:rPr>
        <w:t>1</w:t>
      </w:r>
      <w:r w:rsidR="008C5ACC" w:rsidRPr="00EE5A88">
        <w:rPr>
          <w:b/>
        </w:rPr>
        <w:t>9</w:t>
      </w:r>
    </w:p>
    <w:p w:rsidR="00EC79B0" w:rsidRPr="00EE5531" w:rsidRDefault="00EC79B0" w:rsidP="00EC79B0">
      <w:pPr>
        <w:widowControl w:val="0"/>
        <w:rPr>
          <w:b/>
        </w:rPr>
      </w:pPr>
      <w:r w:rsidRPr="00EE5A88">
        <w:rPr>
          <w:b/>
        </w:rPr>
        <w:t>For im</w:t>
      </w:r>
      <w:r w:rsidRPr="00EE5531">
        <w:rPr>
          <w:b/>
        </w:rPr>
        <w:t>mediate release</w:t>
      </w:r>
    </w:p>
    <w:p w:rsidR="00EC79B0" w:rsidRPr="00EE5531" w:rsidRDefault="00EC79B0" w:rsidP="00EC79B0">
      <w:pPr>
        <w:widowControl w:val="0"/>
      </w:pPr>
    </w:p>
    <w:p w:rsidR="00EC79B0" w:rsidRPr="00174E45" w:rsidRDefault="00EC79B0" w:rsidP="00EC79B0">
      <w:pPr>
        <w:widowControl w:val="0"/>
        <w:rPr>
          <w:lang w:val="fr-CA"/>
        </w:rPr>
      </w:pPr>
      <w:r w:rsidRPr="00EE5531">
        <w:rPr>
          <w:b/>
        </w:rPr>
        <w:t>OTTAWA</w:t>
      </w:r>
      <w:r w:rsidRPr="00EE5531">
        <w:t xml:space="preserve"> – The Supreme Court of Canad</w:t>
      </w:r>
      <w:r w:rsidR="00455BB9" w:rsidRPr="00EE5531">
        <w:t>a announced today that judgment</w:t>
      </w:r>
      <w:r w:rsidRPr="00EE5531">
        <w:t xml:space="preserve"> in the following appeal will be delivered at 9:45 a.m. E</w:t>
      </w:r>
      <w:r w:rsidR="00954614" w:rsidRPr="00EE5531">
        <w:t>D</w:t>
      </w:r>
      <w:r w:rsidR="00DC6C1E" w:rsidRPr="00EE5531">
        <w:t>T</w:t>
      </w:r>
      <w:r w:rsidR="00D74667" w:rsidRPr="00EE5531">
        <w:t xml:space="preserve"> on</w:t>
      </w:r>
      <w:r w:rsidR="00DC6C1E" w:rsidRPr="00EE5531">
        <w:t xml:space="preserve"> </w:t>
      </w:r>
      <w:r w:rsidR="007416D5">
        <w:t>Thursday</w:t>
      </w:r>
      <w:r w:rsidR="000A7900" w:rsidRPr="00EE5531">
        <w:t xml:space="preserve">, </w:t>
      </w:r>
      <w:r w:rsidR="000A226B">
        <w:t>June</w:t>
      </w:r>
      <w:r w:rsidR="004E605A" w:rsidRPr="00EE5531">
        <w:t xml:space="preserve"> </w:t>
      </w:r>
      <w:r w:rsidR="007416D5">
        <w:t>2</w:t>
      </w:r>
      <w:r w:rsidR="000A226B">
        <w:t>7</w:t>
      </w:r>
      <w:r w:rsidR="00E63199" w:rsidRPr="00EE5531">
        <w:t>, 2</w:t>
      </w:r>
      <w:r w:rsidR="0086609D" w:rsidRPr="00EE5531">
        <w:t>01</w:t>
      </w:r>
      <w:r w:rsidR="008C5ACC" w:rsidRPr="00EE5531">
        <w:t>9</w:t>
      </w:r>
      <w:r w:rsidR="00455BB9" w:rsidRPr="00EE5531">
        <w:t xml:space="preserve">. </w:t>
      </w:r>
      <w:r w:rsidR="00455BB9" w:rsidRPr="00174E45">
        <w:rPr>
          <w:lang w:val="fr-CA"/>
        </w:rPr>
        <w:t>This</w:t>
      </w:r>
      <w:r w:rsidRPr="00174E45">
        <w:rPr>
          <w:lang w:val="fr-CA"/>
        </w:rPr>
        <w:t xml:space="preserve"> list is subject to change.</w:t>
      </w:r>
    </w:p>
    <w:p w:rsidR="001C4415" w:rsidRPr="00174E45" w:rsidRDefault="001C4415" w:rsidP="001C4415">
      <w:pPr>
        <w:widowControl w:val="0"/>
        <w:rPr>
          <w:szCs w:val="24"/>
          <w:lang w:val="fr-CA"/>
        </w:rPr>
      </w:pPr>
    </w:p>
    <w:p w:rsidR="001C4415" w:rsidRPr="00174E45" w:rsidRDefault="001C4415" w:rsidP="001C4415">
      <w:pPr>
        <w:widowControl w:val="0"/>
        <w:rPr>
          <w:lang w:val="fr-CA"/>
        </w:rPr>
      </w:pPr>
    </w:p>
    <w:p w:rsidR="001335A1" w:rsidRPr="00095EDD" w:rsidRDefault="001335A1" w:rsidP="001335A1">
      <w:pPr>
        <w:widowControl w:val="0"/>
        <w:jc w:val="center"/>
        <w:rPr>
          <w:b/>
          <w:lang w:val="fr-CA"/>
        </w:rPr>
      </w:pPr>
      <w:r w:rsidRPr="00095EDD">
        <w:rPr>
          <w:b/>
          <w:lang w:val="fr-CA"/>
        </w:rPr>
        <w:t>PROCHAIN JUGEMENT</w:t>
      </w:r>
      <w:r w:rsidR="00455BB9" w:rsidRPr="00095EDD">
        <w:rPr>
          <w:b/>
          <w:lang w:val="fr-CA"/>
        </w:rPr>
        <w:t xml:space="preserve"> SUR APPEL</w:t>
      </w:r>
    </w:p>
    <w:p w:rsidR="001335A1" w:rsidRPr="00095EDD" w:rsidRDefault="001335A1" w:rsidP="001335A1">
      <w:pPr>
        <w:widowControl w:val="0"/>
        <w:rPr>
          <w:lang w:val="fr-CA"/>
        </w:rPr>
      </w:pPr>
    </w:p>
    <w:p w:rsidR="00EC79B0" w:rsidRPr="00095EDD" w:rsidRDefault="00EC79B0" w:rsidP="00EC79B0">
      <w:pPr>
        <w:widowControl w:val="0"/>
        <w:rPr>
          <w:b/>
          <w:lang w:val="fr-CA"/>
        </w:rPr>
      </w:pPr>
      <w:r w:rsidRPr="00095EDD">
        <w:rPr>
          <w:b/>
          <w:lang w:val="fr-CA"/>
        </w:rPr>
        <w:t xml:space="preserve">Le </w:t>
      </w:r>
      <w:r w:rsidR="007416D5">
        <w:rPr>
          <w:b/>
          <w:lang w:val="fr-CA"/>
        </w:rPr>
        <w:t xml:space="preserve">21 </w:t>
      </w:r>
      <w:r w:rsidR="000A226B">
        <w:rPr>
          <w:b/>
          <w:lang w:val="fr-CA"/>
        </w:rPr>
        <w:t>juin</w:t>
      </w:r>
      <w:r w:rsidR="00C86395" w:rsidRPr="00095EDD">
        <w:rPr>
          <w:b/>
          <w:lang w:val="fr-CA"/>
        </w:rPr>
        <w:t xml:space="preserve"> </w:t>
      </w:r>
      <w:r w:rsidR="0086609D" w:rsidRPr="00095EDD">
        <w:rPr>
          <w:b/>
          <w:lang w:val="fr-CA"/>
        </w:rPr>
        <w:t>201</w:t>
      </w:r>
      <w:r w:rsidR="008C5ACC" w:rsidRPr="00095EDD">
        <w:rPr>
          <w:b/>
          <w:lang w:val="fr-CA"/>
        </w:rPr>
        <w:t>9</w:t>
      </w:r>
    </w:p>
    <w:p w:rsidR="00EC79B0" w:rsidRPr="00095EDD" w:rsidRDefault="00EC79B0" w:rsidP="00EC79B0">
      <w:pPr>
        <w:widowControl w:val="0"/>
        <w:rPr>
          <w:b/>
          <w:lang w:val="fr-CA"/>
        </w:rPr>
      </w:pPr>
      <w:r w:rsidRPr="00095EDD">
        <w:rPr>
          <w:b/>
          <w:lang w:val="fr-CA"/>
        </w:rPr>
        <w:t>Pour diffusion immédiate</w:t>
      </w:r>
    </w:p>
    <w:p w:rsidR="00EC79B0" w:rsidRPr="00095EDD" w:rsidRDefault="00EC79B0" w:rsidP="00EC79B0">
      <w:pPr>
        <w:widowControl w:val="0"/>
        <w:rPr>
          <w:b/>
          <w:lang w:val="fr-CA"/>
        </w:rPr>
      </w:pPr>
    </w:p>
    <w:p w:rsidR="00EC79B0" w:rsidRPr="00095EDD" w:rsidRDefault="00EC79B0" w:rsidP="00EC79B0">
      <w:pPr>
        <w:widowControl w:val="0"/>
        <w:rPr>
          <w:lang w:val="fr-CA"/>
        </w:rPr>
      </w:pPr>
      <w:r w:rsidRPr="00095EDD">
        <w:rPr>
          <w:b/>
          <w:lang w:val="fr-CA"/>
        </w:rPr>
        <w:t>OTTAWA</w:t>
      </w:r>
      <w:r w:rsidRPr="00095EDD">
        <w:rPr>
          <w:lang w:val="fr-CA"/>
        </w:rPr>
        <w:t xml:space="preserve"> – La Cour suprême du Canada annonce que jugement ser</w:t>
      </w:r>
      <w:r w:rsidR="00C86395" w:rsidRPr="00095EDD">
        <w:rPr>
          <w:lang w:val="fr-CA"/>
        </w:rPr>
        <w:t>a</w:t>
      </w:r>
      <w:r w:rsidRPr="00095EDD">
        <w:rPr>
          <w:lang w:val="fr-CA"/>
        </w:rPr>
        <w:t xml:space="preserve"> rendu dans </w:t>
      </w:r>
      <w:r w:rsidR="001F1643" w:rsidRPr="00095EDD">
        <w:rPr>
          <w:lang w:val="fr-CA"/>
        </w:rPr>
        <w:t>l</w:t>
      </w:r>
      <w:r w:rsidR="00C86395" w:rsidRPr="00095EDD">
        <w:rPr>
          <w:lang w:val="fr-CA"/>
        </w:rPr>
        <w:t>’</w:t>
      </w:r>
      <w:r w:rsidR="001F1643" w:rsidRPr="00095EDD">
        <w:rPr>
          <w:lang w:val="fr-CA"/>
        </w:rPr>
        <w:t xml:space="preserve">appel </w:t>
      </w:r>
      <w:r w:rsidRPr="00095EDD">
        <w:rPr>
          <w:lang w:val="fr-CA"/>
        </w:rPr>
        <w:t xml:space="preserve">suivant le </w:t>
      </w:r>
      <w:r w:rsidR="007416D5">
        <w:rPr>
          <w:lang w:val="fr-CA"/>
        </w:rPr>
        <w:t>j</w:t>
      </w:r>
      <w:r w:rsidR="008B03CF" w:rsidRPr="00095EDD">
        <w:rPr>
          <w:lang w:val="fr-CA"/>
        </w:rPr>
        <w:t>e</w:t>
      </w:r>
      <w:r w:rsidR="007416D5">
        <w:rPr>
          <w:lang w:val="fr-CA"/>
        </w:rPr>
        <w:t>u</w:t>
      </w:r>
      <w:r w:rsidR="00266607" w:rsidRPr="00095EDD">
        <w:rPr>
          <w:lang w:val="fr-CA"/>
        </w:rPr>
        <w:t>d</w:t>
      </w:r>
      <w:r w:rsidR="00945121" w:rsidRPr="00095EDD">
        <w:rPr>
          <w:lang w:val="fr-CA"/>
        </w:rPr>
        <w:t>i</w:t>
      </w:r>
      <w:r w:rsidR="007C1648" w:rsidRPr="00095EDD">
        <w:rPr>
          <w:lang w:val="fr-CA"/>
        </w:rPr>
        <w:t xml:space="preserve"> </w:t>
      </w:r>
      <w:r w:rsidR="007416D5">
        <w:rPr>
          <w:lang w:val="fr-CA"/>
        </w:rPr>
        <w:t>2</w:t>
      </w:r>
      <w:r w:rsidR="000A226B">
        <w:rPr>
          <w:lang w:val="fr-CA"/>
        </w:rPr>
        <w:t>7</w:t>
      </w:r>
      <w:r w:rsidR="00F62251" w:rsidRPr="00095EDD">
        <w:rPr>
          <w:lang w:val="fr-CA"/>
        </w:rPr>
        <w:t xml:space="preserve"> </w:t>
      </w:r>
      <w:r w:rsidR="000A226B">
        <w:rPr>
          <w:lang w:val="fr-CA"/>
        </w:rPr>
        <w:t>juin</w:t>
      </w:r>
      <w:r w:rsidR="00282563" w:rsidRPr="00095EDD">
        <w:rPr>
          <w:lang w:val="fr-CA"/>
        </w:rPr>
        <w:t xml:space="preserve"> </w:t>
      </w:r>
      <w:r w:rsidRPr="00095EDD">
        <w:rPr>
          <w:lang w:val="fr-CA"/>
        </w:rPr>
        <w:t>201</w:t>
      </w:r>
      <w:r w:rsidR="008C5ACC" w:rsidRPr="00095EDD">
        <w:rPr>
          <w:lang w:val="fr-CA"/>
        </w:rPr>
        <w:t>9</w:t>
      </w:r>
      <w:r w:rsidRPr="00095EDD">
        <w:rPr>
          <w:lang w:val="fr-CA"/>
        </w:rPr>
        <w:t>, à 9 h 45 H</w:t>
      </w:r>
      <w:r w:rsidR="00E7729C" w:rsidRPr="00095EDD">
        <w:rPr>
          <w:lang w:val="fr-CA"/>
        </w:rPr>
        <w:t>A</w:t>
      </w:r>
      <w:r w:rsidRPr="00095EDD">
        <w:rPr>
          <w:lang w:val="fr-CA"/>
        </w:rPr>
        <w:t>E. Cette liste est sujette à modifications.</w:t>
      </w:r>
    </w:p>
    <w:p w:rsidR="00340C6D" w:rsidRPr="00D92770" w:rsidRDefault="00340C6D" w:rsidP="00340C6D">
      <w:pPr>
        <w:jc w:val="both"/>
        <w:rPr>
          <w:bCs/>
          <w:szCs w:val="24"/>
          <w:lang w:val="fr-CA"/>
        </w:rPr>
      </w:pPr>
    </w:p>
    <w:p w:rsidR="008F607D" w:rsidRDefault="00492039" w:rsidP="00340C6D">
      <w:pPr>
        <w:jc w:val="both"/>
        <w:rPr>
          <w:bCs/>
          <w:szCs w:val="24"/>
          <w:lang w:val="fr-CA"/>
        </w:rPr>
      </w:pPr>
      <w:r>
        <w:rPr>
          <w:sz w:val="20"/>
        </w:rPr>
        <w:pict>
          <v:rect id="_x0000_i1025" style="width:2in;height:1pt" o:hrpct="0" o:hralign="center" o:hrstd="t" o:hrnoshade="t" o:hr="t" fillcolor="black [3213]" stroked="f"/>
        </w:pict>
      </w:r>
    </w:p>
    <w:p w:rsidR="008F607D" w:rsidRPr="00EE5531" w:rsidRDefault="008F607D" w:rsidP="00340C6D">
      <w:pPr>
        <w:jc w:val="both"/>
        <w:rPr>
          <w:bCs/>
          <w:szCs w:val="24"/>
          <w:lang w:val="fr-CA"/>
        </w:rPr>
      </w:pPr>
    </w:p>
    <w:p w:rsidR="00772636" w:rsidRPr="00174E45" w:rsidRDefault="009D295C" w:rsidP="00772636">
      <w:pPr>
        <w:jc w:val="both"/>
        <w:rPr>
          <w:szCs w:val="24"/>
          <w:lang w:val="fr-CA"/>
        </w:rPr>
      </w:pPr>
      <w:r w:rsidRPr="00174E45">
        <w:rPr>
          <w:i/>
          <w:szCs w:val="24"/>
          <w:lang w:val="fr-CA"/>
        </w:rPr>
        <w:t>1068754 Alberta Ltd. as sole trustee of the DGGMC Bitton Trust v. Agence du revenu du Québec</w:t>
      </w:r>
      <w:r w:rsidR="00D21369" w:rsidRPr="00174E45">
        <w:rPr>
          <w:i/>
          <w:szCs w:val="24"/>
          <w:lang w:val="fr-CA"/>
        </w:rPr>
        <w:t xml:space="preserve"> </w:t>
      </w:r>
      <w:r w:rsidR="00772636" w:rsidRPr="00174E45">
        <w:rPr>
          <w:szCs w:val="24"/>
          <w:lang w:val="fr-CA"/>
        </w:rPr>
        <w:t>(</w:t>
      </w:r>
      <w:r w:rsidR="002E6C2C" w:rsidRPr="00174E45">
        <w:rPr>
          <w:szCs w:val="24"/>
          <w:lang w:val="fr-CA"/>
        </w:rPr>
        <w:t>Q</w:t>
      </w:r>
      <w:r w:rsidRPr="00174E45">
        <w:rPr>
          <w:szCs w:val="24"/>
          <w:lang w:val="fr-CA"/>
        </w:rPr>
        <w:t>ue.</w:t>
      </w:r>
      <w:r w:rsidR="00772636" w:rsidRPr="00174E45">
        <w:rPr>
          <w:szCs w:val="24"/>
          <w:lang w:val="fr-CA"/>
        </w:rPr>
        <w:t xml:space="preserve">) </w:t>
      </w:r>
      <w:r w:rsidR="00772636" w:rsidRPr="00174E45">
        <w:rPr>
          <w:lang w:val="fr-CA"/>
        </w:rPr>
        <w:t>(</w:t>
      </w:r>
      <w:hyperlink r:id="rId7" w:history="1">
        <w:r w:rsidR="00772636" w:rsidRPr="00174E45">
          <w:rPr>
            <w:rStyle w:val="Hyperlink"/>
            <w:lang w:val="fr-CA"/>
          </w:rPr>
          <w:t>3</w:t>
        </w:r>
        <w:r w:rsidR="00296694" w:rsidRPr="00174E45">
          <w:rPr>
            <w:rStyle w:val="Hyperlink"/>
            <w:lang w:val="fr-CA"/>
          </w:rPr>
          <w:t>7</w:t>
        </w:r>
        <w:r w:rsidR="007416D5" w:rsidRPr="00174E45">
          <w:rPr>
            <w:rStyle w:val="Hyperlink"/>
            <w:lang w:val="fr-CA"/>
          </w:rPr>
          <w:t>999</w:t>
        </w:r>
      </w:hyperlink>
      <w:r w:rsidR="00772636" w:rsidRPr="00174E45">
        <w:rPr>
          <w:lang w:val="fr-CA"/>
        </w:rPr>
        <w:t>)</w:t>
      </w:r>
    </w:p>
    <w:p w:rsidR="009F18D7" w:rsidRPr="00174E45" w:rsidRDefault="009F18D7" w:rsidP="00340C6D">
      <w:pPr>
        <w:jc w:val="both"/>
        <w:rPr>
          <w:lang w:val="fr-CA"/>
        </w:rPr>
      </w:pPr>
    </w:p>
    <w:p w:rsidR="00072A63" w:rsidRPr="00174E45" w:rsidRDefault="00072A63" w:rsidP="00340C6D">
      <w:pPr>
        <w:jc w:val="both"/>
        <w:rPr>
          <w:szCs w:val="24"/>
          <w:lang w:val="fr-CA"/>
        </w:rPr>
      </w:pPr>
    </w:p>
    <w:bookmarkStart w:id="1" w:name="1"/>
    <w:bookmarkEnd w:id="1"/>
    <w:p w:rsidR="00260967" w:rsidRPr="00174E45" w:rsidRDefault="00260967" w:rsidP="00726F8F">
      <w:pPr>
        <w:widowControl w:val="0"/>
        <w:ind w:left="709" w:hanging="709"/>
        <w:jc w:val="both"/>
        <w:rPr>
          <w:b/>
          <w:i/>
          <w:sz w:val="20"/>
          <w:lang w:val="fr-CA"/>
        </w:rPr>
      </w:pPr>
      <w:r w:rsidRPr="00260967">
        <w:rPr>
          <w:b/>
          <w:sz w:val="20"/>
          <w:lang w:val="en-CA"/>
        </w:rPr>
        <w:fldChar w:fldCharType="begin"/>
      </w:r>
      <w:r w:rsidRPr="00174E45">
        <w:rPr>
          <w:b/>
          <w:sz w:val="20"/>
          <w:lang w:val="fr-CA"/>
        </w:rPr>
        <w:instrText xml:space="preserve"> SEQ CHAPTER \h \r 1</w:instrText>
      </w:r>
      <w:r w:rsidRPr="00260967">
        <w:rPr>
          <w:b/>
          <w:sz w:val="20"/>
        </w:rPr>
        <w:fldChar w:fldCharType="end"/>
      </w:r>
      <w:r w:rsidRPr="00174E45">
        <w:rPr>
          <w:b/>
          <w:sz w:val="20"/>
          <w:lang w:val="fr-CA"/>
        </w:rPr>
        <w:t>37999</w:t>
      </w:r>
      <w:r w:rsidRPr="00174E45">
        <w:rPr>
          <w:sz w:val="20"/>
          <w:lang w:val="fr-CA"/>
        </w:rPr>
        <w:tab/>
      </w:r>
      <w:bookmarkStart w:id="2" w:name="3"/>
      <w:bookmarkEnd w:id="2"/>
      <w:r w:rsidRPr="00174E45">
        <w:rPr>
          <w:b/>
          <w:i/>
          <w:sz w:val="20"/>
          <w:lang w:val="fr-CA"/>
        </w:rPr>
        <w:t>1068754 Alberta Ltd. as sole trustee of the DGGMC Bitton Trust v. Agence du revenu du Québec</w:t>
      </w:r>
    </w:p>
    <w:p w:rsidR="00260967" w:rsidRPr="00260967" w:rsidRDefault="00260967" w:rsidP="00726F8F">
      <w:pPr>
        <w:ind w:firstLine="709"/>
        <w:rPr>
          <w:sz w:val="20"/>
          <w:lang w:val="en-CA"/>
        </w:rPr>
      </w:pPr>
      <w:r w:rsidRPr="00260967">
        <w:rPr>
          <w:sz w:val="20"/>
          <w:lang w:val="en-CA"/>
        </w:rPr>
        <w:t>(Que.) (Civil) (By Leave)</w:t>
      </w:r>
    </w:p>
    <w:p w:rsidR="00260967" w:rsidRPr="00260967" w:rsidRDefault="00260967" w:rsidP="00A2516C">
      <w:pPr>
        <w:widowControl w:val="0"/>
        <w:ind w:left="1440" w:hanging="1440"/>
        <w:jc w:val="both"/>
        <w:rPr>
          <w:sz w:val="20"/>
          <w:lang w:val="en-CA"/>
        </w:rPr>
      </w:pPr>
    </w:p>
    <w:p w:rsidR="00260967" w:rsidRPr="00260967" w:rsidRDefault="00260967" w:rsidP="00CB3DF2">
      <w:pPr>
        <w:jc w:val="both"/>
        <w:rPr>
          <w:sz w:val="20"/>
        </w:rPr>
      </w:pPr>
      <w:r w:rsidRPr="00260967">
        <w:rPr>
          <w:sz w:val="20"/>
        </w:rPr>
        <w:t xml:space="preserve">Financial institutions - Banks - Taxation - Procedure - Search and seizure - Whether a provincial statute, in and of itself and without any cross-jurisdictional formality, may authorize the administrative seizure of information and documents from an account maintained at a bank branch located in a foreign jurisdiction - Under banking law: (a) the statutory framework that governs seizures on banks; (b) whether a bank branch is deemed an entity distinct from the bank itself for the purpose of all seizures - </w:t>
      </w:r>
      <w:r w:rsidRPr="00260967">
        <w:rPr>
          <w:i/>
          <w:sz w:val="20"/>
        </w:rPr>
        <w:t>Tax Administration Act</w:t>
      </w:r>
      <w:r w:rsidRPr="00260967">
        <w:rPr>
          <w:sz w:val="20"/>
        </w:rPr>
        <w:t>, CQLR, c. A</w:t>
      </w:r>
      <w:r w:rsidRPr="00260967">
        <w:rPr>
          <w:sz w:val="20"/>
        </w:rPr>
        <w:noBreakHyphen/>
        <w:t xml:space="preserve">6.002, s. 39 - </w:t>
      </w:r>
      <w:r w:rsidRPr="00260967">
        <w:rPr>
          <w:i/>
          <w:sz w:val="20"/>
        </w:rPr>
        <w:t>Bank Act</w:t>
      </w:r>
      <w:r w:rsidRPr="00260967">
        <w:rPr>
          <w:sz w:val="20"/>
        </w:rPr>
        <w:t>, S.C. 1991, c. 46, s. 462.</w:t>
      </w:r>
    </w:p>
    <w:p w:rsidR="00260967" w:rsidRPr="00260967" w:rsidRDefault="00260967" w:rsidP="00A2516C">
      <w:pPr>
        <w:widowControl w:val="0"/>
        <w:ind w:left="1440" w:hanging="1440"/>
        <w:jc w:val="both"/>
        <w:rPr>
          <w:sz w:val="20"/>
        </w:rPr>
      </w:pPr>
    </w:p>
    <w:p w:rsidR="00260967" w:rsidRDefault="00260967" w:rsidP="00A1003E">
      <w:pPr>
        <w:jc w:val="both"/>
        <w:rPr>
          <w:sz w:val="20"/>
        </w:rPr>
      </w:pPr>
      <w:r w:rsidRPr="00260967">
        <w:rPr>
          <w:sz w:val="20"/>
        </w:rPr>
        <w:t xml:space="preserve">The Agence du revenu du Québec sought bank documents relating to DGGMC, a trust of which 1068754 Alberta Ltd. was the sole trustee. The documents in question were held by a branch of the National Bank of Canada located in Calgary. DGGMC was being audited under Quebec’s </w:t>
      </w:r>
      <w:r w:rsidRPr="00260967">
        <w:rPr>
          <w:i/>
          <w:sz w:val="20"/>
        </w:rPr>
        <w:t>Taxation Act</w:t>
      </w:r>
      <w:r w:rsidRPr="00260967">
        <w:rPr>
          <w:sz w:val="20"/>
        </w:rPr>
        <w:t xml:space="preserve"> (CQLR, c. I-3) because the Agence suspected that it was required to pay taxes in Quebec. The Superior Court dismissed 1068754 Alberta Ltd.’s application to quash the demand for documents made by the Agence. It found that the demand was not a seizure. In its view, though the demand had to be communicated to the branch of the account under the </w:t>
      </w:r>
      <w:r w:rsidRPr="00260967">
        <w:rPr>
          <w:i/>
          <w:sz w:val="20"/>
        </w:rPr>
        <w:t>Bank Act</w:t>
      </w:r>
      <w:r w:rsidRPr="00260967">
        <w:rPr>
          <w:sz w:val="20"/>
        </w:rPr>
        <w:t xml:space="preserve">, it was the bank as a whole, not the branch as a separate legal entity, that was notified. The Court of Appeal dismissed 1068754 Alberta Ltd.’s appeal, holding that the demand for documents was a seizure but that it did not have extraterritorial effect under the applicable provision of the </w:t>
      </w:r>
      <w:r w:rsidRPr="00260967">
        <w:rPr>
          <w:i/>
          <w:sz w:val="20"/>
        </w:rPr>
        <w:t>Bank Act</w:t>
      </w:r>
      <w:r w:rsidRPr="00260967">
        <w:rPr>
          <w:sz w:val="20"/>
        </w:rPr>
        <w:t>. Moreover, the Agence had not exceeded its jurisdiction.</w:t>
      </w:r>
    </w:p>
    <w:p w:rsidR="00260967" w:rsidRDefault="00260967" w:rsidP="00A1003E">
      <w:pPr>
        <w:jc w:val="both"/>
        <w:rPr>
          <w:sz w:val="20"/>
        </w:rPr>
      </w:pPr>
    </w:p>
    <w:p w:rsidR="00174E45" w:rsidRDefault="00492039" w:rsidP="00A1003E">
      <w:pPr>
        <w:jc w:val="both"/>
        <w:rPr>
          <w:sz w:val="20"/>
        </w:rPr>
      </w:pPr>
      <w:r>
        <w:rPr>
          <w:sz w:val="20"/>
        </w:rPr>
        <w:pict>
          <v:rect id="_x0000_i1026" style="width:2in;height:1pt" o:hrpct="0" o:hralign="center" o:hrstd="t" o:hrnoshade="t" o:hr="t" fillcolor="black [3213]" stroked="f"/>
        </w:pict>
      </w:r>
    </w:p>
    <w:p w:rsidR="00260967" w:rsidRPr="00260967" w:rsidRDefault="00260967" w:rsidP="00A1003E">
      <w:pPr>
        <w:jc w:val="both"/>
        <w:rPr>
          <w:sz w:val="20"/>
        </w:rPr>
      </w:pPr>
    </w:p>
    <w:p w:rsidR="00260967" w:rsidRPr="00260967" w:rsidRDefault="00260967" w:rsidP="009A57F9">
      <w:pPr>
        <w:widowControl w:val="0"/>
        <w:ind w:left="709" w:hanging="709"/>
        <w:jc w:val="both"/>
        <w:rPr>
          <w:b/>
          <w:i/>
          <w:sz w:val="20"/>
        </w:rPr>
      </w:pPr>
      <w:r w:rsidRPr="00260967">
        <w:rPr>
          <w:b/>
          <w:sz w:val="20"/>
          <w:lang w:val="fr-CA"/>
        </w:rPr>
        <w:fldChar w:fldCharType="begin"/>
      </w:r>
      <w:r w:rsidRPr="00260967">
        <w:rPr>
          <w:b/>
          <w:sz w:val="20"/>
        </w:rPr>
        <w:instrText xml:space="preserve"> SEQ CHAPTER \h \r 1</w:instrText>
      </w:r>
      <w:r w:rsidRPr="00260967">
        <w:rPr>
          <w:b/>
          <w:sz w:val="20"/>
          <w:lang w:val="fr-CA"/>
        </w:rPr>
        <w:fldChar w:fldCharType="end"/>
      </w:r>
      <w:r w:rsidRPr="00260967">
        <w:rPr>
          <w:b/>
          <w:sz w:val="20"/>
        </w:rPr>
        <w:t>37999</w:t>
      </w:r>
      <w:r w:rsidRPr="00260967">
        <w:rPr>
          <w:sz w:val="20"/>
        </w:rPr>
        <w:tab/>
      </w:r>
      <w:r w:rsidRPr="00260967">
        <w:rPr>
          <w:b/>
          <w:i/>
          <w:sz w:val="20"/>
        </w:rPr>
        <w:t>1068754 Alberta Ltd. as sole trustee of the DGGMC Bitton Trust c. Agence du revenu du Québec</w:t>
      </w:r>
    </w:p>
    <w:p w:rsidR="00260967" w:rsidRPr="00260967" w:rsidRDefault="00260967" w:rsidP="009A57F9">
      <w:pPr>
        <w:ind w:firstLine="709"/>
        <w:rPr>
          <w:sz w:val="20"/>
          <w:lang w:val="fr-CA"/>
        </w:rPr>
      </w:pPr>
      <w:r w:rsidRPr="00260967">
        <w:rPr>
          <w:sz w:val="20"/>
          <w:lang w:val="fr-CA"/>
        </w:rPr>
        <w:t>(Q</w:t>
      </w:r>
      <w:r w:rsidR="00187B57">
        <w:rPr>
          <w:sz w:val="20"/>
          <w:lang w:val="fr-CA"/>
        </w:rPr>
        <w:t>c</w:t>
      </w:r>
      <w:r w:rsidRPr="00260967">
        <w:rPr>
          <w:sz w:val="20"/>
          <w:lang w:val="fr-CA"/>
        </w:rPr>
        <w:t>) (Civile) (Autorisation)</w:t>
      </w:r>
    </w:p>
    <w:p w:rsidR="00260967" w:rsidRPr="00260967" w:rsidRDefault="00260967" w:rsidP="00D51B6B">
      <w:pPr>
        <w:widowControl w:val="0"/>
        <w:ind w:left="1440" w:hanging="1440"/>
        <w:jc w:val="both"/>
        <w:rPr>
          <w:sz w:val="20"/>
          <w:lang w:val="fr-CA"/>
        </w:rPr>
      </w:pPr>
    </w:p>
    <w:p w:rsidR="00260967" w:rsidRPr="00260967" w:rsidRDefault="00260967" w:rsidP="00D51B6B">
      <w:pPr>
        <w:jc w:val="both"/>
        <w:rPr>
          <w:sz w:val="20"/>
          <w:lang w:val="fr-CA"/>
        </w:rPr>
      </w:pPr>
      <w:r w:rsidRPr="00260967">
        <w:rPr>
          <w:sz w:val="20"/>
          <w:lang w:val="fr-CA"/>
        </w:rPr>
        <w:t xml:space="preserve">Institutions financières - Banques - Droit fiscal - Procédure - Fouilles, perquisitions et saisies - Une loi provinciale peut-elle, à elle seule et sans formalité pangouvernementale, autoriser la saisie administrative d’information et de documents d’un compte tenu à une succursale bancaire située dans un ressort étranger? - En vertu du droit bancaire : a) quel est le cadre législatif régissant les saisies sur les banques? b) une succursale bancaire est-elle réputée être une entité distincte de la banque elle-même pour les fins de toutes les saisies? - </w:t>
      </w:r>
      <w:r w:rsidRPr="00260967">
        <w:rPr>
          <w:i/>
          <w:sz w:val="20"/>
          <w:lang w:val="fr-CA"/>
        </w:rPr>
        <w:t>Loi sur l’administration fiscale</w:t>
      </w:r>
      <w:r w:rsidRPr="00260967">
        <w:rPr>
          <w:sz w:val="20"/>
          <w:lang w:val="fr-CA"/>
        </w:rPr>
        <w:t xml:space="preserve">, RLRQ, c. A-6.002, art. 39 - </w:t>
      </w:r>
      <w:r w:rsidRPr="00260967">
        <w:rPr>
          <w:i/>
          <w:sz w:val="20"/>
          <w:lang w:val="fr-CA"/>
        </w:rPr>
        <w:t>Loi sur les banques</w:t>
      </w:r>
      <w:r w:rsidRPr="00260967">
        <w:rPr>
          <w:sz w:val="20"/>
          <w:lang w:val="fr-CA"/>
        </w:rPr>
        <w:t>, L.C. 1991, ch. 46, art. 462.</w:t>
      </w:r>
    </w:p>
    <w:p w:rsidR="00260967" w:rsidRPr="00260967" w:rsidRDefault="00260967" w:rsidP="00D51B6B">
      <w:pPr>
        <w:widowControl w:val="0"/>
        <w:ind w:left="1440" w:hanging="1440"/>
        <w:jc w:val="both"/>
        <w:rPr>
          <w:sz w:val="20"/>
          <w:lang w:val="fr-CA"/>
        </w:rPr>
      </w:pPr>
    </w:p>
    <w:p w:rsidR="00260967" w:rsidRPr="00260967" w:rsidRDefault="00260967" w:rsidP="009A57F9">
      <w:pPr>
        <w:jc w:val="both"/>
        <w:rPr>
          <w:sz w:val="20"/>
          <w:lang w:val="fr-CA"/>
        </w:rPr>
      </w:pPr>
      <w:r w:rsidRPr="00260967">
        <w:rPr>
          <w:sz w:val="20"/>
          <w:lang w:val="fr-CA"/>
        </w:rPr>
        <w:t xml:space="preserve">L’Agence du revenu du Québec cherche à obtenir des documents bancaires concernant DGGMC, une fiducie dont 1068754 Alberta Ltd. était l’unique fiduciaire. Les documents en cause sont détenus par une succursale de la Banque Nationale du Canada située à Calgary. La vérification s’effectue en vertu de la </w:t>
      </w:r>
      <w:r w:rsidRPr="00260967">
        <w:rPr>
          <w:i/>
          <w:sz w:val="20"/>
          <w:lang w:val="fr-CA"/>
        </w:rPr>
        <w:t xml:space="preserve">Loi sur les impôts </w:t>
      </w:r>
      <w:r w:rsidRPr="00260967">
        <w:rPr>
          <w:sz w:val="20"/>
          <w:lang w:val="fr-CA"/>
        </w:rPr>
        <w:t xml:space="preserve">québécoise (RLRQ, ch. I-3) et serait motivée par des soupçons de l’Agence à l’effet que DGGMC soit tenue de verser des impôts au Québec. La Cour supérieure rejette la demande d’Alberta Ltd. visant à casser la demande péremptoire de documents de l’Agence. Elle a conclu que la demande péremptoire en cause ne constitue pas une saisie. Toutefois, à son avis, même si la demande péremptoire devait être communiquée à la succursale du compte en vertu de la </w:t>
      </w:r>
      <w:r w:rsidRPr="00260967">
        <w:rPr>
          <w:i/>
          <w:sz w:val="20"/>
          <w:lang w:val="fr-CA"/>
        </w:rPr>
        <w:t>Loi sur les banques</w:t>
      </w:r>
      <w:r w:rsidRPr="00260967">
        <w:rPr>
          <w:sz w:val="20"/>
          <w:lang w:val="fr-CA"/>
        </w:rPr>
        <w:t xml:space="preserve">, c’est la banque en son ensemble, et non la succursale en tant qu’entité juridique distincte, qui est notifiée. La Cour d’appel rejette l’appel d’Alberta Ltd. Elle juge que la demande péremptoire de documents constitue une saisie, mais cette dernière n’a pas une portée extraterritoriale aux termes de la disposition applicable de la </w:t>
      </w:r>
      <w:r w:rsidRPr="00260967">
        <w:rPr>
          <w:i/>
          <w:sz w:val="20"/>
          <w:lang w:val="fr-CA"/>
        </w:rPr>
        <w:t>Loi sur les banques</w:t>
      </w:r>
      <w:r w:rsidRPr="00260967">
        <w:rPr>
          <w:sz w:val="20"/>
          <w:lang w:val="fr-CA"/>
        </w:rPr>
        <w:t>. De plus, l’Agence n’a pas excédé sa compétence.</w:t>
      </w:r>
      <w:bookmarkStart w:id="3" w:name="QuickMark_1"/>
      <w:bookmarkEnd w:id="3"/>
    </w:p>
    <w:p w:rsidR="00260967" w:rsidRDefault="00260967" w:rsidP="00340C6D">
      <w:pPr>
        <w:jc w:val="both"/>
        <w:rPr>
          <w:szCs w:val="24"/>
        </w:rPr>
      </w:pPr>
    </w:p>
    <w:p w:rsidR="00260967" w:rsidRDefault="00492039" w:rsidP="00340C6D">
      <w:pPr>
        <w:jc w:val="both"/>
        <w:rPr>
          <w:szCs w:val="24"/>
        </w:rPr>
      </w:pPr>
      <w:r>
        <w:rPr>
          <w:sz w:val="20"/>
        </w:rPr>
        <w:pict>
          <v:rect id="_x0000_i1027" style="width:2in;height:1pt" o:hrpct="0" o:hralign="center" o:hrstd="t" o:hrnoshade="t" o:hr="t" fillcolor="black [3213]" stroked="f"/>
        </w:pict>
      </w:r>
    </w:p>
    <w:p w:rsidR="00260967" w:rsidRDefault="00260967" w:rsidP="00340C6D">
      <w:pPr>
        <w:jc w:val="both"/>
        <w:rPr>
          <w:szCs w:val="24"/>
        </w:rPr>
      </w:pPr>
    </w:p>
    <w:p w:rsidR="00260967" w:rsidRPr="009D295C" w:rsidRDefault="00260967" w:rsidP="00340C6D">
      <w:pPr>
        <w:jc w:val="both"/>
        <w:rPr>
          <w:szCs w:val="24"/>
        </w:rPr>
      </w:pPr>
    </w:p>
    <w:p w:rsidR="00072A63" w:rsidRPr="009D295C" w:rsidRDefault="00072A63" w:rsidP="00EC79B0">
      <w:pPr>
        <w:jc w:val="both"/>
        <w:rPr>
          <w:szCs w:val="24"/>
        </w:rPr>
      </w:pPr>
    </w:p>
    <w:p w:rsidR="001C4415" w:rsidRPr="00EE5531" w:rsidRDefault="001C4415" w:rsidP="001C4415">
      <w:pPr>
        <w:widowControl w:val="0"/>
        <w:outlineLvl w:val="0"/>
      </w:pPr>
      <w:r w:rsidRPr="00EE5531">
        <w:t xml:space="preserve">Supreme Court of Canada / Cour suprême du </w:t>
      </w:r>
      <w:proofErr w:type="gramStart"/>
      <w:r w:rsidRPr="00EE5531">
        <w:t>Canada :</w:t>
      </w:r>
      <w:proofErr w:type="gramEnd"/>
      <w:r w:rsidRPr="00EE5531">
        <w:t xml:space="preserve"> </w:t>
      </w:r>
    </w:p>
    <w:p w:rsidR="001C4415" w:rsidRPr="00EE5531" w:rsidRDefault="00492039" w:rsidP="001C4415">
      <w:pPr>
        <w:widowControl w:val="0"/>
        <w:outlineLvl w:val="0"/>
      </w:pPr>
      <w:hyperlink r:id="rId8" w:history="1">
        <w:r w:rsidR="001C4415" w:rsidRPr="00EE5531">
          <w:rPr>
            <w:rStyle w:val="Hyperlink"/>
          </w:rPr>
          <w:t>comments-commentaires@scc-csc.ca</w:t>
        </w:r>
      </w:hyperlink>
    </w:p>
    <w:p w:rsidR="001C4415" w:rsidRPr="00EE5531" w:rsidRDefault="001C4415" w:rsidP="001C4415">
      <w:pPr>
        <w:widowControl w:val="0"/>
        <w:outlineLvl w:val="0"/>
      </w:pPr>
      <w:r w:rsidRPr="00EE5531">
        <w:t>(613) 995-4330</w:t>
      </w:r>
    </w:p>
    <w:p w:rsidR="001C4415" w:rsidRPr="00EE5531" w:rsidRDefault="001C4415" w:rsidP="001C4415">
      <w:pPr>
        <w:widowControl w:val="0"/>
        <w:rPr>
          <w:sz w:val="20"/>
        </w:rPr>
      </w:pPr>
    </w:p>
    <w:p w:rsidR="0036476C" w:rsidRPr="00A8502B" w:rsidRDefault="001C4415" w:rsidP="0036476C">
      <w:pPr>
        <w:pStyle w:val="Footer"/>
        <w:jc w:val="center"/>
        <w:rPr>
          <w:lang w:val="fr-CA"/>
        </w:rPr>
      </w:pPr>
      <w:r w:rsidRPr="00EE5531">
        <w:rPr>
          <w:lang w:val="fr-CA"/>
        </w:rPr>
        <w:t xml:space="preserve">- 30 </w:t>
      </w:r>
      <w:r w:rsidR="003C1B6E" w:rsidRPr="00EE5531">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1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376CC"/>
    <w:rsid w:val="00042B21"/>
    <w:rsid w:val="000446D3"/>
    <w:rsid w:val="000454BF"/>
    <w:rsid w:val="00053111"/>
    <w:rsid w:val="00060140"/>
    <w:rsid w:val="00060B39"/>
    <w:rsid w:val="00061A14"/>
    <w:rsid w:val="00072A63"/>
    <w:rsid w:val="0008116D"/>
    <w:rsid w:val="000855FD"/>
    <w:rsid w:val="00087122"/>
    <w:rsid w:val="00095EDD"/>
    <w:rsid w:val="0009615F"/>
    <w:rsid w:val="000A03A4"/>
    <w:rsid w:val="000A063C"/>
    <w:rsid w:val="000A0834"/>
    <w:rsid w:val="000A21DA"/>
    <w:rsid w:val="000A226B"/>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14B"/>
    <w:rsid w:val="00101539"/>
    <w:rsid w:val="0010171C"/>
    <w:rsid w:val="00103400"/>
    <w:rsid w:val="00105085"/>
    <w:rsid w:val="001065AF"/>
    <w:rsid w:val="00113326"/>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4E45"/>
    <w:rsid w:val="00175566"/>
    <w:rsid w:val="00177C9B"/>
    <w:rsid w:val="001801D4"/>
    <w:rsid w:val="0018124A"/>
    <w:rsid w:val="001826CD"/>
    <w:rsid w:val="00187B57"/>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0967"/>
    <w:rsid w:val="002617BB"/>
    <w:rsid w:val="0026289A"/>
    <w:rsid w:val="00262BC7"/>
    <w:rsid w:val="0026466A"/>
    <w:rsid w:val="00264AA1"/>
    <w:rsid w:val="00266607"/>
    <w:rsid w:val="002667BA"/>
    <w:rsid w:val="002667ED"/>
    <w:rsid w:val="00266A8B"/>
    <w:rsid w:val="002723AE"/>
    <w:rsid w:val="00272EAB"/>
    <w:rsid w:val="002768F6"/>
    <w:rsid w:val="00282563"/>
    <w:rsid w:val="0028630C"/>
    <w:rsid w:val="00290E05"/>
    <w:rsid w:val="00290F21"/>
    <w:rsid w:val="00291F84"/>
    <w:rsid w:val="00295263"/>
    <w:rsid w:val="00296694"/>
    <w:rsid w:val="00297E1D"/>
    <w:rsid w:val="002A1A63"/>
    <w:rsid w:val="002A23AD"/>
    <w:rsid w:val="002A2F5A"/>
    <w:rsid w:val="002A3DD8"/>
    <w:rsid w:val="002A4252"/>
    <w:rsid w:val="002A44BE"/>
    <w:rsid w:val="002A5496"/>
    <w:rsid w:val="002A6B95"/>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E6C2C"/>
    <w:rsid w:val="002F28E0"/>
    <w:rsid w:val="002F2E89"/>
    <w:rsid w:val="002F4212"/>
    <w:rsid w:val="002F55A8"/>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3ECD"/>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4E95"/>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39C1"/>
    <w:rsid w:val="00475644"/>
    <w:rsid w:val="0047787E"/>
    <w:rsid w:val="004824D8"/>
    <w:rsid w:val="00486701"/>
    <w:rsid w:val="0048671C"/>
    <w:rsid w:val="0048741E"/>
    <w:rsid w:val="00491284"/>
    <w:rsid w:val="00492039"/>
    <w:rsid w:val="004927D1"/>
    <w:rsid w:val="004A017B"/>
    <w:rsid w:val="004A2228"/>
    <w:rsid w:val="004A40E1"/>
    <w:rsid w:val="004A4570"/>
    <w:rsid w:val="004A56AC"/>
    <w:rsid w:val="004A6F06"/>
    <w:rsid w:val="004B22B5"/>
    <w:rsid w:val="004B4821"/>
    <w:rsid w:val="004B6E20"/>
    <w:rsid w:val="004B6F3A"/>
    <w:rsid w:val="004C070B"/>
    <w:rsid w:val="004C0F87"/>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224A"/>
    <w:rsid w:val="00525362"/>
    <w:rsid w:val="00525B8E"/>
    <w:rsid w:val="005271AD"/>
    <w:rsid w:val="00530DD0"/>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25C8"/>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2EFD"/>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33EC"/>
    <w:rsid w:val="006630E5"/>
    <w:rsid w:val="00663CDF"/>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6D5"/>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4DF6"/>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39F"/>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3CF"/>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7015"/>
    <w:rsid w:val="008E703D"/>
    <w:rsid w:val="008E7777"/>
    <w:rsid w:val="008F15CD"/>
    <w:rsid w:val="008F246A"/>
    <w:rsid w:val="008F607D"/>
    <w:rsid w:val="008F66A1"/>
    <w:rsid w:val="008F6C55"/>
    <w:rsid w:val="0090380F"/>
    <w:rsid w:val="009050BE"/>
    <w:rsid w:val="009062BF"/>
    <w:rsid w:val="009079AF"/>
    <w:rsid w:val="00911071"/>
    <w:rsid w:val="00916404"/>
    <w:rsid w:val="00916B9F"/>
    <w:rsid w:val="009202FD"/>
    <w:rsid w:val="00921102"/>
    <w:rsid w:val="009214B3"/>
    <w:rsid w:val="0092264F"/>
    <w:rsid w:val="0092285E"/>
    <w:rsid w:val="009234CE"/>
    <w:rsid w:val="009246D2"/>
    <w:rsid w:val="00925384"/>
    <w:rsid w:val="00931A3C"/>
    <w:rsid w:val="0093468B"/>
    <w:rsid w:val="00935D33"/>
    <w:rsid w:val="009408A3"/>
    <w:rsid w:val="009421D0"/>
    <w:rsid w:val="009448B0"/>
    <w:rsid w:val="00945121"/>
    <w:rsid w:val="00945199"/>
    <w:rsid w:val="00945849"/>
    <w:rsid w:val="00946EC7"/>
    <w:rsid w:val="00954614"/>
    <w:rsid w:val="00955BCE"/>
    <w:rsid w:val="009603A2"/>
    <w:rsid w:val="00961DA1"/>
    <w:rsid w:val="00962301"/>
    <w:rsid w:val="00970CA2"/>
    <w:rsid w:val="00970EDF"/>
    <w:rsid w:val="00972F05"/>
    <w:rsid w:val="00975F1B"/>
    <w:rsid w:val="0097705F"/>
    <w:rsid w:val="009773EE"/>
    <w:rsid w:val="009813C5"/>
    <w:rsid w:val="00984F0A"/>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295C"/>
    <w:rsid w:val="009D30BC"/>
    <w:rsid w:val="009E15E2"/>
    <w:rsid w:val="009E23BF"/>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3D6D"/>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18B"/>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94C3E"/>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E030B"/>
    <w:rsid w:val="00BF00CF"/>
    <w:rsid w:val="00BF07B1"/>
    <w:rsid w:val="00BF0DC4"/>
    <w:rsid w:val="00BF1E18"/>
    <w:rsid w:val="00BF336E"/>
    <w:rsid w:val="00BF4B52"/>
    <w:rsid w:val="00BF5E12"/>
    <w:rsid w:val="00C02565"/>
    <w:rsid w:val="00C02A35"/>
    <w:rsid w:val="00C05DB6"/>
    <w:rsid w:val="00C06000"/>
    <w:rsid w:val="00C06A7B"/>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0CD9"/>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4D4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369"/>
    <w:rsid w:val="00D22031"/>
    <w:rsid w:val="00D303D6"/>
    <w:rsid w:val="00D32687"/>
    <w:rsid w:val="00D32D6E"/>
    <w:rsid w:val="00D3314A"/>
    <w:rsid w:val="00D362A2"/>
    <w:rsid w:val="00D37B27"/>
    <w:rsid w:val="00D424D2"/>
    <w:rsid w:val="00D42E9E"/>
    <w:rsid w:val="00D51791"/>
    <w:rsid w:val="00D522B4"/>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2770"/>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503"/>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5531"/>
    <w:rsid w:val="00EE5A88"/>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65C"/>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1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799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3972</Characters>
  <Application>Microsoft Office Word</Application>
  <DocSecurity>0</DocSecurity>
  <Lines>172</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2019-06-05T16:42:00Z</dcterms:created>
  <dcterms:modified xsi:type="dcterms:W3CDTF">2019-06-21T17:42:00Z</dcterms:modified>
</cp:coreProperties>
</file>