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845A2" w:rsidRDefault="000E391F" w:rsidP="000E391F">
      <w:pPr>
        <w:pStyle w:val="Header"/>
        <w:jc w:val="center"/>
        <w:rPr>
          <w:b/>
          <w:sz w:val="32"/>
        </w:rPr>
      </w:pPr>
      <w:r w:rsidRPr="00575C32">
        <w:rPr>
          <w:b/>
          <w:sz w:val="32"/>
        </w:rPr>
        <w:t>S</w:t>
      </w:r>
      <w:bookmarkStart w:id="0" w:name="_GoBack"/>
      <w:bookmarkEnd w:id="0"/>
      <w:r w:rsidRPr="008845A2">
        <w:rPr>
          <w:b/>
          <w:sz w:val="32"/>
        </w:rPr>
        <w:t>upreme Court of Canada / Cour suprême du Canada</w:t>
      </w:r>
    </w:p>
    <w:p w:rsidR="000E391F" w:rsidRPr="008845A2" w:rsidRDefault="000E391F" w:rsidP="000E391F">
      <w:pPr>
        <w:widowControl w:val="0"/>
      </w:pPr>
    </w:p>
    <w:p w:rsidR="000E391F" w:rsidRPr="008845A2" w:rsidRDefault="000E391F" w:rsidP="000E391F">
      <w:pPr>
        <w:widowControl w:val="0"/>
        <w:rPr>
          <w:i/>
        </w:rPr>
      </w:pPr>
    </w:p>
    <w:p w:rsidR="006F2579" w:rsidRPr="008845A2" w:rsidRDefault="006F2579" w:rsidP="006F2579">
      <w:pPr>
        <w:widowControl w:val="0"/>
        <w:rPr>
          <w:i/>
          <w:sz w:val="20"/>
        </w:rPr>
      </w:pPr>
      <w:r w:rsidRPr="008845A2">
        <w:rPr>
          <w:i/>
          <w:sz w:val="20"/>
        </w:rPr>
        <w:t>(</w:t>
      </w:r>
      <w:r w:rsidR="003240B6" w:rsidRPr="008845A2">
        <w:rPr>
          <w:i/>
          <w:sz w:val="20"/>
        </w:rPr>
        <w:t>L</w:t>
      </w:r>
      <w:r w:rsidRPr="008845A2">
        <w:rPr>
          <w:i/>
          <w:sz w:val="20"/>
        </w:rPr>
        <w:t>e français suit)</w:t>
      </w:r>
    </w:p>
    <w:p w:rsidR="006F2579" w:rsidRPr="008845A2" w:rsidRDefault="006F2579" w:rsidP="006F2579">
      <w:pPr>
        <w:widowControl w:val="0"/>
      </w:pPr>
    </w:p>
    <w:p w:rsidR="006F2579" w:rsidRPr="008845A2" w:rsidRDefault="00B07908" w:rsidP="006F2579">
      <w:pPr>
        <w:widowControl w:val="0"/>
        <w:jc w:val="center"/>
        <w:rPr>
          <w:b/>
        </w:rPr>
      </w:pPr>
      <w:r w:rsidRPr="008845A2">
        <w:fldChar w:fldCharType="begin"/>
      </w:r>
      <w:r w:rsidR="006F2579" w:rsidRPr="008845A2">
        <w:instrText xml:space="preserve"> SEQ CHAPTER \h \r 1</w:instrText>
      </w:r>
      <w:r w:rsidRPr="008845A2">
        <w:fldChar w:fldCharType="end"/>
      </w:r>
      <w:r w:rsidR="006F2579" w:rsidRPr="008845A2">
        <w:rPr>
          <w:b/>
        </w:rPr>
        <w:t>JUDGMENT</w:t>
      </w:r>
      <w:r w:rsidR="00B17AAC" w:rsidRPr="008845A2">
        <w:rPr>
          <w:b/>
        </w:rPr>
        <w:t>S</w:t>
      </w:r>
      <w:r w:rsidR="006F2579" w:rsidRPr="008845A2">
        <w:rPr>
          <w:b/>
        </w:rPr>
        <w:t xml:space="preserve"> TO B</w:t>
      </w:r>
      <w:r w:rsidR="00001846" w:rsidRPr="008845A2">
        <w:rPr>
          <w:b/>
        </w:rPr>
        <w:t>E RENDERED IN LE</w:t>
      </w:r>
      <w:r w:rsidR="00A0288A" w:rsidRPr="008845A2">
        <w:rPr>
          <w:b/>
        </w:rPr>
        <w:t>A</w:t>
      </w:r>
      <w:r w:rsidR="00001846" w:rsidRPr="008845A2">
        <w:rPr>
          <w:b/>
        </w:rPr>
        <w:t>VE APPLICATION</w:t>
      </w:r>
      <w:r w:rsidR="00511288" w:rsidRPr="008845A2">
        <w:rPr>
          <w:b/>
        </w:rPr>
        <w:t>S</w:t>
      </w:r>
    </w:p>
    <w:p w:rsidR="006F2579" w:rsidRPr="008845A2" w:rsidRDefault="006F2579" w:rsidP="006F2579">
      <w:pPr>
        <w:widowControl w:val="0"/>
      </w:pPr>
    </w:p>
    <w:p w:rsidR="006F2579" w:rsidRPr="008845A2" w:rsidRDefault="007A72CA" w:rsidP="006F2579">
      <w:pPr>
        <w:widowControl w:val="0"/>
      </w:pPr>
      <w:r w:rsidRPr="008845A2">
        <w:rPr>
          <w:b/>
        </w:rPr>
        <w:t>Ju</w:t>
      </w:r>
      <w:r w:rsidR="00042618" w:rsidRPr="008845A2">
        <w:rPr>
          <w:b/>
        </w:rPr>
        <w:t>ly</w:t>
      </w:r>
      <w:r w:rsidR="00A15B66" w:rsidRPr="008845A2">
        <w:rPr>
          <w:b/>
        </w:rPr>
        <w:t xml:space="preserve"> </w:t>
      </w:r>
      <w:r w:rsidR="00042618" w:rsidRPr="008845A2">
        <w:rPr>
          <w:b/>
        </w:rPr>
        <w:t>6</w:t>
      </w:r>
      <w:r w:rsidR="004441C7" w:rsidRPr="008845A2">
        <w:rPr>
          <w:b/>
        </w:rPr>
        <w:t>,</w:t>
      </w:r>
      <w:r w:rsidR="006F2579" w:rsidRPr="008845A2">
        <w:rPr>
          <w:b/>
        </w:rPr>
        <w:t xml:space="preserve"> </w:t>
      </w:r>
      <w:r w:rsidR="0054689F" w:rsidRPr="008845A2">
        <w:rPr>
          <w:b/>
        </w:rPr>
        <w:t>20</w:t>
      </w:r>
      <w:r w:rsidR="00526754" w:rsidRPr="008845A2">
        <w:rPr>
          <w:b/>
        </w:rPr>
        <w:t>20</w:t>
      </w:r>
    </w:p>
    <w:p w:rsidR="006F2579" w:rsidRPr="008845A2" w:rsidRDefault="00674F39" w:rsidP="006F2579">
      <w:pPr>
        <w:widowControl w:val="0"/>
        <w:rPr>
          <w:b/>
        </w:rPr>
      </w:pPr>
      <w:r w:rsidRPr="008845A2">
        <w:rPr>
          <w:b/>
        </w:rPr>
        <w:t>For immediate release</w:t>
      </w:r>
    </w:p>
    <w:p w:rsidR="006F2579" w:rsidRPr="008845A2" w:rsidRDefault="006F2579" w:rsidP="006F2579">
      <w:pPr>
        <w:widowControl w:val="0"/>
      </w:pPr>
    </w:p>
    <w:p w:rsidR="006F2579" w:rsidRPr="008845A2" w:rsidRDefault="006F2579" w:rsidP="006F2579">
      <w:pPr>
        <w:widowControl w:val="0"/>
        <w:rPr>
          <w:lang w:val="fr-CA"/>
        </w:rPr>
      </w:pPr>
      <w:r w:rsidRPr="008845A2">
        <w:rPr>
          <w:b/>
        </w:rPr>
        <w:t>OTTAWA</w:t>
      </w:r>
      <w:r w:rsidRPr="008845A2">
        <w:t xml:space="preserve"> – The Supreme Court of Canad</w:t>
      </w:r>
      <w:r w:rsidR="006246E4" w:rsidRPr="008845A2">
        <w:t>a</w:t>
      </w:r>
      <w:r w:rsidRPr="008845A2">
        <w:t xml:space="preserve"> announced today that judgment in the following </w:t>
      </w:r>
      <w:r w:rsidR="00DB6199" w:rsidRPr="008845A2">
        <w:t xml:space="preserve">leave applications </w:t>
      </w:r>
      <w:r w:rsidRPr="008845A2">
        <w:t xml:space="preserve">will be delivered at 9:45 a.m. </w:t>
      </w:r>
      <w:r w:rsidR="00E05816" w:rsidRPr="008845A2">
        <w:t>E</w:t>
      </w:r>
      <w:r w:rsidR="00273FF3" w:rsidRPr="008845A2">
        <w:t>D</w:t>
      </w:r>
      <w:r w:rsidR="00E05816" w:rsidRPr="008845A2">
        <w:t>T</w:t>
      </w:r>
      <w:r w:rsidRPr="008845A2">
        <w:t xml:space="preserve"> on Thursday, </w:t>
      </w:r>
      <w:r w:rsidR="007A72CA" w:rsidRPr="008845A2">
        <w:t>Ju</w:t>
      </w:r>
      <w:r w:rsidR="00F61FFA" w:rsidRPr="008845A2">
        <w:t>ly</w:t>
      </w:r>
      <w:r w:rsidR="00455912" w:rsidRPr="008845A2">
        <w:t xml:space="preserve"> </w:t>
      </w:r>
      <w:r w:rsidR="00042618" w:rsidRPr="008845A2">
        <w:t>9</w:t>
      </w:r>
      <w:r w:rsidR="007E112F" w:rsidRPr="008845A2">
        <w:t>,</w:t>
      </w:r>
      <w:r w:rsidR="002F38D7" w:rsidRPr="008845A2">
        <w:t xml:space="preserve"> </w:t>
      </w:r>
      <w:r w:rsidR="006648D1" w:rsidRPr="008845A2">
        <w:t>20</w:t>
      </w:r>
      <w:r w:rsidR="00526754" w:rsidRPr="008845A2">
        <w:t>20</w:t>
      </w:r>
      <w:r w:rsidRPr="008845A2">
        <w:t xml:space="preserve">. </w:t>
      </w:r>
      <w:r w:rsidRPr="008845A2">
        <w:rPr>
          <w:lang w:val="fr-CA"/>
        </w:rPr>
        <w:t>This list is subject to chang</w:t>
      </w:r>
      <w:r w:rsidR="00192F7F" w:rsidRPr="008845A2">
        <w:rPr>
          <w:lang w:val="fr-CA"/>
        </w:rPr>
        <w:t>e</w:t>
      </w:r>
      <w:r w:rsidRPr="008845A2">
        <w:rPr>
          <w:lang w:val="fr-CA"/>
        </w:rPr>
        <w:t>.</w:t>
      </w:r>
    </w:p>
    <w:p w:rsidR="00FF5AA4" w:rsidRPr="008845A2" w:rsidRDefault="00FF5AA4" w:rsidP="006F2579">
      <w:pPr>
        <w:widowControl w:val="0"/>
        <w:rPr>
          <w:lang w:val="fr-CA"/>
        </w:rPr>
      </w:pPr>
    </w:p>
    <w:p w:rsidR="00B43418" w:rsidRPr="008845A2" w:rsidRDefault="00B43418" w:rsidP="006F2579">
      <w:pPr>
        <w:widowControl w:val="0"/>
        <w:rPr>
          <w:lang w:val="fr-CA"/>
        </w:rPr>
      </w:pPr>
    </w:p>
    <w:p w:rsidR="006F2579" w:rsidRPr="008845A2" w:rsidRDefault="006F2579" w:rsidP="006F2579">
      <w:pPr>
        <w:widowControl w:val="0"/>
        <w:jc w:val="center"/>
        <w:rPr>
          <w:lang w:val="fr-CA"/>
        </w:rPr>
      </w:pPr>
      <w:r w:rsidRPr="008845A2">
        <w:rPr>
          <w:b/>
          <w:lang w:val="fr-CA"/>
        </w:rPr>
        <w:t>PROCHAIN</w:t>
      </w:r>
      <w:r w:rsidR="00B17AAC" w:rsidRPr="008845A2">
        <w:rPr>
          <w:b/>
          <w:lang w:val="fr-CA"/>
        </w:rPr>
        <w:t>S</w:t>
      </w:r>
      <w:r w:rsidRPr="008845A2">
        <w:rPr>
          <w:b/>
          <w:lang w:val="fr-CA"/>
        </w:rPr>
        <w:t xml:space="preserve"> JUGEMENT</w:t>
      </w:r>
      <w:r w:rsidR="00B17AAC" w:rsidRPr="008845A2">
        <w:rPr>
          <w:b/>
          <w:lang w:val="fr-CA"/>
        </w:rPr>
        <w:t>S</w:t>
      </w:r>
      <w:r w:rsidR="00001846" w:rsidRPr="008845A2">
        <w:rPr>
          <w:b/>
          <w:lang w:val="fr-CA"/>
        </w:rPr>
        <w:t xml:space="preserve"> SUR DEMANDE</w:t>
      </w:r>
      <w:r w:rsidR="00B17AAC" w:rsidRPr="008845A2">
        <w:rPr>
          <w:b/>
          <w:lang w:val="fr-CA"/>
        </w:rPr>
        <w:t>S</w:t>
      </w:r>
      <w:r w:rsidRPr="008845A2">
        <w:rPr>
          <w:b/>
          <w:lang w:val="fr-CA"/>
        </w:rPr>
        <w:t xml:space="preserve"> D’AUTORISATION</w:t>
      </w:r>
    </w:p>
    <w:p w:rsidR="006F2579" w:rsidRPr="008845A2" w:rsidRDefault="006F2579" w:rsidP="006F2579">
      <w:pPr>
        <w:widowControl w:val="0"/>
        <w:rPr>
          <w:lang w:val="fr-CA"/>
        </w:rPr>
      </w:pPr>
    </w:p>
    <w:p w:rsidR="006F2579" w:rsidRPr="008845A2" w:rsidRDefault="006F2579" w:rsidP="006F2579">
      <w:pPr>
        <w:widowControl w:val="0"/>
        <w:rPr>
          <w:lang w:val="fr-CA"/>
        </w:rPr>
      </w:pPr>
      <w:r w:rsidRPr="008845A2">
        <w:rPr>
          <w:b/>
          <w:lang w:val="fr-CA"/>
        </w:rPr>
        <w:t>Le</w:t>
      </w:r>
      <w:r w:rsidR="00957A76" w:rsidRPr="008845A2">
        <w:rPr>
          <w:b/>
          <w:lang w:val="fr-CA"/>
        </w:rPr>
        <w:t xml:space="preserve"> </w:t>
      </w:r>
      <w:r w:rsidR="00042618" w:rsidRPr="008845A2">
        <w:rPr>
          <w:b/>
          <w:lang w:val="fr-CA"/>
        </w:rPr>
        <w:t>6</w:t>
      </w:r>
      <w:r w:rsidR="007A72CA" w:rsidRPr="008845A2">
        <w:rPr>
          <w:b/>
          <w:lang w:val="fr-CA"/>
        </w:rPr>
        <w:t xml:space="preserve"> jui</w:t>
      </w:r>
      <w:r w:rsidR="00042618" w:rsidRPr="008845A2">
        <w:rPr>
          <w:b/>
          <w:lang w:val="fr-CA"/>
        </w:rPr>
        <w:t>llet</w:t>
      </w:r>
      <w:r w:rsidR="00A151D1" w:rsidRPr="008845A2">
        <w:rPr>
          <w:b/>
          <w:lang w:val="fr-CA"/>
        </w:rPr>
        <w:t xml:space="preserve"> 20</w:t>
      </w:r>
      <w:r w:rsidR="00526754" w:rsidRPr="008845A2">
        <w:rPr>
          <w:b/>
          <w:lang w:val="fr-CA"/>
        </w:rPr>
        <w:t>20</w:t>
      </w:r>
    </w:p>
    <w:p w:rsidR="006F2579" w:rsidRPr="008845A2" w:rsidRDefault="006F2579" w:rsidP="006F2579">
      <w:pPr>
        <w:widowControl w:val="0"/>
        <w:rPr>
          <w:b/>
          <w:lang w:val="fr-CA"/>
        </w:rPr>
      </w:pPr>
      <w:r w:rsidRPr="008845A2">
        <w:rPr>
          <w:b/>
          <w:lang w:val="fr-CA"/>
        </w:rPr>
        <w:t>Pour diffusion immédiate</w:t>
      </w:r>
    </w:p>
    <w:p w:rsidR="006F2579" w:rsidRPr="008845A2" w:rsidRDefault="006F2579" w:rsidP="006F2579">
      <w:pPr>
        <w:widowControl w:val="0"/>
        <w:rPr>
          <w:lang w:val="fr-CA"/>
        </w:rPr>
      </w:pPr>
    </w:p>
    <w:p w:rsidR="006F2579" w:rsidRPr="008845A2" w:rsidRDefault="006F2579" w:rsidP="006F2579">
      <w:pPr>
        <w:widowControl w:val="0"/>
        <w:rPr>
          <w:lang w:val="fr-CA"/>
        </w:rPr>
      </w:pPr>
      <w:r w:rsidRPr="008845A2">
        <w:rPr>
          <w:b/>
          <w:lang w:val="fr-CA"/>
        </w:rPr>
        <w:t>OTTAWA</w:t>
      </w:r>
      <w:r w:rsidRPr="008845A2">
        <w:rPr>
          <w:lang w:val="fr-CA"/>
        </w:rPr>
        <w:t xml:space="preserve"> – La Cour suprême du Canada annonce que jugement ser</w:t>
      </w:r>
      <w:r w:rsidR="004259F9" w:rsidRPr="008845A2">
        <w:rPr>
          <w:lang w:val="fr-CA"/>
        </w:rPr>
        <w:t>a</w:t>
      </w:r>
      <w:r w:rsidRPr="008845A2">
        <w:rPr>
          <w:lang w:val="fr-CA"/>
        </w:rPr>
        <w:t xml:space="preserve"> rendu dans l</w:t>
      </w:r>
      <w:r w:rsidR="008600ED" w:rsidRPr="008845A2">
        <w:rPr>
          <w:lang w:val="fr-CA"/>
        </w:rPr>
        <w:t>es</w:t>
      </w:r>
      <w:r w:rsidRPr="008845A2">
        <w:rPr>
          <w:lang w:val="fr-CA"/>
        </w:rPr>
        <w:t xml:space="preserve"> demande</w:t>
      </w:r>
      <w:r w:rsidR="008600ED" w:rsidRPr="008845A2">
        <w:rPr>
          <w:lang w:val="fr-CA"/>
        </w:rPr>
        <w:t>s</w:t>
      </w:r>
      <w:r w:rsidRPr="008845A2">
        <w:rPr>
          <w:lang w:val="fr-CA"/>
        </w:rPr>
        <w:t xml:space="preserve"> d</w:t>
      </w:r>
      <w:r w:rsidR="00001846" w:rsidRPr="008845A2">
        <w:rPr>
          <w:lang w:val="fr-CA"/>
        </w:rPr>
        <w:t>’autorisation suivante</w:t>
      </w:r>
      <w:r w:rsidR="008600ED" w:rsidRPr="008845A2">
        <w:rPr>
          <w:lang w:val="fr-CA"/>
        </w:rPr>
        <w:t>s</w:t>
      </w:r>
      <w:r w:rsidRPr="008845A2">
        <w:rPr>
          <w:lang w:val="fr-CA"/>
        </w:rPr>
        <w:t xml:space="preserve"> le jeudi </w:t>
      </w:r>
      <w:r w:rsidR="00042618" w:rsidRPr="008845A2">
        <w:rPr>
          <w:lang w:val="fr-CA"/>
        </w:rPr>
        <w:t>9</w:t>
      </w:r>
      <w:r w:rsidR="00780317" w:rsidRPr="008845A2">
        <w:rPr>
          <w:lang w:val="fr-CA"/>
        </w:rPr>
        <w:t xml:space="preserve"> </w:t>
      </w:r>
      <w:r w:rsidR="007A72CA" w:rsidRPr="008845A2">
        <w:rPr>
          <w:lang w:val="fr-CA"/>
        </w:rPr>
        <w:t>jui</w:t>
      </w:r>
      <w:r w:rsidR="00F61FFA" w:rsidRPr="008845A2">
        <w:rPr>
          <w:lang w:val="fr-CA"/>
        </w:rPr>
        <w:t>llet</w:t>
      </w:r>
      <w:r w:rsidR="00694391" w:rsidRPr="008845A2">
        <w:rPr>
          <w:lang w:val="fr-CA"/>
        </w:rPr>
        <w:t xml:space="preserve"> 2</w:t>
      </w:r>
      <w:r w:rsidR="006648D1" w:rsidRPr="008845A2">
        <w:rPr>
          <w:lang w:val="fr-CA"/>
        </w:rPr>
        <w:t>0</w:t>
      </w:r>
      <w:r w:rsidR="00526754" w:rsidRPr="008845A2">
        <w:rPr>
          <w:lang w:val="fr-CA"/>
        </w:rPr>
        <w:t>20</w:t>
      </w:r>
      <w:r w:rsidRPr="008845A2">
        <w:rPr>
          <w:lang w:val="fr-CA"/>
        </w:rPr>
        <w:t xml:space="preserve">, à 9 h 45 </w:t>
      </w:r>
      <w:r w:rsidR="000627A2" w:rsidRPr="008845A2">
        <w:rPr>
          <w:lang w:val="fr-CA"/>
        </w:rPr>
        <w:t>H</w:t>
      </w:r>
      <w:r w:rsidR="00273FF3" w:rsidRPr="008845A2">
        <w:rPr>
          <w:lang w:val="fr-CA"/>
        </w:rPr>
        <w:t>A</w:t>
      </w:r>
      <w:r w:rsidRPr="008845A2">
        <w:rPr>
          <w:lang w:val="fr-CA"/>
        </w:rPr>
        <w:t>E. Cette liste est sujette à modifications.</w:t>
      </w:r>
    </w:p>
    <w:p w:rsidR="0080556B" w:rsidRPr="008845A2" w:rsidRDefault="0080556B" w:rsidP="009B14F4">
      <w:pPr>
        <w:widowControl w:val="0"/>
        <w:jc w:val="both"/>
        <w:rPr>
          <w:sz w:val="20"/>
          <w:lang w:val="fr-CA"/>
        </w:rPr>
      </w:pPr>
    </w:p>
    <w:p w:rsidR="00867C61" w:rsidRPr="008845A2" w:rsidRDefault="008845A2" w:rsidP="009B14F4">
      <w:pPr>
        <w:widowControl w:val="0"/>
        <w:jc w:val="both"/>
        <w:rPr>
          <w:sz w:val="20"/>
          <w:lang w:val="fr-CA"/>
        </w:rPr>
      </w:pPr>
      <w:r w:rsidRPr="008845A2">
        <w:rPr>
          <w:sz w:val="20"/>
        </w:rPr>
        <w:pict>
          <v:rect id="_x0000_i1025" style="width:2in;height:1pt" o:hrpct="0" o:hralign="center" o:hrstd="t" o:hrnoshade="t" o:hr="t" fillcolor="black [3213]" stroked="f"/>
        </w:pict>
      </w:r>
    </w:p>
    <w:p w:rsidR="00774C10" w:rsidRPr="008845A2" w:rsidRDefault="00774C10" w:rsidP="009B14F4">
      <w:pPr>
        <w:widowControl w:val="0"/>
        <w:jc w:val="both"/>
        <w:rPr>
          <w:sz w:val="20"/>
          <w:lang w:val="fr-CA"/>
        </w:rPr>
      </w:pPr>
    </w:p>
    <w:p w:rsidR="009071EF" w:rsidRPr="008845A2" w:rsidRDefault="009071EF" w:rsidP="009071EF">
      <w:pPr>
        <w:pStyle w:val="ListParagraph"/>
        <w:numPr>
          <w:ilvl w:val="0"/>
          <w:numId w:val="20"/>
        </w:numPr>
        <w:ind w:left="357" w:hanging="357"/>
        <w:rPr>
          <w:sz w:val="20"/>
        </w:rPr>
      </w:pPr>
      <w:r w:rsidRPr="008845A2">
        <w:rPr>
          <w:i/>
          <w:sz w:val="20"/>
        </w:rPr>
        <w:t xml:space="preserve">Milton Gilberto Hernandez-Lopez v. Her Majesty the Queen </w:t>
      </w:r>
      <w:r w:rsidRPr="008845A2">
        <w:rPr>
          <w:sz w:val="20"/>
        </w:rPr>
        <w:t>(B.C.) (Criminal) (By Leave)</w:t>
      </w:r>
      <w:r w:rsidRPr="008845A2">
        <w:rPr>
          <w:sz w:val="20"/>
        </w:rPr>
        <w:t xml:space="preserve"> </w:t>
      </w:r>
      <w:r w:rsidRPr="008845A2">
        <w:rPr>
          <w:sz w:val="20"/>
        </w:rPr>
        <w:t>(</w:t>
      </w:r>
      <w:hyperlink r:id="rId8" w:history="1">
        <w:r w:rsidRPr="008845A2">
          <w:rPr>
            <w:rStyle w:val="Hyperlink"/>
            <w:sz w:val="20"/>
            <w:szCs w:val="20"/>
          </w:rPr>
          <w:t>39</w:t>
        </w:r>
        <w:r w:rsidRPr="008845A2">
          <w:rPr>
            <w:rStyle w:val="Hyperlink"/>
            <w:sz w:val="20"/>
            <w:szCs w:val="20"/>
          </w:rPr>
          <w:t>09</w:t>
        </w:r>
        <w:r w:rsidRPr="008845A2">
          <w:rPr>
            <w:rStyle w:val="Hyperlink"/>
            <w:sz w:val="20"/>
            <w:szCs w:val="20"/>
          </w:rPr>
          <w:t>0</w:t>
        </w:r>
      </w:hyperlink>
      <w:r w:rsidRPr="008845A2">
        <w:rPr>
          <w:sz w:val="20"/>
        </w:rPr>
        <w:t>)</w:t>
      </w:r>
    </w:p>
    <w:p w:rsidR="00042618" w:rsidRPr="008845A2" w:rsidRDefault="00042618" w:rsidP="009071EF">
      <w:pPr>
        <w:widowControl w:val="0"/>
        <w:ind w:left="357" w:hanging="357"/>
        <w:rPr>
          <w:sz w:val="20"/>
        </w:rPr>
      </w:pPr>
    </w:p>
    <w:p w:rsidR="009071EF" w:rsidRPr="008845A2" w:rsidRDefault="009071EF" w:rsidP="009071EF">
      <w:pPr>
        <w:pStyle w:val="SCCAppellantInfoAppellantInfo"/>
        <w:numPr>
          <w:ilvl w:val="0"/>
          <w:numId w:val="20"/>
        </w:numPr>
        <w:ind w:left="357" w:hanging="357"/>
        <w:rPr>
          <w:sz w:val="20"/>
          <w:szCs w:val="20"/>
        </w:rPr>
      </w:pPr>
      <w:r w:rsidRPr="008845A2">
        <w:rPr>
          <w:i/>
          <w:sz w:val="20"/>
          <w:szCs w:val="20"/>
        </w:rPr>
        <w:t xml:space="preserve">James Murray Everard v. Her Majesty the Queen </w:t>
      </w:r>
      <w:r w:rsidRPr="008845A2">
        <w:rPr>
          <w:sz w:val="20"/>
          <w:szCs w:val="20"/>
        </w:rPr>
        <w:t>(Alta.) (Criminal) (By Leave)</w:t>
      </w:r>
      <w:r w:rsidRPr="008845A2">
        <w:rPr>
          <w:sz w:val="20"/>
          <w:szCs w:val="20"/>
        </w:rPr>
        <w:t xml:space="preserve"> </w:t>
      </w:r>
      <w:r w:rsidRPr="008845A2">
        <w:rPr>
          <w:sz w:val="20"/>
          <w:szCs w:val="20"/>
        </w:rPr>
        <w:t>(</w:t>
      </w:r>
      <w:hyperlink r:id="rId9" w:history="1">
        <w:r w:rsidRPr="008845A2">
          <w:rPr>
            <w:rStyle w:val="Hyperlink"/>
            <w:sz w:val="20"/>
            <w:szCs w:val="20"/>
          </w:rPr>
          <w:t>3910</w:t>
        </w:r>
        <w:r w:rsidRPr="008845A2">
          <w:rPr>
            <w:rStyle w:val="Hyperlink"/>
            <w:sz w:val="20"/>
            <w:szCs w:val="20"/>
          </w:rPr>
          <w:t>4</w:t>
        </w:r>
      </w:hyperlink>
      <w:r w:rsidRPr="008845A2">
        <w:rPr>
          <w:sz w:val="20"/>
          <w:szCs w:val="20"/>
        </w:rPr>
        <w:t>)</w:t>
      </w:r>
    </w:p>
    <w:p w:rsidR="00042618" w:rsidRPr="008845A2" w:rsidRDefault="00042618" w:rsidP="009071EF">
      <w:pPr>
        <w:widowControl w:val="0"/>
        <w:ind w:left="357" w:hanging="357"/>
        <w:rPr>
          <w:sz w:val="20"/>
        </w:rPr>
      </w:pPr>
    </w:p>
    <w:p w:rsidR="00042618" w:rsidRPr="008845A2" w:rsidRDefault="009071EF" w:rsidP="009071EF">
      <w:pPr>
        <w:pStyle w:val="ListParagraph"/>
        <w:numPr>
          <w:ilvl w:val="0"/>
          <w:numId w:val="20"/>
        </w:numPr>
        <w:ind w:left="357" w:hanging="357"/>
        <w:rPr>
          <w:sz w:val="20"/>
        </w:rPr>
      </w:pPr>
      <w:r w:rsidRPr="008845A2">
        <w:rPr>
          <w:i/>
          <w:color w:val="000000"/>
          <w:sz w:val="20"/>
        </w:rPr>
        <w:t>J.M. v. I.L.</w:t>
      </w:r>
      <w:r w:rsidRPr="008845A2">
        <w:rPr>
          <w:color w:val="000000"/>
          <w:sz w:val="20"/>
        </w:rPr>
        <w:t xml:space="preserve"> (N.B.) (Civil) (By Leave)</w:t>
      </w:r>
      <w:r w:rsidRPr="008845A2">
        <w:rPr>
          <w:color w:val="000000"/>
          <w:sz w:val="20"/>
        </w:rPr>
        <w:t xml:space="preserve"> </w:t>
      </w:r>
      <w:r w:rsidRPr="008845A2">
        <w:rPr>
          <w:sz w:val="20"/>
        </w:rPr>
        <w:t>(</w:t>
      </w:r>
      <w:hyperlink r:id="rId10" w:history="1">
        <w:r w:rsidRPr="008845A2">
          <w:rPr>
            <w:rStyle w:val="Hyperlink"/>
            <w:sz w:val="20"/>
            <w:szCs w:val="20"/>
          </w:rPr>
          <w:t>391</w:t>
        </w:r>
        <w:r w:rsidRPr="008845A2">
          <w:rPr>
            <w:rStyle w:val="Hyperlink"/>
            <w:sz w:val="20"/>
            <w:szCs w:val="20"/>
          </w:rPr>
          <w:t>67</w:t>
        </w:r>
      </w:hyperlink>
      <w:r w:rsidRPr="008845A2">
        <w:rPr>
          <w:sz w:val="20"/>
        </w:rPr>
        <w:t>)</w:t>
      </w:r>
    </w:p>
    <w:p w:rsidR="00042618" w:rsidRPr="008845A2" w:rsidRDefault="00042618" w:rsidP="009071EF">
      <w:pPr>
        <w:widowControl w:val="0"/>
        <w:ind w:left="357" w:hanging="357"/>
        <w:rPr>
          <w:sz w:val="20"/>
        </w:rPr>
      </w:pPr>
    </w:p>
    <w:p w:rsidR="009071EF" w:rsidRPr="008845A2" w:rsidRDefault="009071EF" w:rsidP="009071EF">
      <w:pPr>
        <w:pStyle w:val="ListParagraph"/>
        <w:numPr>
          <w:ilvl w:val="0"/>
          <w:numId w:val="20"/>
        </w:numPr>
        <w:ind w:left="357" w:hanging="357"/>
        <w:rPr>
          <w:sz w:val="20"/>
        </w:rPr>
      </w:pPr>
      <w:r w:rsidRPr="008845A2">
        <w:rPr>
          <w:i/>
          <w:sz w:val="20"/>
        </w:rPr>
        <w:t xml:space="preserve">Gurdaver Singh Hothi v. Vito De Cotiis </w:t>
      </w:r>
      <w:r w:rsidRPr="008845A2">
        <w:rPr>
          <w:sz w:val="20"/>
        </w:rPr>
        <w:t>(B.C.) (Civil) (By Leave) (</w:t>
      </w:r>
      <w:hyperlink r:id="rId11" w:history="1">
        <w:r w:rsidRPr="008845A2">
          <w:rPr>
            <w:rStyle w:val="Hyperlink"/>
            <w:sz w:val="20"/>
            <w:szCs w:val="20"/>
          </w:rPr>
          <w:t>39</w:t>
        </w:r>
        <w:r w:rsidRPr="008845A2">
          <w:rPr>
            <w:rStyle w:val="Hyperlink"/>
            <w:sz w:val="20"/>
            <w:szCs w:val="20"/>
          </w:rPr>
          <w:t>080</w:t>
        </w:r>
      </w:hyperlink>
      <w:r w:rsidRPr="008845A2">
        <w:rPr>
          <w:sz w:val="20"/>
        </w:rPr>
        <w:t>)</w:t>
      </w:r>
    </w:p>
    <w:p w:rsidR="0057402C" w:rsidRPr="008845A2" w:rsidRDefault="0057402C" w:rsidP="009071EF">
      <w:pPr>
        <w:widowControl w:val="0"/>
        <w:rPr>
          <w:sz w:val="20"/>
        </w:rPr>
      </w:pPr>
    </w:p>
    <w:p w:rsidR="0057402C" w:rsidRPr="008845A2" w:rsidRDefault="008845A2" w:rsidP="009B14F4">
      <w:pPr>
        <w:widowControl w:val="0"/>
        <w:jc w:val="both"/>
        <w:rPr>
          <w:sz w:val="20"/>
        </w:rPr>
      </w:pPr>
      <w:r w:rsidRPr="008845A2">
        <w:rPr>
          <w:sz w:val="20"/>
        </w:rPr>
        <w:pict>
          <v:rect id="_x0000_i1026" style="width:2in;height:1pt" o:hrpct="0" o:hralign="center" o:hrstd="t" o:hrnoshade="t" o:hr="t" fillcolor="black [3213]" stroked="f"/>
        </w:pict>
      </w:r>
    </w:p>
    <w:p w:rsidR="00F61FFA" w:rsidRPr="008845A2" w:rsidRDefault="00F61FFA" w:rsidP="002E608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45A2" w:rsidRPr="008845A2" w:rsidTr="00E95A6A">
        <w:tc>
          <w:tcPr>
            <w:tcW w:w="543" w:type="pct"/>
          </w:tcPr>
          <w:p w:rsidR="008845A2" w:rsidRPr="008845A2" w:rsidRDefault="008845A2" w:rsidP="008845A2">
            <w:pPr>
              <w:jc w:val="both"/>
              <w:rPr>
                <w:sz w:val="20"/>
              </w:rPr>
            </w:pPr>
            <w:r w:rsidRPr="008845A2">
              <w:rPr>
                <w:rStyle w:val="SCCFileNumberChar"/>
                <w:sz w:val="20"/>
                <w:szCs w:val="20"/>
              </w:rPr>
              <w:t>39090</w:t>
            </w:r>
          </w:p>
        </w:tc>
        <w:tc>
          <w:tcPr>
            <w:tcW w:w="4457" w:type="pct"/>
            <w:gridSpan w:val="3"/>
          </w:tcPr>
          <w:p w:rsidR="008845A2" w:rsidRPr="008845A2" w:rsidRDefault="008845A2" w:rsidP="008845A2">
            <w:pPr>
              <w:pStyle w:val="SCCLsocParty"/>
              <w:jc w:val="both"/>
              <w:rPr>
                <w:b/>
                <w:sz w:val="20"/>
                <w:szCs w:val="20"/>
                <w:lang w:val="en-US"/>
              </w:rPr>
            </w:pPr>
            <w:r w:rsidRPr="008845A2">
              <w:rPr>
                <w:b/>
                <w:sz w:val="20"/>
                <w:szCs w:val="20"/>
                <w:lang w:val="en-US"/>
              </w:rPr>
              <w:t>Milton Gilberto Hernandez-Lopez v. Her Majesty the Queen</w:t>
            </w:r>
          </w:p>
          <w:p w:rsidR="008845A2" w:rsidRPr="008845A2" w:rsidRDefault="008845A2" w:rsidP="008845A2">
            <w:pPr>
              <w:jc w:val="both"/>
              <w:rPr>
                <w:sz w:val="20"/>
              </w:rPr>
            </w:pPr>
            <w:r w:rsidRPr="008845A2">
              <w:rPr>
                <w:sz w:val="20"/>
              </w:rPr>
              <w:t>(B.C.) (Criminal) (By Leave)</w:t>
            </w:r>
          </w:p>
        </w:tc>
      </w:tr>
      <w:tr w:rsidR="008845A2" w:rsidRPr="008845A2" w:rsidTr="00E95A6A">
        <w:tc>
          <w:tcPr>
            <w:tcW w:w="5000" w:type="pct"/>
            <w:gridSpan w:val="4"/>
          </w:tcPr>
          <w:p w:rsidR="008845A2" w:rsidRPr="008845A2" w:rsidRDefault="008845A2" w:rsidP="008845A2">
            <w:pPr>
              <w:jc w:val="both"/>
              <w:rPr>
                <w:sz w:val="20"/>
              </w:rPr>
            </w:pPr>
            <w:r w:rsidRPr="008845A2">
              <w:rPr>
                <w:sz w:val="20"/>
              </w:rPr>
              <w:t>Criminal law — Evidence — Whether a trial judge can rely on a social science academic article to assess the credibility and reliability of witnesses — What principles ensure trial fairness.</w:t>
            </w:r>
          </w:p>
        </w:tc>
      </w:tr>
      <w:tr w:rsidR="008845A2" w:rsidRPr="008845A2" w:rsidTr="00E95A6A">
        <w:tc>
          <w:tcPr>
            <w:tcW w:w="5000" w:type="pct"/>
            <w:gridSpan w:val="4"/>
          </w:tcPr>
          <w:p w:rsidR="008845A2" w:rsidRPr="008845A2" w:rsidRDefault="008845A2" w:rsidP="008845A2">
            <w:pPr>
              <w:jc w:val="both"/>
              <w:rPr>
                <w:sz w:val="20"/>
              </w:rPr>
            </w:pPr>
          </w:p>
          <w:p w:rsidR="008845A2" w:rsidRPr="008845A2" w:rsidRDefault="008845A2" w:rsidP="008845A2">
            <w:pPr>
              <w:jc w:val="both"/>
              <w:rPr>
                <w:sz w:val="20"/>
              </w:rPr>
            </w:pPr>
            <w:r w:rsidRPr="008845A2">
              <w:rPr>
                <w:sz w:val="20"/>
                <w:lang w:val="en"/>
              </w:rPr>
              <w:t>The applicant was supervising a residential daycare operated by his wife when he was charged with sexual touching of the complainant, who was under five years old at the time.</w:t>
            </w:r>
            <w:r w:rsidRPr="008845A2">
              <w:rPr>
                <w:sz w:val="20"/>
              </w:rPr>
              <w:t xml:space="preserve"> </w:t>
            </w:r>
            <w:r w:rsidRPr="008845A2">
              <w:rPr>
                <w:sz w:val="20"/>
                <w:lang w:val="en"/>
              </w:rPr>
              <w:t xml:space="preserve">The applicant was convicted of one count of sexual touching of a person under the age of 16. The Court of Appeal dismissed the conviction appeal. </w:t>
            </w:r>
          </w:p>
        </w:tc>
      </w:tr>
      <w:tr w:rsidR="008845A2" w:rsidRPr="008845A2" w:rsidTr="00E95A6A">
        <w:tc>
          <w:tcPr>
            <w:tcW w:w="5000" w:type="pct"/>
            <w:gridSpan w:val="4"/>
          </w:tcPr>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August 3, 2017</w:t>
            </w:r>
          </w:p>
          <w:p w:rsidR="008845A2" w:rsidRPr="008845A2" w:rsidRDefault="008845A2" w:rsidP="008845A2">
            <w:pPr>
              <w:jc w:val="both"/>
              <w:rPr>
                <w:sz w:val="20"/>
              </w:rPr>
            </w:pPr>
            <w:r w:rsidRPr="008845A2">
              <w:rPr>
                <w:sz w:val="20"/>
              </w:rPr>
              <w:t>Supreme Court of British Columbia</w:t>
            </w:r>
          </w:p>
          <w:p w:rsidR="008845A2" w:rsidRPr="008845A2" w:rsidRDefault="008845A2" w:rsidP="008845A2">
            <w:pPr>
              <w:jc w:val="both"/>
              <w:rPr>
                <w:sz w:val="20"/>
              </w:rPr>
            </w:pPr>
            <w:r w:rsidRPr="008845A2">
              <w:rPr>
                <w:sz w:val="20"/>
              </w:rPr>
              <w:t>(Jenkins J.)</w:t>
            </w:r>
          </w:p>
          <w:p w:rsidR="008845A2" w:rsidRPr="008845A2" w:rsidRDefault="008845A2" w:rsidP="008845A2">
            <w:pPr>
              <w:jc w:val="both"/>
              <w:rPr>
                <w:sz w:val="20"/>
              </w:rPr>
            </w:pPr>
            <w:r w:rsidRPr="008845A2">
              <w:rPr>
                <w:sz w:val="20"/>
              </w:rPr>
              <w:t>2017 BCSC 2555</w:t>
            </w:r>
          </w:p>
          <w:p w:rsidR="008845A2" w:rsidRPr="008845A2" w:rsidRDefault="008845A2" w:rsidP="008845A2">
            <w:pPr>
              <w:jc w:val="both"/>
              <w:rPr>
                <w:sz w:val="20"/>
              </w:rPr>
            </w:pPr>
            <w:r w:rsidRPr="008845A2">
              <w:rPr>
                <w:sz w:val="20"/>
              </w:rPr>
              <w:t>(unreported)</w:t>
            </w:r>
          </w:p>
          <w:p w:rsidR="008845A2" w:rsidRPr="008845A2" w:rsidRDefault="008845A2" w:rsidP="008845A2">
            <w:pPr>
              <w:jc w:val="both"/>
              <w:rPr>
                <w:sz w:val="20"/>
              </w:rPr>
            </w:pP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Conviction entered:</w:t>
            </w:r>
            <w:r w:rsidRPr="008845A2">
              <w:rPr>
                <w:sz w:val="20"/>
                <w:lang w:val="en"/>
              </w:rPr>
              <w:t xml:space="preserve"> one count of sexual touching of a person under the age of 16</w:t>
            </w:r>
          </w:p>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January 14, 2020</w:t>
            </w:r>
          </w:p>
          <w:p w:rsidR="008845A2" w:rsidRPr="008845A2" w:rsidRDefault="008845A2" w:rsidP="008845A2">
            <w:pPr>
              <w:jc w:val="both"/>
              <w:rPr>
                <w:sz w:val="20"/>
              </w:rPr>
            </w:pPr>
            <w:r w:rsidRPr="008845A2">
              <w:rPr>
                <w:sz w:val="20"/>
              </w:rPr>
              <w:t>Court of Appeal for British Columbia</w:t>
            </w:r>
          </w:p>
          <w:p w:rsidR="008845A2" w:rsidRPr="008845A2" w:rsidRDefault="008845A2" w:rsidP="008845A2">
            <w:pPr>
              <w:jc w:val="both"/>
              <w:rPr>
                <w:sz w:val="20"/>
              </w:rPr>
            </w:pPr>
            <w:r w:rsidRPr="008845A2">
              <w:rPr>
                <w:sz w:val="20"/>
              </w:rPr>
              <w:t>(Vancouver)</w:t>
            </w:r>
          </w:p>
          <w:p w:rsidR="008845A2" w:rsidRPr="008845A2" w:rsidRDefault="008845A2" w:rsidP="008845A2">
            <w:pPr>
              <w:jc w:val="both"/>
              <w:rPr>
                <w:sz w:val="20"/>
              </w:rPr>
            </w:pPr>
            <w:r w:rsidRPr="008845A2">
              <w:rPr>
                <w:sz w:val="20"/>
              </w:rPr>
              <w:t>(Bauman C.J., Groberman and Fisher JJ.A.)</w:t>
            </w:r>
          </w:p>
          <w:p w:rsidR="008845A2" w:rsidRPr="008845A2" w:rsidRDefault="008845A2" w:rsidP="008845A2">
            <w:pPr>
              <w:jc w:val="both"/>
              <w:rPr>
                <w:sz w:val="20"/>
              </w:rPr>
            </w:pPr>
            <w:hyperlink r:id="rId12" w:history="1">
              <w:r w:rsidRPr="008845A2">
                <w:rPr>
                  <w:rStyle w:val="Hyperlink"/>
                  <w:sz w:val="20"/>
                </w:rPr>
                <w:t>2020 BCCA 12</w:t>
              </w:r>
            </w:hyperlink>
            <w:r w:rsidRPr="008845A2">
              <w:rPr>
                <w:sz w:val="20"/>
              </w:rPr>
              <w:t>; CA45577</w:t>
            </w:r>
          </w:p>
          <w:p w:rsidR="008845A2" w:rsidRPr="008845A2" w:rsidRDefault="008845A2" w:rsidP="008845A2">
            <w:pPr>
              <w:jc w:val="both"/>
              <w:rPr>
                <w:sz w:val="20"/>
              </w:rPr>
            </w:pP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Conviction appeal dismissed</w:t>
            </w:r>
          </w:p>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March 16, 2020</w:t>
            </w:r>
          </w:p>
          <w:p w:rsidR="008845A2" w:rsidRPr="008845A2" w:rsidRDefault="008845A2" w:rsidP="008845A2">
            <w:pPr>
              <w:jc w:val="both"/>
              <w:rPr>
                <w:sz w:val="20"/>
              </w:rPr>
            </w:pPr>
            <w:r w:rsidRPr="008845A2">
              <w:rPr>
                <w:sz w:val="20"/>
              </w:rPr>
              <w:t>Supreme Court of Canada</w:t>
            </w: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Application for leave to appeal filed</w:t>
            </w:r>
          </w:p>
          <w:p w:rsidR="008845A2" w:rsidRPr="008845A2" w:rsidRDefault="008845A2" w:rsidP="008845A2">
            <w:pPr>
              <w:jc w:val="both"/>
              <w:rPr>
                <w:sz w:val="20"/>
              </w:rPr>
            </w:pPr>
          </w:p>
        </w:tc>
      </w:tr>
    </w:tbl>
    <w:p w:rsidR="008845A2" w:rsidRPr="008845A2" w:rsidRDefault="008845A2" w:rsidP="008845A2">
      <w:pPr>
        <w:jc w:val="both"/>
        <w:rPr>
          <w:sz w:val="20"/>
        </w:rPr>
      </w:pPr>
    </w:p>
    <w:p w:rsidR="008845A2" w:rsidRPr="008845A2" w:rsidRDefault="008845A2" w:rsidP="008845A2">
      <w:pPr>
        <w:jc w:val="both"/>
        <w:rPr>
          <w:sz w:val="20"/>
        </w:rPr>
      </w:pPr>
      <w:r w:rsidRPr="008845A2">
        <w:rPr>
          <w:sz w:val="20"/>
        </w:rPr>
        <w:pict>
          <v:rect id="_x0000_i1030" style="width:2in;height:1pt" o:hrpct="0" o:hralign="center" o:hrstd="t" o:hrnoshade="t" o:hr="t" fillcolor="black [3213]" stroked="f"/>
        </w:pict>
      </w:r>
    </w:p>
    <w:p w:rsidR="008845A2" w:rsidRPr="008845A2" w:rsidRDefault="008845A2" w:rsidP="008845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45A2" w:rsidRPr="008845A2" w:rsidTr="00E95A6A">
        <w:tc>
          <w:tcPr>
            <w:tcW w:w="543" w:type="pct"/>
          </w:tcPr>
          <w:p w:rsidR="008845A2" w:rsidRPr="008845A2" w:rsidRDefault="008845A2" w:rsidP="008845A2">
            <w:pPr>
              <w:jc w:val="both"/>
              <w:rPr>
                <w:sz w:val="20"/>
                <w:lang w:val="fr-CA"/>
              </w:rPr>
            </w:pPr>
            <w:r w:rsidRPr="008845A2">
              <w:rPr>
                <w:rStyle w:val="SCCFileNumberChar"/>
                <w:sz w:val="20"/>
                <w:szCs w:val="20"/>
                <w:lang w:val="fr-CA"/>
              </w:rPr>
              <w:t>39090</w:t>
            </w:r>
          </w:p>
        </w:tc>
        <w:tc>
          <w:tcPr>
            <w:tcW w:w="4457" w:type="pct"/>
            <w:gridSpan w:val="3"/>
          </w:tcPr>
          <w:p w:rsidR="008845A2" w:rsidRPr="008845A2" w:rsidRDefault="008845A2" w:rsidP="008845A2">
            <w:pPr>
              <w:pStyle w:val="SCCLsocParty"/>
              <w:jc w:val="both"/>
              <w:rPr>
                <w:b/>
                <w:sz w:val="20"/>
                <w:szCs w:val="20"/>
              </w:rPr>
            </w:pPr>
            <w:r w:rsidRPr="008845A2">
              <w:rPr>
                <w:b/>
                <w:sz w:val="20"/>
                <w:szCs w:val="20"/>
              </w:rPr>
              <w:t>Milton Gilberto Hernandez-Lopez c. Sa Majesté la Reine</w:t>
            </w:r>
          </w:p>
          <w:p w:rsidR="008845A2" w:rsidRPr="008845A2" w:rsidRDefault="008845A2" w:rsidP="008845A2">
            <w:pPr>
              <w:jc w:val="both"/>
              <w:rPr>
                <w:sz w:val="20"/>
                <w:lang w:val="fr-CA"/>
              </w:rPr>
            </w:pPr>
            <w:r w:rsidRPr="008845A2">
              <w:rPr>
                <w:sz w:val="20"/>
                <w:lang w:val="fr-CA"/>
              </w:rPr>
              <w:t>(C.</w:t>
            </w:r>
            <w:r w:rsidRPr="008845A2">
              <w:rPr>
                <w:sz w:val="20"/>
                <w:lang w:val="fr-CA"/>
              </w:rPr>
              <w:noBreakHyphen/>
              <w:t>B.) (Criminelle) (Autorisation)</w:t>
            </w:r>
          </w:p>
        </w:tc>
      </w:tr>
      <w:tr w:rsidR="008845A2" w:rsidRPr="008845A2" w:rsidTr="00E95A6A">
        <w:tc>
          <w:tcPr>
            <w:tcW w:w="5000" w:type="pct"/>
            <w:gridSpan w:val="4"/>
          </w:tcPr>
          <w:p w:rsidR="008845A2" w:rsidRPr="008845A2" w:rsidRDefault="008845A2" w:rsidP="008845A2">
            <w:pPr>
              <w:jc w:val="both"/>
              <w:rPr>
                <w:sz w:val="20"/>
                <w:lang w:val="fr-CA"/>
              </w:rPr>
            </w:pPr>
            <w:r w:rsidRPr="008845A2">
              <w:rPr>
                <w:sz w:val="20"/>
                <w:lang w:val="fr-CA"/>
              </w:rPr>
              <w:t>Droit criminel — Preuve — Un juge du procès peut</w:t>
            </w:r>
            <w:r w:rsidRPr="008845A2">
              <w:rPr>
                <w:sz w:val="20"/>
                <w:lang w:val="fr-CA"/>
              </w:rPr>
              <w:noBreakHyphen/>
              <w:t>il s’appuyer sur un article universitaire en sciences sociales pour évaluer la crédibilité et la fiabilité de témoins? — Quels principes assurent l’équité?</w:t>
            </w:r>
          </w:p>
        </w:tc>
      </w:tr>
      <w:tr w:rsidR="008845A2" w:rsidRPr="008845A2" w:rsidTr="00E95A6A">
        <w:tc>
          <w:tcPr>
            <w:tcW w:w="5000" w:type="pct"/>
            <w:gridSpan w:val="4"/>
          </w:tcPr>
          <w:p w:rsidR="008845A2" w:rsidRPr="008845A2" w:rsidRDefault="008845A2" w:rsidP="008845A2">
            <w:pPr>
              <w:jc w:val="both"/>
              <w:rPr>
                <w:sz w:val="20"/>
                <w:lang w:val="fr-CA"/>
              </w:rPr>
            </w:pPr>
          </w:p>
          <w:p w:rsidR="008845A2" w:rsidRPr="008845A2" w:rsidRDefault="008845A2" w:rsidP="008845A2">
            <w:pPr>
              <w:jc w:val="both"/>
              <w:rPr>
                <w:sz w:val="20"/>
                <w:lang w:val="fr-CA"/>
              </w:rPr>
            </w:pPr>
            <w:r w:rsidRPr="008845A2">
              <w:rPr>
                <w:sz w:val="20"/>
                <w:lang w:val="fr-CA"/>
              </w:rPr>
              <w:t xml:space="preserve">Le demandeur supervisait une garderie en milieu familial exploitée par son épouse lorsqu’il a été accusé de contacts sexuels à l’endroit de la plaignante, qui était âgée de moins de cinq ans à l’époque. Le demandeur a été déclaré coupable d’un chef de contacts sexuels à l’endroit d’un enfant âgé de moins de seize ans. La Cour d’appel a rejeté l’appel de la déclaration de culpabilité. </w:t>
            </w:r>
          </w:p>
        </w:tc>
      </w:tr>
      <w:tr w:rsidR="008845A2" w:rsidRPr="008845A2" w:rsidTr="00E95A6A">
        <w:tc>
          <w:tcPr>
            <w:tcW w:w="5000" w:type="pct"/>
            <w:gridSpan w:val="4"/>
          </w:tcPr>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3 août 2017</w:t>
            </w:r>
          </w:p>
          <w:p w:rsidR="008845A2" w:rsidRPr="008845A2" w:rsidRDefault="008845A2" w:rsidP="008845A2">
            <w:pPr>
              <w:jc w:val="both"/>
              <w:rPr>
                <w:sz w:val="20"/>
                <w:lang w:val="fr-CA"/>
              </w:rPr>
            </w:pPr>
            <w:r w:rsidRPr="008845A2">
              <w:rPr>
                <w:sz w:val="20"/>
                <w:lang w:val="fr-CA"/>
              </w:rPr>
              <w:t>Cour suprême de la Colombie</w:t>
            </w:r>
            <w:r w:rsidRPr="008845A2">
              <w:rPr>
                <w:sz w:val="20"/>
                <w:lang w:val="fr-CA"/>
              </w:rPr>
              <w:noBreakHyphen/>
              <w:t>Britannique</w:t>
            </w:r>
          </w:p>
          <w:p w:rsidR="008845A2" w:rsidRPr="008845A2" w:rsidRDefault="008845A2" w:rsidP="008845A2">
            <w:pPr>
              <w:jc w:val="both"/>
              <w:rPr>
                <w:sz w:val="20"/>
                <w:lang w:val="fr-CA"/>
              </w:rPr>
            </w:pPr>
            <w:r w:rsidRPr="008845A2">
              <w:rPr>
                <w:sz w:val="20"/>
                <w:lang w:val="fr-CA"/>
              </w:rPr>
              <w:t>(Juge Jenkins)</w:t>
            </w:r>
          </w:p>
          <w:p w:rsidR="008845A2" w:rsidRPr="008845A2" w:rsidRDefault="008845A2" w:rsidP="008845A2">
            <w:pPr>
              <w:jc w:val="both"/>
              <w:rPr>
                <w:sz w:val="20"/>
                <w:lang w:val="fr-CA"/>
              </w:rPr>
            </w:pPr>
            <w:r w:rsidRPr="008845A2">
              <w:rPr>
                <w:sz w:val="20"/>
                <w:lang w:val="fr-CA"/>
              </w:rPr>
              <w:t>2017 BCSC 2555</w:t>
            </w:r>
          </w:p>
          <w:p w:rsidR="008845A2" w:rsidRPr="008845A2" w:rsidRDefault="008845A2" w:rsidP="008845A2">
            <w:pPr>
              <w:jc w:val="both"/>
              <w:rPr>
                <w:sz w:val="20"/>
                <w:lang w:val="fr-CA"/>
              </w:rPr>
            </w:pPr>
            <w:r w:rsidRPr="008845A2">
              <w:rPr>
                <w:sz w:val="20"/>
                <w:lang w:val="fr-CA"/>
              </w:rPr>
              <w:t>(Non publié)</w:t>
            </w:r>
          </w:p>
          <w:p w:rsidR="008845A2" w:rsidRPr="008845A2" w:rsidRDefault="008845A2" w:rsidP="008845A2">
            <w:pPr>
              <w:jc w:val="both"/>
              <w:rPr>
                <w:sz w:val="20"/>
                <w:lang w:val="fr-CA"/>
              </w:rPr>
            </w:pP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Déclaration de culpabilité inscrite : un chef de contacts sexuels à l’endroit d’un enfant âgé de moins de seize ans</w:t>
            </w:r>
          </w:p>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14 janvier 2020</w:t>
            </w:r>
          </w:p>
          <w:p w:rsidR="008845A2" w:rsidRPr="008845A2" w:rsidRDefault="008845A2" w:rsidP="008845A2">
            <w:pPr>
              <w:jc w:val="both"/>
              <w:rPr>
                <w:sz w:val="20"/>
                <w:lang w:val="fr-CA"/>
              </w:rPr>
            </w:pPr>
            <w:r w:rsidRPr="008845A2">
              <w:rPr>
                <w:sz w:val="20"/>
                <w:lang w:val="fr-CA"/>
              </w:rPr>
              <w:t>Cour d’appel de la Colombie</w:t>
            </w:r>
            <w:r w:rsidRPr="008845A2">
              <w:rPr>
                <w:sz w:val="20"/>
                <w:lang w:val="fr-CA"/>
              </w:rPr>
              <w:noBreakHyphen/>
              <w:t>Britannique</w:t>
            </w:r>
          </w:p>
          <w:p w:rsidR="008845A2" w:rsidRPr="008845A2" w:rsidRDefault="008845A2" w:rsidP="008845A2">
            <w:pPr>
              <w:jc w:val="both"/>
              <w:rPr>
                <w:sz w:val="20"/>
                <w:lang w:val="fr-CA"/>
              </w:rPr>
            </w:pPr>
            <w:r w:rsidRPr="008845A2">
              <w:rPr>
                <w:sz w:val="20"/>
                <w:lang w:val="fr-CA"/>
              </w:rPr>
              <w:t>(Vancouver)</w:t>
            </w:r>
          </w:p>
          <w:p w:rsidR="008845A2" w:rsidRPr="008845A2" w:rsidRDefault="008845A2" w:rsidP="008845A2">
            <w:pPr>
              <w:jc w:val="both"/>
              <w:rPr>
                <w:sz w:val="20"/>
                <w:lang w:val="fr-CA"/>
              </w:rPr>
            </w:pPr>
            <w:r w:rsidRPr="008845A2">
              <w:rPr>
                <w:sz w:val="20"/>
                <w:lang w:val="fr-CA"/>
              </w:rPr>
              <w:t>(Juge en chef Bauman, juges Groberman et Fisher)</w:t>
            </w:r>
          </w:p>
          <w:p w:rsidR="008845A2" w:rsidRPr="008845A2" w:rsidRDefault="008845A2" w:rsidP="008845A2">
            <w:pPr>
              <w:jc w:val="both"/>
              <w:rPr>
                <w:sz w:val="20"/>
                <w:lang w:val="fr-CA"/>
              </w:rPr>
            </w:pPr>
            <w:hyperlink r:id="rId13" w:history="1">
              <w:r w:rsidRPr="008845A2">
                <w:rPr>
                  <w:rStyle w:val="Hyperlink"/>
                  <w:sz w:val="20"/>
                  <w:lang w:val="fr-CA"/>
                </w:rPr>
                <w:t>2020 BCCA 12</w:t>
              </w:r>
            </w:hyperlink>
            <w:r w:rsidRPr="008845A2">
              <w:rPr>
                <w:sz w:val="20"/>
                <w:lang w:val="fr-CA"/>
              </w:rPr>
              <w:t>; CA45577</w:t>
            </w:r>
          </w:p>
          <w:p w:rsidR="008845A2" w:rsidRPr="008845A2" w:rsidRDefault="008845A2" w:rsidP="008845A2">
            <w:pPr>
              <w:jc w:val="both"/>
              <w:rPr>
                <w:sz w:val="20"/>
                <w:lang w:val="fr-CA"/>
              </w:rPr>
            </w:pP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Rejet de l’appel de la déclaration de culpabilité</w:t>
            </w:r>
          </w:p>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16 mars 2020</w:t>
            </w:r>
          </w:p>
          <w:p w:rsidR="008845A2" w:rsidRPr="008845A2" w:rsidRDefault="008845A2" w:rsidP="008845A2">
            <w:pPr>
              <w:jc w:val="both"/>
              <w:rPr>
                <w:sz w:val="20"/>
                <w:lang w:val="fr-CA"/>
              </w:rPr>
            </w:pPr>
            <w:r w:rsidRPr="008845A2">
              <w:rPr>
                <w:sz w:val="20"/>
                <w:lang w:val="fr-CA"/>
              </w:rPr>
              <w:t>Cour suprême du Canada</w:t>
            </w: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Dépôt de la demande d’autorisation d’appel</w:t>
            </w:r>
          </w:p>
          <w:p w:rsidR="008845A2" w:rsidRPr="008845A2" w:rsidRDefault="008845A2" w:rsidP="008845A2">
            <w:pPr>
              <w:jc w:val="both"/>
              <w:rPr>
                <w:sz w:val="20"/>
                <w:lang w:val="fr-CA"/>
              </w:rPr>
            </w:pPr>
          </w:p>
        </w:tc>
      </w:tr>
    </w:tbl>
    <w:p w:rsidR="008845A2" w:rsidRPr="008845A2" w:rsidRDefault="008845A2" w:rsidP="008845A2">
      <w:pPr>
        <w:jc w:val="both"/>
        <w:rPr>
          <w:sz w:val="20"/>
          <w:lang w:val="fr-CA"/>
        </w:rPr>
      </w:pPr>
    </w:p>
    <w:p w:rsidR="009071EF" w:rsidRPr="008845A2" w:rsidRDefault="008845A2" w:rsidP="008845A2">
      <w:pPr>
        <w:widowControl w:val="0"/>
        <w:jc w:val="both"/>
        <w:rPr>
          <w:sz w:val="20"/>
          <w:lang w:val="fr-CA"/>
        </w:rPr>
      </w:pPr>
      <w:r w:rsidRPr="008845A2">
        <w:rPr>
          <w:sz w:val="20"/>
        </w:rPr>
        <w:pict>
          <v:rect id="_x0000_i1031" style="width:2in;height:1pt" o:hrpct="0" o:hralign="center" o:hrstd="t" o:hrnoshade="t" o:hr="t" fillcolor="black [3213]" stroked="f"/>
        </w:pict>
      </w:r>
    </w:p>
    <w:p w:rsidR="008845A2" w:rsidRPr="008845A2" w:rsidRDefault="008845A2" w:rsidP="008845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45A2" w:rsidRPr="008845A2" w:rsidTr="00E95A6A">
        <w:tc>
          <w:tcPr>
            <w:tcW w:w="543" w:type="pct"/>
          </w:tcPr>
          <w:p w:rsidR="008845A2" w:rsidRPr="008845A2" w:rsidRDefault="008845A2" w:rsidP="008845A2">
            <w:pPr>
              <w:jc w:val="both"/>
              <w:rPr>
                <w:sz w:val="20"/>
              </w:rPr>
            </w:pPr>
            <w:r w:rsidRPr="008845A2">
              <w:rPr>
                <w:rStyle w:val="SCCFileNumberChar"/>
                <w:sz w:val="20"/>
                <w:szCs w:val="20"/>
              </w:rPr>
              <w:t>39104</w:t>
            </w:r>
          </w:p>
        </w:tc>
        <w:tc>
          <w:tcPr>
            <w:tcW w:w="4457" w:type="pct"/>
            <w:gridSpan w:val="3"/>
          </w:tcPr>
          <w:p w:rsidR="008845A2" w:rsidRPr="008845A2" w:rsidRDefault="008845A2" w:rsidP="008845A2">
            <w:pPr>
              <w:pStyle w:val="SCCLsocParty"/>
              <w:jc w:val="both"/>
              <w:rPr>
                <w:b/>
                <w:sz w:val="20"/>
                <w:szCs w:val="20"/>
                <w:lang w:val="en-US"/>
              </w:rPr>
            </w:pPr>
            <w:r w:rsidRPr="008845A2">
              <w:rPr>
                <w:b/>
                <w:sz w:val="20"/>
                <w:szCs w:val="20"/>
                <w:lang w:val="en-US"/>
              </w:rPr>
              <w:t>James Murray Everard v. Her Majesty the Queen</w:t>
            </w:r>
          </w:p>
          <w:p w:rsidR="008845A2" w:rsidRPr="008845A2" w:rsidRDefault="008845A2" w:rsidP="008845A2">
            <w:pPr>
              <w:jc w:val="both"/>
              <w:rPr>
                <w:sz w:val="20"/>
              </w:rPr>
            </w:pPr>
            <w:r w:rsidRPr="008845A2">
              <w:rPr>
                <w:sz w:val="20"/>
              </w:rPr>
              <w:t>(Alta.) (Criminal) (By Leave)</w:t>
            </w:r>
          </w:p>
        </w:tc>
      </w:tr>
      <w:tr w:rsidR="008845A2" w:rsidRPr="008845A2" w:rsidTr="00E95A6A">
        <w:tc>
          <w:tcPr>
            <w:tcW w:w="5000" w:type="pct"/>
            <w:gridSpan w:val="4"/>
          </w:tcPr>
          <w:p w:rsidR="008845A2" w:rsidRPr="008845A2" w:rsidRDefault="008845A2" w:rsidP="008845A2">
            <w:pPr>
              <w:pStyle w:val="SCCBanSummary"/>
              <w:rPr>
                <w:sz w:val="20"/>
                <w:szCs w:val="20"/>
              </w:rPr>
            </w:pPr>
            <w:r w:rsidRPr="008845A2">
              <w:rPr>
                <w:sz w:val="20"/>
                <w:szCs w:val="20"/>
              </w:rPr>
              <w:t>(Publication ban in case)</w:t>
            </w:r>
          </w:p>
          <w:p w:rsidR="008845A2" w:rsidRPr="008845A2" w:rsidRDefault="008845A2" w:rsidP="008845A2">
            <w:pPr>
              <w:jc w:val="both"/>
              <w:rPr>
                <w:sz w:val="20"/>
              </w:rPr>
            </w:pPr>
          </w:p>
          <w:p w:rsidR="008845A2" w:rsidRPr="008845A2" w:rsidRDefault="008845A2" w:rsidP="008845A2">
            <w:pPr>
              <w:jc w:val="both"/>
              <w:rPr>
                <w:sz w:val="20"/>
              </w:rPr>
            </w:pPr>
            <w:r w:rsidRPr="008845A2">
              <w:rPr>
                <w:sz w:val="20"/>
              </w:rPr>
              <w:t xml:space="preserve">Criminal law — Evidence — Sufficiency of reasons — Teenaged witness describes out-of-court recantation by complainant — Whether trial judge erred by rejecting witness’s evidence based on a generalized assumption as to how a teenager would react to hearing recantation — Whether the test for sufficiency of reasons set out in </w:t>
            </w:r>
            <w:r w:rsidRPr="008845A2">
              <w:rPr>
                <w:i/>
                <w:sz w:val="20"/>
              </w:rPr>
              <w:t>R. v. Sheppard</w:t>
            </w:r>
            <w:r w:rsidRPr="008845A2">
              <w:rPr>
                <w:sz w:val="20"/>
              </w:rPr>
              <w:t>,</w:t>
            </w:r>
            <w:r w:rsidRPr="008845A2">
              <w:rPr>
                <w:i/>
                <w:sz w:val="20"/>
              </w:rPr>
              <w:t xml:space="preserve"> </w:t>
            </w:r>
            <w:r w:rsidRPr="008845A2">
              <w:rPr>
                <w:sz w:val="20"/>
              </w:rPr>
              <w:t>2002 SCC 26, applies to intermediate appellate courts?</w:t>
            </w:r>
          </w:p>
        </w:tc>
      </w:tr>
      <w:tr w:rsidR="008845A2" w:rsidRPr="008845A2" w:rsidTr="00E95A6A">
        <w:tc>
          <w:tcPr>
            <w:tcW w:w="5000" w:type="pct"/>
            <w:gridSpan w:val="4"/>
          </w:tcPr>
          <w:p w:rsidR="008845A2" w:rsidRPr="008845A2" w:rsidRDefault="008845A2" w:rsidP="008845A2">
            <w:pPr>
              <w:jc w:val="both"/>
              <w:rPr>
                <w:sz w:val="20"/>
              </w:rPr>
            </w:pPr>
          </w:p>
        </w:tc>
      </w:tr>
      <w:tr w:rsidR="008845A2" w:rsidRPr="008845A2" w:rsidTr="00E95A6A">
        <w:tc>
          <w:tcPr>
            <w:tcW w:w="5000" w:type="pct"/>
            <w:gridSpan w:val="4"/>
          </w:tcPr>
          <w:p w:rsidR="008845A2" w:rsidRPr="008845A2" w:rsidRDefault="008845A2" w:rsidP="008845A2">
            <w:pPr>
              <w:jc w:val="both"/>
              <w:rPr>
                <w:spacing w:val="-5"/>
                <w:sz w:val="20"/>
              </w:rPr>
            </w:pPr>
            <w:r w:rsidRPr="008845A2">
              <w:rPr>
                <w:sz w:val="20"/>
              </w:rPr>
              <w:t xml:space="preserve">A complainant alleged that Mr. Everard had sexual intercourse with her when she was 14 years old. She testified this occurred </w:t>
            </w:r>
            <w:r w:rsidRPr="008845A2">
              <w:rPr>
                <w:spacing w:val="-5"/>
                <w:sz w:val="20"/>
              </w:rPr>
              <w:t>in his home while she was in a highly intoxicated state. A defence witness testified that the complainant recanted her claim of sexual abuse in an out of court conversation.</w:t>
            </w:r>
          </w:p>
          <w:p w:rsidR="008845A2" w:rsidRPr="008845A2" w:rsidRDefault="008845A2" w:rsidP="008845A2">
            <w:pPr>
              <w:jc w:val="both"/>
              <w:rPr>
                <w:sz w:val="20"/>
              </w:rPr>
            </w:pPr>
          </w:p>
          <w:p w:rsidR="008845A2" w:rsidRPr="008845A2" w:rsidRDefault="008845A2" w:rsidP="008845A2">
            <w:pPr>
              <w:jc w:val="both"/>
              <w:rPr>
                <w:sz w:val="20"/>
              </w:rPr>
            </w:pPr>
            <w:r w:rsidRPr="008845A2">
              <w:rPr>
                <w:sz w:val="20"/>
              </w:rPr>
              <w:t>The trial judge convicted Mr. Everard of sexual assault. The Court of Appeal dismissed an appeal.</w:t>
            </w:r>
          </w:p>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September 29, 2017</w:t>
            </w:r>
          </w:p>
          <w:p w:rsidR="008845A2" w:rsidRPr="008845A2" w:rsidRDefault="008845A2" w:rsidP="008845A2">
            <w:pPr>
              <w:jc w:val="both"/>
              <w:rPr>
                <w:sz w:val="20"/>
              </w:rPr>
            </w:pPr>
            <w:r w:rsidRPr="008845A2">
              <w:rPr>
                <w:sz w:val="20"/>
              </w:rPr>
              <w:t>Court of Queen’s Bench of Alberta</w:t>
            </w:r>
          </w:p>
          <w:p w:rsidR="008845A2" w:rsidRPr="008845A2" w:rsidRDefault="008845A2" w:rsidP="008845A2">
            <w:pPr>
              <w:jc w:val="both"/>
              <w:rPr>
                <w:sz w:val="20"/>
              </w:rPr>
            </w:pPr>
            <w:r w:rsidRPr="008845A2">
              <w:rPr>
                <w:sz w:val="20"/>
              </w:rPr>
              <w:t xml:space="preserve">(Henderson J.)(Unreported) </w:t>
            </w:r>
          </w:p>
          <w:p w:rsidR="008845A2" w:rsidRPr="008845A2" w:rsidRDefault="008845A2" w:rsidP="008845A2">
            <w:pPr>
              <w:jc w:val="both"/>
              <w:rPr>
                <w:sz w:val="20"/>
              </w:rPr>
            </w:pP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Conviction for sexual assault</w:t>
            </w:r>
          </w:p>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December 5, 2019</w:t>
            </w:r>
          </w:p>
          <w:p w:rsidR="008845A2" w:rsidRPr="008845A2" w:rsidRDefault="008845A2" w:rsidP="008845A2">
            <w:pPr>
              <w:jc w:val="both"/>
              <w:rPr>
                <w:sz w:val="20"/>
              </w:rPr>
            </w:pPr>
            <w:r w:rsidRPr="008845A2">
              <w:rPr>
                <w:sz w:val="20"/>
              </w:rPr>
              <w:t>Court of Appeal of Alberta (Edmonton)</w:t>
            </w:r>
          </w:p>
          <w:p w:rsidR="008845A2" w:rsidRPr="008845A2" w:rsidRDefault="008845A2" w:rsidP="008845A2">
            <w:pPr>
              <w:jc w:val="both"/>
              <w:rPr>
                <w:sz w:val="20"/>
              </w:rPr>
            </w:pPr>
            <w:r w:rsidRPr="008845A2">
              <w:rPr>
                <w:sz w:val="20"/>
              </w:rPr>
              <w:t xml:space="preserve">(Watson, </w:t>
            </w:r>
            <w:proofErr w:type="spellStart"/>
            <w:r w:rsidRPr="008845A2">
              <w:rPr>
                <w:sz w:val="20"/>
              </w:rPr>
              <w:t>Wakeling</w:t>
            </w:r>
            <w:proofErr w:type="spellEnd"/>
            <w:r w:rsidRPr="008845A2">
              <w:rPr>
                <w:sz w:val="20"/>
              </w:rPr>
              <w:t xml:space="preserve">, </w:t>
            </w:r>
            <w:proofErr w:type="spellStart"/>
            <w:r w:rsidRPr="008845A2">
              <w:rPr>
                <w:sz w:val="20"/>
              </w:rPr>
              <w:t>Greckol</w:t>
            </w:r>
            <w:proofErr w:type="spellEnd"/>
            <w:r w:rsidRPr="008845A2">
              <w:rPr>
                <w:sz w:val="20"/>
              </w:rPr>
              <w:t xml:space="preserve"> JJ.A.)</w:t>
            </w:r>
          </w:p>
          <w:p w:rsidR="008845A2" w:rsidRPr="008845A2" w:rsidRDefault="008845A2" w:rsidP="008845A2">
            <w:pPr>
              <w:jc w:val="both"/>
              <w:rPr>
                <w:sz w:val="20"/>
              </w:rPr>
            </w:pPr>
            <w:hyperlink r:id="rId14" w:history="1">
              <w:r w:rsidRPr="008845A2">
                <w:rPr>
                  <w:rStyle w:val="Hyperlink"/>
                  <w:sz w:val="20"/>
                </w:rPr>
                <w:t>2019 ABCA 476</w:t>
              </w:r>
            </w:hyperlink>
            <w:r w:rsidRPr="008845A2">
              <w:rPr>
                <w:sz w:val="20"/>
              </w:rPr>
              <w:t>, 1703</w:t>
            </w:r>
            <w:r w:rsidRPr="008845A2">
              <w:rPr>
                <w:sz w:val="20"/>
              </w:rPr>
              <w:noBreakHyphen/>
              <w:t>0263</w:t>
            </w:r>
            <w:r w:rsidRPr="008845A2">
              <w:rPr>
                <w:sz w:val="20"/>
              </w:rPr>
              <w:noBreakHyphen/>
              <w:t xml:space="preserve">A </w:t>
            </w:r>
          </w:p>
          <w:p w:rsidR="008845A2" w:rsidRPr="008845A2" w:rsidRDefault="008845A2" w:rsidP="008845A2">
            <w:pPr>
              <w:jc w:val="both"/>
              <w:rPr>
                <w:sz w:val="20"/>
              </w:rPr>
            </w:pP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Appeal dismissed</w:t>
            </w:r>
          </w:p>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March 31, 2020</w:t>
            </w:r>
          </w:p>
          <w:p w:rsidR="008845A2" w:rsidRPr="008845A2" w:rsidRDefault="008845A2" w:rsidP="008845A2">
            <w:pPr>
              <w:jc w:val="both"/>
              <w:rPr>
                <w:sz w:val="20"/>
              </w:rPr>
            </w:pPr>
            <w:r w:rsidRPr="008845A2">
              <w:rPr>
                <w:sz w:val="20"/>
              </w:rPr>
              <w:t>Supreme Court of Canada</w:t>
            </w: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Motion for extension of time to serve and file application for leave to appeal and Application for leave to appeal filed</w:t>
            </w:r>
          </w:p>
        </w:tc>
      </w:tr>
    </w:tbl>
    <w:p w:rsidR="008845A2" w:rsidRPr="008845A2" w:rsidRDefault="008845A2" w:rsidP="008845A2">
      <w:pPr>
        <w:jc w:val="both"/>
        <w:rPr>
          <w:sz w:val="20"/>
        </w:rPr>
      </w:pPr>
    </w:p>
    <w:p w:rsidR="008845A2" w:rsidRPr="008845A2" w:rsidRDefault="008845A2" w:rsidP="008845A2">
      <w:pPr>
        <w:jc w:val="both"/>
        <w:rPr>
          <w:sz w:val="20"/>
        </w:rPr>
      </w:pPr>
      <w:r w:rsidRPr="008845A2">
        <w:rPr>
          <w:sz w:val="20"/>
        </w:rPr>
        <w:pict>
          <v:rect id="_x0000_i1032" style="width:2in;height:1pt" o:hrpct="0" o:hralign="center" o:hrstd="t" o:hrnoshade="t" o:hr="t" fillcolor="black [3213]" stroked="f"/>
        </w:pict>
      </w:r>
    </w:p>
    <w:p w:rsidR="008845A2" w:rsidRPr="008845A2" w:rsidRDefault="008845A2" w:rsidP="008845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45A2" w:rsidRPr="008845A2" w:rsidTr="00E95A6A">
        <w:tc>
          <w:tcPr>
            <w:tcW w:w="543" w:type="pct"/>
          </w:tcPr>
          <w:p w:rsidR="008845A2" w:rsidRPr="008845A2" w:rsidRDefault="008845A2" w:rsidP="008845A2">
            <w:pPr>
              <w:jc w:val="both"/>
              <w:rPr>
                <w:sz w:val="20"/>
                <w:lang w:val="fr-CA"/>
              </w:rPr>
            </w:pPr>
            <w:r w:rsidRPr="008845A2">
              <w:rPr>
                <w:rStyle w:val="SCCFileNumberChar"/>
                <w:sz w:val="20"/>
                <w:szCs w:val="20"/>
                <w:lang w:val="fr-CA"/>
              </w:rPr>
              <w:t>39104</w:t>
            </w:r>
          </w:p>
        </w:tc>
        <w:tc>
          <w:tcPr>
            <w:tcW w:w="4457" w:type="pct"/>
            <w:gridSpan w:val="3"/>
          </w:tcPr>
          <w:p w:rsidR="008845A2" w:rsidRPr="008845A2" w:rsidRDefault="008845A2" w:rsidP="008845A2">
            <w:pPr>
              <w:pStyle w:val="SCCLsocParty"/>
              <w:jc w:val="both"/>
              <w:rPr>
                <w:b/>
                <w:sz w:val="20"/>
                <w:szCs w:val="20"/>
              </w:rPr>
            </w:pPr>
            <w:r w:rsidRPr="008845A2">
              <w:rPr>
                <w:b/>
                <w:sz w:val="20"/>
                <w:szCs w:val="20"/>
              </w:rPr>
              <w:t>James Murray Everard c. Sa Majesté la Reine</w:t>
            </w:r>
          </w:p>
          <w:p w:rsidR="008845A2" w:rsidRPr="008845A2" w:rsidRDefault="008845A2" w:rsidP="008845A2">
            <w:pPr>
              <w:jc w:val="both"/>
              <w:rPr>
                <w:sz w:val="20"/>
                <w:lang w:val="fr-CA"/>
              </w:rPr>
            </w:pPr>
            <w:r w:rsidRPr="008845A2">
              <w:rPr>
                <w:sz w:val="20"/>
                <w:lang w:val="fr-CA"/>
              </w:rPr>
              <w:t>(Alb.) (Criminelle) (Autorisation)</w:t>
            </w:r>
          </w:p>
        </w:tc>
      </w:tr>
      <w:tr w:rsidR="008845A2" w:rsidRPr="008845A2" w:rsidTr="00E95A6A">
        <w:tc>
          <w:tcPr>
            <w:tcW w:w="5000" w:type="pct"/>
            <w:gridSpan w:val="4"/>
          </w:tcPr>
          <w:p w:rsidR="008845A2" w:rsidRPr="008845A2" w:rsidRDefault="008845A2" w:rsidP="008845A2">
            <w:pPr>
              <w:pStyle w:val="SCCBanSummary"/>
              <w:rPr>
                <w:sz w:val="20"/>
                <w:szCs w:val="20"/>
                <w:lang w:val="fr-CA"/>
              </w:rPr>
            </w:pPr>
            <w:r w:rsidRPr="008845A2">
              <w:rPr>
                <w:sz w:val="20"/>
                <w:szCs w:val="20"/>
                <w:lang w:val="fr-CA"/>
              </w:rPr>
              <w:t>(Ordonnance de non</w:t>
            </w:r>
            <w:r w:rsidRPr="008845A2">
              <w:rPr>
                <w:sz w:val="20"/>
                <w:szCs w:val="20"/>
                <w:lang w:val="fr-CA"/>
              </w:rPr>
              <w:noBreakHyphen/>
              <w:t>publication dans le dossier)</w:t>
            </w:r>
          </w:p>
          <w:p w:rsidR="008845A2" w:rsidRPr="008845A2" w:rsidRDefault="008845A2" w:rsidP="008845A2">
            <w:pPr>
              <w:jc w:val="both"/>
              <w:rPr>
                <w:sz w:val="20"/>
                <w:lang w:val="fr-CA"/>
              </w:rPr>
            </w:pPr>
          </w:p>
          <w:p w:rsidR="008845A2" w:rsidRPr="008845A2" w:rsidRDefault="008845A2" w:rsidP="008845A2">
            <w:pPr>
              <w:jc w:val="both"/>
              <w:rPr>
                <w:sz w:val="20"/>
                <w:lang w:val="fr-CA"/>
              </w:rPr>
            </w:pPr>
            <w:r w:rsidRPr="008845A2">
              <w:rPr>
                <w:sz w:val="20"/>
                <w:lang w:val="fr-CA"/>
              </w:rPr>
              <w:t>Droit criminel — Preuve — Suffisance des motifs — Un témoin adolescent a décrit une rétractation extrajudiciaire par la plaignante — Le juge du procès a</w:t>
            </w:r>
            <w:r w:rsidRPr="008845A2">
              <w:rPr>
                <w:sz w:val="20"/>
                <w:lang w:val="fr-CA"/>
              </w:rPr>
              <w:noBreakHyphen/>
              <w:t>t</w:t>
            </w:r>
            <w:r w:rsidRPr="008845A2">
              <w:rPr>
                <w:sz w:val="20"/>
                <w:lang w:val="fr-CA"/>
              </w:rPr>
              <w:noBreakHyphen/>
              <w:t xml:space="preserve">il commis une erreur en rejetant la preuve du témoin sur le fondement d’une hypothèse générale quant à la manière dont un adolescent réagirait en entendant la rétractation? — Le critère d’appréciation de la suffisance des motifs établi dans </w:t>
            </w:r>
            <w:r w:rsidRPr="008845A2">
              <w:rPr>
                <w:i/>
                <w:sz w:val="20"/>
                <w:lang w:val="fr-CA"/>
              </w:rPr>
              <w:t>R. c. Sheppard</w:t>
            </w:r>
            <w:r w:rsidRPr="008845A2">
              <w:rPr>
                <w:sz w:val="20"/>
                <w:lang w:val="fr-CA"/>
              </w:rPr>
              <w:t>,</w:t>
            </w:r>
            <w:r w:rsidRPr="008845A2">
              <w:rPr>
                <w:i/>
                <w:sz w:val="20"/>
                <w:lang w:val="fr-CA"/>
              </w:rPr>
              <w:t xml:space="preserve"> </w:t>
            </w:r>
            <w:r w:rsidRPr="008845A2">
              <w:rPr>
                <w:sz w:val="20"/>
                <w:lang w:val="fr-CA"/>
              </w:rPr>
              <w:t>2002 CSC 26, s’applique</w:t>
            </w:r>
            <w:r w:rsidRPr="008845A2">
              <w:rPr>
                <w:sz w:val="20"/>
                <w:lang w:val="fr-CA"/>
              </w:rPr>
              <w:noBreakHyphen/>
              <w:t>t</w:t>
            </w:r>
            <w:r w:rsidRPr="008845A2">
              <w:rPr>
                <w:sz w:val="20"/>
                <w:lang w:val="fr-CA"/>
              </w:rPr>
              <w:noBreakHyphen/>
              <w:t>il aux cours d’appel intermédiaires?</w:t>
            </w:r>
          </w:p>
        </w:tc>
      </w:tr>
      <w:tr w:rsidR="008845A2" w:rsidRPr="008845A2" w:rsidTr="00E95A6A">
        <w:tc>
          <w:tcPr>
            <w:tcW w:w="5000" w:type="pct"/>
            <w:gridSpan w:val="4"/>
          </w:tcPr>
          <w:p w:rsidR="008845A2" w:rsidRPr="008845A2" w:rsidRDefault="008845A2" w:rsidP="008845A2">
            <w:pPr>
              <w:jc w:val="both"/>
              <w:rPr>
                <w:sz w:val="20"/>
                <w:lang w:val="fr-CA"/>
              </w:rPr>
            </w:pPr>
          </w:p>
        </w:tc>
      </w:tr>
      <w:tr w:rsidR="008845A2" w:rsidRPr="008845A2" w:rsidTr="00E95A6A">
        <w:tc>
          <w:tcPr>
            <w:tcW w:w="5000" w:type="pct"/>
            <w:gridSpan w:val="4"/>
          </w:tcPr>
          <w:p w:rsidR="008845A2" w:rsidRPr="008845A2" w:rsidRDefault="008845A2" w:rsidP="008845A2">
            <w:pPr>
              <w:jc w:val="both"/>
              <w:rPr>
                <w:sz w:val="20"/>
                <w:lang w:val="fr-CA"/>
              </w:rPr>
            </w:pPr>
            <w:r w:rsidRPr="008845A2">
              <w:rPr>
                <w:sz w:val="20"/>
                <w:lang w:val="fr-CA"/>
              </w:rPr>
              <w:t>Une plaignante a allégué que M. Everard avait eu des rapports sexuels avec elle alors qu’elle était âgée de quatorze ans. Dans son témoignage, elle a affirmé que cela s’était produit chez lui alors qu’elle était dans un état d’ébriété avancé</w:t>
            </w:r>
            <w:r w:rsidRPr="008845A2">
              <w:rPr>
                <w:spacing w:val="-5"/>
                <w:sz w:val="20"/>
                <w:lang w:val="fr-CA"/>
              </w:rPr>
              <w:t>. Un témoin de la défense a affirmé dans son témoignage que la plaignante avait rétracté son allégation d’agression sexuelle dans une déclaration extrajudiciaire.</w:t>
            </w:r>
          </w:p>
          <w:p w:rsidR="008845A2" w:rsidRPr="008845A2" w:rsidRDefault="008845A2" w:rsidP="008845A2">
            <w:pPr>
              <w:jc w:val="both"/>
              <w:rPr>
                <w:sz w:val="20"/>
                <w:lang w:val="fr-CA"/>
              </w:rPr>
            </w:pPr>
          </w:p>
          <w:p w:rsidR="008845A2" w:rsidRPr="008845A2" w:rsidRDefault="008845A2" w:rsidP="008845A2">
            <w:pPr>
              <w:jc w:val="both"/>
              <w:rPr>
                <w:sz w:val="20"/>
                <w:lang w:val="fr-CA"/>
              </w:rPr>
            </w:pPr>
            <w:r w:rsidRPr="008845A2">
              <w:rPr>
                <w:sz w:val="20"/>
                <w:lang w:val="fr-CA"/>
              </w:rPr>
              <w:t>Le juge du procès a déclaré M. Everard coupable d’agression sexuelle. La Cour d’appel a rejeté l’appel.</w:t>
            </w:r>
          </w:p>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29 septembre 2017</w:t>
            </w:r>
          </w:p>
          <w:p w:rsidR="008845A2" w:rsidRPr="008845A2" w:rsidRDefault="008845A2" w:rsidP="008845A2">
            <w:pPr>
              <w:jc w:val="both"/>
              <w:rPr>
                <w:sz w:val="20"/>
                <w:lang w:val="fr-CA"/>
              </w:rPr>
            </w:pPr>
            <w:r w:rsidRPr="008845A2">
              <w:rPr>
                <w:sz w:val="20"/>
                <w:lang w:val="fr-CA"/>
              </w:rPr>
              <w:t>Cour du Banc de la Reine de l’Alberta</w:t>
            </w:r>
          </w:p>
          <w:p w:rsidR="008845A2" w:rsidRPr="008845A2" w:rsidRDefault="008845A2" w:rsidP="008845A2">
            <w:pPr>
              <w:jc w:val="both"/>
              <w:rPr>
                <w:sz w:val="20"/>
                <w:lang w:val="fr-CA"/>
              </w:rPr>
            </w:pPr>
            <w:r w:rsidRPr="008845A2">
              <w:rPr>
                <w:sz w:val="20"/>
                <w:lang w:val="fr-CA"/>
              </w:rPr>
              <w:t xml:space="preserve">(Juge Henderson)(Non publié) </w:t>
            </w:r>
          </w:p>
          <w:p w:rsidR="008845A2" w:rsidRPr="008845A2" w:rsidRDefault="008845A2" w:rsidP="008845A2">
            <w:pPr>
              <w:jc w:val="both"/>
              <w:rPr>
                <w:sz w:val="20"/>
                <w:lang w:val="fr-CA"/>
              </w:rPr>
            </w:pP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Déclaration de culpabilité d’agression sexuelle</w:t>
            </w:r>
          </w:p>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5 décembre 2019</w:t>
            </w:r>
          </w:p>
          <w:p w:rsidR="008845A2" w:rsidRPr="008845A2" w:rsidRDefault="008845A2" w:rsidP="008845A2">
            <w:pPr>
              <w:jc w:val="both"/>
              <w:rPr>
                <w:sz w:val="20"/>
                <w:lang w:val="fr-CA"/>
              </w:rPr>
            </w:pPr>
            <w:r w:rsidRPr="008845A2">
              <w:rPr>
                <w:sz w:val="20"/>
                <w:lang w:val="fr-CA"/>
              </w:rPr>
              <w:t>Cour d’appel de l’Alberta (Edmonton)</w:t>
            </w:r>
          </w:p>
          <w:p w:rsidR="008845A2" w:rsidRPr="008845A2" w:rsidRDefault="008845A2" w:rsidP="008845A2">
            <w:pPr>
              <w:jc w:val="both"/>
              <w:rPr>
                <w:sz w:val="20"/>
              </w:rPr>
            </w:pPr>
            <w:r w:rsidRPr="008845A2">
              <w:rPr>
                <w:sz w:val="20"/>
              </w:rPr>
              <w:t xml:space="preserve">(Juges Watson, </w:t>
            </w:r>
            <w:proofErr w:type="spellStart"/>
            <w:r w:rsidRPr="008845A2">
              <w:rPr>
                <w:sz w:val="20"/>
              </w:rPr>
              <w:t>Wakeling</w:t>
            </w:r>
            <w:proofErr w:type="spellEnd"/>
            <w:r w:rsidRPr="008845A2">
              <w:rPr>
                <w:sz w:val="20"/>
              </w:rPr>
              <w:t xml:space="preserve"> et </w:t>
            </w:r>
            <w:proofErr w:type="spellStart"/>
            <w:r w:rsidRPr="008845A2">
              <w:rPr>
                <w:sz w:val="20"/>
              </w:rPr>
              <w:t>Greckol</w:t>
            </w:r>
            <w:proofErr w:type="spellEnd"/>
            <w:r w:rsidRPr="008845A2">
              <w:rPr>
                <w:sz w:val="20"/>
              </w:rPr>
              <w:t>)</w:t>
            </w:r>
          </w:p>
          <w:p w:rsidR="008845A2" w:rsidRPr="008845A2" w:rsidRDefault="008845A2" w:rsidP="008845A2">
            <w:pPr>
              <w:jc w:val="both"/>
              <w:rPr>
                <w:sz w:val="20"/>
                <w:lang w:val="fr-CA"/>
              </w:rPr>
            </w:pPr>
            <w:hyperlink r:id="rId15" w:history="1">
              <w:r w:rsidRPr="008845A2">
                <w:rPr>
                  <w:rStyle w:val="Hyperlink"/>
                  <w:sz w:val="20"/>
                  <w:lang w:val="fr-CA"/>
                </w:rPr>
                <w:t>2019 ABCA 476</w:t>
              </w:r>
            </w:hyperlink>
            <w:r w:rsidRPr="008845A2">
              <w:rPr>
                <w:sz w:val="20"/>
                <w:lang w:val="fr-CA"/>
              </w:rPr>
              <w:t>, 1703</w:t>
            </w:r>
            <w:r w:rsidRPr="008845A2">
              <w:rPr>
                <w:sz w:val="20"/>
                <w:lang w:val="fr-CA"/>
              </w:rPr>
              <w:noBreakHyphen/>
              <w:t>0263</w:t>
            </w:r>
            <w:r w:rsidRPr="008845A2">
              <w:rPr>
                <w:sz w:val="20"/>
                <w:lang w:val="fr-CA"/>
              </w:rPr>
              <w:noBreakHyphen/>
              <w:t>A</w:t>
            </w:r>
          </w:p>
          <w:p w:rsidR="008845A2" w:rsidRPr="008845A2" w:rsidRDefault="008845A2" w:rsidP="008845A2">
            <w:pPr>
              <w:jc w:val="both"/>
              <w:rPr>
                <w:sz w:val="20"/>
                <w:lang w:val="fr-CA"/>
              </w:rPr>
            </w:pP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Rejet de l’appel</w:t>
            </w:r>
          </w:p>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31 mars 2020</w:t>
            </w:r>
          </w:p>
          <w:p w:rsidR="008845A2" w:rsidRPr="008845A2" w:rsidRDefault="008845A2" w:rsidP="008845A2">
            <w:pPr>
              <w:jc w:val="both"/>
              <w:rPr>
                <w:sz w:val="20"/>
                <w:lang w:val="fr-CA"/>
              </w:rPr>
            </w:pPr>
            <w:r w:rsidRPr="008845A2">
              <w:rPr>
                <w:sz w:val="20"/>
                <w:lang w:val="fr-CA"/>
              </w:rPr>
              <w:t>Cour suprême du Canada</w:t>
            </w: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Dépôt de la requête en prorogation du délai de signification et de dépôt de la demande d’autorisation d’appel et de la demande d’autorisation d’appel</w:t>
            </w:r>
          </w:p>
        </w:tc>
      </w:tr>
    </w:tbl>
    <w:p w:rsidR="008845A2" w:rsidRPr="008845A2" w:rsidRDefault="008845A2" w:rsidP="008845A2">
      <w:pPr>
        <w:jc w:val="both"/>
        <w:rPr>
          <w:sz w:val="20"/>
          <w:lang w:val="fr-CA"/>
        </w:rPr>
      </w:pPr>
    </w:p>
    <w:p w:rsidR="008845A2" w:rsidRPr="008845A2" w:rsidRDefault="008845A2" w:rsidP="008845A2">
      <w:pPr>
        <w:jc w:val="both"/>
        <w:rPr>
          <w:sz w:val="20"/>
          <w:lang w:val="fr-CA"/>
        </w:rPr>
      </w:pPr>
      <w:r w:rsidRPr="008845A2">
        <w:rPr>
          <w:sz w:val="20"/>
        </w:rPr>
        <w:pict>
          <v:rect id="_x0000_i1033" style="width:2in;height:1pt" o:hrpct="0" o:hralign="center" o:hrstd="t" o:hrnoshade="t" o:hr="t" fillcolor="black [3213]" stroked="f"/>
        </w:pict>
      </w:r>
    </w:p>
    <w:p w:rsidR="009071EF" w:rsidRPr="008845A2" w:rsidRDefault="009071EF" w:rsidP="008845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45A2" w:rsidRPr="008845A2" w:rsidTr="00E95A6A">
        <w:tc>
          <w:tcPr>
            <w:tcW w:w="543" w:type="pct"/>
          </w:tcPr>
          <w:p w:rsidR="008845A2" w:rsidRPr="008845A2" w:rsidRDefault="008845A2" w:rsidP="008845A2">
            <w:pPr>
              <w:jc w:val="both"/>
              <w:rPr>
                <w:sz w:val="20"/>
              </w:rPr>
            </w:pPr>
            <w:r w:rsidRPr="008845A2">
              <w:rPr>
                <w:rStyle w:val="SCCFileNumberChar"/>
                <w:sz w:val="20"/>
                <w:szCs w:val="20"/>
              </w:rPr>
              <w:t>39167</w:t>
            </w:r>
          </w:p>
        </w:tc>
        <w:tc>
          <w:tcPr>
            <w:tcW w:w="4457" w:type="pct"/>
            <w:gridSpan w:val="3"/>
          </w:tcPr>
          <w:p w:rsidR="008845A2" w:rsidRPr="008845A2" w:rsidRDefault="008845A2" w:rsidP="008845A2">
            <w:pPr>
              <w:pStyle w:val="SCCLsocParty"/>
              <w:jc w:val="both"/>
              <w:rPr>
                <w:b/>
                <w:sz w:val="20"/>
                <w:szCs w:val="20"/>
                <w:lang w:val="en-US"/>
              </w:rPr>
            </w:pPr>
            <w:r w:rsidRPr="008845A2">
              <w:rPr>
                <w:b/>
                <w:sz w:val="20"/>
                <w:szCs w:val="20"/>
                <w:lang w:val="en-US"/>
              </w:rPr>
              <w:t>J.M. v. I.L.</w:t>
            </w:r>
          </w:p>
          <w:p w:rsidR="008845A2" w:rsidRPr="008845A2" w:rsidRDefault="008845A2" w:rsidP="008845A2">
            <w:pPr>
              <w:jc w:val="both"/>
              <w:rPr>
                <w:sz w:val="20"/>
              </w:rPr>
            </w:pPr>
            <w:r w:rsidRPr="008845A2">
              <w:rPr>
                <w:sz w:val="20"/>
              </w:rPr>
              <w:t>(N.B.) (Civil) (By Leave)</w:t>
            </w:r>
          </w:p>
        </w:tc>
      </w:tr>
      <w:tr w:rsidR="008845A2" w:rsidRPr="008845A2" w:rsidTr="00E95A6A">
        <w:tc>
          <w:tcPr>
            <w:tcW w:w="5000" w:type="pct"/>
            <w:gridSpan w:val="4"/>
          </w:tcPr>
          <w:p w:rsidR="008845A2" w:rsidRPr="008845A2" w:rsidRDefault="008845A2" w:rsidP="008845A2">
            <w:pPr>
              <w:jc w:val="both"/>
              <w:rPr>
                <w:sz w:val="20"/>
              </w:rPr>
            </w:pPr>
            <w:r w:rsidRPr="008845A2">
              <w:rPr>
                <w:sz w:val="20"/>
              </w:rPr>
              <w:t xml:space="preserve">Family law — Custody — </w:t>
            </w:r>
            <w:r w:rsidRPr="008845A2">
              <w:rPr>
                <w:i/>
                <w:sz w:val="20"/>
              </w:rPr>
              <w:t>Hague Convention</w:t>
            </w:r>
            <w:r w:rsidRPr="008845A2">
              <w:rPr>
                <w:sz w:val="20"/>
              </w:rPr>
              <w:t xml:space="preserve"> — Mother retaining child in New Brunswick following father’s revocation of time</w:t>
            </w:r>
            <w:r w:rsidRPr="008845A2">
              <w:rPr>
                <w:sz w:val="20"/>
              </w:rPr>
              <w:noBreakHyphen/>
              <w:t xml:space="preserve">limited consent to allow child to live there — Father’s </w:t>
            </w:r>
            <w:r w:rsidRPr="008845A2">
              <w:rPr>
                <w:i/>
                <w:sz w:val="20"/>
              </w:rPr>
              <w:t xml:space="preserve">Hague Convention </w:t>
            </w:r>
            <w:r w:rsidRPr="008845A2">
              <w:rPr>
                <w:sz w:val="20"/>
              </w:rPr>
              <w:t xml:space="preserve">application to have child returned to Texas dismissed — Whether lower courts erred in application of hybrid approach by failing to focus on circumstances of child and failing to give weight to role of the father contrary to </w:t>
            </w:r>
            <w:r w:rsidRPr="008845A2">
              <w:rPr>
                <w:i/>
                <w:sz w:val="20"/>
              </w:rPr>
              <w:t>Office of the Children’s Lawyer v. Balev</w:t>
            </w:r>
            <w:r w:rsidRPr="008845A2">
              <w:rPr>
                <w:sz w:val="20"/>
              </w:rPr>
              <w:t xml:space="preserve">, 2018 SCC 16 — Whether lower courts erred in weighing the factual matrix after date of wrongful retention and in failing to apply the entire test required — Whether lower courts failed to examine all factual circumstances and excluded factors that favoured Texas — Whether lower courts failed to consider child’s links and connections to both countries </w:t>
            </w:r>
          </w:p>
        </w:tc>
      </w:tr>
      <w:tr w:rsidR="008845A2" w:rsidRPr="008845A2" w:rsidTr="00E95A6A">
        <w:tc>
          <w:tcPr>
            <w:tcW w:w="5000" w:type="pct"/>
            <w:gridSpan w:val="4"/>
          </w:tcPr>
          <w:p w:rsidR="008845A2" w:rsidRPr="008845A2" w:rsidRDefault="008845A2" w:rsidP="008845A2">
            <w:pPr>
              <w:jc w:val="both"/>
              <w:rPr>
                <w:sz w:val="20"/>
              </w:rPr>
            </w:pPr>
          </w:p>
        </w:tc>
      </w:tr>
      <w:tr w:rsidR="008845A2" w:rsidRPr="008845A2" w:rsidTr="00E95A6A">
        <w:tc>
          <w:tcPr>
            <w:tcW w:w="5000" w:type="pct"/>
            <w:gridSpan w:val="4"/>
          </w:tcPr>
          <w:p w:rsidR="008845A2" w:rsidRPr="008845A2" w:rsidRDefault="008845A2" w:rsidP="008845A2">
            <w:pPr>
              <w:jc w:val="both"/>
              <w:rPr>
                <w:sz w:val="20"/>
              </w:rPr>
            </w:pPr>
            <w:r w:rsidRPr="008845A2">
              <w:rPr>
                <w:sz w:val="20"/>
              </w:rPr>
              <w:t xml:space="preserve">The applicant father is an American citizen who resides in Texas. The mother is a Canadian citizen who has resided in New Brunswick for most of her life. In 2016, she took a leave of absence from her job as a teacher and went to Texas to work on a horse ranch. The parties became involved relationship and the mother moved into the father’s home. Their child was born in Texas in September 2017. By the summer of 2018, the parties agreed that the mother should temporarily return to New Brunswick to resume her employment as a teacher for the full school year. She and the child took up residence with the maternal grandparents in New Brunswick and the mother resumed her teaching career. The father obtained an </w:t>
            </w:r>
            <w:r w:rsidRPr="008845A2">
              <w:rPr>
                <w:i/>
                <w:sz w:val="20"/>
              </w:rPr>
              <w:t>ex parte</w:t>
            </w:r>
            <w:r w:rsidRPr="008845A2">
              <w:rPr>
                <w:sz w:val="20"/>
              </w:rPr>
              <w:t xml:space="preserve"> order declaring the child was a resident of Texas and that the courts in Texas would have jurisdiction. The father subsequently visited twice in New Brunswick and the mother visited twice in Texas before the parties ended their relationship in February 2019 while the mother was in New Brunswick with the child. The father immediately revoked his consent for the child to remain in Canada. The mother commenced an application for sole custody. The father brought an application under the </w:t>
            </w:r>
            <w:r w:rsidRPr="008845A2">
              <w:rPr>
                <w:i/>
                <w:iCs/>
                <w:sz w:val="20"/>
                <w:lang w:val="en"/>
              </w:rPr>
              <w:t>Convention on the Civil Aspects of International Child Abduction</w:t>
            </w:r>
            <w:r w:rsidRPr="008845A2">
              <w:rPr>
                <w:sz w:val="20"/>
                <w:lang w:val="en"/>
              </w:rPr>
              <w:t xml:space="preserve">, Can. T.S. 1983 No. 35, </w:t>
            </w:r>
            <w:r w:rsidRPr="008845A2">
              <w:rPr>
                <w:sz w:val="20"/>
              </w:rPr>
              <w:t>to have the child returned to Texas. His application was dismissed and the Court of Appeal dismissed his appeal.</w:t>
            </w:r>
          </w:p>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May 8, 2019</w:t>
            </w:r>
          </w:p>
          <w:p w:rsidR="008845A2" w:rsidRPr="008845A2" w:rsidRDefault="008845A2" w:rsidP="008845A2">
            <w:pPr>
              <w:jc w:val="both"/>
              <w:rPr>
                <w:sz w:val="20"/>
              </w:rPr>
            </w:pPr>
            <w:r w:rsidRPr="008845A2">
              <w:rPr>
                <w:sz w:val="20"/>
              </w:rPr>
              <w:t>Court of Queen’s Bench of New Brunswick</w:t>
            </w:r>
          </w:p>
          <w:p w:rsidR="008845A2" w:rsidRPr="008845A2" w:rsidRDefault="008845A2" w:rsidP="008845A2">
            <w:pPr>
              <w:jc w:val="both"/>
              <w:rPr>
                <w:sz w:val="20"/>
              </w:rPr>
            </w:pPr>
            <w:r w:rsidRPr="008845A2">
              <w:rPr>
                <w:sz w:val="20"/>
              </w:rPr>
              <w:t>(</w:t>
            </w:r>
            <w:proofErr w:type="spellStart"/>
            <w:r w:rsidRPr="008845A2">
              <w:rPr>
                <w:sz w:val="20"/>
              </w:rPr>
              <w:t>Deschênes</w:t>
            </w:r>
            <w:proofErr w:type="spellEnd"/>
            <w:r w:rsidRPr="008845A2">
              <w:rPr>
                <w:sz w:val="20"/>
              </w:rPr>
              <w:t>, Master)</w:t>
            </w:r>
          </w:p>
          <w:p w:rsidR="008845A2" w:rsidRPr="008845A2" w:rsidRDefault="008845A2" w:rsidP="008845A2">
            <w:pPr>
              <w:jc w:val="both"/>
              <w:rPr>
                <w:sz w:val="20"/>
              </w:rPr>
            </w:pPr>
            <w:r w:rsidRPr="008845A2">
              <w:rPr>
                <w:sz w:val="20"/>
              </w:rPr>
              <w:t>Unreported</w:t>
            </w: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 xml:space="preserve">Interim order declaring child’s habitual residence was in New Brunswick and granting mother interim custody </w:t>
            </w:r>
          </w:p>
        </w:tc>
      </w:tr>
      <w:tr w:rsidR="008845A2" w:rsidRPr="008845A2" w:rsidTr="00E95A6A">
        <w:tc>
          <w:tcPr>
            <w:tcW w:w="2427" w:type="pct"/>
            <w:gridSpan w:val="2"/>
          </w:tcPr>
          <w:p w:rsidR="008845A2" w:rsidRPr="008845A2" w:rsidRDefault="008845A2" w:rsidP="008845A2">
            <w:pPr>
              <w:jc w:val="both"/>
              <w:rPr>
                <w:sz w:val="20"/>
              </w:rPr>
            </w:pPr>
            <w:r w:rsidRPr="008845A2">
              <w:rPr>
                <w:sz w:val="20"/>
              </w:rPr>
              <w:t>July 19, 2019</w:t>
            </w:r>
          </w:p>
          <w:p w:rsidR="008845A2" w:rsidRPr="008845A2" w:rsidRDefault="008845A2" w:rsidP="008845A2">
            <w:pPr>
              <w:jc w:val="both"/>
              <w:rPr>
                <w:sz w:val="20"/>
              </w:rPr>
            </w:pPr>
            <w:r w:rsidRPr="008845A2">
              <w:rPr>
                <w:sz w:val="20"/>
              </w:rPr>
              <w:t>Court of Queen’s Bench of New Brunswick</w:t>
            </w:r>
          </w:p>
          <w:p w:rsidR="008845A2" w:rsidRPr="008845A2" w:rsidRDefault="008845A2" w:rsidP="008845A2">
            <w:pPr>
              <w:jc w:val="both"/>
              <w:rPr>
                <w:sz w:val="20"/>
              </w:rPr>
            </w:pPr>
            <w:r w:rsidRPr="008845A2">
              <w:rPr>
                <w:sz w:val="20"/>
              </w:rPr>
              <w:t>(d</w:t>
            </w:r>
            <w:r w:rsidRPr="008845A2">
              <w:rPr>
                <w:sz w:val="20"/>
                <w:lang w:val="fr-CA"/>
              </w:rPr>
              <w:t>’</w:t>
            </w:r>
            <w:proofErr w:type="spellStart"/>
            <w:r w:rsidRPr="008845A2">
              <w:rPr>
                <w:sz w:val="20"/>
              </w:rPr>
              <w:t>Entremont</w:t>
            </w:r>
            <w:proofErr w:type="spellEnd"/>
            <w:r w:rsidRPr="008845A2">
              <w:rPr>
                <w:sz w:val="20"/>
              </w:rPr>
              <w:t xml:space="preserve"> J.)</w:t>
            </w:r>
          </w:p>
          <w:p w:rsidR="008845A2" w:rsidRPr="008845A2" w:rsidRDefault="008845A2" w:rsidP="008845A2">
            <w:pPr>
              <w:jc w:val="both"/>
              <w:rPr>
                <w:sz w:val="20"/>
              </w:rPr>
            </w:pPr>
            <w:r w:rsidRPr="008845A2">
              <w:rPr>
                <w:sz w:val="20"/>
              </w:rPr>
              <w:t>2019 NBQB 153</w:t>
            </w:r>
          </w:p>
          <w:p w:rsidR="008845A2" w:rsidRPr="008845A2" w:rsidRDefault="008845A2" w:rsidP="008845A2">
            <w:pPr>
              <w:jc w:val="both"/>
              <w:rPr>
                <w:sz w:val="20"/>
              </w:rPr>
            </w:pP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 xml:space="preserve">Applicant’s </w:t>
            </w:r>
            <w:r w:rsidRPr="008845A2">
              <w:rPr>
                <w:i/>
                <w:sz w:val="20"/>
              </w:rPr>
              <w:t>Hague Convention</w:t>
            </w:r>
            <w:r w:rsidRPr="008845A2">
              <w:rPr>
                <w:sz w:val="20"/>
              </w:rPr>
              <w:t xml:space="preserve"> application to have child returned to the state of Texas dismissed</w:t>
            </w:r>
          </w:p>
          <w:p w:rsidR="008845A2" w:rsidRPr="008845A2" w:rsidRDefault="008845A2" w:rsidP="008845A2">
            <w:pPr>
              <w:jc w:val="both"/>
              <w:rPr>
                <w:sz w:val="20"/>
              </w:rPr>
            </w:pPr>
          </w:p>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March 12, 2020</w:t>
            </w:r>
          </w:p>
          <w:p w:rsidR="008845A2" w:rsidRPr="008845A2" w:rsidRDefault="008845A2" w:rsidP="008845A2">
            <w:pPr>
              <w:jc w:val="both"/>
              <w:rPr>
                <w:sz w:val="20"/>
              </w:rPr>
            </w:pPr>
            <w:r w:rsidRPr="008845A2">
              <w:rPr>
                <w:sz w:val="20"/>
              </w:rPr>
              <w:t>Court of Appeal of New Brunswick</w:t>
            </w:r>
          </w:p>
          <w:p w:rsidR="008845A2" w:rsidRPr="008845A2" w:rsidRDefault="008845A2" w:rsidP="008845A2">
            <w:pPr>
              <w:jc w:val="both"/>
              <w:rPr>
                <w:sz w:val="20"/>
              </w:rPr>
            </w:pPr>
            <w:r w:rsidRPr="008845A2">
              <w:rPr>
                <w:sz w:val="20"/>
              </w:rPr>
              <w:t>(Quigg, Green and Baird [dissenting] JJ.A.)</w:t>
            </w:r>
          </w:p>
          <w:p w:rsidR="008845A2" w:rsidRPr="008845A2" w:rsidRDefault="008845A2" w:rsidP="008845A2">
            <w:pPr>
              <w:jc w:val="both"/>
              <w:rPr>
                <w:sz w:val="20"/>
              </w:rPr>
            </w:pPr>
            <w:hyperlink r:id="rId16" w:history="1">
              <w:r w:rsidRPr="008845A2">
                <w:rPr>
                  <w:rStyle w:val="Hyperlink"/>
                  <w:sz w:val="20"/>
                </w:rPr>
                <w:t>2020 NBCA 14</w:t>
              </w:r>
            </w:hyperlink>
          </w:p>
          <w:p w:rsidR="008845A2" w:rsidRPr="008845A2" w:rsidRDefault="008845A2" w:rsidP="008845A2">
            <w:pPr>
              <w:jc w:val="both"/>
              <w:rPr>
                <w:sz w:val="20"/>
              </w:rPr>
            </w:pP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Applicant’s appeal dismissed</w:t>
            </w:r>
          </w:p>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May 11, 2020</w:t>
            </w:r>
          </w:p>
          <w:p w:rsidR="008845A2" w:rsidRPr="008845A2" w:rsidRDefault="008845A2" w:rsidP="008845A2">
            <w:pPr>
              <w:jc w:val="both"/>
              <w:rPr>
                <w:sz w:val="20"/>
              </w:rPr>
            </w:pPr>
            <w:r w:rsidRPr="008845A2">
              <w:rPr>
                <w:sz w:val="20"/>
              </w:rPr>
              <w:t>Supreme Court of Canada</w:t>
            </w: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Application for leave to appeal filed</w:t>
            </w:r>
          </w:p>
          <w:p w:rsidR="008845A2" w:rsidRPr="008845A2" w:rsidRDefault="008845A2" w:rsidP="008845A2">
            <w:pPr>
              <w:jc w:val="both"/>
              <w:rPr>
                <w:sz w:val="20"/>
              </w:rPr>
            </w:pPr>
          </w:p>
        </w:tc>
      </w:tr>
    </w:tbl>
    <w:p w:rsidR="008845A2" w:rsidRPr="008845A2" w:rsidRDefault="008845A2" w:rsidP="008845A2">
      <w:pPr>
        <w:jc w:val="both"/>
        <w:rPr>
          <w:sz w:val="20"/>
        </w:rPr>
      </w:pPr>
    </w:p>
    <w:p w:rsidR="008845A2" w:rsidRPr="008845A2" w:rsidRDefault="008845A2" w:rsidP="008845A2">
      <w:pPr>
        <w:jc w:val="both"/>
        <w:rPr>
          <w:sz w:val="20"/>
        </w:rPr>
      </w:pPr>
      <w:r w:rsidRPr="008845A2">
        <w:rPr>
          <w:sz w:val="20"/>
        </w:rPr>
        <w:pict>
          <v:rect id="_x0000_i1034" style="width:2in;height:1pt" o:hrpct="0" o:hralign="center" o:hrstd="t" o:hrnoshade="t" o:hr="t" fillcolor="black [3213]" stroked="f"/>
        </w:pict>
      </w:r>
    </w:p>
    <w:p w:rsidR="008845A2" w:rsidRPr="008845A2" w:rsidRDefault="008845A2" w:rsidP="008845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45A2" w:rsidRPr="008845A2" w:rsidTr="00E95A6A">
        <w:tc>
          <w:tcPr>
            <w:tcW w:w="543" w:type="pct"/>
          </w:tcPr>
          <w:p w:rsidR="008845A2" w:rsidRPr="008845A2" w:rsidRDefault="008845A2" w:rsidP="008845A2">
            <w:pPr>
              <w:jc w:val="both"/>
              <w:rPr>
                <w:sz w:val="20"/>
                <w:lang w:val="fr-CA"/>
              </w:rPr>
            </w:pPr>
            <w:r w:rsidRPr="008845A2">
              <w:rPr>
                <w:rStyle w:val="SCCFileNumberChar"/>
                <w:sz w:val="20"/>
                <w:szCs w:val="20"/>
                <w:lang w:val="fr-CA"/>
              </w:rPr>
              <w:t>39167</w:t>
            </w:r>
          </w:p>
        </w:tc>
        <w:tc>
          <w:tcPr>
            <w:tcW w:w="4457" w:type="pct"/>
            <w:gridSpan w:val="3"/>
          </w:tcPr>
          <w:p w:rsidR="008845A2" w:rsidRPr="008845A2" w:rsidRDefault="008845A2" w:rsidP="008845A2">
            <w:pPr>
              <w:pStyle w:val="SCCLsocParty"/>
              <w:jc w:val="both"/>
              <w:rPr>
                <w:b/>
                <w:sz w:val="20"/>
                <w:szCs w:val="20"/>
              </w:rPr>
            </w:pPr>
            <w:r w:rsidRPr="008845A2">
              <w:rPr>
                <w:b/>
                <w:sz w:val="20"/>
                <w:szCs w:val="20"/>
              </w:rPr>
              <w:t>J.M. c. I.L.</w:t>
            </w:r>
          </w:p>
          <w:p w:rsidR="008845A2" w:rsidRPr="008845A2" w:rsidRDefault="008845A2" w:rsidP="008845A2">
            <w:pPr>
              <w:jc w:val="both"/>
              <w:rPr>
                <w:sz w:val="20"/>
                <w:lang w:val="fr-CA"/>
              </w:rPr>
            </w:pPr>
            <w:r w:rsidRPr="008845A2">
              <w:rPr>
                <w:sz w:val="20"/>
                <w:lang w:val="fr-CA"/>
              </w:rPr>
              <w:t>(N.</w:t>
            </w:r>
            <w:r w:rsidRPr="008845A2">
              <w:rPr>
                <w:sz w:val="20"/>
                <w:lang w:val="fr-CA"/>
              </w:rPr>
              <w:noBreakHyphen/>
              <w:t>B.) (Civile) (Autorisation)</w:t>
            </w:r>
          </w:p>
        </w:tc>
      </w:tr>
      <w:tr w:rsidR="008845A2" w:rsidRPr="008845A2" w:rsidTr="00E95A6A">
        <w:tc>
          <w:tcPr>
            <w:tcW w:w="5000" w:type="pct"/>
            <w:gridSpan w:val="4"/>
          </w:tcPr>
          <w:p w:rsidR="008845A2" w:rsidRPr="008845A2" w:rsidRDefault="008845A2" w:rsidP="008845A2">
            <w:pPr>
              <w:jc w:val="both"/>
              <w:rPr>
                <w:sz w:val="20"/>
                <w:lang w:val="fr-CA"/>
              </w:rPr>
            </w:pPr>
            <w:r w:rsidRPr="008845A2">
              <w:rPr>
                <w:sz w:val="20"/>
                <w:lang w:val="fr-CA"/>
              </w:rPr>
              <w:t xml:space="preserve">Droit de la famille — Garde — </w:t>
            </w:r>
            <w:r w:rsidRPr="008845A2">
              <w:rPr>
                <w:i/>
                <w:sz w:val="20"/>
                <w:lang w:val="fr-CA"/>
              </w:rPr>
              <w:t>Convention de La Haye</w:t>
            </w:r>
            <w:r w:rsidRPr="008845A2">
              <w:rPr>
                <w:sz w:val="20"/>
                <w:lang w:val="fr-CA"/>
              </w:rPr>
              <w:t xml:space="preserve"> — La mère a retenu l’enfant au Nouveau</w:t>
            </w:r>
            <w:r w:rsidRPr="008845A2">
              <w:rPr>
                <w:sz w:val="20"/>
                <w:lang w:val="fr-CA"/>
              </w:rPr>
              <w:noBreakHyphen/>
              <w:t xml:space="preserve">Brunswick après que le père a révoqué un consentement de durée limitée permettant à l’enfant d’y vivre — La demande du père fondée sur la </w:t>
            </w:r>
            <w:r w:rsidRPr="008845A2">
              <w:rPr>
                <w:i/>
                <w:sz w:val="20"/>
                <w:lang w:val="fr-CA"/>
              </w:rPr>
              <w:t xml:space="preserve">Convention de la Haye </w:t>
            </w:r>
            <w:r w:rsidRPr="008845A2">
              <w:rPr>
                <w:sz w:val="20"/>
                <w:lang w:val="fr-CA"/>
              </w:rPr>
              <w:t xml:space="preserve">pour obtenir le retour de l’enfant au Texas a été rejetée — Les juridictions inférieures </w:t>
            </w:r>
            <w:proofErr w:type="spellStart"/>
            <w:r w:rsidRPr="008845A2">
              <w:rPr>
                <w:sz w:val="20"/>
                <w:lang w:val="fr-CA"/>
              </w:rPr>
              <w:t>ont</w:t>
            </w:r>
            <w:r w:rsidRPr="008845A2">
              <w:rPr>
                <w:sz w:val="20"/>
                <w:lang w:val="fr-CA"/>
              </w:rPr>
              <w:noBreakHyphen/>
              <w:t>elle</w:t>
            </w:r>
            <w:proofErr w:type="spellEnd"/>
            <w:r w:rsidRPr="008845A2">
              <w:rPr>
                <w:sz w:val="20"/>
                <w:lang w:val="fr-CA"/>
              </w:rPr>
              <w:t xml:space="preserve"> commis une erreur dans l’application de l’approche hybride en omettant d’axer leur examen sur la situation de l’enfant et en omettant d’accorder du poids au rôle du père, contrairement à </w:t>
            </w:r>
            <w:r w:rsidRPr="008845A2">
              <w:rPr>
                <w:i/>
                <w:sz w:val="20"/>
                <w:lang w:val="fr-CA"/>
              </w:rPr>
              <w:t xml:space="preserve">Bureau de l’avocat des enfants c. </w:t>
            </w:r>
            <w:proofErr w:type="spellStart"/>
            <w:r w:rsidRPr="008845A2">
              <w:rPr>
                <w:i/>
                <w:sz w:val="20"/>
                <w:lang w:val="fr-CA"/>
              </w:rPr>
              <w:t>Balev</w:t>
            </w:r>
            <w:proofErr w:type="spellEnd"/>
            <w:r w:rsidRPr="008845A2">
              <w:rPr>
                <w:sz w:val="20"/>
                <w:lang w:val="fr-CA"/>
              </w:rPr>
              <w:t>, 2018 CSC 16? — Les juridictions inférieures ont</w:t>
            </w:r>
            <w:r w:rsidRPr="008845A2">
              <w:rPr>
                <w:sz w:val="20"/>
                <w:lang w:val="fr-CA"/>
              </w:rPr>
              <w:noBreakHyphen/>
              <w:t>elles commis une erreur en évaluant l’ensemble des faits après la date du non</w:t>
            </w:r>
            <w:r w:rsidRPr="008845A2">
              <w:rPr>
                <w:sz w:val="20"/>
                <w:lang w:val="fr-CA"/>
              </w:rPr>
              <w:noBreakHyphen/>
              <w:t>retour illicite et en omettant d’appliquer au complet le test prescrit? — Les juridictions inférieures ont</w:t>
            </w:r>
            <w:r w:rsidRPr="008845A2">
              <w:rPr>
                <w:sz w:val="20"/>
                <w:lang w:val="fr-CA"/>
              </w:rPr>
              <w:noBreakHyphen/>
              <w:t>elles omis d’examiner toutes les circonstances factuelles et exclu des facteurs qui favorisaient le Texas? — Les juridictions inférieures ont</w:t>
            </w:r>
            <w:r w:rsidRPr="008845A2">
              <w:rPr>
                <w:sz w:val="20"/>
                <w:lang w:val="fr-CA"/>
              </w:rPr>
              <w:noBreakHyphen/>
              <w:t xml:space="preserve">elles omis de prendre en considération les liens et les rapports de l’enfant aux deux pays? </w:t>
            </w:r>
          </w:p>
        </w:tc>
      </w:tr>
      <w:tr w:rsidR="008845A2" w:rsidRPr="008845A2" w:rsidTr="00E95A6A">
        <w:tc>
          <w:tcPr>
            <w:tcW w:w="5000" w:type="pct"/>
            <w:gridSpan w:val="4"/>
          </w:tcPr>
          <w:p w:rsidR="008845A2" w:rsidRPr="008845A2" w:rsidRDefault="008845A2" w:rsidP="008845A2">
            <w:pPr>
              <w:jc w:val="both"/>
              <w:rPr>
                <w:sz w:val="20"/>
                <w:lang w:val="fr-CA"/>
              </w:rPr>
            </w:pPr>
          </w:p>
        </w:tc>
      </w:tr>
      <w:tr w:rsidR="008845A2" w:rsidRPr="008845A2" w:rsidTr="00E95A6A">
        <w:tc>
          <w:tcPr>
            <w:tcW w:w="5000" w:type="pct"/>
            <w:gridSpan w:val="4"/>
          </w:tcPr>
          <w:p w:rsidR="008845A2" w:rsidRPr="008845A2" w:rsidRDefault="008845A2" w:rsidP="008845A2">
            <w:pPr>
              <w:jc w:val="both"/>
              <w:rPr>
                <w:sz w:val="20"/>
                <w:lang w:val="fr-CA"/>
              </w:rPr>
            </w:pPr>
            <w:r w:rsidRPr="008845A2">
              <w:rPr>
                <w:sz w:val="20"/>
                <w:lang w:val="fr-CA"/>
              </w:rPr>
              <w:t>Le père demandeur est un citoyen américain qui réside au Texas. La mère est une citoyenne canadienne qui a résidé au Nouveau</w:t>
            </w:r>
            <w:r w:rsidRPr="008845A2">
              <w:rPr>
                <w:sz w:val="20"/>
                <w:lang w:val="fr-CA"/>
              </w:rPr>
              <w:noBreakHyphen/>
              <w:t>Brunswick presque toute sa vie. En 2016, elle a pris un congé autorisé d’un an de son emploi d’enseignante et est allée au Texas pour travailler dans un ranch de chevaux. Les parties ont noué une relation et la mère a emménagé chez le père. Leur enfant est né au Texas en septembre 2017. L’été 2018, les parties ont convenu que la mère retourne temporairement au Nouveau</w:t>
            </w:r>
            <w:r w:rsidRPr="008845A2">
              <w:rPr>
                <w:sz w:val="20"/>
                <w:lang w:val="fr-CA"/>
              </w:rPr>
              <w:noBreakHyphen/>
              <w:t>Brunswick afin de reprendre son travail d’enseignante pendant une pleine année scolaire. Elle et l’enfant ont emménagé chez les grands</w:t>
            </w:r>
            <w:r w:rsidRPr="008845A2">
              <w:rPr>
                <w:sz w:val="20"/>
                <w:lang w:val="fr-CA"/>
              </w:rPr>
              <w:noBreakHyphen/>
              <w:t>parents maternels au Nouveau</w:t>
            </w:r>
            <w:r w:rsidRPr="008845A2">
              <w:rPr>
                <w:sz w:val="20"/>
                <w:lang w:val="fr-CA"/>
              </w:rPr>
              <w:noBreakHyphen/>
              <w:t xml:space="preserve">Brunswick et la mère a repris sa carrière en enseignement. Le père a obtenu une ordonnance </w:t>
            </w:r>
            <w:r w:rsidRPr="008845A2">
              <w:rPr>
                <w:i/>
                <w:sz w:val="20"/>
                <w:lang w:val="fr-CA"/>
              </w:rPr>
              <w:t>ex parte</w:t>
            </w:r>
            <w:r w:rsidRPr="008845A2">
              <w:rPr>
                <w:sz w:val="20"/>
                <w:lang w:val="fr-CA"/>
              </w:rPr>
              <w:t xml:space="preserve"> déclarant que l’enfant était résident du Texas et que les tribunaux Texas auraient compétence. Le père a subséquemment fait deux visites au Nouveau</w:t>
            </w:r>
            <w:r w:rsidRPr="008845A2">
              <w:rPr>
                <w:sz w:val="20"/>
                <w:lang w:val="fr-CA"/>
              </w:rPr>
              <w:noBreakHyphen/>
              <w:t>Brunswick et la mère a fait deux visites au Texas avant que les parties aient mis fin à leur relation en février 2019 et pendant que la mère se trouvait au Nouveau</w:t>
            </w:r>
            <w:r w:rsidRPr="008845A2">
              <w:rPr>
                <w:sz w:val="20"/>
                <w:lang w:val="fr-CA"/>
              </w:rPr>
              <w:noBreakHyphen/>
              <w:t xml:space="preserve">Brunswick avec l’enfant. Le père a immédiatement révoqué son consentement à ce que l’enfant reste au Canada. La mère a introduit une demande de garde exclusive. Le père a introduit une demande fondée sur la </w:t>
            </w:r>
            <w:r w:rsidRPr="008845A2">
              <w:rPr>
                <w:i/>
                <w:iCs/>
                <w:sz w:val="20"/>
                <w:lang w:val="fr-CA"/>
              </w:rPr>
              <w:t xml:space="preserve">Convention sur les aspects civils de l’enlèvement international d’enfants, </w:t>
            </w:r>
            <w:r w:rsidRPr="008845A2">
              <w:rPr>
                <w:iCs/>
                <w:sz w:val="20"/>
                <w:lang w:val="fr-CA"/>
              </w:rPr>
              <w:t xml:space="preserve">R.T. Can. 1983 </w:t>
            </w:r>
            <w:proofErr w:type="gramStart"/>
            <w:r w:rsidRPr="008845A2">
              <w:rPr>
                <w:iCs/>
                <w:sz w:val="20"/>
                <w:lang w:val="fr-CA"/>
              </w:rPr>
              <w:t>n</w:t>
            </w:r>
            <w:r w:rsidRPr="008845A2">
              <w:rPr>
                <w:iCs/>
                <w:sz w:val="20"/>
                <w:vertAlign w:val="superscript"/>
                <w:lang w:val="fr-CA"/>
              </w:rPr>
              <w:t>o</w:t>
            </w:r>
            <w:proofErr w:type="gramEnd"/>
            <w:r w:rsidRPr="008845A2">
              <w:rPr>
                <w:iCs/>
                <w:sz w:val="20"/>
                <w:lang w:val="fr-CA"/>
              </w:rPr>
              <w:t> 35</w:t>
            </w:r>
            <w:r w:rsidRPr="008845A2">
              <w:rPr>
                <w:sz w:val="20"/>
                <w:lang w:val="fr-CA"/>
              </w:rPr>
              <w:t xml:space="preserve"> pour obtenir le retour de l’enfant au Texas. La demande du père a été rejetée et la Cour d’appel a rejeté son appel.</w:t>
            </w:r>
          </w:p>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8 mai 2019</w:t>
            </w:r>
          </w:p>
          <w:p w:rsidR="008845A2" w:rsidRPr="008845A2" w:rsidRDefault="008845A2" w:rsidP="008845A2">
            <w:pPr>
              <w:jc w:val="both"/>
              <w:rPr>
                <w:sz w:val="20"/>
                <w:lang w:val="fr-CA"/>
              </w:rPr>
            </w:pPr>
            <w:r w:rsidRPr="008845A2">
              <w:rPr>
                <w:sz w:val="20"/>
                <w:lang w:val="fr-CA"/>
              </w:rPr>
              <w:t>Cour du Banc de la Reine du Nouveau</w:t>
            </w:r>
            <w:r w:rsidRPr="008845A2">
              <w:rPr>
                <w:sz w:val="20"/>
                <w:lang w:val="fr-CA"/>
              </w:rPr>
              <w:noBreakHyphen/>
              <w:t>Brunswick</w:t>
            </w:r>
          </w:p>
          <w:p w:rsidR="008845A2" w:rsidRPr="008845A2" w:rsidRDefault="008845A2" w:rsidP="008845A2">
            <w:pPr>
              <w:jc w:val="both"/>
              <w:rPr>
                <w:sz w:val="20"/>
                <w:lang w:val="fr-CA"/>
              </w:rPr>
            </w:pPr>
            <w:r w:rsidRPr="008845A2">
              <w:rPr>
                <w:sz w:val="20"/>
                <w:lang w:val="fr-CA"/>
              </w:rPr>
              <w:t>(Conseiller</w:t>
            </w:r>
            <w:r w:rsidRPr="008845A2">
              <w:rPr>
                <w:sz w:val="20"/>
                <w:lang w:val="fr-CA"/>
              </w:rPr>
              <w:noBreakHyphen/>
              <w:t xml:space="preserve">maître </w:t>
            </w:r>
            <w:proofErr w:type="spellStart"/>
            <w:r w:rsidRPr="008845A2">
              <w:rPr>
                <w:sz w:val="20"/>
                <w:lang w:val="fr-CA"/>
              </w:rPr>
              <w:t>Deschênes</w:t>
            </w:r>
            <w:proofErr w:type="spellEnd"/>
            <w:r w:rsidRPr="008845A2">
              <w:rPr>
                <w:sz w:val="20"/>
                <w:lang w:val="fr-CA"/>
              </w:rPr>
              <w:t>)</w:t>
            </w:r>
          </w:p>
          <w:p w:rsidR="008845A2" w:rsidRPr="008845A2" w:rsidRDefault="008845A2" w:rsidP="008845A2">
            <w:pPr>
              <w:jc w:val="both"/>
              <w:rPr>
                <w:sz w:val="20"/>
                <w:lang w:val="fr-CA"/>
              </w:rPr>
            </w:pPr>
            <w:r w:rsidRPr="008845A2">
              <w:rPr>
                <w:sz w:val="20"/>
                <w:lang w:val="fr-CA"/>
              </w:rPr>
              <w:t>Non publié</w:t>
            </w: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Ordonnance provisoire déclarant que le lieu de la résidence habituelle de l’enfant était le Nouveau</w:t>
            </w:r>
            <w:r w:rsidRPr="008845A2">
              <w:rPr>
                <w:sz w:val="20"/>
                <w:lang w:val="fr-CA"/>
              </w:rPr>
              <w:noBreakHyphen/>
              <w:t xml:space="preserve">Brunswick et accordant la garde provisoire à la mère </w:t>
            </w: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19 juillet 2019</w:t>
            </w:r>
          </w:p>
          <w:p w:rsidR="008845A2" w:rsidRPr="008845A2" w:rsidRDefault="008845A2" w:rsidP="008845A2">
            <w:pPr>
              <w:jc w:val="both"/>
              <w:rPr>
                <w:sz w:val="20"/>
                <w:lang w:val="fr-CA"/>
              </w:rPr>
            </w:pPr>
            <w:r w:rsidRPr="008845A2">
              <w:rPr>
                <w:sz w:val="20"/>
                <w:lang w:val="fr-CA"/>
              </w:rPr>
              <w:t>Cour du Banc de la Reine du Nouveau</w:t>
            </w:r>
            <w:r w:rsidRPr="008845A2">
              <w:rPr>
                <w:sz w:val="20"/>
                <w:lang w:val="fr-CA"/>
              </w:rPr>
              <w:noBreakHyphen/>
              <w:t>Brunswick</w:t>
            </w:r>
          </w:p>
          <w:p w:rsidR="008845A2" w:rsidRPr="008845A2" w:rsidRDefault="008845A2" w:rsidP="008845A2">
            <w:pPr>
              <w:jc w:val="both"/>
              <w:rPr>
                <w:sz w:val="20"/>
                <w:lang w:val="fr-CA"/>
              </w:rPr>
            </w:pPr>
            <w:r w:rsidRPr="008845A2">
              <w:rPr>
                <w:sz w:val="20"/>
                <w:lang w:val="fr-CA"/>
              </w:rPr>
              <w:t>(Juge d’Entremont)</w:t>
            </w:r>
          </w:p>
          <w:p w:rsidR="008845A2" w:rsidRPr="008845A2" w:rsidRDefault="008845A2" w:rsidP="008845A2">
            <w:pPr>
              <w:jc w:val="both"/>
              <w:rPr>
                <w:sz w:val="20"/>
                <w:lang w:val="fr-CA"/>
              </w:rPr>
            </w:pPr>
            <w:r w:rsidRPr="008845A2">
              <w:rPr>
                <w:sz w:val="20"/>
                <w:lang w:val="fr-CA"/>
              </w:rPr>
              <w:t>2019 NBQB 153</w:t>
            </w:r>
          </w:p>
          <w:p w:rsidR="008845A2" w:rsidRPr="008845A2" w:rsidRDefault="008845A2" w:rsidP="008845A2">
            <w:pPr>
              <w:jc w:val="both"/>
              <w:rPr>
                <w:sz w:val="20"/>
                <w:lang w:val="fr-CA"/>
              </w:rPr>
            </w:pP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 xml:space="preserve">Rejet de la demande du demandeur fondée sur la </w:t>
            </w:r>
            <w:r w:rsidRPr="008845A2">
              <w:rPr>
                <w:i/>
                <w:sz w:val="20"/>
                <w:lang w:val="fr-CA"/>
              </w:rPr>
              <w:t>Convention de La Haye</w:t>
            </w:r>
            <w:r w:rsidRPr="008845A2">
              <w:rPr>
                <w:sz w:val="20"/>
                <w:lang w:val="fr-CA"/>
              </w:rPr>
              <w:t xml:space="preserve"> pour obtenir le retour de l’enfant à l’État du Texas</w:t>
            </w:r>
          </w:p>
          <w:p w:rsidR="008845A2" w:rsidRPr="008845A2" w:rsidRDefault="008845A2" w:rsidP="008845A2">
            <w:pPr>
              <w:jc w:val="both"/>
              <w:rPr>
                <w:sz w:val="20"/>
                <w:lang w:val="fr-CA"/>
              </w:rPr>
            </w:pPr>
          </w:p>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12 mars 2020</w:t>
            </w:r>
          </w:p>
          <w:p w:rsidR="008845A2" w:rsidRPr="008845A2" w:rsidRDefault="008845A2" w:rsidP="008845A2">
            <w:pPr>
              <w:jc w:val="both"/>
              <w:rPr>
                <w:sz w:val="20"/>
                <w:lang w:val="fr-CA"/>
              </w:rPr>
            </w:pPr>
            <w:r w:rsidRPr="008845A2">
              <w:rPr>
                <w:sz w:val="20"/>
                <w:lang w:val="fr-CA"/>
              </w:rPr>
              <w:t>Cour d’appel du Nouveau</w:t>
            </w:r>
            <w:r w:rsidRPr="008845A2">
              <w:rPr>
                <w:sz w:val="20"/>
                <w:lang w:val="fr-CA"/>
              </w:rPr>
              <w:noBreakHyphen/>
              <w:t>Brunswick</w:t>
            </w:r>
          </w:p>
          <w:p w:rsidR="008845A2" w:rsidRPr="008845A2" w:rsidRDefault="008845A2" w:rsidP="008845A2">
            <w:pPr>
              <w:jc w:val="both"/>
              <w:rPr>
                <w:sz w:val="20"/>
                <w:lang w:val="fr-CA"/>
              </w:rPr>
            </w:pPr>
            <w:r w:rsidRPr="008845A2">
              <w:rPr>
                <w:sz w:val="20"/>
                <w:lang w:val="fr-CA"/>
              </w:rPr>
              <w:t xml:space="preserve">(Juge </w:t>
            </w:r>
            <w:proofErr w:type="spellStart"/>
            <w:r w:rsidRPr="008845A2">
              <w:rPr>
                <w:sz w:val="20"/>
                <w:lang w:val="fr-CA"/>
              </w:rPr>
              <w:t>Quigg</w:t>
            </w:r>
            <w:proofErr w:type="spellEnd"/>
            <w:r w:rsidRPr="008845A2">
              <w:rPr>
                <w:sz w:val="20"/>
                <w:lang w:val="fr-CA"/>
              </w:rPr>
              <w:t>, Green et Baird [dissidente])</w:t>
            </w:r>
          </w:p>
          <w:p w:rsidR="008845A2" w:rsidRPr="008845A2" w:rsidRDefault="008845A2" w:rsidP="008845A2">
            <w:pPr>
              <w:jc w:val="both"/>
              <w:rPr>
                <w:sz w:val="20"/>
                <w:lang w:val="fr-CA"/>
              </w:rPr>
            </w:pPr>
            <w:hyperlink r:id="rId17" w:history="1">
              <w:r w:rsidRPr="008845A2">
                <w:rPr>
                  <w:rStyle w:val="Hyperlink"/>
                  <w:sz w:val="20"/>
                  <w:lang w:val="fr-CA"/>
                </w:rPr>
                <w:t>2020 NBCA 14</w:t>
              </w:r>
            </w:hyperlink>
          </w:p>
          <w:p w:rsidR="008845A2" w:rsidRPr="008845A2" w:rsidRDefault="008845A2" w:rsidP="008845A2">
            <w:pPr>
              <w:jc w:val="both"/>
              <w:rPr>
                <w:sz w:val="20"/>
                <w:lang w:val="fr-CA"/>
              </w:rPr>
            </w:pP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Rejet de l’appel du demandeur</w:t>
            </w:r>
          </w:p>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11 mai 2020</w:t>
            </w:r>
          </w:p>
          <w:p w:rsidR="008845A2" w:rsidRPr="008845A2" w:rsidRDefault="008845A2" w:rsidP="008845A2">
            <w:pPr>
              <w:jc w:val="both"/>
              <w:rPr>
                <w:sz w:val="20"/>
                <w:lang w:val="fr-CA"/>
              </w:rPr>
            </w:pPr>
            <w:r w:rsidRPr="008845A2">
              <w:rPr>
                <w:sz w:val="20"/>
                <w:lang w:val="fr-CA"/>
              </w:rPr>
              <w:t>Cour suprême du Canada</w:t>
            </w: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Dépôt de la demande d’autorisation d’appel</w:t>
            </w:r>
          </w:p>
          <w:p w:rsidR="008845A2" w:rsidRPr="008845A2" w:rsidRDefault="008845A2" w:rsidP="008845A2">
            <w:pPr>
              <w:jc w:val="both"/>
              <w:rPr>
                <w:sz w:val="20"/>
                <w:lang w:val="fr-CA"/>
              </w:rPr>
            </w:pPr>
          </w:p>
        </w:tc>
      </w:tr>
    </w:tbl>
    <w:p w:rsidR="008845A2" w:rsidRPr="008845A2" w:rsidRDefault="008845A2" w:rsidP="008845A2">
      <w:pPr>
        <w:jc w:val="both"/>
        <w:rPr>
          <w:sz w:val="20"/>
          <w:lang w:val="fr-CA"/>
        </w:rPr>
      </w:pPr>
    </w:p>
    <w:p w:rsidR="008845A2" w:rsidRPr="008845A2" w:rsidRDefault="008845A2" w:rsidP="008845A2">
      <w:pPr>
        <w:jc w:val="both"/>
        <w:rPr>
          <w:sz w:val="20"/>
          <w:lang w:val="fr-CA"/>
        </w:rPr>
      </w:pPr>
      <w:r w:rsidRPr="008845A2">
        <w:rPr>
          <w:sz w:val="20"/>
        </w:rPr>
        <w:pict>
          <v:rect id="_x0000_i1035" style="width:2in;height:1pt" o:hrpct="0" o:hralign="center" o:hrstd="t" o:hrnoshade="t" o:hr="t" fillcolor="black [3213]" stroked="f"/>
        </w:pict>
      </w:r>
    </w:p>
    <w:p w:rsidR="009071EF" w:rsidRPr="008845A2" w:rsidRDefault="009071EF" w:rsidP="008845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45A2" w:rsidRPr="008845A2" w:rsidTr="00E95A6A">
        <w:tc>
          <w:tcPr>
            <w:tcW w:w="543" w:type="pct"/>
          </w:tcPr>
          <w:p w:rsidR="008845A2" w:rsidRPr="008845A2" w:rsidRDefault="008845A2" w:rsidP="008845A2">
            <w:pPr>
              <w:jc w:val="both"/>
              <w:rPr>
                <w:sz w:val="20"/>
              </w:rPr>
            </w:pPr>
            <w:r w:rsidRPr="008845A2">
              <w:rPr>
                <w:rStyle w:val="SCCFileNumberChar"/>
                <w:sz w:val="20"/>
                <w:szCs w:val="20"/>
              </w:rPr>
              <w:t>39080</w:t>
            </w:r>
          </w:p>
        </w:tc>
        <w:tc>
          <w:tcPr>
            <w:tcW w:w="4457" w:type="pct"/>
            <w:gridSpan w:val="3"/>
          </w:tcPr>
          <w:p w:rsidR="008845A2" w:rsidRPr="008845A2" w:rsidRDefault="008845A2" w:rsidP="008845A2">
            <w:pPr>
              <w:pStyle w:val="SCCLsocParty"/>
              <w:jc w:val="both"/>
              <w:rPr>
                <w:b/>
                <w:sz w:val="20"/>
                <w:szCs w:val="20"/>
                <w:lang w:val="en-US"/>
              </w:rPr>
            </w:pPr>
            <w:r w:rsidRPr="008845A2">
              <w:rPr>
                <w:b/>
                <w:sz w:val="20"/>
                <w:szCs w:val="20"/>
                <w:lang w:val="en-US"/>
              </w:rPr>
              <w:t>Gurdaver Singh Hothi v. Vito De Cotiis</w:t>
            </w:r>
          </w:p>
          <w:p w:rsidR="008845A2" w:rsidRPr="008845A2" w:rsidRDefault="008845A2" w:rsidP="008845A2">
            <w:pPr>
              <w:jc w:val="both"/>
              <w:rPr>
                <w:sz w:val="20"/>
              </w:rPr>
            </w:pPr>
            <w:r w:rsidRPr="008845A2">
              <w:rPr>
                <w:sz w:val="20"/>
              </w:rPr>
              <w:t>(B.C.) (Civil) (By Leave)</w:t>
            </w:r>
          </w:p>
        </w:tc>
      </w:tr>
      <w:tr w:rsidR="008845A2" w:rsidRPr="008845A2" w:rsidTr="00E95A6A">
        <w:tc>
          <w:tcPr>
            <w:tcW w:w="5000" w:type="pct"/>
            <w:gridSpan w:val="4"/>
          </w:tcPr>
          <w:p w:rsidR="008845A2" w:rsidRPr="008845A2" w:rsidRDefault="008845A2" w:rsidP="008845A2">
            <w:pPr>
              <w:jc w:val="both"/>
              <w:rPr>
                <w:sz w:val="20"/>
              </w:rPr>
            </w:pPr>
            <w:r w:rsidRPr="008845A2">
              <w:rPr>
                <w:sz w:val="20"/>
              </w:rPr>
              <w:t>Agency — Apparent agency — Undisclosed principal — Whether an agency relationship involving an undisclosed principal can be inferred from a finding of implied actual authority.</w:t>
            </w:r>
          </w:p>
        </w:tc>
      </w:tr>
      <w:tr w:rsidR="008845A2" w:rsidRPr="008845A2" w:rsidTr="00E95A6A">
        <w:tc>
          <w:tcPr>
            <w:tcW w:w="5000" w:type="pct"/>
            <w:gridSpan w:val="4"/>
          </w:tcPr>
          <w:p w:rsidR="008845A2" w:rsidRPr="008845A2" w:rsidRDefault="008845A2" w:rsidP="008845A2">
            <w:pPr>
              <w:jc w:val="both"/>
              <w:rPr>
                <w:sz w:val="20"/>
              </w:rPr>
            </w:pPr>
          </w:p>
        </w:tc>
      </w:tr>
      <w:tr w:rsidR="008845A2" w:rsidRPr="008845A2" w:rsidTr="00E95A6A">
        <w:tc>
          <w:tcPr>
            <w:tcW w:w="5000" w:type="pct"/>
            <w:gridSpan w:val="4"/>
          </w:tcPr>
          <w:p w:rsidR="008845A2" w:rsidRPr="008845A2" w:rsidRDefault="008845A2" w:rsidP="008845A2">
            <w:pPr>
              <w:jc w:val="both"/>
              <w:rPr>
                <w:sz w:val="20"/>
              </w:rPr>
            </w:pPr>
            <w:r w:rsidRPr="008845A2">
              <w:rPr>
                <w:sz w:val="20"/>
              </w:rPr>
              <w:t>A property registered in the name of Mr. G. Hothi was sold to Mr. V. De Cotiis. The sale was negotiated and agreed to by Mr. P. Hothi, who was the head of a family business that included the buying and selling of real estate. Mr. G. Hothi held legal title to the property as the bare trustee for the benefit of the Hothi family, subject to the direction and control of Mr. P. Hothi, who was acting as the representative for the family. Mr. P. Hothi had entered into the agreement as agent for certain family members who were beneficial owners of the property under what was found at trial to be a resulting trust. However, Mr. P. Hothi denied the existence of a binding agreement of sale refused to close. Mr. De Cotiis began an action to enforce the contract for the purchase of the property against Mr. P. Hothi and Mr. G. Hothi. Mr. P. Hothi filed a second action against Mr. Batal and AHR for any damages payable as a result of the action launched by Mr. De Cotiis. Mr. G. Hothi also filed third party proceedings against Mr. P. Hothi. A fourth action was filed by Mr. Batal and AHR joining Mr. P. Hothi, Mr. G. Hothi and Ms. D. Hothi as fourth parties in the first action involving Mr. De Cotiis. The trial judge allowed Mr. De Cotiis’s action, ordering specific performance of the May 1, 2014 contract; dismissed Mr. P. Hothi and Mr. G. Hothi’s action against Mr. Batal and AHR; dismissed Mr. G. Hothi’s third party proceedings against Mr. P. Hothi; and dismissed Mr. Batal and AHR’s action joining the Hothi family as fourth parties. The Court of Appeal dismissed two appeals filed by Mr. P. Hothi and a further appeal filed by Mr. G. Hothi. Only Mr. G. Hothi’s action is now in issue.</w:t>
            </w:r>
          </w:p>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December 20, 2018</w:t>
            </w:r>
          </w:p>
          <w:p w:rsidR="008845A2" w:rsidRPr="008845A2" w:rsidRDefault="008845A2" w:rsidP="008845A2">
            <w:pPr>
              <w:jc w:val="both"/>
              <w:rPr>
                <w:sz w:val="20"/>
              </w:rPr>
            </w:pPr>
            <w:r w:rsidRPr="008845A2">
              <w:rPr>
                <w:sz w:val="20"/>
              </w:rPr>
              <w:t>Supreme Court of British Columbia</w:t>
            </w:r>
          </w:p>
          <w:p w:rsidR="008845A2" w:rsidRPr="008845A2" w:rsidRDefault="008845A2" w:rsidP="008845A2">
            <w:pPr>
              <w:jc w:val="both"/>
              <w:rPr>
                <w:sz w:val="20"/>
                <w:lang w:val="en"/>
              </w:rPr>
            </w:pPr>
            <w:r w:rsidRPr="008845A2">
              <w:rPr>
                <w:sz w:val="20"/>
              </w:rPr>
              <w:t>(Burke J.)</w:t>
            </w:r>
          </w:p>
          <w:p w:rsidR="008845A2" w:rsidRPr="008845A2" w:rsidRDefault="008845A2" w:rsidP="008845A2">
            <w:pPr>
              <w:jc w:val="both"/>
              <w:rPr>
                <w:sz w:val="20"/>
                <w:lang w:val="en"/>
              </w:rPr>
            </w:pPr>
            <w:hyperlink r:id="rId18" w:history="1">
              <w:r w:rsidRPr="008845A2">
                <w:rPr>
                  <w:color w:val="0000FF"/>
                  <w:sz w:val="20"/>
                  <w:u w:val="single"/>
                  <w:lang w:val="en"/>
                </w:rPr>
                <w:t>2018 BCSC 2271</w:t>
              </w:r>
            </w:hyperlink>
          </w:p>
          <w:p w:rsidR="008845A2" w:rsidRPr="008845A2" w:rsidRDefault="008845A2" w:rsidP="008845A2">
            <w:pPr>
              <w:jc w:val="both"/>
              <w:rPr>
                <w:sz w:val="20"/>
              </w:rPr>
            </w:pP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Mr. De Cotiis’s action allowed and specific performance of the May 1, 2014 contract ordered; Mr. G. Hothi’s third party proceedings against Mr. P. Hothi dismissed; and all other claims dismissed</w:t>
            </w:r>
          </w:p>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December 23, 2019</w:t>
            </w:r>
          </w:p>
          <w:p w:rsidR="008845A2" w:rsidRPr="008845A2" w:rsidRDefault="008845A2" w:rsidP="008845A2">
            <w:pPr>
              <w:jc w:val="both"/>
              <w:rPr>
                <w:sz w:val="20"/>
              </w:rPr>
            </w:pPr>
            <w:r w:rsidRPr="008845A2">
              <w:rPr>
                <w:sz w:val="20"/>
              </w:rPr>
              <w:t>Court of Appeal for British Columbia</w:t>
            </w:r>
          </w:p>
          <w:p w:rsidR="008845A2" w:rsidRPr="008845A2" w:rsidRDefault="008845A2" w:rsidP="008845A2">
            <w:pPr>
              <w:jc w:val="both"/>
              <w:rPr>
                <w:sz w:val="20"/>
              </w:rPr>
            </w:pPr>
            <w:r w:rsidRPr="008845A2">
              <w:rPr>
                <w:sz w:val="20"/>
              </w:rPr>
              <w:t>(Vancouver)</w:t>
            </w:r>
          </w:p>
          <w:p w:rsidR="008845A2" w:rsidRPr="008845A2" w:rsidRDefault="008845A2" w:rsidP="008845A2">
            <w:pPr>
              <w:jc w:val="both"/>
              <w:rPr>
                <w:sz w:val="20"/>
              </w:rPr>
            </w:pPr>
            <w:r w:rsidRPr="008845A2">
              <w:rPr>
                <w:sz w:val="20"/>
              </w:rPr>
              <w:t>(Newbury, Butler, Abrioux JJ.A.)</w:t>
            </w:r>
          </w:p>
          <w:p w:rsidR="008845A2" w:rsidRPr="008845A2" w:rsidRDefault="008845A2" w:rsidP="008845A2">
            <w:pPr>
              <w:jc w:val="both"/>
              <w:rPr>
                <w:sz w:val="20"/>
              </w:rPr>
            </w:pPr>
            <w:hyperlink r:id="rId19" w:history="1">
              <w:r w:rsidRPr="008845A2">
                <w:rPr>
                  <w:rStyle w:val="Hyperlink"/>
                  <w:sz w:val="20"/>
                </w:rPr>
                <w:t>2019 BCCA 472</w:t>
              </w:r>
            </w:hyperlink>
          </w:p>
          <w:p w:rsidR="008845A2" w:rsidRPr="008845A2" w:rsidRDefault="008845A2" w:rsidP="008845A2">
            <w:pPr>
              <w:jc w:val="both"/>
              <w:rPr>
                <w:sz w:val="20"/>
              </w:rPr>
            </w:pP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Two appeals filed by Mr. P. Hothi and a further appeal filed by Mr. G. Hothi dismissed.</w:t>
            </w:r>
          </w:p>
          <w:p w:rsidR="008845A2" w:rsidRPr="008845A2" w:rsidRDefault="008845A2" w:rsidP="008845A2">
            <w:pPr>
              <w:jc w:val="both"/>
              <w:rPr>
                <w:sz w:val="20"/>
              </w:rPr>
            </w:pPr>
          </w:p>
        </w:tc>
      </w:tr>
      <w:tr w:rsidR="008845A2" w:rsidRPr="008845A2" w:rsidTr="00E95A6A">
        <w:tc>
          <w:tcPr>
            <w:tcW w:w="2427" w:type="pct"/>
            <w:gridSpan w:val="2"/>
          </w:tcPr>
          <w:p w:rsidR="008845A2" w:rsidRPr="008845A2" w:rsidRDefault="008845A2" w:rsidP="008845A2">
            <w:pPr>
              <w:jc w:val="both"/>
              <w:rPr>
                <w:sz w:val="20"/>
              </w:rPr>
            </w:pPr>
            <w:r w:rsidRPr="008845A2">
              <w:rPr>
                <w:sz w:val="20"/>
              </w:rPr>
              <w:t>February 20, 2020</w:t>
            </w:r>
          </w:p>
          <w:p w:rsidR="008845A2" w:rsidRPr="008845A2" w:rsidRDefault="008845A2" w:rsidP="008845A2">
            <w:pPr>
              <w:jc w:val="both"/>
              <w:rPr>
                <w:sz w:val="20"/>
              </w:rPr>
            </w:pPr>
            <w:r w:rsidRPr="008845A2">
              <w:rPr>
                <w:sz w:val="20"/>
              </w:rPr>
              <w:t>Supreme Court of Canada</w:t>
            </w:r>
          </w:p>
        </w:tc>
        <w:tc>
          <w:tcPr>
            <w:tcW w:w="243" w:type="pct"/>
          </w:tcPr>
          <w:p w:rsidR="008845A2" w:rsidRPr="008845A2" w:rsidRDefault="008845A2" w:rsidP="008845A2">
            <w:pPr>
              <w:jc w:val="both"/>
              <w:rPr>
                <w:sz w:val="20"/>
              </w:rPr>
            </w:pPr>
          </w:p>
        </w:tc>
        <w:tc>
          <w:tcPr>
            <w:tcW w:w="2330" w:type="pct"/>
          </w:tcPr>
          <w:p w:rsidR="008845A2" w:rsidRPr="008845A2" w:rsidRDefault="008845A2" w:rsidP="008845A2">
            <w:pPr>
              <w:jc w:val="both"/>
              <w:rPr>
                <w:sz w:val="20"/>
              </w:rPr>
            </w:pPr>
            <w:r w:rsidRPr="008845A2">
              <w:rPr>
                <w:sz w:val="20"/>
              </w:rPr>
              <w:t>Application for leave to appeal filed</w:t>
            </w:r>
          </w:p>
          <w:p w:rsidR="008845A2" w:rsidRPr="008845A2" w:rsidRDefault="008845A2" w:rsidP="008845A2">
            <w:pPr>
              <w:jc w:val="both"/>
              <w:rPr>
                <w:sz w:val="20"/>
              </w:rPr>
            </w:pPr>
          </w:p>
        </w:tc>
      </w:tr>
    </w:tbl>
    <w:p w:rsidR="008845A2" w:rsidRPr="008845A2" w:rsidRDefault="008845A2" w:rsidP="008845A2">
      <w:pPr>
        <w:jc w:val="both"/>
        <w:rPr>
          <w:sz w:val="20"/>
        </w:rPr>
      </w:pPr>
    </w:p>
    <w:p w:rsidR="008845A2" w:rsidRPr="008845A2" w:rsidRDefault="008845A2" w:rsidP="008845A2">
      <w:pPr>
        <w:jc w:val="both"/>
        <w:rPr>
          <w:sz w:val="20"/>
        </w:rPr>
      </w:pPr>
      <w:r w:rsidRPr="008845A2">
        <w:rPr>
          <w:sz w:val="20"/>
        </w:rPr>
        <w:pict>
          <v:rect id="_x0000_i1036" style="width:2in;height:1pt" o:hrpct="0" o:hralign="center" o:hrstd="t" o:hrnoshade="t" o:hr="t" fillcolor="black [3213]" stroked="f"/>
        </w:pict>
      </w:r>
    </w:p>
    <w:p w:rsidR="008845A2" w:rsidRPr="008845A2" w:rsidRDefault="008845A2" w:rsidP="008845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45A2" w:rsidRPr="008845A2" w:rsidTr="00E95A6A">
        <w:tc>
          <w:tcPr>
            <w:tcW w:w="543" w:type="pct"/>
          </w:tcPr>
          <w:p w:rsidR="008845A2" w:rsidRPr="008845A2" w:rsidRDefault="008845A2" w:rsidP="008845A2">
            <w:pPr>
              <w:jc w:val="both"/>
              <w:rPr>
                <w:sz w:val="20"/>
                <w:lang w:val="fr-CA"/>
              </w:rPr>
            </w:pPr>
            <w:r w:rsidRPr="008845A2">
              <w:rPr>
                <w:rStyle w:val="SCCFileNumberChar"/>
                <w:sz w:val="20"/>
                <w:szCs w:val="20"/>
                <w:lang w:val="fr-CA"/>
              </w:rPr>
              <w:t>39080</w:t>
            </w:r>
          </w:p>
        </w:tc>
        <w:tc>
          <w:tcPr>
            <w:tcW w:w="4457" w:type="pct"/>
            <w:gridSpan w:val="3"/>
          </w:tcPr>
          <w:p w:rsidR="008845A2" w:rsidRPr="008845A2" w:rsidRDefault="008845A2" w:rsidP="008845A2">
            <w:pPr>
              <w:pStyle w:val="SCCLsocParty"/>
              <w:jc w:val="both"/>
              <w:rPr>
                <w:b/>
                <w:sz w:val="20"/>
                <w:szCs w:val="20"/>
              </w:rPr>
            </w:pPr>
            <w:r w:rsidRPr="008845A2">
              <w:rPr>
                <w:b/>
                <w:sz w:val="20"/>
                <w:szCs w:val="20"/>
              </w:rPr>
              <w:t>Gurdaver Singh Hothi c. Vito De Cotiis</w:t>
            </w:r>
          </w:p>
          <w:p w:rsidR="008845A2" w:rsidRPr="008845A2" w:rsidRDefault="008845A2" w:rsidP="008845A2">
            <w:pPr>
              <w:jc w:val="both"/>
              <w:rPr>
                <w:sz w:val="20"/>
                <w:lang w:val="fr-CA"/>
              </w:rPr>
            </w:pPr>
            <w:r w:rsidRPr="008845A2">
              <w:rPr>
                <w:sz w:val="20"/>
                <w:lang w:val="fr-CA"/>
              </w:rPr>
              <w:t>(C.</w:t>
            </w:r>
            <w:r w:rsidRPr="008845A2">
              <w:rPr>
                <w:sz w:val="20"/>
                <w:lang w:val="fr-CA"/>
              </w:rPr>
              <w:noBreakHyphen/>
              <w:t>B.) (Civile) (Autorisation)</w:t>
            </w:r>
          </w:p>
        </w:tc>
      </w:tr>
      <w:tr w:rsidR="008845A2" w:rsidRPr="008845A2" w:rsidTr="00E95A6A">
        <w:tc>
          <w:tcPr>
            <w:tcW w:w="5000" w:type="pct"/>
            <w:gridSpan w:val="4"/>
          </w:tcPr>
          <w:p w:rsidR="008845A2" w:rsidRPr="008845A2" w:rsidRDefault="008845A2" w:rsidP="008845A2">
            <w:pPr>
              <w:jc w:val="both"/>
              <w:rPr>
                <w:sz w:val="20"/>
                <w:lang w:val="fr-CA"/>
              </w:rPr>
            </w:pPr>
            <w:r w:rsidRPr="008845A2">
              <w:rPr>
                <w:sz w:val="20"/>
                <w:lang w:val="fr-CA"/>
              </w:rPr>
              <w:t>Mandat — Mandat apparent — Mandant secret — Peut</w:t>
            </w:r>
            <w:r w:rsidRPr="008845A2">
              <w:rPr>
                <w:sz w:val="20"/>
                <w:lang w:val="fr-CA"/>
              </w:rPr>
              <w:noBreakHyphen/>
              <w:t>on déduire, à partir d’une conclusion comme quoi il y a pouvoir réel tacite, l’existence d’une relation entre mandant et mandataire à laquelle est partie un mandant secret?</w:t>
            </w:r>
          </w:p>
        </w:tc>
      </w:tr>
      <w:tr w:rsidR="008845A2" w:rsidRPr="008845A2" w:rsidTr="00E95A6A">
        <w:tc>
          <w:tcPr>
            <w:tcW w:w="5000" w:type="pct"/>
            <w:gridSpan w:val="4"/>
          </w:tcPr>
          <w:p w:rsidR="008845A2" w:rsidRPr="008845A2" w:rsidRDefault="008845A2" w:rsidP="008845A2">
            <w:pPr>
              <w:jc w:val="both"/>
              <w:rPr>
                <w:sz w:val="20"/>
                <w:lang w:val="fr-CA"/>
              </w:rPr>
            </w:pPr>
          </w:p>
        </w:tc>
      </w:tr>
      <w:tr w:rsidR="008845A2" w:rsidRPr="008845A2" w:rsidTr="00E95A6A">
        <w:tc>
          <w:tcPr>
            <w:tcW w:w="5000" w:type="pct"/>
            <w:gridSpan w:val="4"/>
          </w:tcPr>
          <w:p w:rsidR="008845A2" w:rsidRPr="008845A2" w:rsidRDefault="008845A2" w:rsidP="008845A2">
            <w:pPr>
              <w:jc w:val="both"/>
              <w:rPr>
                <w:sz w:val="20"/>
                <w:lang w:val="fr-CA"/>
              </w:rPr>
            </w:pPr>
            <w:r w:rsidRPr="008845A2">
              <w:rPr>
                <w:sz w:val="20"/>
                <w:lang w:val="fr-CA"/>
              </w:rPr>
              <w:t>Une propriété inscrite au nom de M. G. Hothi a été vendue à M. V. De Cotiis. La vente a été négociée et convenue par M. P. Hothi, qui était le chef d’une entreprise familiale qui se livrait notamment à l’achat et à la vente de biens immobiliers. Monsieur G. Hothi détenait le titre légal à la propriété à titre de nu</w:t>
            </w:r>
            <w:r w:rsidRPr="008845A2">
              <w:rPr>
                <w:sz w:val="20"/>
                <w:lang w:val="fr-CA"/>
              </w:rPr>
              <w:noBreakHyphen/>
              <w:t xml:space="preserve">fiduciaire pour le compte de la famille Hothi, sous réserve de la direction et du contrôle de M. P. Hothi, qui agissait comme représentant de la famille. Monsieur P. Hothi avait conclu une convention pour agir comme mandataire de certains membres de la famille qui étaient les titulaires bénéficiaires de la propriété en vertu de ce qui a été déterminé au procès comme étant une fiducie </w:t>
            </w:r>
            <w:proofErr w:type="spellStart"/>
            <w:r w:rsidRPr="008845A2">
              <w:rPr>
                <w:sz w:val="20"/>
                <w:lang w:val="fr-CA"/>
              </w:rPr>
              <w:t>résultoire</w:t>
            </w:r>
            <w:proofErr w:type="spellEnd"/>
            <w:r w:rsidRPr="008845A2">
              <w:rPr>
                <w:sz w:val="20"/>
                <w:lang w:val="fr-CA"/>
              </w:rPr>
              <w:t>. Cependant, M. P. Hothi a nié l’existence d’une convention de vente exécutoire et a refusé de clore. Monsieur De Cotiis a intenté contre M. P. Hothi et M. G. Hothi une action en exécution du contrat d’achat de la propriété. Monsieur P. Hothi a intenté une deuxième action contre M. Batal et AHR au titre des dommages</w:t>
            </w:r>
            <w:r w:rsidRPr="008845A2">
              <w:rPr>
                <w:sz w:val="20"/>
                <w:lang w:val="fr-CA"/>
              </w:rPr>
              <w:noBreakHyphen/>
              <w:t>intérêts qui pourraient être payables à la suite de l’action intentée par M. De Cotiis. Monsieur G. Hothi a également mis en cause M. P. Hothi. Une quatrième action a également été intentée par M. Batal et AHR, pour la mise en cause subséquente de M. P. Hothi, M. G. Hothi et Mme D. Hothi dans la première action à laquelle était partie M. De Cotiis. La juge de première instance a accueilli l’action de M. De Cotiis, ordonnant l’exécution en nature du contrat du 1</w:t>
            </w:r>
            <w:r w:rsidRPr="008845A2">
              <w:rPr>
                <w:sz w:val="20"/>
                <w:vertAlign w:val="superscript"/>
                <w:lang w:val="fr-CA"/>
              </w:rPr>
              <w:t>er</w:t>
            </w:r>
            <w:r w:rsidRPr="008845A2">
              <w:rPr>
                <w:sz w:val="20"/>
                <w:lang w:val="fr-CA"/>
              </w:rPr>
              <w:t xml:space="preserve"> mai 2014, elle a rejeté l’action de M. P. Hothi et de M. G. Hothi contre M. Batal et AHR, elle a rejeté la demande de mise en cause de M. P. Hothi introduite par M. G. Hothi et elle a rejeté l’action de M. Batal et d’AHR contre la famille Hothi à titre de mise en cause subséquente. La Cour d’appel a rejeté les deux appels interjetés par M. P. Hothi et un autre appel interjeté par M. G. Hothi. Seule l’action de M. G. Hothi est maintenant en cause.</w:t>
            </w:r>
          </w:p>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20 décembre 2018</w:t>
            </w:r>
          </w:p>
          <w:p w:rsidR="008845A2" w:rsidRPr="008845A2" w:rsidRDefault="008845A2" w:rsidP="008845A2">
            <w:pPr>
              <w:jc w:val="both"/>
              <w:rPr>
                <w:sz w:val="20"/>
                <w:lang w:val="fr-CA"/>
              </w:rPr>
            </w:pPr>
            <w:r w:rsidRPr="008845A2">
              <w:rPr>
                <w:sz w:val="20"/>
                <w:lang w:val="fr-CA"/>
              </w:rPr>
              <w:t>Cour suprême de la Colombie</w:t>
            </w:r>
            <w:r w:rsidRPr="008845A2">
              <w:rPr>
                <w:sz w:val="20"/>
                <w:lang w:val="fr-CA"/>
              </w:rPr>
              <w:noBreakHyphen/>
              <w:t>Britannique</w:t>
            </w:r>
          </w:p>
          <w:p w:rsidR="008845A2" w:rsidRPr="008845A2" w:rsidRDefault="008845A2" w:rsidP="008845A2">
            <w:pPr>
              <w:jc w:val="both"/>
              <w:rPr>
                <w:sz w:val="20"/>
                <w:lang w:val="fr-CA"/>
              </w:rPr>
            </w:pPr>
            <w:r w:rsidRPr="008845A2">
              <w:rPr>
                <w:sz w:val="20"/>
                <w:lang w:val="fr-CA"/>
              </w:rPr>
              <w:t>(Juge Burke)</w:t>
            </w:r>
          </w:p>
          <w:p w:rsidR="008845A2" w:rsidRPr="008845A2" w:rsidRDefault="008845A2" w:rsidP="008845A2">
            <w:pPr>
              <w:jc w:val="both"/>
              <w:rPr>
                <w:sz w:val="20"/>
                <w:lang w:val="fr-CA"/>
              </w:rPr>
            </w:pPr>
            <w:hyperlink r:id="rId20" w:history="1">
              <w:r w:rsidRPr="008845A2">
                <w:rPr>
                  <w:color w:val="0000FF"/>
                  <w:sz w:val="20"/>
                  <w:u w:val="single"/>
                  <w:lang w:val="fr-CA"/>
                </w:rPr>
                <w:t>2018 BCSC 2271</w:t>
              </w:r>
            </w:hyperlink>
          </w:p>
          <w:p w:rsidR="008845A2" w:rsidRPr="008845A2" w:rsidRDefault="008845A2" w:rsidP="008845A2">
            <w:pPr>
              <w:jc w:val="both"/>
              <w:rPr>
                <w:sz w:val="20"/>
                <w:lang w:val="fr-CA"/>
              </w:rPr>
            </w:pP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Jugement accueillant l’action de M. De Cotiis, ordonnant l’exécution en nature du contrat du 1</w:t>
            </w:r>
            <w:r w:rsidRPr="008845A2">
              <w:rPr>
                <w:sz w:val="20"/>
                <w:vertAlign w:val="superscript"/>
                <w:lang w:val="fr-CA"/>
              </w:rPr>
              <w:t>er</w:t>
            </w:r>
            <w:r w:rsidRPr="008845A2">
              <w:rPr>
                <w:sz w:val="20"/>
                <w:lang w:val="fr-CA"/>
              </w:rPr>
              <w:t xml:space="preserve"> mai 2014, rejetant la demande de mise en cause de M. P. Hothi introduite par M. G. Hothi et rejetant toutes les autres demandes</w:t>
            </w:r>
          </w:p>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23 décembre 2019</w:t>
            </w:r>
          </w:p>
          <w:p w:rsidR="008845A2" w:rsidRPr="008845A2" w:rsidRDefault="008845A2" w:rsidP="008845A2">
            <w:pPr>
              <w:jc w:val="both"/>
              <w:rPr>
                <w:sz w:val="20"/>
                <w:lang w:val="fr-CA"/>
              </w:rPr>
            </w:pPr>
            <w:r w:rsidRPr="008845A2">
              <w:rPr>
                <w:sz w:val="20"/>
                <w:lang w:val="fr-CA"/>
              </w:rPr>
              <w:t>Cour d’appel de la Colombie</w:t>
            </w:r>
            <w:r w:rsidRPr="008845A2">
              <w:rPr>
                <w:sz w:val="20"/>
                <w:lang w:val="fr-CA"/>
              </w:rPr>
              <w:noBreakHyphen/>
              <w:t>Britannique</w:t>
            </w:r>
          </w:p>
          <w:p w:rsidR="008845A2" w:rsidRPr="008845A2" w:rsidRDefault="008845A2" w:rsidP="008845A2">
            <w:pPr>
              <w:jc w:val="both"/>
              <w:rPr>
                <w:sz w:val="20"/>
                <w:lang w:val="fr-CA"/>
              </w:rPr>
            </w:pPr>
            <w:r w:rsidRPr="008845A2">
              <w:rPr>
                <w:sz w:val="20"/>
                <w:lang w:val="fr-CA"/>
              </w:rPr>
              <w:t>(Vancouver)</w:t>
            </w:r>
          </w:p>
          <w:p w:rsidR="008845A2" w:rsidRPr="008845A2" w:rsidRDefault="008845A2" w:rsidP="008845A2">
            <w:pPr>
              <w:jc w:val="both"/>
              <w:rPr>
                <w:sz w:val="20"/>
                <w:lang w:val="fr-CA"/>
              </w:rPr>
            </w:pPr>
            <w:r w:rsidRPr="008845A2">
              <w:rPr>
                <w:sz w:val="20"/>
                <w:lang w:val="fr-CA"/>
              </w:rPr>
              <w:t xml:space="preserve">(Juges Newbury, Butler et </w:t>
            </w:r>
            <w:proofErr w:type="spellStart"/>
            <w:r w:rsidRPr="008845A2">
              <w:rPr>
                <w:sz w:val="20"/>
                <w:lang w:val="fr-CA"/>
              </w:rPr>
              <w:t>Abrioux</w:t>
            </w:r>
            <w:proofErr w:type="spellEnd"/>
            <w:r w:rsidRPr="008845A2">
              <w:rPr>
                <w:sz w:val="20"/>
                <w:lang w:val="fr-CA"/>
              </w:rPr>
              <w:t>)</w:t>
            </w:r>
          </w:p>
          <w:p w:rsidR="008845A2" w:rsidRPr="008845A2" w:rsidRDefault="008845A2" w:rsidP="008845A2">
            <w:pPr>
              <w:jc w:val="both"/>
              <w:rPr>
                <w:sz w:val="20"/>
                <w:lang w:val="fr-CA"/>
              </w:rPr>
            </w:pPr>
            <w:hyperlink r:id="rId21" w:history="1">
              <w:r w:rsidRPr="008845A2">
                <w:rPr>
                  <w:rStyle w:val="Hyperlink"/>
                  <w:sz w:val="20"/>
                  <w:lang w:val="fr-CA"/>
                </w:rPr>
                <w:t>2019 BCCA 472</w:t>
              </w:r>
            </w:hyperlink>
          </w:p>
          <w:p w:rsidR="008845A2" w:rsidRPr="008845A2" w:rsidRDefault="008845A2" w:rsidP="008845A2">
            <w:pPr>
              <w:jc w:val="both"/>
              <w:rPr>
                <w:sz w:val="20"/>
                <w:lang w:val="fr-CA"/>
              </w:rPr>
            </w:pP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Rejet des deux appels interjetés par M. P. Hothi et d’un autre appel interjeté par M. G. Hothi.</w:t>
            </w:r>
          </w:p>
          <w:p w:rsidR="008845A2" w:rsidRPr="008845A2" w:rsidRDefault="008845A2" w:rsidP="008845A2">
            <w:pPr>
              <w:jc w:val="both"/>
              <w:rPr>
                <w:sz w:val="20"/>
                <w:lang w:val="fr-CA"/>
              </w:rPr>
            </w:pPr>
          </w:p>
        </w:tc>
      </w:tr>
      <w:tr w:rsidR="008845A2" w:rsidRPr="008845A2" w:rsidTr="00E95A6A">
        <w:tc>
          <w:tcPr>
            <w:tcW w:w="2427" w:type="pct"/>
            <w:gridSpan w:val="2"/>
          </w:tcPr>
          <w:p w:rsidR="008845A2" w:rsidRPr="008845A2" w:rsidRDefault="008845A2" w:rsidP="008845A2">
            <w:pPr>
              <w:jc w:val="both"/>
              <w:rPr>
                <w:sz w:val="20"/>
                <w:lang w:val="fr-CA"/>
              </w:rPr>
            </w:pPr>
            <w:r w:rsidRPr="008845A2">
              <w:rPr>
                <w:sz w:val="20"/>
                <w:lang w:val="fr-CA"/>
              </w:rPr>
              <w:t>20 février 2020</w:t>
            </w:r>
          </w:p>
          <w:p w:rsidR="008845A2" w:rsidRPr="008845A2" w:rsidRDefault="008845A2" w:rsidP="008845A2">
            <w:pPr>
              <w:jc w:val="both"/>
              <w:rPr>
                <w:sz w:val="20"/>
                <w:lang w:val="fr-CA"/>
              </w:rPr>
            </w:pPr>
            <w:r w:rsidRPr="008845A2">
              <w:rPr>
                <w:sz w:val="20"/>
                <w:lang w:val="fr-CA"/>
              </w:rPr>
              <w:t>Cour suprême du Canada</w:t>
            </w:r>
          </w:p>
        </w:tc>
        <w:tc>
          <w:tcPr>
            <w:tcW w:w="243" w:type="pct"/>
          </w:tcPr>
          <w:p w:rsidR="008845A2" w:rsidRPr="008845A2" w:rsidRDefault="008845A2" w:rsidP="008845A2">
            <w:pPr>
              <w:jc w:val="both"/>
              <w:rPr>
                <w:sz w:val="20"/>
                <w:lang w:val="fr-CA"/>
              </w:rPr>
            </w:pPr>
          </w:p>
        </w:tc>
        <w:tc>
          <w:tcPr>
            <w:tcW w:w="2330" w:type="pct"/>
          </w:tcPr>
          <w:p w:rsidR="008845A2" w:rsidRPr="008845A2" w:rsidRDefault="008845A2" w:rsidP="008845A2">
            <w:pPr>
              <w:jc w:val="both"/>
              <w:rPr>
                <w:sz w:val="20"/>
                <w:lang w:val="fr-CA"/>
              </w:rPr>
            </w:pPr>
            <w:r w:rsidRPr="008845A2">
              <w:rPr>
                <w:sz w:val="20"/>
                <w:lang w:val="fr-CA"/>
              </w:rPr>
              <w:t>Dépôt de la demande d’autorisation d’appel</w:t>
            </w:r>
          </w:p>
          <w:p w:rsidR="008845A2" w:rsidRPr="008845A2" w:rsidRDefault="008845A2" w:rsidP="008845A2">
            <w:pPr>
              <w:jc w:val="both"/>
              <w:rPr>
                <w:sz w:val="20"/>
                <w:lang w:val="fr-CA"/>
              </w:rPr>
            </w:pPr>
          </w:p>
        </w:tc>
      </w:tr>
    </w:tbl>
    <w:p w:rsidR="00F61FFA" w:rsidRPr="008845A2" w:rsidRDefault="00F61FFA" w:rsidP="002E6084">
      <w:pPr>
        <w:widowControl w:val="0"/>
        <w:jc w:val="both"/>
        <w:rPr>
          <w:sz w:val="20"/>
          <w:lang w:val="fr-CA"/>
        </w:rPr>
      </w:pPr>
    </w:p>
    <w:p w:rsidR="00E85588" w:rsidRPr="00575C32" w:rsidRDefault="008845A2" w:rsidP="00E85588">
      <w:pPr>
        <w:jc w:val="both"/>
        <w:rPr>
          <w:sz w:val="20"/>
        </w:rPr>
      </w:pPr>
      <w:r w:rsidRPr="008845A2">
        <w:rPr>
          <w:sz w:val="20"/>
        </w:rPr>
        <w:pict>
          <v:rect id="_x0000_i1027" style="width:2in;height:1pt" o:hrpct="0" o:hralign="center" o:hrstd="t" o:hrnoshade="t" o:hr="t" fillcolor="black [3213]" stroked="f"/>
        </w:pict>
      </w:r>
    </w:p>
    <w:p w:rsidR="00E85588" w:rsidRPr="00575C32" w:rsidRDefault="00E85588" w:rsidP="00E85588">
      <w:pPr>
        <w:jc w:val="both"/>
        <w:rPr>
          <w:sz w:val="20"/>
        </w:rPr>
      </w:pPr>
    </w:p>
    <w:p w:rsidR="005C7161" w:rsidRPr="00575C32" w:rsidRDefault="005C7161" w:rsidP="006A22CA">
      <w:pPr>
        <w:ind w:left="142" w:hanging="142"/>
        <w:jc w:val="both"/>
        <w:rPr>
          <w:sz w:val="20"/>
          <w:lang w:val="fr-CA"/>
        </w:rPr>
      </w:pPr>
    </w:p>
    <w:p w:rsidR="00FD3FA0" w:rsidRPr="00575C32" w:rsidRDefault="00FD3FA0" w:rsidP="006A22CA">
      <w:pPr>
        <w:ind w:left="142" w:hanging="142"/>
        <w:jc w:val="both"/>
        <w:rPr>
          <w:sz w:val="20"/>
          <w:lang w:val="fr-CA"/>
        </w:rPr>
      </w:pPr>
    </w:p>
    <w:p w:rsidR="00D3344A" w:rsidRPr="00575C32" w:rsidRDefault="00D3344A" w:rsidP="00D3344A">
      <w:pPr>
        <w:widowControl w:val="0"/>
        <w:outlineLvl w:val="0"/>
      </w:pPr>
      <w:r w:rsidRPr="00575C32">
        <w:t>Supreme Court of Canada / Cour suprême du Canad</w:t>
      </w:r>
      <w:r w:rsidR="00EE289F" w:rsidRPr="00575C32">
        <w:t>a</w:t>
      </w:r>
      <w:r w:rsidRPr="00575C32">
        <w:t xml:space="preserve"> :</w:t>
      </w:r>
    </w:p>
    <w:p w:rsidR="00D3344A" w:rsidRPr="00575C32" w:rsidRDefault="008845A2" w:rsidP="00D3344A">
      <w:pPr>
        <w:widowControl w:val="0"/>
        <w:outlineLvl w:val="0"/>
        <w:rPr>
          <w:u w:val="single"/>
        </w:rPr>
      </w:pPr>
      <w:hyperlink r:id="rId22" w:history="1">
        <w:r w:rsidR="009B7391" w:rsidRPr="00575C32">
          <w:rPr>
            <w:rStyle w:val="Hyperlink"/>
          </w:rPr>
          <w:t>comments-commentaires@scc-csc.ca</w:t>
        </w:r>
      </w:hyperlink>
    </w:p>
    <w:p w:rsidR="00D3344A" w:rsidRPr="00575C32" w:rsidRDefault="0065588C" w:rsidP="00D3344A">
      <w:pPr>
        <w:widowControl w:val="0"/>
        <w:outlineLvl w:val="0"/>
      </w:pPr>
      <w:r w:rsidRPr="00575C32">
        <w:t>613-</w:t>
      </w:r>
      <w:r w:rsidR="00D3344A" w:rsidRPr="00575C32">
        <w:t>995-4330</w:t>
      </w:r>
    </w:p>
    <w:p w:rsidR="00497B5E" w:rsidRPr="00575C32" w:rsidRDefault="00497B5E" w:rsidP="00497B5E">
      <w:pPr>
        <w:widowControl w:val="0"/>
        <w:rPr>
          <w:sz w:val="20"/>
        </w:rPr>
      </w:pPr>
    </w:p>
    <w:p w:rsidR="00F6251B" w:rsidRPr="006E558B" w:rsidRDefault="003F43E6" w:rsidP="00F6251B">
      <w:pPr>
        <w:pStyle w:val="Footer"/>
        <w:jc w:val="center"/>
      </w:pPr>
      <w:r w:rsidRPr="00575C32">
        <w:t>- 30 -</w:t>
      </w:r>
    </w:p>
    <w:sectPr w:rsidR="00F6251B" w:rsidRPr="006E558B" w:rsidSect="00E62F93">
      <w:headerReference w:type="even" r:id="rId23"/>
      <w:headerReference w:type="default" r:id="rId24"/>
      <w:footerReference w:type="even" r:id="rId25"/>
      <w:footerReference w:type="default" r:id="rId26"/>
      <w:headerReference w:type="first" r:id="rId27"/>
      <w:footerReference w:type="first" r:id="rId28"/>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5F" w:rsidRDefault="00C7235F" w:rsidP="0034178A">
      <w:r>
        <w:separator/>
      </w:r>
    </w:p>
  </w:endnote>
  <w:endnote w:type="continuationSeparator" w:id="0">
    <w:p w:rsidR="00C7235F" w:rsidRDefault="00C7235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Pr="009F77F0" w:rsidRDefault="00C7235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5F" w:rsidRDefault="00C7235F" w:rsidP="0034178A">
      <w:r>
        <w:separator/>
      </w:r>
    </w:p>
  </w:footnote>
  <w:footnote w:type="continuationSeparator" w:id="0">
    <w:p w:rsidR="00C7235F" w:rsidRDefault="00C7235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91628"/>
    <w:multiLevelType w:val="hybridMultilevel"/>
    <w:tmpl w:val="558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86C0E"/>
    <w:multiLevelType w:val="hybridMultilevel"/>
    <w:tmpl w:val="E0BADFC0"/>
    <w:lvl w:ilvl="0" w:tplc="622213D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1A1EAF"/>
    <w:multiLevelType w:val="hybridMultilevel"/>
    <w:tmpl w:val="DF5A2D94"/>
    <w:lvl w:ilvl="0" w:tplc="CB143DE6">
      <w:start w:val="2"/>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9"/>
  </w:num>
  <w:num w:numId="15">
    <w:abstractNumId w:val="17"/>
  </w:num>
  <w:num w:numId="16">
    <w:abstractNumId w:val="8"/>
  </w:num>
  <w:num w:numId="17">
    <w:abstractNumId w:val="16"/>
  </w:num>
  <w:num w:numId="18">
    <w:abstractNumId w:val="10"/>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34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5A2"/>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1EF"/>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4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90" TargetMode="External"/><Relationship Id="rId13" Type="http://schemas.openxmlformats.org/officeDocument/2006/relationships/hyperlink" Target="https://www.canlii.org/en/bc/bcca/doc/2020/2020bcca12/2020bcca12.html?autocompleteStr=Hernandez-Lopez&amp;autocompletePos=2" TargetMode="External"/><Relationship Id="rId18" Type="http://schemas.openxmlformats.org/officeDocument/2006/relationships/hyperlink" Target="https://www.canlii.org/en/bc/bcsc/doc/2018/2018bcsc2271/2018bcsc2271.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anlii.org/en/bc/bcca/doc/2019/2019bcca472/2019bcca472.html?autocompleteStr=ca45861&amp;autocompletePos=1" TargetMode="External"/><Relationship Id="rId7" Type="http://schemas.openxmlformats.org/officeDocument/2006/relationships/endnotes" Target="endnotes.xml"/><Relationship Id="rId12" Type="http://schemas.openxmlformats.org/officeDocument/2006/relationships/hyperlink" Target="https://www.canlii.org/en/bc/bcca/doc/2020/2020bcca12/2020bcca12.html?autocompleteStr=Hernandez-Lopez&amp;autocompletePos=2" TargetMode="External"/><Relationship Id="rId17" Type="http://schemas.openxmlformats.org/officeDocument/2006/relationships/hyperlink" Target="http://canlii.ca/t/j63f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lii.ca/t/j63ft" TargetMode="External"/><Relationship Id="rId20" Type="http://schemas.openxmlformats.org/officeDocument/2006/relationships/hyperlink" Target="https://www.canlii.org/en/bc/bcsc/doc/2018/2018bcsc2271/2018bcsc227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8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anlii.org/en/ab/abca/doc/2019/2019abca476/2019abca476.html?resultIndex=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c-csc.ca/case-dossier/info/sum-som-eng.aspx?cas=39167" TargetMode="External"/><Relationship Id="rId19" Type="http://schemas.openxmlformats.org/officeDocument/2006/relationships/hyperlink" Target="https://www.canlii.org/en/bc/bcca/doc/2019/2019bcca472/2019bcca472.html?autocompleteStr=ca45861&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eng.aspx?cas=39104" TargetMode="External"/><Relationship Id="rId14" Type="http://schemas.openxmlformats.org/officeDocument/2006/relationships/hyperlink" Target="https://www.canlii.org/en/ab/abca/doc/2019/2019abca476/2019abca476.html?resultIndex=1" TargetMode="External"/><Relationship Id="rId22" Type="http://schemas.openxmlformats.org/officeDocument/2006/relationships/hyperlink" Target="mailto:comments-commentaires@scc-cs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7741-3400-4AD6-BB63-16A44D87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19124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2020-07-03T13:18:00Z</dcterms:modified>
</cp:coreProperties>
</file>