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613162" w:rsidRDefault="000E391F" w:rsidP="000E391F">
      <w:pPr>
        <w:pStyle w:val="Header"/>
        <w:jc w:val="center"/>
        <w:rPr>
          <w:b/>
          <w:sz w:val="32"/>
        </w:rPr>
      </w:pPr>
      <w:r w:rsidRPr="00613162">
        <w:rPr>
          <w:b/>
          <w:sz w:val="32"/>
        </w:rPr>
        <w:t>Supreme Court of Canada / Cour suprême du Canada</w:t>
      </w:r>
    </w:p>
    <w:p w:rsidR="000E391F" w:rsidRPr="00613162" w:rsidRDefault="000E391F" w:rsidP="000E391F">
      <w:pPr>
        <w:widowControl w:val="0"/>
      </w:pPr>
    </w:p>
    <w:p w:rsidR="000E391F" w:rsidRPr="00613162" w:rsidRDefault="000E391F" w:rsidP="000E391F">
      <w:pPr>
        <w:widowControl w:val="0"/>
        <w:rPr>
          <w:i/>
        </w:rPr>
      </w:pPr>
    </w:p>
    <w:p w:rsidR="006F2579" w:rsidRPr="00613162" w:rsidRDefault="006F2579" w:rsidP="006F2579">
      <w:pPr>
        <w:widowControl w:val="0"/>
        <w:rPr>
          <w:i/>
          <w:sz w:val="20"/>
        </w:rPr>
      </w:pPr>
      <w:r w:rsidRPr="00613162">
        <w:rPr>
          <w:i/>
          <w:sz w:val="20"/>
        </w:rPr>
        <w:t>(</w:t>
      </w:r>
      <w:r w:rsidR="003240B6" w:rsidRPr="00613162">
        <w:rPr>
          <w:i/>
          <w:sz w:val="20"/>
        </w:rPr>
        <w:t>L</w:t>
      </w:r>
      <w:r w:rsidRPr="00613162">
        <w:rPr>
          <w:i/>
          <w:sz w:val="20"/>
        </w:rPr>
        <w:t>e français suit)</w:t>
      </w:r>
    </w:p>
    <w:p w:rsidR="006F2579" w:rsidRPr="00613162" w:rsidRDefault="006F2579" w:rsidP="006F2579">
      <w:pPr>
        <w:widowControl w:val="0"/>
      </w:pPr>
    </w:p>
    <w:p w:rsidR="006F2579" w:rsidRPr="00613162" w:rsidRDefault="00B07908" w:rsidP="006F2579">
      <w:pPr>
        <w:widowControl w:val="0"/>
        <w:jc w:val="center"/>
        <w:rPr>
          <w:b/>
        </w:rPr>
      </w:pPr>
      <w:r w:rsidRPr="00613162">
        <w:fldChar w:fldCharType="begin"/>
      </w:r>
      <w:r w:rsidR="006F2579" w:rsidRPr="00613162">
        <w:instrText xml:space="preserve"> SEQ CHAPTER \h \r 1</w:instrText>
      </w:r>
      <w:r w:rsidRPr="00613162">
        <w:fldChar w:fldCharType="end"/>
      </w:r>
      <w:r w:rsidR="006F2579" w:rsidRPr="00613162">
        <w:rPr>
          <w:b/>
        </w:rPr>
        <w:t>JUDGMENT</w:t>
      </w:r>
      <w:r w:rsidR="00B17AAC" w:rsidRPr="00613162">
        <w:rPr>
          <w:b/>
        </w:rPr>
        <w:t>S</w:t>
      </w:r>
      <w:r w:rsidR="006F2579" w:rsidRPr="00613162">
        <w:rPr>
          <w:b/>
        </w:rPr>
        <w:t xml:space="preserve"> TO B</w:t>
      </w:r>
      <w:r w:rsidR="00001846" w:rsidRPr="00613162">
        <w:rPr>
          <w:b/>
        </w:rPr>
        <w:t>E RENDERED IN LE</w:t>
      </w:r>
      <w:r w:rsidR="00A0288A" w:rsidRPr="00613162">
        <w:rPr>
          <w:b/>
        </w:rPr>
        <w:t>A</w:t>
      </w:r>
      <w:r w:rsidR="00001846" w:rsidRPr="00613162">
        <w:rPr>
          <w:b/>
        </w:rPr>
        <w:t>VE APPLICATION</w:t>
      </w:r>
      <w:r w:rsidR="00511288" w:rsidRPr="00613162">
        <w:rPr>
          <w:b/>
        </w:rPr>
        <w:t>S</w:t>
      </w:r>
    </w:p>
    <w:p w:rsidR="006F2579" w:rsidRPr="00613162" w:rsidRDefault="006F2579" w:rsidP="006F2579">
      <w:pPr>
        <w:widowControl w:val="0"/>
      </w:pPr>
    </w:p>
    <w:p w:rsidR="006F2579" w:rsidRPr="00613162" w:rsidRDefault="007A72CA" w:rsidP="006F2579">
      <w:pPr>
        <w:widowControl w:val="0"/>
      </w:pPr>
      <w:r w:rsidRPr="00613162">
        <w:rPr>
          <w:b/>
        </w:rPr>
        <w:t>Ju</w:t>
      </w:r>
      <w:r w:rsidR="00042618" w:rsidRPr="00613162">
        <w:rPr>
          <w:b/>
        </w:rPr>
        <w:t>ly</w:t>
      </w:r>
      <w:r w:rsidR="00A15B66" w:rsidRPr="00613162">
        <w:rPr>
          <w:b/>
        </w:rPr>
        <w:t xml:space="preserve"> </w:t>
      </w:r>
      <w:r w:rsidR="00B56152" w:rsidRPr="00613162">
        <w:rPr>
          <w:b/>
        </w:rPr>
        <w:t>20</w:t>
      </w:r>
      <w:r w:rsidR="004441C7" w:rsidRPr="00613162">
        <w:rPr>
          <w:b/>
        </w:rPr>
        <w:t>,</w:t>
      </w:r>
      <w:r w:rsidR="006F2579" w:rsidRPr="00613162">
        <w:rPr>
          <w:b/>
        </w:rPr>
        <w:t xml:space="preserve"> </w:t>
      </w:r>
      <w:r w:rsidR="0054689F" w:rsidRPr="00613162">
        <w:rPr>
          <w:b/>
        </w:rPr>
        <w:t>20</w:t>
      </w:r>
      <w:r w:rsidR="00526754" w:rsidRPr="00613162">
        <w:rPr>
          <w:b/>
        </w:rPr>
        <w:t>20</w:t>
      </w:r>
    </w:p>
    <w:p w:rsidR="006F2579" w:rsidRPr="00613162" w:rsidRDefault="00674F39" w:rsidP="006F2579">
      <w:pPr>
        <w:widowControl w:val="0"/>
        <w:rPr>
          <w:b/>
        </w:rPr>
      </w:pPr>
      <w:r w:rsidRPr="00613162">
        <w:rPr>
          <w:b/>
        </w:rPr>
        <w:t>For immediate release</w:t>
      </w:r>
    </w:p>
    <w:p w:rsidR="006F2579" w:rsidRPr="00613162" w:rsidRDefault="006F2579" w:rsidP="006F2579">
      <w:pPr>
        <w:widowControl w:val="0"/>
      </w:pPr>
    </w:p>
    <w:p w:rsidR="006F2579" w:rsidRPr="00613162" w:rsidRDefault="006F2579" w:rsidP="006F2579">
      <w:pPr>
        <w:widowControl w:val="0"/>
        <w:rPr>
          <w:lang w:val="fr-CA"/>
        </w:rPr>
      </w:pPr>
      <w:r w:rsidRPr="00613162">
        <w:rPr>
          <w:b/>
        </w:rPr>
        <w:t>OTTAWA</w:t>
      </w:r>
      <w:r w:rsidRPr="00613162">
        <w:t xml:space="preserve"> – The Supreme Court of Canad</w:t>
      </w:r>
      <w:r w:rsidR="006246E4" w:rsidRPr="00613162">
        <w:t>a</w:t>
      </w:r>
      <w:r w:rsidRPr="00613162">
        <w:t xml:space="preserve"> announced today that judgment in the following </w:t>
      </w:r>
      <w:r w:rsidR="00DB6199" w:rsidRPr="00613162">
        <w:t xml:space="preserve">leave applications </w:t>
      </w:r>
      <w:r w:rsidRPr="00613162">
        <w:t xml:space="preserve">will be delivered at 9:45 a.m. </w:t>
      </w:r>
      <w:r w:rsidR="00E05816" w:rsidRPr="00613162">
        <w:t>E</w:t>
      </w:r>
      <w:r w:rsidR="00273FF3" w:rsidRPr="00613162">
        <w:t>D</w:t>
      </w:r>
      <w:r w:rsidR="00E05816" w:rsidRPr="00613162">
        <w:t>T</w:t>
      </w:r>
      <w:r w:rsidRPr="00613162">
        <w:t xml:space="preserve"> on Thursday, </w:t>
      </w:r>
      <w:r w:rsidR="007A72CA" w:rsidRPr="00613162">
        <w:t>Ju</w:t>
      </w:r>
      <w:r w:rsidR="00F61FFA" w:rsidRPr="00613162">
        <w:t>ly</w:t>
      </w:r>
      <w:r w:rsidR="00455912" w:rsidRPr="00613162">
        <w:t xml:space="preserve"> </w:t>
      </w:r>
      <w:r w:rsidR="00B56152" w:rsidRPr="00613162">
        <w:t>23</w:t>
      </w:r>
      <w:r w:rsidR="007E112F" w:rsidRPr="00613162">
        <w:t>,</w:t>
      </w:r>
      <w:r w:rsidR="002F38D7" w:rsidRPr="00613162">
        <w:t xml:space="preserve"> </w:t>
      </w:r>
      <w:r w:rsidR="006648D1" w:rsidRPr="00613162">
        <w:t>20</w:t>
      </w:r>
      <w:r w:rsidR="00526754" w:rsidRPr="00613162">
        <w:t>20</w:t>
      </w:r>
      <w:r w:rsidRPr="00613162">
        <w:t xml:space="preserve">. </w:t>
      </w:r>
      <w:r w:rsidRPr="00613162">
        <w:rPr>
          <w:lang w:val="fr-CA"/>
        </w:rPr>
        <w:t>This list is subject to chang</w:t>
      </w:r>
      <w:r w:rsidR="00192F7F" w:rsidRPr="00613162">
        <w:rPr>
          <w:lang w:val="fr-CA"/>
        </w:rPr>
        <w:t>e</w:t>
      </w:r>
      <w:r w:rsidRPr="00613162">
        <w:rPr>
          <w:lang w:val="fr-CA"/>
        </w:rPr>
        <w:t>.</w:t>
      </w:r>
    </w:p>
    <w:p w:rsidR="00FF5AA4" w:rsidRPr="00613162" w:rsidRDefault="00FF5AA4" w:rsidP="006F2579">
      <w:pPr>
        <w:widowControl w:val="0"/>
        <w:rPr>
          <w:lang w:val="fr-CA"/>
        </w:rPr>
      </w:pPr>
    </w:p>
    <w:p w:rsidR="00B43418" w:rsidRPr="00613162" w:rsidRDefault="00B43418" w:rsidP="006F2579">
      <w:pPr>
        <w:widowControl w:val="0"/>
        <w:rPr>
          <w:lang w:val="fr-CA"/>
        </w:rPr>
      </w:pPr>
    </w:p>
    <w:p w:rsidR="006F2579" w:rsidRPr="00613162" w:rsidRDefault="006F2579" w:rsidP="006F2579">
      <w:pPr>
        <w:widowControl w:val="0"/>
        <w:jc w:val="center"/>
        <w:rPr>
          <w:lang w:val="fr-CA"/>
        </w:rPr>
      </w:pPr>
      <w:r w:rsidRPr="00613162">
        <w:rPr>
          <w:b/>
          <w:lang w:val="fr-CA"/>
        </w:rPr>
        <w:t>PROCHAIN</w:t>
      </w:r>
      <w:r w:rsidR="00B17AAC" w:rsidRPr="00613162">
        <w:rPr>
          <w:b/>
          <w:lang w:val="fr-CA"/>
        </w:rPr>
        <w:t>S</w:t>
      </w:r>
      <w:r w:rsidRPr="00613162">
        <w:rPr>
          <w:b/>
          <w:lang w:val="fr-CA"/>
        </w:rPr>
        <w:t xml:space="preserve"> JUGEMENT</w:t>
      </w:r>
      <w:r w:rsidR="00B17AAC" w:rsidRPr="00613162">
        <w:rPr>
          <w:b/>
          <w:lang w:val="fr-CA"/>
        </w:rPr>
        <w:t>S</w:t>
      </w:r>
      <w:r w:rsidR="00001846" w:rsidRPr="00613162">
        <w:rPr>
          <w:b/>
          <w:lang w:val="fr-CA"/>
        </w:rPr>
        <w:t xml:space="preserve"> SUR DEMANDE</w:t>
      </w:r>
      <w:r w:rsidR="00B17AAC" w:rsidRPr="00613162">
        <w:rPr>
          <w:b/>
          <w:lang w:val="fr-CA"/>
        </w:rPr>
        <w:t>S</w:t>
      </w:r>
      <w:r w:rsidRPr="00613162">
        <w:rPr>
          <w:b/>
          <w:lang w:val="fr-CA"/>
        </w:rPr>
        <w:t xml:space="preserve"> D’AUTORISATION</w:t>
      </w:r>
    </w:p>
    <w:p w:rsidR="006F2579" w:rsidRPr="00613162" w:rsidRDefault="006F2579" w:rsidP="006F2579">
      <w:pPr>
        <w:widowControl w:val="0"/>
        <w:rPr>
          <w:lang w:val="fr-CA"/>
        </w:rPr>
      </w:pPr>
    </w:p>
    <w:p w:rsidR="006F2579" w:rsidRPr="00613162" w:rsidRDefault="006F2579" w:rsidP="006F2579">
      <w:pPr>
        <w:widowControl w:val="0"/>
        <w:rPr>
          <w:lang w:val="fr-CA"/>
        </w:rPr>
      </w:pPr>
      <w:r w:rsidRPr="00613162">
        <w:rPr>
          <w:b/>
          <w:lang w:val="fr-CA"/>
        </w:rPr>
        <w:t>Le</w:t>
      </w:r>
      <w:r w:rsidR="00957A76" w:rsidRPr="00613162">
        <w:rPr>
          <w:b/>
          <w:lang w:val="fr-CA"/>
        </w:rPr>
        <w:t xml:space="preserve"> </w:t>
      </w:r>
      <w:r w:rsidR="00B56152" w:rsidRPr="00613162">
        <w:rPr>
          <w:b/>
          <w:lang w:val="fr-CA"/>
        </w:rPr>
        <w:t>20</w:t>
      </w:r>
      <w:r w:rsidR="007A72CA" w:rsidRPr="00613162">
        <w:rPr>
          <w:b/>
          <w:lang w:val="fr-CA"/>
        </w:rPr>
        <w:t xml:space="preserve"> jui</w:t>
      </w:r>
      <w:r w:rsidR="00042618" w:rsidRPr="00613162">
        <w:rPr>
          <w:b/>
          <w:lang w:val="fr-CA"/>
        </w:rPr>
        <w:t>llet</w:t>
      </w:r>
      <w:r w:rsidR="00A151D1" w:rsidRPr="00613162">
        <w:rPr>
          <w:b/>
          <w:lang w:val="fr-CA"/>
        </w:rPr>
        <w:t xml:space="preserve"> 20</w:t>
      </w:r>
      <w:r w:rsidR="00526754" w:rsidRPr="00613162">
        <w:rPr>
          <w:b/>
          <w:lang w:val="fr-CA"/>
        </w:rPr>
        <w:t>20</w:t>
      </w:r>
    </w:p>
    <w:p w:rsidR="006F2579" w:rsidRPr="00613162" w:rsidRDefault="006F2579" w:rsidP="006F2579">
      <w:pPr>
        <w:widowControl w:val="0"/>
        <w:rPr>
          <w:b/>
          <w:lang w:val="fr-CA"/>
        </w:rPr>
      </w:pPr>
      <w:r w:rsidRPr="00613162">
        <w:rPr>
          <w:b/>
          <w:lang w:val="fr-CA"/>
        </w:rPr>
        <w:t>Pour diffusion immédiate</w:t>
      </w:r>
    </w:p>
    <w:p w:rsidR="006F2579" w:rsidRPr="00613162" w:rsidRDefault="006F2579" w:rsidP="006F2579">
      <w:pPr>
        <w:widowControl w:val="0"/>
        <w:rPr>
          <w:lang w:val="fr-CA"/>
        </w:rPr>
      </w:pPr>
    </w:p>
    <w:p w:rsidR="006F2579" w:rsidRPr="00613162" w:rsidRDefault="006F2579" w:rsidP="006F2579">
      <w:pPr>
        <w:widowControl w:val="0"/>
        <w:rPr>
          <w:lang w:val="fr-CA"/>
        </w:rPr>
      </w:pPr>
      <w:r w:rsidRPr="00613162">
        <w:rPr>
          <w:b/>
          <w:lang w:val="fr-CA"/>
        </w:rPr>
        <w:t>OTTAWA</w:t>
      </w:r>
      <w:r w:rsidRPr="00613162">
        <w:rPr>
          <w:lang w:val="fr-CA"/>
        </w:rPr>
        <w:t xml:space="preserve"> – La Cour suprême du Canada annonce que jugement ser</w:t>
      </w:r>
      <w:r w:rsidR="004259F9" w:rsidRPr="00613162">
        <w:rPr>
          <w:lang w:val="fr-CA"/>
        </w:rPr>
        <w:t>a</w:t>
      </w:r>
      <w:r w:rsidRPr="00613162">
        <w:rPr>
          <w:lang w:val="fr-CA"/>
        </w:rPr>
        <w:t xml:space="preserve"> rendu dans l</w:t>
      </w:r>
      <w:r w:rsidR="008600ED" w:rsidRPr="00613162">
        <w:rPr>
          <w:lang w:val="fr-CA"/>
        </w:rPr>
        <w:t>es</w:t>
      </w:r>
      <w:r w:rsidRPr="00613162">
        <w:rPr>
          <w:lang w:val="fr-CA"/>
        </w:rPr>
        <w:t xml:space="preserve"> demande</w:t>
      </w:r>
      <w:r w:rsidR="008600ED" w:rsidRPr="00613162">
        <w:rPr>
          <w:lang w:val="fr-CA"/>
        </w:rPr>
        <w:t>s</w:t>
      </w:r>
      <w:r w:rsidRPr="00613162">
        <w:rPr>
          <w:lang w:val="fr-CA"/>
        </w:rPr>
        <w:t xml:space="preserve"> d</w:t>
      </w:r>
      <w:r w:rsidR="00001846" w:rsidRPr="00613162">
        <w:rPr>
          <w:lang w:val="fr-CA"/>
        </w:rPr>
        <w:t>’autorisation suivante</w:t>
      </w:r>
      <w:r w:rsidR="008600ED" w:rsidRPr="00613162">
        <w:rPr>
          <w:lang w:val="fr-CA"/>
        </w:rPr>
        <w:t>s</w:t>
      </w:r>
      <w:r w:rsidRPr="00613162">
        <w:rPr>
          <w:lang w:val="fr-CA"/>
        </w:rPr>
        <w:t xml:space="preserve"> le jeudi </w:t>
      </w:r>
      <w:r w:rsidR="00B56152" w:rsidRPr="00613162">
        <w:rPr>
          <w:lang w:val="fr-CA"/>
        </w:rPr>
        <w:t>23</w:t>
      </w:r>
      <w:r w:rsidR="00780317" w:rsidRPr="00613162">
        <w:rPr>
          <w:lang w:val="fr-CA"/>
        </w:rPr>
        <w:t xml:space="preserve"> </w:t>
      </w:r>
      <w:r w:rsidR="007A72CA" w:rsidRPr="00613162">
        <w:rPr>
          <w:lang w:val="fr-CA"/>
        </w:rPr>
        <w:t>jui</w:t>
      </w:r>
      <w:r w:rsidR="00F61FFA" w:rsidRPr="00613162">
        <w:rPr>
          <w:lang w:val="fr-CA"/>
        </w:rPr>
        <w:t>llet</w:t>
      </w:r>
      <w:r w:rsidR="00694391" w:rsidRPr="00613162">
        <w:rPr>
          <w:lang w:val="fr-CA"/>
        </w:rPr>
        <w:t xml:space="preserve"> 2</w:t>
      </w:r>
      <w:r w:rsidR="006648D1" w:rsidRPr="00613162">
        <w:rPr>
          <w:lang w:val="fr-CA"/>
        </w:rPr>
        <w:t>0</w:t>
      </w:r>
      <w:r w:rsidR="00526754" w:rsidRPr="00613162">
        <w:rPr>
          <w:lang w:val="fr-CA"/>
        </w:rPr>
        <w:t>20</w:t>
      </w:r>
      <w:r w:rsidRPr="00613162">
        <w:rPr>
          <w:lang w:val="fr-CA"/>
        </w:rPr>
        <w:t xml:space="preserve">, à 9 h 45 </w:t>
      </w:r>
      <w:r w:rsidR="000627A2" w:rsidRPr="00613162">
        <w:rPr>
          <w:lang w:val="fr-CA"/>
        </w:rPr>
        <w:t>H</w:t>
      </w:r>
      <w:r w:rsidR="00273FF3" w:rsidRPr="00613162">
        <w:rPr>
          <w:lang w:val="fr-CA"/>
        </w:rPr>
        <w:t>A</w:t>
      </w:r>
      <w:r w:rsidRPr="00613162">
        <w:rPr>
          <w:lang w:val="fr-CA"/>
        </w:rPr>
        <w:t>E. Cette liste est sujette à modifications.</w:t>
      </w:r>
    </w:p>
    <w:p w:rsidR="0080556B" w:rsidRPr="00613162" w:rsidRDefault="0080556B" w:rsidP="009B14F4">
      <w:pPr>
        <w:widowControl w:val="0"/>
        <w:jc w:val="both"/>
        <w:rPr>
          <w:sz w:val="20"/>
          <w:lang w:val="fr-CA"/>
        </w:rPr>
      </w:pPr>
    </w:p>
    <w:p w:rsidR="00867C61" w:rsidRPr="00613162" w:rsidRDefault="00613162" w:rsidP="009B14F4">
      <w:pPr>
        <w:widowControl w:val="0"/>
        <w:jc w:val="both"/>
        <w:rPr>
          <w:sz w:val="20"/>
          <w:lang w:val="fr-CA"/>
        </w:rPr>
      </w:pPr>
      <w:r w:rsidRPr="00613162">
        <w:rPr>
          <w:sz w:val="20"/>
        </w:rPr>
        <w:pict>
          <v:rect id="_x0000_i1025" style="width:2in;height:1pt" o:hrpct="0" o:hralign="center" o:hrstd="t" o:hrnoshade="t" o:hr="t" fillcolor="black [3213]" stroked="f"/>
        </w:pict>
      </w:r>
    </w:p>
    <w:p w:rsidR="00774C10" w:rsidRPr="00613162" w:rsidRDefault="00774C10" w:rsidP="009B14F4">
      <w:pPr>
        <w:widowControl w:val="0"/>
        <w:jc w:val="both"/>
        <w:rPr>
          <w:sz w:val="20"/>
          <w:lang w:val="fr-CA"/>
        </w:rPr>
      </w:pPr>
    </w:p>
    <w:p w:rsidR="0011031F" w:rsidRPr="00613162" w:rsidRDefault="0011031F" w:rsidP="0011031F">
      <w:pPr>
        <w:pStyle w:val="ListParagraph"/>
        <w:numPr>
          <w:ilvl w:val="0"/>
          <w:numId w:val="19"/>
        </w:numPr>
        <w:ind w:left="357" w:hanging="357"/>
        <w:rPr>
          <w:sz w:val="20"/>
        </w:rPr>
      </w:pPr>
      <w:r w:rsidRPr="00613162">
        <w:rPr>
          <w:i/>
          <w:sz w:val="20"/>
        </w:rPr>
        <w:t>Marshall Kazman, et al. v. Her Majesty the Queen</w:t>
      </w:r>
      <w:r w:rsidRPr="00613162">
        <w:rPr>
          <w:b/>
          <w:i/>
          <w:sz w:val="20"/>
        </w:rPr>
        <w:t xml:space="preserve"> </w:t>
      </w:r>
      <w:r w:rsidRPr="00613162">
        <w:rPr>
          <w:sz w:val="20"/>
        </w:rPr>
        <w:t xml:space="preserve">(Ont.) (Criminal) (By Leave) </w:t>
      </w:r>
      <w:r w:rsidRPr="00613162">
        <w:rPr>
          <w:sz w:val="20"/>
          <w:szCs w:val="20"/>
        </w:rPr>
        <w:t>(</w:t>
      </w:r>
      <w:hyperlink r:id="rId8" w:history="1">
        <w:r w:rsidRPr="00613162">
          <w:rPr>
            <w:rStyle w:val="Hyperlink"/>
            <w:sz w:val="20"/>
            <w:szCs w:val="20"/>
          </w:rPr>
          <w:t>390</w:t>
        </w:r>
        <w:r w:rsidR="00355417" w:rsidRPr="00613162">
          <w:rPr>
            <w:rStyle w:val="Hyperlink"/>
            <w:sz w:val="20"/>
            <w:szCs w:val="20"/>
          </w:rPr>
          <w:t>77</w:t>
        </w:r>
      </w:hyperlink>
      <w:r w:rsidRPr="00613162">
        <w:rPr>
          <w:sz w:val="20"/>
          <w:szCs w:val="20"/>
        </w:rPr>
        <w:t>)</w:t>
      </w:r>
    </w:p>
    <w:p w:rsidR="00042618" w:rsidRPr="00613162" w:rsidRDefault="00042618" w:rsidP="0011031F">
      <w:pPr>
        <w:widowControl w:val="0"/>
        <w:ind w:left="357" w:hanging="357"/>
        <w:rPr>
          <w:sz w:val="20"/>
        </w:rPr>
      </w:pPr>
    </w:p>
    <w:p w:rsidR="0011031F" w:rsidRPr="00613162" w:rsidRDefault="0011031F" w:rsidP="0011031F">
      <w:pPr>
        <w:pStyle w:val="ListParagraph"/>
        <w:numPr>
          <w:ilvl w:val="0"/>
          <w:numId w:val="19"/>
        </w:numPr>
        <w:ind w:left="357" w:hanging="357"/>
        <w:rPr>
          <w:sz w:val="20"/>
        </w:rPr>
      </w:pPr>
      <w:r w:rsidRPr="00613162">
        <w:rPr>
          <w:i/>
          <w:sz w:val="20"/>
        </w:rPr>
        <w:t xml:space="preserve">Champion Products Corp., et al. v. Intact Insurance Company, formerly AXA Insurance (Canada), et al. </w:t>
      </w:r>
      <w:r w:rsidRPr="00613162">
        <w:rPr>
          <w:sz w:val="20"/>
        </w:rPr>
        <w:t xml:space="preserve">(Ont.) (Civil) (By Leave) </w:t>
      </w:r>
      <w:r w:rsidRPr="00613162">
        <w:rPr>
          <w:sz w:val="20"/>
          <w:szCs w:val="20"/>
        </w:rPr>
        <w:t>(</w:t>
      </w:r>
      <w:hyperlink r:id="rId9" w:history="1">
        <w:r w:rsidRPr="00613162">
          <w:rPr>
            <w:rStyle w:val="Hyperlink"/>
            <w:sz w:val="20"/>
            <w:szCs w:val="20"/>
          </w:rPr>
          <w:t>391</w:t>
        </w:r>
        <w:r w:rsidR="005B55C9" w:rsidRPr="00613162">
          <w:rPr>
            <w:rStyle w:val="Hyperlink"/>
            <w:sz w:val="20"/>
            <w:szCs w:val="20"/>
          </w:rPr>
          <w:t>26</w:t>
        </w:r>
      </w:hyperlink>
      <w:r w:rsidRPr="00613162">
        <w:rPr>
          <w:sz w:val="20"/>
          <w:szCs w:val="20"/>
        </w:rPr>
        <w:t>)</w:t>
      </w:r>
    </w:p>
    <w:p w:rsidR="0011031F" w:rsidRPr="00613162" w:rsidRDefault="0011031F" w:rsidP="0011031F">
      <w:pPr>
        <w:widowControl w:val="0"/>
        <w:autoSpaceDE w:val="0"/>
        <w:autoSpaceDN w:val="0"/>
        <w:adjustRightInd w:val="0"/>
        <w:ind w:left="357" w:hanging="357"/>
        <w:rPr>
          <w:rFonts w:eastAsia="Calibri"/>
          <w:sz w:val="20"/>
        </w:rPr>
      </w:pPr>
    </w:p>
    <w:p w:rsidR="0011031F" w:rsidRPr="00613162" w:rsidRDefault="0011031F" w:rsidP="0011031F">
      <w:pPr>
        <w:pStyle w:val="ListParagraph"/>
        <w:numPr>
          <w:ilvl w:val="0"/>
          <w:numId w:val="19"/>
        </w:numPr>
        <w:ind w:left="357" w:hanging="357"/>
        <w:rPr>
          <w:i/>
          <w:sz w:val="20"/>
        </w:rPr>
      </w:pPr>
      <w:r w:rsidRPr="00613162">
        <w:rPr>
          <w:i/>
          <w:sz w:val="20"/>
        </w:rPr>
        <w:t>Her Majesty the Queen v. J.J.</w:t>
      </w:r>
      <w:r w:rsidRPr="00613162">
        <w:rPr>
          <w:sz w:val="20"/>
        </w:rPr>
        <w:t xml:space="preserve"> (B.C.) (Criminal) (By Leave) </w:t>
      </w:r>
      <w:r w:rsidRPr="00613162">
        <w:rPr>
          <w:sz w:val="20"/>
          <w:szCs w:val="20"/>
        </w:rPr>
        <w:t>(</w:t>
      </w:r>
      <w:hyperlink r:id="rId10" w:history="1">
        <w:r w:rsidRPr="00613162">
          <w:rPr>
            <w:rStyle w:val="Hyperlink"/>
            <w:sz w:val="20"/>
            <w:szCs w:val="20"/>
          </w:rPr>
          <w:t>391</w:t>
        </w:r>
        <w:r w:rsidR="00D72EE9" w:rsidRPr="00613162">
          <w:rPr>
            <w:rStyle w:val="Hyperlink"/>
            <w:sz w:val="20"/>
            <w:szCs w:val="20"/>
          </w:rPr>
          <w:t>33</w:t>
        </w:r>
      </w:hyperlink>
      <w:r w:rsidRPr="00613162">
        <w:rPr>
          <w:sz w:val="20"/>
          <w:szCs w:val="20"/>
        </w:rPr>
        <w:t>)</w:t>
      </w:r>
    </w:p>
    <w:p w:rsidR="0057402C" w:rsidRPr="00613162" w:rsidRDefault="0057402C" w:rsidP="0057402C">
      <w:pPr>
        <w:widowControl w:val="0"/>
        <w:ind w:left="357" w:hanging="357"/>
        <w:rPr>
          <w:sz w:val="20"/>
        </w:rPr>
      </w:pPr>
    </w:p>
    <w:p w:rsidR="0057402C" w:rsidRPr="00613162" w:rsidRDefault="00613162" w:rsidP="009B14F4">
      <w:pPr>
        <w:widowControl w:val="0"/>
        <w:jc w:val="both"/>
        <w:rPr>
          <w:sz w:val="20"/>
        </w:rPr>
      </w:pPr>
      <w:r w:rsidRPr="00613162">
        <w:rPr>
          <w:sz w:val="20"/>
        </w:rPr>
        <w:pict>
          <v:rect id="_x0000_i1026" style="width:2in;height:1pt" o:hrpct="0" o:hralign="center" o:hrstd="t" o:hrnoshade="t" o:hr="t" fillcolor="black [3213]" stroked="f"/>
        </w:pict>
      </w:r>
    </w:p>
    <w:p w:rsidR="0057402C" w:rsidRPr="00613162" w:rsidRDefault="0057402C" w:rsidP="002E6084">
      <w:pPr>
        <w:widowControl w:val="0"/>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161A0A" w:rsidRPr="00613162" w:rsidTr="00F329CD">
        <w:trPr>
          <w:gridAfter w:val="1"/>
          <w:wAfter w:w="48" w:type="pct"/>
        </w:trPr>
        <w:tc>
          <w:tcPr>
            <w:tcW w:w="537" w:type="pct"/>
          </w:tcPr>
          <w:p w:rsidR="00161A0A" w:rsidRPr="00613162" w:rsidRDefault="00161A0A" w:rsidP="00161A0A">
            <w:pPr>
              <w:jc w:val="both"/>
              <w:rPr>
                <w:sz w:val="20"/>
              </w:rPr>
            </w:pPr>
            <w:r w:rsidRPr="00613162">
              <w:rPr>
                <w:rStyle w:val="SCCFileNumberChar"/>
                <w:sz w:val="20"/>
                <w:szCs w:val="20"/>
              </w:rPr>
              <w:t>39077</w:t>
            </w:r>
          </w:p>
        </w:tc>
        <w:tc>
          <w:tcPr>
            <w:tcW w:w="4415" w:type="pct"/>
            <w:gridSpan w:val="3"/>
          </w:tcPr>
          <w:p w:rsidR="00161A0A" w:rsidRPr="00613162" w:rsidRDefault="00161A0A" w:rsidP="00161A0A">
            <w:pPr>
              <w:jc w:val="both"/>
              <w:rPr>
                <w:b/>
                <w:sz w:val="20"/>
              </w:rPr>
            </w:pPr>
            <w:r w:rsidRPr="00613162">
              <w:rPr>
                <w:b/>
                <w:sz w:val="20"/>
              </w:rPr>
              <w:t xml:space="preserve">Marshall Kazman v. Her Majesty the Queen </w:t>
            </w:r>
          </w:p>
          <w:p w:rsidR="00161A0A" w:rsidRPr="00613162" w:rsidRDefault="00161A0A" w:rsidP="00161A0A">
            <w:pPr>
              <w:jc w:val="both"/>
              <w:rPr>
                <w:b/>
                <w:sz w:val="20"/>
              </w:rPr>
            </w:pPr>
            <w:r w:rsidRPr="00613162">
              <w:rPr>
                <w:b/>
                <w:sz w:val="20"/>
              </w:rPr>
              <w:t xml:space="preserve">- and between – </w:t>
            </w:r>
          </w:p>
          <w:p w:rsidR="00161A0A" w:rsidRPr="00613162" w:rsidRDefault="00161A0A" w:rsidP="00161A0A">
            <w:pPr>
              <w:jc w:val="both"/>
              <w:rPr>
                <w:b/>
                <w:sz w:val="20"/>
              </w:rPr>
            </w:pPr>
            <w:r w:rsidRPr="00613162">
              <w:rPr>
                <w:b/>
                <w:sz w:val="20"/>
              </w:rPr>
              <w:t>Gad Levy v. Her Majesty the Queen</w:t>
            </w:r>
          </w:p>
          <w:p w:rsidR="00161A0A" w:rsidRPr="00613162" w:rsidRDefault="00161A0A" w:rsidP="00161A0A">
            <w:pPr>
              <w:jc w:val="both"/>
              <w:rPr>
                <w:sz w:val="20"/>
              </w:rPr>
            </w:pPr>
            <w:r w:rsidRPr="00613162">
              <w:rPr>
                <w:sz w:val="20"/>
              </w:rPr>
              <w:t>(Ont.) (Criminal) (By Leave)</w:t>
            </w:r>
          </w:p>
        </w:tc>
      </w:tr>
      <w:tr w:rsidR="00161A0A" w:rsidRPr="00613162" w:rsidTr="00F329CD">
        <w:trPr>
          <w:gridAfter w:val="1"/>
          <w:wAfter w:w="48" w:type="pct"/>
        </w:trPr>
        <w:tc>
          <w:tcPr>
            <w:tcW w:w="4952" w:type="pct"/>
            <w:gridSpan w:val="4"/>
          </w:tcPr>
          <w:p w:rsidR="00161A0A" w:rsidRPr="00613162" w:rsidRDefault="00161A0A" w:rsidP="00161A0A">
            <w:pPr>
              <w:jc w:val="both"/>
              <w:rPr>
                <w:sz w:val="20"/>
              </w:rPr>
            </w:pPr>
            <w:r w:rsidRPr="00613162">
              <w:rPr>
                <w:i/>
                <w:sz w:val="20"/>
              </w:rPr>
              <w:t>Charter of Rights</w:t>
            </w:r>
            <w:r w:rsidRPr="00613162">
              <w:rPr>
                <w:sz w:val="20"/>
              </w:rPr>
              <w:t xml:space="preserve"> — Right to be tried within a reasonable time — Criminal law — S. 11(b) </w:t>
            </w:r>
            <w:r w:rsidRPr="00613162">
              <w:rPr>
                <w:i/>
                <w:sz w:val="20"/>
              </w:rPr>
              <w:t>Charter</w:t>
            </w:r>
            <w:r w:rsidRPr="00613162">
              <w:rPr>
                <w:sz w:val="20"/>
              </w:rPr>
              <w:t xml:space="preserve"> applications summarily dismissed — Whether the trial judge erred in dismissing the s. 11(b) </w:t>
            </w:r>
            <w:r w:rsidRPr="00613162">
              <w:rPr>
                <w:i/>
                <w:sz w:val="20"/>
              </w:rPr>
              <w:t>Charter</w:t>
            </w:r>
            <w:r w:rsidRPr="00613162">
              <w:rPr>
                <w:sz w:val="20"/>
              </w:rPr>
              <w:t xml:space="preserve"> applications — Whether the Court of Appeal erred — Factors to consider in assessing whether trial judge erred and scope of Crown obligations — Consideration of the applicants’ self</w:t>
            </w:r>
            <w:r w:rsidRPr="00613162">
              <w:rPr>
                <w:sz w:val="20"/>
              </w:rPr>
              <w:noBreakHyphen/>
              <w:t>represented status by the lower courts — What duties are owed by the court and the Crown to assist self</w:t>
            </w:r>
            <w:r w:rsidRPr="00613162">
              <w:rPr>
                <w:sz w:val="20"/>
              </w:rPr>
              <w:noBreakHyphen/>
              <w:t xml:space="preserve">represented litigants — Whether the motive for bringing an application is a relevant factor — Whether there is an obligation to reconsider </w:t>
            </w:r>
            <w:r w:rsidRPr="00613162">
              <w:rPr>
                <w:i/>
                <w:sz w:val="20"/>
              </w:rPr>
              <w:t>Charter</w:t>
            </w:r>
            <w:r w:rsidRPr="00613162">
              <w:rPr>
                <w:sz w:val="20"/>
              </w:rPr>
              <w:t xml:space="preserve"> applications that have been summarily dismissed where there is a material change in circumstances and a </w:t>
            </w:r>
            <w:r w:rsidRPr="00613162">
              <w:rPr>
                <w:i/>
                <w:sz w:val="20"/>
              </w:rPr>
              <w:t>prima facie</w:t>
            </w:r>
            <w:r w:rsidRPr="00613162">
              <w:rPr>
                <w:sz w:val="20"/>
              </w:rPr>
              <w:t xml:space="preserve"> breach of the presumptive ceiling — Whether there are issues of public importance raised — s. 11(b) of the </w:t>
            </w:r>
            <w:r w:rsidRPr="00613162">
              <w:rPr>
                <w:i/>
                <w:sz w:val="20"/>
              </w:rPr>
              <w:t>Canadian Charter of Rights and Freedoms</w:t>
            </w:r>
            <w:r w:rsidRPr="00613162">
              <w:rPr>
                <w:sz w:val="20"/>
              </w:rPr>
              <w:t>.</w:t>
            </w:r>
          </w:p>
        </w:tc>
      </w:tr>
      <w:tr w:rsidR="00161A0A" w:rsidRPr="00613162" w:rsidTr="00F329CD">
        <w:trPr>
          <w:gridAfter w:val="1"/>
          <w:wAfter w:w="48" w:type="pct"/>
        </w:trPr>
        <w:tc>
          <w:tcPr>
            <w:tcW w:w="4952" w:type="pct"/>
            <w:gridSpan w:val="4"/>
          </w:tcPr>
          <w:p w:rsidR="00161A0A" w:rsidRPr="00613162" w:rsidRDefault="00161A0A" w:rsidP="00161A0A">
            <w:pPr>
              <w:jc w:val="both"/>
              <w:rPr>
                <w:sz w:val="20"/>
                <w:lang w:val="en"/>
              </w:rPr>
            </w:pPr>
          </w:p>
          <w:p w:rsidR="00161A0A" w:rsidRPr="00613162" w:rsidRDefault="00161A0A" w:rsidP="00161A0A">
            <w:pPr>
              <w:jc w:val="both"/>
              <w:rPr>
                <w:b/>
                <w:sz w:val="20"/>
                <w:lang w:val="en"/>
              </w:rPr>
            </w:pPr>
            <w:r w:rsidRPr="00613162">
              <w:rPr>
                <w:sz w:val="20"/>
                <w:lang w:val="en"/>
              </w:rPr>
              <w:t xml:space="preserve">The applicants, </w:t>
            </w:r>
            <w:r w:rsidRPr="00613162">
              <w:rPr>
                <w:sz w:val="20"/>
              </w:rPr>
              <w:t xml:space="preserve">Messrs. Kazman and Levy, were </w:t>
            </w:r>
            <w:r w:rsidRPr="00613162">
              <w:rPr>
                <w:sz w:val="20"/>
                <w:lang w:val="en"/>
              </w:rPr>
              <w:t xml:space="preserve">convicted of </w:t>
            </w:r>
            <w:r w:rsidRPr="00613162">
              <w:rPr>
                <w:sz w:val="20"/>
              </w:rPr>
              <w:t xml:space="preserve">five counts of fraud, one count of laundering the proceeds of the frauds, and one count of committing the fraud for the benefit of a criminal organization. The </w:t>
            </w:r>
            <w:r w:rsidRPr="00613162">
              <w:rPr>
                <w:sz w:val="20"/>
                <w:lang w:val="en"/>
              </w:rPr>
              <w:t xml:space="preserve">grounds of appeal included whether the trial judge had erred in summarily dismissing the s. 11(b) </w:t>
            </w:r>
            <w:r w:rsidRPr="00613162">
              <w:rPr>
                <w:i/>
                <w:iCs/>
                <w:sz w:val="20"/>
                <w:lang w:val="en"/>
              </w:rPr>
              <w:t>Charter</w:t>
            </w:r>
            <w:r w:rsidRPr="00613162">
              <w:rPr>
                <w:sz w:val="20"/>
                <w:lang w:val="en"/>
              </w:rPr>
              <w:t xml:space="preserve"> </w:t>
            </w:r>
            <w:r w:rsidRPr="00613162">
              <w:rPr>
                <w:sz w:val="20"/>
              </w:rPr>
              <w:t xml:space="preserve">(right to be tried within a reasonable time) </w:t>
            </w:r>
            <w:r w:rsidRPr="00613162">
              <w:rPr>
                <w:sz w:val="20"/>
                <w:lang w:val="en"/>
              </w:rPr>
              <w:t xml:space="preserve">applications. </w:t>
            </w:r>
            <w:r w:rsidRPr="00613162">
              <w:rPr>
                <w:sz w:val="20"/>
              </w:rPr>
              <w:t>The Court of Appeal dismissed the applicants’ conviction and sentence appeals.</w:t>
            </w:r>
            <w:r w:rsidRPr="00613162">
              <w:rPr>
                <w:color w:val="000000"/>
                <w:sz w:val="20"/>
              </w:rPr>
              <w:t xml:space="preserve"> </w:t>
            </w:r>
          </w:p>
        </w:tc>
      </w:tr>
      <w:tr w:rsidR="00161A0A" w:rsidRPr="00613162" w:rsidTr="00F329CD">
        <w:trPr>
          <w:gridAfter w:val="1"/>
          <w:wAfter w:w="48" w:type="pct"/>
        </w:trPr>
        <w:tc>
          <w:tcPr>
            <w:tcW w:w="4952" w:type="pct"/>
            <w:gridSpan w:val="4"/>
          </w:tcPr>
          <w:p w:rsidR="00161A0A" w:rsidRPr="00613162" w:rsidRDefault="00161A0A" w:rsidP="00161A0A">
            <w:pPr>
              <w:jc w:val="both"/>
              <w:rPr>
                <w:sz w:val="20"/>
              </w:rPr>
            </w:pPr>
          </w:p>
        </w:tc>
      </w:tr>
      <w:tr w:rsidR="00161A0A" w:rsidRPr="00613162" w:rsidTr="00F329CD">
        <w:tblPrEx>
          <w:tblCellMar>
            <w:bottom w:w="0" w:type="dxa"/>
          </w:tblCellMar>
        </w:tblPrEx>
        <w:tc>
          <w:tcPr>
            <w:tcW w:w="2367" w:type="pct"/>
            <w:gridSpan w:val="2"/>
          </w:tcPr>
          <w:p w:rsidR="00161A0A" w:rsidRPr="00613162" w:rsidRDefault="00161A0A" w:rsidP="00161A0A">
            <w:pPr>
              <w:jc w:val="both"/>
              <w:rPr>
                <w:sz w:val="20"/>
              </w:rPr>
            </w:pPr>
            <w:r w:rsidRPr="00613162">
              <w:rPr>
                <w:sz w:val="20"/>
              </w:rPr>
              <w:t>September 8, 2017</w:t>
            </w:r>
          </w:p>
          <w:p w:rsidR="00161A0A" w:rsidRPr="00613162" w:rsidRDefault="00161A0A" w:rsidP="00161A0A">
            <w:pPr>
              <w:jc w:val="both"/>
              <w:rPr>
                <w:sz w:val="20"/>
              </w:rPr>
            </w:pPr>
            <w:r w:rsidRPr="00613162">
              <w:rPr>
                <w:sz w:val="20"/>
              </w:rPr>
              <w:t>Ontario Superior Court of Justice</w:t>
            </w:r>
          </w:p>
          <w:p w:rsidR="00161A0A" w:rsidRPr="00613162" w:rsidRDefault="00161A0A" w:rsidP="00161A0A">
            <w:pPr>
              <w:jc w:val="both"/>
              <w:rPr>
                <w:sz w:val="20"/>
              </w:rPr>
            </w:pPr>
            <w:r w:rsidRPr="00613162">
              <w:rPr>
                <w:sz w:val="20"/>
              </w:rPr>
              <w:t>(Spies J.)</w:t>
            </w:r>
          </w:p>
          <w:p w:rsidR="00161A0A" w:rsidRPr="00613162" w:rsidRDefault="00161A0A" w:rsidP="00161A0A">
            <w:pPr>
              <w:jc w:val="both"/>
              <w:rPr>
                <w:sz w:val="20"/>
              </w:rPr>
            </w:pPr>
            <w:hyperlink r:id="rId11" w:history="1">
              <w:r w:rsidRPr="00613162">
                <w:rPr>
                  <w:rStyle w:val="Hyperlink"/>
                  <w:sz w:val="20"/>
                </w:rPr>
                <w:t>2017 ONSC 5300</w:t>
              </w:r>
            </w:hyperlink>
            <w:r w:rsidRPr="00613162">
              <w:rPr>
                <w:sz w:val="20"/>
              </w:rPr>
              <w:t xml:space="preserve"> </w:t>
            </w:r>
          </w:p>
          <w:p w:rsidR="00161A0A" w:rsidRPr="00613162" w:rsidRDefault="00161A0A" w:rsidP="00161A0A">
            <w:pPr>
              <w:jc w:val="both"/>
              <w:rPr>
                <w:sz w:val="20"/>
              </w:rPr>
            </w:pPr>
          </w:p>
        </w:tc>
        <w:tc>
          <w:tcPr>
            <w:tcW w:w="267" w:type="pct"/>
          </w:tcPr>
          <w:p w:rsidR="00161A0A" w:rsidRPr="00613162" w:rsidRDefault="00161A0A" w:rsidP="00161A0A">
            <w:pPr>
              <w:jc w:val="both"/>
              <w:rPr>
                <w:sz w:val="20"/>
              </w:rPr>
            </w:pPr>
          </w:p>
        </w:tc>
        <w:tc>
          <w:tcPr>
            <w:tcW w:w="2366" w:type="pct"/>
            <w:gridSpan w:val="2"/>
          </w:tcPr>
          <w:p w:rsidR="00161A0A" w:rsidRPr="00613162" w:rsidRDefault="00161A0A" w:rsidP="00161A0A">
            <w:pPr>
              <w:jc w:val="both"/>
              <w:rPr>
                <w:sz w:val="20"/>
              </w:rPr>
            </w:pPr>
            <w:r w:rsidRPr="00613162">
              <w:rPr>
                <w:sz w:val="20"/>
              </w:rPr>
              <w:t>Applicants’ convictions entered: five counts of fraud, one count of laundering the proceeds of the frauds, and one count of committing the fraud for the benefit of a criminal organization</w:t>
            </w:r>
          </w:p>
          <w:p w:rsidR="00161A0A" w:rsidRPr="00613162" w:rsidRDefault="00161A0A" w:rsidP="00161A0A">
            <w:pPr>
              <w:jc w:val="both"/>
              <w:rPr>
                <w:sz w:val="20"/>
              </w:rPr>
            </w:pPr>
          </w:p>
          <w:p w:rsidR="00161A0A" w:rsidRPr="00613162" w:rsidRDefault="00161A0A" w:rsidP="00161A0A">
            <w:pPr>
              <w:jc w:val="both"/>
              <w:rPr>
                <w:sz w:val="20"/>
              </w:rPr>
            </w:pPr>
          </w:p>
        </w:tc>
      </w:tr>
      <w:tr w:rsidR="00161A0A" w:rsidRPr="00613162" w:rsidTr="00F329CD">
        <w:tblPrEx>
          <w:tblCellMar>
            <w:bottom w:w="0" w:type="dxa"/>
          </w:tblCellMar>
        </w:tblPrEx>
        <w:tc>
          <w:tcPr>
            <w:tcW w:w="2367" w:type="pct"/>
            <w:gridSpan w:val="2"/>
          </w:tcPr>
          <w:p w:rsidR="00161A0A" w:rsidRPr="00613162" w:rsidRDefault="00161A0A" w:rsidP="00161A0A">
            <w:pPr>
              <w:jc w:val="both"/>
              <w:rPr>
                <w:sz w:val="20"/>
              </w:rPr>
            </w:pPr>
            <w:r w:rsidRPr="00613162">
              <w:rPr>
                <w:sz w:val="20"/>
              </w:rPr>
              <w:t>April 12, 2018</w:t>
            </w:r>
          </w:p>
          <w:p w:rsidR="00161A0A" w:rsidRPr="00613162" w:rsidRDefault="00161A0A" w:rsidP="00161A0A">
            <w:pPr>
              <w:jc w:val="both"/>
              <w:rPr>
                <w:sz w:val="20"/>
              </w:rPr>
            </w:pPr>
            <w:r w:rsidRPr="00613162">
              <w:rPr>
                <w:sz w:val="20"/>
              </w:rPr>
              <w:t>Ontario Superior Court of Justice</w:t>
            </w:r>
          </w:p>
          <w:p w:rsidR="00161A0A" w:rsidRPr="00613162" w:rsidRDefault="00161A0A" w:rsidP="00161A0A">
            <w:pPr>
              <w:jc w:val="both"/>
              <w:rPr>
                <w:sz w:val="20"/>
              </w:rPr>
            </w:pPr>
            <w:r w:rsidRPr="00613162">
              <w:rPr>
                <w:sz w:val="20"/>
              </w:rPr>
              <w:t>(Spies J.)</w:t>
            </w:r>
          </w:p>
          <w:p w:rsidR="00161A0A" w:rsidRPr="00613162" w:rsidRDefault="00161A0A" w:rsidP="00161A0A">
            <w:pPr>
              <w:jc w:val="both"/>
              <w:rPr>
                <w:sz w:val="20"/>
              </w:rPr>
            </w:pPr>
            <w:hyperlink r:id="rId12" w:history="1">
              <w:r w:rsidRPr="00613162">
                <w:rPr>
                  <w:rStyle w:val="Hyperlink"/>
                  <w:sz w:val="20"/>
                </w:rPr>
                <w:t>2018 ONSC 2332</w:t>
              </w:r>
            </w:hyperlink>
            <w:r w:rsidRPr="00613162">
              <w:rPr>
                <w:sz w:val="20"/>
              </w:rPr>
              <w:t xml:space="preserve"> </w:t>
            </w:r>
          </w:p>
          <w:p w:rsidR="00161A0A" w:rsidRPr="00613162" w:rsidRDefault="00161A0A" w:rsidP="00161A0A">
            <w:pPr>
              <w:jc w:val="both"/>
              <w:rPr>
                <w:sz w:val="20"/>
              </w:rPr>
            </w:pPr>
          </w:p>
        </w:tc>
        <w:tc>
          <w:tcPr>
            <w:tcW w:w="267" w:type="pct"/>
          </w:tcPr>
          <w:p w:rsidR="00161A0A" w:rsidRPr="00613162" w:rsidRDefault="00161A0A" w:rsidP="00161A0A">
            <w:pPr>
              <w:jc w:val="both"/>
              <w:rPr>
                <w:sz w:val="20"/>
              </w:rPr>
            </w:pPr>
          </w:p>
        </w:tc>
        <w:tc>
          <w:tcPr>
            <w:tcW w:w="2366" w:type="pct"/>
            <w:gridSpan w:val="2"/>
          </w:tcPr>
          <w:p w:rsidR="00161A0A" w:rsidRPr="00613162" w:rsidRDefault="00161A0A" w:rsidP="00161A0A">
            <w:pPr>
              <w:jc w:val="both"/>
              <w:rPr>
                <w:sz w:val="20"/>
              </w:rPr>
            </w:pPr>
            <w:r w:rsidRPr="00613162">
              <w:rPr>
                <w:sz w:val="20"/>
              </w:rPr>
              <w:t>Sentence imposed: seven years’ imprisonment for Mr. Kazman; eight years’ imprisonment for Mr. Levy; restitution ordered</w:t>
            </w:r>
          </w:p>
          <w:p w:rsidR="00161A0A" w:rsidRPr="00613162" w:rsidRDefault="00161A0A" w:rsidP="00161A0A">
            <w:pPr>
              <w:jc w:val="both"/>
              <w:rPr>
                <w:sz w:val="20"/>
              </w:rPr>
            </w:pPr>
          </w:p>
        </w:tc>
      </w:tr>
      <w:tr w:rsidR="00161A0A" w:rsidRPr="00613162" w:rsidTr="00F329CD">
        <w:tblPrEx>
          <w:tblCellMar>
            <w:bottom w:w="0" w:type="dxa"/>
          </w:tblCellMar>
        </w:tblPrEx>
        <w:tc>
          <w:tcPr>
            <w:tcW w:w="2367" w:type="pct"/>
            <w:gridSpan w:val="2"/>
          </w:tcPr>
          <w:p w:rsidR="00161A0A" w:rsidRPr="00613162" w:rsidRDefault="00161A0A" w:rsidP="00161A0A">
            <w:pPr>
              <w:jc w:val="both"/>
              <w:rPr>
                <w:sz w:val="20"/>
              </w:rPr>
            </w:pPr>
            <w:r w:rsidRPr="00613162">
              <w:rPr>
                <w:sz w:val="20"/>
              </w:rPr>
              <w:t>January 16, 2020</w:t>
            </w:r>
          </w:p>
          <w:p w:rsidR="00161A0A" w:rsidRPr="00613162" w:rsidRDefault="00161A0A" w:rsidP="00161A0A">
            <w:pPr>
              <w:jc w:val="both"/>
              <w:rPr>
                <w:sz w:val="20"/>
              </w:rPr>
            </w:pPr>
            <w:r w:rsidRPr="00613162">
              <w:rPr>
                <w:sz w:val="20"/>
              </w:rPr>
              <w:t>Court of Appeal for Ontario</w:t>
            </w:r>
          </w:p>
          <w:p w:rsidR="00161A0A" w:rsidRPr="00613162" w:rsidRDefault="00161A0A" w:rsidP="00161A0A">
            <w:pPr>
              <w:jc w:val="both"/>
              <w:rPr>
                <w:sz w:val="20"/>
              </w:rPr>
            </w:pPr>
            <w:r w:rsidRPr="00613162">
              <w:rPr>
                <w:sz w:val="20"/>
              </w:rPr>
              <w:t>(Doherty, van Rensburg, Hourigan JJ.A.)</w:t>
            </w:r>
          </w:p>
          <w:p w:rsidR="00161A0A" w:rsidRPr="00613162" w:rsidRDefault="00161A0A" w:rsidP="00161A0A">
            <w:pPr>
              <w:jc w:val="both"/>
              <w:rPr>
                <w:sz w:val="20"/>
              </w:rPr>
            </w:pPr>
            <w:hyperlink r:id="rId13" w:history="1">
              <w:r w:rsidRPr="00613162">
                <w:rPr>
                  <w:rStyle w:val="Hyperlink"/>
                  <w:sz w:val="20"/>
                </w:rPr>
                <w:t>2020 ONCA 22</w:t>
              </w:r>
            </w:hyperlink>
            <w:r w:rsidRPr="00613162">
              <w:rPr>
                <w:sz w:val="20"/>
              </w:rPr>
              <w:t>; C65212;C65224</w:t>
            </w:r>
          </w:p>
          <w:p w:rsidR="00161A0A" w:rsidRPr="00613162" w:rsidRDefault="00161A0A" w:rsidP="00161A0A">
            <w:pPr>
              <w:jc w:val="both"/>
              <w:rPr>
                <w:sz w:val="20"/>
              </w:rPr>
            </w:pPr>
          </w:p>
        </w:tc>
        <w:tc>
          <w:tcPr>
            <w:tcW w:w="267" w:type="pct"/>
          </w:tcPr>
          <w:p w:rsidR="00161A0A" w:rsidRPr="00613162" w:rsidRDefault="00161A0A" w:rsidP="00161A0A">
            <w:pPr>
              <w:jc w:val="both"/>
              <w:rPr>
                <w:sz w:val="20"/>
              </w:rPr>
            </w:pPr>
          </w:p>
        </w:tc>
        <w:tc>
          <w:tcPr>
            <w:tcW w:w="2366" w:type="pct"/>
            <w:gridSpan w:val="2"/>
          </w:tcPr>
          <w:p w:rsidR="00161A0A" w:rsidRPr="00613162" w:rsidRDefault="00161A0A" w:rsidP="00161A0A">
            <w:pPr>
              <w:jc w:val="both"/>
              <w:rPr>
                <w:sz w:val="20"/>
              </w:rPr>
            </w:pPr>
            <w:r w:rsidRPr="00613162">
              <w:rPr>
                <w:sz w:val="20"/>
              </w:rPr>
              <w:t>Conviction and sentence appeals dismissed</w:t>
            </w:r>
          </w:p>
          <w:p w:rsidR="00161A0A" w:rsidRPr="00613162" w:rsidRDefault="00161A0A" w:rsidP="00161A0A">
            <w:pPr>
              <w:jc w:val="both"/>
              <w:rPr>
                <w:sz w:val="20"/>
              </w:rPr>
            </w:pPr>
          </w:p>
        </w:tc>
      </w:tr>
      <w:tr w:rsidR="00161A0A" w:rsidRPr="00613162" w:rsidTr="00F329CD">
        <w:tblPrEx>
          <w:tblCellMar>
            <w:bottom w:w="0" w:type="dxa"/>
          </w:tblCellMar>
        </w:tblPrEx>
        <w:tc>
          <w:tcPr>
            <w:tcW w:w="2367" w:type="pct"/>
            <w:gridSpan w:val="2"/>
          </w:tcPr>
          <w:p w:rsidR="00161A0A" w:rsidRPr="00613162" w:rsidRDefault="00161A0A" w:rsidP="00161A0A">
            <w:pPr>
              <w:jc w:val="both"/>
              <w:rPr>
                <w:sz w:val="20"/>
              </w:rPr>
            </w:pPr>
            <w:r w:rsidRPr="00613162">
              <w:rPr>
                <w:sz w:val="20"/>
              </w:rPr>
              <w:t>February 14, 2020</w:t>
            </w:r>
          </w:p>
          <w:p w:rsidR="00161A0A" w:rsidRPr="00613162" w:rsidRDefault="00161A0A" w:rsidP="00161A0A">
            <w:pPr>
              <w:jc w:val="both"/>
              <w:rPr>
                <w:sz w:val="20"/>
              </w:rPr>
            </w:pPr>
            <w:r w:rsidRPr="00613162">
              <w:rPr>
                <w:sz w:val="20"/>
              </w:rPr>
              <w:t>Supreme Court of Canada</w:t>
            </w:r>
          </w:p>
          <w:p w:rsidR="00161A0A" w:rsidRPr="00613162" w:rsidRDefault="00161A0A" w:rsidP="00161A0A">
            <w:pPr>
              <w:jc w:val="both"/>
              <w:rPr>
                <w:sz w:val="20"/>
              </w:rPr>
            </w:pPr>
          </w:p>
        </w:tc>
        <w:tc>
          <w:tcPr>
            <w:tcW w:w="267" w:type="pct"/>
          </w:tcPr>
          <w:p w:rsidR="00161A0A" w:rsidRPr="00613162" w:rsidRDefault="00161A0A" w:rsidP="00161A0A">
            <w:pPr>
              <w:jc w:val="both"/>
              <w:rPr>
                <w:sz w:val="20"/>
              </w:rPr>
            </w:pPr>
          </w:p>
        </w:tc>
        <w:tc>
          <w:tcPr>
            <w:tcW w:w="2366" w:type="pct"/>
            <w:gridSpan w:val="2"/>
          </w:tcPr>
          <w:p w:rsidR="00161A0A" w:rsidRPr="00613162" w:rsidRDefault="00161A0A" w:rsidP="00161A0A">
            <w:pPr>
              <w:jc w:val="both"/>
              <w:rPr>
                <w:sz w:val="20"/>
              </w:rPr>
            </w:pPr>
            <w:r w:rsidRPr="00613162">
              <w:rPr>
                <w:sz w:val="20"/>
              </w:rPr>
              <w:t>Mr. </w:t>
            </w:r>
            <w:proofErr w:type="spellStart"/>
            <w:r w:rsidRPr="00613162">
              <w:rPr>
                <w:sz w:val="20"/>
              </w:rPr>
              <w:t>Kazman’s</w:t>
            </w:r>
            <w:proofErr w:type="spellEnd"/>
            <w:r w:rsidRPr="00613162">
              <w:rPr>
                <w:sz w:val="20"/>
              </w:rPr>
              <w:t xml:space="preserve"> application for leave to appeal filed</w:t>
            </w:r>
          </w:p>
          <w:p w:rsidR="00161A0A" w:rsidRPr="00613162" w:rsidRDefault="00161A0A" w:rsidP="00161A0A">
            <w:pPr>
              <w:jc w:val="both"/>
              <w:rPr>
                <w:sz w:val="20"/>
              </w:rPr>
            </w:pPr>
          </w:p>
        </w:tc>
      </w:tr>
      <w:tr w:rsidR="00161A0A" w:rsidRPr="00613162" w:rsidTr="00F329CD">
        <w:tblPrEx>
          <w:tblCellMar>
            <w:bottom w:w="0" w:type="dxa"/>
          </w:tblCellMar>
        </w:tblPrEx>
        <w:tc>
          <w:tcPr>
            <w:tcW w:w="2367" w:type="pct"/>
            <w:gridSpan w:val="2"/>
          </w:tcPr>
          <w:p w:rsidR="00161A0A" w:rsidRPr="00613162" w:rsidRDefault="00161A0A" w:rsidP="00161A0A">
            <w:pPr>
              <w:jc w:val="both"/>
              <w:rPr>
                <w:sz w:val="20"/>
              </w:rPr>
            </w:pPr>
            <w:r w:rsidRPr="00613162">
              <w:rPr>
                <w:sz w:val="20"/>
              </w:rPr>
              <w:t>May 6, 2020</w:t>
            </w:r>
          </w:p>
          <w:p w:rsidR="00161A0A" w:rsidRPr="00613162" w:rsidRDefault="00161A0A" w:rsidP="00161A0A">
            <w:pPr>
              <w:jc w:val="both"/>
              <w:rPr>
                <w:sz w:val="20"/>
              </w:rPr>
            </w:pPr>
            <w:r w:rsidRPr="00613162">
              <w:rPr>
                <w:sz w:val="20"/>
              </w:rPr>
              <w:t>Supreme Court of Canada</w:t>
            </w:r>
          </w:p>
          <w:p w:rsidR="00161A0A" w:rsidRPr="00613162" w:rsidRDefault="00161A0A" w:rsidP="00161A0A">
            <w:pPr>
              <w:jc w:val="both"/>
              <w:rPr>
                <w:sz w:val="20"/>
              </w:rPr>
            </w:pPr>
          </w:p>
        </w:tc>
        <w:tc>
          <w:tcPr>
            <w:tcW w:w="267" w:type="pct"/>
          </w:tcPr>
          <w:p w:rsidR="00161A0A" w:rsidRPr="00613162" w:rsidRDefault="00161A0A" w:rsidP="00161A0A">
            <w:pPr>
              <w:jc w:val="both"/>
              <w:rPr>
                <w:sz w:val="20"/>
              </w:rPr>
            </w:pPr>
          </w:p>
        </w:tc>
        <w:tc>
          <w:tcPr>
            <w:tcW w:w="2366" w:type="pct"/>
            <w:gridSpan w:val="2"/>
          </w:tcPr>
          <w:p w:rsidR="00161A0A" w:rsidRPr="00613162" w:rsidRDefault="00161A0A" w:rsidP="00161A0A">
            <w:pPr>
              <w:jc w:val="both"/>
              <w:rPr>
                <w:sz w:val="20"/>
              </w:rPr>
            </w:pPr>
            <w:r w:rsidRPr="00613162">
              <w:rPr>
                <w:sz w:val="20"/>
              </w:rPr>
              <w:t>Mr. Levy’s motion for an extension of time to serve and file the application for leave to appeal and application for leave to appeal filed</w:t>
            </w:r>
          </w:p>
        </w:tc>
      </w:tr>
    </w:tbl>
    <w:p w:rsidR="00161A0A" w:rsidRPr="00613162" w:rsidRDefault="00161A0A" w:rsidP="00161A0A">
      <w:pPr>
        <w:jc w:val="both"/>
        <w:rPr>
          <w:sz w:val="20"/>
        </w:rPr>
      </w:pPr>
    </w:p>
    <w:p w:rsidR="00767D1B" w:rsidRPr="00613162" w:rsidRDefault="00767D1B" w:rsidP="00161A0A">
      <w:pPr>
        <w:jc w:val="both"/>
        <w:rPr>
          <w:sz w:val="20"/>
        </w:rPr>
      </w:pPr>
      <w:r w:rsidRPr="00613162">
        <w:rPr>
          <w:sz w:val="20"/>
        </w:rPr>
        <w:pict>
          <v:rect id="_x0000_i1028" style="width:2in;height:1pt" o:hrpct="0" o:hralign="center" o:hrstd="t" o:hrnoshade="t" o:hr="t" fillcolor="black [3213]" stroked="f"/>
        </w:pict>
      </w:r>
    </w:p>
    <w:p w:rsidR="00767D1B" w:rsidRPr="00613162" w:rsidRDefault="00767D1B" w:rsidP="00161A0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161A0A" w:rsidRPr="00613162" w:rsidTr="00F329CD">
        <w:trPr>
          <w:gridAfter w:val="1"/>
          <w:wAfter w:w="48" w:type="pct"/>
        </w:trPr>
        <w:tc>
          <w:tcPr>
            <w:tcW w:w="537" w:type="pct"/>
          </w:tcPr>
          <w:p w:rsidR="00161A0A" w:rsidRPr="00613162" w:rsidRDefault="00161A0A" w:rsidP="00161A0A">
            <w:pPr>
              <w:jc w:val="both"/>
              <w:rPr>
                <w:sz w:val="20"/>
                <w:lang w:val="fr-CA"/>
              </w:rPr>
            </w:pPr>
            <w:r w:rsidRPr="00613162">
              <w:rPr>
                <w:rStyle w:val="SCCFileNumberChar"/>
                <w:sz w:val="20"/>
                <w:szCs w:val="20"/>
                <w:lang w:val="fr-CA"/>
              </w:rPr>
              <w:t>39077</w:t>
            </w:r>
          </w:p>
        </w:tc>
        <w:tc>
          <w:tcPr>
            <w:tcW w:w="4415" w:type="pct"/>
            <w:gridSpan w:val="3"/>
          </w:tcPr>
          <w:p w:rsidR="00161A0A" w:rsidRPr="00613162" w:rsidRDefault="00161A0A" w:rsidP="00161A0A">
            <w:pPr>
              <w:jc w:val="both"/>
              <w:rPr>
                <w:b/>
                <w:sz w:val="20"/>
                <w:lang w:val="fr-CA"/>
              </w:rPr>
            </w:pPr>
            <w:r w:rsidRPr="00613162">
              <w:rPr>
                <w:b/>
                <w:sz w:val="20"/>
                <w:lang w:val="fr-CA"/>
              </w:rPr>
              <w:t xml:space="preserve">Marshall Kazman c. Sa Majesté la Reine </w:t>
            </w:r>
          </w:p>
          <w:p w:rsidR="00161A0A" w:rsidRPr="00613162" w:rsidRDefault="00161A0A" w:rsidP="00161A0A">
            <w:pPr>
              <w:jc w:val="both"/>
              <w:rPr>
                <w:b/>
                <w:sz w:val="20"/>
                <w:lang w:val="fr-CA"/>
              </w:rPr>
            </w:pPr>
            <w:r w:rsidRPr="00613162">
              <w:rPr>
                <w:b/>
                <w:sz w:val="20"/>
                <w:lang w:val="fr-CA"/>
              </w:rPr>
              <w:t xml:space="preserve">- et entre – </w:t>
            </w:r>
          </w:p>
          <w:p w:rsidR="00161A0A" w:rsidRPr="00613162" w:rsidRDefault="00161A0A" w:rsidP="00161A0A">
            <w:pPr>
              <w:jc w:val="both"/>
              <w:rPr>
                <w:b/>
                <w:sz w:val="20"/>
                <w:lang w:val="fr-CA"/>
              </w:rPr>
            </w:pPr>
            <w:r w:rsidRPr="00613162">
              <w:rPr>
                <w:b/>
                <w:sz w:val="20"/>
                <w:lang w:val="fr-CA"/>
              </w:rPr>
              <w:t>Gad Levy c. Sa Majesté la Reine</w:t>
            </w:r>
          </w:p>
          <w:p w:rsidR="00161A0A" w:rsidRPr="00613162" w:rsidRDefault="00161A0A" w:rsidP="00161A0A">
            <w:pPr>
              <w:jc w:val="both"/>
              <w:rPr>
                <w:sz w:val="20"/>
                <w:lang w:val="fr-CA"/>
              </w:rPr>
            </w:pPr>
            <w:r w:rsidRPr="00613162">
              <w:rPr>
                <w:sz w:val="20"/>
                <w:lang w:val="fr-CA"/>
              </w:rPr>
              <w:t>(Ont.) (Criminelle) (Autorisation)</w:t>
            </w:r>
          </w:p>
        </w:tc>
      </w:tr>
      <w:tr w:rsidR="00161A0A" w:rsidRPr="00613162" w:rsidTr="00F329CD">
        <w:trPr>
          <w:gridAfter w:val="1"/>
          <w:wAfter w:w="48" w:type="pct"/>
        </w:trPr>
        <w:tc>
          <w:tcPr>
            <w:tcW w:w="4952" w:type="pct"/>
            <w:gridSpan w:val="4"/>
          </w:tcPr>
          <w:p w:rsidR="00161A0A" w:rsidRPr="00613162" w:rsidRDefault="00161A0A" w:rsidP="00161A0A">
            <w:pPr>
              <w:jc w:val="both"/>
              <w:rPr>
                <w:sz w:val="20"/>
                <w:lang w:val="fr-CA"/>
              </w:rPr>
            </w:pPr>
            <w:r w:rsidRPr="00613162">
              <w:rPr>
                <w:i/>
                <w:sz w:val="20"/>
                <w:lang w:val="fr-CA"/>
              </w:rPr>
              <w:t>Charte des droits</w:t>
            </w:r>
            <w:r w:rsidRPr="00613162">
              <w:rPr>
                <w:sz w:val="20"/>
                <w:lang w:val="fr-CA"/>
              </w:rPr>
              <w:t xml:space="preserve"> — Procès dans un délai raisonnable — Droit criminel — Demandes fondées sur l’al. 11b) de la </w:t>
            </w:r>
            <w:r w:rsidRPr="00613162">
              <w:rPr>
                <w:i/>
                <w:sz w:val="20"/>
                <w:lang w:val="fr-CA"/>
              </w:rPr>
              <w:t>Charte</w:t>
            </w:r>
            <w:r w:rsidRPr="00613162">
              <w:rPr>
                <w:sz w:val="20"/>
                <w:lang w:val="fr-CA"/>
              </w:rPr>
              <w:t xml:space="preserve"> sommairement rejetées — La juge de première instance a</w:t>
            </w:r>
            <w:r w:rsidRPr="00613162">
              <w:rPr>
                <w:sz w:val="20"/>
                <w:lang w:val="fr-CA"/>
              </w:rPr>
              <w:noBreakHyphen/>
              <w:t>t</w:t>
            </w:r>
            <w:r w:rsidRPr="00613162">
              <w:rPr>
                <w:sz w:val="20"/>
                <w:lang w:val="fr-CA"/>
              </w:rPr>
              <w:noBreakHyphen/>
              <w:t xml:space="preserve">elle eu tort de rejeter les demandes fondées sur l’al. 11b) de la </w:t>
            </w:r>
            <w:r w:rsidRPr="00613162">
              <w:rPr>
                <w:i/>
                <w:sz w:val="20"/>
                <w:lang w:val="fr-CA"/>
              </w:rPr>
              <w:t>Charte</w:t>
            </w:r>
            <w:r w:rsidRPr="00613162">
              <w:rPr>
                <w:sz w:val="20"/>
                <w:lang w:val="fr-CA"/>
              </w:rPr>
              <w:t>? — La Cour d’appel a</w:t>
            </w:r>
            <w:r w:rsidRPr="00613162">
              <w:rPr>
                <w:sz w:val="20"/>
                <w:lang w:val="fr-CA"/>
              </w:rPr>
              <w:noBreakHyphen/>
              <w:t>t</w:t>
            </w:r>
            <w:r w:rsidRPr="00613162">
              <w:rPr>
                <w:sz w:val="20"/>
                <w:lang w:val="fr-CA"/>
              </w:rPr>
              <w:noBreakHyphen/>
              <w:t>elle commis une erreur? — Facteurs à prendre en compte dans l’évaluation de la question de savoir si la juge de première instance a commis une erreur et portée des obligations du ministère public — Prise en compte par les juridictions inférieures du fait que les demandeurs sont des plaideurs non représentés — Quelles obligations ont le tribunal et le ministère public d’aider les plaideurs non représentés? — Ce qui motive à présenter une demande est</w:t>
            </w:r>
            <w:r w:rsidRPr="00613162">
              <w:rPr>
                <w:sz w:val="20"/>
                <w:lang w:val="fr-CA"/>
              </w:rPr>
              <w:noBreakHyphen/>
              <w:t>il un facteur pertinent? — Y a</w:t>
            </w:r>
            <w:r w:rsidRPr="00613162">
              <w:rPr>
                <w:sz w:val="20"/>
                <w:lang w:val="fr-CA"/>
              </w:rPr>
              <w:noBreakHyphen/>
              <w:t>t</w:t>
            </w:r>
            <w:r w:rsidRPr="00613162">
              <w:rPr>
                <w:sz w:val="20"/>
                <w:lang w:val="fr-CA"/>
              </w:rPr>
              <w:noBreakHyphen/>
              <w:t xml:space="preserve">il une obligation de réexaminer des demandes fondées sur la </w:t>
            </w:r>
            <w:r w:rsidRPr="00613162">
              <w:rPr>
                <w:i/>
                <w:sz w:val="20"/>
                <w:lang w:val="fr-CA"/>
              </w:rPr>
              <w:t>Charte</w:t>
            </w:r>
            <w:r w:rsidRPr="00613162">
              <w:rPr>
                <w:sz w:val="20"/>
                <w:lang w:val="fr-CA"/>
              </w:rPr>
              <w:t xml:space="preserve"> qui ont été sommairement rejetées lorsqu’il y a un changement important de circonstances et une violation </w:t>
            </w:r>
            <w:r w:rsidRPr="00613162">
              <w:rPr>
                <w:i/>
                <w:sz w:val="20"/>
                <w:lang w:val="fr-CA"/>
              </w:rPr>
              <w:t xml:space="preserve">prima </w:t>
            </w:r>
            <w:proofErr w:type="spellStart"/>
            <w:r w:rsidRPr="00613162">
              <w:rPr>
                <w:i/>
                <w:sz w:val="20"/>
                <w:lang w:val="fr-CA"/>
              </w:rPr>
              <w:t>facie</w:t>
            </w:r>
            <w:proofErr w:type="spellEnd"/>
            <w:r w:rsidRPr="00613162">
              <w:rPr>
                <w:sz w:val="20"/>
                <w:lang w:val="fr-CA"/>
              </w:rPr>
              <w:t xml:space="preserve"> du plafond présumé? — L’affaire soulève</w:t>
            </w:r>
            <w:r w:rsidRPr="00613162">
              <w:rPr>
                <w:sz w:val="20"/>
                <w:lang w:val="fr-CA"/>
              </w:rPr>
              <w:noBreakHyphen/>
              <w:t>t</w:t>
            </w:r>
            <w:r w:rsidRPr="00613162">
              <w:rPr>
                <w:sz w:val="20"/>
                <w:lang w:val="fr-CA"/>
              </w:rPr>
              <w:noBreakHyphen/>
              <w:t xml:space="preserve">elle des questions d’importance pour le public? — Alinéa 11b) de la </w:t>
            </w:r>
            <w:r w:rsidRPr="00613162">
              <w:rPr>
                <w:i/>
                <w:sz w:val="20"/>
                <w:lang w:val="fr-CA"/>
              </w:rPr>
              <w:t>Charte canadienne des droits et libertés</w:t>
            </w:r>
            <w:r w:rsidRPr="00613162">
              <w:rPr>
                <w:sz w:val="20"/>
                <w:lang w:val="fr-CA"/>
              </w:rPr>
              <w:t>.</w:t>
            </w:r>
          </w:p>
        </w:tc>
      </w:tr>
      <w:tr w:rsidR="00161A0A" w:rsidRPr="00613162" w:rsidTr="00F329CD">
        <w:trPr>
          <w:gridAfter w:val="1"/>
          <w:wAfter w:w="48" w:type="pct"/>
        </w:trPr>
        <w:tc>
          <w:tcPr>
            <w:tcW w:w="4952" w:type="pct"/>
            <w:gridSpan w:val="4"/>
          </w:tcPr>
          <w:p w:rsidR="00161A0A" w:rsidRPr="00613162" w:rsidRDefault="00161A0A" w:rsidP="00161A0A">
            <w:pPr>
              <w:jc w:val="both"/>
              <w:rPr>
                <w:sz w:val="20"/>
                <w:lang w:val="fr-CA"/>
              </w:rPr>
            </w:pPr>
          </w:p>
          <w:p w:rsidR="00161A0A" w:rsidRPr="00613162" w:rsidRDefault="00161A0A" w:rsidP="00161A0A">
            <w:pPr>
              <w:jc w:val="both"/>
              <w:rPr>
                <w:b/>
                <w:sz w:val="20"/>
                <w:lang w:val="fr-CA"/>
              </w:rPr>
            </w:pPr>
            <w:r w:rsidRPr="00613162">
              <w:rPr>
                <w:sz w:val="20"/>
                <w:lang w:val="fr-CA"/>
              </w:rPr>
              <w:t xml:space="preserve">Les demandeurs, MM. Kazman et Levy, ont été déclarés coupables de cinq chefs d’accusation de fraude, d’un chef d’accusation de recyclage des produits des fraudes et d’un chef d’accusation de fraude au profit d’une organisation criminelle. Les motifs d’appel comprenaient la question de savoir si la juge de première instance avait eu tort de rejeter sommairement la demande fondée sur l’al. 11b) de la </w:t>
            </w:r>
            <w:r w:rsidRPr="00613162">
              <w:rPr>
                <w:i/>
                <w:iCs/>
                <w:sz w:val="20"/>
                <w:lang w:val="fr-CA"/>
              </w:rPr>
              <w:t>Charte</w:t>
            </w:r>
            <w:r w:rsidRPr="00613162">
              <w:rPr>
                <w:sz w:val="20"/>
                <w:lang w:val="fr-CA"/>
              </w:rPr>
              <w:t xml:space="preserve"> (procès dans un délai raisonnable). La Cour d’appel a rejeté les appels de la déclaration de culpabilité et des peines interjetés par les demandeurs.</w:t>
            </w:r>
            <w:r w:rsidRPr="00613162">
              <w:rPr>
                <w:color w:val="000000"/>
                <w:sz w:val="20"/>
                <w:lang w:val="fr-CA"/>
              </w:rPr>
              <w:t xml:space="preserve"> </w:t>
            </w:r>
          </w:p>
        </w:tc>
      </w:tr>
      <w:tr w:rsidR="00161A0A" w:rsidRPr="00613162" w:rsidTr="00F329CD">
        <w:trPr>
          <w:gridAfter w:val="1"/>
          <w:wAfter w:w="48" w:type="pct"/>
        </w:trPr>
        <w:tc>
          <w:tcPr>
            <w:tcW w:w="4952" w:type="pct"/>
            <w:gridSpan w:val="4"/>
          </w:tcPr>
          <w:p w:rsidR="00161A0A" w:rsidRPr="00613162" w:rsidRDefault="00161A0A" w:rsidP="00161A0A">
            <w:pPr>
              <w:jc w:val="both"/>
              <w:rPr>
                <w:sz w:val="20"/>
                <w:lang w:val="fr-CA"/>
              </w:rPr>
            </w:pPr>
          </w:p>
        </w:tc>
      </w:tr>
      <w:tr w:rsidR="00161A0A" w:rsidRPr="00613162" w:rsidTr="00F329CD">
        <w:tblPrEx>
          <w:tblCellMar>
            <w:bottom w:w="0" w:type="dxa"/>
          </w:tblCellMar>
        </w:tblPrEx>
        <w:tc>
          <w:tcPr>
            <w:tcW w:w="2367" w:type="pct"/>
            <w:gridSpan w:val="2"/>
          </w:tcPr>
          <w:p w:rsidR="00161A0A" w:rsidRPr="00613162" w:rsidRDefault="00161A0A" w:rsidP="00161A0A">
            <w:pPr>
              <w:jc w:val="both"/>
              <w:rPr>
                <w:sz w:val="20"/>
                <w:lang w:val="fr-CA"/>
              </w:rPr>
            </w:pPr>
            <w:r w:rsidRPr="00613162">
              <w:rPr>
                <w:sz w:val="20"/>
                <w:lang w:val="fr-CA"/>
              </w:rPr>
              <w:t>8 septembre 2017</w:t>
            </w:r>
          </w:p>
          <w:p w:rsidR="00161A0A" w:rsidRPr="00613162" w:rsidRDefault="00161A0A" w:rsidP="00161A0A">
            <w:pPr>
              <w:jc w:val="both"/>
              <w:rPr>
                <w:sz w:val="20"/>
                <w:lang w:val="fr-CA"/>
              </w:rPr>
            </w:pPr>
            <w:r w:rsidRPr="00613162">
              <w:rPr>
                <w:sz w:val="20"/>
                <w:lang w:val="fr-CA"/>
              </w:rPr>
              <w:t>Cour supérieure de justice de l’Ontario</w:t>
            </w:r>
          </w:p>
          <w:p w:rsidR="00161A0A" w:rsidRPr="00613162" w:rsidRDefault="00161A0A" w:rsidP="00161A0A">
            <w:pPr>
              <w:jc w:val="both"/>
              <w:rPr>
                <w:sz w:val="20"/>
                <w:lang w:val="fr-CA"/>
              </w:rPr>
            </w:pPr>
            <w:r w:rsidRPr="00613162">
              <w:rPr>
                <w:sz w:val="20"/>
                <w:lang w:val="fr-CA"/>
              </w:rPr>
              <w:t xml:space="preserve">(Juge </w:t>
            </w:r>
            <w:proofErr w:type="spellStart"/>
            <w:r w:rsidRPr="00613162">
              <w:rPr>
                <w:sz w:val="20"/>
                <w:lang w:val="fr-CA"/>
              </w:rPr>
              <w:t>Spies</w:t>
            </w:r>
            <w:proofErr w:type="spellEnd"/>
            <w:r w:rsidRPr="00613162">
              <w:rPr>
                <w:sz w:val="20"/>
                <w:lang w:val="fr-CA"/>
              </w:rPr>
              <w:t>)</w:t>
            </w:r>
          </w:p>
          <w:p w:rsidR="00161A0A" w:rsidRPr="00613162" w:rsidRDefault="00161A0A" w:rsidP="00161A0A">
            <w:pPr>
              <w:jc w:val="both"/>
              <w:rPr>
                <w:sz w:val="20"/>
                <w:lang w:val="fr-CA"/>
              </w:rPr>
            </w:pPr>
            <w:hyperlink r:id="rId14" w:history="1">
              <w:r w:rsidRPr="00613162">
                <w:rPr>
                  <w:rStyle w:val="Hyperlink"/>
                  <w:sz w:val="20"/>
                  <w:lang w:val="fr-CA"/>
                </w:rPr>
                <w:t>2017 ONSC 5300</w:t>
              </w:r>
            </w:hyperlink>
            <w:r w:rsidRPr="00613162">
              <w:rPr>
                <w:sz w:val="20"/>
                <w:lang w:val="fr-CA"/>
              </w:rPr>
              <w:t xml:space="preserve"> </w:t>
            </w:r>
          </w:p>
          <w:p w:rsidR="00161A0A" w:rsidRPr="00613162" w:rsidRDefault="00161A0A" w:rsidP="00161A0A">
            <w:pPr>
              <w:jc w:val="both"/>
              <w:rPr>
                <w:sz w:val="20"/>
                <w:lang w:val="fr-CA"/>
              </w:rPr>
            </w:pPr>
          </w:p>
        </w:tc>
        <w:tc>
          <w:tcPr>
            <w:tcW w:w="267" w:type="pct"/>
          </w:tcPr>
          <w:p w:rsidR="00161A0A" w:rsidRPr="00613162" w:rsidRDefault="00161A0A" w:rsidP="00161A0A">
            <w:pPr>
              <w:jc w:val="both"/>
              <w:rPr>
                <w:sz w:val="20"/>
                <w:lang w:val="fr-CA"/>
              </w:rPr>
            </w:pPr>
          </w:p>
        </w:tc>
        <w:tc>
          <w:tcPr>
            <w:tcW w:w="2366" w:type="pct"/>
            <w:gridSpan w:val="2"/>
          </w:tcPr>
          <w:p w:rsidR="00161A0A" w:rsidRPr="00613162" w:rsidRDefault="00161A0A" w:rsidP="00161A0A">
            <w:pPr>
              <w:jc w:val="both"/>
              <w:rPr>
                <w:sz w:val="20"/>
                <w:lang w:val="fr-CA"/>
              </w:rPr>
            </w:pPr>
            <w:r w:rsidRPr="00613162">
              <w:rPr>
                <w:sz w:val="20"/>
                <w:lang w:val="fr-CA"/>
              </w:rPr>
              <w:t>Déclarations de culpabilité prononcées à l’égard des demandeurs : cinq chefs d’accusation de fraude, un chef d’accusation de recyclage des produits des fraudes et un chef d’accusation de fraude au profit d’une organisation criminelle</w:t>
            </w:r>
          </w:p>
          <w:p w:rsidR="00161A0A" w:rsidRPr="00613162" w:rsidRDefault="00161A0A" w:rsidP="00161A0A">
            <w:pPr>
              <w:jc w:val="both"/>
              <w:rPr>
                <w:sz w:val="20"/>
                <w:lang w:val="fr-CA"/>
              </w:rPr>
            </w:pPr>
          </w:p>
          <w:p w:rsidR="00161A0A" w:rsidRPr="00613162" w:rsidRDefault="00161A0A" w:rsidP="00161A0A">
            <w:pPr>
              <w:jc w:val="both"/>
              <w:rPr>
                <w:sz w:val="20"/>
                <w:lang w:val="fr-CA"/>
              </w:rPr>
            </w:pPr>
          </w:p>
        </w:tc>
      </w:tr>
      <w:tr w:rsidR="00161A0A" w:rsidRPr="00613162" w:rsidTr="00F329CD">
        <w:tblPrEx>
          <w:tblCellMar>
            <w:bottom w:w="0" w:type="dxa"/>
          </w:tblCellMar>
        </w:tblPrEx>
        <w:tc>
          <w:tcPr>
            <w:tcW w:w="2367" w:type="pct"/>
            <w:gridSpan w:val="2"/>
          </w:tcPr>
          <w:p w:rsidR="00161A0A" w:rsidRPr="00613162" w:rsidRDefault="00161A0A" w:rsidP="00161A0A">
            <w:pPr>
              <w:jc w:val="both"/>
              <w:rPr>
                <w:sz w:val="20"/>
                <w:lang w:val="fr-CA"/>
              </w:rPr>
            </w:pPr>
            <w:r w:rsidRPr="00613162">
              <w:rPr>
                <w:sz w:val="20"/>
                <w:lang w:val="fr-CA"/>
              </w:rPr>
              <w:t>12 avril 2018</w:t>
            </w:r>
          </w:p>
          <w:p w:rsidR="00161A0A" w:rsidRPr="00613162" w:rsidRDefault="00161A0A" w:rsidP="00161A0A">
            <w:pPr>
              <w:jc w:val="both"/>
              <w:rPr>
                <w:sz w:val="20"/>
                <w:lang w:val="fr-CA"/>
              </w:rPr>
            </w:pPr>
            <w:r w:rsidRPr="00613162">
              <w:rPr>
                <w:sz w:val="20"/>
                <w:lang w:val="fr-CA"/>
              </w:rPr>
              <w:t>Cour supérieure de justice de l’Ontario</w:t>
            </w:r>
          </w:p>
          <w:p w:rsidR="00161A0A" w:rsidRPr="00613162" w:rsidRDefault="00161A0A" w:rsidP="00161A0A">
            <w:pPr>
              <w:jc w:val="both"/>
              <w:rPr>
                <w:sz w:val="20"/>
                <w:lang w:val="fr-CA"/>
              </w:rPr>
            </w:pPr>
            <w:r w:rsidRPr="00613162">
              <w:rPr>
                <w:sz w:val="20"/>
                <w:lang w:val="fr-CA"/>
              </w:rPr>
              <w:t xml:space="preserve">(Juge </w:t>
            </w:r>
            <w:proofErr w:type="spellStart"/>
            <w:r w:rsidRPr="00613162">
              <w:rPr>
                <w:sz w:val="20"/>
                <w:lang w:val="fr-CA"/>
              </w:rPr>
              <w:t>Spies</w:t>
            </w:r>
            <w:proofErr w:type="spellEnd"/>
            <w:r w:rsidRPr="00613162">
              <w:rPr>
                <w:sz w:val="20"/>
                <w:lang w:val="fr-CA"/>
              </w:rPr>
              <w:t>)</w:t>
            </w:r>
          </w:p>
          <w:p w:rsidR="00161A0A" w:rsidRPr="00613162" w:rsidRDefault="00161A0A" w:rsidP="00161A0A">
            <w:pPr>
              <w:jc w:val="both"/>
              <w:rPr>
                <w:sz w:val="20"/>
                <w:lang w:val="fr-CA"/>
              </w:rPr>
            </w:pPr>
            <w:hyperlink r:id="rId15" w:history="1">
              <w:r w:rsidRPr="00613162">
                <w:rPr>
                  <w:rStyle w:val="Hyperlink"/>
                  <w:sz w:val="20"/>
                  <w:lang w:val="fr-CA"/>
                </w:rPr>
                <w:t>2018 ONSC 2332</w:t>
              </w:r>
            </w:hyperlink>
            <w:r w:rsidRPr="00613162">
              <w:rPr>
                <w:sz w:val="20"/>
                <w:lang w:val="fr-CA"/>
              </w:rPr>
              <w:t xml:space="preserve"> </w:t>
            </w:r>
          </w:p>
          <w:p w:rsidR="00161A0A" w:rsidRPr="00613162" w:rsidRDefault="00161A0A" w:rsidP="00161A0A">
            <w:pPr>
              <w:jc w:val="both"/>
              <w:rPr>
                <w:sz w:val="20"/>
                <w:lang w:val="fr-CA"/>
              </w:rPr>
            </w:pPr>
          </w:p>
        </w:tc>
        <w:tc>
          <w:tcPr>
            <w:tcW w:w="267" w:type="pct"/>
          </w:tcPr>
          <w:p w:rsidR="00161A0A" w:rsidRPr="00613162" w:rsidRDefault="00161A0A" w:rsidP="00161A0A">
            <w:pPr>
              <w:jc w:val="both"/>
              <w:rPr>
                <w:sz w:val="20"/>
                <w:lang w:val="fr-CA"/>
              </w:rPr>
            </w:pPr>
          </w:p>
        </w:tc>
        <w:tc>
          <w:tcPr>
            <w:tcW w:w="2366" w:type="pct"/>
            <w:gridSpan w:val="2"/>
          </w:tcPr>
          <w:p w:rsidR="00161A0A" w:rsidRPr="00613162" w:rsidRDefault="00161A0A" w:rsidP="00161A0A">
            <w:pPr>
              <w:jc w:val="both"/>
              <w:rPr>
                <w:sz w:val="20"/>
                <w:lang w:val="fr-CA"/>
              </w:rPr>
            </w:pPr>
            <w:r w:rsidRPr="00613162">
              <w:rPr>
                <w:sz w:val="20"/>
                <w:lang w:val="fr-CA"/>
              </w:rPr>
              <w:t>Peines imposées : sept ans d’emprisonnement pour M. Kazman; huit ans d’emprisonnement pour M. Levy; ordonnance de restitution</w:t>
            </w:r>
          </w:p>
          <w:p w:rsidR="00161A0A" w:rsidRPr="00613162" w:rsidRDefault="00161A0A" w:rsidP="00161A0A">
            <w:pPr>
              <w:jc w:val="both"/>
              <w:rPr>
                <w:sz w:val="20"/>
                <w:lang w:val="fr-CA"/>
              </w:rPr>
            </w:pPr>
          </w:p>
        </w:tc>
      </w:tr>
      <w:tr w:rsidR="00161A0A" w:rsidRPr="00613162" w:rsidTr="00F329CD">
        <w:tblPrEx>
          <w:tblCellMar>
            <w:bottom w:w="0" w:type="dxa"/>
          </w:tblCellMar>
        </w:tblPrEx>
        <w:tc>
          <w:tcPr>
            <w:tcW w:w="2367" w:type="pct"/>
            <w:gridSpan w:val="2"/>
          </w:tcPr>
          <w:p w:rsidR="00161A0A" w:rsidRPr="00613162" w:rsidRDefault="00161A0A" w:rsidP="00161A0A">
            <w:pPr>
              <w:jc w:val="both"/>
              <w:rPr>
                <w:sz w:val="20"/>
                <w:lang w:val="fr-CA"/>
              </w:rPr>
            </w:pPr>
            <w:r w:rsidRPr="00613162">
              <w:rPr>
                <w:sz w:val="20"/>
                <w:lang w:val="fr-CA"/>
              </w:rPr>
              <w:t>16 janvier 2020</w:t>
            </w:r>
          </w:p>
          <w:p w:rsidR="00161A0A" w:rsidRPr="00613162" w:rsidRDefault="00161A0A" w:rsidP="00161A0A">
            <w:pPr>
              <w:jc w:val="both"/>
              <w:rPr>
                <w:sz w:val="20"/>
                <w:lang w:val="fr-CA"/>
              </w:rPr>
            </w:pPr>
            <w:r w:rsidRPr="00613162">
              <w:rPr>
                <w:sz w:val="20"/>
                <w:lang w:val="fr-CA"/>
              </w:rPr>
              <w:t>Cour d’appel de l’Ontario</w:t>
            </w:r>
          </w:p>
          <w:p w:rsidR="00161A0A" w:rsidRPr="00613162" w:rsidRDefault="00161A0A" w:rsidP="00161A0A">
            <w:pPr>
              <w:jc w:val="both"/>
              <w:rPr>
                <w:sz w:val="20"/>
                <w:lang w:val="fr-CA"/>
              </w:rPr>
            </w:pPr>
            <w:r w:rsidRPr="00613162">
              <w:rPr>
                <w:sz w:val="20"/>
                <w:lang w:val="fr-CA"/>
              </w:rPr>
              <w:t xml:space="preserve">(Juges Doherty, van </w:t>
            </w:r>
            <w:proofErr w:type="spellStart"/>
            <w:r w:rsidRPr="00613162">
              <w:rPr>
                <w:sz w:val="20"/>
                <w:lang w:val="fr-CA"/>
              </w:rPr>
              <w:t>Rensburg</w:t>
            </w:r>
            <w:proofErr w:type="spellEnd"/>
            <w:r w:rsidRPr="00613162">
              <w:rPr>
                <w:sz w:val="20"/>
                <w:lang w:val="fr-CA"/>
              </w:rPr>
              <w:t xml:space="preserve"> et </w:t>
            </w:r>
            <w:proofErr w:type="spellStart"/>
            <w:r w:rsidRPr="00613162">
              <w:rPr>
                <w:sz w:val="20"/>
                <w:lang w:val="fr-CA"/>
              </w:rPr>
              <w:t>Hourigan</w:t>
            </w:r>
            <w:proofErr w:type="spellEnd"/>
            <w:r w:rsidRPr="00613162">
              <w:rPr>
                <w:sz w:val="20"/>
                <w:lang w:val="fr-CA"/>
              </w:rPr>
              <w:t>)</w:t>
            </w:r>
          </w:p>
          <w:p w:rsidR="00161A0A" w:rsidRPr="00613162" w:rsidRDefault="00161A0A" w:rsidP="00161A0A">
            <w:pPr>
              <w:jc w:val="both"/>
              <w:rPr>
                <w:sz w:val="20"/>
                <w:lang w:val="fr-CA"/>
              </w:rPr>
            </w:pPr>
            <w:hyperlink r:id="rId16" w:history="1">
              <w:r w:rsidRPr="00613162">
                <w:rPr>
                  <w:rStyle w:val="Hyperlink"/>
                  <w:sz w:val="20"/>
                  <w:lang w:val="fr-CA"/>
                </w:rPr>
                <w:t>2020 ONCA 22</w:t>
              </w:r>
            </w:hyperlink>
            <w:r w:rsidRPr="00613162">
              <w:rPr>
                <w:sz w:val="20"/>
                <w:lang w:val="fr-CA"/>
              </w:rPr>
              <w:t>; C65212;C65224</w:t>
            </w:r>
          </w:p>
          <w:p w:rsidR="00161A0A" w:rsidRPr="00613162" w:rsidRDefault="00161A0A" w:rsidP="00161A0A">
            <w:pPr>
              <w:jc w:val="both"/>
              <w:rPr>
                <w:sz w:val="20"/>
                <w:lang w:val="fr-CA"/>
              </w:rPr>
            </w:pPr>
          </w:p>
        </w:tc>
        <w:tc>
          <w:tcPr>
            <w:tcW w:w="267" w:type="pct"/>
          </w:tcPr>
          <w:p w:rsidR="00161A0A" w:rsidRPr="00613162" w:rsidRDefault="00161A0A" w:rsidP="00161A0A">
            <w:pPr>
              <w:jc w:val="both"/>
              <w:rPr>
                <w:sz w:val="20"/>
                <w:lang w:val="fr-CA"/>
              </w:rPr>
            </w:pPr>
          </w:p>
        </w:tc>
        <w:tc>
          <w:tcPr>
            <w:tcW w:w="2366" w:type="pct"/>
            <w:gridSpan w:val="2"/>
          </w:tcPr>
          <w:p w:rsidR="00161A0A" w:rsidRPr="00613162" w:rsidRDefault="00161A0A" w:rsidP="00161A0A">
            <w:pPr>
              <w:jc w:val="both"/>
              <w:rPr>
                <w:sz w:val="20"/>
                <w:lang w:val="fr-CA"/>
              </w:rPr>
            </w:pPr>
            <w:r w:rsidRPr="00613162">
              <w:rPr>
                <w:sz w:val="20"/>
                <w:lang w:val="fr-CA"/>
              </w:rPr>
              <w:t>Rejet des appels des déclarations de culpabilité et des peines</w:t>
            </w:r>
          </w:p>
          <w:p w:rsidR="00161A0A" w:rsidRPr="00613162" w:rsidRDefault="00161A0A" w:rsidP="00161A0A">
            <w:pPr>
              <w:jc w:val="both"/>
              <w:rPr>
                <w:sz w:val="20"/>
                <w:lang w:val="fr-CA"/>
              </w:rPr>
            </w:pPr>
          </w:p>
        </w:tc>
      </w:tr>
      <w:tr w:rsidR="00161A0A" w:rsidRPr="00613162" w:rsidTr="00F329CD">
        <w:tblPrEx>
          <w:tblCellMar>
            <w:bottom w:w="0" w:type="dxa"/>
          </w:tblCellMar>
        </w:tblPrEx>
        <w:tc>
          <w:tcPr>
            <w:tcW w:w="2367" w:type="pct"/>
            <w:gridSpan w:val="2"/>
          </w:tcPr>
          <w:p w:rsidR="00161A0A" w:rsidRPr="00613162" w:rsidRDefault="00161A0A" w:rsidP="00161A0A">
            <w:pPr>
              <w:jc w:val="both"/>
              <w:rPr>
                <w:sz w:val="20"/>
                <w:lang w:val="fr-CA"/>
              </w:rPr>
            </w:pPr>
            <w:r w:rsidRPr="00613162">
              <w:rPr>
                <w:sz w:val="20"/>
                <w:lang w:val="fr-CA"/>
              </w:rPr>
              <w:t>14 février 2020</w:t>
            </w:r>
          </w:p>
          <w:p w:rsidR="00161A0A" w:rsidRPr="00613162" w:rsidRDefault="00161A0A" w:rsidP="00161A0A">
            <w:pPr>
              <w:jc w:val="both"/>
              <w:rPr>
                <w:sz w:val="20"/>
                <w:lang w:val="fr-CA"/>
              </w:rPr>
            </w:pPr>
            <w:r w:rsidRPr="00613162">
              <w:rPr>
                <w:sz w:val="20"/>
                <w:lang w:val="fr-CA"/>
              </w:rPr>
              <w:t>Cour suprême du Canada</w:t>
            </w:r>
          </w:p>
          <w:p w:rsidR="00161A0A" w:rsidRPr="00613162" w:rsidRDefault="00161A0A" w:rsidP="00161A0A">
            <w:pPr>
              <w:jc w:val="both"/>
              <w:rPr>
                <w:sz w:val="20"/>
                <w:lang w:val="fr-CA"/>
              </w:rPr>
            </w:pPr>
          </w:p>
        </w:tc>
        <w:tc>
          <w:tcPr>
            <w:tcW w:w="267" w:type="pct"/>
          </w:tcPr>
          <w:p w:rsidR="00161A0A" w:rsidRPr="00613162" w:rsidRDefault="00161A0A" w:rsidP="00161A0A">
            <w:pPr>
              <w:jc w:val="both"/>
              <w:rPr>
                <w:sz w:val="20"/>
                <w:lang w:val="fr-CA"/>
              </w:rPr>
            </w:pPr>
          </w:p>
        </w:tc>
        <w:tc>
          <w:tcPr>
            <w:tcW w:w="2366" w:type="pct"/>
            <w:gridSpan w:val="2"/>
          </w:tcPr>
          <w:p w:rsidR="00161A0A" w:rsidRPr="00613162" w:rsidRDefault="00161A0A" w:rsidP="00161A0A">
            <w:pPr>
              <w:jc w:val="both"/>
              <w:rPr>
                <w:sz w:val="20"/>
                <w:lang w:val="fr-CA"/>
              </w:rPr>
            </w:pPr>
            <w:r w:rsidRPr="00613162">
              <w:rPr>
                <w:sz w:val="20"/>
                <w:lang w:val="fr-CA"/>
              </w:rPr>
              <w:t xml:space="preserve">Dépôt de la demande d’autorisation d’appel de M. Kazman </w:t>
            </w:r>
          </w:p>
          <w:p w:rsidR="00161A0A" w:rsidRPr="00613162" w:rsidRDefault="00161A0A" w:rsidP="00161A0A">
            <w:pPr>
              <w:jc w:val="both"/>
              <w:rPr>
                <w:sz w:val="20"/>
                <w:lang w:val="fr-CA"/>
              </w:rPr>
            </w:pPr>
          </w:p>
        </w:tc>
      </w:tr>
      <w:tr w:rsidR="00161A0A" w:rsidRPr="00613162" w:rsidTr="00F329CD">
        <w:tblPrEx>
          <w:tblCellMar>
            <w:bottom w:w="0" w:type="dxa"/>
          </w:tblCellMar>
        </w:tblPrEx>
        <w:tc>
          <w:tcPr>
            <w:tcW w:w="2367" w:type="pct"/>
            <w:gridSpan w:val="2"/>
          </w:tcPr>
          <w:p w:rsidR="00161A0A" w:rsidRPr="00613162" w:rsidRDefault="00161A0A" w:rsidP="00161A0A">
            <w:pPr>
              <w:jc w:val="both"/>
              <w:rPr>
                <w:sz w:val="20"/>
                <w:lang w:val="fr-CA"/>
              </w:rPr>
            </w:pPr>
            <w:r w:rsidRPr="00613162">
              <w:rPr>
                <w:sz w:val="20"/>
                <w:lang w:val="fr-CA"/>
              </w:rPr>
              <w:t>6 mai 2020</w:t>
            </w:r>
          </w:p>
          <w:p w:rsidR="00161A0A" w:rsidRPr="00613162" w:rsidRDefault="00161A0A" w:rsidP="00161A0A">
            <w:pPr>
              <w:jc w:val="both"/>
              <w:rPr>
                <w:sz w:val="20"/>
                <w:lang w:val="fr-CA"/>
              </w:rPr>
            </w:pPr>
            <w:r w:rsidRPr="00613162">
              <w:rPr>
                <w:sz w:val="20"/>
                <w:lang w:val="fr-CA"/>
              </w:rPr>
              <w:t>Cour suprême du Canada</w:t>
            </w:r>
          </w:p>
          <w:p w:rsidR="00161A0A" w:rsidRPr="00613162" w:rsidRDefault="00161A0A" w:rsidP="00161A0A">
            <w:pPr>
              <w:jc w:val="both"/>
              <w:rPr>
                <w:sz w:val="20"/>
                <w:lang w:val="fr-CA"/>
              </w:rPr>
            </w:pPr>
          </w:p>
        </w:tc>
        <w:tc>
          <w:tcPr>
            <w:tcW w:w="267" w:type="pct"/>
          </w:tcPr>
          <w:p w:rsidR="00161A0A" w:rsidRPr="00613162" w:rsidRDefault="00161A0A" w:rsidP="00161A0A">
            <w:pPr>
              <w:jc w:val="both"/>
              <w:rPr>
                <w:sz w:val="20"/>
                <w:lang w:val="fr-CA"/>
              </w:rPr>
            </w:pPr>
          </w:p>
        </w:tc>
        <w:tc>
          <w:tcPr>
            <w:tcW w:w="2366" w:type="pct"/>
            <w:gridSpan w:val="2"/>
          </w:tcPr>
          <w:p w:rsidR="00161A0A" w:rsidRPr="00613162" w:rsidRDefault="00161A0A" w:rsidP="00161A0A">
            <w:pPr>
              <w:jc w:val="both"/>
              <w:rPr>
                <w:sz w:val="20"/>
                <w:lang w:val="fr-CA"/>
              </w:rPr>
            </w:pPr>
            <w:r w:rsidRPr="00613162">
              <w:rPr>
                <w:sz w:val="20"/>
                <w:lang w:val="fr-CA"/>
              </w:rPr>
              <w:t xml:space="preserve">Dépôt de la requête en prorogation du délai de signification et de dépôt de la demande d’autorisation d’appel et de la demande d’autorisation d’appel de M. Levy </w:t>
            </w:r>
          </w:p>
        </w:tc>
      </w:tr>
    </w:tbl>
    <w:p w:rsidR="00161A0A" w:rsidRPr="00613162" w:rsidRDefault="00161A0A" w:rsidP="00161A0A">
      <w:pPr>
        <w:jc w:val="both"/>
        <w:rPr>
          <w:sz w:val="20"/>
          <w:lang w:val="fr-CA"/>
        </w:rPr>
      </w:pPr>
    </w:p>
    <w:p w:rsidR="00767D1B" w:rsidRPr="00613162" w:rsidRDefault="00767D1B" w:rsidP="00161A0A">
      <w:pPr>
        <w:jc w:val="both"/>
        <w:rPr>
          <w:sz w:val="20"/>
          <w:lang w:val="fr-CA"/>
        </w:rPr>
      </w:pPr>
      <w:r w:rsidRPr="00613162">
        <w:rPr>
          <w:sz w:val="20"/>
        </w:rPr>
        <w:pict>
          <v:rect id="_x0000_i1029" style="width:2in;height:1pt" o:hrpct="0" o:hralign="center" o:hrstd="t" o:hrnoshade="t" o:hr="t" fillcolor="black [3213]" stroked="f"/>
        </w:pict>
      </w:r>
    </w:p>
    <w:p w:rsidR="00F61FFA" w:rsidRPr="00613162" w:rsidRDefault="00F61FFA" w:rsidP="00161A0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61A0A" w:rsidRPr="00613162" w:rsidTr="00A9252F">
        <w:tc>
          <w:tcPr>
            <w:tcW w:w="543" w:type="pct"/>
          </w:tcPr>
          <w:p w:rsidR="00161A0A" w:rsidRPr="00613162" w:rsidRDefault="00161A0A" w:rsidP="00161A0A">
            <w:pPr>
              <w:jc w:val="both"/>
              <w:rPr>
                <w:sz w:val="20"/>
              </w:rPr>
            </w:pPr>
            <w:r w:rsidRPr="00613162">
              <w:rPr>
                <w:rStyle w:val="SCCFileNumberChar"/>
                <w:sz w:val="20"/>
                <w:szCs w:val="20"/>
              </w:rPr>
              <w:t>39126</w:t>
            </w:r>
          </w:p>
        </w:tc>
        <w:tc>
          <w:tcPr>
            <w:tcW w:w="4457" w:type="pct"/>
            <w:gridSpan w:val="3"/>
          </w:tcPr>
          <w:p w:rsidR="00161A0A" w:rsidRPr="00613162" w:rsidRDefault="00161A0A" w:rsidP="00161A0A">
            <w:pPr>
              <w:pStyle w:val="SCCLsocParty"/>
              <w:jc w:val="both"/>
              <w:rPr>
                <w:b/>
                <w:sz w:val="20"/>
                <w:szCs w:val="20"/>
                <w:lang w:val="en-US"/>
              </w:rPr>
            </w:pPr>
            <w:r w:rsidRPr="00613162">
              <w:rPr>
                <w:b/>
                <w:sz w:val="20"/>
                <w:szCs w:val="20"/>
                <w:lang w:val="en-US"/>
              </w:rPr>
              <w:t>Champion Products Corp., Walkerville Commercial Centre Inc., formerly 1206738 Ontario Limited, 19298446 Ontario Inc., carrying on business as “The Party Warehouse” v. Intact Insurance Company, formerly AXA Insurance (Canada), AXA Insurance (Canada)</w:t>
            </w:r>
          </w:p>
          <w:p w:rsidR="00161A0A" w:rsidRPr="00613162" w:rsidRDefault="00161A0A" w:rsidP="00161A0A">
            <w:pPr>
              <w:jc w:val="both"/>
              <w:rPr>
                <w:sz w:val="20"/>
              </w:rPr>
            </w:pPr>
            <w:r w:rsidRPr="00613162">
              <w:rPr>
                <w:sz w:val="20"/>
              </w:rPr>
              <w:t>(Ont.) (Civil) (By Leave)</w:t>
            </w:r>
          </w:p>
        </w:tc>
      </w:tr>
      <w:tr w:rsidR="00161A0A" w:rsidRPr="00613162" w:rsidTr="00A9252F">
        <w:tc>
          <w:tcPr>
            <w:tcW w:w="5000" w:type="pct"/>
            <w:gridSpan w:val="4"/>
          </w:tcPr>
          <w:p w:rsidR="00161A0A" w:rsidRPr="00613162" w:rsidRDefault="00161A0A" w:rsidP="00161A0A">
            <w:pPr>
              <w:jc w:val="both"/>
              <w:rPr>
                <w:sz w:val="20"/>
              </w:rPr>
            </w:pPr>
            <w:r w:rsidRPr="00613162">
              <w:rPr>
                <w:sz w:val="20"/>
              </w:rPr>
              <w:t>Contracts — Insurance — Property Insurance — Recoverable depreciation — Waiver — Insurance company and insured agreeing that insured replace building that was destroyed within 24 months to receive payment for recoverable depreciation, otherwise entitlement would be waived and forfeited — Building not replaced within that period — Insurer considering whether to approve a property insured sought to purchase after expiration of 24</w:t>
            </w:r>
            <w:r w:rsidRPr="00613162">
              <w:rPr>
                <w:sz w:val="20"/>
              </w:rPr>
              <w:noBreakHyphen/>
              <w:t>month period — Insurer ultimately notifying insured that insured had forfeited its entitlement to recoverable depreciation — Whether the reasonable expectations of the counterparty play a role in the application of waiver — How does the organizing principle of good faith affect the application of the doctrine of waiver? — What principles should guide judicial discretion in relief from forfeiture?</w:t>
            </w:r>
          </w:p>
        </w:tc>
      </w:tr>
      <w:tr w:rsidR="00161A0A" w:rsidRPr="00613162" w:rsidTr="00A9252F">
        <w:tc>
          <w:tcPr>
            <w:tcW w:w="5000" w:type="pct"/>
            <w:gridSpan w:val="4"/>
          </w:tcPr>
          <w:p w:rsidR="00161A0A" w:rsidRPr="00613162" w:rsidRDefault="00161A0A" w:rsidP="00161A0A">
            <w:pPr>
              <w:jc w:val="both"/>
              <w:rPr>
                <w:sz w:val="20"/>
              </w:rPr>
            </w:pPr>
          </w:p>
        </w:tc>
      </w:tr>
      <w:tr w:rsidR="00161A0A" w:rsidRPr="00613162" w:rsidTr="00A9252F">
        <w:tc>
          <w:tcPr>
            <w:tcW w:w="5000" w:type="pct"/>
            <w:gridSpan w:val="4"/>
          </w:tcPr>
          <w:p w:rsidR="00161A0A" w:rsidRPr="00613162" w:rsidRDefault="00161A0A" w:rsidP="00161A0A">
            <w:pPr>
              <w:jc w:val="both"/>
              <w:rPr>
                <w:sz w:val="20"/>
              </w:rPr>
            </w:pPr>
            <w:r w:rsidRPr="00613162">
              <w:rPr>
                <w:sz w:val="20"/>
              </w:rPr>
              <w:t>The applicants (the “insured”) are related companies that owned or occupied a commercial building that was destroyed by fire in 2011. The respondents (the “insurer”) insured the destroyed building. Under the policy, the insured was entitled to recoverable depreciation. In May 2013, the parties entered into a partial settlement agreement, by which they agreed that the insured would have 24 months to proceed with replacement of the destroyed building, failing which it would be “deemed to have forever waived and forfeited” any claim for recoverable depreciation. Within the 24</w:t>
            </w:r>
            <w:r w:rsidRPr="00613162">
              <w:rPr>
                <w:sz w:val="20"/>
              </w:rPr>
              <w:noBreakHyphen/>
              <w:t>month deadline, the insured entered into an agreement to purchase a property that the insured accepted as a suitable replacement property. The parties reached a further settlement agreement of their outstanding issues. That agreement was subject to various conditions, including that the insured close on the existing agreement to purchase. The insured did not close on that agreement and later entered into another agreement to purchase a different property. When the insured learned of these developments, it took almost three months to inform the insured it had forfeited its entitlement to recoverable depreciation. The insured successfully moved for partial summary judgment, and obtained a declaration that the insurer had waived the insured’s obligation to replace the destroyed building within the 24</w:t>
            </w:r>
            <w:r w:rsidRPr="00613162">
              <w:rPr>
                <w:sz w:val="20"/>
              </w:rPr>
              <w:noBreakHyphen/>
              <w:t>month period. The insurer appealed. The Court of Appeal set aside the summary judgment and substituted a declaration that the insurer did not waive the insured’s failure to replace its destroyed building. It dismissed the insured’s cross</w:t>
            </w:r>
            <w:r w:rsidRPr="00613162">
              <w:rPr>
                <w:sz w:val="20"/>
              </w:rPr>
              <w:noBreakHyphen/>
              <w:t>appeal.</w:t>
            </w:r>
          </w:p>
          <w:p w:rsidR="00161A0A" w:rsidRPr="00613162" w:rsidRDefault="00161A0A" w:rsidP="00161A0A">
            <w:pPr>
              <w:jc w:val="both"/>
              <w:rPr>
                <w:sz w:val="20"/>
              </w:rPr>
            </w:pPr>
          </w:p>
        </w:tc>
      </w:tr>
      <w:tr w:rsidR="00161A0A" w:rsidRPr="00613162" w:rsidTr="00A9252F">
        <w:tc>
          <w:tcPr>
            <w:tcW w:w="2427" w:type="pct"/>
            <w:gridSpan w:val="2"/>
          </w:tcPr>
          <w:p w:rsidR="00161A0A" w:rsidRPr="00613162" w:rsidRDefault="00161A0A" w:rsidP="00161A0A">
            <w:pPr>
              <w:jc w:val="both"/>
              <w:rPr>
                <w:sz w:val="20"/>
              </w:rPr>
            </w:pPr>
            <w:r w:rsidRPr="00613162">
              <w:rPr>
                <w:sz w:val="20"/>
              </w:rPr>
              <w:t>May 18, 2017</w:t>
            </w:r>
          </w:p>
          <w:p w:rsidR="00161A0A" w:rsidRPr="00613162" w:rsidRDefault="00161A0A" w:rsidP="00161A0A">
            <w:pPr>
              <w:jc w:val="both"/>
              <w:rPr>
                <w:sz w:val="20"/>
              </w:rPr>
            </w:pPr>
            <w:r w:rsidRPr="00613162">
              <w:rPr>
                <w:sz w:val="20"/>
              </w:rPr>
              <w:t>Ontario Superior Court of Justice</w:t>
            </w:r>
          </w:p>
          <w:p w:rsidR="00161A0A" w:rsidRPr="00613162" w:rsidRDefault="00161A0A" w:rsidP="00161A0A">
            <w:pPr>
              <w:jc w:val="both"/>
              <w:rPr>
                <w:sz w:val="20"/>
              </w:rPr>
            </w:pPr>
            <w:r w:rsidRPr="00613162">
              <w:rPr>
                <w:sz w:val="20"/>
              </w:rPr>
              <w:t>(King J.)</w:t>
            </w:r>
          </w:p>
          <w:p w:rsidR="00161A0A" w:rsidRPr="00613162" w:rsidRDefault="00161A0A" w:rsidP="00161A0A">
            <w:pPr>
              <w:jc w:val="both"/>
              <w:rPr>
                <w:sz w:val="20"/>
              </w:rPr>
            </w:pPr>
            <w:hyperlink r:id="rId17" w:history="1">
              <w:r w:rsidRPr="00613162">
                <w:rPr>
                  <w:rStyle w:val="Hyperlink"/>
                  <w:sz w:val="20"/>
                </w:rPr>
                <w:t>2017 ONSC 1740</w:t>
              </w:r>
            </w:hyperlink>
          </w:p>
          <w:p w:rsidR="00161A0A" w:rsidRPr="00613162" w:rsidRDefault="00161A0A" w:rsidP="00161A0A">
            <w:pPr>
              <w:jc w:val="both"/>
              <w:rPr>
                <w:sz w:val="20"/>
              </w:rPr>
            </w:pPr>
          </w:p>
        </w:tc>
        <w:tc>
          <w:tcPr>
            <w:tcW w:w="243" w:type="pct"/>
          </w:tcPr>
          <w:p w:rsidR="00161A0A" w:rsidRPr="00613162" w:rsidRDefault="00161A0A" w:rsidP="00161A0A">
            <w:pPr>
              <w:jc w:val="both"/>
              <w:rPr>
                <w:sz w:val="20"/>
              </w:rPr>
            </w:pPr>
          </w:p>
        </w:tc>
        <w:tc>
          <w:tcPr>
            <w:tcW w:w="2330" w:type="pct"/>
          </w:tcPr>
          <w:p w:rsidR="00161A0A" w:rsidRPr="00613162" w:rsidRDefault="00161A0A" w:rsidP="00161A0A">
            <w:pPr>
              <w:jc w:val="both"/>
              <w:rPr>
                <w:sz w:val="20"/>
              </w:rPr>
            </w:pPr>
            <w:r w:rsidRPr="00613162">
              <w:rPr>
                <w:sz w:val="20"/>
              </w:rPr>
              <w:t xml:space="preserve">Applicants’ motion for partial summary judgment granted; applicants </w:t>
            </w:r>
            <w:r w:rsidRPr="00613162">
              <w:rPr>
                <w:sz w:val="20"/>
                <w:lang w:val="en"/>
              </w:rPr>
              <w:t>entitled to indemnification for recoverable depreciation</w:t>
            </w:r>
            <w:r w:rsidRPr="00613162">
              <w:rPr>
                <w:sz w:val="20"/>
              </w:rPr>
              <w:t xml:space="preserve">. </w:t>
            </w:r>
          </w:p>
          <w:p w:rsidR="00161A0A" w:rsidRPr="00613162" w:rsidRDefault="00161A0A" w:rsidP="00161A0A">
            <w:pPr>
              <w:jc w:val="both"/>
              <w:rPr>
                <w:sz w:val="20"/>
              </w:rPr>
            </w:pPr>
          </w:p>
        </w:tc>
      </w:tr>
      <w:tr w:rsidR="00161A0A" w:rsidRPr="00613162" w:rsidTr="00A9252F">
        <w:tc>
          <w:tcPr>
            <w:tcW w:w="2427" w:type="pct"/>
            <w:gridSpan w:val="2"/>
          </w:tcPr>
          <w:p w:rsidR="00161A0A" w:rsidRPr="00613162" w:rsidRDefault="00161A0A" w:rsidP="00161A0A">
            <w:pPr>
              <w:jc w:val="both"/>
              <w:rPr>
                <w:sz w:val="20"/>
              </w:rPr>
            </w:pPr>
            <w:r w:rsidRPr="00613162">
              <w:rPr>
                <w:sz w:val="20"/>
              </w:rPr>
              <w:t>February 12, 2020</w:t>
            </w:r>
          </w:p>
          <w:p w:rsidR="00161A0A" w:rsidRPr="00613162" w:rsidRDefault="00161A0A" w:rsidP="00161A0A">
            <w:pPr>
              <w:jc w:val="both"/>
              <w:rPr>
                <w:sz w:val="20"/>
              </w:rPr>
            </w:pPr>
            <w:r w:rsidRPr="00613162">
              <w:rPr>
                <w:sz w:val="20"/>
              </w:rPr>
              <w:t>Court of Appeal for Ontario</w:t>
            </w:r>
          </w:p>
          <w:p w:rsidR="00161A0A" w:rsidRPr="00613162" w:rsidRDefault="00161A0A" w:rsidP="00161A0A">
            <w:pPr>
              <w:jc w:val="both"/>
              <w:rPr>
                <w:sz w:val="20"/>
                <w:lang w:val="fr-CA"/>
              </w:rPr>
            </w:pPr>
            <w:r w:rsidRPr="00613162">
              <w:rPr>
                <w:sz w:val="20"/>
                <w:lang w:val="fr-CA"/>
              </w:rPr>
              <w:t>(Simmons, Pardu, Nordheimer JJ.A.)</w:t>
            </w:r>
          </w:p>
          <w:p w:rsidR="00161A0A" w:rsidRPr="00613162" w:rsidRDefault="00161A0A" w:rsidP="00161A0A">
            <w:pPr>
              <w:jc w:val="both"/>
              <w:rPr>
                <w:sz w:val="20"/>
              </w:rPr>
            </w:pPr>
            <w:hyperlink r:id="rId18" w:history="1">
              <w:r w:rsidRPr="00613162">
                <w:rPr>
                  <w:rStyle w:val="Hyperlink"/>
                  <w:sz w:val="20"/>
                </w:rPr>
                <w:t>2020 ONCA 111</w:t>
              </w:r>
            </w:hyperlink>
          </w:p>
          <w:p w:rsidR="00161A0A" w:rsidRPr="00613162" w:rsidRDefault="00161A0A" w:rsidP="00161A0A">
            <w:pPr>
              <w:jc w:val="both"/>
              <w:rPr>
                <w:sz w:val="20"/>
                <w:lang w:val="fr-CA"/>
              </w:rPr>
            </w:pPr>
          </w:p>
        </w:tc>
        <w:tc>
          <w:tcPr>
            <w:tcW w:w="243" w:type="pct"/>
          </w:tcPr>
          <w:p w:rsidR="00161A0A" w:rsidRPr="00613162" w:rsidRDefault="00161A0A" w:rsidP="00161A0A">
            <w:pPr>
              <w:jc w:val="both"/>
              <w:rPr>
                <w:sz w:val="20"/>
                <w:lang w:val="fr-CA"/>
              </w:rPr>
            </w:pPr>
          </w:p>
        </w:tc>
        <w:tc>
          <w:tcPr>
            <w:tcW w:w="2330" w:type="pct"/>
          </w:tcPr>
          <w:p w:rsidR="00161A0A" w:rsidRPr="00613162" w:rsidRDefault="00161A0A" w:rsidP="00161A0A">
            <w:pPr>
              <w:jc w:val="both"/>
              <w:rPr>
                <w:sz w:val="20"/>
              </w:rPr>
            </w:pPr>
            <w:r w:rsidRPr="00613162">
              <w:rPr>
                <w:sz w:val="20"/>
              </w:rPr>
              <w:t>Respondents’ appeal allowed; summary judgment set aside. Applicants’ cross</w:t>
            </w:r>
            <w:r w:rsidRPr="00613162">
              <w:rPr>
                <w:sz w:val="20"/>
              </w:rPr>
              <w:noBreakHyphen/>
              <w:t xml:space="preserve">appeal dismissed. </w:t>
            </w:r>
          </w:p>
        </w:tc>
      </w:tr>
      <w:tr w:rsidR="00161A0A" w:rsidRPr="00613162" w:rsidTr="00A9252F">
        <w:tc>
          <w:tcPr>
            <w:tcW w:w="2427" w:type="pct"/>
            <w:gridSpan w:val="2"/>
          </w:tcPr>
          <w:p w:rsidR="00161A0A" w:rsidRPr="00613162" w:rsidRDefault="00161A0A" w:rsidP="00161A0A">
            <w:pPr>
              <w:jc w:val="both"/>
              <w:rPr>
                <w:sz w:val="20"/>
              </w:rPr>
            </w:pPr>
            <w:r w:rsidRPr="00613162">
              <w:rPr>
                <w:sz w:val="20"/>
              </w:rPr>
              <w:t>April 14, 2020</w:t>
            </w:r>
          </w:p>
          <w:p w:rsidR="00161A0A" w:rsidRPr="00613162" w:rsidRDefault="00161A0A" w:rsidP="00161A0A">
            <w:pPr>
              <w:jc w:val="both"/>
              <w:rPr>
                <w:sz w:val="20"/>
              </w:rPr>
            </w:pPr>
            <w:r w:rsidRPr="00613162">
              <w:rPr>
                <w:sz w:val="20"/>
              </w:rPr>
              <w:t>Supreme Court of Canada</w:t>
            </w:r>
          </w:p>
        </w:tc>
        <w:tc>
          <w:tcPr>
            <w:tcW w:w="243" w:type="pct"/>
          </w:tcPr>
          <w:p w:rsidR="00161A0A" w:rsidRPr="00613162" w:rsidRDefault="00161A0A" w:rsidP="00161A0A">
            <w:pPr>
              <w:jc w:val="both"/>
              <w:rPr>
                <w:sz w:val="20"/>
              </w:rPr>
            </w:pPr>
          </w:p>
        </w:tc>
        <w:tc>
          <w:tcPr>
            <w:tcW w:w="2330" w:type="pct"/>
          </w:tcPr>
          <w:p w:rsidR="00161A0A" w:rsidRPr="00613162" w:rsidRDefault="00161A0A" w:rsidP="00161A0A">
            <w:pPr>
              <w:jc w:val="both"/>
              <w:rPr>
                <w:sz w:val="20"/>
              </w:rPr>
            </w:pPr>
            <w:r w:rsidRPr="00613162">
              <w:rPr>
                <w:sz w:val="20"/>
              </w:rPr>
              <w:t>Application for leave to appeal filed</w:t>
            </w:r>
          </w:p>
          <w:p w:rsidR="00161A0A" w:rsidRPr="00613162" w:rsidRDefault="00161A0A" w:rsidP="00161A0A">
            <w:pPr>
              <w:jc w:val="both"/>
              <w:rPr>
                <w:sz w:val="20"/>
              </w:rPr>
            </w:pPr>
          </w:p>
        </w:tc>
      </w:tr>
    </w:tbl>
    <w:p w:rsidR="00161A0A" w:rsidRPr="00613162" w:rsidRDefault="00161A0A" w:rsidP="00161A0A">
      <w:pPr>
        <w:jc w:val="both"/>
        <w:rPr>
          <w:sz w:val="20"/>
        </w:rPr>
      </w:pPr>
    </w:p>
    <w:p w:rsidR="00767D1B" w:rsidRPr="00613162" w:rsidRDefault="00767D1B" w:rsidP="00161A0A">
      <w:pPr>
        <w:jc w:val="both"/>
        <w:rPr>
          <w:sz w:val="20"/>
        </w:rPr>
      </w:pPr>
      <w:r w:rsidRPr="00613162">
        <w:rPr>
          <w:sz w:val="20"/>
        </w:rPr>
        <w:pict>
          <v:rect id="_x0000_i1030" style="width:2in;height:1pt" o:hrpct="0" o:hralign="center" o:hrstd="t" o:hrnoshade="t" o:hr="t" fillcolor="black [3213]" stroked="f"/>
        </w:pict>
      </w:r>
    </w:p>
    <w:p w:rsidR="00767D1B" w:rsidRPr="00613162" w:rsidRDefault="00767D1B" w:rsidP="00161A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61A0A" w:rsidRPr="00613162" w:rsidTr="00A9252F">
        <w:tc>
          <w:tcPr>
            <w:tcW w:w="543" w:type="pct"/>
          </w:tcPr>
          <w:p w:rsidR="00161A0A" w:rsidRPr="00613162" w:rsidRDefault="00161A0A" w:rsidP="00161A0A">
            <w:pPr>
              <w:jc w:val="both"/>
              <w:rPr>
                <w:sz w:val="20"/>
                <w:lang w:val="fr-CA"/>
              </w:rPr>
            </w:pPr>
            <w:r w:rsidRPr="00613162">
              <w:rPr>
                <w:rStyle w:val="SCCFileNumberChar"/>
                <w:sz w:val="20"/>
                <w:szCs w:val="20"/>
                <w:lang w:val="fr-CA"/>
              </w:rPr>
              <w:t>39126</w:t>
            </w:r>
          </w:p>
        </w:tc>
        <w:tc>
          <w:tcPr>
            <w:tcW w:w="4457" w:type="pct"/>
            <w:gridSpan w:val="3"/>
          </w:tcPr>
          <w:p w:rsidR="00161A0A" w:rsidRPr="00613162" w:rsidRDefault="00161A0A" w:rsidP="00161A0A">
            <w:pPr>
              <w:pStyle w:val="SCCLsocParty"/>
              <w:jc w:val="both"/>
              <w:rPr>
                <w:b/>
                <w:sz w:val="20"/>
                <w:szCs w:val="20"/>
              </w:rPr>
            </w:pPr>
            <w:r w:rsidRPr="00613162">
              <w:rPr>
                <w:b/>
                <w:sz w:val="20"/>
                <w:szCs w:val="20"/>
              </w:rPr>
              <w:t>Champion Products Corp., Walkerville Commercial Centre Inc., auparavant 1206738 Ontario Limited, 19298446 Ontario Inc., faisant affaire sous le nom de « The Party Warehouse » c. Intact compagnie d’assurance, auparavant AXA Assurances (Canada), AXA Assurances (Canada)</w:t>
            </w:r>
          </w:p>
          <w:p w:rsidR="00161A0A" w:rsidRPr="00613162" w:rsidRDefault="00161A0A" w:rsidP="00161A0A">
            <w:pPr>
              <w:jc w:val="both"/>
              <w:rPr>
                <w:sz w:val="20"/>
                <w:lang w:val="fr-CA"/>
              </w:rPr>
            </w:pPr>
            <w:r w:rsidRPr="00613162">
              <w:rPr>
                <w:sz w:val="20"/>
                <w:lang w:val="fr-CA"/>
              </w:rPr>
              <w:t>(Ont.) (Civile) (Autorisation)</w:t>
            </w:r>
          </w:p>
        </w:tc>
      </w:tr>
      <w:tr w:rsidR="00161A0A" w:rsidRPr="00613162" w:rsidTr="00A9252F">
        <w:tc>
          <w:tcPr>
            <w:tcW w:w="5000" w:type="pct"/>
            <w:gridSpan w:val="4"/>
          </w:tcPr>
          <w:p w:rsidR="00161A0A" w:rsidRPr="00613162" w:rsidRDefault="00161A0A" w:rsidP="00161A0A">
            <w:pPr>
              <w:jc w:val="both"/>
              <w:rPr>
                <w:sz w:val="20"/>
                <w:lang w:val="fr-CA"/>
              </w:rPr>
            </w:pPr>
            <w:r w:rsidRPr="00613162">
              <w:rPr>
                <w:sz w:val="20"/>
                <w:lang w:val="fr-CA"/>
              </w:rPr>
              <w:t>Contrats — Assurance — Assurance de biens — Dépréciation récupérable — Renonciation — La compagnie d’assurance et l’assurée ont convenu que l’assurée remplacerait l’édifice qui avait été détruit dans un délai de 24 mois afin de recevoir le paiement au titre de la dépréciation récupérable, sous peine de renonciation et de déchéance de son droit — L’édifice n’a pas été remplacé dans ce délai — L’assureur s’est demandé s’il allait approuver un bien que l’assurée a voulu acheter après l’expiration de la période de 24 mois — L’assureur a finalement avisé l’assurée que celle-ci avait renoncé à son droit à la dépréciation récupérable — Les attentes raisonnables de la contrepartie jouent-elles un rôle dans l’application d’une renonciation? — Comment le principe directeur de la bonne foi a</w:t>
            </w:r>
            <w:r w:rsidRPr="00613162">
              <w:rPr>
                <w:sz w:val="20"/>
                <w:lang w:val="fr-CA"/>
              </w:rPr>
              <w:noBreakHyphen/>
              <w:t>t</w:t>
            </w:r>
            <w:r w:rsidRPr="00613162">
              <w:rPr>
                <w:sz w:val="20"/>
                <w:lang w:val="fr-CA"/>
              </w:rPr>
              <w:noBreakHyphen/>
              <w:t>il une incidence sur l’application de la théorie de la renonciation? — Quels principes doivent guider le pouvoir discrétionnaire du tribunal de ne pas appliquer la renonciation?</w:t>
            </w:r>
          </w:p>
        </w:tc>
      </w:tr>
      <w:tr w:rsidR="00161A0A" w:rsidRPr="00613162" w:rsidTr="00A9252F">
        <w:tc>
          <w:tcPr>
            <w:tcW w:w="5000" w:type="pct"/>
            <w:gridSpan w:val="4"/>
          </w:tcPr>
          <w:p w:rsidR="00161A0A" w:rsidRPr="00613162" w:rsidRDefault="00161A0A" w:rsidP="00161A0A">
            <w:pPr>
              <w:jc w:val="both"/>
              <w:rPr>
                <w:sz w:val="20"/>
                <w:lang w:val="fr-CA"/>
              </w:rPr>
            </w:pPr>
          </w:p>
        </w:tc>
      </w:tr>
      <w:tr w:rsidR="00161A0A" w:rsidRPr="00613162" w:rsidTr="00A9252F">
        <w:tc>
          <w:tcPr>
            <w:tcW w:w="5000" w:type="pct"/>
            <w:gridSpan w:val="4"/>
          </w:tcPr>
          <w:p w:rsidR="00161A0A" w:rsidRPr="00613162" w:rsidRDefault="00161A0A" w:rsidP="00161A0A">
            <w:pPr>
              <w:jc w:val="both"/>
              <w:rPr>
                <w:sz w:val="20"/>
                <w:lang w:val="fr-CA"/>
              </w:rPr>
            </w:pPr>
            <w:r w:rsidRPr="00613162">
              <w:rPr>
                <w:sz w:val="20"/>
                <w:lang w:val="fr-CA"/>
              </w:rPr>
              <w:t>Les demanderesses (l’« assurée ») sont des sociétés liées qui étaient les propriétaires ou les occupantes d’un édifice commercial détruit par un incendie en 2011. Les intimées (l’« assureur ») assuraient l’édifice détruit. En vertu de la police, l’assurée avait droit à la dépréciation récupérable. En mai 2013, les parties ont conclu un accord de règlement partiel par lequel elles convenaient que l’assurée aurait 24 mois pour entreprendre le remplacement de l’édifice détruit, à défaut de quoi elle serait [</w:t>
            </w:r>
            <w:r w:rsidRPr="00613162">
              <w:rPr>
                <w:smallCaps/>
                <w:sz w:val="20"/>
                <w:lang w:val="fr-CA"/>
              </w:rPr>
              <w:t>traduction</w:t>
            </w:r>
            <w:r w:rsidRPr="00613162">
              <w:rPr>
                <w:sz w:val="20"/>
                <w:lang w:val="fr-CA"/>
              </w:rPr>
              <w:t>] « réputée avoir renoncé pour toujours » à présenter toute demande d’indemnisation au titre de la dépréciation récupérable. À l’intérieur du délai de 24 mois, l’assurée a conclu une convention d’achat d’un bien que l’assurée a accepté à titre de bien de remplacement convenable. Les parties ont conclu un autre accord de règlement touchant les questions non encore réglées. Cet accord était soumis à diverses conditions, notamment que l’assurée close la convention d’achat existante. L’assurée n’a pas clos cette convention et elle a conclu par la suite une autre convention d’achat d’un bien différent. Lorsque l’assureur a pris connaissance de ses développements, il a mis presque trois mois pour informer l’assurée qu’elle avait perdu son droit à la dépréciation récupérable. L’assurée a présenté avec succès une motion en jugement sommaire partiel et a obtenu un jugement déclarant que l’assureur avait relevé l’assurée de l’obligation de remplacer l’édifice détruit dans un délai de 24 mois. L’assureur a interjeté appel. La Cour d’appel a annulé le jugement sommaire et y a substitué un jugement déclarant que l’assureur n’avait pas relevé l’assurée de son omission d’avoir remplacé l’édifice détruit. Elle a rejeté l’appel incident de l’assurée.</w:t>
            </w:r>
          </w:p>
          <w:p w:rsidR="00161A0A" w:rsidRPr="00613162" w:rsidRDefault="00161A0A" w:rsidP="00161A0A">
            <w:pPr>
              <w:jc w:val="both"/>
              <w:rPr>
                <w:sz w:val="20"/>
                <w:lang w:val="fr-CA"/>
              </w:rPr>
            </w:pPr>
          </w:p>
        </w:tc>
      </w:tr>
      <w:tr w:rsidR="00161A0A" w:rsidRPr="00613162" w:rsidTr="00A9252F">
        <w:tc>
          <w:tcPr>
            <w:tcW w:w="2427" w:type="pct"/>
            <w:gridSpan w:val="2"/>
          </w:tcPr>
          <w:p w:rsidR="00161A0A" w:rsidRPr="00613162" w:rsidRDefault="00161A0A" w:rsidP="00161A0A">
            <w:pPr>
              <w:jc w:val="both"/>
              <w:rPr>
                <w:sz w:val="20"/>
                <w:lang w:val="fr-CA"/>
              </w:rPr>
            </w:pPr>
            <w:r w:rsidRPr="00613162">
              <w:rPr>
                <w:sz w:val="20"/>
                <w:lang w:val="fr-CA"/>
              </w:rPr>
              <w:t>18 mai 2017</w:t>
            </w:r>
          </w:p>
          <w:p w:rsidR="00161A0A" w:rsidRPr="00613162" w:rsidRDefault="00161A0A" w:rsidP="00161A0A">
            <w:pPr>
              <w:jc w:val="both"/>
              <w:rPr>
                <w:sz w:val="20"/>
                <w:lang w:val="fr-CA"/>
              </w:rPr>
            </w:pPr>
            <w:r w:rsidRPr="00613162">
              <w:rPr>
                <w:sz w:val="20"/>
                <w:lang w:val="fr-CA"/>
              </w:rPr>
              <w:t>Cour supérieure de justice de l’Ontario</w:t>
            </w:r>
          </w:p>
          <w:p w:rsidR="00161A0A" w:rsidRPr="00613162" w:rsidRDefault="00161A0A" w:rsidP="00161A0A">
            <w:pPr>
              <w:jc w:val="both"/>
              <w:rPr>
                <w:sz w:val="20"/>
                <w:lang w:val="fr-CA"/>
              </w:rPr>
            </w:pPr>
            <w:r w:rsidRPr="00613162">
              <w:rPr>
                <w:sz w:val="20"/>
                <w:lang w:val="fr-CA"/>
              </w:rPr>
              <w:t>(Juge King)</w:t>
            </w:r>
          </w:p>
          <w:p w:rsidR="00161A0A" w:rsidRPr="00613162" w:rsidRDefault="00161A0A" w:rsidP="00161A0A">
            <w:pPr>
              <w:jc w:val="both"/>
              <w:rPr>
                <w:sz w:val="20"/>
                <w:lang w:val="fr-CA"/>
              </w:rPr>
            </w:pPr>
            <w:hyperlink r:id="rId19" w:history="1">
              <w:r w:rsidRPr="00613162">
                <w:rPr>
                  <w:rStyle w:val="Hyperlink"/>
                  <w:sz w:val="20"/>
                  <w:lang w:val="fr-CA"/>
                </w:rPr>
                <w:t>2017 ONSC 1740</w:t>
              </w:r>
            </w:hyperlink>
          </w:p>
          <w:p w:rsidR="00161A0A" w:rsidRPr="00613162" w:rsidRDefault="00161A0A" w:rsidP="00161A0A">
            <w:pPr>
              <w:jc w:val="both"/>
              <w:rPr>
                <w:sz w:val="20"/>
                <w:lang w:val="fr-CA"/>
              </w:rPr>
            </w:pPr>
          </w:p>
        </w:tc>
        <w:tc>
          <w:tcPr>
            <w:tcW w:w="243" w:type="pct"/>
          </w:tcPr>
          <w:p w:rsidR="00161A0A" w:rsidRPr="00613162" w:rsidRDefault="00161A0A" w:rsidP="00161A0A">
            <w:pPr>
              <w:jc w:val="both"/>
              <w:rPr>
                <w:sz w:val="20"/>
                <w:lang w:val="fr-CA"/>
              </w:rPr>
            </w:pPr>
          </w:p>
        </w:tc>
        <w:tc>
          <w:tcPr>
            <w:tcW w:w="2330" w:type="pct"/>
          </w:tcPr>
          <w:p w:rsidR="00161A0A" w:rsidRPr="00613162" w:rsidRDefault="00161A0A" w:rsidP="00161A0A">
            <w:pPr>
              <w:jc w:val="both"/>
              <w:rPr>
                <w:sz w:val="20"/>
                <w:lang w:val="fr-CA"/>
              </w:rPr>
            </w:pPr>
            <w:r w:rsidRPr="00613162">
              <w:rPr>
                <w:sz w:val="20"/>
                <w:lang w:val="fr-CA"/>
              </w:rPr>
              <w:t xml:space="preserve">Jugement accueillant la motion des demanderesses en jugement sommaire partiel et déclarant que les demanderesses ont le droit d’être indemnisées au titre de la dépréciation récupérable. </w:t>
            </w:r>
          </w:p>
          <w:p w:rsidR="00161A0A" w:rsidRPr="00613162" w:rsidRDefault="00161A0A" w:rsidP="00161A0A">
            <w:pPr>
              <w:jc w:val="both"/>
              <w:rPr>
                <w:sz w:val="20"/>
                <w:lang w:val="fr-CA"/>
              </w:rPr>
            </w:pPr>
          </w:p>
        </w:tc>
      </w:tr>
      <w:tr w:rsidR="00161A0A" w:rsidRPr="00613162" w:rsidTr="00A9252F">
        <w:tc>
          <w:tcPr>
            <w:tcW w:w="2427" w:type="pct"/>
            <w:gridSpan w:val="2"/>
          </w:tcPr>
          <w:p w:rsidR="00161A0A" w:rsidRPr="00613162" w:rsidRDefault="00161A0A" w:rsidP="00161A0A">
            <w:pPr>
              <w:jc w:val="both"/>
              <w:rPr>
                <w:sz w:val="20"/>
                <w:lang w:val="fr-CA"/>
              </w:rPr>
            </w:pPr>
            <w:r w:rsidRPr="00613162">
              <w:rPr>
                <w:sz w:val="20"/>
                <w:lang w:val="fr-CA"/>
              </w:rPr>
              <w:t>12 février 2020</w:t>
            </w:r>
          </w:p>
          <w:p w:rsidR="00161A0A" w:rsidRPr="00613162" w:rsidRDefault="00161A0A" w:rsidP="00161A0A">
            <w:pPr>
              <w:jc w:val="both"/>
              <w:rPr>
                <w:sz w:val="20"/>
                <w:lang w:val="fr-CA"/>
              </w:rPr>
            </w:pPr>
            <w:r w:rsidRPr="00613162">
              <w:rPr>
                <w:sz w:val="20"/>
                <w:lang w:val="fr-CA"/>
              </w:rPr>
              <w:t>Cour d’appel de l’Ontario</w:t>
            </w:r>
          </w:p>
          <w:p w:rsidR="00161A0A" w:rsidRPr="00613162" w:rsidRDefault="00161A0A" w:rsidP="00161A0A">
            <w:pPr>
              <w:jc w:val="both"/>
              <w:rPr>
                <w:sz w:val="20"/>
                <w:lang w:val="fr-CA"/>
              </w:rPr>
            </w:pPr>
            <w:r w:rsidRPr="00613162">
              <w:rPr>
                <w:sz w:val="20"/>
                <w:lang w:val="fr-CA"/>
              </w:rPr>
              <w:t>(Juges Simmons, Pardu et Nordheimer)</w:t>
            </w:r>
          </w:p>
          <w:p w:rsidR="00161A0A" w:rsidRPr="00613162" w:rsidRDefault="00161A0A" w:rsidP="00161A0A">
            <w:pPr>
              <w:jc w:val="both"/>
              <w:rPr>
                <w:sz w:val="20"/>
                <w:lang w:val="fr-CA"/>
              </w:rPr>
            </w:pPr>
            <w:hyperlink r:id="rId20" w:history="1">
              <w:r w:rsidRPr="00613162">
                <w:rPr>
                  <w:rStyle w:val="Hyperlink"/>
                  <w:sz w:val="20"/>
                  <w:lang w:val="fr-CA"/>
                </w:rPr>
                <w:t>2020 ONCA 111</w:t>
              </w:r>
            </w:hyperlink>
          </w:p>
          <w:p w:rsidR="00161A0A" w:rsidRPr="00613162" w:rsidRDefault="00161A0A" w:rsidP="00161A0A">
            <w:pPr>
              <w:jc w:val="both"/>
              <w:rPr>
                <w:sz w:val="20"/>
                <w:lang w:val="fr-CA"/>
              </w:rPr>
            </w:pPr>
          </w:p>
        </w:tc>
        <w:tc>
          <w:tcPr>
            <w:tcW w:w="243" w:type="pct"/>
          </w:tcPr>
          <w:p w:rsidR="00161A0A" w:rsidRPr="00613162" w:rsidRDefault="00161A0A" w:rsidP="00161A0A">
            <w:pPr>
              <w:jc w:val="both"/>
              <w:rPr>
                <w:sz w:val="20"/>
                <w:lang w:val="fr-CA"/>
              </w:rPr>
            </w:pPr>
          </w:p>
        </w:tc>
        <w:tc>
          <w:tcPr>
            <w:tcW w:w="2330" w:type="pct"/>
          </w:tcPr>
          <w:p w:rsidR="00161A0A" w:rsidRPr="00613162" w:rsidRDefault="00161A0A" w:rsidP="00161A0A">
            <w:pPr>
              <w:jc w:val="both"/>
              <w:rPr>
                <w:sz w:val="20"/>
                <w:lang w:val="fr-CA"/>
              </w:rPr>
            </w:pPr>
            <w:r w:rsidRPr="00613162">
              <w:rPr>
                <w:sz w:val="20"/>
                <w:lang w:val="fr-CA"/>
              </w:rPr>
              <w:t xml:space="preserve">Arrêt accueillant l’appel des intimées, annulant le jugement sommaire et rejetant l’appel incident des demanderesses. </w:t>
            </w:r>
          </w:p>
        </w:tc>
      </w:tr>
      <w:tr w:rsidR="00161A0A" w:rsidRPr="00613162" w:rsidTr="00A9252F">
        <w:tc>
          <w:tcPr>
            <w:tcW w:w="2427" w:type="pct"/>
            <w:gridSpan w:val="2"/>
          </w:tcPr>
          <w:p w:rsidR="00161A0A" w:rsidRPr="00613162" w:rsidRDefault="00161A0A" w:rsidP="00161A0A">
            <w:pPr>
              <w:jc w:val="both"/>
              <w:rPr>
                <w:sz w:val="20"/>
                <w:lang w:val="fr-CA"/>
              </w:rPr>
            </w:pPr>
            <w:r w:rsidRPr="00613162">
              <w:rPr>
                <w:sz w:val="20"/>
                <w:lang w:val="fr-CA"/>
              </w:rPr>
              <w:t>14 avril 2020</w:t>
            </w:r>
          </w:p>
          <w:p w:rsidR="00161A0A" w:rsidRPr="00613162" w:rsidRDefault="00161A0A" w:rsidP="00161A0A">
            <w:pPr>
              <w:jc w:val="both"/>
              <w:rPr>
                <w:sz w:val="20"/>
                <w:lang w:val="fr-CA"/>
              </w:rPr>
            </w:pPr>
            <w:r w:rsidRPr="00613162">
              <w:rPr>
                <w:sz w:val="20"/>
                <w:lang w:val="fr-CA"/>
              </w:rPr>
              <w:t>Cour suprême du Canada</w:t>
            </w:r>
          </w:p>
        </w:tc>
        <w:tc>
          <w:tcPr>
            <w:tcW w:w="243" w:type="pct"/>
          </w:tcPr>
          <w:p w:rsidR="00161A0A" w:rsidRPr="00613162" w:rsidRDefault="00161A0A" w:rsidP="00161A0A">
            <w:pPr>
              <w:jc w:val="both"/>
              <w:rPr>
                <w:sz w:val="20"/>
                <w:lang w:val="fr-CA"/>
              </w:rPr>
            </w:pPr>
          </w:p>
        </w:tc>
        <w:tc>
          <w:tcPr>
            <w:tcW w:w="2330" w:type="pct"/>
          </w:tcPr>
          <w:p w:rsidR="00161A0A" w:rsidRPr="00613162" w:rsidRDefault="00161A0A" w:rsidP="00161A0A">
            <w:pPr>
              <w:jc w:val="both"/>
              <w:rPr>
                <w:sz w:val="20"/>
                <w:lang w:val="fr-CA"/>
              </w:rPr>
            </w:pPr>
            <w:r w:rsidRPr="00613162">
              <w:rPr>
                <w:sz w:val="20"/>
                <w:lang w:val="fr-CA"/>
              </w:rPr>
              <w:t>Dépôt de la demande d’autorisation d’appel</w:t>
            </w:r>
          </w:p>
          <w:p w:rsidR="00161A0A" w:rsidRPr="00613162" w:rsidRDefault="00161A0A" w:rsidP="00161A0A">
            <w:pPr>
              <w:jc w:val="both"/>
              <w:rPr>
                <w:sz w:val="20"/>
                <w:lang w:val="fr-CA"/>
              </w:rPr>
            </w:pPr>
          </w:p>
        </w:tc>
      </w:tr>
    </w:tbl>
    <w:p w:rsidR="00161A0A" w:rsidRPr="00613162" w:rsidRDefault="00161A0A" w:rsidP="00161A0A">
      <w:pPr>
        <w:jc w:val="both"/>
        <w:rPr>
          <w:sz w:val="20"/>
          <w:lang w:val="fr-CA"/>
        </w:rPr>
      </w:pPr>
    </w:p>
    <w:p w:rsidR="00767D1B" w:rsidRPr="00613162" w:rsidRDefault="00767D1B" w:rsidP="00161A0A">
      <w:pPr>
        <w:jc w:val="both"/>
        <w:rPr>
          <w:sz w:val="20"/>
          <w:lang w:val="fr-CA"/>
        </w:rPr>
      </w:pPr>
      <w:r w:rsidRPr="00613162">
        <w:rPr>
          <w:sz w:val="20"/>
        </w:rPr>
        <w:pict>
          <v:rect id="_x0000_i1031" style="width:2in;height:1pt" o:hrpct="0" o:hralign="center" o:hrstd="t" o:hrnoshade="t" o:hr="t" fillcolor="black [3213]" stroked="f"/>
        </w:pict>
      </w:r>
    </w:p>
    <w:p w:rsidR="00F61FFA" w:rsidRPr="00613162" w:rsidRDefault="00F61FFA" w:rsidP="00161A0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61A0A" w:rsidRPr="00613162" w:rsidTr="00E95A6A">
        <w:tc>
          <w:tcPr>
            <w:tcW w:w="543" w:type="pct"/>
          </w:tcPr>
          <w:p w:rsidR="00161A0A" w:rsidRPr="00613162" w:rsidRDefault="00161A0A" w:rsidP="00161A0A">
            <w:pPr>
              <w:jc w:val="both"/>
              <w:rPr>
                <w:sz w:val="20"/>
              </w:rPr>
            </w:pPr>
            <w:r w:rsidRPr="00613162">
              <w:rPr>
                <w:rStyle w:val="SCCFileNumberChar"/>
                <w:sz w:val="20"/>
                <w:szCs w:val="20"/>
              </w:rPr>
              <w:t>39133</w:t>
            </w:r>
          </w:p>
        </w:tc>
        <w:tc>
          <w:tcPr>
            <w:tcW w:w="4457" w:type="pct"/>
            <w:gridSpan w:val="3"/>
          </w:tcPr>
          <w:p w:rsidR="00161A0A" w:rsidRPr="00613162" w:rsidRDefault="00161A0A" w:rsidP="00161A0A">
            <w:pPr>
              <w:pStyle w:val="SCCLsocParty"/>
              <w:jc w:val="both"/>
              <w:rPr>
                <w:b/>
                <w:sz w:val="20"/>
                <w:szCs w:val="20"/>
                <w:lang w:val="en-US"/>
              </w:rPr>
            </w:pPr>
            <w:r w:rsidRPr="00613162">
              <w:rPr>
                <w:b/>
                <w:sz w:val="20"/>
                <w:szCs w:val="20"/>
                <w:lang w:val="en-US"/>
              </w:rPr>
              <w:t>Her Majesty the Queen v. J.J.</w:t>
            </w:r>
          </w:p>
          <w:p w:rsidR="00161A0A" w:rsidRPr="00613162" w:rsidRDefault="00161A0A" w:rsidP="00161A0A">
            <w:pPr>
              <w:jc w:val="both"/>
              <w:rPr>
                <w:sz w:val="20"/>
              </w:rPr>
            </w:pPr>
            <w:r w:rsidRPr="00613162">
              <w:rPr>
                <w:sz w:val="20"/>
              </w:rPr>
              <w:t>(B.C.) (Criminal) (By Leave)</w:t>
            </w:r>
          </w:p>
        </w:tc>
      </w:tr>
      <w:tr w:rsidR="00161A0A" w:rsidRPr="00613162" w:rsidTr="00E95A6A">
        <w:tc>
          <w:tcPr>
            <w:tcW w:w="5000" w:type="pct"/>
            <w:gridSpan w:val="4"/>
          </w:tcPr>
          <w:p w:rsidR="00161A0A" w:rsidRPr="00613162" w:rsidRDefault="00161A0A" w:rsidP="00161A0A">
            <w:pPr>
              <w:pStyle w:val="SCCBanSummary"/>
              <w:rPr>
                <w:sz w:val="20"/>
                <w:szCs w:val="20"/>
              </w:rPr>
            </w:pPr>
            <w:r w:rsidRPr="00613162">
              <w:rPr>
                <w:sz w:val="20"/>
                <w:szCs w:val="20"/>
              </w:rPr>
              <w:t>(Publication ban in case)</w:t>
            </w:r>
          </w:p>
          <w:p w:rsidR="00161A0A" w:rsidRPr="00613162" w:rsidRDefault="00161A0A" w:rsidP="00161A0A">
            <w:pPr>
              <w:pStyle w:val="SCCBanSummary"/>
              <w:rPr>
                <w:sz w:val="20"/>
                <w:szCs w:val="20"/>
              </w:rPr>
            </w:pPr>
          </w:p>
          <w:p w:rsidR="00161A0A" w:rsidRPr="00613162" w:rsidRDefault="00161A0A" w:rsidP="00161A0A">
            <w:pPr>
              <w:jc w:val="both"/>
              <w:rPr>
                <w:sz w:val="20"/>
              </w:rPr>
            </w:pPr>
            <w:r w:rsidRPr="00613162">
              <w:rPr>
                <w:i/>
                <w:sz w:val="20"/>
              </w:rPr>
              <w:t>Charter of Rights</w:t>
            </w:r>
            <w:r w:rsidRPr="00613162">
              <w:rPr>
                <w:sz w:val="20"/>
              </w:rPr>
              <w:t xml:space="preserve"> — Constitutional law — Criminal law — Admissibility and use of third party records in the possession of the accused for certain enumerated sexual offences — Constitutionality of s. 278.93(4) of the </w:t>
            </w:r>
            <w:r w:rsidRPr="00613162">
              <w:rPr>
                <w:i/>
                <w:sz w:val="20"/>
              </w:rPr>
              <w:t>Criminal Code</w:t>
            </w:r>
            <w:r w:rsidRPr="00613162">
              <w:rPr>
                <w:sz w:val="20"/>
              </w:rPr>
              <w:t xml:space="preserve"> — Interlocutory constitutional ruling in which the trial judge held that the seven</w:t>
            </w:r>
            <w:r w:rsidRPr="00613162">
              <w:rPr>
                <w:sz w:val="20"/>
              </w:rPr>
              <w:noBreakHyphen/>
              <w:t xml:space="preserve">day notice requirement in s. 278.93(4) of the </w:t>
            </w:r>
            <w:r w:rsidRPr="00613162">
              <w:rPr>
                <w:i/>
                <w:sz w:val="20"/>
              </w:rPr>
              <w:t>Criminal Code</w:t>
            </w:r>
            <w:r w:rsidRPr="00613162">
              <w:rPr>
                <w:sz w:val="20"/>
              </w:rPr>
              <w:t xml:space="preserve"> violated s. 7 of the </w:t>
            </w:r>
            <w:r w:rsidRPr="00613162">
              <w:rPr>
                <w:i/>
                <w:sz w:val="20"/>
              </w:rPr>
              <w:t xml:space="preserve">Charter </w:t>
            </w:r>
            <w:r w:rsidRPr="00613162">
              <w:rPr>
                <w:sz w:val="20"/>
              </w:rPr>
              <w:t xml:space="preserve">and could not be saved under s. 1 — Whether the trial judge erred in concluding that s. 278.93(4) was constitutionally flawed — Whether it is in the public interest for this Court to determine the constitutionality of s. 278.93(4) — Whether inconsistent trial decisions have resulted in a patchwork of different procedures across the country — Whether the only avenue of appeal lies to this Court pursuant to s. 40 of the </w:t>
            </w:r>
            <w:r w:rsidRPr="00613162">
              <w:rPr>
                <w:i/>
                <w:sz w:val="20"/>
              </w:rPr>
              <w:t xml:space="preserve">Supreme Court Act </w:t>
            </w:r>
            <w:r w:rsidRPr="00613162">
              <w:rPr>
                <w:sz w:val="20"/>
              </w:rPr>
              <w:t>and the “dual proceeding” principles in</w:t>
            </w:r>
            <w:r w:rsidRPr="00613162">
              <w:rPr>
                <w:i/>
                <w:sz w:val="20"/>
              </w:rPr>
              <w:t xml:space="preserve"> R</w:t>
            </w:r>
            <w:r w:rsidRPr="00613162">
              <w:rPr>
                <w:sz w:val="20"/>
              </w:rPr>
              <w:t xml:space="preserve">. v. </w:t>
            </w:r>
            <w:r w:rsidRPr="00613162">
              <w:rPr>
                <w:i/>
                <w:sz w:val="20"/>
              </w:rPr>
              <w:t>Laba,</w:t>
            </w:r>
            <w:r w:rsidRPr="00613162">
              <w:rPr>
                <w:sz w:val="20"/>
              </w:rPr>
              <w:t xml:space="preserve"> [1994] 3 S.C.R. 965 — </w:t>
            </w:r>
            <w:r w:rsidRPr="00613162">
              <w:rPr>
                <w:i/>
                <w:sz w:val="20"/>
              </w:rPr>
              <w:t>Charter of Rights and Freedoms</w:t>
            </w:r>
            <w:r w:rsidRPr="00613162">
              <w:rPr>
                <w:sz w:val="20"/>
              </w:rPr>
              <w:t>, ss. 1 and 7.</w:t>
            </w:r>
          </w:p>
          <w:p w:rsidR="00161A0A" w:rsidRPr="00613162" w:rsidRDefault="00161A0A" w:rsidP="00161A0A">
            <w:pPr>
              <w:jc w:val="both"/>
              <w:rPr>
                <w:sz w:val="20"/>
              </w:rPr>
            </w:pPr>
          </w:p>
        </w:tc>
      </w:tr>
      <w:tr w:rsidR="00161A0A" w:rsidRPr="00613162" w:rsidTr="00E95A6A">
        <w:tc>
          <w:tcPr>
            <w:tcW w:w="5000" w:type="pct"/>
            <w:gridSpan w:val="4"/>
          </w:tcPr>
          <w:p w:rsidR="00161A0A" w:rsidRPr="00613162" w:rsidRDefault="00161A0A" w:rsidP="00161A0A">
            <w:pPr>
              <w:jc w:val="both"/>
              <w:rPr>
                <w:sz w:val="20"/>
              </w:rPr>
            </w:pPr>
            <w:r w:rsidRPr="00613162">
              <w:rPr>
                <w:sz w:val="20"/>
              </w:rPr>
              <w:t xml:space="preserve">The applicant has applied for leave to appeal pursuant to s. 40 of the </w:t>
            </w:r>
            <w:r w:rsidRPr="00613162">
              <w:rPr>
                <w:i/>
                <w:sz w:val="20"/>
              </w:rPr>
              <w:t>Supreme Court Act</w:t>
            </w:r>
            <w:r w:rsidRPr="00613162">
              <w:rPr>
                <w:sz w:val="20"/>
              </w:rPr>
              <w:t>, R.S.C. 1985, c. S</w:t>
            </w:r>
            <w:r w:rsidRPr="00613162">
              <w:rPr>
                <w:sz w:val="20"/>
              </w:rPr>
              <w:noBreakHyphen/>
              <w:t>26 from an interlocutory constitutional ruling in which Duncan J. held that the seven</w:t>
            </w:r>
            <w:r w:rsidRPr="00613162">
              <w:rPr>
                <w:sz w:val="20"/>
              </w:rPr>
              <w:noBreakHyphen/>
              <w:t xml:space="preserve">day notice requirement in s. 278.93(4) of the </w:t>
            </w:r>
            <w:r w:rsidRPr="00613162">
              <w:rPr>
                <w:i/>
                <w:sz w:val="20"/>
              </w:rPr>
              <w:t>Criminal Code</w:t>
            </w:r>
            <w:r w:rsidRPr="00613162">
              <w:rPr>
                <w:sz w:val="20"/>
              </w:rPr>
              <w:t xml:space="preserve"> violated s. 7 of the </w:t>
            </w:r>
            <w:r w:rsidRPr="00613162">
              <w:rPr>
                <w:i/>
                <w:sz w:val="20"/>
              </w:rPr>
              <w:t xml:space="preserve">Charter </w:t>
            </w:r>
            <w:r w:rsidRPr="00613162">
              <w:rPr>
                <w:sz w:val="20"/>
              </w:rPr>
              <w:t xml:space="preserve">and could not be saved under s. 1 of the </w:t>
            </w:r>
            <w:r w:rsidRPr="00613162">
              <w:rPr>
                <w:i/>
                <w:sz w:val="20"/>
              </w:rPr>
              <w:t>Charter</w:t>
            </w:r>
            <w:r w:rsidRPr="00613162">
              <w:rPr>
                <w:sz w:val="20"/>
              </w:rPr>
              <w:t xml:space="preserve">. Duncan J. “read down” s. 278.93(4) of the </w:t>
            </w:r>
            <w:r w:rsidRPr="00613162">
              <w:rPr>
                <w:i/>
                <w:sz w:val="20"/>
              </w:rPr>
              <w:t>Criminal Code</w:t>
            </w:r>
            <w:r w:rsidRPr="00613162">
              <w:rPr>
                <w:sz w:val="20"/>
              </w:rPr>
              <w:t xml:space="preserve"> to: (1) remove the seven day notice requirement in s. 278.93(4) only as it applies to s. 278.92 applications; and (2) provide that s. 278.92 applications should be made “at the conclusion of the complainant’s examination in chief, or as otherwise required by the judge, provincial court judge or justice in the interests of justice”.</w:t>
            </w:r>
          </w:p>
        </w:tc>
      </w:tr>
      <w:tr w:rsidR="00161A0A" w:rsidRPr="00613162" w:rsidTr="00E95A6A">
        <w:tc>
          <w:tcPr>
            <w:tcW w:w="5000" w:type="pct"/>
            <w:gridSpan w:val="4"/>
          </w:tcPr>
          <w:p w:rsidR="00161A0A" w:rsidRPr="00613162" w:rsidRDefault="00161A0A" w:rsidP="00161A0A">
            <w:pPr>
              <w:jc w:val="both"/>
              <w:rPr>
                <w:sz w:val="20"/>
              </w:rPr>
            </w:pPr>
          </w:p>
        </w:tc>
      </w:tr>
      <w:tr w:rsidR="00161A0A" w:rsidRPr="00613162" w:rsidTr="00E95A6A">
        <w:tc>
          <w:tcPr>
            <w:tcW w:w="2427" w:type="pct"/>
            <w:gridSpan w:val="2"/>
          </w:tcPr>
          <w:p w:rsidR="00161A0A" w:rsidRPr="00613162" w:rsidRDefault="00161A0A" w:rsidP="00161A0A">
            <w:pPr>
              <w:jc w:val="both"/>
              <w:rPr>
                <w:sz w:val="20"/>
              </w:rPr>
            </w:pPr>
            <w:r w:rsidRPr="00613162">
              <w:rPr>
                <w:sz w:val="20"/>
              </w:rPr>
              <w:t>January 6, 2020</w:t>
            </w:r>
          </w:p>
          <w:p w:rsidR="00161A0A" w:rsidRPr="00613162" w:rsidRDefault="00161A0A" w:rsidP="00161A0A">
            <w:pPr>
              <w:jc w:val="both"/>
              <w:rPr>
                <w:sz w:val="20"/>
              </w:rPr>
            </w:pPr>
            <w:r w:rsidRPr="00613162">
              <w:rPr>
                <w:sz w:val="20"/>
              </w:rPr>
              <w:t>Supreme Court of British Columbia</w:t>
            </w:r>
          </w:p>
          <w:p w:rsidR="00161A0A" w:rsidRPr="00613162" w:rsidRDefault="00161A0A" w:rsidP="00161A0A">
            <w:pPr>
              <w:jc w:val="both"/>
              <w:rPr>
                <w:sz w:val="20"/>
              </w:rPr>
            </w:pPr>
            <w:r w:rsidRPr="00613162">
              <w:rPr>
                <w:sz w:val="20"/>
              </w:rPr>
              <w:t>(Duncan J.)</w:t>
            </w:r>
          </w:p>
          <w:p w:rsidR="00161A0A" w:rsidRPr="00613162" w:rsidRDefault="00161A0A" w:rsidP="00161A0A">
            <w:pPr>
              <w:jc w:val="both"/>
              <w:rPr>
                <w:sz w:val="20"/>
              </w:rPr>
            </w:pPr>
            <w:r w:rsidRPr="00613162">
              <w:rPr>
                <w:sz w:val="20"/>
              </w:rPr>
              <w:t xml:space="preserve">2020 BCSC 29 </w:t>
            </w:r>
          </w:p>
          <w:p w:rsidR="00161A0A" w:rsidRPr="00613162" w:rsidRDefault="00161A0A" w:rsidP="00161A0A">
            <w:pPr>
              <w:jc w:val="both"/>
              <w:rPr>
                <w:sz w:val="20"/>
              </w:rPr>
            </w:pPr>
            <w:r w:rsidRPr="00613162">
              <w:rPr>
                <w:sz w:val="20"/>
              </w:rPr>
              <w:t>(unreported)</w:t>
            </w:r>
          </w:p>
          <w:p w:rsidR="00161A0A" w:rsidRPr="00613162" w:rsidRDefault="00161A0A" w:rsidP="00161A0A">
            <w:pPr>
              <w:jc w:val="both"/>
              <w:rPr>
                <w:sz w:val="20"/>
              </w:rPr>
            </w:pPr>
          </w:p>
        </w:tc>
        <w:tc>
          <w:tcPr>
            <w:tcW w:w="243" w:type="pct"/>
          </w:tcPr>
          <w:p w:rsidR="00161A0A" w:rsidRPr="00613162" w:rsidRDefault="00161A0A" w:rsidP="00161A0A">
            <w:pPr>
              <w:jc w:val="both"/>
              <w:rPr>
                <w:sz w:val="20"/>
              </w:rPr>
            </w:pPr>
          </w:p>
        </w:tc>
        <w:tc>
          <w:tcPr>
            <w:tcW w:w="2330" w:type="pct"/>
          </w:tcPr>
          <w:p w:rsidR="00161A0A" w:rsidRPr="00613162" w:rsidRDefault="00161A0A" w:rsidP="00161A0A">
            <w:pPr>
              <w:jc w:val="both"/>
              <w:rPr>
                <w:sz w:val="20"/>
              </w:rPr>
            </w:pPr>
            <w:r w:rsidRPr="00613162">
              <w:rPr>
                <w:sz w:val="20"/>
              </w:rPr>
              <w:t xml:space="preserve">Constitutional ruling: the seven-day notice requirement in s. 278.93(4) of the </w:t>
            </w:r>
            <w:r w:rsidRPr="00613162">
              <w:rPr>
                <w:i/>
                <w:sz w:val="20"/>
              </w:rPr>
              <w:t>Criminal Code</w:t>
            </w:r>
            <w:r w:rsidRPr="00613162">
              <w:rPr>
                <w:sz w:val="20"/>
              </w:rPr>
              <w:t xml:space="preserve"> violates s. 7 of the </w:t>
            </w:r>
            <w:r w:rsidRPr="00613162">
              <w:rPr>
                <w:i/>
                <w:sz w:val="20"/>
              </w:rPr>
              <w:t>Charter</w:t>
            </w:r>
          </w:p>
          <w:p w:rsidR="00161A0A" w:rsidRPr="00613162" w:rsidRDefault="00161A0A" w:rsidP="00161A0A">
            <w:pPr>
              <w:jc w:val="both"/>
              <w:rPr>
                <w:sz w:val="20"/>
              </w:rPr>
            </w:pPr>
          </w:p>
        </w:tc>
      </w:tr>
      <w:tr w:rsidR="00161A0A" w:rsidRPr="00613162" w:rsidTr="00E95A6A">
        <w:tc>
          <w:tcPr>
            <w:tcW w:w="2427" w:type="pct"/>
            <w:gridSpan w:val="2"/>
          </w:tcPr>
          <w:p w:rsidR="00161A0A" w:rsidRPr="00613162" w:rsidRDefault="00161A0A" w:rsidP="00161A0A">
            <w:pPr>
              <w:jc w:val="both"/>
              <w:rPr>
                <w:sz w:val="20"/>
              </w:rPr>
            </w:pPr>
            <w:r w:rsidRPr="00613162">
              <w:rPr>
                <w:sz w:val="20"/>
              </w:rPr>
              <w:t>March 11, 2020</w:t>
            </w:r>
          </w:p>
          <w:p w:rsidR="00161A0A" w:rsidRPr="00613162" w:rsidRDefault="00161A0A" w:rsidP="00161A0A">
            <w:pPr>
              <w:jc w:val="both"/>
              <w:rPr>
                <w:sz w:val="20"/>
              </w:rPr>
            </w:pPr>
            <w:r w:rsidRPr="00613162">
              <w:rPr>
                <w:sz w:val="20"/>
              </w:rPr>
              <w:t>Supreme Court of British Columbia</w:t>
            </w:r>
          </w:p>
          <w:p w:rsidR="00161A0A" w:rsidRPr="00613162" w:rsidRDefault="00161A0A" w:rsidP="00161A0A">
            <w:pPr>
              <w:jc w:val="both"/>
              <w:rPr>
                <w:sz w:val="20"/>
              </w:rPr>
            </w:pPr>
            <w:r w:rsidRPr="00613162">
              <w:rPr>
                <w:sz w:val="20"/>
              </w:rPr>
              <w:t>(Duncan J.)</w:t>
            </w:r>
          </w:p>
          <w:p w:rsidR="00161A0A" w:rsidRPr="00613162" w:rsidRDefault="00161A0A" w:rsidP="00161A0A">
            <w:pPr>
              <w:jc w:val="both"/>
              <w:rPr>
                <w:sz w:val="20"/>
              </w:rPr>
            </w:pPr>
            <w:r w:rsidRPr="00613162">
              <w:rPr>
                <w:sz w:val="20"/>
              </w:rPr>
              <w:t>2020 BCSC 349</w:t>
            </w:r>
          </w:p>
          <w:p w:rsidR="00161A0A" w:rsidRPr="00613162" w:rsidRDefault="00161A0A" w:rsidP="00161A0A">
            <w:pPr>
              <w:jc w:val="both"/>
              <w:rPr>
                <w:sz w:val="20"/>
              </w:rPr>
            </w:pPr>
            <w:r w:rsidRPr="00613162">
              <w:rPr>
                <w:sz w:val="20"/>
              </w:rPr>
              <w:t>(unreported)</w:t>
            </w:r>
          </w:p>
          <w:p w:rsidR="00161A0A" w:rsidRPr="00613162" w:rsidRDefault="00161A0A" w:rsidP="00161A0A">
            <w:pPr>
              <w:jc w:val="both"/>
              <w:rPr>
                <w:sz w:val="20"/>
              </w:rPr>
            </w:pPr>
          </w:p>
        </w:tc>
        <w:tc>
          <w:tcPr>
            <w:tcW w:w="243" w:type="pct"/>
          </w:tcPr>
          <w:p w:rsidR="00161A0A" w:rsidRPr="00613162" w:rsidRDefault="00161A0A" w:rsidP="00161A0A">
            <w:pPr>
              <w:jc w:val="both"/>
              <w:rPr>
                <w:sz w:val="20"/>
              </w:rPr>
            </w:pPr>
          </w:p>
        </w:tc>
        <w:tc>
          <w:tcPr>
            <w:tcW w:w="2330" w:type="pct"/>
          </w:tcPr>
          <w:p w:rsidR="00161A0A" w:rsidRPr="00613162" w:rsidRDefault="00161A0A" w:rsidP="00161A0A">
            <w:pPr>
              <w:jc w:val="both"/>
              <w:rPr>
                <w:sz w:val="20"/>
              </w:rPr>
            </w:pPr>
            <w:r w:rsidRPr="00613162">
              <w:rPr>
                <w:sz w:val="20"/>
              </w:rPr>
              <w:t xml:space="preserve">Remedy ruling: s. 278.93(4) of the </w:t>
            </w:r>
            <w:r w:rsidRPr="00613162">
              <w:rPr>
                <w:i/>
                <w:sz w:val="20"/>
              </w:rPr>
              <w:t>Criminal Code</w:t>
            </w:r>
            <w:r w:rsidRPr="00613162">
              <w:rPr>
                <w:sz w:val="20"/>
              </w:rPr>
              <w:t xml:space="preserve"> cannot be saved under s. 1</w:t>
            </w:r>
          </w:p>
          <w:p w:rsidR="00161A0A" w:rsidRPr="00613162" w:rsidRDefault="00161A0A" w:rsidP="00161A0A">
            <w:pPr>
              <w:jc w:val="both"/>
              <w:rPr>
                <w:sz w:val="20"/>
              </w:rPr>
            </w:pPr>
          </w:p>
          <w:p w:rsidR="00161A0A" w:rsidRPr="00613162" w:rsidRDefault="00161A0A" w:rsidP="00161A0A">
            <w:pPr>
              <w:jc w:val="both"/>
              <w:rPr>
                <w:sz w:val="20"/>
              </w:rPr>
            </w:pPr>
          </w:p>
        </w:tc>
      </w:tr>
      <w:tr w:rsidR="00161A0A" w:rsidRPr="00613162" w:rsidTr="00E95A6A">
        <w:tc>
          <w:tcPr>
            <w:tcW w:w="2427" w:type="pct"/>
            <w:gridSpan w:val="2"/>
          </w:tcPr>
          <w:p w:rsidR="00161A0A" w:rsidRPr="00613162" w:rsidRDefault="00161A0A" w:rsidP="00161A0A">
            <w:pPr>
              <w:jc w:val="both"/>
              <w:rPr>
                <w:sz w:val="20"/>
              </w:rPr>
            </w:pPr>
            <w:r w:rsidRPr="00613162">
              <w:rPr>
                <w:sz w:val="20"/>
              </w:rPr>
              <w:t>April 17, 2020</w:t>
            </w:r>
          </w:p>
          <w:p w:rsidR="00161A0A" w:rsidRPr="00613162" w:rsidRDefault="00161A0A" w:rsidP="00161A0A">
            <w:pPr>
              <w:jc w:val="both"/>
              <w:rPr>
                <w:sz w:val="20"/>
              </w:rPr>
            </w:pPr>
            <w:r w:rsidRPr="00613162">
              <w:rPr>
                <w:sz w:val="20"/>
              </w:rPr>
              <w:t>Supreme Court of Canada</w:t>
            </w:r>
          </w:p>
        </w:tc>
        <w:tc>
          <w:tcPr>
            <w:tcW w:w="243" w:type="pct"/>
          </w:tcPr>
          <w:p w:rsidR="00161A0A" w:rsidRPr="00613162" w:rsidRDefault="00161A0A" w:rsidP="00161A0A">
            <w:pPr>
              <w:jc w:val="both"/>
              <w:rPr>
                <w:sz w:val="20"/>
              </w:rPr>
            </w:pPr>
          </w:p>
        </w:tc>
        <w:tc>
          <w:tcPr>
            <w:tcW w:w="2330" w:type="pct"/>
          </w:tcPr>
          <w:p w:rsidR="00161A0A" w:rsidRPr="00613162" w:rsidRDefault="00161A0A" w:rsidP="00161A0A">
            <w:pPr>
              <w:jc w:val="both"/>
              <w:rPr>
                <w:sz w:val="20"/>
              </w:rPr>
            </w:pPr>
            <w:r w:rsidRPr="00613162">
              <w:rPr>
                <w:sz w:val="20"/>
              </w:rPr>
              <w:t>Application for leave to appeal filed</w:t>
            </w:r>
          </w:p>
          <w:p w:rsidR="00161A0A" w:rsidRPr="00613162" w:rsidRDefault="00161A0A" w:rsidP="00161A0A">
            <w:pPr>
              <w:jc w:val="both"/>
              <w:rPr>
                <w:sz w:val="20"/>
              </w:rPr>
            </w:pPr>
          </w:p>
        </w:tc>
      </w:tr>
    </w:tbl>
    <w:p w:rsidR="00161A0A" w:rsidRPr="00613162" w:rsidRDefault="00161A0A" w:rsidP="00161A0A">
      <w:pPr>
        <w:jc w:val="both"/>
        <w:rPr>
          <w:sz w:val="20"/>
        </w:rPr>
      </w:pPr>
    </w:p>
    <w:p w:rsidR="00767D1B" w:rsidRPr="00613162" w:rsidRDefault="00767D1B" w:rsidP="00161A0A">
      <w:pPr>
        <w:jc w:val="both"/>
        <w:rPr>
          <w:sz w:val="20"/>
        </w:rPr>
      </w:pPr>
      <w:r w:rsidRPr="00613162">
        <w:rPr>
          <w:sz w:val="20"/>
        </w:rPr>
        <w:pict>
          <v:rect id="_x0000_i1032" style="width:2in;height:1pt" o:hrpct="0" o:hralign="center" o:hrstd="t" o:hrnoshade="t" o:hr="t" fillcolor="black [3213]" stroked="f"/>
        </w:pict>
      </w:r>
    </w:p>
    <w:p w:rsidR="00767D1B" w:rsidRPr="00613162" w:rsidRDefault="00767D1B" w:rsidP="00161A0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61A0A" w:rsidRPr="00613162" w:rsidTr="00E95A6A">
        <w:tc>
          <w:tcPr>
            <w:tcW w:w="543" w:type="pct"/>
          </w:tcPr>
          <w:p w:rsidR="00161A0A" w:rsidRPr="00613162" w:rsidRDefault="00161A0A" w:rsidP="00161A0A">
            <w:pPr>
              <w:jc w:val="both"/>
              <w:rPr>
                <w:sz w:val="20"/>
                <w:lang w:val="fr-CA"/>
              </w:rPr>
            </w:pPr>
            <w:r w:rsidRPr="00613162">
              <w:rPr>
                <w:rStyle w:val="SCCFileNumberChar"/>
                <w:sz w:val="20"/>
                <w:szCs w:val="20"/>
                <w:lang w:val="fr-CA"/>
              </w:rPr>
              <w:t>39133</w:t>
            </w:r>
          </w:p>
        </w:tc>
        <w:tc>
          <w:tcPr>
            <w:tcW w:w="4457" w:type="pct"/>
            <w:gridSpan w:val="3"/>
          </w:tcPr>
          <w:p w:rsidR="00161A0A" w:rsidRPr="00613162" w:rsidRDefault="00161A0A" w:rsidP="00161A0A">
            <w:pPr>
              <w:pStyle w:val="SCCLsocParty"/>
              <w:jc w:val="both"/>
              <w:rPr>
                <w:b/>
                <w:sz w:val="20"/>
                <w:szCs w:val="20"/>
              </w:rPr>
            </w:pPr>
            <w:r w:rsidRPr="00613162">
              <w:rPr>
                <w:b/>
                <w:sz w:val="20"/>
                <w:szCs w:val="20"/>
              </w:rPr>
              <w:t>Sa Majesté la Reine c. J.J.</w:t>
            </w:r>
          </w:p>
          <w:p w:rsidR="00161A0A" w:rsidRPr="00613162" w:rsidRDefault="00161A0A" w:rsidP="00161A0A">
            <w:pPr>
              <w:jc w:val="both"/>
              <w:rPr>
                <w:sz w:val="20"/>
                <w:lang w:val="fr-CA"/>
              </w:rPr>
            </w:pPr>
            <w:r w:rsidRPr="00613162">
              <w:rPr>
                <w:sz w:val="20"/>
                <w:lang w:val="fr-CA"/>
              </w:rPr>
              <w:t>(C.</w:t>
            </w:r>
            <w:r w:rsidRPr="00613162">
              <w:rPr>
                <w:sz w:val="20"/>
                <w:lang w:val="fr-CA"/>
              </w:rPr>
              <w:noBreakHyphen/>
              <w:t>B.) (Criminelle) (Sur autorisation)</w:t>
            </w:r>
          </w:p>
        </w:tc>
      </w:tr>
      <w:tr w:rsidR="00161A0A" w:rsidRPr="00613162" w:rsidTr="00E95A6A">
        <w:tc>
          <w:tcPr>
            <w:tcW w:w="5000" w:type="pct"/>
            <w:gridSpan w:val="4"/>
          </w:tcPr>
          <w:p w:rsidR="00161A0A" w:rsidRPr="00613162" w:rsidRDefault="00161A0A" w:rsidP="00161A0A">
            <w:pPr>
              <w:pStyle w:val="SCCBanSummary"/>
              <w:rPr>
                <w:sz w:val="20"/>
                <w:szCs w:val="20"/>
                <w:lang w:val="fr-CA"/>
              </w:rPr>
            </w:pPr>
            <w:r w:rsidRPr="00613162">
              <w:rPr>
                <w:sz w:val="20"/>
                <w:szCs w:val="20"/>
                <w:lang w:val="fr-CA"/>
              </w:rPr>
              <w:t>(Ordonnance de non</w:t>
            </w:r>
            <w:r w:rsidRPr="00613162">
              <w:rPr>
                <w:sz w:val="20"/>
                <w:szCs w:val="20"/>
                <w:lang w:val="fr-CA"/>
              </w:rPr>
              <w:noBreakHyphen/>
              <w:t>publication dans le dossier)</w:t>
            </w:r>
          </w:p>
          <w:p w:rsidR="00161A0A" w:rsidRPr="00613162" w:rsidRDefault="00161A0A" w:rsidP="00161A0A">
            <w:pPr>
              <w:pStyle w:val="SCCBanSummary"/>
              <w:rPr>
                <w:sz w:val="20"/>
                <w:szCs w:val="20"/>
                <w:lang w:val="fr-CA"/>
              </w:rPr>
            </w:pPr>
          </w:p>
          <w:p w:rsidR="00161A0A" w:rsidRPr="00613162" w:rsidRDefault="00161A0A" w:rsidP="00161A0A">
            <w:pPr>
              <w:jc w:val="both"/>
              <w:rPr>
                <w:sz w:val="20"/>
                <w:lang w:val="fr-CA"/>
              </w:rPr>
            </w:pPr>
            <w:r w:rsidRPr="00613162">
              <w:rPr>
                <w:i/>
                <w:iCs/>
                <w:sz w:val="20"/>
                <w:lang w:val="fr-CA"/>
              </w:rPr>
              <w:t>Charte des droits</w:t>
            </w:r>
            <w:r w:rsidRPr="00613162">
              <w:rPr>
                <w:sz w:val="20"/>
                <w:lang w:val="fr-CA"/>
              </w:rPr>
              <w:t xml:space="preserve"> — Droit constitutionnel — Droit criminel — Admissibilité et utilisation des dossiers d’une tierce partie en la possession de l’accusé concernant certaines infractions sexuelles énumérées — Caractère constitutionnel du par. 278.93(4) du </w:t>
            </w:r>
            <w:r w:rsidRPr="00613162">
              <w:rPr>
                <w:i/>
                <w:sz w:val="20"/>
                <w:lang w:val="fr-CA"/>
              </w:rPr>
              <w:t>Code criminel</w:t>
            </w:r>
            <w:r w:rsidRPr="00613162">
              <w:rPr>
                <w:sz w:val="20"/>
                <w:lang w:val="fr-CA"/>
              </w:rPr>
              <w:t xml:space="preserve"> — Décision interlocutoire en matière constitutionnelle dans laquelle le juge de première instance a conclu que l’avis de sept jours exigé aux termes du par. 278.93(4) du</w:t>
            </w:r>
            <w:r w:rsidRPr="00613162">
              <w:rPr>
                <w:i/>
                <w:sz w:val="20"/>
                <w:lang w:val="fr-CA"/>
              </w:rPr>
              <w:t xml:space="preserve"> Code criminel </w:t>
            </w:r>
            <w:r w:rsidRPr="00613162">
              <w:rPr>
                <w:sz w:val="20"/>
                <w:lang w:val="fr-CA"/>
              </w:rPr>
              <w:t xml:space="preserve">portait atteinte à l’art. 7 de la </w:t>
            </w:r>
            <w:r w:rsidRPr="00613162">
              <w:rPr>
                <w:i/>
                <w:sz w:val="20"/>
                <w:lang w:val="fr-CA"/>
              </w:rPr>
              <w:t xml:space="preserve">Charte </w:t>
            </w:r>
            <w:r w:rsidRPr="00613162">
              <w:rPr>
                <w:sz w:val="20"/>
                <w:lang w:val="fr-CA"/>
              </w:rPr>
              <w:t>et ne pouvait être justifié au regard de l’article premier —</w:t>
            </w:r>
            <w:r w:rsidRPr="00613162">
              <w:rPr>
                <w:rStyle w:val="paragraph1"/>
                <w:sz w:val="20"/>
                <w:lang w:val="fr-FR"/>
              </w:rPr>
              <w:t xml:space="preserve"> </w:t>
            </w:r>
            <w:r w:rsidRPr="00613162">
              <w:rPr>
                <w:sz w:val="20"/>
                <w:lang w:val="fr-CA"/>
              </w:rPr>
              <w:t>Le juge de première instance a</w:t>
            </w:r>
            <w:r w:rsidRPr="00613162">
              <w:rPr>
                <w:sz w:val="20"/>
                <w:lang w:val="fr-CA"/>
              </w:rPr>
              <w:noBreakHyphen/>
              <w:t>t</w:t>
            </w:r>
            <w:r w:rsidRPr="00613162">
              <w:rPr>
                <w:sz w:val="20"/>
                <w:lang w:val="fr-CA"/>
              </w:rPr>
              <w:noBreakHyphen/>
              <w:t>il eu tort de conclure que le par. 278.93(4) était entaché d’un vice d’ordre constitutionnel ? — Est</w:t>
            </w:r>
            <w:r w:rsidRPr="00613162">
              <w:rPr>
                <w:sz w:val="20"/>
                <w:lang w:val="fr-CA"/>
              </w:rPr>
              <w:noBreakHyphen/>
              <w:t xml:space="preserve">il dans l’intérêt du public que la Cour </w:t>
            </w:r>
            <w:r w:rsidRPr="00613162">
              <w:rPr>
                <w:sz w:val="20"/>
                <w:lang w:val="fr-FR"/>
              </w:rPr>
              <w:t>statue sur la constitutionnalité</w:t>
            </w:r>
            <w:r w:rsidRPr="00613162">
              <w:rPr>
                <w:sz w:val="20"/>
                <w:lang w:val="fr-CA"/>
              </w:rPr>
              <w:t xml:space="preserve"> du par. 278.93(4) ? — Des décisions incohérentes de tribunaux de première instance ont</w:t>
            </w:r>
            <w:r w:rsidRPr="00613162">
              <w:rPr>
                <w:sz w:val="20"/>
                <w:lang w:val="fr-CA"/>
              </w:rPr>
              <w:noBreakHyphen/>
              <w:t>elles mené à une multiplicité de procédures différentes à la grandeur du pays ? — La seule voie d’appel relève</w:t>
            </w:r>
            <w:r w:rsidRPr="00613162">
              <w:rPr>
                <w:sz w:val="20"/>
                <w:lang w:val="fr-CA"/>
              </w:rPr>
              <w:noBreakHyphen/>
              <w:t>t</w:t>
            </w:r>
            <w:r w:rsidRPr="00613162">
              <w:rPr>
                <w:sz w:val="20"/>
                <w:lang w:val="fr-CA"/>
              </w:rPr>
              <w:noBreakHyphen/>
              <w:t xml:space="preserve">elle de la Cour suivant l’art. 40 de la </w:t>
            </w:r>
            <w:r w:rsidRPr="00613162">
              <w:rPr>
                <w:i/>
                <w:sz w:val="20"/>
                <w:lang w:val="fr-CA"/>
              </w:rPr>
              <w:t xml:space="preserve">Loi sur la Cour suprême </w:t>
            </w:r>
            <w:r w:rsidRPr="00613162">
              <w:rPr>
                <w:sz w:val="20"/>
                <w:lang w:val="fr-CA"/>
              </w:rPr>
              <w:t>et les principes de « doubles procédures » établis dans l’arrêt</w:t>
            </w:r>
            <w:r w:rsidRPr="00613162">
              <w:rPr>
                <w:i/>
                <w:sz w:val="20"/>
                <w:lang w:val="fr-CA"/>
              </w:rPr>
              <w:t xml:space="preserve"> R</w:t>
            </w:r>
            <w:r w:rsidRPr="00613162">
              <w:rPr>
                <w:sz w:val="20"/>
                <w:lang w:val="fr-CA"/>
              </w:rPr>
              <w:t xml:space="preserve">. c. </w:t>
            </w:r>
            <w:r w:rsidRPr="00613162">
              <w:rPr>
                <w:i/>
                <w:sz w:val="20"/>
                <w:lang w:val="fr-CA"/>
              </w:rPr>
              <w:t>Laba,</w:t>
            </w:r>
            <w:r w:rsidRPr="00613162">
              <w:rPr>
                <w:sz w:val="20"/>
                <w:lang w:val="fr-CA"/>
              </w:rPr>
              <w:t xml:space="preserve"> [1994] 3 R.C.S. 965 ? — </w:t>
            </w:r>
            <w:r w:rsidRPr="00613162">
              <w:rPr>
                <w:i/>
                <w:sz w:val="20"/>
                <w:lang w:val="fr-CA"/>
              </w:rPr>
              <w:t>Charte des droits et libertés</w:t>
            </w:r>
            <w:r w:rsidRPr="00613162">
              <w:rPr>
                <w:sz w:val="20"/>
                <w:lang w:val="fr-CA"/>
              </w:rPr>
              <w:t>, article premier et article 7.</w:t>
            </w:r>
          </w:p>
          <w:p w:rsidR="00161A0A" w:rsidRPr="00613162" w:rsidRDefault="00161A0A" w:rsidP="00161A0A">
            <w:pPr>
              <w:jc w:val="both"/>
              <w:rPr>
                <w:sz w:val="20"/>
                <w:lang w:val="fr-CA"/>
              </w:rPr>
            </w:pPr>
          </w:p>
        </w:tc>
      </w:tr>
      <w:tr w:rsidR="00161A0A" w:rsidRPr="00613162" w:rsidTr="00E95A6A">
        <w:tc>
          <w:tcPr>
            <w:tcW w:w="5000" w:type="pct"/>
            <w:gridSpan w:val="4"/>
          </w:tcPr>
          <w:p w:rsidR="00161A0A" w:rsidRPr="00613162" w:rsidRDefault="00161A0A" w:rsidP="00161A0A">
            <w:pPr>
              <w:jc w:val="both"/>
              <w:rPr>
                <w:sz w:val="20"/>
                <w:lang w:val="fr-CA"/>
              </w:rPr>
            </w:pPr>
            <w:r w:rsidRPr="00613162">
              <w:rPr>
                <w:sz w:val="20"/>
                <w:lang w:val="fr-CA"/>
              </w:rPr>
              <w:t xml:space="preserve">Conformément à l’art. 40 de la </w:t>
            </w:r>
            <w:r w:rsidRPr="00613162">
              <w:rPr>
                <w:i/>
                <w:sz w:val="20"/>
                <w:lang w:val="fr-CA"/>
              </w:rPr>
              <w:t>Loi sur la Cour suprême</w:t>
            </w:r>
            <w:r w:rsidRPr="00613162">
              <w:rPr>
                <w:sz w:val="20"/>
                <w:lang w:val="fr-CA"/>
              </w:rPr>
              <w:t>, R.C.S. 1985, c. S</w:t>
            </w:r>
            <w:r w:rsidRPr="00613162">
              <w:rPr>
                <w:sz w:val="20"/>
                <w:lang w:val="fr-CA"/>
              </w:rPr>
              <w:noBreakHyphen/>
              <w:t xml:space="preserve">26, la partie demanderesse a demandé l’autorisation de faire appel d’une décision interlocutoire en matière constitutionnelle dans laquelle le juge Duncan a statué que l’obligation de donner un préavis de sept jours prévue au par. 278.93(4) du </w:t>
            </w:r>
            <w:r w:rsidRPr="00613162">
              <w:rPr>
                <w:i/>
                <w:sz w:val="20"/>
                <w:lang w:val="fr-CA"/>
              </w:rPr>
              <w:t>Code criminel</w:t>
            </w:r>
            <w:r w:rsidRPr="00613162">
              <w:rPr>
                <w:sz w:val="20"/>
                <w:lang w:val="fr-CA"/>
              </w:rPr>
              <w:t xml:space="preserve"> contrevenait à l’art. 7 de la </w:t>
            </w:r>
            <w:r w:rsidRPr="00613162">
              <w:rPr>
                <w:i/>
                <w:sz w:val="20"/>
                <w:lang w:val="fr-CA"/>
              </w:rPr>
              <w:t xml:space="preserve">Charte </w:t>
            </w:r>
            <w:r w:rsidRPr="00613162">
              <w:rPr>
                <w:sz w:val="20"/>
                <w:lang w:val="fr-CA"/>
              </w:rPr>
              <w:t xml:space="preserve">et ne pouvait être justifiée au regard de l’article premier de la </w:t>
            </w:r>
            <w:r w:rsidRPr="00613162">
              <w:rPr>
                <w:i/>
                <w:sz w:val="20"/>
                <w:lang w:val="fr-CA"/>
              </w:rPr>
              <w:t>Charte</w:t>
            </w:r>
            <w:r w:rsidRPr="00613162">
              <w:rPr>
                <w:sz w:val="20"/>
                <w:lang w:val="fr-CA"/>
              </w:rPr>
              <w:t xml:space="preserve">. Le juge Duncan a donné une « interprétation atténuante » du par. 278.93(4) du </w:t>
            </w:r>
            <w:r w:rsidRPr="00613162">
              <w:rPr>
                <w:i/>
                <w:sz w:val="20"/>
                <w:lang w:val="fr-CA"/>
              </w:rPr>
              <w:t>Code criminel</w:t>
            </w:r>
            <w:r w:rsidRPr="00613162">
              <w:rPr>
                <w:sz w:val="20"/>
                <w:lang w:val="fr-CA"/>
              </w:rPr>
              <w:t xml:space="preserve"> afin de : (1) retirer l’obligation relative au préavis de sept jours prévue à l’art. 278.93(4) seulement à l’égard des demandes faites en application de l’art. 278.92; et (2) statuer que les demandes au titre de l’art. 278.92 devraient être présentées </w:t>
            </w:r>
            <w:r w:rsidRPr="00613162">
              <w:rPr>
                <w:smallCaps/>
                <w:sz w:val="20"/>
                <w:lang w:val="fr-CA"/>
              </w:rPr>
              <w:t>[traduction]</w:t>
            </w:r>
            <w:r w:rsidRPr="00613162">
              <w:rPr>
                <w:sz w:val="20"/>
                <w:lang w:val="fr-CA"/>
              </w:rPr>
              <w:t xml:space="preserve"> « à la fin de l’interrogatoire principal du plaignant, ou selon ce qui est par ailleurs exigé par le juge, le juge de la cour provinciale ou le juge de paix dans l’intérêt de la justice ».</w:t>
            </w:r>
          </w:p>
        </w:tc>
      </w:tr>
      <w:tr w:rsidR="00161A0A" w:rsidRPr="00613162" w:rsidTr="00E95A6A">
        <w:tc>
          <w:tcPr>
            <w:tcW w:w="5000" w:type="pct"/>
            <w:gridSpan w:val="4"/>
          </w:tcPr>
          <w:p w:rsidR="00161A0A" w:rsidRPr="00613162" w:rsidRDefault="00161A0A" w:rsidP="00161A0A">
            <w:pPr>
              <w:jc w:val="both"/>
              <w:rPr>
                <w:sz w:val="20"/>
                <w:lang w:val="fr-CA"/>
              </w:rPr>
            </w:pPr>
          </w:p>
        </w:tc>
      </w:tr>
      <w:tr w:rsidR="00161A0A" w:rsidRPr="00613162" w:rsidTr="00E95A6A">
        <w:tc>
          <w:tcPr>
            <w:tcW w:w="2427" w:type="pct"/>
            <w:gridSpan w:val="2"/>
          </w:tcPr>
          <w:p w:rsidR="00161A0A" w:rsidRPr="00613162" w:rsidRDefault="00161A0A" w:rsidP="00161A0A">
            <w:pPr>
              <w:jc w:val="both"/>
              <w:rPr>
                <w:sz w:val="20"/>
                <w:lang w:val="fr-CA"/>
              </w:rPr>
            </w:pPr>
            <w:r w:rsidRPr="00613162">
              <w:rPr>
                <w:sz w:val="20"/>
                <w:lang w:val="fr-CA"/>
              </w:rPr>
              <w:t>6 janvier 2020</w:t>
            </w:r>
          </w:p>
          <w:p w:rsidR="00161A0A" w:rsidRPr="00613162" w:rsidRDefault="00161A0A" w:rsidP="00161A0A">
            <w:pPr>
              <w:jc w:val="both"/>
              <w:rPr>
                <w:sz w:val="20"/>
                <w:lang w:val="fr-CA"/>
              </w:rPr>
            </w:pPr>
            <w:r w:rsidRPr="00613162">
              <w:rPr>
                <w:sz w:val="20"/>
                <w:lang w:val="fr-CA"/>
              </w:rPr>
              <w:t>Cour suprême de la Colombie</w:t>
            </w:r>
            <w:r w:rsidRPr="00613162">
              <w:rPr>
                <w:sz w:val="20"/>
                <w:lang w:val="fr-CA"/>
              </w:rPr>
              <w:noBreakHyphen/>
              <w:t>Britannique</w:t>
            </w:r>
          </w:p>
          <w:p w:rsidR="00161A0A" w:rsidRPr="00613162" w:rsidRDefault="00161A0A" w:rsidP="00161A0A">
            <w:pPr>
              <w:jc w:val="both"/>
              <w:rPr>
                <w:sz w:val="20"/>
                <w:lang w:val="fr-CA"/>
              </w:rPr>
            </w:pPr>
            <w:r w:rsidRPr="00613162">
              <w:rPr>
                <w:sz w:val="20"/>
                <w:lang w:val="fr-CA"/>
              </w:rPr>
              <w:t>(Juge Duncan)</w:t>
            </w:r>
          </w:p>
          <w:p w:rsidR="00161A0A" w:rsidRPr="00613162" w:rsidRDefault="00161A0A" w:rsidP="00161A0A">
            <w:pPr>
              <w:jc w:val="both"/>
              <w:rPr>
                <w:sz w:val="20"/>
                <w:lang w:val="fr-CA"/>
              </w:rPr>
            </w:pPr>
            <w:r w:rsidRPr="00613162">
              <w:rPr>
                <w:sz w:val="20"/>
                <w:lang w:val="fr-CA"/>
              </w:rPr>
              <w:t xml:space="preserve">2020 BCSC 29 </w:t>
            </w:r>
          </w:p>
          <w:p w:rsidR="00161A0A" w:rsidRPr="00613162" w:rsidRDefault="00161A0A" w:rsidP="00161A0A">
            <w:pPr>
              <w:jc w:val="both"/>
              <w:rPr>
                <w:sz w:val="20"/>
                <w:lang w:val="fr-CA"/>
              </w:rPr>
            </w:pPr>
            <w:r w:rsidRPr="00613162">
              <w:rPr>
                <w:sz w:val="20"/>
                <w:lang w:val="fr-CA"/>
              </w:rPr>
              <w:t>(non publié)</w:t>
            </w:r>
          </w:p>
          <w:p w:rsidR="00161A0A" w:rsidRPr="00613162" w:rsidRDefault="00161A0A" w:rsidP="00161A0A">
            <w:pPr>
              <w:jc w:val="both"/>
              <w:rPr>
                <w:sz w:val="20"/>
                <w:lang w:val="fr-CA"/>
              </w:rPr>
            </w:pPr>
          </w:p>
        </w:tc>
        <w:tc>
          <w:tcPr>
            <w:tcW w:w="243" w:type="pct"/>
          </w:tcPr>
          <w:p w:rsidR="00161A0A" w:rsidRPr="00613162" w:rsidRDefault="00161A0A" w:rsidP="00161A0A">
            <w:pPr>
              <w:jc w:val="both"/>
              <w:rPr>
                <w:sz w:val="20"/>
                <w:lang w:val="fr-CA"/>
              </w:rPr>
            </w:pPr>
          </w:p>
        </w:tc>
        <w:tc>
          <w:tcPr>
            <w:tcW w:w="2330" w:type="pct"/>
          </w:tcPr>
          <w:p w:rsidR="00161A0A" w:rsidRPr="00613162" w:rsidRDefault="00161A0A" w:rsidP="00161A0A">
            <w:pPr>
              <w:jc w:val="both"/>
              <w:rPr>
                <w:sz w:val="20"/>
                <w:lang w:val="fr-CA"/>
              </w:rPr>
            </w:pPr>
            <w:r w:rsidRPr="00613162">
              <w:rPr>
                <w:sz w:val="20"/>
                <w:lang w:val="fr-CA"/>
              </w:rPr>
              <w:t xml:space="preserve">Décision en matière constitutionnelle : l’obligation de donner un préavis de sept jours prévue au par. 278.93(4) du </w:t>
            </w:r>
            <w:r w:rsidRPr="00613162">
              <w:rPr>
                <w:i/>
                <w:sz w:val="20"/>
                <w:lang w:val="fr-CA"/>
              </w:rPr>
              <w:t>Code criminel</w:t>
            </w:r>
            <w:r w:rsidRPr="00613162">
              <w:rPr>
                <w:sz w:val="20"/>
                <w:lang w:val="fr-CA"/>
              </w:rPr>
              <w:t xml:space="preserve"> contrevient à l’art. 7 de la </w:t>
            </w:r>
            <w:r w:rsidRPr="00613162">
              <w:rPr>
                <w:i/>
                <w:sz w:val="20"/>
                <w:lang w:val="fr-CA"/>
              </w:rPr>
              <w:t>Charte</w:t>
            </w:r>
            <w:r w:rsidRPr="00613162">
              <w:rPr>
                <w:sz w:val="20"/>
                <w:lang w:val="fr-CA"/>
              </w:rPr>
              <w:t xml:space="preserve">. </w:t>
            </w:r>
          </w:p>
        </w:tc>
      </w:tr>
      <w:tr w:rsidR="00161A0A" w:rsidRPr="00613162" w:rsidTr="00E95A6A">
        <w:tc>
          <w:tcPr>
            <w:tcW w:w="2427" w:type="pct"/>
            <w:gridSpan w:val="2"/>
          </w:tcPr>
          <w:p w:rsidR="00161A0A" w:rsidRPr="00613162" w:rsidRDefault="00161A0A" w:rsidP="00161A0A">
            <w:pPr>
              <w:jc w:val="both"/>
              <w:rPr>
                <w:sz w:val="20"/>
                <w:lang w:val="fr-CA"/>
              </w:rPr>
            </w:pPr>
            <w:r w:rsidRPr="00613162">
              <w:rPr>
                <w:sz w:val="20"/>
                <w:lang w:val="fr-CA"/>
              </w:rPr>
              <w:t>11 mars 2020</w:t>
            </w:r>
          </w:p>
          <w:p w:rsidR="00161A0A" w:rsidRPr="00613162" w:rsidRDefault="00161A0A" w:rsidP="00161A0A">
            <w:pPr>
              <w:jc w:val="both"/>
              <w:rPr>
                <w:sz w:val="20"/>
                <w:lang w:val="fr-CA"/>
              </w:rPr>
            </w:pPr>
            <w:r w:rsidRPr="00613162">
              <w:rPr>
                <w:sz w:val="20"/>
                <w:lang w:val="fr-CA"/>
              </w:rPr>
              <w:t>Cour suprême de la Colombie</w:t>
            </w:r>
            <w:r w:rsidRPr="00613162">
              <w:rPr>
                <w:sz w:val="20"/>
                <w:lang w:val="fr-CA"/>
              </w:rPr>
              <w:noBreakHyphen/>
              <w:t>Britannique</w:t>
            </w:r>
          </w:p>
          <w:p w:rsidR="00161A0A" w:rsidRPr="00613162" w:rsidRDefault="00161A0A" w:rsidP="00161A0A">
            <w:pPr>
              <w:jc w:val="both"/>
              <w:rPr>
                <w:sz w:val="20"/>
                <w:lang w:val="fr-CA"/>
              </w:rPr>
            </w:pPr>
            <w:r w:rsidRPr="00613162">
              <w:rPr>
                <w:sz w:val="20"/>
                <w:lang w:val="fr-CA"/>
              </w:rPr>
              <w:t>(Juge Duncan)</w:t>
            </w:r>
          </w:p>
          <w:p w:rsidR="00161A0A" w:rsidRPr="00613162" w:rsidRDefault="00161A0A" w:rsidP="00161A0A">
            <w:pPr>
              <w:jc w:val="both"/>
              <w:rPr>
                <w:sz w:val="20"/>
                <w:lang w:val="fr-CA"/>
              </w:rPr>
            </w:pPr>
            <w:r w:rsidRPr="00613162">
              <w:rPr>
                <w:sz w:val="20"/>
                <w:lang w:val="fr-CA"/>
              </w:rPr>
              <w:t>2020 BCSC 349</w:t>
            </w:r>
          </w:p>
          <w:p w:rsidR="00161A0A" w:rsidRPr="00613162" w:rsidRDefault="00161A0A" w:rsidP="00161A0A">
            <w:pPr>
              <w:jc w:val="both"/>
              <w:rPr>
                <w:sz w:val="20"/>
                <w:lang w:val="fr-CA"/>
              </w:rPr>
            </w:pPr>
            <w:r w:rsidRPr="00613162">
              <w:rPr>
                <w:sz w:val="20"/>
                <w:lang w:val="fr-CA"/>
              </w:rPr>
              <w:t>(non publié)</w:t>
            </w:r>
          </w:p>
          <w:p w:rsidR="00161A0A" w:rsidRPr="00613162" w:rsidRDefault="00161A0A" w:rsidP="00161A0A">
            <w:pPr>
              <w:jc w:val="both"/>
              <w:rPr>
                <w:sz w:val="20"/>
                <w:lang w:val="fr-CA"/>
              </w:rPr>
            </w:pPr>
          </w:p>
        </w:tc>
        <w:tc>
          <w:tcPr>
            <w:tcW w:w="243" w:type="pct"/>
          </w:tcPr>
          <w:p w:rsidR="00161A0A" w:rsidRPr="00613162" w:rsidRDefault="00161A0A" w:rsidP="00161A0A">
            <w:pPr>
              <w:jc w:val="both"/>
              <w:rPr>
                <w:sz w:val="20"/>
                <w:lang w:val="fr-CA"/>
              </w:rPr>
            </w:pPr>
          </w:p>
        </w:tc>
        <w:tc>
          <w:tcPr>
            <w:tcW w:w="2330" w:type="pct"/>
          </w:tcPr>
          <w:p w:rsidR="00161A0A" w:rsidRPr="00613162" w:rsidRDefault="00161A0A" w:rsidP="00161A0A">
            <w:pPr>
              <w:jc w:val="both"/>
              <w:rPr>
                <w:sz w:val="20"/>
                <w:lang w:val="fr-CA"/>
              </w:rPr>
            </w:pPr>
            <w:r w:rsidRPr="00613162">
              <w:rPr>
                <w:sz w:val="20"/>
                <w:lang w:val="fr-CA"/>
              </w:rPr>
              <w:t xml:space="preserve">Décision sur la réparation : la validité du par. 278.93(4) du </w:t>
            </w:r>
            <w:r w:rsidRPr="00613162">
              <w:rPr>
                <w:i/>
                <w:sz w:val="20"/>
                <w:lang w:val="fr-CA"/>
              </w:rPr>
              <w:t>Code criminel</w:t>
            </w:r>
            <w:r w:rsidRPr="00613162">
              <w:rPr>
                <w:sz w:val="20"/>
                <w:lang w:val="fr-CA"/>
              </w:rPr>
              <w:t xml:space="preserve"> ne peut être sauvegardée en vertu de l’article premier.</w:t>
            </w:r>
          </w:p>
          <w:p w:rsidR="00161A0A" w:rsidRPr="00613162" w:rsidRDefault="00161A0A" w:rsidP="00161A0A">
            <w:pPr>
              <w:jc w:val="both"/>
              <w:rPr>
                <w:sz w:val="20"/>
                <w:lang w:val="fr-CA"/>
              </w:rPr>
            </w:pPr>
          </w:p>
          <w:p w:rsidR="00161A0A" w:rsidRPr="00613162" w:rsidRDefault="00161A0A" w:rsidP="00161A0A">
            <w:pPr>
              <w:jc w:val="both"/>
              <w:rPr>
                <w:sz w:val="20"/>
                <w:lang w:val="fr-CA"/>
              </w:rPr>
            </w:pPr>
          </w:p>
        </w:tc>
      </w:tr>
      <w:tr w:rsidR="00161A0A" w:rsidRPr="00613162" w:rsidTr="00E95A6A">
        <w:tc>
          <w:tcPr>
            <w:tcW w:w="2427" w:type="pct"/>
            <w:gridSpan w:val="2"/>
          </w:tcPr>
          <w:p w:rsidR="00161A0A" w:rsidRPr="00613162" w:rsidRDefault="00161A0A" w:rsidP="00161A0A">
            <w:pPr>
              <w:jc w:val="both"/>
              <w:rPr>
                <w:sz w:val="20"/>
                <w:lang w:val="fr-CA"/>
              </w:rPr>
            </w:pPr>
            <w:r w:rsidRPr="00613162">
              <w:rPr>
                <w:sz w:val="20"/>
                <w:lang w:val="fr-CA"/>
              </w:rPr>
              <w:t>17 avril 2020</w:t>
            </w:r>
          </w:p>
          <w:p w:rsidR="00161A0A" w:rsidRPr="00613162" w:rsidRDefault="00161A0A" w:rsidP="00161A0A">
            <w:pPr>
              <w:jc w:val="both"/>
              <w:rPr>
                <w:sz w:val="20"/>
                <w:lang w:val="fr-CA"/>
              </w:rPr>
            </w:pPr>
            <w:r w:rsidRPr="00613162">
              <w:rPr>
                <w:sz w:val="20"/>
                <w:lang w:val="fr-CA"/>
              </w:rPr>
              <w:t>Cour suprême du Canada</w:t>
            </w:r>
          </w:p>
        </w:tc>
        <w:tc>
          <w:tcPr>
            <w:tcW w:w="243" w:type="pct"/>
          </w:tcPr>
          <w:p w:rsidR="00161A0A" w:rsidRPr="00613162" w:rsidRDefault="00161A0A" w:rsidP="00161A0A">
            <w:pPr>
              <w:jc w:val="both"/>
              <w:rPr>
                <w:sz w:val="20"/>
                <w:lang w:val="fr-CA"/>
              </w:rPr>
            </w:pPr>
          </w:p>
        </w:tc>
        <w:tc>
          <w:tcPr>
            <w:tcW w:w="2330" w:type="pct"/>
          </w:tcPr>
          <w:tbl>
            <w:tblPr>
              <w:tblW w:w="4952" w:type="pct"/>
              <w:tblLayout w:type="fixed"/>
              <w:tblCellMar>
                <w:left w:w="0" w:type="dxa"/>
                <w:bottom w:w="99" w:type="dxa"/>
                <w:right w:w="0" w:type="dxa"/>
              </w:tblCellMar>
              <w:tblLook w:val="04A0" w:firstRow="1" w:lastRow="0" w:firstColumn="1" w:lastColumn="0" w:noHBand="0" w:noVBand="1"/>
            </w:tblPr>
            <w:tblGrid>
              <w:gridCol w:w="4279"/>
            </w:tblGrid>
            <w:tr w:rsidR="00161A0A" w:rsidRPr="00613162" w:rsidTr="004411C7">
              <w:tc>
                <w:tcPr>
                  <w:tcW w:w="2330" w:type="pct"/>
                </w:tcPr>
                <w:p w:rsidR="00161A0A" w:rsidRPr="00613162" w:rsidRDefault="00161A0A" w:rsidP="00161A0A">
                  <w:pPr>
                    <w:jc w:val="both"/>
                    <w:rPr>
                      <w:sz w:val="20"/>
                      <w:lang w:val="fr-CA"/>
                    </w:rPr>
                  </w:pPr>
                  <w:r w:rsidRPr="00613162">
                    <w:rPr>
                      <w:sz w:val="20"/>
                      <w:lang w:val="fr-CA"/>
                    </w:rPr>
                    <w:t>Dépôt de la demande d’autorisation d’appel.</w:t>
                  </w:r>
                </w:p>
                <w:p w:rsidR="00161A0A" w:rsidRPr="00613162" w:rsidRDefault="00161A0A" w:rsidP="00161A0A">
                  <w:pPr>
                    <w:jc w:val="both"/>
                    <w:rPr>
                      <w:sz w:val="20"/>
                      <w:lang w:val="fr-CA"/>
                    </w:rPr>
                  </w:pPr>
                </w:p>
              </w:tc>
            </w:tr>
          </w:tbl>
          <w:p w:rsidR="00161A0A" w:rsidRPr="00613162" w:rsidRDefault="00161A0A" w:rsidP="00161A0A">
            <w:pPr>
              <w:jc w:val="both"/>
              <w:rPr>
                <w:sz w:val="20"/>
                <w:lang w:val="fr-CA"/>
              </w:rPr>
            </w:pPr>
          </w:p>
        </w:tc>
      </w:tr>
    </w:tbl>
    <w:p w:rsidR="00F61FFA" w:rsidRPr="00613162" w:rsidRDefault="00F61FFA" w:rsidP="002E6084">
      <w:pPr>
        <w:widowControl w:val="0"/>
        <w:jc w:val="both"/>
        <w:rPr>
          <w:sz w:val="20"/>
          <w:lang w:val="fr-CA"/>
        </w:rPr>
      </w:pPr>
    </w:p>
    <w:p w:rsidR="00E85588" w:rsidRPr="00613162" w:rsidRDefault="00613162" w:rsidP="00E85588">
      <w:pPr>
        <w:jc w:val="both"/>
        <w:rPr>
          <w:sz w:val="20"/>
        </w:rPr>
      </w:pPr>
      <w:r w:rsidRPr="00613162">
        <w:rPr>
          <w:sz w:val="20"/>
        </w:rPr>
        <w:pict>
          <v:rect id="_x0000_i1027" style="width:2in;height:1pt" o:hrpct="0" o:hralign="center" o:hrstd="t" o:hrnoshade="t" o:hr="t" fillcolor="black [3213]" stroked="f"/>
        </w:pict>
      </w:r>
    </w:p>
    <w:p w:rsidR="00E85588" w:rsidRPr="00613162" w:rsidRDefault="00E85588" w:rsidP="00E85588">
      <w:pPr>
        <w:jc w:val="both"/>
        <w:rPr>
          <w:sz w:val="20"/>
        </w:rPr>
      </w:pPr>
    </w:p>
    <w:p w:rsidR="005C7161" w:rsidRPr="00613162" w:rsidRDefault="005C7161" w:rsidP="006A22CA">
      <w:pPr>
        <w:ind w:left="142" w:hanging="142"/>
        <w:jc w:val="both"/>
        <w:rPr>
          <w:sz w:val="20"/>
          <w:lang w:val="fr-CA"/>
        </w:rPr>
      </w:pPr>
    </w:p>
    <w:p w:rsidR="00FD3FA0" w:rsidRPr="00613162" w:rsidRDefault="00FD3FA0" w:rsidP="006A22CA">
      <w:pPr>
        <w:ind w:left="142" w:hanging="142"/>
        <w:jc w:val="both"/>
        <w:rPr>
          <w:sz w:val="20"/>
          <w:lang w:val="fr-CA"/>
        </w:rPr>
      </w:pPr>
    </w:p>
    <w:p w:rsidR="00D3344A" w:rsidRPr="00613162" w:rsidRDefault="00D3344A" w:rsidP="00D3344A">
      <w:pPr>
        <w:widowControl w:val="0"/>
        <w:outlineLvl w:val="0"/>
      </w:pPr>
      <w:r w:rsidRPr="00613162">
        <w:t>Supreme Court of Canada / Cour suprême du Canad</w:t>
      </w:r>
      <w:r w:rsidR="00EE289F" w:rsidRPr="00613162">
        <w:t>a</w:t>
      </w:r>
      <w:r w:rsidRPr="00613162">
        <w:t xml:space="preserve"> :</w:t>
      </w:r>
    </w:p>
    <w:p w:rsidR="00D3344A" w:rsidRPr="00613162" w:rsidRDefault="00613162" w:rsidP="00D3344A">
      <w:pPr>
        <w:widowControl w:val="0"/>
        <w:outlineLvl w:val="0"/>
        <w:rPr>
          <w:u w:val="single"/>
        </w:rPr>
      </w:pPr>
      <w:hyperlink r:id="rId21" w:history="1">
        <w:r w:rsidR="009B7391" w:rsidRPr="00613162">
          <w:rPr>
            <w:rStyle w:val="Hyperlink"/>
          </w:rPr>
          <w:t>comments-commentaires@scc-csc.ca</w:t>
        </w:r>
      </w:hyperlink>
    </w:p>
    <w:p w:rsidR="00D3344A" w:rsidRPr="00613162" w:rsidRDefault="0065588C" w:rsidP="00D3344A">
      <w:pPr>
        <w:widowControl w:val="0"/>
        <w:outlineLvl w:val="0"/>
      </w:pPr>
      <w:r w:rsidRPr="00613162">
        <w:lastRenderedPageBreak/>
        <w:t>613-</w:t>
      </w:r>
      <w:r w:rsidR="00D3344A" w:rsidRPr="00613162">
        <w:t>995-4330</w:t>
      </w:r>
    </w:p>
    <w:p w:rsidR="00497B5E" w:rsidRPr="00613162" w:rsidRDefault="00497B5E" w:rsidP="00497B5E">
      <w:pPr>
        <w:widowControl w:val="0"/>
        <w:rPr>
          <w:sz w:val="20"/>
        </w:rPr>
      </w:pPr>
    </w:p>
    <w:p w:rsidR="00F6251B" w:rsidRPr="006E558B" w:rsidRDefault="003F43E6" w:rsidP="00F6251B">
      <w:pPr>
        <w:pStyle w:val="Footer"/>
        <w:jc w:val="center"/>
      </w:pPr>
      <w:r w:rsidRPr="00613162">
        <w:t>- 30 -</w:t>
      </w:r>
      <w:bookmarkStart w:id="0" w:name="_GoBack"/>
      <w:bookmarkEnd w:id="0"/>
    </w:p>
    <w:sectPr w:rsidR="00F6251B" w:rsidRPr="006E558B" w:rsidSect="00E62F93">
      <w:headerReference w:type="even" r:id="rId22"/>
      <w:headerReference w:type="default" r:id="rId23"/>
      <w:footerReference w:type="even" r:id="rId24"/>
      <w:footerReference w:type="default" r:id="rId25"/>
      <w:headerReference w:type="first" r:id="rId26"/>
      <w:footerReference w:type="first" r:id="rId27"/>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5F" w:rsidRDefault="00C7235F" w:rsidP="0034178A">
      <w:r>
        <w:separator/>
      </w:r>
    </w:p>
  </w:endnote>
  <w:endnote w:type="continuationSeparator" w:id="0">
    <w:p w:rsidR="00C7235F" w:rsidRDefault="00C7235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Pr="009F77F0" w:rsidRDefault="00C7235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5F" w:rsidRDefault="00C7235F" w:rsidP="0034178A">
      <w:r>
        <w:separator/>
      </w:r>
    </w:p>
  </w:footnote>
  <w:footnote w:type="continuationSeparator" w:id="0">
    <w:p w:rsidR="00C7235F" w:rsidRDefault="00C7235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A341D"/>
    <w:multiLevelType w:val="hybridMultilevel"/>
    <w:tmpl w:val="784213D0"/>
    <w:lvl w:ilvl="0" w:tplc="525E4B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7476A"/>
    <w:multiLevelType w:val="hybridMultilevel"/>
    <w:tmpl w:val="3C6E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9"/>
  </w:num>
  <w:num w:numId="15">
    <w:abstractNumId w:val="16"/>
  </w:num>
  <w:num w:numId="16">
    <w:abstractNumId w:val="7"/>
  </w:num>
  <w:num w:numId="17">
    <w:abstractNumId w:val="15"/>
  </w:num>
  <w:num w:numId="18">
    <w:abstractNumId w:val="14"/>
  </w:num>
  <w:num w:numId="1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41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31F"/>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A0A"/>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17"/>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5C9"/>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62"/>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1B"/>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EE9"/>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paragraph1">
    <w:name w:val="paragraph1"/>
    <w:basedOn w:val="DefaultParagraphFont"/>
    <w:rsid w:val="0016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77" TargetMode="External"/><Relationship Id="rId13" Type="http://schemas.openxmlformats.org/officeDocument/2006/relationships/hyperlink" Target="https://www.canlii.org/en/on/onca/doc/2020/2020onca22/2020onca22.html?resultIndex=9" TargetMode="External"/><Relationship Id="rId18" Type="http://schemas.openxmlformats.org/officeDocument/2006/relationships/hyperlink" Target="https://www.canlii.org/en/on/onca/doc/2020/2020onca111/2020onca111.html?autocompleteStr=2020%20ONCA%20111&amp;autocompletePos=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canlii.org/en/on/onsc/doc/2018/2018onsc2332/2018onsc2332.html?searchUrlHash=AAAAAQAOMjAxOCBPTlNDIDIzMzIAAAAAAQ&amp;resultIndex=1" TargetMode="External"/><Relationship Id="rId17" Type="http://schemas.openxmlformats.org/officeDocument/2006/relationships/hyperlink" Target="https://www.canlii.org/en/on/onsc/doc/2017/2017onsc1740/2017onsc1740.html?autocompleteStr=2017%20ONSC%201740&amp;autocompletePos=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lii.org/en/on/onca/doc/2020/2020onca22/2020onca22.html?resultIndex=9" TargetMode="External"/><Relationship Id="rId20" Type="http://schemas.openxmlformats.org/officeDocument/2006/relationships/hyperlink" Target="https://www.canlii.org/en/on/onca/doc/2020/2020onca111/2020onca111.html?autocompleteStr=2020%20ONCA%20111&amp;autocompletePos=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on/onsc/doc/2017/2017onsc5300/2017onsc5300.html?searchUrlHash=AAAAAQAOMjAxNyBvbnNjIDUzMDAAAAAAAQ&amp;resultIndex=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lii.org/en/on/onsc/doc/2018/2018onsc2332/2018onsc2332.html?searchUrlHash=AAAAAQAOMjAxOCBPTlNDIDIzMzIAAAAAAQ&amp;resultIndex=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c-csc.ca/case-dossier/info/sum-som-eng.aspx?cas=39133" TargetMode="External"/><Relationship Id="rId19" Type="http://schemas.openxmlformats.org/officeDocument/2006/relationships/hyperlink" Target="https://www.canlii.org/en/on/onsc/doc/2017/2017onsc1740/2017onsc1740.html?autocompleteStr=2017%20ONSC%201740&amp;autocompletePos=1" TargetMode="External"/><Relationship Id="rId4" Type="http://schemas.openxmlformats.org/officeDocument/2006/relationships/settings" Target="settings.xml"/><Relationship Id="rId9" Type="http://schemas.openxmlformats.org/officeDocument/2006/relationships/hyperlink" Target="https://www.scc-csc.ca/case-dossier/info/sum-som-eng.aspx?cas=39126" TargetMode="External"/><Relationship Id="rId14" Type="http://schemas.openxmlformats.org/officeDocument/2006/relationships/hyperlink" Target="https://www.canlii.org/en/on/onsc/doc/2017/2017onsc5300/2017onsc5300.html?searchUrlHash=AAAAAQAOMjAxNyBvbnNjIDUzMDAAAAAAAQ&amp;resultIndex=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0A51-FFC1-4EE6-BD95-95B35B03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19926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2020-07-20T12:54:00Z</dcterms:modified>
</cp:coreProperties>
</file>