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544E9" w:rsidRDefault="001C4415" w:rsidP="001C4415">
      <w:pPr>
        <w:widowControl w:val="0"/>
        <w:rPr>
          <w:i/>
          <w:sz w:val="20"/>
        </w:rPr>
      </w:pPr>
      <w:r w:rsidRPr="009544E9">
        <w:rPr>
          <w:i/>
          <w:sz w:val="20"/>
        </w:rPr>
        <w:t>(</w:t>
      </w:r>
      <w:r w:rsidR="003C50BF" w:rsidRPr="009544E9">
        <w:rPr>
          <w:i/>
          <w:sz w:val="20"/>
        </w:rPr>
        <w:t>Le</w:t>
      </w:r>
      <w:r w:rsidRPr="009544E9">
        <w:rPr>
          <w:i/>
          <w:sz w:val="20"/>
        </w:rPr>
        <w:t xml:space="preserve"> français suit)</w:t>
      </w:r>
    </w:p>
    <w:p w:rsidR="001C4415" w:rsidRPr="009544E9" w:rsidRDefault="001C4415" w:rsidP="001C4415">
      <w:pPr>
        <w:widowControl w:val="0"/>
      </w:pPr>
    </w:p>
    <w:p w:rsidR="001C4415" w:rsidRPr="005E3F56" w:rsidRDefault="000347C1" w:rsidP="00214729">
      <w:pPr>
        <w:widowControl w:val="0"/>
        <w:jc w:val="center"/>
        <w:rPr>
          <w:b/>
        </w:rPr>
      </w:pPr>
      <w:r w:rsidRPr="005E3F56">
        <w:fldChar w:fldCharType="begin"/>
      </w:r>
      <w:r w:rsidR="00FA7412" w:rsidRPr="005E3F56">
        <w:instrText xml:space="preserve"> SEQ CHAPTER \h \r 1</w:instrText>
      </w:r>
      <w:r w:rsidRPr="005E3F56">
        <w:fldChar w:fldCharType="end"/>
      </w:r>
      <w:r w:rsidR="00455BB9" w:rsidRPr="005E3F56">
        <w:rPr>
          <w:b/>
        </w:rPr>
        <w:t>JUDGMENT</w:t>
      </w:r>
      <w:r w:rsidR="00FA7412" w:rsidRPr="005E3F56">
        <w:rPr>
          <w:b/>
        </w:rPr>
        <w:t xml:space="preserve"> TO BE RENDERED IN APPEA</w:t>
      </w:r>
      <w:r w:rsidR="00CC2799" w:rsidRPr="005E3F56">
        <w:rPr>
          <w:b/>
        </w:rPr>
        <w:t>L</w:t>
      </w:r>
    </w:p>
    <w:p w:rsidR="005A7C1B" w:rsidRPr="005E3F56" w:rsidRDefault="005A7C1B" w:rsidP="005A7C1B">
      <w:pPr>
        <w:widowControl w:val="0"/>
      </w:pPr>
    </w:p>
    <w:p w:rsidR="00EC79B0" w:rsidRPr="005E3F56" w:rsidRDefault="00A058A1" w:rsidP="00EC79B0">
      <w:pPr>
        <w:widowControl w:val="0"/>
      </w:pPr>
      <w:r w:rsidRPr="005E3F56">
        <w:rPr>
          <w:b/>
        </w:rPr>
        <w:t>July</w:t>
      </w:r>
      <w:r w:rsidR="00C86395" w:rsidRPr="005E3F56">
        <w:rPr>
          <w:b/>
        </w:rPr>
        <w:t xml:space="preserve"> </w:t>
      </w:r>
      <w:r w:rsidR="00AE46E9" w:rsidRPr="005E3F56">
        <w:rPr>
          <w:b/>
        </w:rPr>
        <w:t>20</w:t>
      </w:r>
      <w:r w:rsidR="00EC79B0" w:rsidRPr="005E3F56">
        <w:rPr>
          <w:b/>
        </w:rPr>
        <w:t>, 2</w:t>
      </w:r>
      <w:r w:rsidR="00E6600C" w:rsidRPr="005E3F56">
        <w:rPr>
          <w:b/>
        </w:rPr>
        <w:t>0</w:t>
      </w:r>
      <w:r w:rsidR="009544E9" w:rsidRPr="005E3F56">
        <w:rPr>
          <w:b/>
        </w:rPr>
        <w:t>20</w:t>
      </w:r>
    </w:p>
    <w:p w:rsidR="00EC79B0" w:rsidRPr="005E3F56" w:rsidRDefault="00EC79B0" w:rsidP="00EC79B0">
      <w:pPr>
        <w:widowControl w:val="0"/>
        <w:rPr>
          <w:b/>
        </w:rPr>
      </w:pPr>
      <w:r w:rsidRPr="005E3F56">
        <w:rPr>
          <w:b/>
        </w:rPr>
        <w:t>For immediate release</w:t>
      </w:r>
    </w:p>
    <w:p w:rsidR="00EC79B0" w:rsidRPr="005E3F56" w:rsidRDefault="00EC79B0" w:rsidP="00EC79B0">
      <w:pPr>
        <w:widowControl w:val="0"/>
      </w:pPr>
    </w:p>
    <w:p w:rsidR="00EC79B0" w:rsidRPr="005E3F56" w:rsidRDefault="00EC79B0" w:rsidP="00EC79B0">
      <w:pPr>
        <w:widowControl w:val="0"/>
        <w:rPr>
          <w:lang w:val="fr-CA"/>
        </w:rPr>
      </w:pPr>
      <w:r w:rsidRPr="005E3F56">
        <w:rPr>
          <w:b/>
        </w:rPr>
        <w:t>OTTAWA</w:t>
      </w:r>
      <w:r w:rsidRPr="005E3F56">
        <w:t xml:space="preserve"> – The Supreme Court of Canad</w:t>
      </w:r>
      <w:r w:rsidR="00455BB9" w:rsidRPr="005E3F56">
        <w:t>a announced today that judgment</w:t>
      </w:r>
      <w:r w:rsidRPr="005E3F56">
        <w:t xml:space="preserve"> in the following appeal will be delivered at 9:45 a.m. E</w:t>
      </w:r>
      <w:r w:rsidR="00F17A28" w:rsidRPr="005E3F56">
        <w:t>D</w:t>
      </w:r>
      <w:r w:rsidR="00DC6C1E" w:rsidRPr="005E3F56">
        <w:t>T</w:t>
      </w:r>
      <w:r w:rsidR="00D74667" w:rsidRPr="005E3F56">
        <w:t xml:space="preserve"> on</w:t>
      </w:r>
      <w:r w:rsidR="00DC6C1E" w:rsidRPr="005E3F56">
        <w:t xml:space="preserve"> </w:t>
      </w:r>
      <w:r w:rsidR="00FB61C0" w:rsidRPr="005E3F56">
        <w:t>Fri</w:t>
      </w:r>
      <w:r w:rsidR="00F531CE" w:rsidRPr="005E3F56">
        <w:t>day</w:t>
      </w:r>
      <w:r w:rsidR="000A7900" w:rsidRPr="005E3F56">
        <w:t xml:space="preserve">, </w:t>
      </w:r>
      <w:r w:rsidR="00F17A28" w:rsidRPr="005E3F56">
        <w:t>Ju</w:t>
      </w:r>
      <w:r w:rsidR="00A058A1" w:rsidRPr="005E3F56">
        <w:t>ly</w:t>
      </w:r>
      <w:r w:rsidR="004E605A" w:rsidRPr="005E3F56">
        <w:t xml:space="preserve"> </w:t>
      </w:r>
      <w:r w:rsidR="00AE46E9" w:rsidRPr="005E3F56">
        <w:t>24</w:t>
      </w:r>
      <w:r w:rsidR="00E63199" w:rsidRPr="005E3F56">
        <w:t>, 2</w:t>
      </w:r>
      <w:r w:rsidR="0086609D" w:rsidRPr="005E3F56">
        <w:t>0</w:t>
      </w:r>
      <w:r w:rsidR="009544E9" w:rsidRPr="005E3F56">
        <w:t>20</w:t>
      </w:r>
      <w:r w:rsidR="00455BB9" w:rsidRPr="005E3F56">
        <w:t xml:space="preserve">. </w:t>
      </w:r>
      <w:r w:rsidR="00455BB9" w:rsidRPr="005E3F56">
        <w:rPr>
          <w:lang w:val="fr-CA"/>
        </w:rPr>
        <w:t>This</w:t>
      </w:r>
      <w:r w:rsidRPr="005E3F56">
        <w:rPr>
          <w:lang w:val="fr-CA"/>
        </w:rPr>
        <w:t xml:space="preserve"> list is subject to change.</w:t>
      </w:r>
    </w:p>
    <w:p w:rsidR="001F76DD" w:rsidRPr="005E3F56" w:rsidRDefault="001F76DD" w:rsidP="001C4415">
      <w:pPr>
        <w:widowControl w:val="0"/>
        <w:rPr>
          <w:szCs w:val="24"/>
          <w:lang w:val="fr-CA"/>
        </w:rPr>
      </w:pPr>
    </w:p>
    <w:p w:rsidR="001C4415" w:rsidRPr="005E3F56" w:rsidRDefault="001C4415" w:rsidP="001C4415">
      <w:pPr>
        <w:widowControl w:val="0"/>
        <w:rPr>
          <w:lang w:val="fr-CA"/>
        </w:rPr>
      </w:pPr>
    </w:p>
    <w:p w:rsidR="001335A1" w:rsidRPr="005E3F56" w:rsidRDefault="001335A1" w:rsidP="001335A1">
      <w:pPr>
        <w:widowControl w:val="0"/>
        <w:jc w:val="center"/>
        <w:rPr>
          <w:b/>
          <w:lang w:val="fr-CA"/>
        </w:rPr>
      </w:pPr>
      <w:r w:rsidRPr="005E3F56">
        <w:rPr>
          <w:b/>
          <w:lang w:val="fr-CA"/>
        </w:rPr>
        <w:t>PROCHAIN JUGEMENT</w:t>
      </w:r>
      <w:r w:rsidR="00455BB9" w:rsidRPr="005E3F56">
        <w:rPr>
          <w:b/>
          <w:lang w:val="fr-CA"/>
        </w:rPr>
        <w:t xml:space="preserve"> SUR APPEL</w:t>
      </w:r>
    </w:p>
    <w:p w:rsidR="001335A1" w:rsidRPr="005E3F56" w:rsidRDefault="001335A1" w:rsidP="001335A1">
      <w:pPr>
        <w:widowControl w:val="0"/>
        <w:rPr>
          <w:lang w:val="fr-CA"/>
        </w:rPr>
      </w:pPr>
    </w:p>
    <w:p w:rsidR="00EC79B0" w:rsidRPr="005E3F56" w:rsidRDefault="00EC79B0" w:rsidP="00EC79B0">
      <w:pPr>
        <w:widowControl w:val="0"/>
        <w:rPr>
          <w:lang w:val="fr-CA"/>
        </w:rPr>
      </w:pPr>
      <w:r w:rsidRPr="005E3F56">
        <w:rPr>
          <w:b/>
          <w:lang w:val="fr-CA"/>
        </w:rPr>
        <w:t xml:space="preserve">Le </w:t>
      </w:r>
      <w:r w:rsidR="00AE46E9" w:rsidRPr="005E3F56">
        <w:rPr>
          <w:b/>
          <w:lang w:val="fr-CA"/>
        </w:rPr>
        <w:t xml:space="preserve">20 </w:t>
      </w:r>
      <w:r w:rsidR="00F17A28" w:rsidRPr="005E3F56">
        <w:rPr>
          <w:b/>
          <w:lang w:val="fr-CA"/>
        </w:rPr>
        <w:t>jui</w:t>
      </w:r>
      <w:r w:rsidR="00A058A1" w:rsidRPr="005E3F56">
        <w:rPr>
          <w:b/>
          <w:lang w:val="fr-CA"/>
        </w:rPr>
        <w:t>llet</w:t>
      </w:r>
      <w:r w:rsidR="00C86395" w:rsidRPr="005E3F56">
        <w:rPr>
          <w:b/>
          <w:lang w:val="fr-CA"/>
        </w:rPr>
        <w:t xml:space="preserve"> </w:t>
      </w:r>
      <w:r w:rsidR="0086609D" w:rsidRPr="005E3F56">
        <w:rPr>
          <w:b/>
          <w:lang w:val="fr-CA"/>
        </w:rPr>
        <w:t>20</w:t>
      </w:r>
      <w:r w:rsidR="009544E9" w:rsidRPr="005E3F56">
        <w:rPr>
          <w:b/>
          <w:lang w:val="fr-CA"/>
        </w:rPr>
        <w:t>20</w:t>
      </w:r>
    </w:p>
    <w:p w:rsidR="00EC79B0" w:rsidRPr="005E3F56" w:rsidRDefault="00EC79B0" w:rsidP="00EC79B0">
      <w:pPr>
        <w:widowControl w:val="0"/>
        <w:rPr>
          <w:b/>
          <w:lang w:val="fr-CA"/>
        </w:rPr>
      </w:pPr>
      <w:r w:rsidRPr="005E3F56">
        <w:rPr>
          <w:b/>
          <w:lang w:val="fr-CA"/>
        </w:rPr>
        <w:t>Pour diffusion immédiate</w:t>
      </w:r>
    </w:p>
    <w:p w:rsidR="00EC79B0" w:rsidRPr="005E3F56" w:rsidRDefault="00EC79B0" w:rsidP="00EC79B0">
      <w:pPr>
        <w:widowControl w:val="0"/>
        <w:rPr>
          <w:lang w:val="fr-CA"/>
        </w:rPr>
      </w:pPr>
    </w:p>
    <w:p w:rsidR="00EC79B0" w:rsidRPr="005441B9" w:rsidRDefault="00EC79B0" w:rsidP="00EC79B0">
      <w:pPr>
        <w:widowControl w:val="0"/>
        <w:rPr>
          <w:lang w:val="fr-CA"/>
        </w:rPr>
      </w:pPr>
      <w:r w:rsidRPr="005E3F56">
        <w:rPr>
          <w:b/>
          <w:lang w:val="fr-CA"/>
        </w:rPr>
        <w:t>OTTAWA</w:t>
      </w:r>
      <w:r w:rsidRPr="002C4493">
        <w:rPr>
          <w:lang w:val="fr-CA"/>
        </w:rPr>
        <w:t xml:space="preserve"> – La Cour suprême du Canada annonce que jugement ser</w:t>
      </w:r>
      <w:r w:rsidR="00C86395" w:rsidRPr="002C4493">
        <w:rPr>
          <w:lang w:val="fr-CA"/>
        </w:rPr>
        <w:t>a</w:t>
      </w:r>
      <w:r w:rsidRPr="002C4493">
        <w:rPr>
          <w:lang w:val="fr-CA"/>
        </w:rPr>
        <w:t xml:space="preserve"> rendu dans </w:t>
      </w:r>
      <w:r w:rsidR="001F1643" w:rsidRPr="002C4493">
        <w:rPr>
          <w:lang w:val="fr-CA"/>
        </w:rPr>
        <w:t>l</w:t>
      </w:r>
      <w:r w:rsidR="00C86395" w:rsidRPr="002C4493">
        <w:rPr>
          <w:lang w:val="fr-CA"/>
        </w:rPr>
        <w:t>’</w:t>
      </w:r>
      <w:r w:rsidR="001F1643" w:rsidRPr="002C4493">
        <w:rPr>
          <w:lang w:val="fr-CA"/>
        </w:rPr>
        <w:t>appel</w:t>
      </w:r>
      <w:r w:rsidR="00F17A28" w:rsidRPr="002C4493">
        <w:rPr>
          <w:lang w:val="fr-CA"/>
        </w:rPr>
        <w:t xml:space="preserve"> </w:t>
      </w:r>
      <w:r w:rsidRPr="002C4493">
        <w:rPr>
          <w:lang w:val="fr-CA"/>
        </w:rPr>
        <w:t xml:space="preserve">suivant le </w:t>
      </w:r>
      <w:r w:rsidR="00FB61C0" w:rsidRPr="002C4493">
        <w:rPr>
          <w:lang w:val="fr-CA"/>
        </w:rPr>
        <w:t>vendre</w:t>
      </w:r>
      <w:r w:rsidR="00831D1B" w:rsidRPr="002C4493">
        <w:rPr>
          <w:lang w:val="fr-CA"/>
        </w:rPr>
        <w:t>d</w:t>
      </w:r>
      <w:r w:rsidR="00945121" w:rsidRPr="002C4493">
        <w:rPr>
          <w:lang w:val="fr-CA"/>
        </w:rPr>
        <w:t>i</w:t>
      </w:r>
      <w:r w:rsidR="007C1648" w:rsidRPr="002C4493">
        <w:rPr>
          <w:lang w:val="fr-CA"/>
        </w:rPr>
        <w:t xml:space="preserve"> </w:t>
      </w:r>
      <w:r w:rsidR="00AE46E9">
        <w:rPr>
          <w:lang w:val="fr-CA"/>
        </w:rPr>
        <w:t>24</w:t>
      </w:r>
      <w:r w:rsidR="00F62251" w:rsidRPr="002C4493">
        <w:rPr>
          <w:lang w:val="fr-CA"/>
        </w:rPr>
        <w:t xml:space="preserve"> </w:t>
      </w:r>
      <w:r w:rsidR="00F17A28" w:rsidRPr="002C4493">
        <w:rPr>
          <w:lang w:val="fr-CA"/>
        </w:rPr>
        <w:t>jui</w:t>
      </w:r>
      <w:r w:rsidR="00A058A1">
        <w:rPr>
          <w:lang w:val="fr-CA"/>
        </w:rPr>
        <w:t>llet</w:t>
      </w:r>
      <w:r w:rsidR="00282563" w:rsidRPr="002C4493">
        <w:rPr>
          <w:lang w:val="fr-CA"/>
        </w:rPr>
        <w:t xml:space="preserve"> </w:t>
      </w:r>
      <w:r w:rsidRPr="002C4493">
        <w:rPr>
          <w:lang w:val="fr-CA"/>
        </w:rPr>
        <w:t>20</w:t>
      </w:r>
      <w:r w:rsidR="009544E9" w:rsidRPr="002C4493">
        <w:rPr>
          <w:lang w:val="fr-CA"/>
        </w:rPr>
        <w:t>20</w:t>
      </w:r>
      <w:r w:rsidRPr="002C4493">
        <w:rPr>
          <w:lang w:val="fr-CA"/>
        </w:rPr>
        <w:t>, à 9 h 45 H</w:t>
      </w:r>
      <w:r w:rsidR="00F17A28" w:rsidRPr="002C4493">
        <w:rPr>
          <w:lang w:val="fr-CA"/>
        </w:rPr>
        <w:t>A</w:t>
      </w:r>
      <w:r w:rsidRPr="002C4493">
        <w:rPr>
          <w:lang w:val="fr-CA"/>
        </w:rPr>
        <w:t>E. Cette liste est sujette à modifications.</w:t>
      </w:r>
    </w:p>
    <w:p w:rsidR="001F76DD" w:rsidRDefault="001F76DD" w:rsidP="00E92006">
      <w:pPr>
        <w:widowControl w:val="0"/>
        <w:jc w:val="both"/>
        <w:rPr>
          <w:szCs w:val="24"/>
          <w:lang w:val="fr-CA"/>
        </w:rPr>
      </w:pPr>
    </w:p>
    <w:p w:rsidR="00EF4622" w:rsidRPr="005441B9" w:rsidRDefault="0043163C"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A058A1" w:rsidRDefault="00AE46E9" w:rsidP="00772636">
      <w:pPr>
        <w:jc w:val="both"/>
        <w:rPr>
          <w:szCs w:val="24"/>
        </w:rPr>
      </w:pPr>
      <w:r w:rsidRPr="00AE46E9">
        <w:rPr>
          <w:i/>
          <w:szCs w:val="24"/>
        </w:rPr>
        <w:t xml:space="preserve">Atlantic Lottery Corporation Inc., et </w:t>
      </w:r>
      <w:r>
        <w:rPr>
          <w:i/>
          <w:szCs w:val="24"/>
        </w:rPr>
        <w:t>al. v. Douglas Babstock, et al.</w:t>
      </w:r>
      <w:r w:rsidR="00A058A1" w:rsidRPr="00A058A1">
        <w:rPr>
          <w:szCs w:val="24"/>
        </w:rPr>
        <w:t xml:space="preserve"> </w:t>
      </w:r>
      <w:r w:rsidR="00772636" w:rsidRPr="00A058A1">
        <w:rPr>
          <w:szCs w:val="24"/>
        </w:rPr>
        <w:t>(</w:t>
      </w:r>
      <w:r>
        <w:rPr>
          <w:szCs w:val="24"/>
        </w:rPr>
        <w:t>N.L</w:t>
      </w:r>
      <w:r w:rsidR="00CB0853" w:rsidRPr="00A058A1">
        <w:rPr>
          <w:szCs w:val="24"/>
        </w:rPr>
        <w:t>.</w:t>
      </w:r>
      <w:r w:rsidR="00772636" w:rsidRPr="00A058A1">
        <w:rPr>
          <w:szCs w:val="24"/>
        </w:rPr>
        <w:t xml:space="preserve">) </w:t>
      </w:r>
      <w:r w:rsidR="00772636" w:rsidRPr="00A058A1">
        <w:t>(</w:t>
      </w:r>
      <w:hyperlink r:id="rId7" w:history="1">
        <w:r w:rsidR="00772636" w:rsidRPr="00A058A1">
          <w:rPr>
            <w:rStyle w:val="Hyperlink"/>
          </w:rPr>
          <w:t>3</w:t>
        </w:r>
        <w:r w:rsidR="00F17A28" w:rsidRPr="00A058A1">
          <w:rPr>
            <w:rStyle w:val="Hyperlink"/>
          </w:rPr>
          <w:t>8</w:t>
        </w:r>
        <w:r>
          <w:rPr>
            <w:rStyle w:val="Hyperlink"/>
          </w:rPr>
          <w:t>521</w:t>
        </w:r>
      </w:hyperlink>
      <w:r w:rsidR="00772636" w:rsidRPr="00A058A1">
        <w:t>)</w:t>
      </w:r>
    </w:p>
    <w:p w:rsidR="009F18D7" w:rsidRDefault="009F18D7" w:rsidP="00340C6D">
      <w:pPr>
        <w:jc w:val="both"/>
        <w:rPr>
          <w:sz w:val="20"/>
        </w:rPr>
      </w:pPr>
    </w:p>
    <w:p w:rsidR="00AE46E9" w:rsidRDefault="00AE46E9" w:rsidP="00340C6D">
      <w:pPr>
        <w:jc w:val="both"/>
        <w:rPr>
          <w:sz w:val="20"/>
        </w:rPr>
      </w:pPr>
    </w:p>
    <w:p w:rsidR="00AE46E9" w:rsidRPr="00AE46E9" w:rsidRDefault="00AE46E9" w:rsidP="00A82BF3">
      <w:pPr>
        <w:pStyle w:val="SCCLsocParty"/>
        <w:rPr>
          <w:b/>
          <w:sz w:val="20"/>
          <w:szCs w:val="20"/>
          <w:lang w:val="en-US"/>
        </w:rPr>
      </w:pPr>
      <w:r w:rsidRPr="00AE46E9">
        <w:rPr>
          <w:i w:val="0"/>
          <w:sz w:val="20"/>
          <w:szCs w:val="20"/>
        </w:rPr>
        <w:fldChar w:fldCharType="begin"/>
      </w:r>
      <w:r w:rsidRPr="00AE46E9">
        <w:rPr>
          <w:i w:val="0"/>
          <w:sz w:val="20"/>
          <w:szCs w:val="20"/>
          <w:lang w:val="en-US"/>
        </w:rPr>
        <w:instrText xml:space="preserve"> SEQ CHAPTER \h \r 1</w:instrText>
      </w:r>
      <w:r w:rsidRPr="00AE46E9">
        <w:rPr>
          <w:i w:val="0"/>
          <w:sz w:val="20"/>
          <w:szCs w:val="20"/>
        </w:rPr>
        <w:fldChar w:fldCharType="end"/>
      </w:r>
      <w:r w:rsidRPr="00AE46E9">
        <w:rPr>
          <w:rStyle w:val="SCCFileNumberChar"/>
          <w:rFonts w:eastAsiaTheme="minorHAnsi"/>
          <w:i w:val="0"/>
          <w:sz w:val="20"/>
          <w:szCs w:val="20"/>
        </w:rPr>
        <w:t>38521</w:t>
      </w:r>
      <w:r w:rsidRPr="00AE46E9">
        <w:rPr>
          <w:i w:val="0"/>
          <w:sz w:val="20"/>
          <w:szCs w:val="20"/>
          <w:lang w:val="en-US"/>
        </w:rPr>
        <w:tab/>
      </w:r>
      <w:r w:rsidRPr="00AE46E9">
        <w:rPr>
          <w:b/>
          <w:sz w:val="20"/>
          <w:szCs w:val="20"/>
          <w:lang w:val="en-US"/>
        </w:rPr>
        <w:t>Atlantic Lottery Corporation Inc. v. Douglas Babstock, Fred Small</w:t>
      </w:r>
    </w:p>
    <w:p w:rsidR="00AE46E9" w:rsidRPr="00AE46E9" w:rsidRDefault="00AE46E9" w:rsidP="00AE46E9">
      <w:pPr>
        <w:ind w:left="360" w:firstLine="360"/>
        <w:rPr>
          <w:b/>
          <w:sz w:val="20"/>
          <w:lang w:val="en-CA"/>
        </w:rPr>
      </w:pPr>
      <w:r w:rsidRPr="00AE46E9">
        <w:rPr>
          <w:b/>
          <w:sz w:val="20"/>
          <w:lang w:val="en-CA"/>
        </w:rPr>
        <w:t xml:space="preserve">- </w:t>
      </w:r>
      <w:proofErr w:type="gramStart"/>
      <w:r w:rsidRPr="00AE46E9">
        <w:rPr>
          <w:b/>
          <w:sz w:val="20"/>
          <w:lang w:val="en-CA"/>
        </w:rPr>
        <w:t>and</w:t>
      </w:r>
      <w:proofErr w:type="gramEnd"/>
      <w:r w:rsidRPr="00AE46E9">
        <w:rPr>
          <w:b/>
          <w:sz w:val="20"/>
          <w:lang w:val="en-CA"/>
        </w:rPr>
        <w:t xml:space="preserve"> -</w:t>
      </w:r>
    </w:p>
    <w:p w:rsidR="00AE46E9" w:rsidRPr="0043163C" w:rsidRDefault="00AE46E9" w:rsidP="00AE46E9">
      <w:pPr>
        <w:ind w:left="360" w:firstLine="360"/>
        <w:rPr>
          <w:b/>
          <w:i/>
          <w:sz w:val="20"/>
          <w:lang w:val="en-CA"/>
        </w:rPr>
      </w:pPr>
      <w:r w:rsidRPr="0043163C">
        <w:rPr>
          <w:b/>
          <w:i/>
          <w:sz w:val="20"/>
          <w:lang w:val="en-CA"/>
        </w:rPr>
        <w:t>Bally Gaming Canada Lt</w:t>
      </w:r>
      <w:bookmarkStart w:id="0" w:name="_GoBack"/>
      <w:bookmarkEnd w:id="0"/>
      <w:r w:rsidRPr="0043163C">
        <w:rPr>
          <w:b/>
          <w:i/>
          <w:sz w:val="20"/>
          <w:lang w:val="en-CA"/>
        </w:rPr>
        <w:t>d. And Bally Gaming Inc.</w:t>
      </w:r>
    </w:p>
    <w:p w:rsidR="00AE46E9" w:rsidRPr="00AE46E9" w:rsidRDefault="00AE46E9" w:rsidP="00A82BF3">
      <w:pPr>
        <w:pStyle w:val="SCCLsocSubfileSeparator"/>
        <w:ind w:firstLine="720"/>
        <w:rPr>
          <w:sz w:val="20"/>
          <w:szCs w:val="20"/>
        </w:rPr>
      </w:pPr>
      <w:r w:rsidRPr="00AE46E9">
        <w:rPr>
          <w:sz w:val="20"/>
          <w:szCs w:val="20"/>
        </w:rPr>
        <w:t xml:space="preserve">- </w:t>
      </w:r>
      <w:proofErr w:type="gramStart"/>
      <w:r w:rsidRPr="00AE46E9">
        <w:rPr>
          <w:sz w:val="20"/>
          <w:szCs w:val="20"/>
        </w:rPr>
        <w:t>and</w:t>
      </w:r>
      <w:proofErr w:type="gramEnd"/>
      <w:r w:rsidRPr="00AE46E9">
        <w:rPr>
          <w:sz w:val="20"/>
          <w:szCs w:val="20"/>
        </w:rPr>
        <w:t xml:space="preserve"> between -</w:t>
      </w:r>
    </w:p>
    <w:p w:rsidR="00AE46E9" w:rsidRPr="00AE46E9" w:rsidRDefault="00AE46E9" w:rsidP="00A82BF3">
      <w:pPr>
        <w:pStyle w:val="SCCLsocParty"/>
        <w:ind w:left="720"/>
        <w:rPr>
          <w:b/>
          <w:sz w:val="20"/>
          <w:szCs w:val="20"/>
          <w:lang w:val="en-US"/>
        </w:rPr>
      </w:pPr>
      <w:r w:rsidRPr="00AE46E9">
        <w:rPr>
          <w:b/>
          <w:sz w:val="20"/>
          <w:szCs w:val="20"/>
          <w:lang w:val="en-US"/>
        </w:rPr>
        <w:t>VLC, Inc., IGT-Canada Inc., International Game Technology, Spielo International Canada ULC, Tech Link International Entertainment Limited v. Douglas Babstock, Fred Small</w:t>
      </w:r>
    </w:p>
    <w:p w:rsidR="00AE46E9" w:rsidRPr="00AE46E9" w:rsidRDefault="00AE46E9" w:rsidP="00A82BF3">
      <w:pPr>
        <w:pStyle w:val="SCCLsocOtherPartySeparator"/>
        <w:ind w:firstLine="720"/>
        <w:rPr>
          <w:sz w:val="20"/>
          <w:szCs w:val="20"/>
        </w:rPr>
      </w:pPr>
      <w:r w:rsidRPr="00AE46E9">
        <w:rPr>
          <w:sz w:val="20"/>
          <w:szCs w:val="20"/>
        </w:rPr>
        <w:t xml:space="preserve">- </w:t>
      </w:r>
      <w:proofErr w:type="gramStart"/>
      <w:r w:rsidRPr="00AE46E9">
        <w:rPr>
          <w:sz w:val="20"/>
          <w:szCs w:val="20"/>
        </w:rPr>
        <w:t>and</w:t>
      </w:r>
      <w:proofErr w:type="gramEnd"/>
      <w:r w:rsidRPr="00AE46E9">
        <w:rPr>
          <w:sz w:val="20"/>
          <w:szCs w:val="20"/>
        </w:rPr>
        <w:t xml:space="preserve"> -</w:t>
      </w:r>
    </w:p>
    <w:p w:rsidR="00AE46E9" w:rsidRPr="00AE46E9" w:rsidRDefault="00AE46E9" w:rsidP="00A82BF3">
      <w:pPr>
        <w:pStyle w:val="SCCLsocParty"/>
        <w:ind w:firstLine="720"/>
        <w:rPr>
          <w:b/>
          <w:sz w:val="20"/>
          <w:szCs w:val="20"/>
          <w:lang w:val="en-US"/>
        </w:rPr>
      </w:pPr>
      <w:r w:rsidRPr="00AE46E9">
        <w:rPr>
          <w:b/>
          <w:sz w:val="20"/>
          <w:szCs w:val="20"/>
          <w:lang w:val="en-US"/>
        </w:rPr>
        <w:t>Bally Gaming Canada Ltd. and Bally Gaming Inc.</w:t>
      </w:r>
    </w:p>
    <w:p w:rsidR="00AE46E9" w:rsidRPr="00AE46E9" w:rsidRDefault="00AE46E9" w:rsidP="00A82BF3">
      <w:pPr>
        <w:widowControl w:val="0"/>
        <w:ind w:firstLine="720"/>
        <w:jc w:val="both"/>
        <w:rPr>
          <w:sz w:val="20"/>
        </w:rPr>
      </w:pPr>
      <w:bookmarkStart w:id="1" w:name="4"/>
      <w:bookmarkEnd w:id="1"/>
      <w:r w:rsidRPr="00AE46E9">
        <w:rPr>
          <w:sz w:val="20"/>
        </w:rPr>
        <w:t>(N.L.) (Civil) (By Leave)</w:t>
      </w:r>
    </w:p>
    <w:p w:rsidR="00AE46E9" w:rsidRPr="00AE46E9" w:rsidRDefault="00AE46E9" w:rsidP="00590DC1">
      <w:pPr>
        <w:pStyle w:val="SCCCaseDescriptor"/>
        <w:rPr>
          <w:b w:val="0"/>
          <w:sz w:val="20"/>
        </w:rPr>
      </w:pPr>
    </w:p>
    <w:p w:rsidR="00AE46E9" w:rsidRPr="00AE46E9" w:rsidRDefault="00AE46E9" w:rsidP="00956864">
      <w:pPr>
        <w:jc w:val="both"/>
        <w:rPr>
          <w:sz w:val="20"/>
        </w:rPr>
      </w:pPr>
      <w:r w:rsidRPr="00AE46E9">
        <w:rPr>
          <w:sz w:val="20"/>
        </w:rPr>
        <w:t>Torts – Duty of care – Causation – Contracts – Breach – Disgorgement of profits – Whether a new cause of action should be recognized entitling a plaintiff to a disgorgement remedy upon proof of the breach of a duty of care in negligence, absent damage, injury or loss – Whether the proper analytical framework was applied for disgorgement in breach of contract – Whether the proper interpretation of “three-card monte” discloses any reasonable prospect of the plaintiffs succeeding – Whether certification of the class action should have been denied</w:t>
      </w:r>
    </w:p>
    <w:p w:rsidR="00AE46E9" w:rsidRPr="00AE46E9" w:rsidRDefault="00AE46E9">
      <w:pPr>
        <w:rPr>
          <w:sz w:val="20"/>
        </w:rPr>
      </w:pPr>
    </w:p>
    <w:p w:rsidR="00AE46E9" w:rsidRPr="00AE46E9" w:rsidRDefault="00AE46E9" w:rsidP="00956864">
      <w:pPr>
        <w:jc w:val="both"/>
        <w:rPr>
          <w:color w:val="000000"/>
          <w:sz w:val="20"/>
          <w:shd w:val="clear" w:color="auto" w:fill="FFFFFF"/>
        </w:rPr>
      </w:pPr>
      <w:r w:rsidRPr="00AE46E9">
        <w:rPr>
          <w:sz w:val="20"/>
        </w:rPr>
        <w:t xml:space="preserve">The Atlantic Lottery Corporation (ALC) </w:t>
      </w:r>
      <w:r w:rsidRPr="00AE46E9">
        <w:rPr>
          <w:color w:val="000000"/>
          <w:sz w:val="20"/>
          <w:shd w:val="clear" w:color="auto" w:fill="FFFFFF"/>
        </w:rPr>
        <w:t xml:space="preserve">is a corporation constituted by the governments of the four Atlantic Provinces to conduct lotteries and other gambling activities on behalf of the Crown. Douglas Babstock and Fred Small brought an application for certification as representatives of a class action against ALC and several other third party suppliers to ALC. The proposed class action alleged harm by video lottery terminals which offered line games similar to slot machines. The seven causes of action included (amongst others) breach of contract, negligence, unjust enrichment, and waiver of tort. In two separate decisions, a judge of the Supreme Court of Newfoundland &amp; Labrador refused a motion to strike and then certified the class action. A majority of the Court of Appeal affirmed the certification except for claims under the </w:t>
      </w:r>
      <w:r w:rsidRPr="00AE46E9">
        <w:rPr>
          <w:i/>
          <w:color w:val="000000"/>
          <w:sz w:val="20"/>
          <w:shd w:val="clear" w:color="auto" w:fill="FFFFFF"/>
        </w:rPr>
        <w:t>Competition Act</w:t>
      </w:r>
      <w:r w:rsidRPr="00AE46E9">
        <w:rPr>
          <w:color w:val="000000"/>
          <w:sz w:val="20"/>
          <w:shd w:val="clear" w:color="auto" w:fill="FFFFFF"/>
        </w:rPr>
        <w:t xml:space="preserve"> and </w:t>
      </w:r>
      <w:r w:rsidRPr="00AE46E9">
        <w:rPr>
          <w:i/>
          <w:color w:val="000000"/>
          <w:sz w:val="20"/>
          <w:shd w:val="clear" w:color="auto" w:fill="FFFFFF"/>
        </w:rPr>
        <w:t>Statute of Anne, 1710</w:t>
      </w:r>
      <w:r w:rsidRPr="00AE46E9">
        <w:rPr>
          <w:color w:val="000000"/>
          <w:sz w:val="20"/>
          <w:shd w:val="clear" w:color="auto" w:fill="FFFFFF"/>
        </w:rPr>
        <w:t xml:space="preserve">. </w:t>
      </w:r>
      <w:r w:rsidRPr="00AE46E9">
        <w:rPr>
          <w:sz w:val="20"/>
        </w:rPr>
        <w:t>In a dissenting opinion, Welsh J.A. would have allowed the appeal, set aside the certification order, and struck the claim in its entirety.</w:t>
      </w:r>
    </w:p>
    <w:p w:rsidR="00AE46E9" w:rsidRDefault="00AE46E9">
      <w:pPr>
        <w:rPr>
          <w:sz w:val="20"/>
        </w:rPr>
      </w:pPr>
    </w:p>
    <w:p w:rsidR="00AE46E9" w:rsidRDefault="0043163C">
      <w:pPr>
        <w:rPr>
          <w:sz w:val="20"/>
        </w:rPr>
      </w:pPr>
      <w:r>
        <w:rPr>
          <w:sz w:val="20"/>
        </w:rPr>
        <w:pict>
          <v:rect id="_x0000_i1026" style="width:2in;height:1pt" o:hrpct="0" o:hralign="center" o:hrstd="t" o:hrnoshade="t" o:hr="t" fillcolor="black [3213]" stroked="f"/>
        </w:pict>
      </w:r>
    </w:p>
    <w:p w:rsidR="00AE46E9" w:rsidRPr="00AE46E9" w:rsidRDefault="00AE46E9">
      <w:pPr>
        <w:rPr>
          <w:sz w:val="20"/>
        </w:rPr>
      </w:pPr>
    </w:p>
    <w:p w:rsidR="00AE46E9" w:rsidRPr="00AE46E9" w:rsidRDefault="00AE46E9" w:rsidP="00E97B13">
      <w:pPr>
        <w:pStyle w:val="SCCLsocParty"/>
        <w:rPr>
          <w:b/>
          <w:i w:val="0"/>
          <w:sz w:val="20"/>
          <w:szCs w:val="20"/>
        </w:rPr>
      </w:pPr>
      <w:r w:rsidRPr="00AE46E9">
        <w:rPr>
          <w:i w:val="0"/>
          <w:sz w:val="20"/>
          <w:szCs w:val="20"/>
        </w:rPr>
        <w:fldChar w:fldCharType="begin"/>
      </w:r>
      <w:r w:rsidRPr="00AE46E9">
        <w:rPr>
          <w:i w:val="0"/>
          <w:sz w:val="20"/>
          <w:szCs w:val="20"/>
        </w:rPr>
        <w:instrText xml:space="preserve"> SEQ CHAPTER \h \r 1</w:instrText>
      </w:r>
      <w:r w:rsidRPr="00AE46E9">
        <w:rPr>
          <w:i w:val="0"/>
          <w:sz w:val="20"/>
          <w:szCs w:val="20"/>
        </w:rPr>
        <w:fldChar w:fldCharType="end"/>
      </w:r>
      <w:r w:rsidRPr="00AE46E9">
        <w:rPr>
          <w:rStyle w:val="SCCFileNumberChar"/>
          <w:rFonts w:eastAsiaTheme="minorHAnsi"/>
          <w:i w:val="0"/>
          <w:sz w:val="20"/>
          <w:szCs w:val="20"/>
          <w:lang w:val="fr-CA"/>
        </w:rPr>
        <w:t>38521</w:t>
      </w:r>
      <w:r w:rsidRPr="00AE46E9">
        <w:rPr>
          <w:i w:val="0"/>
          <w:sz w:val="20"/>
          <w:szCs w:val="20"/>
        </w:rPr>
        <w:tab/>
      </w:r>
      <w:r w:rsidRPr="00AE46E9">
        <w:rPr>
          <w:b/>
          <w:sz w:val="20"/>
          <w:szCs w:val="20"/>
        </w:rPr>
        <w:t>Société des loteries de l’Atlantique inc. c. Douglas Babstock, Fred Small</w:t>
      </w:r>
    </w:p>
    <w:p w:rsidR="00AE46E9" w:rsidRPr="00AE46E9" w:rsidRDefault="00AE46E9" w:rsidP="00AE46E9">
      <w:pPr>
        <w:ind w:left="360" w:firstLine="360"/>
        <w:rPr>
          <w:b/>
          <w:i/>
          <w:sz w:val="20"/>
          <w:lang w:val="en-CA"/>
        </w:rPr>
      </w:pPr>
      <w:r w:rsidRPr="00AE46E9">
        <w:rPr>
          <w:b/>
          <w:i/>
          <w:sz w:val="20"/>
          <w:lang w:val="en-CA"/>
        </w:rPr>
        <w:t xml:space="preserve">- </w:t>
      </w:r>
      <w:proofErr w:type="gramStart"/>
      <w:r w:rsidRPr="00AE46E9">
        <w:rPr>
          <w:b/>
          <w:i/>
          <w:sz w:val="20"/>
          <w:lang w:val="en-CA"/>
        </w:rPr>
        <w:t>et</w:t>
      </w:r>
      <w:proofErr w:type="gramEnd"/>
      <w:r w:rsidRPr="00AE46E9">
        <w:rPr>
          <w:b/>
          <w:i/>
          <w:sz w:val="20"/>
          <w:lang w:val="en-CA"/>
        </w:rPr>
        <w:t xml:space="preserve"> -</w:t>
      </w:r>
    </w:p>
    <w:p w:rsidR="00AE46E9" w:rsidRPr="00AE46E9" w:rsidRDefault="00AE46E9" w:rsidP="00AE46E9">
      <w:pPr>
        <w:ind w:left="360" w:firstLine="360"/>
        <w:rPr>
          <w:b/>
          <w:i/>
          <w:sz w:val="20"/>
          <w:lang w:val="en-CA"/>
        </w:rPr>
      </w:pPr>
      <w:r w:rsidRPr="00AE46E9">
        <w:rPr>
          <w:b/>
          <w:i/>
          <w:sz w:val="20"/>
          <w:lang w:val="en-CA"/>
        </w:rPr>
        <w:t xml:space="preserve">Bally Gaming Canada Ltd. </w:t>
      </w:r>
      <w:proofErr w:type="gramStart"/>
      <w:r w:rsidRPr="00AE46E9">
        <w:rPr>
          <w:b/>
          <w:i/>
          <w:sz w:val="20"/>
          <w:lang w:val="en-CA"/>
        </w:rPr>
        <w:t>et</w:t>
      </w:r>
      <w:proofErr w:type="gramEnd"/>
      <w:r w:rsidRPr="00AE46E9">
        <w:rPr>
          <w:b/>
          <w:i/>
          <w:sz w:val="20"/>
          <w:lang w:val="en-CA"/>
        </w:rPr>
        <w:t xml:space="preserve"> Bally Gaming Inc.</w:t>
      </w:r>
    </w:p>
    <w:p w:rsidR="00AE46E9" w:rsidRPr="00AE46E9" w:rsidRDefault="00AE46E9" w:rsidP="00E97B13">
      <w:pPr>
        <w:pStyle w:val="SCCLsocSubfileSeparator"/>
        <w:ind w:firstLine="720"/>
        <w:rPr>
          <w:i/>
          <w:sz w:val="20"/>
          <w:szCs w:val="20"/>
        </w:rPr>
      </w:pPr>
      <w:r w:rsidRPr="00AE46E9">
        <w:rPr>
          <w:i/>
          <w:sz w:val="20"/>
          <w:szCs w:val="20"/>
        </w:rPr>
        <w:t xml:space="preserve">- </w:t>
      </w:r>
      <w:proofErr w:type="gramStart"/>
      <w:r w:rsidRPr="00AE46E9">
        <w:rPr>
          <w:i/>
          <w:sz w:val="20"/>
          <w:szCs w:val="20"/>
        </w:rPr>
        <w:t>et</w:t>
      </w:r>
      <w:proofErr w:type="gramEnd"/>
      <w:r w:rsidRPr="00AE46E9">
        <w:rPr>
          <w:i/>
          <w:sz w:val="20"/>
          <w:szCs w:val="20"/>
        </w:rPr>
        <w:t xml:space="preserve"> entre -</w:t>
      </w:r>
    </w:p>
    <w:p w:rsidR="00AE46E9" w:rsidRPr="00AE46E9" w:rsidRDefault="00AE46E9" w:rsidP="00E97B13">
      <w:pPr>
        <w:pStyle w:val="SCCLsocParty"/>
        <w:ind w:left="720"/>
        <w:rPr>
          <w:b/>
          <w:i w:val="0"/>
          <w:sz w:val="20"/>
          <w:szCs w:val="20"/>
          <w:lang w:val="en-US"/>
        </w:rPr>
      </w:pPr>
      <w:r w:rsidRPr="00AE46E9">
        <w:rPr>
          <w:b/>
          <w:sz w:val="20"/>
          <w:szCs w:val="20"/>
          <w:lang w:val="en-US"/>
        </w:rPr>
        <w:t>VLC, Inc., IGT-Canada Inc., International Game Technology, Spielo International Canada ULC, Tech Link International Entertainment Limited c. Douglas Babstock, Fred Small</w:t>
      </w:r>
    </w:p>
    <w:p w:rsidR="00AE46E9" w:rsidRPr="00AE46E9" w:rsidRDefault="00AE46E9" w:rsidP="00E97B13">
      <w:pPr>
        <w:pStyle w:val="SCCLsocOtherPartySeparator"/>
        <w:ind w:firstLine="720"/>
        <w:rPr>
          <w:i/>
          <w:sz w:val="20"/>
          <w:szCs w:val="20"/>
        </w:rPr>
      </w:pPr>
      <w:r w:rsidRPr="00AE46E9">
        <w:rPr>
          <w:i/>
          <w:sz w:val="20"/>
          <w:szCs w:val="20"/>
        </w:rPr>
        <w:t xml:space="preserve">- </w:t>
      </w:r>
      <w:proofErr w:type="gramStart"/>
      <w:r w:rsidRPr="00AE46E9">
        <w:rPr>
          <w:i/>
          <w:sz w:val="20"/>
          <w:szCs w:val="20"/>
        </w:rPr>
        <w:t>et</w:t>
      </w:r>
      <w:proofErr w:type="gramEnd"/>
      <w:r w:rsidRPr="00AE46E9">
        <w:rPr>
          <w:i/>
          <w:sz w:val="20"/>
          <w:szCs w:val="20"/>
        </w:rPr>
        <w:t xml:space="preserve"> -</w:t>
      </w:r>
    </w:p>
    <w:p w:rsidR="00AE46E9" w:rsidRPr="00AE46E9" w:rsidRDefault="00AE46E9" w:rsidP="00E97B13">
      <w:pPr>
        <w:pStyle w:val="SCCLsocParty"/>
        <w:ind w:firstLine="720"/>
        <w:rPr>
          <w:b/>
          <w:i w:val="0"/>
          <w:sz w:val="20"/>
          <w:szCs w:val="20"/>
          <w:lang w:val="en-US"/>
        </w:rPr>
      </w:pPr>
      <w:r w:rsidRPr="00AE46E9">
        <w:rPr>
          <w:b/>
          <w:sz w:val="20"/>
          <w:szCs w:val="20"/>
          <w:lang w:val="en-US"/>
        </w:rPr>
        <w:t xml:space="preserve">Bally Gaming Canada Ltd. </w:t>
      </w:r>
      <w:proofErr w:type="gramStart"/>
      <w:r w:rsidRPr="00AE46E9">
        <w:rPr>
          <w:b/>
          <w:sz w:val="20"/>
          <w:szCs w:val="20"/>
          <w:lang w:val="en-US"/>
        </w:rPr>
        <w:t>et</w:t>
      </w:r>
      <w:proofErr w:type="gramEnd"/>
      <w:r w:rsidRPr="00AE46E9">
        <w:rPr>
          <w:b/>
          <w:sz w:val="20"/>
          <w:szCs w:val="20"/>
          <w:lang w:val="en-US"/>
        </w:rPr>
        <w:t xml:space="preserve"> Bally Gaming Inc.</w:t>
      </w:r>
    </w:p>
    <w:p w:rsidR="00AE46E9" w:rsidRPr="00AE46E9" w:rsidRDefault="00AE46E9" w:rsidP="00E97B13">
      <w:pPr>
        <w:widowControl w:val="0"/>
        <w:ind w:firstLine="720"/>
        <w:jc w:val="both"/>
        <w:rPr>
          <w:sz w:val="20"/>
          <w:lang w:val="fr-CA"/>
        </w:rPr>
      </w:pPr>
      <w:r w:rsidRPr="00AE46E9">
        <w:rPr>
          <w:sz w:val="20"/>
          <w:lang w:val="fr-CA"/>
        </w:rPr>
        <w:t>(T.-N.-L.) (Civile) (Autorisation)</w:t>
      </w:r>
    </w:p>
    <w:p w:rsidR="00AE46E9" w:rsidRPr="00AE46E9" w:rsidRDefault="00AE46E9" w:rsidP="00E97B13">
      <w:pPr>
        <w:pStyle w:val="SCCCaseDescriptor"/>
        <w:rPr>
          <w:b w:val="0"/>
          <w:sz w:val="20"/>
          <w:lang w:val="fr-CA"/>
        </w:rPr>
      </w:pPr>
    </w:p>
    <w:p w:rsidR="00AE46E9" w:rsidRPr="00AE46E9" w:rsidRDefault="00AE46E9" w:rsidP="00E97B13">
      <w:pPr>
        <w:jc w:val="both"/>
        <w:rPr>
          <w:sz w:val="20"/>
          <w:lang w:val="fr-CA"/>
        </w:rPr>
      </w:pPr>
      <w:r w:rsidRPr="00AE46E9">
        <w:rPr>
          <w:sz w:val="20"/>
          <w:lang w:val="fr-CA"/>
        </w:rPr>
        <w:t>Responsabilité délictuelle - Obligation de diligence - Causalité - Contrats - Violation - Restitution des profits - Convient-il de reconnaître une nouvelle cause d’action conférant au demandeur le droit d’intenter un recours en restitution s’il prouve une violation de l’obligation de diligence en l’absence de dommage, de préjudice ou de perte? - A-t-on appliqué le bon cadre d’analyse en ce qui concerne la restitution pour violation de contrat? - La bonne interprétation de « bonneteau » présente-t-elle une possibilité raisonnable que les demandeurs aient gain de cause? - Aurait-on dû refuser la certification du recours collectif?</w:t>
      </w:r>
    </w:p>
    <w:p w:rsidR="00AE46E9" w:rsidRPr="00AE46E9" w:rsidRDefault="00AE46E9" w:rsidP="00E97B13">
      <w:pPr>
        <w:rPr>
          <w:sz w:val="20"/>
          <w:lang w:val="fr-CA"/>
        </w:rPr>
      </w:pPr>
    </w:p>
    <w:p w:rsidR="00AE46E9" w:rsidRPr="00AE46E9" w:rsidRDefault="00AE46E9" w:rsidP="00645A75">
      <w:pPr>
        <w:jc w:val="both"/>
        <w:rPr>
          <w:sz w:val="20"/>
          <w:lang w:val="fr-CA"/>
        </w:rPr>
      </w:pPr>
      <w:r w:rsidRPr="00AE46E9">
        <w:rPr>
          <w:sz w:val="20"/>
          <w:lang w:val="fr-CA"/>
        </w:rPr>
        <w:t xml:space="preserve">La Société des loteries de l’Atlantique (SLA) est une personne morale constituée par les gouvernements des quatre provinces de l’Atlantique pour administrer des loteries et exercer d’autres activités de jeu au nom de l’État. Douglas Babstock et Fred Small ont présenté une demande de certification comme représentants d’un recours collectif exercé contre la SLA et plusieurs autres tiers fournisseurs de la SLA. Le recours collectif proposé allègue un préjudice causé par des terminaux de loterie qui offraient de jeux en ligne semblables à des machines à sous. Les sept causes d’action comprenaient notamment la violation de contrat, la négligence, l’enrichissement injustifié et la renonciation à un recours délictuel. Dans deux jugements distincts, un juge de la Cour suprême de Terre-Neuve-et-Labrador a rejeté une requête en radiation et a ensuite certifié l’action à titre de recours collectif. Les juges majoritaires de la Cour d’appel de Terre-Neuve-et-Labrador ont confirmé la certification, à l’exception des allégations fondées sur la </w:t>
      </w:r>
      <w:r w:rsidRPr="00AE46E9">
        <w:rPr>
          <w:i/>
          <w:iCs/>
          <w:sz w:val="20"/>
          <w:lang w:val="fr-CA"/>
        </w:rPr>
        <w:t>Loi sur la concurrence</w:t>
      </w:r>
      <w:r w:rsidRPr="00AE46E9">
        <w:rPr>
          <w:sz w:val="20"/>
          <w:lang w:val="fr-CA"/>
        </w:rPr>
        <w:t xml:space="preserve"> et la </w:t>
      </w:r>
      <w:r w:rsidRPr="00AE46E9">
        <w:rPr>
          <w:i/>
          <w:iCs/>
          <w:sz w:val="20"/>
          <w:lang w:val="fr-CA"/>
        </w:rPr>
        <w:t>Statute of Anne, 1710</w:t>
      </w:r>
      <w:r w:rsidRPr="00AE46E9">
        <w:rPr>
          <w:sz w:val="20"/>
          <w:lang w:val="fr-CA"/>
        </w:rPr>
        <w:t>. Dans une opinion dissidente, la juge Welsh aurait accueilli l’appel, annulé l’ordonnance de certification et radié la demande au complet.</w:t>
      </w:r>
    </w:p>
    <w:p w:rsidR="00AE46E9" w:rsidRPr="00AE46E9" w:rsidRDefault="00AE46E9" w:rsidP="00340C6D">
      <w:pPr>
        <w:jc w:val="both"/>
        <w:rPr>
          <w:sz w:val="20"/>
          <w:lang w:val="fr-CA"/>
        </w:rPr>
      </w:pPr>
    </w:p>
    <w:p w:rsidR="00AE46E9" w:rsidRPr="00AE46E9" w:rsidRDefault="0043163C" w:rsidP="00340C6D">
      <w:pPr>
        <w:jc w:val="both"/>
        <w:rPr>
          <w:sz w:val="20"/>
          <w:lang w:val="fr-CA"/>
        </w:rPr>
      </w:pPr>
      <w:r>
        <w:rPr>
          <w:sz w:val="20"/>
        </w:rPr>
        <w:pict>
          <v:rect id="_x0000_i1027" style="width:2in;height:1pt" o:hrpct="0" o:hralign="center" o:hrstd="t" o:hrnoshade="t" o:hr="t" fillcolor="black [3213]" stroked="f"/>
        </w:pict>
      </w:r>
    </w:p>
    <w:p w:rsidR="00AE46E9" w:rsidRPr="00AE46E9" w:rsidRDefault="00AE46E9" w:rsidP="00340C6D">
      <w:pPr>
        <w:jc w:val="both"/>
        <w:rPr>
          <w:sz w:val="20"/>
          <w:lang w:val="fr-CA"/>
        </w:rPr>
      </w:pPr>
    </w:p>
    <w:p w:rsidR="00AE46E9" w:rsidRPr="00AE46E9" w:rsidRDefault="00AE46E9"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43163C"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2020-07-20T15:17:00Z</dcterms:modified>
</cp:coreProperties>
</file>