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575C32" w:rsidRDefault="000E391F" w:rsidP="000E391F">
      <w:pPr>
        <w:pStyle w:val="Header"/>
        <w:jc w:val="center"/>
        <w:rPr>
          <w:b/>
          <w:sz w:val="32"/>
        </w:rPr>
      </w:pPr>
      <w:r w:rsidRPr="00575C32">
        <w:rPr>
          <w:b/>
          <w:sz w:val="32"/>
        </w:rPr>
        <w:t>Supreme Court of Canada / Cour suprême du Canada</w:t>
      </w:r>
    </w:p>
    <w:p w:rsidR="000E391F" w:rsidRPr="00575C32" w:rsidRDefault="000E391F" w:rsidP="000E391F">
      <w:pPr>
        <w:widowControl w:val="0"/>
      </w:pPr>
    </w:p>
    <w:p w:rsidR="000E391F" w:rsidRPr="00575C32" w:rsidRDefault="000E391F" w:rsidP="000E391F">
      <w:pPr>
        <w:widowControl w:val="0"/>
        <w:rPr>
          <w:i/>
        </w:rPr>
      </w:pPr>
    </w:p>
    <w:p w:rsidR="006F2579" w:rsidRPr="00575C32" w:rsidRDefault="006F2579" w:rsidP="006F2579">
      <w:pPr>
        <w:widowControl w:val="0"/>
        <w:rPr>
          <w:i/>
          <w:sz w:val="20"/>
        </w:rPr>
      </w:pPr>
      <w:r w:rsidRPr="00575C32">
        <w:rPr>
          <w:i/>
          <w:sz w:val="20"/>
        </w:rPr>
        <w:t>(</w:t>
      </w:r>
      <w:r w:rsidR="003240B6" w:rsidRPr="00575C32">
        <w:rPr>
          <w:i/>
          <w:sz w:val="20"/>
        </w:rPr>
        <w:t>L</w:t>
      </w:r>
      <w:r w:rsidRPr="00575C32">
        <w:rPr>
          <w:i/>
          <w:sz w:val="20"/>
        </w:rPr>
        <w:t>e français suit)</w:t>
      </w:r>
    </w:p>
    <w:p w:rsidR="006F2579" w:rsidRPr="00575C32" w:rsidRDefault="006F2579" w:rsidP="006F2579">
      <w:pPr>
        <w:widowControl w:val="0"/>
      </w:pPr>
    </w:p>
    <w:p w:rsidR="006F2579" w:rsidRPr="00575C32" w:rsidRDefault="00B07908" w:rsidP="006F2579">
      <w:pPr>
        <w:widowControl w:val="0"/>
        <w:jc w:val="center"/>
        <w:rPr>
          <w:b/>
        </w:rPr>
      </w:pPr>
      <w:r w:rsidRPr="00575C32">
        <w:fldChar w:fldCharType="begin"/>
      </w:r>
      <w:r w:rsidR="006F2579" w:rsidRPr="00575C32">
        <w:instrText xml:space="preserve"> SEQ CHAPTER \h \r 1</w:instrText>
      </w:r>
      <w:r w:rsidRPr="00575C32">
        <w:fldChar w:fldCharType="end"/>
      </w:r>
      <w:r w:rsidR="006F2579" w:rsidRPr="00575C32">
        <w:rPr>
          <w:b/>
        </w:rPr>
        <w:t>JUDGMENT</w:t>
      </w:r>
      <w:r w:rsidR="00B17AAC" w:rsidRPr="00575C32">
        <w:rPr>
          <w:b/>
        </w:rPr>
        <w:t>S</w:t>
      </w:r>
      <w:r w:rsidR="006F2579" w:rsidRPr="00575C32">
        <w:rPr>
          <w:b/>
        </w:rPr>
        <w:t xml:space="preserve"> TO B</w:t>
      </w:r>
      <w:r w:rsidR="00001846" w:rsidRPr="00575C32">
        <w:rPr>
          <w:b/>
        </w:rPr>
        <w:t>E RENDERED IN LE</w:t>
      </w:r>
      <w:r w:rsidR="00A0288A" w:rsidRPr="00575C32">
        <w:rPr>
          <w:b/>
        </w:rPr>
        <w:t>A</w:t>
      </w:r>
      <w:r w:rsidR="00001846" w:rsidRPr="00575C32">
        <w:rPr>
          <w:b/>
        </w:rPr>
        <w:t>VE APPLICATION</w:t>
      </w:r>
      <w:r w:rsidR="00511288" w:rsidRPr="00575C32">
        <w:rPr>
          <w:b/>
        </w:rPr>
        <w:t>S</w:t>
      </w:r>
    </w:p>
    <w:p w:rsidR="006F2579" w:rsidRPr="00575C32" w:rsidRDefault="006F2579" w:rsidP="006F2579">
      <w:pPr>
        <w:widowControl w:val="0"/>
      </w:pPr>
    </w:p>
    <w:p w:rsidR="006F2579" w:rsidRPr="00575C32" w:rsidRDefault="00427C25" w:rsidP="006F2579">
      <w:pPr>
        <w:widowControl w:val="0"/>
      </w:pPr>
      <w:r>
        <w:rPr>
          <w:b/>
        </w:rPr>
        <w:t>August</w:t>
      </w:r>
      <w:r w:rsidR="00A15B66" w:rsidRPr="00575C32">
        <w:rPr>
          <w:b/>
        </w:rPr>
        <w:t xml:space="preserve"> </w:t>
      </w:r>
      <w:r w:rsidR="00095945">
        <w:rPr>
          <w:b/>
        </w:rPr>
        <w:t>24</w:t>
      </w:r>
      <w:r w:rsidR="004441C7" w:rsidRPr="00575C32">
        <w:rPr>
          <w:b/>
        </w:rPr>
        <w:t>,</w:t>
      </w:r>
      <w:r w:rsidR="006F2579" w:rsidRPr="00575C32">
        <w:rPr>
          <w:b/>
        </w:rPr>
        <w:t xml:space="preserve"> </w:t>
      </w:r>
      <w:r w:rsidR="0054689F" w:rsidRPr="00575C32">
        <w:rPr>
          <w:b/>
        </w:rPr>
        <w:t>20</w:t>
      </w:r>
      <w:r w:rsidR="00526754" w:rsidRPr="00575C32">
        <w:rPr>
          <w:b/>
        </w:rPr>
        <w:t>20</w:t>
      </w:r>
    </w:p>
    <w:p w:rsidR="006F2579" w:rsidRPr="00575C32" w:rsidRDefault="00674F39" w:rsidP="006F2579">
      <w:pPr>
        <w:widowControl w:val="0"/>
        <w:rPr>
          <w:b/>
        </w:rPr>
      </w:pPr>
      <w:r w:rsidRPr="00575C32">
        <w:rPr>
          <w:b/>
        </w:rPr>
        <w:t>For immediate release</w:t>
      </w:r>
    </w:p>
    <w:p w:rsidR="006F2579" w:rsidRPr="00575C32" w:rsidRDefault="006F2579" w:rsidP="006F2579">
      <w:pPr>
        <w:widowControl w:val="0"/>
      </w:pPr>
    </w:p>
    <w:p w:rsidR="006F2579" w:rsidRPr="00575C32" w:rsidRDefault="006F2579" w:rsidP="006F2579">
      <w:pPr>
        <w:widowControl w:val="0"/>
        <w:rPr>
          <w:lang w:val="fr-CA"/>
        </w:rPr>
      </w:pPr>
      <w:r w:rsidRPr="00575C32">
        <w:rPr>
          <w:b/>
        </w:rPr>
        <w:t>OTTAWA</w:t>
      </w:r>
      <w:r w:rsidRPr="00575C32">
        <w:t xml:space="preserve"> – The Supreme Court of Canad</w:t>
      </w:r>
      <w:r w:rsidR="006246E4" w:rsidRPr="00575C32">
        <w:t>a</w:t>
      </w:r>
      <w:r w:rsidRPr="00575C32">
        <w:t xml:space="preserve"> announced today that judgment in the following </w:t>
      </w:r>
      <w:r w:rsidR="00DB6199" w:rsidRPr="00575C32">
        <w:t xml:space="preserve">leave applications </w:t>
      </w:r>
      <w:r w:rsidRPr="00575C32">
        <w:t xml:space="preserve">will be delivered at 9:45 a.m. </w:t>
      </w:r>
      <w:r w:rsidR="00E05816" w:rsidRPr="00575C32">
        <w:t>E</w:t>
      </w:r>
      <w:r w:rsidR="00273FF3" w:rsidRPr="00575C32">
        <w:t>D</w:t>
      </w:r>
      <w:r w:rsidR="00E05816" w:rsidRPr="00575C32">
        <w:t>T</w:t>
      </w:r>
      <w:r w:rsidRPr="00575C32">
        <w:t xml:space="preserve"> on Thursday, </w:t>
      </w:r>
      <w:r w:rsidR="00427C25">
        <w:t>August</w:t>
      </w:r>
      <w:r w:rsidR="00455912" w:rsidRPr="00575C32">
        <w:t xml:space="preserve"> </w:t>
      </w:r>
      <w:r w:rsidR="007D3D41">
        <w:t>2</w:t>
      </w:r>
      <w:r w:rsidR="00095945">
        <w:t>7</w:t>
      </w:r>
      <w:r w:rsidR="007E112F" w:rsidRPr="00575C32">
        <w:t>,</w:t>
      </w:r>
      <w:r w:rsidR="002F38D7" w:rsidRPr="00575C32">
        <w:t xml:space="preserve"> </w:t>
      </w:r>
      <w:r w:rsidR="006648D1" w:rsidRPr="00575C32">
        <w:t>20</w:t>
      </w:r>
      <w:r w:rsidR="00526754" w:rsidRPr="00575C32">
        <w:t>20</w:t>
      </w:r>
      <w:r w:rsidRPr="00575C32">
        <w:t xml:space="preserve">. </w:t>
      </w:r>
      <w:r w:rsidRPr="00575C32">
        <w:rPr>
          <w:lang w:val="fr-CA"/>
        </w:rPr>
        <w:t>This list is subject to chang</w:t>
      </w:r>
      <w:r w:rsidR="00192F7F" w:rsidRPr="00575C32">
        <w:rPr>
          <w:lang w:val="fr-CA"/>
        </w:rPr>
        <w:t>e</w:t>
      </w:r>
      <w:r w:rsidRPr="00575C32">
        <w:rPr>
          <w:lang w:val="fr-CA"/>
        </w:rPr>
        <w:t>.</w:t>
      </w:r>
    </w:p>
    <w:p w:rsidR="00FF5AA4" w:rsidRPr="00575C32" w:rsidRDefault="00FF5AA4" w:rsidP="006F2579">
      <w:pPr>
        <w:widowControl w:val="0"/>
        <w:rPr>
          <w:lang w:val="fr-CA"/>
        </w:rPr>
      </w:pPr>
    </w:p>
    <w:p w:rsidR="00B43418" w:rsidRPr="00575C32" w:rsidRDefault="00B43418" w:rsidP="006F2579">
      <w:pPr>
        <w:widowControl w:val="0"/>
        <w:rPr>
          <w:lang w:val="fr-CA"/>
        </w:rPr>
      </w:pPr>
    </w:p>
    <w:p w:rsidR="006F2579" w:rsidRPr="00575C32" w:rsidRDefault="006F2579" w:rsidP="006F2579">
      <w:pPr>
        <w:widowControl w:val="0"/>
        <w:jc w:val="center"/>
        <w:rPr>
          <w:lang w:val="fr-CA"/>
        </w:rPr>
      </w:pPr>
      <w:r w:rsidRPr="00575C32">
        <w:rPr>
          <w:b/>
          <w:lang w:val="fr-CA"/>
        </w:rPr>
        <w:t>PROCHAIN</w:t>
      </w:r>
      <w:r w:rsidR="00B17AAC" w:rsidRPr="00575C32">
        <w:rPr>
          <w:b/>
          <w:lang w:val="fr-CA"/>
        </w:rPr>
        <w:t>S</w:t>
      </w:r>
      <w:r w:rsidRPr="00575C32">
        <w:rPr>
          <w:b/>
          <w:lang w:val="fr-CA"/>
        </w:rPr>
        <w:t xml:space="preserve"> JUGEMENT</w:t>
      </w:r>
      <w:r w:rsidR="00B17AAC" w:rsidRPr="00575C32">
        <w:rPr>
          <w:b/>
          <w:lang w:val="fr-CA"/>
        </w:rPr>
        <w:t>S</w:t>
      </w:r>
      <w:r w:rsidR="00001846" w:rsidRPr="00575C32">
        <w:rPr>
          <w:b/>
          <w:lang w:val="fr-CA"/>
        </w:rPr>
        <w:t xml:space="preserve"> SUR DEMANDE</w:t>
      </w:r>
      <w:r w:rsidR="00B17AAC" w:rsidRPr="00575C32">
        <w:rPr>
          <w:b/>
          <w:lang w:val="fr-CA"/>
        </w:rPr>
        <w:t>S</w:t>
      </w:r>
      <w:r w:rsidRPr="00575C32">
        <w:rPr>
          <w:b/>
          <w:lang w:val="fr-CA"/>
        </w:rPr>
        <w:t xml:space="preserve"> D’AUTORISATION</w:t>
      </w:r>
    </w:p>
    <w:p w:rsidR="006F2579" w:rsidRPr="00575C32" w:rsidRDefault="006F2579" w:rsidP="006F2579">
      <w:pPr>
        <w:widowControl w:val="0"/>
        <w:rPr>
          <w:lang w:val="fr-CA"/>
        </w:rPr>
      </w:pPr>
    </w:p>
    <w:p w:rsidR="006F2579" w:rsidRPr="00575C32" w:rsidRDefault="006F2579" w:rsidP="006F2579">
      <w:pPr>
        <w:widowControl w:val="0"/>
        <w:rPr>
          <w:lang w:val="fr-CA"/>
        </w:rPr>
      </w:pPr>
      <w:r w:rsidRPr="00575C32">
        <w:rPr>
          <w:b/>
          <w:lang w:val="fr-CA"/>
        </w:rPr>
        <w:t>Le</w:t>
      </w:r>
      <w:r w:rsidR="00957A76" w:rsidRPr="00575C32">
        <w:rPr>
          <w:b/>
          <w:lang w:val="fr-CA"/>
        </w:rPr>
        <w:t xml:space="preserve"> </w:t>
      </w:r>
      <w:r w:rsidR="00095945">
        <w:rPr>
          <w:b/>
          <w:lang w:val="fr-CA"/>
        </w:rPr>
        <w:t>24</w:t>
      </w:r>
      <w:r w:rsidR="007A72CA" w:rsidRPr="00575C32">
        <w:rPr>
          <w:b/>
          <w:lang w:val="fr-CA"/>
        </w:rPr>
        <w:t xml:space="preserve"> </w:t>
      </w:r>
      <w:r w:rsidR="00427C25">
        <w:rPr>
          <w:b/>
          <w:lang w:val="fr-CA"/>
        </w:rPr>
        <w:t>août</w:t>
      </w:r>
      <w:r w:rsidR="00A151D1" w:rsidRPr="00575C32">
        <w:rPr>
          <w:b/>
          <w:lang w:val="fr-CA"/>
        </w:rPr>
        <w:t xml:space="preserve"> 20</w:t>
      </w:r>
      <w:r w:rsidR="00526754" w:rsidRPr="00575C32">
        <w:rPr>
          <w:b/>
          <w:lang w:val="fr-CA"/>
        </w:rPr>
        <w:t>20</w:t>
      </w:r>
    </w:p>
    <w:p w:rsidR="006F2579" w:rsidRPr="00575C32" w:rsidRDefault="006F2579" w:rsidP="006F2579">
      <w:pPr>
        <w:widowControl w:val="0"/>
        <w:rPr>
          <w:b/>
          <w:lang w:val="fr-CA"/>
        </w:rPr>
      </w:pPr>
      <w:r w:rsidRPr="00575C32">
        <w:rPr>
          <w:b/>
          <w:lang w:val="fr-CA"/>
        </w:rPr>
        <w:t>Pour diffusion immédiate</w:t>
      </w:r>
    </w:p>
    <w:p w:rsidR="006F2579" w:rsidRPr="00575C32" w:rsidRDefault="006F2579" w:rsidP="006F2579">
      <w:pPr>
        <w:widowControl w:val="0"/>
        <w:rPr>
          <w:lang w:val="fr-CA"/>
        </w:rPr>
      </w:pPr>
    </w:p>
    <w:p w:rsidR="006F2579" w:rsidRPr="00575C32" w:rsidRDefault="006F2579" w:rsidP="006F2579">
      <w:pPr>
        <w:widowControl w:val="0"/>
        <w:rPr>
          <w:lang w:val="fr-CA"/>
        </w:rPr>
      </w:pPr>
      <w:r w:rsidRPr="00575C32">
        <w:rPr>
          <w:b/>
          <w:lang w:val="fr-CA"/>
        </w:rPr>
        <w:t>OTTAWA</w:t>
      </w:r>
      <w:r w:rsidRPr="00575C32">
        <w:rPr>
          <w:lang w:val="fr-CA"/>
        </w:rPr>
        <w:t xml:space="preserve"> – La Cour suprême du Canada annonce que jugement ser</w:t>
      </w:r>
      <w:r w:rsidR="004259F9" w:rsidRPr="00575C32">
        <w:rPr>
          <w:lang w:val="fr-CA"/>
        </w:rPr>
        <w:t>a</w:t>
      </w:r>
      <w:r w:rsidRPr="00575C32">
        <w:rPr>
          <w:lang w:val="fr-CA"/>
        </w:rPr>
        <w:t xml:space="preserve"> rendu dans l</w:t>
      </w:r>
      <w:r w:rsidR="008600ED" w:rsidRPr="00575C32">
        <w:rPr>
          <w:lang w:val="fr-CA"/>
        </w:rPr>
        <w:t>es</w:t>
      </w:r>
      <w:r w:rsidRPr="00575C32">
        <w:rPr>
          <w:lang w:val="fr-CA"/>
        </w:rPr>
        <w:t xml:space="preserve"> demande</w:t>
      </w:r>
      <w:r w:rsidR="008600ED" w:rsidRPr="00575C32">
        <w:rPr>
          <w:lang w:val="fr-CA"/>
        </w:rPr>
        <w:t>s</w:t>
      </w:r>
      <w:r w:rsidRPr="00575C32">
        <w:rPr>
          <w:lang w:val="fr-CA"/>
        </w:rPr>
        <w:t xml:space="preserve"> d</w:t>
      </w:r>
      <w:r w:rsidR="00001846" w:rsidRPr="00575C32">
        <w:rPr>
          <w:lang w:val="fr-CA"/>
        </w:rPr>
        <w:t>’autorisation suivante</w:t>
      </w:r>
      <w:r w:rsidR="008600ED" w:rsidRPr="00575C32">
        <w:rPr>
          <w:lang w:val="fr-CA"/>
        </w:rPr>
        <w:t>s</w:t>
      </w:r>
      <w:r w:rsidRPr="00575C32">
        <w:rPr>
          <w:lang w:val="fr-CA"/>
        </w:rPr>
        <w:t xml:space="preserve"> le jeudi </w:t>
      </w:r>
      <w:r w:rsidR="007D3D41">
        <w:rPr>
          <w:lang w:val="fr-CA"/>
        </w:rPr>
        <w:t>2</w:t>
      </w:r>
      <w:r w:rsidR="00095945">
        <w:rPr>
          <w:lang w:val="fr-CA"/>
        </w:rPr>
        <w:t>7</w:t>
      </w:r>
      <w:r w:rsidR="00780317" w:rsidRPr="00575C32">
        <w:rPr>
          <w:lang w:val="fr-CA"/>
        </w:rPr>
        <w:t xml:space="preserve"> </w:t>
      </w:r>
      <w:r w:rsidR="00427C25">
        <w:rPr>
          <w:lang w:val="fr-CA"/>
        </w:rPr>
        <w:t>août</w:t>
      </w:r>
      <w:r w:rsidR="00694391" w:rsidRPr="00575C32">
        <w:rPr>
          <w:lang w:val="fr-CA"/>
        </w:rPr>
        <w:t xml:space="preserve"> 2</w:t>
      </w:r>
      <w:r w:rsidR="006648D1" w:rsidRPr="00575C32">
        <w:rPr>
          <w:lang w:val="fr-CA"/>
        </w:rPr>
        <w:t>0</w:t>
      </w:r>
      <w:r w:rsidR="00526754" w:rsidRPr="00575C32">
        <w:rPr>
          <w:lang w:val="fr-CA"/>
        </w:rPr>
        <w:t>20</w:t>
      </w:r>
      <w:r w:rsidRPr="00575C32">
        <w:rPr>
          <w:lang w:val="fr-CA"/>
        </w:rPr>
        <w:t xml:space="preserve">, à 9 h 45 </w:t>
      </w:r>
      <w:r w:rsidR="000627A2" w:rsidRPr="00575C32">
        <w:rPr>
          <w:lang w:val="fr-CA"/>
        </w:rPr>
        <w:t>H</w:t>
      </w:r>
      <w:r w:rsidR="00273FF3" w:rsidRPr="00575C32">
        <w:rPr>
          <w:lang w:val="fr-CA"/>
        </w:rPr>
        <w:t>A</w:t>
      </w:r>
      <w:r w:rsidRPr="00575C32">
        <w:rPr>
          <w:lang w:val="fr-CA"/>
        </w:rPr>
        <w:t>E. Cette liste est sujette à modifications.</w:t>
      </w:r>
    </w:p>
    <w:p w:rsidR="0080556B" w:rsidRPr="00575C32" w:rsidRDefault="0080556B" w:rsidP="009B14F4">
      <w:pPr>
        <w:widowControl w:val="0"/>
        <w:jc w:val="both"/>
        <w:rPr>
          <w:sz w:val="20"/>
          <w:lang w:val="fr-CA"/>
        </w:rPr>
      </w:pPr>
    </w:p>
    <w:p w:rsidR="00867C61" w:rsidRPr="00E33AE6" w:rsidRDefault="008E695D" w:rsidP="009B14F4">
      <w:pPr>
        <w:widowControl w:val="0"/>
        <w:jc w:val="both"/>
        <w:rPr>
          <w:sz w:val="20"/>
        </w:rPr>
      </w:pPr>
      <w:r>
        <w:rPr>
          <w:sz w:val="20"/>
        </w:rPr>
        <w:pict>
          <v:rect id="_x0000_i1025" style="width:2in;height:1pt" o:hrpct="0" o:hralign="center" o:hrstd="t" o:hrnoshade="t" o:hr="t" fillcolor="black [3213]" stroked="f"/>
        </w:pict>
      </w:r>
    </w:p>
    <w:p w:rsidR="006738C1" w:rsidRPr="00E33AE6" w:rsidRDefault="006738C1" w:rsidP="009B14F4">
      <w:pPr>
        <w:widowControl w:val="0"/>
        <w:jc w:val="both"/>
        <w:rPr>
          <w:sz w:val="20"/>
          <w:lang w:val="fr-CA"/>
        </w:rPr>
      </w:pPr>
    </w:p>
    <w:p w:rsidR="00E13402" w:rsidRPr="00E33AE6" w:rsidRDefault="00E13402" w:rsidP="00E13402">
      <w:pPr>
        <w:pStyle w:val="SCCAppellantInfoAppellantInfo"/>
        <w:numPr>
          <w:ilvl w:val="0"/>
          <w:numId w:val="18"/>
        </w:numPr>
        <w:ind w:left="357" w:hanging="357"/>
        <w:rPr>
          <w:sz w:val="20"/>
          <w:szCs w:val="20"/>
        </w:rPr>
      </w:pPr>
      <w:r w:rsidRPr="00E33AE6">
        <w:rPr>
          <w:i/>
          <w:sz w:val="20"/>
          <w:szCs w:val="20"/>
          <w:lang w:val="fr-CA"/>
        </w:rPr>
        <w:t>DePuy International Ltd., et al. v. Theodore Wilson, et al.</w:t>
      </w:r>
      <w:r w:rsidRPr="00E33AE6">
        <w:rPr>
          <w:sz w:val="20"/>
          <w:szCs w:val="20"/>
          <w:lang w:val="fr-CA"/>
        </w:rPr>
        <w:t xml:space="preserve"> </w:t>
      </w:r>
      <w:r w:rsidRPr="00E33AE6">
        <w:rPr>
          <w:sz w:val="20"/>
          <w:szCs w:val="20"/>
        </w:rPr>
        <w:t>(B.C.) (Civil) (By Leave) (</w:t>
      </w:r>
      <w:hyperlink r:id="rId8" w:history="1">
        <w:r w:rsidRPr="00E33AE6">
          <w:rPr>
            <w:rStyle w:val="Hyperlink"/>
            <w:sz w:val="20"/>
            <w:szCs w:val="20"/>
          </w:rPr>
          <w:t>390</w:t>
        </w:r>
        <w:r w:rsidR="004B702E" w:rsidRPr="00E33AE6">
          <w:rPr>
            <w:rStyle w:val="Hyperlink"/>
            <w:sz w:val="20"/>
            <w:szCs w:val="20"/>
          </w:rPr>
          <w:t>44</w:t>
        </w:r>
      </w:hyperlink>
      <w:r w:rsidRPr="00E33AE6">
        <w:rPr>
          <w:sz w:val="20"/>
          <w:szCs w:val="20"/>
        </w:rPr>
        <w:t>)</w:t>
      </w:r>
    </w:p>
    <w:p w:rsidR="00E13402" w:rsidRPr="00E33AE6" w:rsidRDefault="00E13402" w:rsidP="00E13402">
      <w:pPr>
        <w:ind w:left="357" w:hanging="357"/>
        <w:rPr>
          <w:sz w:val="20"/>
          <w:lang w:val="en-CA"/>
        </w:rPr>
      </w:pPr>
    </w:p>
    <w:p w:rsidR="00E13402" w:rsidRPr="00E33AE6" w:rsidRDefault="00E13402" w:rsidP="00E13402">
      <w:pPr>
        <w:pStyle w:val="SCCAppellantInfoAppellantInfo"/>
        <w:numPr>
          <w:ilvl w:val="0"/>
          <w:numId w:val="18"/>
        </w:numPr>
        <w:ind w:left="357" w:hanging="357"/>
        <w:rPr>
          <w:sz w:val="20"/>
          <w:szCs w:val="20"/>
        </w:rPr>
      </w:pPr>
      <w:r w:rsidRPr="00E33AE6">
        <w:rPr>
          <w:i/>
          <w:sz w:val="20"/>
          <w:szCs w:val="20"/>
        </w:rPr>
        <w:t xml:space="preserve">Rivka Moscowitz v. </w:t>
      </w:r>
      <w:r w:rsidR="00450B23" w:rsidRPr="00E33AE6">
        <w:rPr>
          <w:i/>
          <w:sz w:val="20"/>
          <w:szCs w:val="20"/>
        </w:rPr>
        <w:t>Attorney General of Quebec</w:t>
      </w:r>
      <w:r w:rsidR="0070596D" w:rsidRPr="00E33AE6">
        <w:rPr>
          <w:sz w:val="20"/>
          <w:szCs w:val="20"/>
        </w:rPr>
        <w:t xml:space="preserve"> (Que.) (Civil) (By Leave)</w:t>
      </w:r>
      <w:r w:rsidRPr="00E33AE6">
        <w:rPr>
          <w:sz w:val="20"/>
          <w:szCs w:val="20"/>
        </w:rPr>
        <w:t xml:space="preserve"> (</w:t>
      </w:r>
      <w:hyperlink r:id="rId9" w:history="1">
        <w:r w:rsidRPr="00E33AE6">
          <w:rPr>
            <w:rStyle w:val="Hyperlink"/>
            <w:sz w:val="20"/>
            <w:szCs w:val="20"/>
          </w:rPr>
          <w:t>391</w:t>
        </w:r>
        <w:r w:rsidR="0070596D" w:rsidRPr="00E33AE6">
          <w:rPr>
            <w:rStyle w:val="Hyperlink"/>
            <w:sz w:val="20"/>
            <w:szCs w:val="20"/>
          </w:rPr>
          <w:t>66</w:t>
        </w:r>
      </w:hyperlink>
      <w:r w:rsidRPr="00E33AE6">
        <w:rPr>
          <w:sz w:val="20"/>
          <w:szCs w:val="20"/>
        </w:rPr>
        <w:t>)</w:t>
      </w:r>
    </w:p>
    <w:p w:rsidR="00E13402" w:rsidRPr="00E33AE6" w:rsidRDefault="00E13402" w:rsidP="00E13402">
      <w:pPr>
        <w:ind w:left="357" w:hanging="357"/>
        <w:rPr>
          <w:sz w:val="20"/>
        </w:rPr>
      </w:pPr>
    </w:p>
    <w:p w:rsidR="00E13402" w:rsidRPr="00E33AE6" w:rsidRDefault="00E13402" w:rsidP="00E13402">
      <w:pPr>
        <w:pStyle w:val="ListParagraph"/>
        <w:numPr>
          <w:ilvl w:val="0"/>
          <w:numId w:val="18"/>
        </w:numPr>
        <w:ind w:left="357" w:hanging="357"/>
        <w:rPr>
          <w:rFonts w:eastAsia="Calibri"/>
          <w:sz w:val="20"/>
        </w:rPr>
      </w:pPr>
      <w:r w:rsidRPr="00E33AE6">
        <w:rPr>
          <w:rFonts w:eastAsia="Calibri"/>
          <w:i/>
          <w:sz w:val="20"/>
        </w:rPr>
        <w:t xml:space="preserve">David Walker v. Attorney General of Ontario, </w:t>
      </w:r>
      <w:r w:rsidR="009A718B" w:rsidRPr="00E33AE6">
        <w:rPr>
          <w:rFonts w:eastAsia="Calibri"/>
          <w:i/>
          <w:sz w:val="20"/>
        </w:rPr>
        <w:t>et al.</w:t>
      </w:r>
      <w:r w:rsidRPr="00E33AE6">
        <w:rPr>
          <w:rFonts w:eastAsia="Calibri"/>
          <w:i/>
          <w:sz w:val="20"/>
        </w:rPr>
        <w:t xml:space="preserve"> </w:t>
      </w:r>
      <w:r w:rsidRPr="00E33AE6">
        <w:rPr>
          <w:rFonts w:eastAsia="Calibri"/>
          <w:sz w:val="20"/>
        </w:rPr>
        <w:t xml:space="preserve">(Ont.) (Criminal) (By Leave) </w:t>
      </w:r>
      <w:r w:rsidRPr="00E33AE6">
        <w:rPr>
          <w:sz w:val="20"/>
          <w:szCs w:val="20"/>
        </w:rPr>
        <w:t>(</w:t>
      </w:r>
      <w:hyperlink r:id="rId10" w:history="1">
        <w:r w:rsidRPr="00E33AE6">
          <w:rPr>
            <w:rStyle w:val="Hyperlink"/>
            <w:sz w:val="20"/>
            <w:szCs w:val="20"/>
          </w:rPr>
          <w:t>391</w:t>
        </w:r>
        <w:r w:rsidR="009A718B" w:rsidRPr="00E33AE6">
          <w:rPr>
            <w:rStyle w:val="Hyperlink"/>
            <w:sz w:val="20"/>
            <w:szCs w:val="20"/>
          </w:rPr>
          <w:t>53</w:t>
        </w:r>
      </w:hyperlink>
      <w:r w:rsidRPr="00E33AE6">
        <w:rPr>
          <w:sz w:val="20"/>
          <w:szCs w:val="20"/>
        </w:rPr>
        <w:t>)</w:t>
      </w:r>
    </w:p>
    <w:p w:rsidR="00E13402" w:rsidRPr="00E33AE6" w:rsidRDefault="00E13402" w:rsidP="00E13402">
      <w:pPr>
        <w:ind w:left="357" w:hanging="357"/>
        <w:rPr>
          <w:rFonts w:eastAsia="Calibri"/>
          <w:sz w:val="20"/>
        </w:rPr>
      </w:pPr>
    </w:p>
    <w:p w:rsidR="00E13402" w:rsidRPr="008C17EE" w:rsidRDefault="00E13402" w:rsidP="00E13402">
      <w:pPr>
        <w:pStyle w:val="ListParagraph"/>
        <w:numPr>
          <w:ilvl w:val="0"/>
          <w:numId w:val="18"/>
        </w:numPr>
        <w:ind w:left="357" w:hanging="357"/>
        <w:rPr>
          <w:rFonts w:eastAsia="Calibri"/>
          <w:sz w:val="20"/>
        </w:rPr>
      </w:pPr>
      <w:r w:rsidRPr="008C17EE">
        <w:rPr>
          <w:rFonts w:eastAsia="Calibri"/>
          <w:i/>
          <w:sz w:val="20"/>
        </w:rPr>
        <w:t>Ronald Greenwood v. Her Majesty the Queen in Right of Ontario</w:t>
      </w:r>
      <w:r w:rsidRPr="008C17EE">
        <w:rPr>
          <w:rFonts w:eastAsia="Calibri"/>
          <w:sz w:val="20"/>
        </w:rPr>
        <w:t xml:space="preserve"> </w:t>
      </w:r>
      <w:r w:rsidRPr="008C17EE">
        <w:rPr>
          <w:rFonts w:eastAsia="Calibri"/>
          <w:i/>
          <w:sz w:val="20"/>
        </w:rPr>
        <w:t>(Travel Industry Council of Ontario)</w:t>
      </w:r>
      <w:r w:rsidRPr="008C17EE">
        <w:rPr>
          <w:rFonts w:eastAsia="Calibri"/>
          <w:sz w:val="20"/>
        </w:rPr>
        <w:t xml:space="preserve"> (Ont.) (Civil) (By Leave) </w:t>
      </w:r>
      <w:r w:rsidRPr="008C17EE">
        <w:rPr>
          <w:sz w:val="20"/>
          <w:szCs w:val="20"/>
        </w:rPr>
        <w:t>(</w:t>
      </w:r>
      <w:hyperlink r:id="rId11" w:history="1">
        <w:r w:rsidRPr="008C17EE">
          <w:rPr>
            <w:rStyle w:val="Hyperlink"/>
            <w:sz w:val="20"/>
            <w:szCs w:val="20"/>
          </w:rPr>
          <w:t>39</w:t>
        </w:r>
        <w:r w:rsidR="005326BA" w:rsidRPr="008C17EE">
          <w:rPr>
            <w:rStyle w:val="Hyperlink"/>
            <w:sz w:val="20"/>
            <w:szCs w:val="20"/>
          </w:rPr>
          <w:t>223</w:t>
        </w:r>
      </w:hyperlink>
      <w:r w:rsidRPr="008C17EE">
        <w:rPr>
          <w:sz w:val="20"/>
          <w:szCs w:val="20"/>
        </w:rPr>
        <w:t>)</w:t>
      </w:r>
    </w:p>
    <w:p w:rsidR="00E13402" w:rsidRPr="008C17EE" w:rsidRDefault="00E13402" w:rsidP="00E13402">
      <w:pPr>
        <w:ind w:left="357" w:hanging="357"/>
        <w:rPr>
          <w:rFonts w:eastAsia="Calibri"/>
          <w:sz w:val="20"/>
          <w:lang w:val="en-GB"/>
        </w:rPr>
      </w:pPr>
    </w:p>
    <w:p w:rsidR="00E13402" w:rsidRPr="008C17EE" w:rsidRDefault="00E13402" w:rsidP="00E13402">
      <w:pPr>
        <w:pStyle w:val="ListParagraph"/>
        <w:numPr>
          <w:ilvl w:val="0"/>
          <w:numId w:val="18"/>
        </w:numPr>
        <w:ind w:left="357" w:hanging="357"/>
        <w:rPr>
          <w:rFonts w:eastAsia="Calibri"/>
          <w:sz w:val="20"/>
          <w:lang w:val="en-CA"/>
        </w:rPr>
      </w:pPr>
      <w:r w:rsidRPr="008C17EE">
        <w:rPr>
          <w:rFonts w:eastAsia="Calibri"/>
          <w:i/>
          <w:sz w:val="20"/>
          <w:lang w:val="en-CA"/>
        </w:rPr>
        <w:t xml:space="preserve">Wilma Shane v. B2B Bank/B2B Banque </w:t>
      </w:r>
      <w:r w:rsidRPr="008C17EE">
        <w:rPr>
          <w:rFonts w:eastAsia="Calibri"/>
          <w:sz w:val="20"/>
          <w:lang w:val="en-CA"/>
        </w:rPr>
        <w:t xml:space="preserve">(N.S.) (Civil) (By Leave) </w:t>
      </w:r>
      <w:r w:rsidRPr="008C17EE">
        <w:rPr>
          <w:sz w:val="20"/>
          <w:szCs w:val="20"/>
        </w:rPr>
        <w:t>(</w:t>
      </w:r>
      <w:hyperlink r:id="rId12" w:history="1">
        <w:r w:rsidRPr="008C17EE">
          <w:rPr>
            <w:rStyle w:val="Hyperlink"/>
            <w:sz w:val="20"/>
            <w:szCs w:val="20"/>
          </w:rPr>
          <w:t>391</w:t>
        </w:r>
        <w:r w:rsidR="006738C1" w:rsidRPr="008C17EE">
          <w:rPr>
            <w:rStyle w:val="Hyperlink"/>
            <w:sz w:val="20"/>
            <w:szCs w:val="20"/>
          </w:rPr>
          <w:t>74</w:t>
        </w:r>
      </w:hyperlink>
      <w:r w:rsidRPr="008C17EE">
        <w:rPr>
          <w:sz w:val="20"/>
          <w:szCs w:val="20"/>
        </w:rPr>
        <w:t>)</w:t>
      </w:r>
    </w:p>
    <w:p w:rsidR="0057402C" w:rsidRPr="008C17EE" w:rsidRDefault="0057402C" w:rsidP="0057402C">
      <w:pPr>
        <w:widowControl w:val="0"/>
        <w:ind w:left="357" w:hanging="357"/>
        <w:rPr>
          <w:sz w:val="20"/>
        </w:rPr>
      </w:pPr>
    </w:p>
    <w:p w:rsidR="0057402C" w:rsidRPr="00575C32" w:rsidRDefault="008E695D" w:rsidP="009B14F4">
      <w:pPr>
        <w:widowControl w:val="0"/>
        <w:jc w:val="both"/>
        <w:rPr>
          <w:sz w:val="20"/>
        </w:rPr>
      </w:pPr>
      <w:r>
        <w:rPr>
          <w:sz w:val="20"/>
        </w:rPr>
        <w:pict>
          <v:rect id="_x0000_i1026" style="width:2in;height:1pt" o:hrpct="0" o:hralign="center" o:hrstd="t" o:hrnoshade="t" o:hr="t" fillcolor="black [3213]" stroked="f"/>
        </w:pict>
      </w:r>
    </w:p>
    <w:p w:rsidR="0057402C" w:rsidRPr="00B352DD" w:rsidRDefault="0057402C" w:rsidP="00B352DD">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52DD" w:rsidRPr="00B352DD" w:rsidTr="00B352DD">
        <w:tc>
          <w:tcPr>
            <w:tcW w:w="543" w:type="pct"/>
          </w:tcPr>
          <w:p w:rsidR="00B352DD" w:rsidRPr="00B352DD" w:rsidRDefault="00B352DD" w:rsidP="00B352DD">
            <w:pPr>
              <w:jc w:val="both"/>
              <w:rPr>
                <w:sz w:val="20"/>
              </w:rPr>
            </w:pPr>
            <w:r w:rsidRPr="00B352DD">
              <w:rPr>
                <w:rStyle w:val="SCCFileNumberChar"/>
                <w:sz w:val="20"/>
                <w:szCs w:val="20"/>
              </w:rPr>
              <w:t>39044</w:t>
            </w:r>
          </w:p>
        </w:tc>
        <w:tc>
          <w:tcPr>
            <w:tcW w:w="4457" w:type="pct"/>
            <w:gridSpan w:val="3"/>
          </w:tcPr>
          <w:p w:rsidR="00B352DD" w:rsidRPr="00B352DD" w:rsidRDefault="00B352DD" w:rsidP="00B352DD">
            <w:pPr>
              <w:pStyle w:val="SCCLsocParty"/>
              <w:jc w:val="both"/>
              <w:rPr>
                <w:b/>
                <w:sz w:val="20"/>
                <w:szCs w:val="20"/>
                <w:lang w:val="en-US"/>
              </w:rPr>
            </w:pPr>
            <w:r w:rsidRPr="00B352DD">
              <w:rPr>
                <w:b/>
                <w:sz w:val="20"/>
                <w:szCs w:val="20"/>
                <w:lang w:val="en-US"/>
              </w:rPr>
              <w:t>DePuy International Ltd., DePuy Orthopaedics Inc., DePuy, Inc., Johnson &amp; Johnson Inc. v. Theodore Wilson, Joseph Charles Crisante, Lynne Slotek, Katherine Crisante and Larry Slotek</w:t>
            </w:r>
          </w:p>
          <w:p w:rsidR="00B352DD" w:rsidRPr="00B352DD" w:rsidRDefault="00B352DD" w:rsidP="00B352DD">
            <w:pPr>
              <w:jc w:val="both"/>
              <w:rPr>
                <w:sz w:val="20"/>
              </w:rPr>
            </w:pPr>
            <w:r w:rsidRPr="00B352DD">
              <w:rPr>
                <w:sz w:val="20"/>
              </w:rPr>
              <w:t>(B.C.) (Civil) (By Leave)</w:t>
            </w:r>
          </w:p>
        </w:tc>
      </w:tr>
      <w:tr w:rsidR="00B352DD" w:rsidRPr="00B352DD" w:rsidTr="00B352DD">
        <w:tc>
          <w:tcPr>
            <w:tcW w:w="5000" w:type="pct"/>
            <w:gridSpan w:val="4"/>
          </w:tcPr>
          <w:p w:rsidR="00B352DD" w:rsidRPr="00B352DD" w:rsidRDefault="00B352DD" w:rsidP="00B352DD">
            <w:pPr>
              <w:jc w:val="both"/>
              <w:rPr>
                <w:sz w:val="20"/>
              </w:rPr>
            </w:pPr>
            <w:r w:rsidRPr="00B352DD">
              <w:rPr>
                <w:sz w:val="20"/>
              </w:rPr>
              <w:t>Civil procedure — Class actions — Settlement approval — Class action certified in Ontario with membership being nationwide except for residents of Quebec and British Columbia — In a proposed settlement in British Columbia, class membership being defined as including residents from outside of British Columbia on an opt</w:t>
            </w:r>
            <w:r w:rsidRPr="00B352DD">
              <w:rPr>
                <w:sz w:val="20"/>
              </w:rPr>
              <w:noBreakHyphen/>
              <w:t xml:space="preserve">in basis — Settlement being  approved but class being limited to residents of British Columbia — How should courts apply the preferable procedure requirement, and its access to justice elements, to questions of certification as between two overlapping class actions? — </w:t>
            </w:r>
            <w:r w:rsidRPr="00B352DD">
              <w:rPr>
                <w:i/>
                <w:sz w:val="20"/>
              </w:rPr>
              <w:t>Class Proceedings Act</w:t>
            </w:r>
            <w:r w:rsidRPr="00B352DD">
              <w:rPr>
                <w:sz w:val="20"/>
              </w:rPr>
              <w:t>, R.S.B.C. 1996, c. 50.</w:t>
            </w:r>
          </w:p>
        </w:tc>
      </w:tr>
      <w:tr w:rsidR="00B352DD" w:rsidRPr="00B352DD" w:rsidTr="00B352DD">
        <w:tc>
          <w:tcPr>
            <w:tcW w:w="5000" w:type="pct"/>
            <w:gridSpan w:val="4"/>
          </w:tcPr>
          <w:p w:rsidR="00B352DD" w:rsidRPr="00B352DD" w:rsidRDefault="00B352DD" w:rsidP="00B352DD">
            <w:pPr>
              <w:jc w:val="both"/>
              <w:rPr>
                <w:sz w:val="20"/>
              </w:rPr>
            </w:pPr>
          </w:p>
          <w:p w:rsidR="00B352DD" w:rsidRPr="00B352DD" w:rsidRDefault="00B352DD" w:rsidP="00B352DD">
            <w:pPr>
              <w:jc w:val="both"/>
              <w:rPr>
                <w:sz w:val="20"/>
              </w:rPr>
            </w:pPr>
            <w:r w:rsidRPr="00B352DD">
              <w:rPr>
                <w:sz w:val="20"/>
              </w:rPr>
              <w:t xml:space="preserve">In 2010, replacement hip prostheses manufactured by the applicants were recalled due to high failure rates. In 2011, the respondent, Mr. Wilson, commenced a class action against the applicants in British Columbia. Similar class actions were commenced and certified in Quebec for Quebec residents and in Ontario for all potential plaintiffs except Quebec and British Columbia residents (the “national class”). Eventually, Mr. Wilson arrived at a settlement agreement with the applicants. The class proposed in the settlement agreement included national class members, who </w:t>
            </w:r>
            <w:r w:rsidRPr="00B352DD">
              <w:rPr>
                <w:sz w:val="20"/>
              </w:rPr>
              <w:lastRenderedPageBreak/>
              <w:t>would be able to opt in to the British Columbia settlement. In 2018, the applicants and Mr. Wilson applied to have the British Columbia action certified and for court approval of the settlement. The representative plaintiffs from the national class action, who are respondents to the leave application, opposed the inclusion of national class members in the British Columbia action. The chambers judge concluded that Mr. Wilson’s action should be certified and the settlement approved except for the proposed membership in the class, which he limited to residents of British Columbia. He concluded that providing for an opt</w:t>
            </w:r>
            <w:r w:rsidRPr="00B352DD">
              <w:rPr>
                <w:sz w:val="20"/>
              </w:rPr>
              <w:noBreakHyphen/>
              <w:t>in class for non</w:t>
            </w:r>
            <w:r w:rsidRPr="00B352DD">
              <w:rPr>
                <w:sz w:val="20"/>
              </w:rPr>
              <w:noBreakHyphen/>
              <w:t xml:space="preserve">residents would not be the preferable procedure. The Court of Appeal dismissed the applicants’ appeal. </w:t>
            </w:r>
          </w:p>
        </w:tc>
      </w:tr>
      <w:tr w:rsidR="00B352DD" w:rsidRPr="00B352DD" w:rsidTr="00B352DD">
        <w:tc>
          <w:tcPr>
            <w:tcW w:w="5000" w:type="pct"/>
            <w:gridSpan w:val="4"/>
          </w:tcPr>
          <w:p w:rsidR="00B352DD" w:rsidRPr="00B352DD" w:rsidRDefault="00B352DD" w:rsidP="00B352DD">
            <w:pPr>
              <w:jc w:val="both"/>
              <w:rPr>
                <w:sz w:val="20"/>
              </w:rPr>
            </w:pPr>
          </w:p>
        </w:tc>
      </w:tr>
      <w:tr w:rsidR="00B352DD" w:rsidRPr="00B352DD" w:rsidTr="00B352DD">
        <w:tc>
          <w:tcPr>
            <w:tcW w:w="2427" w:type="pct"/>
            <w:gridSpan w:val="2"/>
          </w:tcPr>
          <w:p w:rsidR="00B352DD" w:rsidRPr="00B352DD" w:rsidRDefault="00B352DD" w:rsidP="00B352DD">
            <w:pPr>
              <w:jc w:val="both"/>
              <w:rPr>
                <w:sz w:val="20"/>
              </w:rPr>
            </w:pPr>
            <w:r w:rsidRPr="00B352DD">
              <w:rPr>
                <w:sz w:val="20"/>
              </w:rPr>
              <w:t>July 16, 2018</w:t>
            </w:r>
          </w:p>
          <w:p w:rsidR="00B352DD" w:rsidRPr="00B352DD" w:rsidRDefault="00B352DD" w:rsidP="00B352DD">
            <w:pPr>
              <w:jc w:val="both"/>
              <w:rPr>
                <w:sz w:val="20"/>
              </w:rPr>
            </w:pPr>
            <w:r w:rsidRPr="00B352DD">
              <w:rPr>
                <w:sz w:val="20"/>
              </w:rPr>
              <w:t>Supreme Court of British Columbia</w:t>
            </w:r>
          </w:p>
          <w:p w:rsidR="00B352DD" w:rsidRPr="00B352DD" w:rsidRDefault="00B352DD" w:rsidP="00B352DD">
            <w:pPr>
              <w:jc w:val="both"/>
              <w:rPr>
                <w:sz w:val="20"/>
              </w:rPr>
            </w:pPr>
            <w:r w:rsidRPr="00B352DD">
              <w:rPr>
                <w:sz w:val="20"/>
              </w:rPr>
              <w:t>(Branch J.)</w:t>
            </w:r>
          </w:p>
          <w:p w:rsidR="00B352DD" w:rsidRPr="00B352DD" w:rsidRDefault="008E695D" w:rsidP="00B352DD">
            <w:pPr>
              <w:jc w:val="both"/>
              <w:rPr>
                <w:sz w:val="20"/>
              </w:rPr>
            </w:pPr>
            <w:hyperlink r:id="rId13" w:history="1">
              <w:r w:rsidR="00B352DD" w:rsidRPr="00B352DD">
                <w:rPr>
                  <w:rStyle w:val="Hyperlink"/>
                  <w:sz w:val="20"/>
                </w:rPr>
                <w:t>2018 BCSC 1192</w:t>
              </w:r>
            </w:hyperlink>
            <w:r w:rsidR="00B352DD" w:rsidRPr="00B352DD">
              <w:rPr>
                <w:sz w:val="20"/>
              </w:rPr>
              <w:t xml:space="preserve"> </w:t>
            </w:r>
          </w:p>
          <w:p w:rsidR="00B352DD" w:rsidRPr="00B352DD" w:rsidRDefault="00B352DD" w:rsidP="00B352DD">
            <w:pPr>
              <w:jc w:val="both"/>
              <w:rPr>
                <w:sz w:val="20"/>
              </w:rPr>
            </w:pPr>
          </w:p>
        </w:tc>
        <w:tc>
          <w:tcPr>
            <w:tcW w:w="243" w:type="pct"/>
          </w:tcPr>
          <w:p w:rsidR="00B352DD" w:rsidRPr="00B352DD" w:rsidRDefault="00B352DD" w:rsidP="00B352DD">
            <w:pPr>
              <w:jc w:val="both"/>
              <w:rPr>
                <w:sz w:val="20"/>
              </w:rPr>
            </w:pPr>
          </w:p>
        </w:tc>
        <w:tc>
          <w:tcPr>
            <w:tcW w:w="2330" w:type="pct"/>
          </w:tcPr>
          <w:p w:rsidR="00B352DD" w:rsidRPr="00B352DD" w:rsidRDefault="00B352DD" w:rsidP="00B352DD">
            <w:pPr>
              <w:jc w:val="both"/>
              <w:rPr>
                <w:sz w:val="20"/>
              </w:rPr>
            </w:pPr>
            <w:r w:rsidRPr="00B352DD">
              <w:rPr>
                <w:sz w:val="20"/>
              </w:rPr>
              <w:t xml:space="preserve">Application for certification and approval of a proposed class action settlement approved subject to a restriction on the proposed class. </w:t>
            </w:r>
          </w:p>
        </w:tc>
      </w:tr>
      <w:tr w:rsidR="00B352DD" w:rsidRPr="00B352DD" w:rsidTr="00B352DD">
        <w:tc>
          <w:tcPr>
            <w:tcW w:w="2427" w:type="pct"/>
            <w:gridSpan w:val="2"/>
          </w:tcPr>
          <w:p w:rsidR="00B352DD" w:rsidRPr="00B352DD" w:rsidRDefault="00B352DD" w:rsidP="00B352DD">
            <w:pPr>
              <w:jc w:val="both"/>
              <w:rPr>
                <w:sz w:val="20"/>
              </w:rPr>
            </w:pPr>
            <w:r w:rsidRPr="00B352DD">
              <w:rPr>
                <w:sz w:val="20"/>
              </w:rPr>
              <w:t>December 4, 2019</w:t>
            </w:r>
          </w:p>
          <w:p w:rsidR="00B352DD" w:rsidRPr="00B352DD" w:rsidRDefault="00B352DD" w:rsidP="00B352DD">
            <w:pPr>
              <w:jc w:val="both"/>
              <w:rPr>
                <w:sz w:val="20"/>
              </w:rPr>
            </w:pPr>
            <w:r w:rsidRPr="00B352DD">
              <w:rPr>
                <w:sz w:val="20"/>
              </w:rPr>
              <w:t xml:space="preserve">Court of Appeal for British Columbia </w:t>
            </w:r>
          </w:p>
          <w:p w:rsidR="00B352DD" w:rsidRPr="00B352DD" w:rsidRDefault="00B352DD" w:rsidP="00B352DD">
            <w:pPr>
              <w:jc w:val="both"/>
              <w:rPr>
                <w:sz w:val="20"/>
              </w:rPr>
            </w:pPr>
            <w:r w:rsidRPr="00B352DD">
              <w:rPr>
                <w:sz w:val="20"/>
              </w:rPr>
              <w:t>(Vancouver)</w:t>
            </w:r>
          </w:p>
          <w:p w:rsidR="00B352DD" w:rsidRPr="00B352DD" w:rsidRDefault="00B352DD" w:rsidP="00B352DD">
            <w:pPr>
              <w:jc w:val="both"/>
              <w:rPr>
                <w:sz w:val="20"/>
              </w:rPr>
            </w:pPr>
            <w:r w:rsidRPr="00B352DD">
              <w:rPr>
                <w:sz w:val="20"/>
              </w:rPr>
              <w:t>(Bennett, MacKenzie, Dickson JJ.A.)</w:t>
            </w:r>
          </w:p>
          <w:p w:rsidR="00B352DD" w:rsidRPr="00B352DD" w:rsidRDefault="008E695D" w:rsidP="00B352DD">
            <w:pPr>
              <w:jc w:val="both"/>
              <w:rPr>
                <w:sz w:val="20"/>
                <w:lang w:val="en"/>
              </w:rPr>
            </w:pPr>
            <w:hyperlink r:id="rId14" w:history="1">
              <w:r w:rsidR="00B352DD" w:rsidRPr="00B352DD">
                <w:rPr>
                  <w:rStyle w:val="Hyperlink"/>
                  <w:sz w:val="20"/>
                </w:rPr>
                <w:t>2019 BCCA 440</w:t>
              </w:r>
            </w:hyperlink>
            <w:r w:rsidR="00B352DD" w:rsidRPr="00B352DD">
              <w:rPr>
                <w:sz w:val="20"/>
              </w:rPr>
              <w:t xml:space="preserve"> (</w:t>
            </w:r>
            <w:r w:rsidR="00B352DD" w:rsidRPr="00B352DD">
              <w:rPr>
                <w:sz w:val="20"/>
                <w:lang w:val="en"/>
              </w:rPr>
              <w:t>Docket: CA45509)</w:t>
            </w:r>
          </w:p>
          <w:p w:rsidR="00B352DD" w:rsidRPr="00B352DD" w:rsidRDefault="00B352DD" w:rsidP="00B352DD">
            <w:pPr>
              <w:jc w:val="both"/>
              <w:rPr>
                <w:sz w:val="20"/>
              </w:rPr>
            </w:pPr>
          </w:p>
        </w:tc>
        <w:tc>
          <w:tcPr>
            <w:tcW w:w="243" w:type="pct"/>
          </w:tcPr>
          <w:p w:rsidR="00B352DD" w:rsidRPr="00B352DD" w:rsidRDefault="00B352DD" w:rsidP="00B352DD">
            <w:pPr>
              <w:jc w:val="both"/>
              <w:rPr>
                <w:sz w:val="20"/>
              </w:rPr>
            </w:pPr>
          </w:p>
        </w:tc>
        <w:tc>
          <w:tcPr>
            <w:tcW w:w="2330" w:type="pct"/>
          </w:tcPr>
          <w:p w:rsidR="00B352DD" w:rsidRPr="00B352DD" w:rsidRDefault="00B352DD" w:rsidP="00B352DD">
            <w:pPr>
              <w:jc w:val="both"/>
              <w:rPr>
                <w:sz w:val="20"/>
              </w:rPr>
            </w:pPr>
            <w:r w:rsidRPr="00B352DD">
              <w:rPr>
                <w:sz w:val="20"/>
              </w:rPr>
              <w:t>Appeal dismissed.</w:t>
            </w:r>
          </w:p>
          <w:p w:rsidR="00B352DD" w:rsidRPr="00B352DD" w:rsidRDefault="00B352DD" w:rsidP="00B352DD">
            <w:pPr>
              <w:jc w:val="both"/>
              <w:rPr>
                <w:sz w:val="20"/>
              </w:rPr>
            </w:pPr>
          </w:p>
        </w:tc>
      </w:tr>
      <w:tr w:rsidR="00B352DD" w:rsidRPr="00B352DD" w:rsidTr="00B352DD">
        <w:tc>
          <w:tcPr>
            <w:tcW w:w="2427" w:type="pct"/>
            <w:gridSpan w:val="2"/>
          </w:tcPr>
          <w:p w:rsidR="00B352DD" w:rsidRPr="00B352DD" w:rsidRDefault="00B352DD" w:rsidP="00B352DD">
            <w:pPr>
              <w:jc w:val="both"/>
              <w:rPr>
                <w:sz w:val="20"/>
              </w:rPr>
            </w:pPr>
            <w:r w:rsidRPr="00B352DD">
              <w:rPr>
                <w:sz w:val="20"/>
              </w:rPr>
              <w:t>January 31, 2020</w:t>
            </w:r>
          </w:p>
          <w:p w:rsidR="00B352DD" w:rsidRPr="00B352DD" w:rsidRDefault="00B352DD" w:rsidP="00B352DD">
            <w:pPr>
              <w:jc w:val="both"/>
              <w:rPr>
                <w:sz w:val="20"/>
              </w:rPr>
            </w:pPr>
            <w:r w:rsidRPr="00B352DD">
              <w:rPr>
                <w:sz w:val="20"/>
              </w:rPr>
              <w:t>Supreme Court of Canada</w:t>
            </w:r>
          </w:p>
        </w:tc>
        <w:tc>
          <w:tcPr>
            <w:tcW w:w="243" w:type="pct"/>
          </w:tcPr>
          <w:p w:rsidR="00B352DD" w:rsidRPr="00B352DD" w:rsidRDefault="00B352DD" w:rsidP="00B352DD">
            <w:pPr>
              <w:jc w:val="both"/>
              <w:rPr>
                <w:sz w:val="20"/>
              </w:rPr>
            </w:pPr>
          </w:p>
        </w:tc>
        <w:tc>
          <w:tcPr>
            <w:tcW w:w="2330" w:type="pct"/>
          </w:tcPr>
          <w:p w:rsidR="00B352DD" w:rsidRPr="00B352DD" w:rsidRDefault="00B352DD" w:rsidP="00B352DD">
            <w:pPr>
              <w:jc w:val="both"/>
              <w:rPr>
                <w:sz w:val="20"/>
              </w:rPr>
            </w:pPr>
            <w:r w:rsidRPr="00B352DD">
              <w:rPr>
                <w:sz w:val="20"/>
              </w:rPr>
              <w:t>Application for leave to appeal filed.</w:t>
            </w:r>
          </w:p>
        </w:tc>
      </w:tr>
    </w:tbl>
    <w:p w:rsidR="00B352DD" w:rsidRDefault="00B352DD" w:rsidP="00B352DD">
      <w:pPr>
        <w:jc w:val="both"/>
        <w:rPr>
          <w:sz w:val="20"/>
        </w:rPr>
      </w:pPr>
    </w:p>
    <w:p w:rsidR="00B352DD" w:rsidRDefault="008E695D" w:rsidP="00B352DD">
      <w:pPr>
        <w:jc w:val="both"/>
        <w:rPr>
          <w:sz w:val="20"/>
        </w:rPr>
      </w:pPr>
      <w:r>
        <w:rPr>
          <w:sz w:val="20"/>
        </w:rPr>
        <w:pict>
          <v:rect id="_x0000_i1027" style="width:2in;height:1pt" o:hrpct="0" o:hralign="center" o:hrstd="t" o:hrnoshade="t" o:hr="t" fillcolor="black [3213]" stroked="f"/>
        </w:pict>
      </w:r>
    </w:p>
    <w:p w:rsidR="00B352DD" w:rsidRPr="00B352DD" w:rsidRDefault="00B352DD" w:rsidP="00B352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52DD" w:rsidRPr="00B352DD" w:rsidTr="00B352DD">
        <w:tc>
          <w:tcPr>
            <w:tcW w:w="543" w:type="pct"/>
          </w:tcPr>
          <w:p w:rsidR="00B352DD" w:rsidRPr="00B352DD" w:rsidRDefault="00B352DD" w:rsidP="00B352DD">
            <w:pPr>
              <w:jc w:val="both"/>
              <w:rPr>
                <w:sz w:val="20"/>
                <w:lang w:val="fr-CA"/>
              </w:rPr>
            </w:pPr>
            <w:r w:rsidRPr="00B352DD">
              <w:rPr>
                <w:rStyle w:val="SCCFileNumberChar"/>
                <w:sz w:val="20"/>
                <w:szCs w:val="20"/>
                <w:lang w:val="fr-CA"/>
              </w:rPr>
              <w:t>39044</w:t>
            </w:r>
          </w:p>
        </w:tc>
        <w:tc>
          <w:tcPr>
            <w:tcW w:w="4457" w:type="pct"/>
            <w:gridSpan w:val="3"/>
          </w:tcPr>
          <w:p w:rsidR="00B352DD" w:rsidRPr="00B352DD" w:rsidRDefault="00B352DD" w:rsidP="00B352DD">
            <w:pPr>
              <w:pStyle w:val="SCCLsocParty"/>
              <w:jc w:val="both"/>
              <w:rPr>
                <w:b/>
                <w:sz w:val="20"/>
                <w:szCs w:val="20"/>
              </w:rPr>
            </w:pPr>
            <w:r w:rsidRPr="00B352DD">
              <w:rPr>
                <w:b/>
                <w:sz w:val="20"/>
                <w:szCs w:val="20"/>
              </w:rPr>
              <w:t>DePuy International Ltd., DePuy Orthopaedics Inc., DePuy, Inc., Johnson &amp; Johnson Inc. c. Theodore Wilson, Joseph Charles Crisante, Lynne Slotek, Katherine Crisante et Larry Slotek</w:t>
            </w:r>
          </w:p>
          <w:p w:rsidR="00B352DD" w:rsidRPr="00B352DD" w:rsidRDefault="00B352DD" w:rsidP="00B352DD">
            <w:pPr>
              <w:jc w:val="both"/>
              <w:rPr>
                <w:sz w:val="20"/>
                <w:lang w:val="fr-CA"/>
              </w:rPr>
            </w:pPr>
            <w:r w:rsidRPr="00B352DD">
              <w:rPr>
                <w:sz w:val="20"/>
                <w:lang w:val="fr-CA"/>
              </w:rPr>
              <w:t>(C.</w:t>
            </w:r>
            <w:r w:rsidRPr="00B352DD">
              <w:rPr>
                <w:sz w:val="20"/>
                <w:lang w:val="fr-CA"/>
              </w:rPr>
              <w:noBreakHyphen/>
              <w:t>B.) (Civile) (Autorisation)</w:t>
            </w:r>
          </w:p>
        </w:tc>
      </w:tr>
      <w:tr w:rsidR="00B352DD" w:rsidRPr="008E695D" w:rsidTr="00B352DD">
        <w:tc>
          <w:tcPr>
            <w:tcW w:w="5000" w:type="pct"/>
            <w:gridSpan w:val="4"/>
          </w:tcPr>
          <w:p w:rsidR="00B352DD" w:rsidRPr="00B352DD" w:rsidRDefault="00B352DD" w:rsidP="00B352DD">
            <w:pPr>
              <w:jc w:val="both"/>
              <w:rPr>
                <w:sz w:val="20"/>
                <w:lang w:val="fr-CA"/>
              </w:rPr>
            </w:pPr>
            <w:r w:rsidRPr="00B352DD">
              <w:rPr>
                <w:sz w:val="20"/>
                <w:lang w:val="fr-CA"/>
              </w:rPr>
              <w:t>Procédure civile — Recours collectif — Approbation d’un règlement — Recours collectif certifié en Ontario dont l’appartenance au groupe est à l’échelle nationale, à l’exception des résidents du Québec et de la Colombie</w:t>
            </w:r>
            <w:r w:rsidRPr="00B352DD">
              <w:rPr>
                <w:sz w:val="20"/>
                <w:lang w:val="fr-CA"/>
              </w:rPr>
              <w:noBreakHyphen/>
              <w:t>Britannique — Dans un règlement proposé en Colombie</w:t>
            </w:r>
            <w:r w:rsidRPr="00B352DD">
              <w:rPr>
                <w:sz w:val="20"/>
                <w:lang w:val="fr-CA"/>
              </w:rPr>
              <w:noBreakHyphen/>
              <w:t>Britannique, l’appartenance au groupe comprend les résidents de l’extérieur de la Colombie</w:t>
            </w:r>
            <w:r w:rsidRPr="00B352DD">
              <w:rPr>
                <w:sz w:val="20"/>
                <w:lang w:val="fr-CA"/>
              </w:rPr>
              <w:noBreakHyphen/>
              <w:t>Britannique sur une base de participation volontaire — Le règlement a été approuvé, mais le groupe a été limité aux résidents de la Colombie</w:t>
            </w:r>
            <w:r w:rsidRPr="00B352DD">
              <w:rPr>
                <w:sz w:val="20"/>
                <w:lang w:val="fr-CA"/>
              </w:rPr>
              <w:noBreakHyphen/>
              <w:t>Britannique — Comment les tribunaux doivent</w:t>
            </w:r>
            <w:r w:rsidRPr="00B352DD">
              <w:rPr>
                <w:sz w:val="20"/>
                <w:lang w:val="fr-CA"/>
              </w:rPr>
              <w:noBreakHyphen/>
              <w:t xml:space="preserve">ils appliquer l’exigence de la meilleure procédure, et ses éléments touchant l’accès à la justice, aux questions de certification en ce qui concerne deux recours collectifs qui se chevauchent? — </w:t>
            </w:r>
            <w:r w:rsidRPr="00B352DD">
              <w:rPr>
                <w:i/>
                <w:sz w:val="20"/>
                <w:lang w:val="fr-CA"/>
              </w:rPr>
              <w:t>Class Proceedings Act</w:t>
            </w:r>
            <w:r w:rsidRPr="00B352DD">
              <w:rPr>
                <w:sz w:val="20"/>
                <w:lang w:val="fr-CA"/>
              </w:rPr>
              <w:t>, R.S.B.C. 1996, ch. 50.</w:t>
            </w:r>
          </w:p>
        </w:tc>
      </w:tr>
      <w:tr w:rsidR="00B352DD" w:rsidRPr="00B352DD" w:rsidTr="00B352DD">
        <w:tc>
          <w:tcPr>
            <w:tcW w:w="5000" w:type="pct"/>
            <w:gridSpan w:val="4"/>
          </w:tcPr>
          <w:p w:rsidR="00B352DD" w:rsidRPr="00B352DD" w:rsidRDefault="00B352DD" w:rsidP="00B352DD">
            <w:pPr>
              <w:jc w:val="both"/>
              <w:rPr>
                <w:sz w:val="20"/>
                <w:lang w:val="fr-CA"/>
              </w:rPr>
            </w:pPr>
          </w:p>
          <w:p w:rsidR="00B352DD" w:rsidRPr="00B352DD" w:rsidRDefault="00B352DD" w:rsidP="00B352DD">
            <w:pPr>
              <w:jc w:val="both"/>
              <w:rPr>
                <w:sz w:val="20"/>
                <w:lang w:val="fr-CA"/>
              </w:rPr>
            </w:pPr>
            <w:r w:rsidRPr="00B352DD">
              <w:rPr>
                <w:sz w:val="20"/>
                <w:lang w:val="fr-CA"/>
              </w:rPr>
              <w:t>En 2010, des prothèses de la hanche fabriquées par les demanderesses ont fait l’objet d’un rappel en raison de taux d’échec élevés. En 2011, l’intimé, M. Wilson, a intenté un recours collectif contre les demanderesses en Colombie</w:t>
            </w:r>
            <w:r w:rsidRPr="00B352DD">
              <w:rPr>
                <w:sz w:val="20"/>
                <w:lang w:val="fr-CA"/>
              </w:rPr>
              <w:noBreakHyphen/>
              <w:t>Britannique. Des recours collectifs semblables ont été intentés et certifiés au Québec, pour les résidents du Québec, et en Ontario pour tous les demandeurs éventuels, sauf les résidents du Québec et de la Colombie</w:t>
            </w:r>
            <w:r w:rsidRPr="00B352DD">
              <w:rPr>
                <w:sz w:val="20"/>
                <w:lang w:val="fr-CA"/>
              </w:rPr>
              <w:noBreakHyphen/>
              <w:t>Britannique (le « groupe national »). Monsieur Wilson a fini par conclure un accord de règlement avec les demanderesses. Le groupe proposé dans l’accord de règlement comprenait les membres du groupe national à qui on donnait la possibilité de participer volontairement au règlement de la Colombie</w:t>
            </w:r>
            <w:r w:rsidRPr="00B352DD">
              <w:rPr>
                <w:sz w:val="20"/>
                <w:lang w:val="fr-CA"/>
              </w:rPr>
              <w:noBreakHyphen/>
              <w:t>Britannique. En 2018, les demandeurs et M. Wilson ont présenté une demande de certification du recours de la Colombie</w:t>
            </w:r>
            <w:r w:rsidRPr="00B352DD">
              <w:rPr>
                <w:sz w:val="20"/>
                <w:lang w:val="fr-CA"/>
              </w:rPr>
              <w:noBreakHyphen/>
              <w:t>Britannique et l’approbation judiciaire du règlement. Les représentants des demandeurs du recours collectif national, qui sont les intimés dans la demande d’autorisation d’appel, se sont opposés à l’inclusion des membres du groupe national dans le recours de la Colombie</w:t>
            </w:r>
            <w:r w:rsidRPr="00B352DD">
              <w:rPr>
                <w:sz w:val="20"/>
                <w:lang w:val="fr-CA"/>
              </w:rPr>
              <w:noBreakHyphen/>
              <w:t>Britannique. Le juge en cabinet a conclu que le recours de M. Wilson devait être certifié et le règlement approuvé, sauf en ce qui concerne l’appartenance proposée au groupe, que le juge a limité aux résidents de la Colombie</w:t>
            </w:r>
            <w:r w:rsidRPr="00B352DD">
              <w:rPr>
                <w:sz w:val="20"/>
                <w:lang w:val="fr-CA"/>
              </w:rPr>
              <w:noBreakHyphen/>
              <w:t>Britannique. Le juge a conclu que la modalité prévoyant un groupe de participation volontaire de non</w:t>
            </w:r>
            <w:r w:rsidRPr="00B352DD">
              <w:rPr>
                <w:sz w:val="20"/>
                <w:lang w:val="fr-CA"/>
              </w:rPr>
              <w:noBreakHyphen/>
              <w:t xml:space="preserve">résidents n’était pas la meilleure procédure. La Cour d’appel a rejeté l’appel des demandeurs. </w:t>
            </w:r>
          </w:p>
        </w:tc>
      </w:tr>
      <w:tr w:rsidR="00B352DD" w:rsidRPr="00B352DD" w:rsidTr="00B352DD">
        <w:tc>
          <w:tcPr>
            <w:tcW w:w="5000" w:type="pct"/>
            <w:gridSpan w:val="4"/>
          </w:tcPr>
          <w:p w:rsidR="00B352DD" w:rsidRPr="00B352DD" w:rsidRDefault="00B352DD" w:rsidP="00B352DD">
            <w:pPr>
              <w:jc w:val="both"/>
              <w:rPr>
                <w:sz w:val="20"/>
                <w:lang w:val="fr-CA"/>
              </w:rPr>
            </w:pPr>
          </w:p>
        </w:tc>
      </w:tr>
      <w:tr w:rsidR="00B352DD" w:rsidRPr="008E695D" w:rsidTr="00B352DD">
        <w:tc>
          <w:tcPr>
            <w:tcW w:w="2427" w:type="pct"/>
            <w:gridSpan w:val="2"/>
          </w:tcPr>
          <w:p w:rsidR="00B352DD" w:rsidRPr="00B352DD" w:rsidRDefault="00B352DD" w:rsidP="00B352DD">
            <w:pPr>
              <w:jc w:val="both"/>
              <w:rPr>
                <w:sz w:val="20"/>
                <w:lang w:val="fr-CA"/>
              </w:rPr>
            </w:pPr>
            <w:r w:rsidRPr="00B352DD">
              <w:rPr>
                <w:sz w:val="20"/>
                <w:lang w:val="fr-CA"/>
              </w:rPr>
              <w:t>16 juillet 2018</w:t>
            </w:r>
          </w:p>
          <w:p w:rsidR="00B352DD" w:rsidRPr="00B352DD" w:rsidRDefault="00B352DD" w:rsidP="00B352DD">
            <w:pPr>
              <w:jc w:val="both"/>
              <w:rPr>
                <w:sz w:val="20"/>
                <w:lang w:val="fr-CA"/>
              </w:rPr>
            </w:pPr>
            <w:r w:rsidRPr="00B352DD">
              <w:rPr>
                <w:sz w:val="20"/>
                <w:lang w:val="fr-CA"/>
              </w:rPr>
              <w:t>Cour suprême de la Colombie</w:t>
            </w:r>
            <w:r w:rsidRPr="00B352DD">
              <w:rPr>
                <w:sz w:val="20"/>
                <w:lang w:val="fr-CA"/>
              </w:rPr>
              <w:noBreakHyphen/>
              <w:t>Britannique</w:t>
            </w:r>
          </w:p>
          <w:p w:rsidR="00B352DD" w:rsidRPr="00B352DD" w:rsidRDefault="00B352DD" w:rsidP="00B352DD">
            <w:pPr>
              <w:jc w:val="both"/>
              <w:rPr>
                <w:sz w:val="20"/>
                <w:lang w:val="fr-CA"/>
              </w:rPr>
            </w:pPr>
            <w:r w:rsidRPr="00B352DD">
              <w:rPr>
                <w:sz w:val="20"/>
                <w:lang w:val="fr-CA"/>
              </w:rPr>
              <w:t>(Juge Branch)</w:t>
            </w:r>
          </w:p>
          <w:p w:rsidR="00B352DD" w:rsidRPr="00B352DD" w:rsidRDefault="008E695D" w:rsidP="00B352DD">
            <w:pPr>
              <w:jc w:val="both"/>
              <w:rPr>
                <w:sz w:val="20"/>
                <w:lang w:val="fr-CA"/>
              </w:rPr>
            </w:pPr>
            <w:hyperlink r:id="rId15" w:history="1">
              <w:r w:rsidR="00B352DD" w:rsidRPr="00B352DD">
                <w:rPr>
                  <w:rStyle w:val="Hyperlink"/>
                  <w:sz w:val="20"/>
                  <w:lang w:val="fr-CA"/>
                </w:rPr>
                <w:t>2018 BCSC 1192</w:t>
              </w:r>
            </w:hyperlink>
            <w:r w:rsidR="00B352DD" w:rsidRPr="00B352DD">
              <w:rPr>
                <w:sz w:val="20"/>
                <w:lang w:val="fr-CA"/>
              </w:rPr>
              <w:t xml:space="preserve"> </w:t>
            </w:r>
          </w:p>
          <w:p w:rsidR="00B352DD" w:rsidRPr="00B352DD" w:rsidRDefault="00B352DD" w:rsidP="00B352DD">
            <w:pPr>
              <w:jc w:val="both"/>
              <w:rPr>
                <w:sz w:val="20"/>
                <w:lang w:val="fr-CA"/>
              </w:rPr>
            </w:pPr>
          </w:p>
        </w:tc>
        <w:tc>
          <w:tcPr>
            <w:tcW w:w="243" w:type="pct"/>
          </w:tcPr>
          <w:p w:rsidR="00B352DD" w:rsidRPr="00B352DD" w:rsidRDefault="00B352DD" w:rsidP="00B352DD">
            <w:pPr>
              <w:jc w:val="both"/>
              <w:rPr>
                <w:sz w:val="20"/>
                <w:lang w:val="fr-CA"/>
              </w:rPr>
            </w:pPr>
          </w:p>
        </w:tc>
        <w:tc>
          <w:tcPr>
            <w:tcW w:w="2330" w:type="pct"/>
          </w:tcPr>
          <w:p w:rsidR="00B352DD" w:rsidRPr="00B352DD" w:rsidRDefault="00B352DD" w:rsidP="00B352DD">
            <w:pPr>
              <w:jc w:val="both"/>
              <w:rPr>
                <w:sz w:val="20"/>
                <w:lang w:val="fr-CA"/>
              </w:rPr>
            </w:pPr>
            <w:r w:rsidRPr="00B352DD">
              <w:rPr>
                <w:sz w:val="20"/>
                <w:lang w:val="fr-CA"/>
              </w:rPr>
              <w:t xml:space="preserve">Jugement accueillant la demande de certification du recours collectif et d’approbation de l’accord de règlement proposé, sous réserve d’une restriction quant au groupe proposé. </w:t>
            </w:r>
          </w:p>
        </w:tc>
      </w:tr>
      <w:tr w:rsidR="00B352DD" w:rsidRPr="00B352DD" w:rsidTr="00B352DD">
        <w:tc>
          <w:tcPr>
            <w:tcW w:w="2427" w:type="pct"/>
            <w:gridSpan w:val="2"/>
          </w:tcPr>
          <w:p w:rsidR="00B352DD" w:rsidRPr="00B352DD" w:rsidRDefault="00B352DD" w:rsidP="00B352DD">
            <w:pPr>
              <w:jc w:val="both"/>
              <w:rPr>
                <w:sz w:val="20"/>
                <w:lang w:val="fr-CA"/>
              </w:rPr>
            </w:pPr>
            <w:r w:rsidRPr="00B352DD">
              <w:rPr>
                <w:sz w:val="20"/>
                <w:lang w:val="fr-CA"/>
              </w:rPr>
              <w:t>4 décembre 2019</w:t>
            </w:r>
          </w:p>
          <w:p w:rsidR="00B352DD" w:rsidRPr="00B352DD" w:rsidRDefault="00B352DD" w:rsidP="00B352DD">
            <w:pPr>
              <w:jc w:val="both"/>
              <w:rPr>
                <w:sz w:val="20"/>
                <w:lang w:val="fr-CA"/>
              </w:rPr>
            </w:pPr>
            <w:r w:rsidRPr="00B352DD">
              <w:rPr>
                <w:sz w:val="20"/>
                <w:lang w:val="fr-CA"/>
              </w:rPr>
              <w:t>Cour d’appel de la Colombie</w:t>
            </w:r>
            <w:r w:rsidRPr="00B352DD">
              <w:rPr>
                <w:sz w:val="20"/>
                <w:lang w:val="fr-CA"/>
              </w:rPr>
              <w:noBreakHyphen/>
              <w:t>Britannique</w:t>
            </w:r>
          </w:p>
          <w:p w:rsidR="00B352DD" w:rsidRPr="00B352DD" w:rsidRDefault="00B352DD" w:rsidP="00B352DD">
            <w:pPr>
              <w:jc w:val="both"/>
              <w:rPr>
                <w:sz w:val="20"/>
                <w:lang w:val="fr-CA"/>
              </w:rPr>
            </w:pPr>
            <w:r w:rsidRPr="00B352DD">
              <w:rPr>
                <w:sz w:val="20"/>
                <w:lang w:val="fr-CA"/>
              </w:rPr>
              <w:t>(Vancouver)</w:t>
            </w:r>
          </w:p>
          <w:p w:rsidR="00B352DD" w:rsidRPr="00B352DD" w:rsidRDefault="00B352DD" w:rsidP="00B352DD">
            <w:pPr>
              <w:jc w:val="both"/>
              <w:rPr>
                <w:sz w:val="20"/>
                <w:lang w:val="fr-CA"/>
              </w:rPr>
            </w:pPr>
            <w:r w:rsidRPr="00B352DD">
              <w:rPr>
                <w:sz w:val="20"/>
                <w:lang w:val="fr-CA"/>
              </w:rPr>
              <w:t>(Juge Bennett, MacKenzie et Dickson)</w:t>
            </w:r>
          </w:p>
          <w:p w:rsidR="00B352DD" w:rsidRPr="00B352DD" w:rsidRDefault="008E695D" w:rsidP="00B352DD">
            <w:pPr>
              <w:jc w:val="both"/>
              <w:rPr>
                <w:sz w:val="20"/>
                <w:lang w:val="fr-CA"/>
              </w:rPr>
            </w:pPr>
            <w:hyperlink r:id="rId16" w:history="1">
              <w:r w:rsidR="00B352DD" w:rsidRPr="00B352DD">
                <w:rPr>
                  <w:rStyle w:val="Hyperlink"/>
                  <w:sz w:val="20"/>
                  <w:lang w:val="fr-CA"/>
                </w:rPr>
                <w:t>2019 BCCA 440</w:t>
              </w:r>
            </w:hyperlink>
            <w:r w:rsidR="00B352DD" w:rsidRPr="00B352DD">
              <w:rPr>
                <w:sz w:val="20"/>
                <w:lang w:val="fr-CA"/>
              </w:rPr>
              <w:t xml:space="preserve"> (N</w:t>
            </w:r>
            <w:r w:rsidR="00B352DD" w:rsidRPr="00B352DD">
              <w:rPr>
                <w:sz w:val="20"/>
                <w:vertAlign w:val="superscript"/>
                <w:lang w:val="fr-CA"/>
              </w:rPr>
              <w:t>o</w:t>
            </w:r>
            <w:r w:rsidR="00B352DD" w:rsidRPr="00B352DD">
              <w:rPr>
                <w:sz w:val="20"/>
                <w:lang w:val="fr-CA"/>
              </w:rPr>
              <w:t xml:space="preserve"> de dossier : CA45509)</w:t>
            </w:r>
          </w:p>
          <w:p w:rsidR="00B352DD" w:rsidRPr="00B352DD" w:rsidRDefault="00B352DD" w:rsidP="00B352DD">
            <w:pPr>
              <w:jc w:val="both"/>
              <w:rPr>
                <w:sz w:val="20"/>
                <w:lang w:val="fr-CA"/>
              </w:rPr>
            </w:pPr>
          </w:p>
        </w:tc>
        <w:tc>
          <w:tcPr>
            <w:tcW w:w="243" w:type="pct"/>
          </w:tcPr>
          <w:p w:rsidR="00B352DD" w:rsidRPr="00B352DD" w:rsidRDefault="00B352DD" w:rsidP="00B352DD">
            <w:pPr>
              <w:jc w:val="both"/>
              <w:rPr>
                <w:sz w:val="20"/>
                <w:lang w:val="fr-CA"/>
              </w:rPr>
            </w:pPr>
          </w:p>
        </w:tc>
        <w:tc>
          <w:tcPr>
            <w:tcW w:w="2330" w:type="pct"/>
          </w:tcPr>
          <w:p w:rsidR="00B352DD" w:rsidRPr="00B352DD" w:rsidRDefault="00B352DD" w:rsidP="00B352DD">
            <w:pPr>
              <w:jc w:val="both"/>
              <w:rPr>
                <w:sz w:val="20"/>
                <w:lang w:val="fr-CA"/>
              </w:rPr>
            </w:pPr>
            <w:r w:rsidRPr="00B352DD">
              <w:rPr>
                <w:sz w:val="20"/>
                <w:lang w:val="fr-CA"/>
              </w:rPr>
              <w:t>Rejet de l’appel.</w:t>
            </w:r>
          </w:p>
          <w:p w:rsidR="00B352DD" w:rsidRPr="00B352DD" w:rsidRDefault="00B352DD" w:rsidP="00B352DD">
            <w:pPr>
              <w:jc w:val="both"/>
              <w:rPr>
                <w:sz w:val="20"/>
                <w:lang w:val="fr-CA"/>
              </w:rPr>
            </w:pPr>
          </w:p>
        </w:tc>
      </w:tr>
      <w:tr w:rsidR="00B352DD" w:rsidRPr="008E695D" w:rsidTr="00B352DD">
        <w:tc>
          <w:tcPr>
            <w:tcW w:w="2427" w:type="pct"/>
            <w:gridSpan w:val="2"/>
          </w:tcPr>
          <w:p w:rsidR="00B352DD" w:rsidRPr="00B352DD" w:rsidRDefault="00B352DD" w:rsidP="00B352DD">
            <w:pPr>
              <w:jc w:val="both"/>
              <w:rPr>
                <w:sz w:val="20"/>
                <w:lang w:val="fr-CA"/>
              </w:rPr>
            </w:pPr>
            <w:r w:rsidRPr="00B352DD">
              <w:rPr>
                <w:sz w:val="20"/>
                <w:lang w:val="fr-CA"/>
              </w:rPr>
              <w:t>31 janvier 2020</w:t>
            </w:r>
          </w:p>
          <w:p w:rsidR="00B352DD" w:rsidRPr="00B352DD" w:rsidRDefault="00B352DD" w:rsidP="00B352DD">
            <w:pPr>
              <w:jc w:val="both"/>
              <w:rPr>
                <w:sz w:val="20"/>
                <w:lang w:val="fr-CA"/>
              </w:rPr>
            </w:pPr>
            <w:r w:rsidRPr="00B352DD">
              <w:rPr>
                <w:sz w:val="20"/>
                <w:lang w:val="fr-CA"/>
              </w:rPr>
              <w:t>Cour suprême du Canada</w:t>
            </w:r>
          </w:p>
        </w:tc>
        <w:tc>
          <w:tcPr>
            <w:tcW w:w="243" w:type="pct"/>
          </w:tcPr>
          <w:p w:rsidR="00B352DD" w:rsidRPr="00B352DD" w:rsidRDefault="00B352DD" w:rsidP="00B352DD">
            <w:pPr>
              <w:jc w:val="both"/>
              <w:rPr>
                <w:sz w:val="20"/>
                <w:lang w:val="fr-CA"/>
              </w:rPr>
            </w:pPr>
          </w:p>
        </w:tc>
        <w:tc>
          <w:tcPr>
            <w:tcW w:w="2330" w:type="pct"/>
          </w:tcPr>
          <w:p w:rsidR="00B352DD" w:rsidRPr="00B352DD" w:rsidRDefault="00B352DD" w:rsidP="00B352DD">
            <w:pPr>
              <w:jc w:val="both"/>
              <w:rPr>
                <w:sz w:val="20"/>
                <w:lang w:val="fr-CA"/>
              </w:rPr>
            </w:pPr>
            <w:r w:rsidRPr="00B352DD">
              <w:rPr>
                <w:sz w:val="20"/>
                <w:lang w:val="fr-CA"/>
              </w:rPr>
              <w:t>Dépôt de la demande d’autorisation d’appel.</w:t>
            </w:r>
          </w:p>
        </w:tc>
      </w:tr>
    </w:tbl>
    <w:p w:rsidR="00B352DD" w:rsidRPr="00B352DD" w:rsidRDefault="00B352DD" w:rsidP="00B352DD">
      <w:pPr>
        <w:jc w:val="both"/>
        <w:rPr>
          <w:sz w:val="20"/>
          <w:lang w:val="fr-CA"/>
        </w:rPr>
      </w:pPr>
    </w:p>
    <w:p w:rsidR="00F61FFA" w:rsidRDefault="008E695D" w:rsidP="00B352DD">
      <w:pPr>
        <w:widowControl w:val="0"/>
        <w:jc w:val="both"/>
        <w:rPr>
          <w:sz w:val="20"/>
          <w:lang w:val="fr-CA"/>
        </w:rPr>
      </w:pPr>
      <w:r>
        <w:rPr>
          <w:sz w:val="20"/>
        </w:rPr>
        <w:pict>
          <v:rect id="_x0000_i1028" style="width:2in;height:1pt" o:hrpct="0" o:hralign="center" o:hrstd="t" o:hrnoshade="t" o:hr="t" fillcolor="black [3213]" stroked="f"/>
        </w:pict>
      </w:r>
    </w:p>
    <w:p w:rsidR="00B352DD" w:rsidRPr="00B352DD" w:rsidRDefault="00B352DD" w:rsidP="00B352D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52DD" w:rsidRPr="00B352DD" w:rsidTr="00B352DD">
        <w:tc>
          <w:tcPr>
            <w:tcW w:w="543" w:type="pct"/>
          </w:tcPr>
          <w:p w:rsidR="00B352DD" w:rsidRPr="00B352DD" w:rsidRDefault="00B352DD" w:rsidP="00B352DD">
            <w:pPr>
              <w:jc w:val="both"/>
              <w:rPr>
                <w:sz w:val="20"/>
              </w:rPr>
            </w:pPr>
            <w:r w:rsidRPr="00B352DD">
              <w:rPr>
                <w:rStyle w:val="SCCFileNumberChar"/>
                <w:sz w:val="20"/>
                <w:szCs w:val="20"/>
              </w:rPr>
              <w:t>39166</w:t>
            </w:r>
          </w:p>
        </w:tc>
        <w:tc>
          <w:tcPr>
            <w:tcW w:w="4457" w:type="pct"/>
            <w:gridSpan w:val="3"/>
          </w:tcPr>
          <w:p w:rsidR="00B352DD" w:rsidRPr="00B352DD" w:rsidRDefault="00B352DD" w:rsidP="00B352DD">
            <w:pPr>
              <w:pStyle w:val="SCCLsocParty"/>
              <w:jc w:val="both"/>
              <w:rPr>
                <w:b/>
                <w:sz w:val="20"/>
                <w:szCs w:val="20"/>
                <w:lang w:val="en-US"/>
              </w:rPr>
            </w:pPr>
            <w:r w:rsidRPr="00B352DD">
              <w:rPr>
                <w:b/>
                <w:sz w:val="20"/>
                <w:szCs w:val="20"/>
                <w:lang w:val="en-US"/>
              </w:rPr>
              <w:t>Rivka Moscowitz v. Attorney General of Quebec</w:t>
            </w:r>
          </w:p>
          <w:p w:rsidR="00B352DD" w:rsidRPr="00B352DD" w:rsidRDefault="00B352DD" w:rsidP="00B352DD">
            <w:pPr>
              <w:jc w:val="both"/>
              <w:rPr>
                <w:sz w:val="20"/>
              </w:rPr>
            </w:pPr>
            <w:r w:rsidRPr="00B352DD">
              <w:rPr>
                <w:sz w:val="20"/>
              </w:rPr>
              <w:t>(Que.) (Civil) (By Leave)</w:t>
            </w:r>
          </w:p>
        </w:tc>
      </w:tr>
      <w:tr w:rsidR="00B352DD" w:rsidRPr="00B352DD" w:rsidTr="00B352DD">
        <w:tc>
          <w:tcPr>
            <w:tcW w:w="5000" w:type="pct"/>
            <w:gridSpan w:val="4"/>
          </w:tcPr>
          <w:p w:rsidR="00B352DD" w:rsidRPr="00B352DD" w:rsidRDefault="00B352DD" w:rsidP="00B352DD">
            <w:pPr>
              <w:jc w:val="both"/>
              <w:rPr>
                <w:sz w:val="20"/>
              </w:rPr>
            </w:pPr>
            <w:r w:rsidRPr="00B352DD">
              <w:rPr>
                <w:sz w:val="20"/>
              </w:rPr>
              <w:t xml:space="preserve">Civil procedure — Class action — Authorization to institute class action — Collateral attack of convictions — Malicious prosecution — Relative immunity from liability — Civil liability — Alleged systemic and malicious use of hearsay evidence to prosecute photo radar and red light offences in the province of Quebec — Does the proposed class action constitute a collateral attack of the convictions of the members of the proposed class? — Did the courts below err in concluding that there is no causal link between the fault of the Sûreté du Québec officers and the damages sought? — Did the </w:t>
            </w:r>
            <w:r w:rsidRPr="00B352DD">
              <w:rPr>
                <w:i/>
                <w:sz w:val="20"/>
              </w:rPr>
              <w:t>Bureau des infractions et amendes</w:t>
            </w:r>
            <w:r w:rsidRPr="00B352DD">
              <w:rPr>
                <w:sz w:val="20"/>
              </w:rPr>
              <w:t xml:space="preserve"> commit a civil fault? — Does the immunity set out in </w:t>
            </w:r>
            <w:r w:rsidRPr="00B352DD">
              <w:rPr>
                <w:i/>
                <w:sz w:val="20"/>
              </w:rPr>
              <w:t>Nelles v. Ontario</w:t>
            </w:r>
            <w:r w:rsidRPr="00B352DD">
              <w:rPr>
                <w:sz w:val="20"/>
              </w:rPr>
              <w:t xml:space="preserve">, [1989] 2 S.C.R. 170, apply in the circumstances? </w:t>
            </w:r>
            <w:r w:rsidRPr="00B352DD">
              <w:rPr>
                <w:i/>
                <w:sz w:val="20"/>
              </w:rPr>
              <w:t>Code of Civil Procedure</w:t>
            </w:r>
            <w:r w:rsidRPr="00B352DD">
              <w:rPr>
                <w:sz w:val="20"/>
              </w:rPr>
              <w:t>, C.Q.L.R. c. C-25.01, art. 575(2).</w:t>
            </w:r>
          </w:p>
        </w:tc>
      </w:tr>
      <w:tr w:rsidR="00B352DD" w:rsidRPr="00B352DD" w:rsidTr="00B352DD">
        <w:tc>
          <w:tcPr>
            <w:tcW w:w="5000" w:type="pct"/>
            <w:gridSpan w:val="4"/>
          </w:tcPr>
          <w:p w:rsidR="00B352DD" w:rsidRPr="00B352DD" w:rsidRDefault="00B352DD" w:rsidP="00B352DD">
            <w:pPr>
              <w:jc w:val="both"/>
              <w:rPr>
                <w:sz w:val="20"/>
              </w:rPr>
            </w:pPr>
          </w:p>
        </w:tc>
      </w:tr>
      <w:tr w:rsidR="00B352DD" w:rsidRPr="00B352DD" w:rsidTr="00B352DD">
        <w:tc>
          <w:tcPr>
            <w:tcW w:w="5000" w:type="pct"/>
            <w:gridSpan w:val="4"/>
          </w:tcPr>
          <w:p w:rsidR="00B352DD" w:rsidRPr="00B352DD" w:rsidRDefault="00B352DD" w:rsidP="00B352DD">
            <w:pPr>
              <w:jc w:val="both"/>
              <w:rPr>
                <w:sz w:val="20"/>
              </w:rPr>
            </w:pPr>
            <w:r w:rsidRPr="00B352DD">
              <w:rPr>
                <w:sz w:val="20"/>
              </w:rPr>
              <w:t xml:space="preserve">The case concerns a proposed class action seeking compensation from the respondent, the Attorney General of Quebec, for pecuniary losses and moral damages allegedly suffered by the applicant, Ms. Moscowitz, and all other persons who, since the inception of the photo radar and red light camera systems in the province of Quebec, were issued a statement of offence involving a photo radar and/or a red light camera in that same province. Ms. Moscowitz alleges that certain representatives of the government of Quebec intentionally committed a fault and acted maliciously by, among others, mounting evidence in penal proceedings that they knew or ought to have known was inadmissible in a court of law. The Superior Court dismissed Ms. Moscowitz’s application to authorize the bringing of a class action and to appoint her as representative plaintiff. It concluded that the proposed class action did not meet the criteria of article 575(2) of the </w:t>
            </w:r>
            <w:r w:rsidRPr="00B352DD">
              <w:rPr>
                <w:i/>
                <w:sz w:val="20"/>
              </w:rPr>
              <w:t>Code of Civil Procedure</w:t>
            </w:r>
            <w:r w:rsidRPr="00B352DD">
              <w:rPr>
                <w:sz w:val="20"/>
              </w:rPr>
              <w:t>, C.Q.L.R. c. C</w:t>
            </w:r>
            <w:r w:rsidRPr="00B352DD">
              <w:rPr>
                <w:sz w:val="20"/>
              </w:rPr>
              <w:noBreakHyphen/>
              <w:t>25.01, in that the facts alleged did not appear to justify the conclusions sought. The court found that the proposed class action constitutes a collateral attack of the proposed members’ convictions, which is impermissible. The Court of Appeal dismissed Ms. Moscowitz’s appeal, upholding the Superior Court’s conclusion that the proposed class action is an indirect challenge to convictions properly rendered by a court of law.</w:t>
            </w:r>
          </w:p>
          <w:p w:rsidR="00B352DD" w:rsidRPr="00B352DD" w:rsidRDefault="00B352DD" w:rsidP="00B352DD">
            <w:pPr>
              <w:jc w:val="both"/>
              <w:rPr>
                <w:sz w:val="20"/>
              </w:rPr>
            </w:pPr>
          </w:p>
        </w:tc>
      </w:tr>
      <w:tr w:rsidR="00B352DD" w:rsidRPr="00B352DD" w:rsidTr="00B352DD">
        <w:tc>
          <w:tcPr>
            <w:tcW w:w="2427" w:type="pct"/>
            <w:gridSpan w:val="2"/>
          </w:tcPr>
          <w:p w:rsidR="00B352DD" w:rsidRPr="00B352DD" w:rsidRDefault="00B352DD" w:rsidP="00B352DD">
            <w:pPr>
              <w:jc w:val="both"/>
              <w:rPr>
                <w:sz w:val="20"/>
              </w:rPr>
            </w:pPr>
            <w:r w:rsidRPr="00B352DD">
              <w:rPr>
                <w:sz w:val="20"/>
              </w:rPr>
              <w:t>October 23, 2018</w:t>
            </w:r>
          </w:p>
          <w:p w:rsidR="00B352DD" w:rsidRPr="00B352DD" w:rsidRDefault="00B352DD" w:rsidP="00B352DD">
            <w:pPr>
              <w:jc w:val="both"/>
              <w:rPr>
                <w:sz w:val="20"/>
              </w:rPr>
            </w:pPr>
            <w:r w:rsidRPr="00B352DD">
              <w:rPr>
                <w:sz w:val="20"/>
              </w:rPr>
              <w:t>Superior Court of Quebec</w:t>
            </w:r>
          </w:p>
          <w:p w:rsidR="00B352DD" w:rsidRPr="00B352DD" w:rsidRDefault="00B352DD" w:rsidP="00B352DD">
            <w:pPr>
              <w:jc w:val="both"/>
              <w:rPr>
                <w:sz w:val="20"/>
              </w:rPr>
            </w:pPr>
            <w:r w:rsidRPr="00B352DD">
              <w:rPr>
                <w:sz w:val="20"/>
              </w:rPr>
              <w:t>(Conte J.)</w:t>
            </w:r>
          </w:p>
          <w:p w:rsidR="00B352DD" w:rsidRPr="00B352DD" w:rsidRDefault="00B352DD" w:rsidP="00B352DD">
            <w:pPr>
              <w:jc w:val="both"/>
              <w:rPr>
                <w:sz w:val="20"/>
              </w:rPr>
            </w:pPr>
            <w:r w:rsidRPr="00B352DD">
              <w:rPr>
                <w:sz w:val="20"/>
              </w:rPr>
              <w:t>File no. 500-06-000835-161</w:t>
            </w:r>
          </w:p>
          <w:p w:rsidR="00B352DD" w:rsidRPr="00B352DD" w:rsidRDefault="008E695D" w:rsidP="00B352DD">
            <w:pPr>
              <w:jc w:val="both"/>
              <w:rPr>
                <w:sz w:val="20"/>
              </w:rPr>
            </w:pPr>
            <w:hyperlink r:id="rId17" w:history="1">
              <w:r w:rsidR="00B352DD" w:rsidRPr="00B352DD">
                <w:rPr>
                  <w:rStyle w:val="Hyperlink"/>
                  <w:sz w:val="20"/>
                </w:rPr>
                <w:t>2018 QCCS 4555</w:t>
              </w:r>
            </w:hyperlink>
          </w:p>
          <w:p w:rsidR="00B352DD" w:rsidRPr="00B352DD" w:rsidRDefault="00B352DD" w:rsidP="00B352DD">
            <w:pPr>
              <w:jc w:val="both"/>
              <w:rPr>
                <w:sz w:val="20"/>
              </w:rPr>
            </w:pPr>
          </w:p>
        </w:tc>
        <w:tc>
          <w:tcPr>
            <w:tcW w:w="243" w:type="pct"/>
          </w:tcPr>
          <w:p w:rsidR="00B352DD" w:rsidRPr="00B352DD" w:rsidRDefault="00B352DD" w:rsidP="00B352DD">
            <w:pPr>
              <w:jc w:val="both"/>
              <w:rPr>
                <w:sz w:val="20"/>
              </w:rPr>
            </w:pPr>
          </w:p>
        </w:tc>
        <w:tc>
          <w:tcPr>
            <w:tcW w:w="2330" w:type="pct"/>
          </w:tcPr>
          <w:p w:rsidR="00B352DD" w:rsidRPr="00B352DD" w:rsidRDefault="00B352DD" w:rsidP="00B352DD">
            <w:pPr>
              <w:jc w:val="both"/>
              <w:rPr>
                <w:sz w:val="20"/>
              </w:rPr>
            </w:pPr>
            <w:r w:rsidRPr="00B352DD">
              <w:rPr>
                <w:sz w:val="20"/>
              </w:rPr>
              <w:t>Re-amended application to authorize the bringing of a class action and to appoint the status of representative plaintiff dismissed</w:t>
            </w:r>
          </w:p>
          <w:p w:rsidR="00B352DD" w:rsidRPr="00B352DD" w:rsidRDefault="00B352DD" w:rsidP="00B352DD">
            <w:pPr>
              <w:jc w:val="both"/>
              <w:rPr>
                <w:sz w:val="20"/>
              </w:rPr>
            </w:pPr>
          </w:p>
        </w:tc>
      </w:tr>
      <w:tr w:rsidR="00B352DD" w:rsidRPr="00B352DD" w:rsidTr="00B352DD">
        <w:tc>
          <w:tcPr>
            <w:tcW w:w="2427" w:type="pct"/>
            <w:gridSpan w:val="2"/>
          </w:tcPr>
          <w:p w:rsidR="00B352DD" w:rsidRPr="00B352DD" w:rsidRDefault="00B352DD" w:rsidP="00B352DD">
            <w:pPr>
              <w:jc w:val="both"/>
              <w:rPr>
                <w:sz w:val="20"/>
              </w:rPr>
            </w:pPr>
            <w:r w:rsidRPr="00B352DD">
              <w:rPr>
                <w:sz w:val="20"/>
              </w:rPr>
              <w:t>March 12, 2020</w:t>
            </w:r>
          </w:p>
          <w:p w:rsidR="00B352DD" w:rsidRPr="00B352DD" w:rsidRDefault="00B352DD" w:rsidP="00B352DD">
            <w:pPr>
              <w:jc w:val="both"/>
              <w:rPr>
                <w:sz w:val="20"/>
              </w:rPr>
            </w:pPr>
            <w:r w:rsidRPr="00B352DD">
              <w:rPr>
                <w:sz w:val="20"/>
              </w:rPr>
              <w:t>Court of Appeal of Quebec (Montréal)</w:t>
            </w:r>
          </w:p>
          <w:p w:rsidR="00B352DD" w:rsidRPr="00B352DD" w:rsidRDefault="00B352DD" w:rsidP="00B352DD">
            <w:pPr>
              <w:jc w:val="both"/>
              <w:rPr>
                <w:sz w:val="20"/>
              </w:rPr>
            </w:pPr>
            <w:r w:rsidRPr="00B352DD">
              <w:rPr>
                <w:sz w:val="20"/>
              </w:rPr>
              <w:t>(Lévesque, Mainville and Healy JJ.A.)</w:t>
            </w:r>
          </w:p>
          <w:p w:rsidR="00B352DD" w:rsidRPr="00B352DD" w:rsidRDefault="00B352DD" w:rsidP="00B352DD">
            <w:pPr>
              <w:jc w:val="both"/>
              <w:rPr>
                <w:sz w:val="20"/>
              </w:rPr>
            </w:pPr>
            <w:r w:rsidRPr="00B352DD">
              <w:rPr>
                <w:sz w:val="20"/>
              </w:rPr>
              <w:t>File no. 500</w:t>
            </w:r>
            <w:r w:rsidRPr="00B352DD">
              <w:rPr>
                <w:sz w:val="20"/>
              </w:rPr>
              <w:noBreakHyphen/>
              <w:t>09</w:t>
            </w:r>
            <w:r w:rsidRPr="00B352DD">
              <w:rPr>
                <w:sz w:val="20"/>
              </w:rPr>
              <w:noBreakHyphen/>
              <w:t>027969</w:t>
            </w:r>
            <w:r w:rsidRPr="00B352DD">
              <w:rPr>
                <w:sz w:val="20"/>
              </w:rPr>
              <w:noBreakHyphen/>
              <w:t>187</w:t>
            </w:r>
          </w:p>
          <w:p w:rsidR="00B352DD" w:rsidRPr="00B352DD" w:rsidRDefault="008E695D" w:rsidP="00B352DD">
            <w:pPr>
              <w:jc w:val="both"/>
              <w:rPr>
                <w:rStyle w:val="Hyperlink"/>
                <w:sz w:val="20"/>
              </w:rPr>
            </w:pPr>
            <w:hyperlink r:id="rId18" w:history="1">
              <w:r w:rsidR="00B352DD" w:rsidRPr="00B352DD">
                <w:rPr>
                  <w:rStyle w:val="Hyperlink"/>
                  <w:sz w:val="20"/>
                </w:rPr>
                <w:t>2020 QCCA 412</w:t>
              </w:r>
            </w:hyperlink>
          </w:p>
          <w:p w:rsidR="00B352DD" w:rsidRPr="00B352DD" w:rsidRDefault="00B352DD" w:rsidP="00B352DD">
            <w:pPr>
              <w:jc w:val="both"/>
              <w:rPr>
                <w:sz w:val="20"/>
                <w:lang w:val="fr-CA"/>
              </w:rPr>
            </w:pPr>
          </w:p>
        </w:tc>
        <w:tc>
          <w:tcPr>
            <w:tcW w:w="243" w:type="pct"/>
          </w:tcPr>
          <w:p w:rsidR="00B352DD" w:rsidRPr="00B352DD" w:rsidRDefault="00B352DD" w:rsidP="00B352DD">
            <w:pPr>
              <w:jc w:val="both"/>
              <w:rPr>
                <w:sz w:val="20"/>
                <w:lang w:val="fr-CA"/>
              </w:rPr>
            </w:pPr>
          </w:p>
        </w:tc>
        <w:tc>
          <w:tcPr>
            <w:tcW w:w="2330" w:type="pct"/>
          </w:tcPr>
          <w:p w:rsidR="00B352DD" w:rsidRPr="00B352DD" w:rsidRDefault="00B352DD" w:rsidP="00B352DD">
            <w:pPr>
              <w:jc w:val="both"/>
              <w:rPr>
                <w:sz w:val="20"/>
              </w:rPr>
            </w:pPr>
            <w:r w:rsidRPr="00B352DD">
              <w:rPr>
                <w:sz w:val="20"/>
              </w:rPr>
              <w:t>Appeal dismissed</w:t>
            </w:r>
          </w:p>
          <w:p w:rsidR="00B352DD" w:rsidRPr="00B352DD" w:rsidRDefault="00B352DD" w:rsidP="00B352DD">
            <w:pPr>
              <w:jc w:val="both"/>
              <w:rPr>
                <w:sz w:val="20"/>
              </w:rPr>
            </w:pPr>
          </w:p>
        </w:tc>
      </w:tr>
      <w:tr w:rsidR="00B352DD" w:rsidRPr="00B352DD" w:rsidTr="00B352DD">
        <w:tc>
          <w:tcPr>
            <w:tcW w:w="2427" w:type="pct"/>
            <w:gridSpan w:val="2"/>
          </w:tcPr>
          <w:p w:rsidR="00B352DD" w:rsidRPr="00B352DD" w:rsidRDefault="00B352DD" w:rsidP="00B352DD">
            <w:pPr>
              <w:jc w:val="both"/>
              <w:rPr>
                <w:sz w:val="20"/>
              </w:rPr>
            </w:pPr>
            <w:r w:rsidRPr="00B352DD">
              <w:rPr>
                <w:sz w:val="20"/>
              </w:rPr>
              <w:t>May 11, 2020</w:t>
            </w:r>
          </w:p>
          <w:p w:rsidR="00B352DD" w:rsidRPr="00B352DD" w:rsidRDefault="00B352DD" w:rsidP="00B352DD">
            <w:pPr>
              <w:jc w:val="both"/>
              <w:rPr>
                <w:sz w:val="20"/>
              </w:rPr>
            </w:pPr>
            <w:r w:rsidRPr="00B352DD">
              <w:rPr>
                <w:sz w:val="20"/>
              </w:rPr>
              <w:t>Supreme Court of Canada</w:t>
            </w:r>
          </w:p>
        </w:tc>
        <w:tc>
          <w:tcPr>
            <w:tcW w:w="243" w:type="pct"/>
          </w:tcPr>
          <w:p w:rsidR="00B352DD" w:rsidRPr="00B352DD" w:rsidRDefault="00B352DD" w:rsidP="00B352DD">
            <w:pPr>
              <w:jc w:val="both"/>
              <w:rPr>
                <w:sz w:val="20"/>
              </w:rPr>
            </w:pPr>
          </w:p>
        </w:tc>
        <w:tc>
          <w:tcPr>
            <w:tcW w:w="2330" w:type="pct"/>
          </w:tcPr>
          <w:p w:rsidR="00B352DD" w:rsidRPr="00B352DD" w:rsidRDefault="00B352DD" w:rsidP="00B352DD">
            <w:pPr>
              <w:jc w:val="both"/>
              <w:rPr>
                <w:sz w:val="20"/>
              </w:rPr>
            </w:pPr>
            <w:r w:rsidRPr="00B352DD">
              <w:rPr>
                <w:sz w:val="20"/>
              </w:rPr>
              <w:t>Application for leave to appeal filed</w:t>
            </w:r>
          </w:p>
          <w:p w:rsidR="00B352DD" w:rsidRPr="00B352DD" w:rsidRDefault="00B352DD" w:rsidP="00B352DD">
            <w:pPr>
              <w:jc w:val="both"/>
              <w:rPr>
                <w:sz w:val="20"/>
              </w:rPr>
            </w:pPr>
          </w:p>
        </w:tc>
      </w:tr>
    </w:tbl>
    <w:p w:rsidR="00B352DD" w:rsidRDefault="00B352DD" w:rsidP="00B352DD">
      <w:pPr>
        <w:jc w:val="both"/>
        <w:rPr>
          <w:sz w:val="20"/>
        </w:rPr>
      </w:pPr>
    </w:p>
    <w:p w:rsidR="00B352DD" w:rsidRDefault="008E695D" w:rsidP="00B352DD">
      <w:pPr>
        <w:jc w:val="both"/>
        <w:rPr>
          <w:sz w:val="20"/>
        </w:rPr>
      </w:pPr>
      <w:r>
        <w:rPr>
          <w:sz w:val="20"/>
        </w:rPr>
        <w:pict>
          <v:rect id="_x0000_i1029" style="width:2in;height:1pt" o:hrpct="0" o:hralign="center" o:hrstd="t" o:hrnoshade="t" o:hr="t" fillcolor="black [3213]" stroked="f"/>
        </w:pict>
      </w:r>
    </w:p>
    <w:p w:rsidR="00B352DD" w:rsidRPr="00B352DD" w:rsidRDefault="00B352DD" w:rsidP="00B352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52DD" w:rsidRPr="00B352DD" w:rsidTr="00B352DD">
        <w:tc>
          <w:tcPr>
            <w:tcW w:w="543" w:type="pct"/>
          </w:tcPr>
          <w:p w:rsidR="00B352DD" w:rsidRPr="00B352DD" w:rsidRDefault="00B352DD" w:rsidP="00B352DD">
            <w:pPr>
              <w:jc w:val="both"/>
              <w:rPr>
                <w:sz w:val="20"/>
                <w:lang w:val="fr-CA"/>
              </w:rPr>
            </w:pPr>
            <w:r w:rsidRPr="00B352DD">
              <w:rPr>
                <w:rStyle w:val="SCCFileNumberChar"/>
                <w:sz w:val="20"/>
                <w:szCs w:val="20"/>
                <w:lang w:val="fr-CA"/>
              </w:rPr>
              <w:t>39166</w:t>
            </w:r>
          </w:p>
        </w:tc>
        <w:tc>
          <w:tcPr>
            <w:tcW w:w="4457" w:type="pct"/>
            <w:gridSpan w:val="3"/>
          </w:tcPr>
          <w:p w:rsidR="00B352DD" w:rsidRPr="00B352DD" w:rsidRDefault="00B352DD" w:rsidP="00B352DD">
            <w:pPr>
              <w:pStyle w:val="SCCLsocParty"/>
              <w:jc w:val="both"/>
              <w:rPr>
                <w:b/>
                <w:sz w:val="20"/>
                <w:szCs w:val="20"/>
              </w:rPr>
            </w:pPr>
            <w:r w:rsidRPr="00B352DD">
              <w:rPr>
                <w:b/>
                <w:sz w:val="20"/>
                <w:szCs w:val="20"/>
              </w:rPr>
              <w:t>Rivka Moscowitz c. Procureure générale du Québec</w:t>
            </w:r>
          </w:p>
          <w:p w:rsidR="00B352DD" w:rsidRPr="00B352DD" w:rsidRDefault="00B352DD" w:rsidP="00B352DD">
            <w:pPr>
              <w:jc w:val="both"/>
              <w:rPr>
                <w:sz w:val="20"/>
                <w:lang w:val="fr-CA"/>
              </w:rPr>
            </w:pPr>
            <w:r w:rsidRPr="00B352DD">
              <w:rPr>
                <w:sz w:val="20"/>
                <w:lang w:val="fr-CA"/>
              </w:rPr>
              <w:t>(Q</w:t>
            </w:r>
            <w:r>
              <w:rPr>
                <w:sz w:val="20"/>
                <w:lang w:val="fr-CA"/>
              </w:rPr>
              <w:t>c</w:t>
            </w:r>
            <w:r w:rsidRPr="00B352DD">
              <w:rPr>
                <w:sz w:val="20"/>
                <w:lang w:val="fr-CA"/>
              </w:rPr>
              <w:t>) (Civile) (Autorisation)</w:t>
            </w:r>
          </w:p>
        </w:tc>
      </w:tr>
      <w:tr w:rsidR="00B352DD" w:rsidRPr="00B352DD" w:rsidTr="00B352DD">
        <w:tc>
          <w:tcPr>
            <w:tcW w:w="5000" w:type="pct"/>
            <w:gridSpan w:val="4"/>
          </w:tcPr>
          <w:p w:rsidR="00B352DD" w:rsidRPr="00B352DD" w:rsidRDefault="00B352DD" w:rsidP="00B352DD">
            <w:pPr>
              <w:jc w:val="both"/>
              <w:rPr>
                <w:sz w:val="20"/>
                <w:lang w:val="fr-CA"/>
              </w:rPr>
            </w:pPr>
            <w:r w:rsidRPr="00B352DD">
              <w:rPr>
                <w:sz w:val="20"/>
                <w:lang w:val="fr-CA"/>
              </w:rPr>
              <w:t>Procédure civile — Action collective — Autorisation d’exercer une action collective — Attaque indirecte à l’encontre de déclarations de culpabilité — Poursuite abusive — Immunité relative de responsabilité — Responsabilité civile — Allégation de recours systématique et abusif à la preuve par ouï</w:t>
            </w:r>
            <w:r w:rsidRPr="00B352DD">
              <w:rPr>
                <w:sz w:val="20"/>
                <w:lang w:val="fr-CA"/>
              </w:rPr>
              <w:noBreakHyphen/>
              <w:t>dire dans les poursuites pour infractions constatées par des cinémomètres photographiques ou des systèmes photographiques de contrôle de circulation aux feux rouges dans la province de Québec — L’action collective proposée constitue</w:t>
            </w:r>
            <w:r w:rsidRPr="00B352DD">
              <w:rPr>
                <w:sz w:val="20"/>
                <w:lang w:val="fr-CA"/>
              </w:rPr>
              <w:noBreakHyphen/>
              <w:t>t</w:t>
            </w:r>
            <w:r w:rsidRPr="00B352DD">
              <w:rPr>
                <w:sz w:val="20"/>
                <w:lang w:val="fr-CA"/>
              </w:rPr>
              <w:noBreakHyphen/>
              <w:t>elle une attaque indirecte des déclarations de culpabilité prononcées à l’égard des membres du groupe proposé? — Les juridictions inférieures ont</w:t>
            </w:r>
            <w:r w:rsidRPr="00B352DD">
              <w:rPr>
                <w:sz w:val="20"/>
                <w:lang w:val="fr-CA"/>
              </w:rPr>
              <w:noBreakHyphen/>
              <w:t>elles eu tort de conclure qu’il n’y a aucun lien de causalité entre la faute des agents de la Sûreté du Québec et les dommages</w:t>
            </w:r>
            <w:r w:rsidRPr="00B352DD">
              <w:rPr>
                <w:sz w:val="20"/>
                <w:lang w:val="fr-CA"/>
              </w:rPr>
              <w:noBreakHyphen/>
              <w:t>intérêts réclamés? — Le Bureau des infractions et amendes a</w:t>
            </w:r>
            <w:r w:rsidRPr="00B352DD">
              <w:rPr>
                <w:sz w:val="20"/>
                <w:lang w:val="fr-CA"/>
              </w:rPr>
              <w:noBreakHyphen/>
              <w:t>t</w:t>
            </w:r>
            <w:r w:rsidRPr="00B352DD">
              <w:rPr>
                <w:sz w:val="20"/>
                <w:lang w:val="fr-CA"/>
              </w:rPr>
              <w:noBreakHyphen/>
              <w:t xml:space="preserve">il commis une faute civile? — L’immunité énoncée dans </w:t>
            </w:r>
            <w:r w:rsidRPr="00B352DD">
              <w:rPr>
                <w:i/>
                <w:sz w:val="20"/>
                <w:lang w:val="fr-CA"/>
              </w:rPr>
              <w:t>Nelles c. Ontario</w:t>
            </w:r>
            <w:r w:rsidRPr="00B352DD">
              <w:rPr>
                <w:sz w:val="20"/>
                <w:lang w:val="fr-CA"/>
              </w:rPr>
              <w:t>, [1989] 2 R.C.S. 170, s’applique</w:t>
            </w:r>
            <w:r w:rsidRPr="00B352DD">
              <w:rPr>
                <w:sz w:val="20"/>
                <w:lang w:val="fr-CA"/>
              </w:rPr>
              <w:noBreakHyphen/>
              <w:t>t</w:t>
            </w:r>
            <w:r w:rsidRPr="00B352DD">
              <w:rPr>
                <w:sz w:val="20"/>
                <w:lang w:val="fr-CA"/>
              </w:rPr>
              <w:noBreakHyphen/>
              <w:t xml:space="preserve">elle en l’espèce? — </w:t>
            </w:r>
            <w:r w:rsidRPr="00B352DD">
              <w:rPr>
                <w:i/>
                <w:sz w:val="20"/>
                <w:lang w:val="fr-CA"/>
              </w:rPr>
              <w:t>Code de procédure civile</w:t>
            </w:r>
            <w:r w:rsidRPr="00B352DD">
              <w:rPr>
                <w:sz w:val="20"/>
                <w:lang w:val="fr-CA"/>
              </w:rPr>
              <w:t>, R.L.R.Q. ch. C</w:t>
            </w:r>
            <w:r w:rsidRPr="00B352DD">
              <w:rPr>
                <w:sz w:val="20"/>
                <w:lang w:val="fr-CA"/>
              </w:rPr>
              <w:noBreakHyphen/>
              <w:t>25.01, al. 575(2).</w:t>
            </w:r>
          </w:p>
        </w:tc>
      </w:tr>
      <w:tr w:rsidR="00B352DD" w:rsidRPr="00B352DD" w:rsidTr="00B352DD">
        <w:tc>
          <w:tcPr>
            <w:tcW w:w="5000" w:type="pct"/>
            <w:gridSpan w:val="4"/>
          </w:tcPr>
          <w:p w:rsidR="00B352DD" w:rsidRPr="00B352DD" w:rsidRDefault="00B352DD" w:rsidP="00B352DD">
            <w:pPr>
              <w:jc w:val="both"/>
              <w:rPr>
                <w:sz w:val="20"/>
                <w:lang w:val="fr-CA"/>
              </w:rPr>
            </w:pPr>
          </w:p>
        </w:tc>
      </w:tr>
      <w:tr w:rsidR="00B352DD" w:rsidRPr="008E695D" w:rsidTr="00B352DD">
        <w:tc>
          <w:tcPr>
            <w:tcW w:w="5000" w:type="pct"/>
            <w:gridSpan w:val="4"/>
          </w:tcPr>
          <w:p w:rsidR="00B352DD" w:rsidRPr="00B352DD" w:rsidRDefault="00B352DD" w:rsidP="00B352DD">
            <w:pPr>
              <w:jc w:val="both"/>
              <w:rPr>
                <w:sz w:val="20"/>
                <w:lang w:val="fr-CA"/>
              </w:rPr>
            </w:pPr>
            <w:r w:rsidRPr="00B352DD">
              <w:rPr>
                <w:sz w:val="20"/>
                <w:lang w:val="fr-CA"/>
              </w:rPr>
              <w:t xml:space="preserve">L’affaire concerne une action collective proposée qui vise à obtenir un dédommagement de la part de l’intimée, la procureure générale du Québec, pour les pertes pécuniaires et les dommages moraux prétendument subis par la demanderesse, Mme Moscowitz, et toutes les autres personnes à qui des constats d’infraction ont été donnés s’appuyant sur un cinémomètre photographique ou un système photographique de contrôle de circulation aux feux rouges depuis l’introduction de tels appareils dans la province de Québec. Madame Moscowitz allègue que certains représentants du gouvernement du Québec ont intentionnellement commis une faute et agi abusivement, notamment en constituant une preuve dans des instances pénales qu’ils savaient ou auraient dû savoir était inadmissible devant une cour de justice. La Cour supérieure a rejeté la demande de Mme Moscowitz en autorisation d’exercer une action collective et de lui reconnaître le statut de représentante. La cour a conclu que l’action collective proposée ne satisfaisait pas aux critères de l’alinéa 575(2) du </w:t>
            </w:r>
            <w:r w:rsidRPr="00B352DD">
              <w:rPr>
                <w:i/>
                <w:sz w:val="20"/>
                <w:lang w:val="fr-CA"/>
              </w:rPr>
              <w:t>Code de procédure civile</w:t>
            </w:r>
            <w:r w:rsidRPr="00B352DD">
              <w:rPr>
                <w:sz w:val="20"/>
                <w:lang w:val="fr-CA"/>
              </w:rPr>
              <w:t>, R.L.R.Q. ch. C</w:t>
            </w:r>
            <w:r w:rsidRPr="00B352DD">
              <w:rPr>
                <w:sz w:val="20"/>
                <w:lang w:val="fr-CA"/>
              </w:rPr>
              <w:noBreakHyphen/>
              <w:t>25.01, vu que les faits allégués ne paraissaient pas justifier les conclusions recherchées. La cour a conclu que l’action collective proposée constituait une attaque indirecte des déclarations de culpabilité prononcées à l’égard des membres du groupe proposé, ce qui n’est pas permis. La Cour d’appel a rejeté l’appel de Mme Moscowitz, confirmant la conclusion de la Cour supérieure selon laquelle l’action collective proposée est une contestation indirecte des déclarations de culpabilité dûment prononcées par une cour de justice.</w:t>
            </w:r>
          </w:p>
          <w:p w:rsidR="00B352DD" w:rsidRPr="00B352DD" w:rsidRDefault="00B352DD" w:rsidP="00B352DD">
            <w:pPr>
              <w:jc w:val="both"/>
              <w:rPr>
                <w:sz w:val="20"/>
                <w:lang w:val="fr-CA"/>
              </w:rPr>
            </w:pPr>
          </w:p>
        </w:tc>
      </w:tr>
      <w:tr w:rsidR="00B352DD" w:rsidRPr="008E695D" w:rsidTr="00B352DD">
        <w:tc>
          <w:tcPr>
            <w:tcW w:w="2427" w:type="pct"/>
            <w:gridSpan w:val="2"/>
          </w:tcPr>
          <w:p w:rsidR="00B352DD" w:rsidRPr="00B352DD" w:rsidRDefault="00B352DD" w:rsidP="00B352DD">
            <w:pPr>
              <w:jc w:val="both"/>
              <w:rPr>
                <w:sz w:val="20"/>
                <w:lang w:val="fr-CA"/>
              </w:rPr>
            </w:pPr>
            <w:r w:rsidRPr="00B352DD">
              <w:rPr>
                <w:sz w:val="20"/>
                <w:lang w:val="fr-CA"/>
              </w:rPr>
              <w:t>23 octobre 2018</w:t>
            </w:r>
          </w:p>
          <w:p w:rsidR="00B352DD" w:rsidRPr="00B352DD" w:rsidRDefault="00B352DD" w:rsidP="00B352DD">
            <w:pPr>
              <w:jc w:val="both"/>
              <w:rPr>
                <w:sz w:val="20"/>
                <w:lang w:val="fr-CA"/>
              </w:rPr>
            </w:pPr>
            <w:r w:rsidRPr="00B352DD">
              <w:rPr>
                <w:sz w:val="20"/>
                <w:lang w:val="fr-CA"/>
              </w:rPr>
              <w:t>Cour supérieure du Québec</w:t>
            </w:r>
          </w:p>
          <w:p w:rsidR="00B352DD" w:rsidRPr="00B352DD" w:rsidRDefault="00B352DD" w:rsidP="00B352DD">
            <w:pPr>
              <w:jc w:val="both"/>
              <w:rPr>
                <w:sz w:val="20"/>
                <w:lang w:val="fr-CA"/>
              </w:rPr>
            </w:pPr>
            <w:r w:rsidRPr="00B352DD">
              <w:rPr>
                <w:sz w:val="20"/>
                <w:lang w:val="fr-CA"/>
              </w:rPr>
              <w:t>(Juge Conte)</w:t>
            </w:r>
          </w:p>
          <w:p w:rsidR="00B352DD" w:rsidRPr="00B352DD" w:rsidRDefault="00B352DD" w:rsidP="00B352DD">
            <w:pPr>
              <w:jc w:val="both"/>
              <w:rPr>
                <w:sz w:val="20"/>
                <w:lang w:val="fr-CA"/>
              </w:rPr>
            </w:pPr>
            <w:r w:rsidRPr="00B352DD">
              <w:rPr>
                <w:sz w:val="20"/>
                <w:lang w:val="fr-CA"/>
              </w:rPr>
              <w:t>N</w:t>
            </w:r>
            <w:r w:rsidRPr="00B352DD">
              <w:rPr>
                <w:sz w:val="20"/>
                <w:vertAlign w:val="superscript"/>
                <w:lang w:val="fr-CA"/>
              </w:rPr>
              <w:t>o</w:t>
            </w:r>
            <w:r w:rsidRPr="00B352DD">
              <w:rPr>
                <w:sz w:val="20"/>
                <w:lang w:val="fr-CA"/>
              </w:rPr>
              <w:t xml:space="preserve"> de dossier 500</w:t>
            </w:r>
            <w:r w:rsidRPr="00B352DD">
              <w:rPr>
                <w:sz w:val="20"/>
                <w:lang w:val="fr-CA"/>
              </w:rPr>
              <w:noBreakHyphen/>
              <w:t>06</w:t>
            </w:r>
            <w:r w:rsidRPr="00B352DD">
              <w:rPr>
                <w:sz w:val="20"/>
                <w:lang w:val="fr-CA"/>
              </w:rPr>
              <w:noBreakHyphen/>
              <w:t>000835</w:t>
            </w:r>
            <w:r w:rsidRPr="00B352DD">
              <w:rPr>
                <w:sz w:val="20"/>
                <w:lang w:val="fr-CA"/>
              </w:rPr>
              <w:noBreakHyphen/>
              <w:t>161</w:t>
            </w:r>
          </w:p>
          <w:p w:rsidR="00B352DD" w:rsidRPr="00B352DD" w:rsidRDefault="008E695D" w:rsidP="00B352DD">
            <w:pPr>
              <w:jc w:val="both"/>
              <w:rPr>
                <w:sz w:val="20"/>
                <w:lang w:val="fr-CA"/>
              </w:rPr>
            </w:pPr>
            <w:hyperlink r:id="rId19" w:history="1">
              <w:r w:rsidR="00B352DD" w:rsidRPr="00B352DD">
                <w:rPr>
                  <w:rStyle w:val="Hyperlink"/>
                  <w:sz w:val="20"/>
                  <w:lang w:val="fr-CA"/>
                </w:rPr>
                <w:t>2018 QCCS 4555</w:t>
              </w:r>
            </w:hyperlink>
          </w:p>
          <w:p w:rsidR="00B352DD" w:rsidRPr="00B352DD" w:rsidRDefault="00B352DD" w:rsidP="00B352DD">
            <w:pPr>
              <w:jc w:val="both"/>
              <w:rPr>
                <w:sz w:val="20"/>
                <w:lang w:val="fr-CA"/>
              </w:rPr>
            </w:pPr>
          </w:p>
        </w:tc>
        <w:tc>
          <w:tcPr>
            <w:tcW w:w="243" w:type="pct"/>
          </w:tcPr>
          <w:p w:rsidR="00B352DD" w:rsidRPr="00B352DD" w:rsidRDefault="00B352DD" w:rsidP="00B352DD">
            <w:pPr>
              <w:jc w:val="both"/>
              <w:rPr>
                <w:sz w:val="20"/>
                <w:lang w:val="fr-CA"/>
              </w:rPr>
            </w:pPr>
          </w:p>
        </w:tc>
        <w:tc>
          <w:tcPr>
            <w:tcW w:w="2330" w:type="pct"/>
          </w:tcPr>
          <w:p w:rsidR="00B352DD" w:rsidRPr="00B352DD" w:rsidRDefault="00B352DD" w:rsidP="00B352DD">
            <w:pPr>
              <w:jc w:val="both"/>
              <w:rPr>
                <w:sz w:val="20"/>
                <w:lang w:val="fr-CA"/>
              </w:rPr>
            </w:pPr>
            <w:r w:rsidRPr="00B352DD">
              <w:rPr>
                <w:sz w:val="20"/>
                <w:lang w:val="fr-CA"/>
              </w:rPr>
              <w:t>Rejet de la demande modifiée de nouveau en autorisation d’exercer une action collective et en attribution du statut de représentant</w:t>
            </w:r>
          </w:p>
          <w:p w:rsidR="00B352DD" w:rsidRPr="00B352DD" w:rsidRDefault="00B352DD" w:rsidP="00B352DD">
            <w:pPr>
              <w:jc w:val="both"/>
              <w:rPr>
                <w:sz w:val="20"/>
                <w:lang w:val="fr-CA"/>
              </w:rPr>
            </w:pPr>
          </w:p>
        </w:tc>
      </w:tr>
      <w:tr w:rsidR="00B352DD" w:rsidRPr="00B352DD" w:rsidTr="00B352DD">
        <w:tc>
          <w:tcPr>
            <w:tcW w:w="2427" w:type="pct"/>
            <w:gridSpan w:val="2"/>
          </w:tcPr>
          <w:p w:rsidR="00B352DD" w:rsidRPr="00B352DD" w:rsidRDefault="00B352DD" w:rsidP="00B352DD">
            <w:pPr>
              <w:jc w:val="both"/>
              <w:rPr>
                <w:sz w:val="20"/>
                <w:lang w:val="fr-CA"/>
              </w:rPr>
            </w:pPr>
            <w:r w:rsidRPr="00B352DD">
              <w:rPr>
                <w:sz w:val="20"/>
                <w:lang w:val="fr-CA"/>
              </w:rPr>
              <w:t>12 mars 2020</w:t>
            </w:r>
          </w:p>
          <w:p w:rsidR="00B352DD" w:rsidRPr="00B352DD" w:rsidRDefault="00B352DD" w:rsidP="00B352DD">
            <w:pPr>
              <w:jc w:val="both"/>
              <w:rPr>
                <w:sz w:val="20"/>
                <w:lang w:val="fr-CA"/>
              </w:rPr>
            </w:pPr>
            <w:r w:rsidRPr="00B352DD">
              <w:rPr>
                <w:sz w:val="20"/>
                <w:lang w:val="fr-CA"/>
              </w:rPr>
              <w:t>Cour d’appel du Québec (Montréal)</w:t>
            </w:r>
          </w:p>
          <w:p w:rsidR="00B352DD" w:rsidRPr="00B352DD" w:rsidRDefault="00B352DD" w:rsidP="00B352DD">
            <w:pPr>
              <w:jc w:val="both"/>
              <w:rPr>
                <w:sz w:val="20"/>
                <w:lang w:val="fr-CA"/>
              </w:rPr>
            </w:pPr>
            <w:r w:rsidRPr="00B352DD">
              <w:rPr>
                <w:sz w:val="20"/>
                <w:lang w:val="fr-CA"/>
              </w:rPr>
              <w:t>(Juges Lévesque, Mainville et Healy)</w:t>
            </w:r>
          </w:p>
          <w:p w:rsidR="00B352DD" w:rsidRPr="00B352DD" w:rsidRDefault="00B352DD" w:rsidP="00B352DD">
            <w:pPr>
              <w:jc w:val="both"/>
              <w:rPr>
                <w:sz w:val="20"/>
                <w:lang w:val="fr-CA"/>
              </w:rPr>
            </w:pPr>
            <w:r w:rsidRPr="00B352DD">
              <w:rPr>
                <w:sz w:val="20"/>
                <w:lang w:val="fr-CA"/>
              </w:rPr>
              <w:t>N</w:t>
            </w:r>
            <w:r w:rsidRPr="00B352DD">
              <w:rPr>
                <w:sz w:val="20"/>
                <w:vertAlign w:val="superscript"/>
                <w:lang w:val="fr-CA"/>
              </w:rPr>
              <w:t>o</w:t>
            </w:r>
            <w:r w:rsidRPr="00B352DD">
              <w:rPr>
                <w:sz w:val="20"/>
                <w:lang w:val="fr-CA"/>
              </w:rPr>
              <w:t xml:space="preserve"> de dossier 500</w:t>
            </w:r>
            <w:r w:rsidRPr="00B352DD">
              <w:rPr>
                <w:sz w:val="20"/>
                <w:lang w:val="fr-CA"/>
              </w:rPr>
              <w:noBreakHyphen/>
              <w:t>09</w:t>
            </w:r>
            <w:r w:rsidRPr="00B352DD">
              <w:rPr>
                <w:sz w:val="20"/>
                <w:lang w:val="fr-CA"/>
              </w:rPr>
              <w:noBreakHyphen/>
              <w:t>027969</w:t>
            </w:r>
            <w:r w:rsidRPr="00B352DD">
              <w:rPr>
                <w:sz w:val="20"/>
                <w:lang w:val="fr-CA"/>
              </w:rPr>
              <w:noBreakHyphen/>
              <w:t>187</w:t>
            </w:r>
          </w:p>
          <w:p w:rsidR="00B352DD" w:rsidRPr="00B352DD" w:rsidRDefault="008E695D" w:rsidP="00B352DD">
            <w:pPr>
              <w:jc w:val="both"/>
              <w:rPr>
                <w:rStyle w:val="Hyperlink"/>
                <w:sz w:val="20"/>
                <w:lang w:val="fr-CA"/>
              </w:rPr>
            </w:pPr>
            <w:hyperlink r:id="rId20" w:history="1">
              <w:r w:rsidR="00B352DD" w:rsidRPr="00B352DD">
                <w:rPr>
                  <w:rStyle w:val="Hyperlink"/>
                  <w:sz w:val="20"/>
                  <w:lang w:val="fr-CA"/>
                </w:rPr>
                <w:t>2020 QCCA 412</w:t>
              </w:r>
            </w:hyperlink>
          </w:p>
          <w:p w:rsidR="00B352DD" w:rsidRPr="00B352DD" w:rsidRDefault="00B352DD" w:rsidP="00B352DD">
            <w:pPr>
              <w:jc w:val="both"/>
              <w:rPr>
                <w:sz w:val="20"/>
                <w:lang w:val="fr-CA"/>
              </w:rPr>
            </w:pPr>
          </w:p>
        </w:tc>
        <w:tc>
          <w:tcPr>
            <w:tcW w:w="243" w:type="pct"/>
          </w:tcPr>
          <w:p w:rsidR="00B352DD" w:rsidRPr="00B352DD" w:rsidRDefault="00B352DD" w:rsidP="00B352DD">
            <w:pPr>
              <w:jc w:val="both"/>
              <w:rPr>
                <w:sz w:val="20"/>
                <w:lang w:val="fr-CA"/>
              </w:rPr>
            </w:pPr>
          </w:p>
        </w:tc>
        <w:tc>
          <w:tcPr>
            <w:tcW w:w="2330" w:type="pct"/>
          </w:tcPr>
          <w:p w:rsidR="00B352DD" w:rsidRPr="00B352DD" w:rsidRDefault="00B352DD" w:rsidP="00B352DD">
            <w:pPr>
              <w:jc w:val="both"/>
              <w:rPr>
                <w:sz w:val="20"/>
                <w:lang w:val="fr-CA"/>
              </w:rPr>
            </w:pPr>
            <w:r w:rsidRPr="00B352DD">
              <w:rPr>
                <w:sz w:val="20"/>
                <w:lang w:val="fr-CA"/>
              </w:rPr>
              <w:t>Rejet de l’appel</w:t>
            </w:r>
          </w:p>
          <w:p w:rsidR="00B352DD" w:rsidRPr="00B352DD" w:rsidRDefault="00B352DD" w:rsidP="00B352DD">
            <w:pPr>
              <w:jc w:val="both"/>
              <w:rPr>
                <w:sz w:val="20"/>
                <w:lang w:val="fr-CA"/>
              </w:rPr>
            </w:pPr>
          </w:p>
        </w:tc>
      </w:tr>
      <w:tr w:rsidR="00B352DD" w:rsidRPr="008E695D" w:rsidTr="00B352DD">
        <w:tc>
          <w:tcPr>
            <w:tcW w:w="2427" w:type="pct"/>
            <w:gridSpan w:val="2"/>
          </w:tcPr>
          <w:p w:rsidR="00B352DD" w:rsidRPr="00B352DD" w:rsidRDefault="00B352DD" w:rsidP="00B352DD">
            <w:pPr>
              <w:jc w:val="both"/>
              <w:rPr>
                <w:sz w:val="20"/>
                <w:lang w:val="fr-CA"/>
              </w:rPr>
            </w:pPr>
            <w:r w:rsidRPr="00B352DD">
              <w:rPr>
                <w:sz w:val="20"/>
                <w:lang w:val="fr-CA"/>
              </w:rPr>
              <w:t>11 mai 2020</w:t>
            </w:r>
          </w:p>
          <w:p w:rsidR="00B352DD" w:rsidRPr="00B352DD" w:rsidRDefault="00B352DD" w:rsidP="00B352DD">
            <w:pPr>
              <w:jc w:val="both"/>
              <w:rPr>
                <w:sz w:val="20"/>
                <w:lang w:val="fr-CA"/>
              </w:rPr>
            </w:pPr>
            <w:r w:rsidRPr="00B352DD">
              <w:rPr>
                <w:sz w:val="20"/>
                <w:lang w:val="fr-CA"/>
              </w:rPr>
              <w:t>Cour suprême du Canada</w:t>
            </w:r>
          </w:p>
        </w:tc>
        <w:tc>
          <w:tcPr>
            <w:tcW w:w="243" w:type="pct"/>
          </w:tcPr>
          <w:p w:rsidR="00B352DD" w:rsidRPr="00B352DD" w:rsidRDefault="00B352DD" w:rsidP="00B352DD">
            <w:pPr>
              <w:jc w:val="both"/>
              <w:rPr>
                <w:sz w:val="20"/>
                <w:lang w:val="fr-CA"/>
              </w:rPr>
            </w:pPr>
          </w:p>
        </w:tc>
        <w:tc>
          <w:tcPr>
            <w:tcW w:w="2330" w:type="pct"/>
          </w:tcPr>
          <w:p w:rsidR="00B352DD" w:rsidRPr="00B352DD" w:rsidRDefault="00B352DD" w:rsidP="00B352DD">
            <w:pPr>
              <w:jc w:val="both"/>
              <w:rPr>
                <w:sz w:val="20"/>
                <w:lang w:val="fr-CA"/>
              </w:rPr>
            </w:pPr>
            <w:r w:rsidRPr="00B352DD">
              <w:rPr>
                <w:sz w:val="20"/>
                <w:lang w:val="fr-CA"/>
              </w:rPr>
              <w:t>Dépôt de la demande d’autorisation d’appel</w:t>
            </w:r>
          </w:p>
          <w:p w:rsidR="00B352DD" w:rsidRPr="00B352DD" w:rsidRDefault="00B352DD" w:rsidP="00B352DD">
            <w:pPr>
              <w:jc w:val="both"/>
              <w:rPr>
                <w:sz w:val="20"/>
                <w:lang w:val="fr-CA"/>
              </w:rPr>
            </w:pPr>
          </w:p>
        </w:tc>
      </w:tr>
    </w:tbl>
    <w:p w:rsidR="00B352DD" w:rsidRDefault="00B352DD" w:rsidP="00B352DD">
      <w:pPr>
        <w:jc w:val="both"/>
        <w:rPr>
          <w:sz w:val="20"/>
          <w:lang w:val="fr-CA"/>
        </w:rPr>
      </w:pPr>
    </w:p>
    <w:p w:rsidR="00B352DD" w:rsidRPr="00B352DD" w:rsidRDefault="008E695D" w:rsidP="00B352DD">
      <w:pPr>
        <w:jc w:val="both"/>
        <w:rPr>
          <w:sz w:val="20"/>
          <w:lang w:val="fr-CA"/>
        </w:rPr>
      </w:pPr>
      <w:r>
        <w:rPr>
          <w:sz w:val="20"/>
        </w:rPr>
        <w:pict>
          <v:rect id="_x0000_i1030" style="width:2in;height:1pt" o:hrpct="0" o:hralign="center" o:hrstd="t" o:hrnoshade="t" o:hr="t" fillcolor="black [3213]" stroked="f"/>
        </w:pict>
      </w:r>
    </w:p>
    <w:p w:rsidR="00F61FFA" w:rsidRDefault="00F61FFA" w:rsidP="00B352D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52DD" w:rsidRPr="00B352DD" w:rsidTr="00B352DD">
        <w:tc>
          <w:tcPr>
            <w:tcW w:w="543" w:type="pct"/>
          </w:tcPr>
          <w:p w:rsidR="00B352DD" w:rsidRPr="00B352DD" w:rsidRDefault="00B352DD" w:rsidP="00B352DD">
            <w:pPr>
              <w:jc w:val="both"/>
              <w:rPr>
                <w:sz w:val="20"/>
              </w:rPr>
            </w:pPr>
            <w:r w:rsidRPr="00B352DD">
              <w:rPr>
                <w:rStyle w:val="SCCFileNumberChar"/>
                <w:sz w:val="20"/>
                <w:szCs w:val="20"/>
              </w:rPr>
              <w:t>39153</w:t>
            </w:r>
          </w:p>
        </w:tc>
        <w:tc>
          <w:tcPr>
            <w:tcW w:w="4457" w:type="pct"/>
            <w:gridSpan w:val="3"/>
          </w:tcPr>
          <w:p w:rsidR="00B352DD" w:rsidRPr="00B352DD" w:rsidRDefault="00B352DD" w:rsidP="00B352DD">
            <w:pPr>
              <w:pStyle w:val="SCCLsocParty"/>
              <w:jc w:val="both"/>
              <w:rPr>
                <w:b/>
                <w:sz w:val="20"/>
                <w:szCs w:val="20"/>
                <w:lang w:val="en-US"/>
              </w:rPr>
            </w:pPr>
            <w:r w:rsidRPr="00B352DD">
              <w:rPr>
                <w:b/>
                <w:sz w:val="20"/>
                <w:szCs w:val="20"/>
                <w:lang w:val="en-US"/>
              </w:rPr>
              <w:t>David Walker v. Attorney General of Ontario, Person in Charge of Waypoint Centre for Mental Health Care</w:t>
            </w:r>
          </w:p>
          <w:p w:rsidR="00B352DD" w:rsidRPr="00B352DD" w:rsidRDefault="00B352DD" w:rsidP="00B352DD">
            <w:pPr>
              <w:jc w:val="both"/>
              <w:rPr>
                <w:sz w:val="20"/>
              </w:rPr>
            </w:pPr>
            <w:r w:rsidRPr="00B352DD">
              <w:rPr>
                <w:sz w:val="20"/>
              </w:rPr>
              <w:t>(Ont.) (Criminal) (By Leave)</w:t>
            </w:r>
          </w:p>
        </w:tc>
      </w:tr>
      <w:tr w:rsidR="00B352DD" w:rsidRPr="00B352DD" w:rsidTr="00B352DD">
        <w:tc>
          <w:tcPr>
            <w:tcW w:w="5000" w:type="pct"/>
            <w:gridSpan w:val="4"/>
          </w:tcPr>
          <w:p w:rsidR="00B352DD" w:rsidRPr="00B352DD" w:rsidRDefault="00B352DD" w:rsidP="00B352DD">
            <w:pPr>
              <w:jc w:val="both"/>
              <w:rPr>
                <w:sz w:val="20"/>
              </w:rPr>
            </w:pPr>
            <w:r w:rsidRPr="00B352DD">
              <w:rPr>
                <w:sz w:val="20"/>
              </w:rPr>
              <w:t>Criminal law —</w:t>
            </w:r>
            <w:r w:rsidRPr="00B352DD">
              <w:rPr>
                <w:color w:val="000000"/>
                <w:sz w:val="20"/>
                <w:lang w:val="en"/>
              </w:rPr>
              <w:t xml:space="preserve"> Review Boards — </w:t>
            </w:r>
            <w:r w:rsidRPr="00B352DD">
              <w:rPr>
                <w:bCs/>
                <w:color w:val="000000"/>
                <w:sz w:val="20"/>
                <w:lang w:val="en"/>
              </w:rPr>
              <w:t xml:space="preserve">Dual Status Offenders — </w:t>
            </w:r>
            <w:r w:rsidRPr="00B352DD">
              <w:rPr>
                <w:bCs/>
                <w:sz w:val="20"/>
                <w:lang w:val="en"/>
              </w:rPr>
              <w:t>Review of placement decisions —</w:t>
            </w:r>
            <w:r w:rsidRPr="00B352DD">
              <w:rPr>
                <w:sz w:val="20"/>
              </w:rPr>
              <w:t xml:space="preserve">Under Part XX.1 of </w:t>
            </w:r>
            <w:r w:rsidRPr="00B352DD">
              <w:rPr>
                <w:i/>
                <w:sz w:val="20"/>
              </w:rPr>
              <w:t xml:space="preserve">Criminal Code, </w:t>
            </w:r>
            <w:r w:rsidRPr="00B352DD">
              <w:rPr>
                <w:sz w:val="20"/>
              </w:rPr>
              <w:t>are powers of Review Boards to review a dual status offender’s placement separate and independent from powers to review dispositions — If provisions are independent, what is the role of Review Board in conducting a disposition review of a dual status offender imprisoned in a correctional facility?</w:t>
            </w:r>
          </w:p>
        </w:tc>
      </w:tr>
      <w:tr w:rsidR="00B352DD" w:rsidRPr="00B352DD" w:rsidTr="00B352DD">
        <w:tc>
          <w:tcPr>
            <w:tcW w:w="5000" w:type="pct"/>
            <w:gridSpan w:val="4"/>
          </w:tcPr>
          <w:p w:rsidR="00B352DD" w:rsidRPr="00B352DD" w:rsidRDefault="00B352DD" w:rsidP="00B352DD">
            <w:pPr>
              <w:jc w:val="both"/>
              <w:rPr>
                <w:sz w:val="20"/>
              </w:rPr>
            </w:pPr>
          </w:p>
          <w:p w:rsidR="00B352DD" w:rsidRPr="00B352DD" w:rsidRDefault="00B352DD" w:rsidP="00B352DD">
            <w:pPr>
              <w:jc w:val="both"/>
              <w:rPr>
                <w:sz w:val="20"/>
                <w:lang w:val="en"/>
              </w:rPr>
            </w:pPr>
            <w:r w:rsidRPr="00B352DD">
              <w:rPr>
                <w:sz w:val="20"/>
                <w:lang w:val="en"/>
              </w:rPr>
              <w:t xml:space="preserve">Mr. Walker is a dual status offender as defined by s. 672.1(1) of the </w:t>
            </w:r>
            <w:r w:rsidRPr="00B352DD">
              <w:rPr>
                <w:i/>
                <w:sz w:val="20"/>
                <w:lang w:val="en"/>
              </w:rPr>
              <w:t>Criminal Code</w:t>
            </w:r>
            <w:r w:rsidRPr="00B352DD">
              <w:rPr>
                <w:sz w:val="20"/>
                <w:lang w:val="en"/>
              </w:rPr>
              <w:t xml:space="preserve"> because he is subject to both a custodial disposition under s. 672.54(c) of the </w:t>
            </w:r>
            <w:r w:rsidRPr="00B352DD">
              <w:rPr>
                <w:i/>
                <w:sz w:val="20"/>
                <w:lang w:val="en"/>
              </w:rPr>
              <w:t>Code</w:t>
            </w:r>
            <w:r w:rsidRPr="00B352DD">
              <w:rPr>
                <w:sz w:val="20"/>
                <w:lang w:val="en"/>
              </w:rPr>
              <w:t xml:space="preserve"> for a finding of not criminally responsible because of mental disorder and to imprisonment for subsequent convictions for other offences. The Ontario Review Board continues to hold reviews of his custodial disposition. Pending a review hearing in 2018, Mr. Walker applied for a placement hearing seeking an order that he be moved from Bath Institution to Waypoint</w:t>
            </w:r>
            <w:r w:rsidRPr="00B352DD">
              <w:rPr>
                <w:sz w:val="20"/>
              </w:rPr>
              <w:t xml:space="preserve"> Centre for Mental Health Care</w:t>
            </w:r>
            <w:r w:rsidRPr="00B352DD">
              <w:rPr>
                <w:sz w:val="20"/>
                <w:lang w:val="en"/>
              </w:rPr>
              <w:t xml:space="preserve">. Mr. Walker argued that a significant change in his circumstances warranted a placement hearing. The Review Board denied the request to hold a placement hearing, held a disposition hearing, and ordered that </w:t>
            </w:r>
            <w:r w:rsidRPr="00B352DD">
              <w:rPr>
                <w:sz w:val="20"/>
              </w:rPr>
              <w:t>Mr. Walker should be detained at Waypoint Centre for Mental Health Care should he cease to be subject to term of imprisonment.</w:t>
            </w:r>
          </w:p>
        </w:tc>
      </w:tr>
      <w:tr w:rsidR="00B352DD" w:rsidRPr="00B352DD" w:rsidTr="00B352DD">
        <w:tc>
          <w:tcPr>
            <w:tcW w:w="5000" w:type="pct"/>
            <w:gridSpan w:val="4"/>
          </w:tcPr>
          <w:p w:rsidR="00B352DD" w:rsidRPr="00B352DD" w:rsidRDefault="00B352DD" w:rsidP="00B352DD">
            <w:pPr>
              <w:jc w:val="both"/>
              <w:rPr>
                <w:sz w:val="20"/>
                <w:lang w:val="en"/>
              </w:rPr>
            </w:pPr>
          </w:p>
        </w:tc>
      </w:tr>
      <w:tr w:rsidR="00B352DD" w:rsidRPr="00B352DD" w:rsidTr="00B352DD">
        <w:tc>
          <w:tcPr>
            <w:tcW w:w="2427" w:type="pct"/>
            <w:gridSpan w:val="2"/>
          </w:tcPr>
          <w:p w:rsidR="00B352DD" w:rsidRPr="00B352DD" w:rsidRDefault="00B352DD" w:rsidP="00B352DD">
            <w:pPr>
              <w:jc w:val="both"/>
              <w:rPr>
                <w:sz w:val="20"/>
              </w:rPr>
            </w:pPr>
            <w:r w:rsidRPr="00B352DD">
              <w:rPr>
                <w:sz w:val="20"/>
              </w:rPr>
              <w:t>June 29, 2018</w:t>
            </w:r>
          </w:p>
          <w:p w:rsidR="00B352DD" w:rsidRPr="00B352DD" w:rsidRDefault="00B352DD" w:rsidP="00B352DD">
            <w:pPr>
              <w:jc w:val="both"/>
              <w:rPr>
                <w:sz w:val="20"/>
              </w:rPr>
            </w:pPr>
            <w:r w:rsidRPr="00B352DD">
              <w:rPr>
                <w:sz w:val="20"/>
              </w:rPr>
              <w:t xml:space="preserve">Ontario Review Board </w:t>
            </w:r>
          </w:p>
          <w:p w:rsidR="00B352DD" w:rsidRPr="00B352DD" w:rsidRDefault="00B352DD" w:rsidP="00B352DD">
            <w:pPr>
              <w:jc w:val="both"/>
              <w:rPr>
                <w:sz w:val="20"/>
              </w:rPr>
            </w:pPr>
          </w:p>
        </w:tc>
        <w:tc>
          <w:tcPr>
            <w:tcW w:w="243" w:type="pct"/>
          </w:tcPr>
          <w:p w:rsidR="00B352DD" w:rsidRPr="00B352DD" w:rsidRDefault="00B352DD" w:rsidP="00B352DD">
            <w:pPr>
              <w:jc w:val="both"/>
              <w:rPr>
                <w:sz w:val="20"/>
              </w:rPr>
            </w:pPr>
          </w:p>
        </w:tc>
        <w:tc>
          <w:tcPr>
            <w:tcW w:w="2330" w:type="pct"/>
          </w:tcPr>
          <w:p w:rsidR="00B352DD" w:rsidRPr="00B352DD" w:rsidRDefault="00B352DD" w:rsidP="00B352DD">
            <w:pPr>
              <w:jc w:val="both"/>
              <w:rPr>
                <w:sz w:val="20"/>
              </w:rPr>
            </w:pPr>
            <w:r w:rsidRPr="00B352DD">
              <w:rPr>
                <w:sz w:val="20"/>
              </w:rPr>
              <w:t>Order accused be detained at Waypoint Centre for Mental Health Care should he cease to be subject to term of imprisonment; Request to hold placement hearing denied</w:t>
            </w:r>
          </w:p>
          <w:p w:rsidR="00B352DD" w:rsidRPr="00B352DD" w:rsidRDefault="00B352DD" w:rsidP="00B352DD">
            <w:pPr>
              <w:jc w:val="both"/>
              <w:rPr>
                <w:sz w:val="20"/>
              </w:rPr>
            </w:pPr>
          </w:p>
        </w:tc>
      </w:tr>
      <w:tr w:rsidR="00B352DD" w:rsidRPr="00B352DD" w:rsidTr="00B352DD">
        <w:tc>
          <w:tcPr>
            <w:tcW w:w="2427" w:type="pct"/>
            <w:gridSpan w:val="2"/>
          </w:tcPr>
          <w:p w:rsidR="00B352DD" w:rsidRPr="00B352DD" w:rsidRDefault="00B352DD" w:rsidP="00B352DD">
            <w:pPr>
              <w:jc w:val="both"/>
              <w:rPr>
                <w:sz w:val="20"/>
              </w:rPr>
            </w:pPr>
            <w:r w:rsidRPr="00B352DD">
              <w:rPr>
                <w:sz w:val="20"/>
              </w:rPr>
              <w:t>December 5, 2019</w:t>
            </w:r>
          </w:p>
          <w:p w:rsidR="00B352DD" w:rsidRPr="00B352DD" w:rsidRDefault="00B352DD" w:rsidP="00B352DD">
            <w:pPr>
              <w:jc w:val="both"/>
              <w:rPr>
                <w:sz w:val="20"/>
              </w:rPr>
            </w:pPr>
            <w:r w:rsidRPr="00B352DD">
              <w:rPr>
                <w:sz w:val="20"/>
              </w:rPr>
              <w:t>Court of Appeal for Ontario</w:t>
            </w:r>
          </w:p>
          <w:p w:rsidR="00B352DD" w:rsidRPr="00B352DD" w:rsidRDefault="00B352DD" w:rsidP="00B352DD">
            <w:pPr>
              <w:jc w:val="both"/>
              <w:rPr>
                <w:sz w:val="20"/>
              </w:rPr>
            </w:pPr>
            <w:r w:rsidRPr="00B352DD">
              <w:rPr>
                <w:sz w:val="20"/>
              </w:rPr>
              <w:t>(Watt, Miller, Fairburn JJ.A.)</w:t>
            </w:r>
          </w:p>
          <w:p w:rsidR="00B352DD" w:rsidRPr="00B352DD" w:rsidRDefault="008E695D" w:rsidP="00B352DD">
            <w:pPr>
              <w:jc w:val="both"/>
              <w:rPr>
                <w:sz w:val="20"/>
              </w:rPr>
            </w:pPr>
            <w:hyperlink r:id="rId21" w:history="1">
              <w:r w:rsidR="00B352DD" w:rsidRPr="00B352DD">
                <w:rPr>
                  <w:rStyle w:val="Hyperlink"/>
                  <w:sz w:val="20"/>
                </w:rPr>
                <w:t>2019 ONCA 957</w:t>
              </w:r>
            </w:hyperlink>
            <w:r w:rsidR="00B352DD" w:rsidRPr="00B352DD">
              <w:rPr>
                <w:sz w:val="20"/>
              </w:rPr>
              <w:t>; C657778</w:t>
            </w:r>
          </w:p>
          <w:p w:rsidR="00B352DD" w:rsidRPr="00B352DD" w:rsidRDefault="00B352DD" w:rsidP="00B352DD">
            <w:pPr>
              <w:jc w:val="both"/>
              <w:rPr>
                <w:sz w:val="20"/>
              </w:rPr>
            </w:pPr>
          </w:p>
        </w:tc>
        <w:tc>
          <w:tcPr>
            <w:tcW w:w="243" w:type="pct"/>
          </w:tcPr>
          <w:p w:rsidR="00B352DD" w:rsidRPr="00B352DD" w:rsidRDefault="00B352DD" w:rsidP="00B352DD">
            <w:pPr>
              <w:jc w:val="both"/>
              <w:rPr>
                <w:sz w:val="20"/>
              </w:rPr>
            </w:pPr>
          </w:p>
        </w:tc>
        <w:tc>
          <w:tcPr>
            <w:tcW w:w="2330" w:type="pct"/>
          </w:tcPr>
          <w:p w:rsidR="00B352DD" w:rsidRPr="00B352DD" w:rsidRDefault="00B352DD" w:rsidP="00B352DD">
            <w:pPr>
              <w:jc w:val="both"/>
              <w:rPr>
                <w:sz w:val="20"/>
              </w:rPr>
            </w:pPr>
            <w:r w:rsidRPr="00B352DD">
              <w:rPr>
                <w:sz w:val="20"/>
              </w:rPr>
              <w:t>Appeal dismissed</w:t>
            </w:r>
          </w:p>
          <w:p w:rsidR="00B352DD" w:rsidRPr="00B352DD" w:rsidRDefault="00B352DD" w:rsidP="00B352DD">
            <w:pPr>
              <w:jc w:val="both"/>
              <w:rPr>
                <w:sz w:val="20"/>
              </w:rPr>
            </w:pPr>
          </w:p>
        </w:tc>
      </w:tr>
      <w:tr w:rsidR="00B352DD" w:rsidRPr="00B352DD" w:rsidTr="00B352DD">
        <w:tc>
          <w:tcPr>
            <w:tcW w:w="2427" w:type="pct"/>
            <w:gridSpan w:val="2"/>
          </w:tcPr>
          <w:p w:rsidR="00B352DD" w:rsidRPr="00B352DD" w:rsidRDefault="00B352DD" w:rsidP="00B352DD">
            <w:pPr>
              <w:jc w:val="both"/>
              <w:rPr>
                <w:sz w:val="20"/>
              </w:rPr>
            </w:pPr>
            <w:r w:rsidRPr="00B352DD">
              <w:rPr>
                <w:sz w:val="20"/>
              </w:rPr>
              <w:t>May 8, 2020</w:t>
            </w:r>
          </w:p>
          <w:p w:rsidR="00B352DD" w:rsidRPr="00B352DD" w:rsidRDefault="00B352DD" w:rsidP="00B352DD">
            <w:pPr>
              <w:jc w:val="both"/>
              <w:rPr>
                <w:sz w:val="20"/>
              </w:rPr>
            </w:pPr>
            <w:r w:rsidRPr="00B352DD">
              <w:rPr>
                <w:sz w:val="20"/>
              </w:rPr>
              <w:t>Supreme Court of Canada</w:t>
            </w:r>
          </w:p>
        </w:tc>
        <w:tc>
          <w:tcPr>
            <w:tcW w:w="243" w:type="pct"/>
          </w:tcPr>
          <w:p w:rsidR="00B352DD" w:rsidRPr="00B352DD" w:rsidRDefault="00B352DD" w:rsidP="00B352DD">
            <w:pPr>
              <w:jc w:val="both"/>
              <w:rPr>
                <w:sz w:val="20"/>
              </w:rPr>
            </w:pPr>
          </w:p>
        </w:tc>
        <w:tc>
          <w:tcPr>
            <w:tcW w:w="2330" w:type="pct"/>
          </w:tcPr>
          <w:p w:rsidR="00B352DD" w:rsidRPr="00B352DD" w:rsidRDefault="00B352DD" w:rsidP="00B352DD">
            <w:pPr>
              <w:jc w:val="both"/>
              <w:rPr>
                <w:sz w:val="20"/>
              </w:rPr>
            </w:pPr>
            <w:r w:rsidRPr="00B352DD">
              <w:rPr>
                <w:sz w:val="20"/>
              </w:rPr>
              <w:t>Motion for extension of time to serve and file application for leave to appeal and Application for leave to appeal filed</w:t>
            </w:r>
          </w:p>
        </w:tc>
      </w:tr>
    </w:tbl>
    <w:p w:rsidR="00B352DD" w:rsidRDefault="00B352DD" w:rsidP="00B352DD">
      <w:pPr>
        <w:jc w:val="both"/>
        <w:rPr>
          <w:sz w:val="20"/>
        </w:rPr>
      </w:pPr>
    </w:p>
    <w:p w:rsidR="00B352DD" w:rsidRDefault="008E695D" w:rsidP="00B352DD">
      <w:pPr>
        <w:jc w:val="both"/>
        <w:rPr>
          <w:sz w:val="20"/>
        </w:rPr>
      </w:pPr>
      <w:r>
        <w:rPr>
          <w:sz w:val="20"/>
        </w:rPr>
        <w:pict>
          <v:rect id="_x0000_i1031" style="width:2in;height:1pt" o:hrpct="0" o:hralign="center" o:hrstd="t" o:hrnoshade="t" o:hr="t" fillcolor="black [3213]" stroked="f"/>
        </w:pict>
      </w:r>
    </w:p>
    <w:p w:rsidR="00B352DD" w:rsidRDefault="00B352DD" w:rsidP="00B352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52DD" w:rsidRPr="008E695D" w:rsidTr="00B352DD">
        <w:tc>
          <w:tcPr>
            <w:tcW w:w="543" w:type="pct"/>
          </w:tcPr>
          <w:p w:rsidR="00B352DD" w:rsidRPr="00B352DD" w:rsidRDefault="00B352DD" w:rsidP="00B352DD">
            <w:pPr>
              <w:jc w:val="both"/>
              <w:rPr>
                <w:sz w:val="20"/>
                <w:lang w:val="fr-CA"/>
              </w:rPr>
            </w:pPr>
            <w:r w:rsidRPr="00B352DD">
              <w:rPr>
                <w:rStyle w:val="SCCFileNumberChar"/>
                <w:sz w:val="20"/>
                <w:szCs w:val="20"/>
                <w:lang w:val="fr-CA"/>
              </w:rPr>
              <w:t>39153</w:t>
            </w:r>
          </w:p>
        </w:tc>
        <w:tc>
          <w:tcPr>
            <w:tcW w:w="4457" w:type="pct"/>
            <w:gridSpan w:val="3"/>
          </w:tcPr>
          <w:p w:rsidR="008E695D" w:rsidRPr="008E695D" w:rsidRDefault="00B352DD" w:rsidP="00B352DD">
            <w:pPr>
              <w:pStyle w:val="SCCLsocParty"/>
              <w:jc w:val="both"/>
              <w:rPr>
                <w:sz w:val="20"/>
                <w:szCs w:val="20"/>
                <w:lang w:val="en-US"/>
              </w:rPr>
            </w:pPr>
            <w:r w:rsidRPr="008E695D">
              <w:rPr>
                <w:b/>
                <w:sz w:val="20"/>
                <w:szCs w:val="20"/>
              </w:rPr>
              <w:t xml:space="preserve">David Walker c. </w:t>
            </w:r>
            <w:r w:rsidR="008E695D" w:rsidRPr="008E695D">
              <w:rPr>
                <w:b/>
                <w:sz w:val="20"/>
                <w:szCs w:val="20"/>
                <w:lang w:val="en-US"/>
              </w:rPr>
              <w:t>Procureur général de l’Ontario, Responsable du Waypoint Centre for Mental Health Care</w:t>
            </w:r>
          </w:p>
          <w:p w:rsidR="00B352DD" w:rsidRPr="00B352DD" w:rsidRDefault="00B352DD" w:rsidP="00B352DD">
            <w:pPr>
              <w:pStyle w:val="SCCLsocParty"/>
              <w:jc w:val="both"/>
              <w:rPr>
                <w:b/>
                <w:sz w:val="20"/>
                <w:szCs w:val="20"/>
              </w:rPr>
            </w:pPr>
            <w:r w:rsidRPr="008E695D">
              <w:rPr>
                <w:sz w:val="20"/>
                <w:szCs w:val="20"/>
              </w:rPr>
              <w:t>(Ont.) (Criminelle) (Autorisation)</w:t>
            </w:r>
          </w:p>
        </w:tc>
      </w:tr>
      <w:tr w:rsidR="00B352DD" w:rsidRPr="008E695D" w:rsidTr="00B352DD">
        <w:tc>
          <w:tcPr>
            <w:tcW w:w="5000" w:type="pct"/>
            <w:gridSpan w:val="4"/>
          </w:tcPr>
          <w:p w:rsidR="00B352DD" w:rsidRPr="008E695D" w:rsidRDefault="008E695D" w:rsidP="00B352DD">
            <w:pPr>
              <w:jc w:val="both"/>
              <w:rPr>
                <w:sz w:val="20"/>
                <w:lang w:val="fr-CA"/>
              </w:rPr>
            </w:pPr>
            <w:r w:rsidRPr="008E695D">
              <w:rPr>
                <w:sz w:val="20"/>
                <w:lang w:val="fr-CA"/>
              </w:rPr>
              <w:t>Droit criminel —</w:t>
            </w:r>
            <w:r w:rsidRPr="008E695D">
              <w:rPr>
                <w:color w:val="000000"/>
                <w:sz w:val="20"/>
                <w:lang w:val="fr-CA"/>
              </w:rPr>
              <w:t xml:space="preserve"> Commission d’examen — </w:t>
            </w:r>
            <w:r w:rsidRPr="008E695D">
              <w:rPr>
                <w:bCs/>
                <w:color w:val="000000"/>
                <w:sz w:val="20"/>
                <w:lang w:val="fr-CA"/>
              </w:rPr>
              <w:t xml:space="preserve">Contrevenants à double statut — </w:t>
            </w:r>
            <w:r w:rsidRPr="008E695D">
              <w:rPr>
                <w:bCs/>
                <w:sz w:val="20"/>
                <w:lang w:val="fr-CA"/>
              </w:rPr>
              <w:t xml:space="preserve">Révision des ordonnances de placement — </w:t>
            </w:r>
            <w:r w:rsidRPr="008E695D">
              <w:rPr>
                <w:sz w:val="20"/>
                <w:lang w:val="fr-CA"/>
              </w:rPr>
              <w:t xml:space="preserve">En application de la Partie XX.1 du </w:t>
            </w:r>
            <w:r w:rsidRPr="008E695D">
              <w:rPr>
                <w:i/>
                <w:sz w:val="20"/>
                <w:lang w:val="fr-CA"/>
              </w:rPr>
              <w:t xml:space="preserve">Code criminel, </w:t>
            </w:r>
            <w:r w:rsidRPr="008E695D">
              <w:rPr>
                <w:sz w:val="20"/>
                <w:lang w:val="fr-CA"/>
              </w:rPr>
              <w:t>les pouvoirs des commissions d’examen de réviser le placement du contrevenant à double statut sont</w:t>
            </w:r>
            <w:r w:rsidRPr="008E695D">
              <w:rPr>
                <w:sz w:val="20"/>
                <w:lang w:val="fr-CA"/>
              </w:rPr>
              <w:noBreakHyphen/>
              <w:t>ils distincts et indépendants des pouvoirs de réviser des décisions? — Si les dispositions sont indépendantes, quel est le rôle de la commission d’examen qui révise une décision concernant un contrevenant à double statut détenu dans un établissement correctionnel?</w:t>
            </w:r>
          </w:p>
        </w:tc>
      </w:tr>
      <w:tr w:rsidR="00B352DD" w:rsidRPr="008E695D" w:rsidTr="00B352DD">
        <w:tc>
          <w:tcPr>
            <w:tcW w:w="5000" w:type="pct"/>
            <w:gridSpan w:val="4"/>
          </w:tcPr>
          <w:p w:rsidR="00B352DD" w:rsidRPr="008E695D" w:rsidRDefault="00B352DD" w:rsidP="00B352DD">
            <w:pPr>
              <w:jc w:val="both"/>
              <w:rPr>
                <w:sz w:val="20"/>
                <w:lang w:val="fr-CA"/>
              </w:rPr>
            </w:pPr>
          </w:p>
          <w:p w:rsidR="00B352DD" w:rsidRPr="00B352DD" w:rsidRDefault="008E695D" w:rsidP="00B352DD">
            <w:pPr>
              <w:jc w:val="both"/>
              <w:rPr>
                <w:sz w:val="20"/>
                <w:lang w:val="fr-CA"/>
              </w:rPr>
            </w:pPr>
            <w:r w:rsidRPr="008E695D">
              <w:rPr>
                <w:sz w:val="20"/>
                <w:lang w:val="fr-CA"/>
              </w:rPr>
              <w:t xml:space="preserve">Monsieur Walker est un contrevenant à double statut au sens du par. 672.1(1) du </w:t>
            </w:r>
            <w:r w:rsidRPr="008E695D">
              <w:rPr>
                <w:i/>
                <w:sz w:val="20"/>
                <w:lang w:val="fr-CA"/>
              </w:rPr>
              <w:t xml:space="preserve">Code criminel </w:t>
            </w:r>
            <w:r w:rsidRPr="008E695D">
              <w:rPr>
                <w:sz w:val="20"/>
                <w:lang w:val="fr-CA"/>
              </w:rPr>
              <w:t xml:space="preserve">parce qu’il fait l’objet à la fois d’une décision de détention rendue en vertu de l’al. 672.54c) du </w:t>
            </w:r>
            <w:r w:rsidRPr="008E695D">
              <w:rPr>
                <w:i/>
                <w:sz w:val="20"/>
                <w:lang w:val="fr-CA"/>
              </w:rPr>
              <w:t>Code</w:t>
            </w:r>
            <w:r w:rsidRPr="008E695D">
              <w:rPr>
                <w:sz w:val="20"/>
                <w:lang w:val="fr-CA"/>
              </w:rPr>
              <w:t xml:space="preserve"> à la suite d’un verdict comme quoi il est non responsable criminellement pour cause de troubles mentaux et d’une peine d’emprisonnement pour des déclarations de culpabilité subséquentes relativement à d’autres infractions. La commission ontarienne d’examen continue d’effectuer des révisions de la décision de détention le concernant. En attendant une audience de révision en 2018, M. Walker a demandé une audience de placement sollicitant une ordonnance qu’il soit déménagé de l’Établissement de Bath au Waypoint Centre for Mental Health Care. Monsieur Walker a soutenu qu’un changement important de ses circonstances justifiait la tenue d’une audience de placement. La commission d’examen a rejeté la demande d’audience de placement, elle a tenu une audience portant sur la décision de détention et a ordonné que M. Walker soit détenu au Waypoint Centre for Mental Health Care s’il cessait de faire l’objet d’une peine d’emprisonnement.</w:t>
            </w:r>
          </w:p>
        </w:tc>
      </w:tr>
      <w:tr w:rsidR="00B352DD" w:rsidRPr="008E695D" w:rsidTr="00B352DD">
        <w:tc>
          <w:tcPr>
            <w:tcW w:w="5000" w:type="pct"/>
            <w:gridSpan w:val="4"/>
          </w:tcPr>
          <w:p w:rsidR="00B352DD" w:rsidRPr="00B352DD" w:rsidRDefault="00B352DD" w:rsidP="00B352DD">
            <w:pPr>
              <w:jc w:val="both"/>
              <w:rPr>
                <w:sz w:val="20"/>
                <w:lang w:val="fr-CA"/>
              </w:rPr>
            </w:pPr>
          </w:p>
        </w:tc>
      </w:tr>
      <w:tr w:rsidR="00B352DD" w:rsidRPr="008E695D" w:rsidTr="00B352DD">
        <w:tc>
          <w:tcPr>
            <w:tcW w:w="2427" w:type="pct"/>
            <w:gridSpan w:val="2"/>
          </w:tcPr>
          <w:p w:rsidR="00B352DD" w:rsidRPr="00B352DD" w:rsidRDefault="00B352DD" w:rsidP="00B352DD">
            <w:pPr>
              <w:jc w:val="both"/>
              <w:rPr>
                <w:sz w:val="20"/>
                <w:lang w:val="fr-CA"/>
              </w:rPr>
            </w:pPr>
            <w:r w:rsidRPr="00B352DD">
              <w:rPr>
                <w:sz w:val="20"/>
                <w:lang w:val="fr-CA"/>
              </w:rPr>
              <w:t>29 juin 2018</w:t>
            </w:r>
          </w:p>
          <w:p w:rsidR="00B352DD" w:rsidRPr="00B352DD" w:rsidRDefault="00B352DD" w:rsidP="00B352DD">
            <w:pPr>
              <w:jc w:val="both"/>
              <w:rPr>
                <w:sz w:val="20"/>
                <w:lang w:val="fr-CA"/>
              </w:rPr>
            </w:pPr>
            <w:r w:rsidRPr="00B352DD">
              <w:rPr>
                <w:sz w:val="20"/>
                <w:lang w:val="fr-CA"/>
              </w:rPr>
              <w:t>Commission ontarienne d’examen</w:t>
            </w:r>
          </w:p>
          <w:p w:rsidR="00B352DD" w:rsidRPr="00B352DD" w:rsidRDefault="00B352DD" w:rsidP="00B352DD">
            <w:pPr>
              <w:jc w:val="both"/>
              <w:rPr>
                <w:sz w:val="20"/>
                <w:lang w:val="fr-CA"/>
              </w:rPr>
            </w:pPr>
          </w:p>
        </w:tc>
        <w:tc>
          <w:tcPr>
            <w:tcW w:w="243" w:type="pct"/>
          </w:tcPr>
          <w:p w:rsidR="00B352DD" w:rsidRPr="00B352DD" w:rsidRDefault="00B352DD" w:rsidP="00B352DD">
            <w:pPr>
              <w:jc w:val="both"/>
              <w:rPr>
                <w:sz w:val="20"/>
                <w:lang w:val="fr-CA"/>
              </w:rPr>
            </w:pPr>
          </w:p>
        </w:tc>
        <w:tc>
          <w:tcPr>
            <w:tcW w:w="2330" w:type="pct"/>
          </w:tcPr>
          <w:p w:rsidR="008E695D" w:rsidRPr="008E695D" w:rsidRDefault="008E695D" w:rsidP="008E695D">
            <w:pPr>
              <w:rPr>
                <w:sz w:val="20"/>
                <w:lang w:val="fr-CA"/>
              </w:rPr>
            </w:pPr>
            <w:r w:rsidRPr="008E695D">
              <w:rPr>
                <w:sz w:val="20"/>
                <w:lang w:val="fr-CA"/>
              </w:rPr>
              <w:t>Ordonnance que l’accusé soit détenu au Waypoint Centre for Mental Health Care s’il cessait de faire l’objet d’un</w:t>
            </w:r>
            <w:bookmarkStart w:id="0" w:name="_GoBack"/>
            <w:bookmarkEnd w:id="0"/>
            <w:r w:rsidRPr="008E695D">
              <w:rPr>
                <w:sz w:val="20"/>
                <w:lang w:val="fr-CA"/>
              </w:rPr>
              <w:t>e peine d’emprisonnement et rejetant la demande d’audience de placement</w:t>
            </w:r>
          </w:p>
          <w:p w:rsidR="00B352DD" w:rsidRPr="00B352DD" w:rsidRDefault="00B352DD" w:rsidP="00B352DD">
            <w:pPr>
              <w:jc w:val="both"/>
              <w:rPr>
                <w:sz w:val="20"/>
                <w:lang w:val="fr-CA"/>
              </w:rPr>
            </w:pPr>
          </w:p>
        </w:tc>
      </w:tr>
      <w:tr w:rsidR="00B352DD" w:rsidRPr="00B352DD" w:rsidTr="00B352DD">
        <w:tc>
          <w:tcPr>
            <w:tcW w:w="2427" w:type="pct"/>
            <w:gridSpan w:val="2"/>
          </w:tcPr>
          <w:p w:rsidR="00B352DD" w:rsidRPr="00B352DD" w:rsidRDefault="00B352DD" w:rsidP="00B352DD">
            <w:pPr>
              <w:jc w:val="both"/>
              <w:rPr>
                <w:sz w:val="20"/>
                <w:lang w:val="fr-CA"/>
              </w:rPr>
            </w:pPr>
            <w:r w:rsidRPr="00B352DD">
              <w:rPr>
                <w:sz w:val="20"/>
                <w:lang w:val="fr-CA"/>
              </w:rPr>
              <w:t>5 décembre 2019</w:t>
            </w:r>
          </w:p>
          <w:p w:rsidR="00B352DD" w:rsidRPr="00B352DD" w:rsidRDefault="00B352DD" w:rsidP="00B352DD">
            <w:pPr>
              <w:jc w:val="both"/>
              <w:rPr>
                <w:sz w:val="20"/>
                <w:lang w:val="fr-CA"/>
              </w:rPr>
            </w:pPr>
            <w:r w:rsidRPr="00B352DD">
              <w:rPr>
                <w:sz w:val="20"/>
                <w:lang w:val="fr-CA"/>
              </w:rPr>
              <w:t>Cour d’appel de l’Ontario</w:t>
            </w:r>
          </w:p>
          <w:p w:rsidR="00B352DD" w:rsidRPr="00B352DD" w:rsidRDefault="00B352DD" w:rsidP="00B352DD">
            <w:pPr>
              <w:jc w:val="both"/>
              <w:rPr>
                <w:sz w:val="20"/>
                <w:lang w:val="fr-CA"/>
              </w:rPr>
            </w:pPr>
            <w:r w:rsidRPr="00B352DD">
              <w:rPr>
                <w:sz w:val="20"/>
                <w:lang w:val="fr-CA"/>
              </w:rPr>
              <w:t>(Juges Watt, Miller et Fairburn)</w:t>
            </w:r>
          </w:p>
          <w:p w:rsidR="00B352DD" w:rsidRPr="00B352DD" w:rsidRDefault="008E695D" w:rsidP="00B352DD">
            <w:pPr>
              <w:jc w:val="both"/>
              <w:rPr>
                <w:sz w:val="20"/>
                <w:lang w:val="fr-CA"/>
              </w:rPr>
            </w:pPr>
            <w:hyperlink r:id="rId22" w:history="1">
              <w:r w:rsidR="00B352DD" w:rsidRPr="00B352DD">
                <w:rPr>
                  <w:rStyle w:val="Hyperlink"/>
                  <w:sz w:val="20"/>
                  <w:lang w:val="fr-CA"/>
                </w:rPr>
                <w:t>2019 ONCA 957</w:t>
              </w:r>
            </w:hyperlink>
            <w:r w:rsidR="00B352DD" w:rsidRPr="00B352DD">
              <w:rPr>
                <w:sz w:val="20"/>
                <w:lang w:val="fr-CA"/>
              </w:rPr>
              <w:t>; C657778</w:t>
            </w:r>
          </w:p>
          <w:p w:rsidR="00B352DD" w:rsidRPr="00B352DD" w:rsidRDefault="00B352DD" w:rsidP="00B352DD">
            <w:pPr>
              <w:jc w:val="both"/>
              <w:rPr>
                <w:sz w:val="20"/>
                <w:lang w:val="fr-CA"/>
              </w:rPr>
            </w:pPr>
          </w:p>
        </w:tc>
        <w:tc>
          <w:tcPr>
            <w:tcW w:w="243" w:type="pct"/>
          </w:tcPr>
          <w:p w:rsidR="00B352DD" w:rsidRPr="00B352DD" w:rsidRDefault="00B352DD" w:rsidP="00B352DD">
            <w:pPr>
              <w:jc w:val="both"/>
              <w:rPr>
                <w:sz w:val="20"/>
                <w:lang w:val="fr-CA"/>
              </w:rPr>
            </w:pPr>
          </w:p>
        </w:tc>
        <w:tc>
          <w:tcPr>
            <w:tcW w:w="2330" w:type="pct"/>
          </w:tcPr>
          <w:p w:rsidR="00B352DD" w:rsidRPr="00B352DD" w:rsidRDefault="00B352DD" w:rsidP="00B352DD">
            <w:pPr>
              <w:jc w:val="both"/>
              <w:rPr>
                <w:sz w:val="20"/>
                <w:lang w:val="fr-CA"/>
              </w:rPr>
            </w:pPr>
            <w:r w:rsidRPr="00B352DD">
              <w:rPr>
                <w:sz w:val="20"/>
                <w:lang w:val="fr-CA"/>
              </w:rPr>
              <w:t>Rejet de l’appel</w:t>
            </w:r>
          </w:p>
          <w:p w:rsidR="00B352DD" w:rsidRPr="00B352DD" w:rsidRDefault="00B352DD" w:rsidP="00B352DD">
            <w:pPr>
              <w:jc w:val="both"/>
              <w:rPr>
                <w:sz w:val="20"/>
                <w:lang w:val="fr-CA"/>
              </w:rPr>
            </w:pPr>
          </w:p>
        </w:tc>
      </w:tr>
      <w:tr w:rsidR="00B352DD" w:rsidRPr="008E695D" w:rsidTr="00B352DD">
        <w:tc>
          <w:tcPr>
            <w:tcW w:w="2427" w:type="pct"/>
            <w:gridSpan w:val="2"/>
          </w:tcPr>
          <w:p w:rsidR="00B352DD" w:rsidRPr="00B352DD" w:rsidRDefault="00B352DD" w:rsidP="00B352DD">
            <w:pPr>
              <w:jc w:val="both"/>
              <w:rPr>
                <w:sz w:val="20"/>
                <w:lang w:val="fr-CA"/>
              </w:rPr>
            </w:pPr>
            <w:r w:rsidRPr="00B352DD">
              <w:rPr>
                <w:sz w:val="20"/>
                <w:lang w:val="fr-CA"/>
              </w:rPr>
              <w:t>8 mai 2020</w:t>
            </w:r>
          </w:p>
          <w:p w:rsidR="00B352DD" w:rsidRPr="00B352DD" w:rsidRDefault="00B352DD" w:rsidP="00B352DD">
            <w:pPr>
              <w:jc w:val="both"/>
              <w:rPr>
                <w:sz w:val="20"/>
                <w:lang w:val="fr-CA"/>
              </w:rPr>
            </w:pPr>
            <w:r w:rsidRPr="00B352DD">
              <w:rPr>
                <w:sz w:val="20"/>
                <w:lang w:val="fr-CA"/>
              </w:rPr>
              <w:t>Cour suprême du Canada</w:t>
            </w:r>
          </w:p>
        </w:tc>
        <w:tc>
          <w:tcPr>
            <w:tcW w:w="243" w:type="pct"/>
          </w:tcPr>
          <w:p w:rsidR="00B352DD" w:rsidRPr="00B352DD" w:rsidRDefault="00B352DD" w:rsidP="00B352DD">
            <w:pPr>
              <w:jc w:val="both"/>
              <w:rPr>
                <w:sz w:val="20"/>
                <w:lang w:val="fr-CA"/>
              </w:rPr>
            </w:pPr>
          </w:p>
        </w:tc>
        <w:tc>
          <w:tcPr>
            <w:tcW w:w="2330" w:type="pct"/>
          </w:tcPr>
          <w:p w:rsidR="00B352DD" w:rsidRPr="00B352DD" w:rsidRDefault="00B352DD" w:rsidP="00B352DD">
            <w:pPr>
              <w:jc w:val="both"/>
              <w:rPr>
                <w:sz w:val="20"/>
                <w:lang w:val="fr-CA"/>
              </w:rPr>
            </w:pPr>
            <w:r w:rsidRPr="00B352DD">
              <w:rPr>
                <w:sz w:val="20"/>
                <w:lang w:val="fr-CA"/>
              </w:rPr>
              <w:t>Dépôt de la requête en prorogation du délai de signification et de dépôt de la demande d’autorisation d’appel et de la demande d’autorisation d’appel</w:t>
            </w:r>
          </w:p>
        </w:tc>
      </w:tr>
    </w:tbl>
    <w:p w:rsidR="00B352DD" w:rsidRPr="00B352DD" w:rsidRDefault="00B352DD" w:rsidP="00B352DD">
      <w:pPr>
        <w:jc w:val="both"/>
        <w:rPr>
          <w:sz w:val="20"/>
          <w:lang w:val="fr-CA"/>
        </w:rPr>
      </w:pPr>
    </w:p>
    <w:p w:rsidR="00C823B7" w:rsidRPr="00B352DD" w:rsidRDefault="008E695D" w:rsidP="00B352DD">
      <w:pPr>
        <w:widowControl w:val="0"/>
        <w:jc w:val="both"/>
        <w:rPr>
          <w:sz w:val="20"/>
          <w:lang w:val="fr-CA"/>
        </w:rPr>
      </w:pPr>
      <w:r>
        <w:rPr>
          <w:sz w:val="20"/>
        </w:rPr>
        <w:pict>
          <v:rect id="_x0000_i1032" style="width:2in;height:1pt" o:hrpct="0" o:hralign="center" o:hrstd="t" o:hrnoshade="t" o:hr="t" fillcolor="black [3213]" stroked="f"/>
        </w:pict>
      </w:r>
    </w:p>
    <w:p w:rsidR="00B352DD" w:rsidRPr="00B352DD" w:rsidRDefault="00B352DD" w:rsidP="00B352D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52DD" w:rsidRPr="00B352DD" w:rsidTr="00B352DD">
        <w:tc>
          <w:tcPr>
            <w:tcW w:w="543" w:type="pct"/>
          </w:tcPr>
          <w:p w:rsidR="00B352DD" w:rsidRPr="00B352DD" w:rsidRDefault="00B352DD" w:rsidP="00B352DD">
            <w:pPr>
              <w:jc w:val="both"/>
              <w:rPr>
                <w:sz w:val="20"/>
              </w:rPr>
            </w:pPr>
            <w:r w:rsidRPr="00B352DD">
              <w:rPr>
                <w:rStyle w:val="SCCFileNumberChar"/>
                <w:sz w:val="20"/>
                <w:szCs w:val="20"/>
              </w:rPr>
              <w:t>39223</w:t>
            </w:r>
          </w:p>
        </w:tc>
        <w:tc>
          <w:tcPr>
            <w:tcW w:w="4457" w:type="pct"/>
            <w:gridSpan w:val="3"/>
          </w:tcPr>
          <w:p w:rsidR="00B352DD" w:rsidRPr="00B352DD" w:rsidRDefault="00B352DD" w:rsidP="00B352DD">
            <w:pPr>
              <w:pStyle w:val="SCCLsocParty"/>
              <w:jc w:val="both"/>
              <w:rPr>
                <w:b/>
                <w:sz w:val="20"/>
                <w:szCs w:val="20"/>
                <w:lang w:val="en-US"/>
              </w:rPr>
            </w:pPr>
            <w:r w:rsidRPr="00B352DD">
              <w:rPr>
                <w:b/>
                <w:sz w:val="20"/>
                <w:szCs w:val="20"/>
                <w:lang w:val="en-US"/>
              </w:rPr>
              <w:t>Ronald Greenwood v. Her Majesty the Queen in Right of Ontario (Travel Industry Council of Ontario)</w:t>
            </w:r>
          </w:p>
          <w:p w:rsidR="00B352DD" w:rsidRPr="00B352DD" w:rsidRDefault="00B352DD" w:rsidP="00B352DD">
            <w:pPr>
              <w:jc w:val="both"/>
              <w:rPr>
                <w:sz w:val="20"/>
              </w:rPr>
            </w:pPr>
            <w:r w:rsidRPr="00B352DD">
              <w:rPr>
                <w:sz w:val="20"/>
              </w:rPr>
              <w:t>(Ont.) (Civil) (By Leave)</w:t>
            </w:r>
          </w:p>
        </w:tc>
      </w:tr>
      <w:tr w:rsidR="00B352DD" w:rsidRPr="00B352DD" w:rsidTr="00B352DD">
        <w:tc>
          <w:tcPr>
            <w:tcW w:w="5000" w:type="pct"/>
            <w:gridSpan w:val="4"/>
          </w:tcPr>
          <w:p w:rsidR="00B352DD" w:rsidRPr="00B352DD" w:rsidRDefault="00B352DD" w:rsidP="00B352DD">
            <w:pPr>
              <w:jc w:val="both"/>
              <w:rPr>
                <w:sz w:val="20"/>
              </w:rPr>
            </w:pPr>
            <w:r w:rsidRPr="00B352DD">
              <w:rPr>
                <w:bCs/>
                <w:color w:val="373739"/>
                <w:sz w:val="20"/>
              </w:rPr>
              <w:t xml:space="preserve">Appeals — Criminal law — </w:t>
            </w:r>
            <w:r w:rsidRPr="00B352DD">
              <w:rPr>
                <w:rStyle w:val="sh3135415119"/>
                <w:color w:val="373739"/>
                <w:sz w:val="20"/>
              </w:rPr>
              <w:t>Whether applicants raise</w:t>
            </w:r>
            <w:r w:rsidRPr="00B352DD">
              <w:rPr>
                <w:bCs/>
                <w:color w:val="373739"/>
                <w:sz w:val="20"/>
              </w:rPr>
              <w:t xml:space="preserve"> a legal issue — </w:t>
            </w:r>
            <w:r w:rsidRPr="00B352DD">
              <w:rPr>
                <w:rStyle w:val="sh3135415119"/>
                <w:color w:val="373739"/>
                <w:sz w:val="20"/>
              </w:rPr>
              <w:t>Whether applicants raise</w:t>
            </w:r>
            <w:r w:rsidRPr="00B352DD">
              <w:rPr>
                <w:bCs/>
                <w:color w:val="373739"/>
                <w:sz w:val="20"/>
              </w:rPr>
              <w:t xml:space="preserve"> an issue of public importance?</w:t>
            </w:r>
          </w:p>
        </w:tc>
      </w:tr>
      <w:tr w:rsidR="00B352DD" w:rsidRPr="00B352DD" w:rsidTr="00B352DD">
        <w:tc>
          <w:tcPr>
            <w:tcW w:w="5000" w:type="pct"/>
            <w:gridSpan w:val="4"/>
          </w:tcPr>
          <w:p w:rsidR="00B352DD" w:rsidRPr="00B352DD" w:rsidRDefault="00B352DD" w:rsidP="00B352DD">
            <w:pPr>
              <w:jc w:val="both"/>
              <w:rPr>
                <w:sz w:val="20"/>
              </w:rPr>
            </w:pPr>
          </w:p>
          <w:p w:rsidR="00B352DD" w:rsidRPr="00B352DD" w:rsidRDefault="00B352DD" w:rsidP="00B352DD">
            <w:pPr>
              <w:jc w:val="both"/>
              <w:rPr>
                <w:sz w:val="20"/>
              </w:rPr>
            </w:pPr>
            <w:r w:rsidRPr="00B352DD">
              <w:rPr>
                <w:sz w:val="20"/>
              </w:rPr>
              <w:t xml:space="preserve">In 2012, MKI Travel and Conference Management Inc. received cheques to provide travel services to the Canada Games Council. The travel services were not provided and the funds were not held in trust accounts. MKI Travel and Conference Management Inc. and Mr. Greenwood were charged with multiple counts under the </w:t>
            </w:r>
            <w:r w:rsidRPr="00B352DD">
              <w:rPr>
                <w:i/>
                <w:sz w:val="20"/>
              </w:rPr>
              <w:t>Ontario Travel Industry Act, 2002</w:t>
            </w:r>
            <w:r w:rsidRPr="00B352DD">
              <w:rPr>
                <w:sz w:val="20"/>
              </w:rPr>
              <w:t xml:space="preserve">, S.O. 2002, C. 30 Schedule A, and </w:t>
            </w:r>
            <w:r w:rsidRPr="00B352DD">
              <w:rPr>
                <w:i/>
                <w:sz w:val="20"/>
              </w:rPr>
              <w:t>Ontario Regulation</w:t>
            </w:r>
            <w:r w:rsidRPr="00B352DD">
              <w:rPr>
                <w:sz w:val="20"/>
              </w:rPr>
              <w:t xml:space="preserve"> 26/05. MKI Travel and Conference Management Inc. was convicted on three counts and acquitted on one count. Mr. Greenwood was acquitted on four counts. The Ontario Superior Court of Justice Appeal allowed an appeal from all acquittals and entered convictions except in respect of one acquittal each of MKI Travel and Conference Management Inc. and Mr. Greenwood. The Court of Appeal dismissed a motion for leave to appeal and motions for leave to appeal, to file fresh evidence, to amend the motion record and for an extension of time.</w:t>
            </w:r>
          </w:p>
        </w:tc>
      </w:tr>
      <w:tr w:rsidR="00B352DD" w:rsidRPr="00B352DD" w:rsidTr="00B352DD">
        <w:tc>
          <w:tcPr>
            <w:tcW w:w="5000" w:type="pct"/>
            <w:gridSpan w:val="4"/>
          </w:tcPr>
          <w:p w:rsidR="00B352DD" w:rsidRPr="00B352DD" w:rsidRDefault="00B352DD" w:rsidP="00B352DD">
            <w:pPr>
              <w:jc w:val="both"/>
              <w:rPr>
                <w:sz w:val="20"/>
              </w:rPr>
            </w:pPr>
          </w:p>
        </w:tc>
      </w:tr>
      <w:tr w:rsidR="00B352DD" w:rsidRPr="00B352DD" w:rsidTr="00B352DD">
        <w:tc>
          <w:tcPr>
            <w:tcW w:w="2427" w:type="pct"/>
            <w:gridSpan w:val="2"/>
          </w:tcPr>
          <w:p w:rsidR="00B352DD" w:rsidRPr="00B352DD" w:rsidRDefault="00B352DD" w:rsidP="00B352DD">
            <w:pPr>
              <w:jc w:val="both"/>
              <w:rPr>
                <w:sz w:val="20"/>
              </w:rPr>
            </w:pPr>
            <w:r w:rsidRPr="00B352DD">
              <w:rPr>
                <w:sz w:val="20"/>
              </w:rPr>
              <w:t>November 23, 2015</w:t>
            </w:r>
          </w:p>
          <w:p w:rsidR="00B352DD" w:rsidRPr="00B352DD" w:rsidRDefault="00B352DD" w:rsidP="00B352DD">
            <w:pPr>
              <w:jc w:val="both"/>
              <w:rPr>
                <w:sz w:val="20"/>
              </w:rPr>
            </w:pPr>
            <w:r w:rsidRPr="00B352DD">
              <w:rPr>
                <w:sz w:val="20"/>
              </w:rPr>
              <w:t>Ontario Superior Court of Justice</w:t>
            </w:r>
          </w:p>
          <w:p w:rsidR="00B352DD" w:rsidRPr="00B352DD" w:rsidRDefault="00B352DD" w:rsidP="00B352DD">
            <w:pPr>
              <w:jc w:val="both"/>
              <w:rPr>
                <w:sz w:val="20"/>
              </w:rPr>
            </w:pPr>
            <w:r w:rsidRPr="00B352DD">
              <w:rPr>
                <w:sz w:val="20"/>
              </w:rPr>
              <w:t>(Lauzon J.P.)</w:t>
            </w:r>
          </w:p>
          <w:p w:rsidR="00B352DD" w:rsidRPr="00B352DD" w:rsidRDefault="00B352DD" w:rsidP="00B352DD">
            <w:pPr>
              <w:jc w:val="both"/>
              <w:rPr>
                <w:sz w:val="20"/>
              </w:rPr>
            </w:pPr>
          </w:p>
        </w:tc>
        <w:tc>
          <w:tcPr>
            <w:tcW w:w="243" w:type="pct"/>
          </w:tcPr>
          <w:p w:rsidR="00B352DD" w:rsidRPr="00B352DD" w:rsidRDefault="00B352DD" w:rsidP="00B352DD">
            <w:pPr>
              <w:jc w:val="both"/>
              <w:rPr>
                <w:sz w:val="20"/>
              </w:rPr>
            </w:pPr>
          </w:p>
        </w:tc>
        <w:tc>
          <w:tcPr>
            <w:tcW w:w="2330" w:type="pct"/>
          </w:tcPr>
          <w:p w:rsidR="00B352DD" w:rsidRPr="00B352DD" w:rsidRDefault="00B352DD" w:rsidP="00B352DD">
            <w:pPr>
              <w:jc w:val="both"/>
              <w:rPr>
                <w:sz w:val="20"/>
              </w:rPr>
            </w:pPr>
            <w:r w:rsidRPr="00B352DD">
              <w:rPr>
                <w:sz w:val="20"/>
              </w:rPr>
              <w:t xml:space="preserve">MKI Travel and Conference Management Inc. convicted of three counts under </w:t>
            </w:r>
            <w:r w:rsidRPr="00B352DD">
              <w:rPr>
                <w:spacing w:val="-1"/>
                <w:sz w:val="20"/>
              </w:rPr>
              <w:t xml:space="preserve">the </w:t>
            </w:r>
            <w:r w:rsidRPr="00B352DD">
              <w:rPr>
                <w:i/>
                <w:sz w:val="20"/>
              </w:rPr>
              <w:t>Ontario Travel Industry Act, 2002</w:t>
            </w:r>
            <w:r w:rsidRPr="00B352DD">
              <w:rPr>
                <w:sz w:val="20"/>
              </w:rPr>
              <w:t xml:space="preserve">, S.O. 2002, C. 30 Schedule A, and </w:t>
            </w:r>
            <w:r w:rsidRPr="00B352DD">
              <w:rPr>
                <w:i/>
                <w:sz w:val="20"/>
              </w:rPr>
              <w:t>Ontario Regulation</w:t>
            </w:r>
            <w:r w:rsidRPr="00B352DD">
              <w:rPr>
                <w:sz w:val="20"/>
              </w:rPr>
              <w:t xml:space="preserve"> 26/05 and acquitted on one count; Ronald Greenwood acquitted on four corresponding counts</w:t>
            </w:r>
          </w:p>
          <w:p w:rsidR="00B352DD" w:rsidRPr="00B352DD" w:rsidRDefault="00B352DD" w:rsidP="00B352DD">
            <w:pPr>
              <w:jc w:val="both"/>
              <w:rPr>
                <w:sz w:val="20"/>
              </w:rPr>
            </w:pPr>
          </w:p>
        </w:tc>
      </w:tr>
      <w:tr w:rsidR="00B352DD" w:rsidRPr="00B352DD" w:rsidTr="00B352DD">
        <w:tc>
          <w:tcPr>
            <w:tcW w:w="2427" w:type="pct"/>
            <w:gridSpan w:val="2"/>
          </w:tcPr>
          <w:p w:rsidR="00B352DD" w:rsidRPr="00B352DD" w:rsidRDefault="00B352DD" w:rsidP="00B352DD">
            <w:pPr>
              <w:jc w:val="both"/>
              <w:rPr>
                <w:sz w:val="20"/>
              </w:rPr>
            </w:pPr>
            <w:r w:rsidRPr="00B352DD">
              <w:rPr>
                <w:sz w:val="20"/>
              </w:rPr>
              <w:t>March 10, 2017</w:t>
            </w:r>
          </w:p>
          <w:p w:rsidR="00B352DD" w:rsidRPr="00B352DD" w:rsidRDefault="00B352DD" w:rsidP="00B352DD">
            <w:pPr>
              <w:jc w:val="both"/>
              <w:rPr>
                <w:sz w:val="20"/>
              </w:rPr>
            </w:pPr>
            <w:r w:rsidRPr="00B352DD">
              <w:rPr>
                <w:sz w:val="20"/>
              </w:rPr>
              <w:t>Ontario Superior Court of Justice</w:t>
            </w:r>
          </w:p>
          <w:p w:rsidR="00B352DD" w:rsidRPr="00B352DD" w:rsidRDefault="00B352DD" w:rsidP="00B352DD">
            <w:pPr>
              <w:jc w:val="both"/>
              <w:rPr>
                <w:sz w:val="20"/>
              </w:rPr>
            </w:pPr>
            <w:r w:rsidRPr="00B352DD">
              <w:rPr>
                <w:sz w:val="20"/>
              </w:rPr>
              <w:t>(</w:t>
            </w:r>
            <w:proofErr w:type="spellStart"/>
            <w:r w:rsidRPr="00B352DD">
              <w:rPr>
                <w:sz w:val="20"/>
              </w:rPr>
              <w:t>Lahaie</w:t>
            </w:r>
            <w:proofErr w:type="spellEnd"/>
            <w:r w:rsidRPr="00B352DD">
              <w:rPr>
                <w:sz w:val="20"/>
              </w:rPr>
              <w:t xml:space="preserve"> J.) (Unreported)</w:t>
            </w:r>
          </w:p>
          <w:p w:rsidR="00B352DD" w:rsidRPr="00B352DD" w:rsidRDefault="00B352DD" w:rsidP="00B352DD">
            <w:pPr>
              <w:jc w:val="both"/>
              <w:rPr>
                <w:sz w:val="20"/>
              </w:rPr>
            </w:pPr>
          </w:p>
        </w:tc>
        <w:tc>
          <w:tcPr>
            <w:tcW w:w="243" w:type="pct"/>
          </w:tcPr>
          <w:p w:rsidR="00B352DD" w:rsidRPr="00B352DD" w:rsidRDefault="00B352DD" w:rsidP="00B352DD">
            <w:pPr>
              <w:jc w:val="both"/>
              <w:rPr>
                <w:sz w:val="20"/>
              </w:rPr>
            </w:pPr>
          </w:p>
        </w:tc>
        <w:tc>
          <w:tcPr>
            <w:tcW w:w="2330" w:type="pct"/>
          </w:tcPr>
          <w:p w:rsidR="00B352DD" w:rsidRPr="00B352DD" w:rsidRDefault="00B352DD" w:rsidP="00B352DD">
            <w:pPr>
              <w:jc w:val="both"/>
              <w:rPr>
                <w:sz w:val="20"/>
              </w:rPr>
            </w:pPr>
            <w:r w:rsidRPr="00B352DD">
              <w:rPr>
                <w:sz w:val="20"/>
              </w:rPr>
              <w:t>Appeal allowed in part. Appeal dismissed from acquittals on one count and allowed on all other counts with convictions entered</w:t>
            </w:r>
          </w:p>
          <w:p w:rsidR="00B352DD" w:rsidRPr="00B352DD" w:rsidRDefault="00B352DD" w:rsidP="00B352DD">
            <w:pPr>
              <w:jc w:val="both"/>
              <w:rPr>
                <w:sz w:val="20"/>
              </w:rPr>
            </w:pPr>
            <w:r w:rsidRPr="00B352DD">
              <w:rPr>
                <w:sz w:val="20"/>
              </w:rPr>
              <w:t xml:space="preserve"> </w:t>
            </w:r>
          </w:p>
        </w:tc>
      </w:tr>
      <w:tr w:rsidR="00B352DD" w:rsidRPr="00B352DD" w:rsidTr="00B352DD">
        <w:tc>
          <w:tcPr>
            <w:tcW w:w="2427" w:type="pct"/>
            <w:gridSpan w:val="2"/>
          </w:tcPr>
          <w:p w:rsidR="00B352DD" w:rsidRPr="00B352DD" w:rsidRDefault="00B352DD" w:rsidP="00B352DD">
            <w:pPr>
              <w:jc w:val="both"/>
              <w:rPr>
                <w:sz w:val="20"/>
              </w:rPr>
            </w:pPr>
            <w:r w:rsidRPr="00B352DD">
              <w:rPr>
                <w:sz w:val="20"/>
              </w:rPr>
              <w:t>December 20, 2017</w:t>
            </w:r>
          </w:p>
          <w:p w:rsidR="00B352DD" w:rsidRPr="00B352DD" w:rsidRDefault="00B352DD" w:rsidP="00B352DD">
            <w:pPr>
              <w:jc w:val="both"/>
              <w:rPr>
                <w:sz w:val="20"/>
              </w:rPr>
            </w:pPr>
            <w:r w:rsidRPr="00B352DD">
              <w:rPr>
                <w:sz w:val="20"/>
              </w:rPr>
              <w:t>Court of Appeal for Ontario</w:t>
            </w:r>
          </w:p>
          <w:p w:rsidR="00B352DD" w:rsidRPr="00B352DD" w:rsidRDefault="00B352DD" w:rsidP="00B352DD">
            <w:pPr>
              <w:jc w:val="both"/>
              <w:rPr>
                <w:sz w:val="20"/>
              </w:rPr>
            </w:pPr>
            <w:r w:rsidRPr="00B352DD">
              <w:rPr>
                <w:sz w:val="20"/>
              </w:rPr>
              <w:t xml:space="preserve">(Nordheimer J.A.) </w:t>
            </w:r>
          </w:p>
          <w:p w:rsidR="00B352DD" w:rsidRPr="00B352DD" w:rsidRDefault="00B352DD" w:rsidP="00B352DD">
            <w:pPr>
              <w:jc w:val="both"/>
              <w:rPr>
                <w:sz w:val="20"/>
                <w:lang w:val="fr-FR"/>
              </w:rPr>
            </w:pPr>
            <w:r w:rsidRPr="00B352DD">
              <w:rPr>
                <w:sz w:val="20"/>
              </w:rPr>
              <w:t>M48379 (</w:t>
            </w:r>
            <w:proofErr w:type="spellStart"/>
            <w:r w:rsidRPr="00B352DD">
              <w:rPr>
                <w:sz w:val="20"/>
              </w:rPr>
              <w:t>Unr</w:t>
            </w:r>
            <w:r w:rsidRPr="00B352DD">
              <w:rPr>
                <w:sz w:val="20"/>
                <w:lang w:val="fr-FR"/>
              </w:rPr>
              <w:t>eported</w:t>
            </w:r>
            <w:proofErr w:type="spellEnd"/>
            <w:r w:rsidRPr="00B352DD">
              <w:rPr>
                <w:sz w:val="20"/>
                <w:lang w:val="fr-FR"/>
              </w:rPr>
              <w:t>)</w:t>
            </w:r>
          </w:p>
          <w:p w:rsidR="00B352DD" w:rsidRPr="00B352DD" w:rsidRDefault="00B352DD" w:rsidP="00B352DD">
            <w:pPr>
              <w:jc w:val="both"/>
              <w:rPr>
                <w:sz w:val="20"/>
                <w:lang w:val="fr-FR"/>
              </w:rPr>
            </w:pPr>
          </w:p>
        </w:tc>
        <w:tc>
          <w:tcPr>
            <w:tcW w:w="243" w:type="pct"/>
          </w:tcPr>
          <w:p w:rsidR="00B352DD" w:rsidRPr="00B352DD" w:rsidRDefault="00B352DD" w:rsidP="00B352DD">
            <w:pPr>
              <w:jc w:val="both"/>
              <w:rPr>
                <w:sz w:val="20"/>
                <w:lang w:val="fr-FR"/>
              </w:rPr>
            </w:pPr>
          </w:p>
        </w:tc>
        <w:tc>
          <w:tcPr>
            <w:tcW w:w="2330" w:type="pct"/>
          </w:tcPr>
          <w:p w:rsidR="00B352DD" w:rsidRPr="00B352DD" w:rsidRDefault="00B352DD" w:rsidP="00B352DD">
            <w:pPr>
              <w:jc w:val="both"/>
              <w:rPr>
                <w:sz w:val="20"/>
              </w:rPr>
            </w:pPr>
            <w:r w:rsidRPr="00B352DD">
              <w:rPr>
                <w:sz w:val="20"/>
              </w:rPr>
              <w:t>Motion for leave to appeal dismissed</w:t>
            </w:r>
          </w:p>
        </w:tc>
      </w:tr>
      <w:tr w:rsidR="00B352DD" w:rsidRPr="00B352DD" w:rsidTr="00B352DD">
        <w:tc>
          <w:tcPr>
            <w:tcW w:w="2427" w:type="pct"/>
            <w:gridSpan w:val="2"/>
          </w:tcPr>
          <w:p w:rsidR="00B352DD" w:rsidRPr="00B352DD" w:rsidRDefault="00B352DD" w:rsidP="00B352DD">
            <w:pPr>
              <w:jc w:val="both"/>
              <w:rPr>
                <w:sz w:val="20"/>
              </w:rPr>
            </w:pPr>
            <w:r w:rsidRPr="00B352DD">
              <w:rPr>
                <w:sz w:val="20"/>
              </w:rPr>
              <w:t>October 16, 2019</w:t>
            </w:r>
          </w:p>
          <w:p w:rsidR="00B352DD" w:rsidRPr="00B352DD" w:rsidRDefault="00B352DD" w:rsidP="00B352DD">
            <w:pPr>
              <w:jc w:val="both"/>
              <w:rPr>
                <w:sz w:val="20"/>
              </w:rPr>
            </w:pPr>
            <w:r w:rsidRPr="00B352DD">
              <w:rPr>
                <w:sz w:val="20"/>
              </w:rPr>
              <w:t>Court of Appeal for Ontario</w:t>
            </w:r>
          </w:p>
          <w:p w:rsidR="00B352DD" w:rsidRPr="00B352DD" w:rsidRDefault="00B352DD" w:rsidP="00B352DD">
            <w:pPr>
              <w:jc w:val="both"/>
              <w:rPr>
                <w:sz w:val="20"/>
              </w:rPr>
            </w:pPr>
            <w:r w:rsidRPr="00B352DD">
              <w:rPr>
                <w:sz w:val="20"/>
              </w:rPr>
              <w:t xml:space="preserve">(Van </w:t>
            </w:r>
            <w:proofErr w:type="spellStart"/>
            <w:r w:rsidRPr="00B352DD">
              <w:rPr>
                <w:sz w:val="20"/>
              </w:rPr>
              <w:t>Rensburg</w:t>
            </w:r>
            <w:proofErr w:type="spellEnd"/>
            <w:r w:rsidRPr="00B352DD">
              <w:rPr>
                <w:sz w:val="20"/>
              </w:rPr>
              <w:t xml:space="preserve"> J.A.) </w:t>
            </w:r>
          </w:p>
          <w:p w:rsidR="00B352DD" w:rsidRPr="00B352DD" w:rsidRDefault="00B352DD" w:rsidP="00B352DD">
            <w:pPr>
              <w:jc w:val="both"/>
              <w:rPr>
                <w:sz w:val="20"/>
              </w:rPr>
            </w:pPr>
            <w:r w:rsidRPr="00B352DD">
              <w:rPr>
                <w:sz w:val="20"/>
              </w:rPr>
              <w:t>M50211 (unreported)</w:t>
            </w:r>
          </w:p>
          <w:p w:rsidR="00B352DD" w:rsidRPr="00B352DD" w:rsidRDefault="00B352DD" w:rsidP="00B352DD">
            <w:pPr>
              <w:jc w:val="both"/>
              <w:rPr>
                <w:sz w:val="20"/>
              </w:rPr>
            </w:pPr>
          </w:p>
        </w:tc>
        <w:tc>
          <w:tcPr>
            <w:tcW w:w="243" w:type="pct"/>
          </w:tcPr>
          <w:p w:rsidR="00B352DD" w:rsidRPr="00B352DD" w:rsidRDefault="00B352DD" w:rsidP="00B352DD">
            <w:pPr>
              <w:jc w:val="both"/>
              <w:rPr>
                <w:sz w:val="20"/>
              </w:rPr>
            </w:pPr>
          </w:p>
        </w:tc>
        <w:tc>
          <w:tcPr>
            <w:tcW w:w="2330" w:type="pct"/>
          </w:tcPr>
          <w:p w:rsidR="00B352DD" w:rsidRPr="00B352DD" w:rsidRDefault="00B352DD" w:rsidP="00B352DD">
            <w:pPr>
              <w:jc w:val="both"/>
              <w:rPr>
                <w:sz w:val="20"/>
              </w:rPr>
            </w:pPr>
            <w:r w:rsidRPr="00B352DD">
              <w:rPr>
                <w:sz w:val="20"/>
              </w:rPr>
              <w:t>Motions for leave to appeal, to file fresh evidence, to amend motion record, and for extension of time dismissed</w:t>
            </w:r>
          </w:p>
          <w:p w:rsidR="00B352DD" w:rsidRPr="00B352DD" w:rsidRDefault="00B352DD" w:rsidP="00B352DD">
            <w:pPr>
              <w:jc w:val="both"/>
              <w:rPr>
                <w:sz w:val="20"/>
              </w:rPr>
            </w:pPr>
          </w:p>
        </w:tc>
      </w:tr>
      <w:tr w:rsidR="00B352DD" w:rsidRPr="00B352DD" w:rsidTr="00B352DD">
        <w:tc>
          <w:tcPr>
            <w:tcW w:w="2427" w:type="pct"/>
            <w:gridSpan w:val="2"/>
          </w:tcPr>
          <w:p w:rsidR="00B352DD" w:rsidRPr="00B352DD" w:rsidRDefault="00B352DD" w:rsidP="00B352DD">
            <w:pPr>
              <w:jc w:val="both"/>
              <w:rPr>
                <w:sz w:val="20"/>
              </w:rPr>
            </w:pPr>
            <w:r w:rsidRPr="00B352DD">
              <w:rPr>
                <w:sz w:val="20"/>
              </w:rPr>
              <w:t>December 16, 2019</w:t>
            </w:r>
          </w:p>
          <w:p w:rsidR="00B352DD" w:rsidRPr="00B352DD" w:rsidRDefault="00B352DD" w:rsidP="00B352DD">
            <w:pPr>
              <w:jc w:val="both"/>
              <w:rPr>
                <w:sz w:val="20"/>
              </w:rPr>
            </w:pPr>
            <w:r w:rsidRPr="00B352DD">
              <w:rPr>
                <w:sz w:val="20"/>
              </w:rPr>
              <w:t>Supreme Court of Canada</w:t>
            </w:r>
          </w:p>
        </w:tc>
        <w:tc>
          <w:tcPr>
            <w:tcW w:w="243" w:type="pct"/>
          </w:tcPr>
          <w:p w:rsidR="00B352DD" w:rsidRPr="00B352DD" w:rsidRDefault="00B352DD" w:rsidP="00B352DD">
            <w:pPr>
              <w:jc w:val="both"/>
              <w:rPr>
                <w:sz w:val="20"/>
              </w:rPr>
            </w:pPr>
          </w:p>
        </w:tc>
        <w:tc>
          <w:tcPr>
            <w:tcW w:w="2330" w:type="pct"/>
          </w:tcPr>
          <w:p w:rsidR="00B352DD" w:rsidRPr="00B352DD" w:rsidRDefault="00B352DD" w:rsidP="00B352DD">
            <w:pPr>
              <w:jc w:val="both"/>
              <w:rPr>
                <w:sz w:val="20"/>
              </w:rPr>
            </w:pPr>
            <w:r w:rsidRPr="00B352DD">
              <w:rPr>
                <w:sz w:val="20"/>
              </w:rPr>
              <w:t>Application for leave to appeal filed</w:t>
            </w:r>
          </w:p>
          <w:p w:rsidR="00B352DD" w:rsidRPr="00B352DD" w:rsidRDefault="00B352DD" w:rsidP="00B352DD">
            <w:pPr>
              <w:jc w:val="both"/>
              <w:rPr>
                <w:sz w:val="20"/>
              </w:rPr>
            </w:pPr>
          </w:p>
        </w:tc>
      </w:tr>
    </w:tbl>
    <w:p w:rsidR="00B352DD" w:rsidRDefault="00B352DD" w:rsidP="00B352DD">
      <w:pPr>
        <w:jc w:val="both"/>
        <w:rPr>
          <w:sz w:val="20"/>
        </w:rPr>
      </w:pPr>
    </w:p>
    <w:p w:rsidR="00B352DD" w:rsidRDefault="008E695D" w:rsidP="00B352DD">
      <w:pPr>
        <w:jc w:val="both"/>
        <w:rPr>
          <w:sz w:val="20"/>
        </w:rPr>
      </w:pPr>
      <w:r>
        <w:rPr>
          <w:sz w:val="20"/>
        </w:rPr>
        <w:pict>
          <v:rect id="_x0000_i1033" style="width:2in;height:1pt" o:hrpct="0" o:hralign="center" o:hrstd="t" o:hrnoshade="t" o:hr="t" fillcolor="black [3213]" stroked="f"/>
        </w:pict>
      </w:r>
    </w:p>
    <w:p w:rsidR="00B352DD" w:rsidRPr="00B352DD" w:rsidRDefault="00B352DD" w:rsidP="00B352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52DD" w:rsidRPr="008E695D" w:rsidTr="00B352DD">
        <w:tc>
          <w:tcPr>
            <w:tcW w:w="543" w:type="pct"/>
          </w:tcPr>
          <w:p w:rsidR="00B352DD" w:rsidRPr="00B352DD" w:rsidRDefault="00B352DD" w:rsidP="00B352DD">
            <w:pPr>
              <w:jc w:val="both"/>
              <w:rPr>
                <w:sz w:val="20"/>
                <w:lang w:val="fr-CA"/>
              </w:rPr>
            </w:pPr>
            <w:r w:rsidRPr="00B352DD">
              <w:rPr>
                <w:rStyle w:val="SCCFileNumberChar"/>
                <w:sz w:val="20"/>
                <w:szCs w:val="20"/>
                <w:lang w:val="fr-CA"/>
              </w:rPr>
              <w:t>39223</w:t>
            </w:r>
          </w:p>
        </w:tc>
        <w:tc>
          <w:tcPr>
            <w:tcW w:w="4457" w:type="pct"/>
            <w:gridSpan w:val="3"/>
          </w:tcPr>
          <w:p w:rsidR="00B352DD" w:rsidRPr="00B352DD" w:rsidRDefault="00B352DD" w:rsidP="00B352DD">
            <w:pPr>
              <w:pStyle w:val="SCCLsocParty"/>
              <w:jc w:val="both"/>
              <w:rPr>
                <w:b/>
                <w:sz w:val="20"/>
                <w:szCs w:val="20"/>
              </w:rPr>
            </w:pPr>
            <w:r w:rsidRPr="00B352DD">
              <w:rPr>
                <w:b/>
                <w:sz w:val="20"/>
                <w:szCs w:val="20"/>
              </w:rPr>
              <w:t>Ronald Greenwood c. Sa Majesté la Reine du chef de l’Ontario (Travel Industry Council of Ontario)</w:t>
            </w:r>
          </w:p>
          <w:p w:rsidR="00B352DD" w:rsidRPr="00B352DD" w:rsidRDefault="00B352DD" w:rsidP="00B352DD">
            <w:pPr>
              <w:jc w:val="both"/>
              <w:rPr>
                <w:sz w:val="20"/>
                <w:lang w:val="fr-CA"/>
              </w:rPr>
            </w:pPr>
            <w:r w:rsidRPr="00B352DD">
              <w:rPr>
                <w:sz w:val="20"/>
                <w:lang w:val="fr-CA"/>
              </w:rPr>
              <w:t>(Ont.) (Civile) (Autorisation)</w:t>
            </w:r>
          </w:p>
        </w:tc>
      </w:tr>
      <w:tr w:rsidR="00B352DD" w:rsidRPr="008E695D" w:rsidTr="00B352DD">
        <w:tc>
          <w:tcPr>
            <w:tcW w:w="5000" w:type="pct"/>
            <w:gridSpan w:val="4"/>
          </w:tcPr>
          <w:p w:rsidR="00B352DD" w:rsidRPr="00B352DD" w:rsidRDefault="00B352DD" w:rsidP="00B352DD">
            <w:pPr>
              <w:jc w:val="both"/>
              <w:rPr>
                <w:sz w:val="20"/>
                <w:lang w:val="fr-CA"/>
              </w:rPr>
            </w:pPr>
            <w:r w:rsidRPr="00B352DD">
              <w:rPr>
                <w:bCs/>
                <w:color w:val="373739"/>
                <w:sz w:val="20"/>
                <w:lang w:val="fr-CA"/>
              </w:rPr>
              <w:t xml:space="preserve">Appels — Droit criminel — </w:t>
            </w:r>
            <w:r w:rsidRPr="00B352DD">
              <w:rPr>
                <w:rStyle w:val="sh3135415119"/>
                <w:color w:val="373739"/>
                <w:sz w:val="20"/>
                <w:lang w:val="fr-CA"/>
              </w:rPr>
              <w:t>Les demandeurs soulèvent</w:t>
            </w:r>
            <w:r w:rsidRPr="00B352DD">
              <w:rPr>
                <w:rStyle w:val="sh3135415119"/>
                <w:color w:val="373739"/>
                <w:sz w:val="20"/>
                <w:lang w:val="fr-CA"/>
              </w:rPr>
              <w:noBreakHyphen/>
              <w:t>ils une question de droit?</w:t>
            </w:r>
            <w:r w:rsidRPr="00B352DD">
              <w:rPr>
                <w:bCs/>
                <w:color w:val="373739"/>
                <w:sz w:val="20"/>
                <w:lang w:val="fr-CA"/>
              </w:rPr>
              <w:t xml:space="preserve"> — </w:t>
            </w:r>
            <w:r w:rsidRPr="00B352DD">
              <w:rPr>
                <w:rStyle w:val="sh3135415119"/>
                <w:color w:val="373739"/>
                <w:sz w:val="20"/>
                <w:lang w:val="fr-CA"/>
              </w:rPr>
              <w:t>Les demandeurs soulèvent</w:t>
            </w:r>
            <w:r w:rsidRPr="00B352DD">
              <w:rPr>
                <w:rStyle w:val="sh3135415119"/>
                <w:color w:val="373739"/>
                <w:sz w:val="20"/>
                <w:lang w:val="fr-CA"/>
              </w:rPr>
              <w:noBreakHyphen/>
              <w:t>ils une question d’importance pour le public</w:t>
            </w:r>
            <w:r w:rsidRPr="00B352DD">
              <w:rPr>
                <w:bCs/>
                <w:color w:val="373739"/>
                <w:sz w:val="20"/>
                <w:lang w:val="fr-CA"/>
              </w:rPr>
              <w:t>?</w:t>
            </w:r>
          </w:p>
        </w:tc>
      </w:tr>
      <w:tr w:rsidR="00B352DD" w:rsidRPr="008E695D" w:rsidTr="00B352DD">
        <w:tc>
          <w:tcPr>
            <w:tcW w:w="5000" w:type="pct"/>
            <w:gridSpan w:val="4"/>
          </w:tcPr>
          <w:p w:rsidR="00B352DD" w:rsidRPr="00B352DD" w:rsidRDefault="00B352DD" w:rsidP="00B352DD">
            <w:pPr>
              <w:jc w:val="both"/>
              <w:rPr>
                <w:sz w:val="20"/>
                <w:lang w:val="fr-CA"/>
              </w:rPr>
            </w:pPr>
          </w:p>
          <w:p w:rsidR="00B352DD" w:rsidRPr="00B352DD" w:rsidRDefault="00B352DD" w:rsidP="00B352DD">
            <w:pPr>
              <w:jc w:val="both"/>
              <w:rPr>
                <w:sz w:val="20"/>
                <w:lang w:val="fr-CA"/>
              </w:rPr>
            </w:pPr>
            <w:r w:rsidRPr="00B352DD">
              <w:rPr>
                <w:sz w:val="20"/>
                <w:lang w:val="fr-CA"/>
              </w:rPr>
              <w:t xml:space="preserve">En 2012, MKI Travel and Conference Management Inc. a reçu des chèques pour fournir des services de voyages au Conseil des jeux du Canada. Les services de voyage n’ont pas été fournis et les sommes n’ont pas été détenues dans un compte en fiducie. MKI Travel and Conference Management Inc. et M. Greenwood ont été inculpés de plusieurs chefs d’accusation sous le régime de la </w:t>
            </w:r>
            <w:r w:rsidRPr="00B352DD">
              <w:rPr>
                <w:i/>
                <w:sz w:val="20"/>
                <w:lang w:val="fr-CA"/>
              </w:rPr>
              <w:t>Loi de 2002 sur le secteur du voyage</w:t>
            </w:r>
            <w:r w:rsidRPr="00B352DD">
              <w:rPr>
                <w:sz w:val="20"/>
                <w:lang w:val="fr-CA"/>
              </w:rPr>
              <w:t xml:space="preserve">, L.O. 2002, ch. 30 annexe D, et du  </w:t>
            </w:r>
            <w:r w:rsidRPr="00B352DD">
              <w:rPr>
                <w:i/>
                <w:sz w:val="20"/>
                <w:lang w:val="fr-CA"/>
              </w:rPr>
              <w:t>Règlement de l’Ontario</w:t>
            </w:r>
            <w:r w:rsidRPr="00B352DD">
              <w:rPr>
                <w:sz w:val="20"/>
                <w:lang w:val="fr-CA"/>
              </w:rPr>
              <w:t xml:space="preserve"> 26/05. MKI Travel and Conference Management Inc. a été déclaré coupable de trois chefs d’accusation et acquitté relativement à un chef d’accusation. Monsieur Greenwood a été acquitté relativement aux quatre chefs d’accusation. La Cour supérieure de justice de l’Ontario a accueilli un appel de tous les acquittements et a inscrit des déclarations de culpabilité, sauf en ce qui concerne un acquittement chacun de MKI Travel and Conference Management Inc. et de M. Greenwood. La Cour d’appel a rejeté une motion en autorisation d’interjeter appel, et des motions en autorisation d’interjeter appel, en dépôt de preuves nouvelles, en modification du dossier de motion et en prorogation de délai.</w:t>
            </w:r>
          </w:p>
        </w:tc>
      </w:tr>
      <w:tr w:rsidR="00B352DD" w:rsidRPr="008E695D" w:rsidTr="00B352DD">
        <w:tc>
          <w:tcPr>
            <w:tcW w:w="5000" w:type="pct"/>
            <w:gridSpan w:val="4"/>
          </w:tcPr>
          <w:p w:rsidR="00B352DD" w:rsidRPr="00B352DD" w:rsidRDefault="00B352DD" w:rsidP="00B352DD">
            <w:pPr>
              <w:jc w:val="both"/>
              <w:rPr>
                <w:sz w:val="20"/>
                <w:lang w:val="fr-CA"/>
              </w:rPr>
            </w:pPr>
          </w:p>
        </w:tc>
      </w:tr>
      <w:tr w:rsidR="00B352DD" w:rsidRPr="008E695D" w:rsidTr="00B352DD">
        <w:tc>
          <w:tcPr>
            <w:tcW w:w="2427" w:type="pct"/>
            <w:gridSpan w:val="2"/>
          </w:tcPr>
          <w:p w:rsidR="00B352DD" w:rsidRPr="00B352DD" w:rsidRDefault="00B352DD" w:rsidP="00B352DD">
            <w:pPr>
              <w:jc w:val="both"/>
              <w:rPr>
                <w:sz w:val="20"/>
                <w:lang w:val="fr-CA"/>
              </w:rPr>
            </w:pPr>
            <w:r w:rsidRPr="00B352DD">
              <w:rPr>
                <w:sz w:val="20"/>
                <w:lang w:val="fr-CA"/>
              </w:rPr>
              <w:t>23 novembre 2015</w:t>
            </w:r>
          </w:p>
          <w:p w:rsidR="00B352DD" w:rsidRPr="00B352DD" w:rsidRDefault="00B352DD" w:rsidP="00B352DD">
            <w:pPr>
              <w:jc w:val="both"/>
              <w:rPr>
                <w:sz w:val="20"/>
                <w:lang w:val="fr-CA"/>
              </w:rPr>
            </w:pPr>
            <w:r w:rsidRPr="00B352DD">
              <w:rPr>
                <w:sz w:val="20"/>
                <w:lang w:val="fr-CA"/>
              </w:rPr>
              <w:t>Cour de justice de l’Ontario</w:t>
            </w:r>
          </w:p>
          <w:p w:rsidR="00B352DD" w:rsidRPr="00B352DD" w:rsidRDefault="00B352DD" w:rsidP="00B352DD">
            <w:pPr>
              <w:jc w:val="both"/>
              <w:rPr>
                <w:sz w:val="20"/>
                <w:lang w:val="fr-CA"/>
              </w:rPr>
            </w:pPr>
            <w:r w:rsidRPr="00B352DD">
              <w:rPr>
                <w:sz w:val="20"/>
                <w:lang w:val="fr-CA"/>
              </w:rPr>
              <w:t>(Juge de paix Lauzon)</w:t>
            </w:r>
          </w:p>
          <w:p w:rsidR="00B352DD" w:rsidRPr="00B352DD" w:rsidRDefault="00B352DD" w:rsidP="00B352DD">
            <w:pPr>
              <w:jc w:val="both"/>
              <w:rPr>
                <w:sz w:val="20"/>
                <w:lang w:val="fr-CA"/>
              </w:rPr>
            </w:pPr>
          </w:p>
        </w:tc>
        <w:tc>
          <w:tcPr>
            <w:tcW w:w="243" w:type="pct"/>
          </w:tcPr>
          <w:p w:rsidR="00B352DD" w:rsidRPr="00B352DD" w:rsidRDefault="00B352DD" w:rsidP="00B352DD">
            <w:pPr>
              <w:jc w:val="both"/>
              <w:rPr>
                <w:sz w:val="20"/>
                <w:lang w:val="fr-CA"/>
              </w:rPr>
            </w:pPr>
          </w:p>
        </w:tc>
        <w:tc>
          <w:tcPr>
            <w:tcW w:w="2330" w:type="pct"/>
          </w:tcPr>
          <w:p w:rsidR="00B352DD" w:rsidRPr="00B352DD" w:rsidRDefault="00B352DD" w:rsidP="00B352DD">
            <w:pPr>
              <w:jc w:val="both"/>
              <w:rPr>
                <w:sz w:val="20"/>
                <w:lang w:val="fr-CA"/>
              </w:rPr>
            </w:pPr>
            <w:r w:rsidRPr="00B352DD">
              <w:rPr>
                <w:sz w:val="20"/>
                <w:lang w:val="fr-CA"/>
              </w:rPr>
              <w:t xml:space="preserve">Jugement déclarant MKI Travel and Conference Management Inc. coupable de trois chefs d’accusation sous le régime de la </w:t>
            </w:r>
            <w:r w:rsidRPr="00B352DD">
              <w:rPr>
                <w:i/>
                <w:sz w:val="20"/>
                <w:lang w:val="fr-CA"/>
              </w:rPr>
              <w:t>Loi de 2002 sur le secteur du voyage</w:t>
            </w:r>
            <w:r w:rsidRPr="00B352DD">
              <w:rPr>
                <w:sz w:val="20"/>
                <w:lang w:val="fr-CA"/>
              </w:rPr>
              <w:t xml:space="preserve">, L.O. 2002, ch. 30 annexe D, et du  </w:t>
            </w:r>
            <w:r w:rsidRPr="00B352DD">
              <w:rPr>
                <w:i/>
                <w:sz w:val="20"/>
                <w:lang w:val="fr-CA"/>
              </w:rPr>
              <w:t>Règlement de l’Ontario</w:t>
            </w:r>
            <w:r w:rsidRPr="00B352DD">
              <w:rPr>
                <w:sz w:val="20"/>
                <w:lang w:val="fr-CA"/>
              </w:rPr>
              <w:t xml:space="preserve"> 26/05, l’acquittant relativement à un chef d’accusation et acquittant Ronald Greenwood relativement aux quatre chefs d’accusation correspondants</w:t>
            </w:r>
          </w:p>
          <w:p w:rsidR="00B352DD" w:rsidRPr="00B352DD" w:rsidRDefault="00B352DD" w:rsidP="00B352DD">
            <w:pPr>
              <w:jc w:val="both"/>
              <w:rPr>
                <w:sz w:val="20"/>
                <w:lang w:val="fr-CA"/>
              </w:rPr>
            </w:pPr>
          </w:p>
        </w:tc>
      </w:tr>
      <w:tr w:rsidR="00B352DD" w:rsidRPr="008E695D" w:rsidTr="00B352DD">
        <w:tc>
          <w:tcPr>
            <w:tcW w:w="2427" w:type="pct"/>
            <w:gridSpan w:val="2"/>
          </w:tcPr>
          <w:p w:rsidR="00B352DD" w:rsidRPr="00B352DD" w:rsidRDefault="00B352DD" w:rsidP="00B352DD">
            <w:pPr>
              <w:jc w:val="both"/>
              <w:rPr>
                <w:sz w:val="20"/>
                <w:lang w:val="fr-CA"/>
              </w:rPr>
            </w:pPr>
            <w:r w:rsidRPr="00B352DD">
              <w:rPr>
                <w:sz w:val="20"/>
                <w:lang w:val="fr-CA"/>
              </w:rPr>
              <w:t>10 mars 2017</w:t>
            </w:r>
          </w:p>
          <w:p w:rsidR="00B352DD" w:rsidRPr="00B352DD" w:rsidRDefault="00B352DD" w:rsidP="00B352DD">
            <w:pPr>
              <w:jc w:val="both"/>
              <w:rPr>
                <w:sz w:val="20"/>
                <w:lang w:val="fr-CA"/>
              </w:rPr>
            </w:pPr>
            <w:r w:rsidRPr="00B352DD">
              <w:rPr>
                <w:sz w:val="20"/>
                <w:lang w:val="fr-CA"/>
              </w:rPr>
              <w:t>Cour supérieure de justice de l’Ontario</w:t>
            </w:r>
          </w:p>
          <w:p w:rsidR="00B352DD" w:rsidRPr="00B352DD" w:rsidRDefault="00B352DD" w:rsidP="00B352DD">
            <w:pPr>
              <w:jc w:val="both"/>
              <w:rPr>
                <w:sz w:val="20"/>
                <w:lang w:val="fr-CA"/>
              </w:rPr>
            </w:pPr>
            <w:r w:rsidRPr="00B352DD">
              <w:rPr>
                <w:sz w:val="20"/>
                <w:lang w:val="fr-CA"/>
              </w:rPr>
              <w:t xml:space="preserve">(Juge </w:t>
            </w:r>
            <w:proofErr w:type="spellStart"/>
            <w:r w:rsidRPr="00B352DD">
              <w:rPr>
                <w:sz w:val="20"/>
                <w:lang w:val="fr-CA"/>
              </w:rPr>
              <w:t>Lahaie</w:t>
            </w:r>
            <w:proofErr w:type="spellEnd"/>
            <w:r w:rsidRPr="00B352DD">
              <w:rPr>
                <w:sz w:val="20"/>
                <w:lang w:val="fr-CA"/>
              </w:rPr>
              <w:t>) (Non publié)</w:t>
            </w:r>
          </w:p>
          <w:p w:rsidR="00B352DD" w:rsidRPr="00B352DD" w:rsidRDefault="00B352DD" w:rsidP="00B352DD">
            <w:pPr>
              <w:jc w:val="both"/>
              <w:rPr>
                <w:sz w:val="20"/>
                <w:lang w:val="fr-CA"/>
              </w:rPr>
            </w:pPr>
          </w:p>
        </w:tc>
        <w:tc>
          <w:tcPr>
            <w:tcW w:w="243" w:type="pct"/>
          </w:tcPr>
          <w:p w:rsidR="00B352DD" w:rsidRPr="00B352DD" w:rsidRDefault="00B352DD" w:rsidP="00B352DD">
            <w:pPr>
              <w:jc w:val="both"/>
              <w:rPr>
                <w:sz w:val="20"/>
                <w:lang w:val="fr-CA"/>
              </w:rPr>
            </w:pPr>
          </w:p>
        </w:tc>
        <w:tc>
          <w:tcPr>
            <w:tcW w:w="2330" w:type="pct"/>
          </w:tcPr>
          <w:p w:rsidR="00B352DD" w:rsidRPr="00B352DD" w:rsidRDefault="00B352DD" w:rsidP="00B352DD">
            <w:pPr>
              <w:jc w:val="both"/>
              <w:rPr>
                <w:sz w:val="20"/>
                <w:lang w:val="fr-CA"/>
              </w:rPr>
            </w:pPr>
            <w:r w:rsidRPr="00B352DD">
              <w:rPr>
                <w:sz w:val="20"/>
                <w:lang w:val="fr-CA"/>
              </w:rPr>
              <w:t>Arrêt accueillant l’appel en partie, rejetant l’appel des acquittements relativement à un chef d’accusation et l’accueillant relativement à tous les autres chefs d’accusation qui ont fait l’objet de déclarations de culpabilité</w:t>
            </w:r>
          </w:p>
          <w:p w:rsidR="00B352DD" w:rsidRPr="00B352DD" w:rsidRDefault="00B352DD" w:rsidP="00B352DD">
            <w:pPr>
              <w:jc w:val="both"/>
              <w:rPr>
                <w:sz w:val="20"/>
                <w:lang w:val="fr-CA"/>
              </w:rPr>
            </w:pPr>
            <w:r w:rsidRPr="00B352DD">
              <w:rPr>
                <w:sz w:val="20"/>
                <w:lang w:val="fr-CA"/>
              </w:rPr>
              <w:t xml:space="preserve"> </w:t>
            </w:r>
          </w:p>
        </w:tc>
      </w:tr>
      <w:tr w:rsidR="00B352DD" w:rsidRPr="008E695D" w:rsidTr="00B352DD">
        <w:tc>
          <w:tcPr>
            <w:tcW w:w="2427" w:type="pct"/>
            <w:gridSpan w:val="2"/>
          </w:tcPr>
          <w:p w:rsidR="00B352DD" w:rsidRPr="00B352DD" w:rsidRDefault="00B352DD" w:rsidP="00B352DD">
            <w:pPr>
              <w:jc w:val="both"/>
              <w:rPr>
                <w:sz w:val="20"/>
                <w:lang w:val="fr-CA"/>
              </w:rPr>
            </w:pPr>
            <w:r w:rsidRPr="00B352DD">
              <w:rPr>
                <w:sz w:val="20"/>
                <w:lang w:val="fr-CA"/>
              </w:rPr>
              <w:t>20 décembre 2017</w:t>
            </w:r>
          </w:p>
          <w:p w:rsidR="00B352DD" w:rsidRPr="00B352DD" w:rsidRDefault="00B352DD" w:rsidP="00B352DD">
            <w:pPr>
              <w:jc w:val="both"/>
              <w:rPr>
                <w:sz w:val="20"/>
                <w:lang w:val="fr-CA"/>
              </w:rPr>
            </w:pPr>
            <w:r w:rsidRPr="00B352DD">
              <w:rPr>
                <w:sz w:val="20"/>
                <w:lang w:val="fr-CA"/>
              </w:rPr>
              <w:t>Cour d’appel de l’Ontario</w:t>
            </w:r>
          </w:p>
          <w:p w:rsidR="00B352DD" w:rsidRPr="00B352DD" w:rsidRDefault="00B352DD" w:rsidP="00B352DD">
            <w:pPr>
              <w:jc w:val="both"/>
              <w:rPr>
                <w:sz w:val="20"/>
                <w:lang w:val="fr-CA"/>
              </w:rPr>
            </w:pPr>
            <w:r w:rsidRPr="00B352DD">
              <w:rPr>
                <w:sz w:val="20"/>
                <w:lang w:val="fr-CA"/>
              </w:rPr>
              <w:t xml:space="preserve">(Juge Nordheimer) </w:t>
            </w:r>
          </w:p>
          <w:p w:rsidR="00B352DD" w:rsidRPr="00B352DD" w:rsidRDefault="00B352DD" w:rsidP="00B352DD">
            <w:pPr>
              <w:jc w:val="both"/>
              <w:rPr>
                <w:sz w:val="20"/>
                <w:lang w:val="fr-CA"/>
              </w:rPr>
            </w:pPr>
            <w:r w:rsidRPr="00B352DD">
              <w:rPr>
                <w:sz w:val="20"/>
                <w:lang w:val="fr-CA"/>
              </w:rPr>
              <w:t>M48379 (Non publié)</w:t>
            </w:r>
          </w:p>
          <w:p w:rsidR="00B352DD" w:rsidRPr="00B352DD" w:rsidRDefault="00B352DD" w:rsidP="00B352DD">
            <w:pPr>
              <w:jc w:val="both"/>
              <w:rPr>
                <w:sz w:val="20"/>
                <w:lang w:val="fr-CA"/>
              </w:rPr>
            </w:pPr>
          </w:p>
        </w:tc>
        <w:tc>
          <w:tcPr>
            <w:tcW w:w="243" w:type="pct"/>
          </w:tcPr>
          <w:p w:rsidR="00B352DD" w:rsidRPr="00B352DD" w:rsidRDefault="00B352DD" w:rsidP="00B352DD">
            <w:pPr>
              <w:jc w:val="both"/>
              <w:rPr>
                <w:sz w:val="20"/>
                <w:lang w:val="fr-CA"/>
              </w:rPr>
            </w:pPr>
          </w:p>
        </w:tc>
        <w:tc>
          <w:tcPr>
            <w:tcW w:w="2330" w:type="pct"/>
          </w:tcPr>
          <w:p w:rsidR="00B352DD" w:rsidRPr="00B352DD" w:rsidRDefault="00B352DD" w:rsidP="00B352DD">
            <w:pPr>
              <w:jc w:val="both"/>
              <w:rPr>
                <w:sz w:val="20"/>
                <w:lang w:val="fr-CA"/>
              </w:rPr>
            </w:pPr>
            <w:r w:rsidRPr="00B352DD">
              <w:rPr>
                <w:sz w:val="20"/>
                <w:lang w:val="fr-CA"/>
              </w:rPr>
              <w:t>Rejet de la motion en autorisation d’interjeter appel</w:t>
            </w:r>
          </w:p>
        </w:tc>
      </w:tr>
      <w:tr w:rsidR="00B352DD" w:rsidRPr="008E695D" w:rsidTr="00B352DD">
        <w:tc>
          <w:tcPr>
            <w:tcW w:w="2427" w:type="pct"/>
            <w:gridSpan w:val="2"/>
          </w:tcPr>
          <w:p w:rsidR="00B352DD" w:rsidRPr="00B352DD" w:rsidRDefault="00B352DD" w:rsidP="00B352DD">
            <w:pPr>
              <w:jc w:val="both"/>
              <w:rPr>
                <w:sz w:val="20"/>
                <w:lang w:val="fr-CA"/>
              </w:rPr>
            </w:pPr>
            <w:r w:rsidRPr="00B352DD">
              <w:rPr>
                <w:sz w:val="20"/>
                <w:lang w:val="fr-CA"/>
              </w:rPr>
              <w:t>16 octobre 2019</w:t>
            </w:r>
          </w:p>
          <w:p w:rsidR="00B352DD" w:rsidRPr="00B352DD" w:rsidRDefault="00B352DD" w:rsidP="00B352DD">
            <w:pPr>
              <w:jc w:val="both"/>
              <w:rPr>
                <w:sz w:val="20"/>
                <w:lang w:val="fr-CA"/>
              </w:rPr>
            </w:pPr>
            <w:r w:rsidRPr="00B352DD">
              <w:rPr>
                <w:sz w:val="20"/>
                <w:lang w:val="fr-CA"/>
              </w:rPr>
              <w:t>Cour d’appel de l’Ontario</w:t>
            </w:r>
          </w:p>
          <w:p w:rsidR="00B352DD" w:rsidRPr="00B352DD" w:rsidRDefault="00B352DD" w:rsidP="00B352DD">
            <w:pPr>
              <w:jc w:val="both"/>
              <w:rPr>
                <w:sz w:val="20"/>
                <w:lang w:val="fr-CA"/>
              </w:rPr>
            </w:pPr>
            <w:r w:rsidRPr="00B352DD">
              <w:rPr>
                <w:sz w:val="20"/>
                <w:lang w:val="fr-CA"/>
              </w:rPr>
              <w:t xml:space="preserve">(Juge Van </w:t>
            </w:r>
            <w:proofErr w:type="spellStart"/>
            <w:r w:rsidRPr="00B352DD">
              <w:rPr>
                <w:sz w:val="20"/>
                <w:lang w:val="fr-CA"/>
              </w:rPr>
              <w:t>Rensburg</w:t>
            </w:r>
            <w:proofErr w:type="spellEnd"/>
            <w:r w:rsidRPr="00B352DD">
              <w:rPr>
                <w:sz w:val="20"/>
                <w:lang w:val="fr-CA"/>
              </w:rPr>
              <w:t xml:space="preserve">) </w:t>
            </w:r>
          </w:p>
          <w:p w:rsidR="00B352DD" w:rsidRPr="00B352DD" w:rsidRDefault="00B352DD" w:rsidP="00B352DD">
            <w:pPr>
              <w:jc w:val="both"/>
              <w:rPr>
                <w:sz w:val="20"/>
                <w:lang w:val="fr-CA"/>
              </w:rPr>
            </w:pPr>
            <w:r w:rsidRPr="00B352DD">
              <w:rPr>
                <w:sz w:val="20"/>
                <w:lang w:val="fr-CA"/>
              </w:rPr>
              <w:t>M50211 (Non publié)</w:t>
            </w:r>
          </w:p>
          <w:p w:rsidR="00B352DD" w:rsidRPr="00B352DD" w:rsidRDefault="00B352DD" w:rsidP="00B352DD">
            <w:pPr>
              <w:jc w:val="both"/>
              <w:rPr>
                <w:sz w:val="20"/>
                <w:lang w:val="fr-CA"/>
              </w:rPr>
            </w:pPr>
          </w:p>
        </w:tc>
        <w:tc>
          <w:tcPr>
            <w:tcW w:w="243" w:type="pct"/>
          </w:tcPr>
          <w:p w:rsidR="00B352DD" w:rsidRPr="00B352DD" w:rsidRDefault="00B352DD" w:rsidP="00B352DD">
            <w:pPr>
              <w:jc w:val="both"/>
              <w:rPr>
                <w:sz w:val="20"/>
                <w:lang w:val="fr-CA"/>
              </w:rPr>
            </w:pPr>
          </w:p>
        </w:tc>
        <w:tc>
          <w:tcPr>
            <w:tcW w:w="2330" w:type="pct"/>
          </w:tcPr>
          <w:p w:rsidR="00B352DD" w:rsidRPr="00B352DD" w:rsidRDefault="00B352DD" w:rsidP="00B352DD">
            <w:pPr>
              <w:jc w:val="both"/>
              <w:rPr>
                <w:sz w:val="20"/>
                <w:lang w:val="fr-CA"/>
              </w:rPr>
            </w:pPr>
            <w:r w:rsidRPr="00B352DD">
              <w:rPr>
                <w:sz w:val="20"/>
                <w:lang w:val="fr-CA"/>
              </w:rPr>
              <w:t xml:space="preserve">Rejet des motions en autorisation d’interjeter appel, en dépôt de preuves nouvelles, en modification du dossier de motion et en prorogation de délai </w:t>
            </w:r>
          </w:p>
        </w:tc>
      </w:tr>
      <w:tr w:rsidR="00B352DD" w:rsidRPr="008E695D" w:rsidTr="00B352DD">
        <w:tc>
          <w:tcPr>
            <w:tcW w:w="2427" w:type="pct"/>
            <w:gridSpan w:val="2"/>
          </w:tcPr>
          <w:p w:rsidR="00B352DD" w:rsidRPr="00B352DD" w:rsidRDefault="00B352DD" w:rsidP="00B352DD">
            <w:pPr>
              <w:jc w:val="both"/>
              <w:rPr>
                <w:sz w:val="20"/>
                <w:lang w:val="fr-CA"/>
              </w:rPr>
            </w:pPr>
            <w:r w:rsidRPr="00B352DD">
              <w:rPr>
                <w:sz w:val="20"/>
                <w:lang w:val="fr-CA"/>
              </w:rPr>
              <w:t>16 décembre 2019</w:t>
            </w:r>
          </w:p>
          <w:p w:rsidR="00B352DD" w:rsidRPr="00B352DD" w:rsidRDefault="00B352DD" w:rsidP="00B352DD">
            <w:pPr>
              <w:jc w:val="both"/>
              <w:rPr>
                <w:sz w:val="20"/>
                <w:lang w:val="fr-CA"/>
              </w:rPr>
            </w:pPr>
            <w:r w:rsidRPr="00B352DD">
              <w:rPr>
                <w:sz w:val="20"/>
                <w:lang w:val="fr-CA"/>
              </w:rPr>
              <w:t>Cour suprême du Canada</w:t>
            </w:r>
          </w:p>
        </w:tc>
        <w:tc>
          <w:tcPr>
            <w:tcW w:w="243" w:type="pct"/>
          </w:tcPr>
          <w:p w:rsidR="00B352DD" w:rsidRPr="00B352DD" w:rsidRDefault="00B352DD" w:rsidP="00B352DD">
            <w:pPr>
              <w:jc w:val="both"/>
              <w:rPr>
                <w:sz w:val="20"/>
                <w:lang w:val="fr-CA"/>
              </w:rPr>
            </w:pPr>
          </w:p>
        </w:tc>
        <w:tc>
          <w:tcPr>
            <w:tcW w:w="2330" w:type="pct"/>
          </w:tcPr>
          <w:p w:rsidR="00B352DD" w:rsidRPr="00B352DD" w:rsidRDefault="00B352DD" w:rsidP="00B352DD">
            <w:pPr>
              <w:jc w:val="both"/>
              <w:rPr>
                <w:sz w:val="20"/>
                <w:lang w:val="fr-CA"/>
              </w:rPr>
            </w:pPr>
            <w:r w:rsidRPr="00B352DD">
              <w:rPr>
                <w:sz w:val="20"/>
                <w:lang w:val="fr-CA"/>
              </w:rPr>
              <w:t>Dépôt de la demande d’autorisation d’appel</w:t>
            </w:r>
          </w:p>
          <w:p w:rsidR="00B352DD" w:rsidRPr="00B352DD" w:rsidRDefault="00B352DD" w:rsidP="00B352DD">
            <w:pPr>
              <w:jc w:val="both"/>
              <w:rPr>
                <w:sz w:val="20"/>
                <w:lang w:val="fr-CA"/>
              </w:rPr>
            </w:pPr>
          </w:p>
        </w:tc>
      </w:tr>
    </w:tbl>
    <w:p w:rsidR="00B352DD" w:rsidRDefault="00B352DD" w:rsidP="00B352DD">
      <w:pPr>
        <w:jc w:val="both"/>
        <w:rPr>
          <w:sz w:val="20"/>
          <w:lang w:val="fr-CA"/>
        </w:rPr>
      </w:pPr>
    </w:p>
    <w:p w:rsidR="00B352DD" w:rsidRPr="00B352DD" w:rsidRDefault="008E695D" w:rsidP="00B352DD">
      <w:pPr>
        <w:jc w:val="both"/>
        <w:rPr>
          <w:sz w:val="20"/>
          <w:lang w:val="fr-CA"/>
        </w:rPr>
      </w:pPr>
      <w:r>
        <w:rPr>
          <w:sz w:val="20"/>
        </w:rPr>
        <w:pict>
          <v:rect id="_x0000_i1034" style="width:2in;height:1pt" o:hrpct="0" o:hralign="center" o:hrstd="t" o:hrnoshade="t" o:hr="t" fillcolor="black [3213]" stroked="f"/>
        </w:pict>
      </w:r>
    </w:p>
    <w:p w:rsidR="00C823B7" w:rsidRPr="00B352DD" w:rsidRDefault="00C823B7" w:rsidP="00B352D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52DD" w:rsidRPr="00B352DD" w:rsidTr="00B352DD">
        <w:tc>
          <w:tcPr>
            <w:tcW w:w="543" w:type="pct"/>
          </w:tcPr>
          <w:p w:rsidR="00B352DD" w:rsidRPr="00B352DD" w:rsidRDefault="00B352DD" w:rsidP="00B352DD">
            <w:pPr>
              <w:jc w:val="both"/>
              <w:rPr>
                <w:sz w:val="20"/>
              </w:rPr>
            </w:pPr>
            <w:r w:rsidRPr="00B352DD">
              <w:rPr>
                <w:rStyle w:val="SCCFileNumberChar"/>
                <w:sz w:val="20"/>
                <w:szCs w:val="20"/>
              </w:rPr>
              <w:t>39174</w:t>
            </w:r>
          </w:p>
        </w:tc>
        <w:tc>
          <w:tcPr>
            <w:tcW w:w="4457" w:type="pct"/>
            <w:gridSpan w:val="3"/>
          </w:tcPr>
          <w:p w:rsidR="00B352DD" w:rsidRPr="00B352DD" w:rsidRDefault="00B352DD" w:rsidP="00B352DD">
            <w:pPr>
              <w:pStyle w:val="SCCLsocParty"/>
              <w:jc w:val="both"/>
              <w:rPr>
                <w:b/>
                <w:sz w:val="20"/>
                <w:szCs w:val="20"/>
                <w:lang w:val="en-US"/>
              </w:rPr>
            </w:pPr>
            <w:r w:rsidRPr="00B352DD">
              <w:rPr>
                <w:b/>
                <w:sz w:val="20"/>
                <w:szCs w:val="20"/>
                <w:lang w:val="en-US"/>
              </w:rPr>
              <w:t xml:space="preserve">Wilma Shane v. </w:t>
            </w:r>
            <w:r w:rsidR="00967433" w:rsidRPr="00B352DD">
              <w:rPr>
                <w:b/>
                <w:sz w:val="20"/>
                <w:szCs w:val="20"/>
                <w:lang w:val="en-US"/>
              </w:rPr>
              <w:t>B2B Bank</w:t>
            </w:r>
            <w:r w:rsidR="00967433" w:rsidRPr="009E66E7">
              <w:rPr>
                <w:lang w:val="en-US"/>
              </w:rPr>
              <w:t xml:space="preserve"> </w:t>
            </w:r>
            <w:r w:rsidR="00967433" w:rsidRPr="009E66E7">
              <w:rPr>
                <w:b/>
                <w:sz w:val="20"/>
                <w:szCs w:val="20"/>
                <w:lang w:val="en-US"/>
              </w:rPr>
              <w:t>/B2B Banque</w:t>
            </w:r>
          </w:p>
          <w:p w:rsidR="00B352DD" w:rsidRPr="00B352DD" w:rsidRDefault="00B352DD" w:rsidP="00B352DD">
            <w:pPr>
              <w:jc w:val="both"/>
              <w:rPr>
                <w:sz w:val="20"/>
              </w:rPr>
            </w:pPr>
            <w:r w:rsidRPr="00B352DD">
              <w:rPr>
                <w:sz w:val="20"/>
              </w:rPr>
              <w:t>(N.S.) (Civil) (By Leave)</w:t>
            </w:r>
          </w:p>
        </w:tc>
      </w:tr>
      <w:tr w:rsidR="00B352DD" w:rsidRPr="00B352DD" w:rsidTr="00B352DD">
        <w:tc>
          <w:tcPr>
            <w:tcW w:w="5000" w:type="pct"/>
            <w:gridSpan w:val="4"/>
          </w:tcPr>
          <w:p w:rsidR="00B352DD" w:rsidRPr="00B352DD" w:rsidRDefault="00B352DD" w:rsidP="00B352DD">
            <w:pPr>
              <w:jc w:val="both"/>
              <w:rPr>
                <w:sz w:val="20"/>
              </w:rPr>
            </w:pPr>
            <w:r w:rsidRPr="00B352DD">
              <w:rPr>
                <w:sz w:val="20"/>
              </w:rPr>
              <w:t xml:space="preserve">Appeals — Standard of Review — Restitution — Unjust enrichment — Financial institutions —Banks — Duty of Care — Whether application of doctrine of unconscionability can be considered juristic reason in test for unjust enrichment — Whether special circumstances created duty of care on part of bank — Standard of review for a civil jury trial? </w:t>
            </w:r>
          </w:p>
        </w:tc>
      </w:tr>
      <w:tr w:rsidR="00B352DD" w:rsidRPr="00B352DD" w:rsidTr="00B352DD">
        <w:tc>
          <w:tcPr>
            <w:tcW w:w="5000" w:type="pct"/>
            <w:gridSpan w:val="4"/>
          </w:tcPr>
          <w:p w:rsidR="00B352DD" w:rsidRPr="00B352DD" w:rsidRDefault="00B352DD" w:rsidP="00B352DD">
            <w:pPr>
              <w:jc w:val="both"/>
              <w:rPr>
                <w:sz w:val="20"/>
              </w:rPr>
            </w:pPr>
          </w:p>
        </w:tc>
      </w:tr>
      <w:tr w:rsidR="00B352DD" w:rsidRPr="00B352DD" w:rsidTr="00B352DD">
        <w:tc>
          <w:tcPr>
            <w:tcW w:w="5000" w:type="pct"/>
            <w:gridSpan w:val="4"/>
          </w:tcPr>
          <w:p w:rsidR="00B352DD" w:rsidRPr="00B352DD" w:rsidRDefault="00B352DD" w:rsidP="00B352DD">
            <w:pPr>
              <w:jc w:val="both"/>
              <w:rPr>
                <w:sz w:val="20"/>
              </w:rPr>
            </w:pPr>
            <w:r w:rsidRPr="00B352DD">
              <w:rPr>
                <w:sz w:val="20"/>
              </w:rPr>
              <w:t>In July 2007, a</w:t>
            </w:r>
            <w:r w:rsidRPr="00B352DD">
              <w:rPr>
                <w:sz w:val="20"/>
                <w:lang w:val="en"/>
              </w:rPr>
              <w:t xml:space="preserve"> financial adviser obtained a loan on Ms. Shane’s behalf, for $245,000, from B2B Bank’s predecessor. Unbeknownst to Ms. Shane, the adviser used falsified documents. The loan only required monthly payments of interest. The loan proceeds were used to buy mutual funds which were pledged as security for the loan. In September 2007, the financial adviser’s employer, Keybase Financial Group, contacted Ms. Shane and advised her that its adviser may have overstated her net worth when applying for the loan. She subsequently filed a complaint with the Nova Scotia Securities Commission and successfully sued Keybase Financial Group for damages, settled for $210,003.71. Ms. Shane believed the value of the mutual funds would not cover a redemption penalty and the loan balance. She instructed the bank not to redeem the mutual funds as security. She stopped paying monthly interest on the loan in May 2015 and she has not re</w:t>
            </w:r>
            <w:r w:rsidRPr="00B352DD">
              <w:rPr>
                <w:sz w:val="20"/>
                <w:lang w:val="en"/>
              </w:rPr>
              <w:noBreakHyphen/>
              <w:t>paid any of the loan. B2B Bank redeemed the mutual funds and applied the proceeds of the redemption to the loan. It claimed against Ms. Shane for the outstanding balance, pleading unjust enrichment.</w:t>
            </w:r>
            <w:r w:rsidRPr="00B352DD">
              <w:rPr>
                <w:sz w:val="20"/>
              </w:rPr>
              <w:t xml:space="preserve"> It was agreed at trial before a civil jury that, if Ms. Shane was unjustly enriched, $118.713.27 is the correct measure of the unjust enrichment. The jury returned a verdict that Ms. Shane does not owe any amount to the B2B Bank. B2B Bank appealed. The Court of Appeal set aside the jury verdict, found unjust enrichment, and ordered Ms. Shane to pay $118.713.27 to B2B Bank.</w:t>
            </w:r>
          </w:p>
          <w:p w:rsidR="00B352DD" w:rsidRPr="00B352DD" w:rsidRDefault="00B352DD" w:rsidP="00B352DD">
            <w:pPr>
              <w:jc w:val="both"/>
              <w:rPr>
                <w:sz w:val="20"/>
              </w:rPr>
            </w:pPr>
          </w:p>
        </w:tc>
      </w:tr>
      <w:tr w:rsidR="00B352DD" w:rsidRPr="00B352DD" w:rsidTr="00B352DD">
        <w:tc>
          <w:tcPr>
            <w:tcW w:w="2427" w:type="pct"/>
            <w:gridSpan w:val="2"/>
          </w:tcPr>
          <w:p w:rsidR="00B352DD" w:rsidRPr="00B352DD" w:rsidRDefault="00B352DD" w:rsidP="00B352DD">
            <w:pPr>
              <w:jc w:val="both"/>
              <w:rPr>
                <w:sz w:val="20"/>
              </w:rPr>
            </w:pPr>
            <w:r w:rsidRPr="00B352DD">
              <w:rPr>
                <w:sz w:val="20"/>
              </w:rPr>
              <w:t>February 4, 2019</w:t>
            </w:r>
          </w:p>
          <w:p w:rsidR="00B352DD" w:rsidRPr="00B352DD" w:rsidRDefault="00B352DD" w:rsidP="00B352DD">
            <w:pPr>
              <w:jc w:val="both"/>
              <w:rPr>
                <w:sz w:val="20"/>
              </w:rPr>
            </w:pPr>
            <w:r w:rsidRPr="00B352DD">
              <w:rPr>
                <w:sz w:val="20"/>
              </w:rPr>
              <w:t>Supreme Court of Nova Scotia, Trial Division</w:t>
            </w:r>
          </w:p>
          <w:p w:rsidR="00B352DD" w:rsidRPr="00B352DD" w:rsidRDefault="00B352DD" w:rsidP="00B352DD">
            <w:pPr>
              <w:jc w:val="both"/>
              <w:rPr>
                <w:sz w:val="20"/>
              </w:rPr>
            </w:pPr>
            <w:r w:rsidRPr="00B352DD">
              <w:rPr>
                <w:sz w:val="20"/>
              </w:rPr>
              <w:t>(Smith J.)(Unreported)</w:t>
            </w:r>
          </w:p>
          <w:p w:rsidR="00B352DD" w:rsidRPr="00B352DD" w:rsidRDefault="00B352DD" w:rsidP="00B352DD">
            <w:pPr>
              <w:jc w:val="both"/>
              <w:rPr>
                <w:sz w:val="20"/>
              </w:rPr>
            </w:pPr>
          </w:p>
        </w:tc>
        <w:tc>
          <w:tcPr>
            <w:tcW w:w="243" w:type="pct"/>
          </w:tcPr>
          <w:p w:rsidR="00B352DD" w:rsidRPr="00B352DD" w:rsidRDefault="00B352DD" w:rsidP="00B352DD">
            <w:pPr>
              <w:jc w:val="both"/>
              <w:rPr>
                <w:sz w:val="20"/>
              </w:rPr>
            </w:pPr>
          </w:p>
        </w:tc>
        <w:tc>
          <w:tcPr>
            <w:tcW w:w="2330" w:type="pct"/>
          </w:tcPr>
          <w:p w:rsidR="00B352DD" w:rsidRPr="00B352DD" w:rsidRDefault="00B352DD" w:rsidP="00B352DD">
            <w:pPr>
              <w:spacing w:before="100" w:beforeAutospacing="1" w:after="100" w:afterAutospacing="1"/>
              <w:jc w:val="both"/>
              <w:rPr>
                <w:sz w:val="20"/>
              </w:rPr>
            </w:pPr>
            <w:r w:rsidRPr="00B352DD">
              <w:rPr>
                <w:sz w:val="20"/>
                <w:lang w:val="en"/>
              </w:rPr>
              <w:t>Jury verdict finding Ms. Shane does not owe any amount to B2B Bank</w:t>
            </w:r>
          </w:p>
          <w:p w:rsidR="00B352DD" w:rsidRPr="00B352DD" w:rsidRDefault="00B352DD" w:rsidP="00B352DD">
            <w:pPr>
              <w:jc w:val="both"/>
              <w:rPr>
                <w:sz w:val="20"/>
              </w:rPr>
            </w:pPr>
          </w:p>
        </w:tc>
      </w:tr>
      <w:tr w:rsidR="00B352DD" w:rsidRPr="00B352DD" w:rsidTr="00B352DD">
        <w:tc>
          <w:tcPr>
            <w:tcW w:w="2427" w:type="pct"/>
            <w:gridSpan w:val="2"/>
          </w:tcPr>
          <w:p w:rsidR="00B352DD" w:rsidRPr="00B352DD" w:rsidRDefault="00B352DD" w:rsidP="00B352DD">
            <w:pPr>
              <w:jc w:val="both"/>
              <w:rPr>
                <w:sz w:val="20"/>
              </w:rPr>
            </w:pPr>
            <w:r w:rsidRPr="00B352DD">
              <w:rPr>
                <w:sz w:val="20"/>
              </w:rPr>
              <w:t>February 20, 2020</w:t>
            </w:r>
          </w:p>
          <w:p w:rsidR="00B352DD" w:rsidRPr="00B352DD" w:rsidRDefault="00B352DD" w:rsidP="00B352DD">
            <w:pPr>
              <w:jc w:val="both"/>
              <w:rPr>
                <w:sz w:val="20"/>
              </w:rPr>
            </w:pPr>
            <w:r w:rsidRPr="00B352DD">
              <w:rPr>
                <w:sz w:val="20"/>
              </w:rPr>
              <w:t>Nova Scotia Court of Appeal</w:t>
            </w:r>
          </w:p>
          <w:p w:rsidR="00B352DD" w:rsidRPr="00B352DD" w:rsidRDefault="00B352DD" w:rsidP="00B352DD">
            <w:pPr>
              <w:jc w:val="both"/>
              <w:rPr>
                <w:sz w:val="20"/>
              </w:rPr>
            </w:pPr>
            <w:r w:rsidRPr="00B352DD">
              <w:rPr>
                <w:sz w:val="20"/>
              </w:rPr>
              <w:t>(Farrar, Saunders, Hamilton JJ.A.)</w:t>
            </w:r>
          </w:p>
          <w:p w:rsidR="00B352DD" w:rsidRPr="00B352DD" w:rsidRDefault="008E695D" w:rsidP="00B352DD">
            <w:pPr>
              <w:jc w:val="both"/>
              <w:rPr>
                <w:sz w:val="20"/>
              </w:rPr>
            </w:pPr>
            <w:hyperlink r:id="rId23" w:history="1">
              <w:r w:rsidR="00B352DD" w:rsidRPr="00B352DD">
                <w:rPr>
                  <w:rStyle w:val="Hyperlink"/>
                  <w:sz w:val="20"/>
                </w:rPr>
                <w:t>2020 NSCA 15</w:t>
              </w:r>
            </w:hyperlink>
            <w:r w:rsidR="00B352DD" w:rsidRPr="00B352DD">
              <w:rPr>
                <w:sz w:val="20"/>
              </w:rPr>
              <w:t xml:space="preserve">; </w:t>
            </w:r>
            <w:r w:rsidR="00B352DD" w:rsidRPr="00B352DD">
              <w:rPr>
                <w:sz w:val="20"/>
                <w:lang w:val="en"/>
              </w:rPr>
              <w:t>CA486040</w:t>
            </w:r>
          </w:p>
          <w:p w:rsidR="00B352DD" w:rsidRPr="00B352DD" w:rsidRDefault="00B352DD" w:rsidP="00B352DD">
            <w:pPr>
              <w:jc w:val="both"/>
              <w:rPr>
                <w:sz w:val="20"/>
              </w:rPr>
            </w:pPr>
          </w:p>
        </w:tc>
        <w:tc>
          <w:tcPr>
            <w:tcW w:w="243" w:type="pct"/>
          </w:tcPr>
          <w:p w:rsidR="00B352DD" w:rsidRPr="00B352DD" w:rsidRDefault="00B352DD" w:rsidP="00B352DD">
            <w:pPr>
              <w:jc w:val="both"/>
              <w:rPr>
                <w:sz w:val="20"/>
              </w:rPr>
            </w:pPr>
          </w:p>
        </w:tc>
        <w:tc>
          <w:tcPr>
            <w:tcW w:w="2330" w:type="pct"/>
          </w:tcPr>
          <w:p w:rsidR="00B352DD" w:rsidRPr="00B352DD" w:rsidRDefault="00B352DD" w:rsidP="00B352DD">
            <w:pPr>
              <w:jc w:val="both"/>
              <w:rPr>
                <w:sz w:val="20"/>
              </w:rPr>
            </w:pPr>
            <w:r w:rsidRPr="00B352DD">
              <w:rPr>
                <w:sz w:val="20"/>
              </w:rPr>
              <w:t xml:space="preserve">Appeal allowed, verdict set aside, order to pay </w:t>
            </w:r>
            <w:r w:rsidRPr="00B352DD">
              <w:rPr>
                <w:sz w:val="20"/>
                <w:lang w:val="en"/>
              </w:rPr>
              <w:t>$118,713.27 to B2B Bank</w:t>
            </w:r>
          </w:p>
          <w:p w:rsidR="00B352DD" w:rsidRPr="00B352DD" w:rsidRDefault="00B352DD" w:rsidP="00B352DD">
            <w:pPr>
              <w:jc w:val="both"/>
              <w:rPr>
                <w:sz w:val="20"/>
              </w:rPr>
            </w:pPr>
          </w:p>
        </w:tc>
      </w:tr>
      <w:tr w:rsidR="00B352DD" w:rsidRPr="00B352DD" w:rsidTr="00B352DD">
        <w:tc>
          <w:tcPr>
            <w:tcW w:w="2427" w:type="pct"/>
            <w:gridSpan w:val="2"/>
          </w:tcPr>
          <w:p w:rsidR="00B352DD" w:rsidRPr="00B352DD" w:rsidRDefault="00B352DD" w:rsidP="00B352DD">
            <w:pPr>
              <w:jc w:val="both"/>
              <w:rPr>
                <w:sz w:val="20"/>
              </w:rPr>
            </w:pPr>
            <w:r w:rsidRPr="00B352DD">
              <w:rPr>
                <w:sz w:val="20"/>
              </w:rPr>
              <w:t>April 20, 2020</w:t>
            </w:r>
          </w:p>
          <w:p w:rsidR="00B352DD" w:rsidRPr="00B352DD" w:rsidRDefault="00B352DD" w:rsidP="00B352DD">
            <w:pPr>
              <w:jc w:val="both"/>
              <w:rPr>
                <w:sz w:val="20"/>
              </w:rPr>
            </w:pPr>
            <w:r w:rsidRPr="00B352DD">
              <w:rPr>
                <w:sz w:val="20"/>
              </w:rPr>
              <w:t>Supreme Court of Canada</w:t>
            </w:r>
          </w:p>
        </w:tc>
        <w:tc>
          <w:tcPr>
            <w:tcW w:w="243" w:type="pct"/>
          </w:tcPr>
          <w:p w:rsidR="00B352DD" w:rsidRPr="00B352DD" w:rsidRDefault="00B352DD" w:rsidP="00B352DD">
            <w:pPr>
              <w:jc w:val="both"/>
              <w:rPr>
                <w:sz w:val="20"/>
              </w:rPr>
            </w:pPr>
          </w:p>
        </w:tc>
        <w:tc>
          <w:tcPr>
            <w:tcW w:w="2330" w:type="pct"/>
          </w:tcPr>
          <w:p w:rsidR="00B352DD" w:rsidRPr="00B352DD" w:rsidRDefault="00B352DD" w:rsidP="00B352DD">
            <w:pPr>
              <w:jc w:val="both"/>
              <w:rPr>
                <w:sz w:val="20"/>
              </w:rPr>
            </w:pPr>
            <w:r w:rsidRPr="00B352DD">
              <w:rPr>
                <w:sz w:val="20"/>
              </w:rPr>
              <w:t>Application for leave to appeal filed</w:t>
            </w:r>
          </w:p>
          <w:p w:rsidR="00B352DD" w:rsidRPr="00B352DD" w:rsidRDefault="00B352DD" w:rsidP="00B352DD">
            <w:pPr>
              <w:jc w:val="both"/>
              <w:rPr>
                <w:sz w:val="20"/>
              </w:rPr>
            </w:pPr>
          </w:p>
        </w:tc>
      </w:tr>
    </w:tbl>
    <w:p w:rsidR="00B352DD" w:rsidRDefault="00B352DD" w:rsidP="00B352DD">
      <w:pPr>
        <w:jc w:val="both"/>
        <w:rPr>
          <w:sz w:val="20"/>
        </w:rPr>
      </w:pPr>
    </w:p>
    <w:p w:rsidR="00592ACB" w:rsidRDefault="008E695D" w:rsidP="00B352DD">
      <w:pPr>
        <w:jc w:val="both"/>
        <w:rPr>
          <w:sz w:val="20"/>
        </w:rPr>
      </w:pPr>
      <w:r>
        <w:rPr>
          <w:sz w:val="20"/>
        </w:rPr>
        <w:pict>
          <v:rect id="_x0000_i1035" style="width:2in;height:1pt" o:hrpct="0" o:hralign="center" o:hrstd="t" o:hrnoshade="t" o:hr="t" fillcolor="black [3213]" stroked="f"/>
        </w:pict>
      </w:r>
    </w:p>
    <w:p w:rsidR="00592ACB" w:rsidRPr="00B352DD" w:rsidRDefault="00592ACB" w:rsidP="00B352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52DD" w:rsidRPr="00B352DD" w:rsidTr="00B352DD">
        <w:tc>
          <w:tcPr>
            <w:tcW w:w="543" w:type="pct"/>
          </w:tcPr>
          <w:p w:rsidR="00B352DD" w:rsidRPr="00B352DD" w:rsidRDefault="00B352DD" w:rsidP="00B352DD">
            <w:pPr>
              <w:jc w:val="both"/>
              <w:rPr>
                <w:sz w:val="20"/>
                <w:lang w:val="fr-CA"/>
              </w:rPr>
            </w:pPr>
            <w:r w:rsidRPr="00B352DD">
              <w:rPr>
                <w:rStyle w:val="SCCFileNumberChar"/>
                <w:sz w:val="20"/>
                <w:szCs w:val="20"/>
                <w:lang w:val="fr-CA"/>
              </w:rPr>
              <w:t>39174</w:t>
            </w:r>
          </w:p>
        </w:tc>
        <w:tc>
          <w:tcPr>
            <w:tcW w:w="4457" w:type="pct"/>
            <w:gridSpan w:val="3"/>
          </w:tcPr>
          <w:p w:rsidR="00B352DD" w:rsidRPr="00592ACB" w:rsidRDefault="00B352DD" w:rsidP="00B352DD">
            <w:pPr>
              <w:pStyle w:val="SCCLsocParty"/>
              <w:jc w:val="both"/>
              <w:rPr>
                <w:b/>
                <w:sz w:val="20"/>
                <w:szCs w:val="20"/>
                <w:lang w:val="en-US"/>
              </w:rPr>
            </w:pPr>
            <w:r w:rsidRPr="00592ACB">
              <w:rPr>
                <w:b/>
                <w:sz w:val="20"/>
                <w:szCs w:val="20"/>
                <w:lang w:val="en-US"/>
              </w:rPr>
              <w:t xml:space="preserve">Wilma Shane c. </w:t>
            </w:r>
            <w:r w:rsidR="00967433" w:rsidRPr="00B352DD">
              <w:rPr>
                <w:b/>
                <w:sz w:val="20"/>
                <w:szCs w:val="20"/>
                <w:lang w:val="en-US"/>
              </w:rPr>
              <w:t>B2B Bank</w:t>
            </w:r>
            <w:r w:rsidR="00967433" w:rsidRPr="009E66E7">
              <w:rPr>
                <w:lang w:val="en-US"/>
              </w:rPr>
              <w:t xml:space="preserve"> </w:t>
            </w:r>
            <w:r w:rsidR="00967433" w:rsidRPr="009E66E7">
              <w:rPr>
                <w:b/>
                <w:sz w:val="20"/>
                <w:szCs w:val="20"/>
                <w:lang w:val="en-US"/>
              </w:rPr>
              <w:t>/B2B Banque</w:t>
            </w:r>
          </w:p>
          <w:p w:rsidR="00B352DD" w:rsidRPr="00B352DD" w:rsidRDefault="00B352DD" w:rsidP="00B352DD">
            <w:pPr>
              <w:jc w:val="both"/>
              <w:rPr>
                <w:sz w:val="20"/>
                <w:lang w:val="fr-CA"/>
              </w:rPr>
            </w:pPr>
            <w:r w:rsidRPr="008C17EE">
              <w:rPr>
                <w:sz w:val="20"/>
              </w:rPr>
              <w:t>(N.</w:t>
            </w:r>
            <w:r w:rsidRPr="008C17EE">
              <w:rPr>
                <w:sz w:val="20"/>
              </w:rPr>
              <w:noBreakHyphen/>
              <w:t xml:space="preserve">É.) </w:t>
            </w:r>
            <w:r w:rsidRPr="00B352DD">
              <w:rPr>
                <w:sz w:val="20"/>
                <w:lang w:val="fr-CA"/>
              </w:rPr>
              <w:t>(Civile) (Autorisation)</w:t>
            </w:r>
          </w:p>
        </w:tc>
      </w:tr>
      <w:tr w:rsidR="00B352DD" w:rsidRPr="008E695D" w:rsidTr="00B352DD">
        <w:tc>
          <w:tcPr>
            <w:tcW w:w="5000" w:type="pct"/>
            <w:gridSpan w:val="4"/>
          </w:tcPr>
          <w:p w:rsidR="00B352DD" w:rsidRPr="00B352DD" w:rsidRDefault="00B352DD" w:rsidP="00B352DD">
            <w:pPr>
              <w:jc w:val="both"/>
              <w:rPr>
                <w:sz w:val="20"/>
                <w:lang w:val="fr-CA"/>
              </w:rPr>
            </w:pPr>
            <w:r w:rsidRPr="00B352DD">
              <w:rPr>
                <w:sz w:val="20"/>
                <w:lang w:val="fr-CA"/>
              </w:rPr>
              <w:t>Appels — Norme de contrôle — Restitution — Enrichissement sans cause — Institutions financières — Banques — Obligation de diligence — L’application du principe de l’iniquité peut</w:t>
            </w:r>
            <w:r w:rsidRPr="00B352DD">
              <w:rPr>
                <w:sz w:val="20"/>
                <w:lang w:val="fr-CA"/>
              </w:rPr>
              <w:noBreakHyphen/>
              <w:t>elle être considérée comme un motif juridique dans le critère applicable en matière d’enrichissement sans cause? — Des circonstances particulières ont</w:t>
            </w:r>
            <w:r w:rsidRPr="00B352DD">
              <w:rPr>
                <w:sz w:val="20"/>
                <w:lang w:val="fr-CA"/>
              </w:rPr>
              <w:noBreakHyphen/>
              <w:t xml:space="preserve">elles imposé à la banque une obligation de diligence? — Norme de contrôle applicable à un procès civil devant jury. </w:t>
            </w:r>
          </w:p>
        </w:tc>
      </w:tr>
      <w:tr w:rsidR="00B352DD" w:rsidRPr="008E695D" w:rsidTr="00B352DD">
        <w:tc>
          <w:tcPr>
            <w:tcW w:w="5000" w:type="pct"/>
            <w:gridSpan w:val="4"/>
          </w:tcPr>
          <w:p w:rsidR="00B352DD" w:rsidRPr="00B352DD" w:rsidRDefault="00B352DD" w:rsidP="00B352DD">
            <w:pPr>
              <w:jc w:val="both"/>
              <w:rPr>
                <w:sz w:val="20"/>
                <w:lang w:val="fr-CA"/>
              </w:rPr>
            </w:pPr>
          </w:p>
        </w:tc>
      </w:tr>
      <w:tr w:rsidR="00B352DD" w:rsidRPr="008E695D" w:rsidTr="00B352DD">
        <w:tc>
          <w:tcPr>
            <w:tcW w:w="5000" w:type="pct"/>
            <w:gridSpan w:val="4"/>
          </w:tcPr>
          <w:p w:rsidR="00B352DD" w:rsidRPr="00B352DD" w:rsidRDefault="00B352DD" w:rsidP="00B352DD">
            <w:pPr>
              <w:jc w:val="both"/>
              <w:rPr>
                <w:sz w:val="20"/>
                <w:lang w:val="fr-CA"/>
              </w:rPr>
            </w:pPr>
            <w:r w:rsidRPr="00B352DD">
              <w:rPr>
                <w:sz w:val="20"/>
                <w:lang w:val="fr-CA"/>
              </w:rPr>
              <w:t>En juillet 2007, un conseiller financier a obtenu au nom de Mme Shane un prêt de 245 000 $ de la banque qu’a remplacée B2B Banque. À l’insu de Mme Shane, le conseiller avait utilisé des documents falsifiés. Le prêt n’exigeait que des versements mensuels d’intérêt. Le produit du prêt a été acheté pour acquérir des fonds communs de placement qui ont été donnés en garantie du prêt. En septembre 2007, l’employeur du conseiller financier, Keybase Financial Group, a communiqué avec Mme Shane et l’a informée que son conseiller avait pu surévaluer sa valeur nette lors de la demande de prêt. Elle a subséquemment déposé une plainte auprès de la Commission des valeurs mobilières de la Nouvelle</w:t>
            </w:r>
            <w:r w:rsidRPr="00B352DD">
              <w:rPr>
                <w:sz w:val="20"/>
                <w:lang w:val="fr-CA"/>
              </w:rPr>
              <w:noBreakHyphen/>
              <w:t>Écosse et a poursuivi avec succès Keybase Financial Group en dommages</w:t>
            </w:r>
            <w:r w:rsidRPr="00B352DD">
              <w:rPr>
                <w:sz w:val="20"/>
                <w:lang w:val="fr-CA"/>
              </w:rPr>
              <w:noBreakHyphen/>
              <w:t>intérêts, réglant à l’amiable pour 210 003,71 $. Madame Shane croyait que la valeur du fonds commun de placement ne couvrirait pas une pénalité de rachat du solde du prêt. Elle a demandé à la banque de ne pas racheter le fonds commun de placement en garantie. Elle a cessé de faire les versements mensuels d’intérêt sur le prêt en mai 2015 et elle n’a pas fait le moindre remboursement du prêt. B2B Banque a racheté le fonds commun de placement et a imputé le produit au rachat du prêt. Elle a déposé une demande contre Mme Shane pour le solde impayé, plaidant l’enrichissement sans cause. Les parties ont convenu au procès devant un jury civil que si Mme Shane s’était enrichie sans cause, l’enrichissement  s’établissait à 118 713,27 $. Le jury a jugé que Mme Shane ne devait rien à B2B Banque. B2B Banque a interjeté appel. La Cour d’appel a annulé le verdict du jury, conclu à l’enrichissement sans cause et ordonné à Mme Shane de payer la somme de 118 713,27 $ à B2B Banque.</w:t>
            </w:r>
          </w:p>
          <w:p w:rsidR="00B352DD" w:rsidRPr="00B352DD" w:rsidRDefault="00B352DD" w:rsidP="00B352DD">
            <w:pPr>
              <w:jc w:val="both"/>
              <w:rPr>
                <w:sz w:val="20"/>
                <w:lang w:val="fr-CA"/>
              </w:rPr>
            </w:pPr>
          </w:p>
        </w:tc>
      </w:tr>
      <w:tr w:rsidR="00B352DD" w:rsidRPr="008E695D" w:rsidTr="00B352DD">
        <w:tc>
          <w:tcPr>
            <w:tcW w:w="2427" w:type="pct"/>
            <w:gridSpan w:val="2"/>
          </w:tcPr>
          <w:p w:rsidR="00B352DD" w:rsidRPr="00B352DD" w:rsidRDefault="00B352DD" w:rsidP="00B352DD">
            <w:pPr>
              <w:jc w:val="both"/>
              <w:rPr>
                <w:sz w:val="20"/>
                <w:lang w:val="fr-CA"/>
              </w:rPr>
            </w:pPr>
            <w:r w:rsidRPr="00B352DD">
              <w:rPr>
                <w:sz w:val="20"/>
                <w:lang w:val="fr-CA"/>
              </w:rPr>
              <w:t>4 février 2019</w:t>
            </w:r>
          </w:p>
          <w:p w:rsidR="00B352DD" w:rsidRPr="00B352DD" w:rsidRDefault="00B352DD" w:rsidP="00B352DD">
            <w:pPr>
              <w:jc w:val="both"/>
              <w:rPr>
                <w:sz w:val="20"/>
                <w:lang w:val="fr-CA"/>
              </w:rPr>
            </w:pPr>
            <w:r w:rsidRPr="00B352DD">
              <w:rPr>
                <w:sz w:val="20"/>
                <w:lang w:val="fr-CA"/>
              </w:rPr>
              <w:t>Cour suprême de la Nouvelle</w:t>
            </w:r>
            <w:r w:rsidRPr="00B352DD">
              <w:rPr>
                <w:sz w:val="20"/>
                <w:lang w:val="fr-CA"/>
              </w:rPr>
              <w:noBreakHyphen/>
              <w:t>Écosse, Section de première instance</w:t>
            </w:r>
          </w:p>
          <w:p w:rsidR="00B352DD" w:rsidRPr="00B352DD" w:rsidRDefault="00B352DD" w:rsidP="00B352DD">
            <w:pPr>
              <w:jc w:val="both"/>
              <w:rPr>
                <w:sz w:val="20"/>
                <w:lang w:val="fr-CA"/>
              </w:rPr>
            </w:pPr>
            <w:r w:rsidRPr="00B352DD">
              <w:rPr>
                <w:sz w:val="20"/>
                <w:lang w:val="fr-CA"/>
              </w:rPr>
              <w:t>(Juge Smith)(Non publié)</w:t>
            </w:r>
          </w:p>
          <w:p w:rsidR="00B352DD" w:rsidRPr="00B352DD" w:rsidRDefault="00B352DD" w:rsidP="00B352DD">
            <w:pPr>
              <w:jc w:val="both"/>
              <w:rPr>
                <w:sz w:val="20"/>
                <w:lang w:val="fr-CA"/>
              </w:rPr>
            </w:pPr>
          </w:p>
        </w:tc>
        <w:tc>
          <w:tcPr>
            <w:tcW w:w="243" w:type="pct"/>
          </w:tcPr>
          <w:p w:rsidR="00B352DD" w:rsidRPr="00B352DD" w:rsidRDefault="00B352DD" w:rsidP="00B352DD">
            <w:pPr>
              <w:jc w:val="both"/>
              <w:rPr>
                <w:sz w:val="20"/>
                <w:lang w:val="fr-CA"/>
              </w:rPr>
            </w:pPr>
          </w:p>
        </w:tc>
        <w:tc>
          <w:tcPr>
            <w:tcW w:w="2330" w:type="pct"/>
          </w:tcPr>
          <w:p w:rsidR="00B352DD" w:rsidRPr="00B352DD" w:rsidRDefault="00B352DD" w:rsidP="00B352DD">
            <w:pPr>
              <w:spacing w:before="100" w:beforeAutospacing="1" w:after="100" w:afterAutospacing="1"/>
              <w:jc w:val="both"/>
              <w:rPr>
                <w:sz w:val="20"/>
                <w:lang w:val="fr-CA"/>
              </w:rPr>
            </w:pPr>
            <w:r w:rsidRPr="00B352DD">
              <w:rPr>
                <w:sz w:val="20"/>
                <w:lang w:val="fr-CA"/>
              </w:rPr>
              <w:t>Verdict du jury concluant que Mme Shane ne doit rien à B2B Banque</w:t>
            </w:r>
          </w:p>
          <w:p w:rsidR="00B352DD" w:rsidRPr="00B352DD" w:rsidRDefault="00B352DD" w:rsidP="00B352DD">
            <w:pPr>
              <w:jc w:val="both"/>
              <w:rPr>
                <w:sz w:val="20"/>
                <w:lang w:val="fr-CA"/>
              </w:rPr>
            </w:pPr>
          </w:p>
        </w:tc>
      </w:tr>
      <w:tr w:rsidR="00B352DD" w:rsidRPr="008E695D" w:rsidTr="00B352DD">
        <w:tc>
          <w:tcPr>
            <w:tcW w:w="2427" w:type="pct"/>
            <w:gridSpan w:val="2"/>
          </w:tcPr>
          <w:p w:rsidR="00B352DD" w:rsidRPr="00B352DD" w:rsidRDefault="00B352DD" w:rsidP="00B352DD">
            <w:pPr>
              <w:jc w:val="both"/>
              <w:rPr>
                <w:sz w:val="20"/>
                <w:lang w:val="fr-CA"/>
              </w:rPr>
            </w:pPr>
            <w:r w:rsidRPr="00B352DD">
              <w:rPr>
                <w:sz w:val="20"/>
                <w:lang w:val="fr-CA"/>
              </w:rPr>
              <w:t>20 février 2020</w:t>
            </w:r>
          </w:p>
          <w:p w:rsidR="00B352DD" w:rsidRPr="00B352DD" w:rsidRDefault="00B352DD" w:rsidP="00B352DD">
            <w:pPr>
              <w:jc w:val="both"/>
              <w:rPr>
                <w:sz w:val="20"/>
                <w:lang w:val="fr-CA"/>
              </w:rPr>
            </w:pPr>
            <w:r w:rsidRPr="00B352DD">
              <w:rPr>
                <w:sz w:val="20"/>
                <w:lang w:val="fr-CA"/>
              </w:rPr>
              <w:t>Cour d’appel de la Nouvelle</w:t>
            </w:r>
            <w:r w:rsidRPr="00B352DD">
              <w:rPr>
                <w:sz w:val="20"/>
                <w:lang w:val="fr-CA"/>
              </w:rPr>
              <w:noBreakHyphen/>
              <w:t>Écosse</w:t>
            </w:r>
          </w:p>
          <w:p w:rsidR="00B352DD" w:rsidRPr="00B352DD" w:rsidRDefault="00B352DD" w:rsidP="00B352DD">
            <w:pPr>
              <w:jc w:val="both"/>
              <w:rPr>
                <w:sz w:val="20"/>
                <w:lang w:val="fr-CA"/>
              </w:rPr>
            </w:pPr>
            <w:r w:rsidRPr="00B352DD">
              <w:rPr>
                <w:sz w:val="20"/>
                <w:lang w:val="fr-CA"/>
              </w:rPr>
              <w:t>(Juge Farrar, Saunders et Hamilton)</w:t>
            </w:r>
          </w:p>
          <w:p w:rsidR="00B352DD" w:rsidRPr="00B352DD" w:rsidRDefault="008E695D" w:rsidP="00B352DD">
            <w:pPr>
              <w:jc w:val="both"/>
              <w:rPr>
                <w:sz w:val="20"/>
                <w:lang w:val="fr-CA"/>
              </w:rPr>
            </w:pPr>
            <w:hyperlink r:id="rId24" w:history="1">
              <w:r w:rsidR="00B352DD" w:rsidRPr="00B352DD">
                <w:rPr>
                  <w:rStyle w:val="Hyperlink"/>
                  <w:sz w:val="20"/>
                  <w:lang w:val="fr-CA"/>
                </w:rPr>
                <w:t>2020 NSCA 15</w:t>
              </w:r>
            </w:hyperlink>
            <w:r w:rsidR="00B352DD" w:rsidRPr="00B352DD">
              <w:rPr>
                <w:sz w:val="20"/>
                <w:lang w:val="fr-CA"/>
              </w:rPr>
              <w:t>; CA486040</w:t>
            </w:r>
          </w:p>
          <w:p w:rsidR="00B352DD" w:rsidRPr="00B352DD" w:rsidRDefault="00B352DD" w:rsidP="00B352DD">
            <w:pPr>
              <w:jc w:val="both"/>
              <w:rPr>
                <w:sz w:val="20"/>
                <w:lang w:val="fr-CA"/>
              </w:rPr>
            </w:pPr>
          </w:p>
        </w:tc>
        <w:tc>
          <w:tcPr>
            <w:tcW w:w="243" w:type="pct"/>
          </w:tcPr>
          <w:p w:rsidR="00B352DD" w:rsidRPr="00B352DD" w:rsidRDefault="00B352DD" w:rsidP="00B352DD">
            <w:pPr>
              <w:jc w:val="both"/>
              <w:rPr>
                <w:sz w:val="20"/>
                <w:lang w:val="fr-CA"/>
              </w:rPr>
            </w:pPr>
          </w:p>
        </w:tc>
        <w:tc>
          <w:tcPr>
            <w:tcW w:w="2330" w:type="pct"/>
          </w:tcPr>
          <w:p w:rsidR="00B352DD" w:rsidRPr="00B352DD" w:rsidRDefault="00B352DD" w:rsidP="00B352DD">
            <w:pPr>
              <w:jc w:val="both"/>
              <w:rPr>
                <w:sz w:val="20"/>
                <w:lang w:val="fr-CA"/>
              </w:rPr>
            </w:pPr>
            <w:r w:rsidRPr="00B352DD">
              <w:rPr>
                <w:sz w:val="20"/>
                <w:lang w:val="fr-CA"/>
              </w:rPr>
              <w:t>Arrêt accueillant l’appel, annulant le verdict et ordonnant le paiement de 118 713,27 $ à B2B Banque</w:t>
            </w:r>
          </w:p>
          <w:p w:rsidR="00B352DD" w:rsidRPr="00B352DD" w:rsidRDefault="00B352DD" w:rsidP="00B352DD">
            <w:pPr>
              <w:jc w:val="both"/>
              <w:rPr>
                <w:sz w:val="20"/>
                <w:lang w:val="fr-CA"/>
              </w:rPr>
            </w:pPr>
          </w:p>
        </w:tc>
      </w:tr>
      <w:tr w:rsidR="00B352DD" w:rsidRPr="008E695D" w:rsidTr="00B352DD">
        <w:tc>
          <w:tcPr>
            <w:tcW w:w="2427" w:type="pct"/>
            <w:gridSpan w:val="2"/>
          </w:tcPr>
          <w:p w:rsidR="00B352DD" w:rsidRPr="00B352DD" w:rsidRDefault="00B352DD" w:rsidP="00B352DD">
            <w:pPr>
              <w:jc w:val="both"/>
              <w:rPr>
                <w:sz w:val="20"/>
                <w:lang w:val="fr-CA"/>
              </w:rPr>
            </w:pPr>
            <w:r w:rsidRPr="00B352DD">
              <w:rPr>
                <w:sz w:val="20"/>
                <w:lang w:val="fr-CA"/>
              </w:rPr>
              <w:t>20 avril 2020</w:t>
            </w:r>
          </w:p>
          <w:p w:rsidR="00B352DD" w:rsidRPr="00B352DD" w:rsidRDefault="00B352DD" w:rsidP="00B352DD">
            <w:pPr>
              <w:jc w:val="both"/>
              <w:rPr>
                <w:sz w:val="20"/>
                <w:lang w:val="fr-CA"/>
              </w:rPr>
            </w:pPr>
            <w:r w:rsidRPr="00B352DD">
              <w:rPr>
                <w:sz w:val="20"/>
                <w:lang w:val="fr-CA"/>
              </w:rPr>
              <w:t>Cour suprême Canada</w:t>
            </w:r>
          </w:p>
        </w:tc>
        <w:tc>
          <w:tcPr>
            <w:tcW w:w="243" w:type="pct"/>
          </w:tcPr>
          <w:p w:rsidR="00B352DD" w:rsidRPr="00B352DD" w:rsidRDefault="00B352DD" w:rsidP="00B352DD">
            <w:pPr>
              <w:jc w:val="both"/>
              <w:rPr>
                <w:sz w:val="20"/>
                <w:lang w:val="fr-CA"/>
              </w:rPr>
            </w:pPr>
          </w:p>
        </w:tc>
        <w:tc>
          <w:tcPr>
            <w:tcW w:w="2330" w:type="pct"/>
          </w:tcPr>
          <w:p w:rsidR="00B352DD" w:rsidRPr="00B352DD" w:rsidRDefault="00B352DD" w:rsidP="00B352DD">
            <w:pPr>
              <w:jc w:val="both"/>
              <w:rPr>
                <w:sz w:val="20"/>
                <w:lang w:val="fr-CA"/>
              </w:rPr>
            </w:pPr>
            <w:r w:rsidRPr="00B352DD">
              <w:rPr>
                <w:sz w:val="20"/>
                <w:lang w:val="fr-CA"/>
              </w:rPr>
              <w:t>Dépôt de la demande d’autorisation d’appel</w:t>
            </w:r>
          </w:p>
          <w:p w:rsidR="00B352DD" w:rsidRPr="00B352DD" w:rsidRDefault="00B352DD" w:rsidP="00B352DD">
            <w:pPr>
              <w:jc w:val="both"/>
              <w:rPr>
                <w:sz w:val="20"/>
                <w:lang w:val="fr-CA"/>
              </w:rPr>
            </w:pPr>
          </w:p>
        </w:tc>
      </w:tr>
    </w:tbl>
    <w:p w:rsidR="00F61FFA" w:rsidRPr="00B352DD" w:rsidRDefault="00F61FFA" w:rsidP="002E6084">
      <w:pPr>
        <w:widowControl w:val="0"/>
        <w:jc w:val="both"/>
        <w:rPr>
          <w:sz w:val="20"/>
          <w:lang w:val="fr-CA"/>
        </w:rPr>
      </w:pPr>
    </w:p>
    <w:p w:rsidR="00E85588" w:rsidRPr="00575C32" w:rsidRDefault="008E695D" w:rsidP="00E85588">
      <w:pPr>
        <w:jc w:val="both"/>
        <w:rPr>
          <w:sz w:val="20"/>
        </w:rPr>
      </w:pPr>
      <w:r>
        <w:rPr>
          <w:sz w:val="20"/>
        </w:rPr>
        <w:pict>
          <v:rect id="_x0000_i1036" style="width:2in;height:1pt" o:hrpct="0" o:hralign="center" o:hrstd="t" o:hrnoshade="t" o:hr="t" fillcolor="black [3213]" stroked="f"/>
        </w:pict>
      </w:r>
    </w:p>
    <w:p w:rsidR="00E85588" w:rsidRPr="00575C32" w:rsidRDefault="00E85588" w:rsidP="00E85588">
      <w:pPr>
        <w:jc w:val="both"/>
        <w:rPr>
          <w:sz w:val="20"/>
        </w:rPr>
      </w:pPr>
    </w:p>
    <w:p w:rsidR="005C7161" w:rsidRPr="00575C32" w:rsidRDefault="005C7161" w:rsidP="006A22CA">
      <w:pPr>
        <w:ind w:left="142" w:hanging="142"/>
        <w:jc w:val="both"/>
        <w:rPr>
          <w:sz w:val="20"/>
          <w:lang w:val="fr-CA"/>
        </w:rPr>
      </w:pPr>
    </w:p>
    <w:p w:rsidR="00FD3FA0" w:rsidRPr="00575C32" w:rsidRDefault="00FD3FA0" w:rsidP="006A22CA">
      <w:pPr>
        <w:ind w:left="142" w:hanging="142"/>
        <w:jc w:val="both"/>
        <w:rPr>
          <w:sz w:val="20"/>
          <w:lang w:val="fr-CA"/>
        </w:rPr>
      </w:pPr>
    </w:p>
    <w:p w:rsidR="00D3344A" w:rsidRPr="00575C32" w:rsidRDefault="00D3344A" w:rsidP="00D3344A">
      <w:pPr>
        <w:widowControl w:val="0"/>
        <w:outlineLvl w:val="0"/>
      </w:pPr>
      <w:r w:rsidRPr="00575C32">
        <w:t>Supreme Court of Canada / Cour suprême du Canad</w:t>
      </w:r>
      <w:r w:rsidR="00EE289F" w:rsidRPr="00575C32">
        <w:t>a</w:t>
      </w:r>
      <w:r w:rsidRPr="00575C32">
        <w:t xml:space="preserve"> :</w:t>
      </w:r>
    </w:p>
    <w:p w:rsidR="00D3344A" w:rsidRPr="00575C32" w:rsidRDefault="008E695D" w:rsidP="00D3344A">
      <w:pPr>
        <w:widowControl w:val="0"/>
        <w:outlineLvl w:val="0"/>
        <w:rPr>
          <w:u w:val="single"/>
        </w:rPr>
      </w:pPr>
      <w:hyperlink r:id="rId25" w:history="1">
        <w:r w:rsidR="009B7391" w:rsidRPr="00575C32">
          <w:rPr>
            <w:rStyle w:val="Hyperlink"/>
          </w:rPr>
          <w:t>comments-commentaires@scc-csc.ca</w:t>
        </w:r>
      </w:hyperlink>
    </w:p>
    <w:p w:rsidR="00D3344A" w:rsidRPr="00575C32" w:rsidRDefault="0065588C" w:rsidP="00D3344A">
      <w:pPr>
        <w:widowControl w:val="0"/>
        <w:outlineLvl w:val="0"/>
      </w:pPr>
      <w:r w:rsidRPr="00575C32">
        <w:t>613-</w:t>
      </w:r>
      <w:r w:rsidR="00D3344A" w:rsidRPr="00575C32">
        <w:t>995-4330</w:t>
      </w:r>
    </w:p>
    <w:p w:rsidR="00497B5E" w:rsidRPr="00575C32" w:rsidRDefault="00497B5E" w:rsidP="00497B5E">
      <w:pPr>
        <w:widowControl w:val="0"/>
        <w:rPr>
          <w:sz w:val="20"/>
        </w:rPr>
      </w:pPr>
    </w:p>
    <w:p w:rsidR="00F6251B" w:rsidRPr="006E558B" w:rsidRDefault="003F43E6" w:rsidP="00F6251B">
      <w:pPr>
        <w:pStyle w:val="Footer"/>
        <w:jc w:val="center"/>
      </w:pPr>
      <w:r w:rsidRPr="00575C32">
        <w:t>- 30 -</w:t>
      </w:r>
    </w:p>
    <w:sectPr w:rsidR="00F6251B" w:rsidRPr="006E558B" w:rsidSect="00E62F93">
      <w:headerReference w:type="even" r:id="rId26"/>
      <w:headerReference w:type="default" r:id="rId27"/>
      <w:footerReference w:type="even" r:id="rId28"/>
      <w:footerReference w:type="default" r:id="rId29"/>
      <w:headerReference w:type="first" r:id="rId30"/>
      <w:footerReference w:type="first" r:id="rId31"/>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2DD" w:rsidRDefault="00B352DD" w:rsidP="0034178A">
      <w:r>
        <w:separator/>
      </w:r>
    </w:p>
  </w:endnote>
  <w:endnote w:type="continuationSeparator" w:id="0">
    <w:p w:rsidR="00B352DD" w:rsidRDefault="00B352D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2DD" w:rsidRDefault="00B35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2DD" w:rsidRPr="009F77F0" w:rsidRDefault="00B352DD"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2DD" w:rsidRDefault="00B35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2DD" w:rsidRDefault="00B352DD" w:rsidP="0034178A">
      <w:r>
        <w:separator/>
      </w:r>
    </w:p>
  </w:footnote>
  <w:footnote w:type="continuationSeparator" w:id="0">
    <w:p w:rsidR="00B352DD" w:rsidRDefault="00B352D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2DD" w:rsidRDefault="00B35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2DD" w:rsidRDefault="00B352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2DD" w:rsidRDefault="00B35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CD37C3"/>
    <w:multiLevelType w:val="hybridMultilevel"/>
    <w:tmpl w:val="006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5A5CD1"/>
    <w:multiLevelType w:val="hybridMultilevel"/>
    <w:tmpl w:val="00DA1D12"/>
    <w:lvl w:ilvl="0" w:tplc="6128A3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8"/>
  </w:num>
  <w:num w:numId="15">
    <w:abstractNumId w:val="15"/>
  </w:num>
  <w:num w:numId="16">
    <w:abstractNumId w:val="7"/>
  </w:num>
  <w:num w:numId="17">
    <w:abstractNumId w:val="14"/>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55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37B4"/>
    <w:rsid w:val="00043D20"/>
    <w:rsid w:val="00043FDE"/>
    <w:rsid w:val="000464AC"/>
    <w:rsid w:val="000467DE"/>
    <w:rsid w:val="00046CB2"/>
    <w:rsid w:val="00046DF1"/>
    <w:rsid w:val="00047188"/>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5945"/>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D80"/>
    <w:rsid w:val="00295E8C"/>
    <w:rsid w:val="00296148"/>
    <w:rsid w:val="0029649C"/>
    <w:rsid w:val="00296FB8"/>
    <w:rsid w:val="0029771E"/>
    <w:rsid w:val="002A01ED"/>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E57"/>
    <w:rsid w:val="00463731"/>
    <w:rsid w:val="00463A9F"/>
    <w:rsid w:val="00463CEF"/>
    <w:rsid w:val="00463DEF"/>
    <w:rsid w:val="004648AA"/>
    <w:rsid w:val="00464FEE"/>
    <w:rsid w:val="004672B7"/>
    <w:rsid w:val="00467391"/>
    <w:rsid w:val="004706A0"/>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6BA"/>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303F"/>
    <w:rsid w:val="006830FC"/>
    <w:rsid w:val="00683770"/>
    <w:rsid w:val="00683926"/>
    <w:rsid w:val="00683B58"/>
    <w:rsid w:val="006849D2"/>
    <w:rsid w:val="00685035"/>
    <w:rsid w:val="00685F7C"/>
    <w:rsid w:val="00686775"/>
    <w:rsid w:val="00686A7E"/>
    <w:rsid w:val="00686C41"/>
    <w:rsid w:val="00686CAE"/>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7EE"/>
    <w:rsid w:val="008C1D8B"/>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695D"/>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6B50"/>
    <w:rsid w:val="00917B21"/>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E2A"/>
    <w:rsid w:val="009B0602"/>
    <w:rsid w:val="009B0987"/>
    <w:rsid w:val="009B0CAB"/>
    <w:rsid w:val="009B121B"/>
    <w:rsid w:val="009B144A"/>
    <w:rsid w:val="009B14F4"/>
    <w:rsid w:val="009B177F"/>
    <w:rsid w:val="009B17DB"/>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AE6"/>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5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044" TargetMode="External"/><Relationship Id="rId13" Type="http://schemas.openxmlformats.org/officeDocument/2006/relationships/hyperlink" Target="https://www.canlii.org/en/bc/bcsc/doc/2018/2018bcsc1192/2018bcsc1192.html" TargetMode="External"/><Relationship Id="rId18" Type="http://schemas.openxmlformats.org/officeDocument/2006/relationships/hyperlink" Target="https://www.canlii.org/fr/qc/qcca/doc/2020/2020qcca412/2020qcca412.html?autocompleteStr=%2C%202020%20QCCA%20412&amp;autocompletePos=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anlii.org/en/on/onca/doc/2019/2019onca957/2019onca957.html?resultIndex=1" TargetMode="External"/><Relationship Id="rId7" Type="http://schemas.openxmlformats.org/officeDocument/2006/relationships/endnotes" Target="endnotes.xml"/><Relationship Id="rId12" Type="http://schemas.openxmlformats.org/officeDocument/2006/relationships/hyperlink" Target="https://www.scc-csc.ca/case-dossier/info/sum-som-eng.aspx?cas=39174" TargetMode="External"/><Relationship Id="rId17" Type="http://schemas.openxmlformats.org/officeDocument/2006/relationships/hyperlink" Target="https://www.canlii.org/en/qc/qccs/doc/2018/2018qccs4555/2018qccs4555.html?resultIndex=1" TargetMode="External"/><Relationship Id="rId25" Type="http://schemas.openxmlformats.org/officeDocument/2006/relationships/hyperlink" Target="mailto:comments-commentaires@scc-cs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lii.org/en/bc/bcca/doc/2019/2019bcca440/2019bcca440.html" TargetMode="External"/><Relationship Id="rId20" Type="http://schemas.openxmlformats.org/officeDocument/2006/relationships/hyperlink" Target="https://www.canlii.org/fr/qc/qcca/doc/2020/2020qcca412/2020qcca412.html?autocompleteStr=%2C%202020%20QCCA%20412&amp;autocompletePos=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223" TargetMode="External"/><Relationship Id="rId24" Type="http://schemas.openxmlformats.org/officeDocument/2006/relationships/hyperlink" Target="https://www.canlii.org/en/ns/nsca/doc/2020/2020nsca15/2020nsca15.html?resultIndex=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lii.org/en/bc/bcsc/doc/2018/2018bcsc1192/2018bcsc1192.html" TargetMode="External"/><Relationship Id="rId23" Type="http://schemas.openxmlformats.org/officeDocument/2006/relationships/hyperlink" Target="https://www.canlii.org/en/ns/nsca/doc/2020/2020nsca15/2020nsca15.html?resultIndex=1" TargetMode="External"/><Relationship Id="rId28" Type="http://schemas.openxmlformats.org/officeDocument/2006/relationships/footer" Target="footer1.xml"/><Relationship Id="rId10" Type="http://schemas.openxmlformats.org/officeDocument/2006/relationships/hyperlink" Target="https://www.scc-csc.ca/case-dossier/info/sum-som-eng.aspx?cas=39153" TargetMode="External"/><Relationship Id="rId19" Type="http://schemas.openxmlformats.org/officeDocument/2006/relationships/hyperlink" Target="https://www.canlii.org/en/qc/qccs/doc/2018/2018qccs4555/2018qccs4555.html?resultIndex=1"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9166" TargetMode="External"/><Relationship Id="rId14" Type="http://schemas.openxmlformats.org/officeDocument/2006/relationships/hyperlink" Target="https://www.canlii.org/en/bc/bcca/doc/2019/2019bcca440/2019bcca440.html" TargetMode="External"/><Relationship Id="rId22" Type="http://schemas.openxmlformats.org/officeDocument/2006/relationships/hyperlink" Target="https://www.canlii.org/en/on/onca/doc/2019/2019onca957/2019onca957.html?resultIndex=1"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0616-D30C-4BC3-9508-4FB30EF7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4316</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28861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2020-08-25T15:31:00Z</dcterms:modified>
</cp:coreProperties>
</file>