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D3BC4" w:rsidRDefault="002A192B" w:rsidP="002A192B">
      <w:pPr>
        <w:pStyle w:val="Header"/>
        <w:jc w:val="center"/>
        <w:rPr>
          <w:b/>
          <w:sz w:val="32"/>
        </w:rPr>
      </w:pPr>
      <w:r w:rsidRPr="002D3BC4">
        <w:rPr>
          <w:b/>
          <w:sz w:val="32"/>
        </w:rPr>
        <w:t>Supreme Court of Canada / Cour suprême du Canada</w:t>
      </w:r>
    </w:p>
    <w:p w:rsidR="002A192B" w:rsidRPr="002D3BC4" w:rsidRDefault="002A192B" w:rsidP="002A192B">
      <w:pPr>
        <w:widowControl w:val="0"/>
      </w:pPr>
    </w:p>
    <w:p w:rsidR="002A192B" w:rsidRPr="002D3BC4" w:rsidRDefault="002A192B" w:rsidP="002A192B">
      <w:pPr>
        <w:widowControl w:val="0"/>
      </w:pPr>
    </w:p>
    <w:p w:rsidR="001C4415" w:rsidRPr="002D3BC4" w:rsidRDefault="001C4415" w:rsidP="001C4415">
      <w:pPr>
        <w:widowControl w:val="0"/>
        <w:rPr>
          <w:i/>
          <w:sz w:val="20"/>
        </w:rPr>
      </w:pPr>
      <w:r w:rsidRPr="002D3BC4">
        <w:rPr>
          <w:i/>
          <w:sz w:val="20"/>
        </w:rPr>
        <w:t>(</w:t>
      </w:r>
      <w:r w:rsidR="003C50BF" w:rsidRPr="002D3BC4">
        <w:rPr>
          <w:i/>
          <w:sz w:val="20"/>
        </w:rPr>
        <w:t>Le</w:t>
      </w:r>
      <w:r w:rsidRPr="002D3BC4">
        <w:rPr>
          <w:i/>
          <w:sz w:val="20"/>
        </w:rPr>
        <w:t xml:space="preserve"> français suit)</w:t>
      </w:r>
    </w:p>
    <w:p w:rsidR="001C4415" w:rsidRPr="002D3BC4" w:rsidRDefault="001C4415" w:rsidP="001C4415">
      <w:pPr>
        <w:widowControl w:val="0"/>
      </w:pPr>
    </w:p>
    <w:p w:rsidR="001C4415" w:rsidRPr="002D3BC4" w:rsidRDefault="000347C1" w:rsidP="00214729">
      <w:pPr>
        <w:widowControl w:val="0"/>
        <w:jc w:val="center"/>
        <w:rPr>
          <w:b/>
        </w:rPr>
      </w:pPr>
      <w:r w:rsidRPr="002D3BC4">
        <w:fldChar w:fldCharType="begin"/>
      </w:r>
      <w:r w:rsidR="00FA7412" w:rsidRPr="002D3BC4">
        <w:instrText xml:space="preserve"> SEQ CHAPTER \h \r 1</w:instrText>
      </w:r>
      <w:r w:rsidRPr="002D3BC4">
        <w:fldChar w:fldCharType="end"/>
      </w:r>
      <w:r w:rsidR="00455BB9" w:rsidRPr="002D3BC4">
        <w:rPr>
          <w:b/>
        </w:rPr>
        <w:t>JUDGMENT</w:t>
      </w:r>
      <w:r w:rsidR="00FA7412" w:rsidRPr="002D3BC4">
        <w:rPr>
          <w:b/>
        </w:rPr>
        <w:t xml:space="preserve"> TO BE RENDERED IN APPEA</w:t>
      </w:r>
      <w:r w:rsidR="00CC2799" w:rsidRPr="002D3BC4">
        <w:rPr>
          <w:b/>
        </w:rPr>
        <w:t>L</w:t>
      </w:r>
    </w:p>
    <w:p w:rsidR="005A7C1B" w:rsidRPr="002D3BC4" w:rsidRDefault="005A7C1B" w:rsidP="005A7C1B">
      <w:pPr>
        <w:widowControl w:val="0"/>
      </w:pPr>
    </w:p>
    <w:p w:rsidR="00EC79B0" w:rsidRPr="002D3BC4" w:rsidRDefault="001663CD" w:rsidP="00EC79B0">
      <w:pPr>
        <w:widowControl w:val="0"/>
      </w:pPr>
      <w:r w:rsidRPr="002D3BC4">
        <w:rPr>
          <w:b/>
        </w:rPr>
        <w:t>October</w:t>
      </w:r>
      <w:r w:rsidR="00C86395" w:rsidRPr="002D3BC4">
        <w:rPr>
          <w:b/>
        </w:rPr>
        <w:t xml:space="preserve"> </w:t>
      </w:r>
      <w:r w:rsidR="002D3BC4" w:rsidRPr="002D3BC4">
        <w:rPr>
          <w:b/>
        </w:rPr>
        <w:t>26</w:t>
      </w:r>
      <w:r w:rsidR="00EC79B0" w:rsidRPr="002D3BC4">
        <w:rPr>
          <w:b/>
        </w:rPr>
        <w:t>, 2</w:t>
      </w:r>
      <w:r w:rsidR="00E6600C" w:rsidRPr="002D3BC4">
        <w:rPr>
          <w:b/>
        </w:rPr>
        <w:t>0</w:t>
      </w:r>
      <w:r w:rsidR="009544E9" w:rsidRPr="002D3BC4">
        <w:rPr>
          <w:b/>
        </w:rPr>
        <w:t>20</w:t>
      </w:r>
    </w:p>
    <w:p w:rsidR="00EC79B0" w:rsidRPr="002D3BC4" w:rsidRDefault="00EC79B0" w:rsidP="00EC79B0">
      <w:pPr>
        <w:widowControl w:val="0"/>
        <w:rPr>
          <w:b/>
        </w:rPr>
      </w:pPr>
      <w:r w:rsidRPr="002D3BC4">
        <w:rPr>
          <w:b/>
        </w:rPr>
        <w:t>For immediate release</w:t>
      </w:r>
    </w:p>
    <w:p w:rsidR="00EC79B0" w:rsidRPr="002D3BC4" w:rsidRDefault="00EC79B0" w:rsidP="00EC79B0">
      <w:pPr>
        <w:widowControl w:val="0"/>
      </w:pPr>
    </w:p>
    <w:p w:rsidR="00EC79B0" w:rsidRPr="002D3BC4" w:rsidRDefault="00EC79B0" w:rsidP="00EC79B0">
      <w:pPr>
        <w:widowControl w:val="0"/>
        <w:rPr>
          <w:lang w:val="fr-CA"/>
        </w:rPr>
      </w:pPr>
      <w:r w:rsidRPr="002D3BC4">
        <w:rPr>
          <w:b/>
        </w:rPr>
        <w:t>OTTAWA</w:t>
      </w:r>
      <w:r w:rsidRPr="002D3BC4">
        <w:t xml:space="preserve"> – The Supreme Court of Canad</w:t>
      </w:r>
      <w:r w:rsidR="00455BB9" w:rsidRPr="002D3BC4">
        <w:t>a announced today that judgment</w:t>
      </w:r>
      <w:r w:rsidRPr="002D3BC4">
        <w:t xml:space="preserve"> in the following appeal will be delivered at 9:45 a.m. E</w:t>
      </w:r>
      <w:r w:rsidR="00F17A28" w:rsidRPr="002D3BC4">
        <w:t>D</w:t>
      </w:r>
      <w:r w:rsidR="00DC6C1E" w:rsidRPr="002D3BC4">
        <w:t>T</w:t>
      </w:r>
      <w:r w:rsidR="00D74667" w:rsidRPr="002D3BC4">
        <w:t xml:space="preserve"> on</w:t>
      </w:r>
      <w:r w:rsidR="00DC6C1E" w:rsidRPr="002D3BC4">
        <w:t xml:space="preserve"> </w:t>
      </w:r>
      <w:r w:rsidR="00FB61C0" w:rsidRPr="002D3BC4">
        <w:t>Fri</w:t>
      </w:r>
      <w:r w:rsidR="00F531CE" w:rsidRPr="002D3BC4">
        <w:t>day</w:t>
      </w:r>
      <w:r w:rsidR="000A7900" w:rsidRPr="002D3BC4">
        <w:t xml:space="preserve">, </w:t>
      </w:r>
      <w:r w:rsidR="005C54ED" w:rsidRPr="002D3BC4">
        <w:t>October</w:t>
      </w:r>
      <w:r w:rsidR="004E605A" w:rsidRPr="002D3BC4">
        <w:t xml:space="preserve"> </w:t>
      </w:r>
      <w:r w:rsidR="000A60A7" w:rsidRPr="002D3BC4">
        <w:t>3</w:t>
      </w:r>
      <w:r w:rsidR="002D3BC4" w:rsidRPr="002D3BC4">
        <w:t>0</w:t>
      </w:r>
      <w:r w:rsidR="00E63199" w:rsidRPr="002D3BC4">
        <w:t>, 2</w:t>
      </w:r>
      <w:r w:rsidR="0086609D" w:rsidRPr="002D3BC4">
        <w:t>0</w:t>
      </w:r>
      <w:r w:rsidR="009544E9" w:rsidRPr="002D3BC4">
        <w:t>20</w:t>
      </w:r>
      <w:r w:rsidR="00455BB9" w:rsidRPr="002D3BC4">
        <w:t xml:space="preserve">. </w:t>
      </w:r>
      <w:r w:rsidR="00455BB9" w:rsidRPr="002D3BC4">
        <w:rPr>
          <w:lang w:val="fr-CA"/>
        </w:rPr>
        <w:t>This</w:t>
      </w:r>
      <w:r w:rsidRPr="002D3BC4">
        <w:rPr>
          <w:lang w:val="fr-CA"/>
        </w:rPr>
        <w:t xml:space="preserve"> list is subject to change.</w:t>
      </w:r>
    </w:p>
    <w:p w:rsidR="001F76DD" w:rsidRPr="002D3BC4" w:rsidRDefault="001F76DD" w:rsidP="001C4415">
      <w:pPr>
        <w:widowControl w:val="0"/>
        <w:rPr>
          <w:szCs w:val="24"/>
          <w:lang w:val="fr-CA"/>
        </w:rPr>
      </w:pPr>
    </w:p>
    <w:p w:rsidR="001C4415" w:rsidRPr="002D3BC4" w:rsidRDefault="001C4415" w:rsidP="001C4415">
      <w:pPr>
        <w:widowControl w:val="0"/>
        <w:rPr>
          <w:lang w:val="fr-CA"/>
        </w:rPr>
      </w:pPr>
    </w:p>
    <w:p w:rsidR="001335A1" w:rsidRPr="002D3BC4" w:rsidRDefault="001335A1" w:rsidP="001335A1">
      <w:pPr>
        <w:widowControl w:val="0"/>
        <w:jc w:val="center"/>
        <w:rPr>
          <w:b/>
          <w:lang w:val="fr-CA"/>
        </w:rPr>
      </w:pPr>
      <w:r w:rsidRPr="002D3BC4">
        <w:rPr>
          <w:b/>
          <w:lang w:val="fr-CA"/>
        </w:rPr>
        <w:t>PROCHAIN JUGEMENT</w:t>
      </w:r>
      <w:r w:rsidR="00455BB9" w:rsidRPr="002D3BC4">
        <w:rPr>
          <w:b/>
          <w:lang w:val="fr-CA"/>
        </w:rPr>
        <w:t xml:space="preserve"> SUR APPEL</w:t>
      </w:r>
    </w:p>
    <w:p w:rsidR="001335A1" w:rsidRPr="002D3BC4" w:rsidRDefault="001335A1" w:rsidP="001335A1">
      <w:pPr>
        <w:widowControl w:val="0"/>
        <w:rPr>
          <w:lang w:val="fr-CA"/>
        </w:rPr>
      </w:pPr>
    </w:p>
    <w:p w:rsidR="00EC79B0" w:rsidRPr="002D3BC4" w:rsidRDefault="00EC79B0" w:rsidP="00EC79B0">
      <w:pPr>
        <w:widowControl w:val="0"/>
        <w:rPr>
          <w:lang w:val="fr-CA"/>
        </w:rPr>
      </w:pPr>
      <w:r w:rsidRPr="002D3BC4">
        <w:rPr>
          <w:b/>
          <w:lang w:val="fr-CA"/>
        </w:rPr>
        <w:t xml:space="preserve">Le </w:t>
      </w:r>
      <w:r w:rsidR="002D3BC4" w:rsidRPr="002D3BC4">
        <w:rPr>
          <w:b/>
          <w:lang w:val="fr-CA"/>
        </w:rPr>
        <w:t>26</w:t>
      </w:r>
      <w:r w:rsidR="00AE46E9" w:rsidRPr="002D3BC4">
        <w:rPr>
          <w:b/>
          <w:lang w:val="fr-CA"/>
        </w:rPr>
        <w:t xml:space="preserve"> </w:t>
      </w:r>
      <w:r w:rsidR="001A2FFA" w:rsidRPr="002D3BC4">
        <w:rPr>
          <w:b/>
          <w:lang w:val="fr-CA"/>
        </w:rPr>
        <w:t>octobre</w:t>
      </w:r>
      <w:r w:rsidR="00C86395" w:rsidRPr="002D3BC4">
        <w:rPr>
          <w:b/>
          <w:lang w:val="fr-CA"/>
        </w:rPr>
        <w:t xml:space="preserve"> </w:t>
      </w:r>
      <w:r w:rsidR="0086609D" w:rsidRPr="002D3BC4">
        <w:rPr>
          <w:b/>
          <w:lang w:val="fr-CA"/>
        </w:rPr>
        <w:t>20</w:t>
      </w:r>
      <w:r w:rsidR="009544E9" w:rsidRPr="002D3BC4">
        <w:rPr>
          <w:b/>
          <w:lang w:val="fr-CA"/>
        </w:rPr>
        <w:t>20</w:t>
      </w:r>
    </w:p>
    <w:p w:rsidR="00EC79B0" w:rsidRPr="002D3BC4" w:rsidRDefault="00EC79B0" w:rsidP="00EC79B0">
      <w:pPr>
        <w:widowControl w:val="0"/>
        <w:rPr>
          <w:b/>
          <w:lang w:val="fr-CA"/>
        </w:rPr>
      </w:pPr>
      <w:r w:rsidRPr="002D3BC4">
        <w:rPr>
          <w:b/>
          <w:lang w:val="fr-CA"/>
        </w:rPr>
        <w:t>Pour diffusion immédiate</w:t>
      </w:r>
    </w:p>
    <w:p w:rsidR="00EC79B0" w:rsidRPr="002D3BC4" w:rsidRDefault="00EC79B0" w:rsidP="00EC79B0">
      <w:pPr>
        <w:widowControl w:val="0"/>
        <w:rPr>
          <w:lang w:val="fr-CA"/>
        </w:rPr>
      </w:pPr>
    </w:p>
    <w:p w:rsidR="00EC79B0" w:rsidRPr="002D3BC4" w:rsidRDefault="00EC79B0" w:rsidP="00EC79B0">
      <w:pPr>
        <w:widowControl w:val="0"/>
        <w:rPr>
          <w:lang w:val="fr-CA"/>
        </w:rPr>
      </w:pPr>
      <w:r w:rsidRPr="002D3BC4">
        <w:rPr>
          <w:b/>
          <w:lang w:val="fr-CA"/>
        </w:rPr>
        <w:t>OTTAWA</w:t>
      </w:r>
      <w:r w:rsidRPr="002D3BC4">
        <w:rPr>
          <w:lang w:val="fr-CA"/>
        </w:rPr>
        <w:t xml:space="preserve"> – La Cour suprême du Canada annonce que jugement ser</w:t>
      </w:r>
      <w:r w:rsidR="00C86395" w:rsidRPr="002D3BC4">
        <w:rPr>
          <w:lang w:val="fr-CA"/>
        </w:rPr>
        <w:t>a</w:t>
      </w:r>
      <w:r w:rsidRPr="002D3BC4">
        <w:rPr>
          <w:lang w:val="fr-CA"/>
        </w:rPr>
        <w:t xml:space="preserve"> rendu dans </w:t>
      </w:r>
      <w:r w:rsidR="001F1643" w:rsidRPr="002D3BC4">
        <w:rPr>
          <w:lang w:val="fr-CA"/>
        </w:rPr>
        <w:t>l</w:t>
      </w:r>
      <w:r w:rsidR="00C86395" w:rsidRPr="002D3BC4">
        <w:rPr>
          <w:lang w:val="fr-CA"/>
        </w:rPr>
        <w:t>’</w:t>
      </w:r>
      <w:r w:rsidR="001F1643" w:rsidRPr="002D3BC4">
        <w:rPr>
          <w:lang w:val="fr-CA"/>
        </w:rPr>
        <w:t>appel</w:t>
      </w:r>
      <w:r w:rsidR="00F17A28" w:rsidRPr="002D3BC4">
        <w:rPr>
          <w:lang w:val="fr-CA"/>
        </w:rPr>
        <w:t xml:space="preserve"> </w:t>
      </w:r>
      <w:r w:rsidRPr="002D3BC4">
        <w:rPr>
          <w:lang w:val="fr-CA"/>
        </w:rPr>
        <w:t xml:space="preserve">suivant le </w:t>
      </w:r>
      <w:r w:rsidR="00FB61C0" w:rsidRPr="002D3BC4">
        <w:rPr>
          <w:lang w:val="fr-CA"/>
        </w:rPr>
        <w:t>vendre</w:t>
      </w:r>
      <w:r w:rsidR="00831D1B" w:rsidRPr="002D3BC4">
        <w:rPr>
          <w:lang w:val="fr-CA"/>
        </w:rPr>
        <w:t>d</w:t>
      </w:r>
      <w:r w:rsidR="00945121" w:rsidRPr="002D3BC4">
        <w:rPr>
          <w:lang w:val="fr-CA"/>
        </w:rPr>
        <w:t>i</w:t>
      </w:r>
      <w:r w:rsidR="007C1648" w:rsidRPr="002D3BC4">
        <w:rPr>
          <w:lang w:val="fr-CA"/>
        </w:rPr>
        <w:t xml:space="preserve"> </w:t>
      </w:r>
      <w:r w:rsidR="000A60A7" w:rsidRPr="002D3BC4">
        <w:rPr>
          <w:lang w:val="fr-CA"/>
        </w:rPr>
        <w:t>3</w:t>
      </w:r>
      <w:r w:rsidR="002D3BC4" w:rsidRPr="002D3BC4">
        <w:rPr>
          <w:lang w:val="fr-CA"/>
        </w:rPr>
        <w:t>0</w:t>
      </w:r>
      <w:r w:rsidR="00F62251" w:rsidRPr="002D3BC4">
        <w:rPr>
          <w:lang w:val="fr-CA"/>
        </w:rPr>
        <w:t xml:space="preserve"> </w:t>
      </w:r>
      <w:r w:rsidR="005C54ED" w:rsidRPr="002D3BC4">
        <w:rPr>
          <w:lang w:val="fr-CA"/>
        </w:rPr>
        <w:t>octobre</w:t>
      </w:r>
      <w:r w:rsidR="00282563" w:rsidRPr="002D3BC4">
        <w:rPr>
          <w:lang w:val="fr-CA"/>
        </w:rPr>
        <w:t xml:space="preserve"> </w:t>
      </w:r>
      <w:r w:rsidRPr="002D3BC4">
        <w:rPr>
          <w:lang w:val="fr-CA"/>
        </w:rPr>
        <w:t>20</w:t>
      </w:r>
      <w:r w:rsidR="009544E9" w:rsidRPr="002D3BC4">
        <w:rPr>
          <w:lang w:val="fr-CA"/>
        </w:rPr>
        <w:t>20</w:t>
      </w:r>
      <w:r w:rsidRPr="002D3BC4">
        <w:rPr>
          <w:lang w:val="fr-CA"/>
        </w:rPr>
        <w:t>, à 9 h 45 H</w:t>
      </w:r>
      <w:r w:rsidR="00F17A28" w:rsidRPr="002D3BC4">
        <w:rPr>
          <w:lang w:val="fr-CA"/>
        </w:rPr>
        <w:t>A</w:t>
      </w:r>
      <w:r w:rsidRPr="002D3BC4">
        <w:rPr>
          <w:lang w:val="fr-CA"/>
        </w:rPr>
        <w:t>E. Cette liste est sujette à modifications.</w:t>
      </w:r>
    </w:p>
    <w:p w:rsidR="001F76DD" w:rsidRPr="002D3BC4" w:rsidRDefault="001F76DD" w:rsidP="00E92006">
      <w:pPr>
        <w:widowControl w:val="0"/>
        <w:jc w:val="both"/>
        <w:rPr>
          <w:szCs w:val="24"/>
          <w:lang w:val="fr-CA"/>
        </w:rPr>
      </w:pPr>
    </w:p>
    <w:p w:rsidR="00EF4622" w:rsidRPr="002D3BC4" w:rsidRDefault="002D3BC4" w:rsidP="00E92006">
      <w:pPr>
        <w:widowControl w:val="0"/>
        <w:jc w:val="both"/>
        <w:rPr>
          <w:szCs w:val="24"/>
          <w:lang w:val="fr-CA"/>
        </w:rPr>
      </w:pPr>
      <w:r w:rsidRPr="002D3BC4">
        <w:rPr>
          <w:sz w:val="20"/>
        </w:rPr>
        <w:pict>
          <v:rect id="_x0000_i1025" style="width:2in;height:1pt" o:hrpct="0" o:hralign="center" o:hrstd="t" o:hrnoshade="t" o:hr="t" fillcolor="black [3213]" stroked="f"/>
        </w:pict>
      </w:r>
    </w:p>
    <w:p w:rsidR="001335A1" w:rsidRPr="002D3BC4" w:rsidRDefault="001335A1" w:rsidP="001335A1">
      <w:pPr>
        <w:widowControl w:val="0"/>
        <w:rPr>
          <w:szCs w:val="24"/>
          <w:lang w:val="fr-CA"/>
        </w:rPr>
      </w:pPr>
    </w:p>
    <w:p w:rsidR="00772636" w:rsidRPr="002D3BC4" w:rsidRDefault="002D3BC4" w:rsidP="00772636">
      <w:pPr>
        <w:jc w:val="both"/>
        <w:rPr>
          <w:szCs w:val="24"/>
          <w:lang w:val="fr-CA"/>
        </w:rPr>
      </w:pPr>
      <w:r w:rsidRPr="002D3BC4">
        <w:rPr>
          <w:i/>
          <w:szCs w:val="24"/>
          <w:lang w:val="fr-CA"/>
        </w:rPr>
        <w:t>Desjardins Cabinet de services financiers inc., et al. c. Ronald Asselin</w:t>
      </w:r>
      <w:r w:rsidR="001663CD" w:rsidRPr="002D3BC4">
        <w:rPr>
          <w:i/>
          <w:szCs w:val="24"/>
          <w:lang w:val="fr-CA"/>
        </w:rPr>
        <w:t xml:space="preserve"> </w:t>
      </w:r>
      <w:r w:rsidR="00772636" w:rsidRPr="002D3BC4">
        <w:rPr>
          <w:szCs w:val="24"/>
          <w:lang w:val="fr-CA"/>
        </w:rPr>
        <w:t>(</w:t>
      </w:r>
      <w:r w:rsidRPr="002D3BC4">
        <w:rPr>
          <w:szCs w:val="24"/>
          <w:lang w:val="fr-CA"/>
        </w:rPr>
        <w:t>Qc</w:t>
      </w:r>
      <w:r w:rsidR="00772636" w:rsidRPr="002D3BC4">
        <w:rPr>
          <w:szCs w:val="24"/>
          <w:lang w:val="fr-CA"/>
        </w:rPr>
        <w:t xml:space="preserve">) </w:t>
      </w:r>
      <w:r w:rsidR="00772636" w:rsidRPr="002D3BC4">
        <w:rPr>
          <w:lang w:val="fr-CA"/>
        </w:rPr>
        <w:t>(</w:t>
      </w:r>
      <w:hyperlink r:id="rId7" w:history="1">
        <w:r w:rsidR="00772636" w:rsidRPr="002D3BC4">
          <w:rPr>
            <w:rStyle w:val="Hyperlink"/>
            <w:lang w:val="fr-CA"/>
          </w:rPr>
          <w:t>3</w:t>
        </w:r>
        <w:r w:rsidRPr="002D3BC4">
          <w:rPr>
            <w:rStyle w:val="Hyperlink"/>
            <w:lang w:val="fr-CA"/>
          </w:rPr>
          <w:t>7</w:t>
        </w:r>
        <w:r w:rsidR="00F17A28" w:rsidRPr="002D3BC4">
          <w:rPr>
            <w:rStyle w:val="Hyperlink"/>
            <w:lang w:val="fr-CA"/>
          </w:rPr>
          <w:t>8</w:t>
        </w:r>
        <w:r w:rsidRPr="002D3BC4">
          <w:rPr>
            <w:rStyle w:val="Hyperlink"/>
            <w:lang w:val="fr-CA"/>
          </w:rPr>
          <w:t>98</w:t>
        </w:r>
      </w:hyperlink>
      <w:r w:rsidR="00772636" w:rsidRPr="002D3BC4">
        <w:rPr>
          <w:lang w:val="fr-CA"/>
        </w:rPr>
        <w:t>)</w:t>
      </w:r>
    </w:p>
    <w:p w:rsidR="009F18D7" w:rsidRPr="002D3BC4" w:rsidRDefault="009F18D7" w:rsidP="00340C6D">
      <w:pPr>
        <w:jc w:val="both"/>
        <w:rPr>
          <w:sz w:val="20"/>
          <w:lang w:val="fr-CA"/>
        </w:rPr>
      </w:pPr>
    </w:p>
    <w:p w:rsidR="002D3BC4" w:rsidRPr="002D3BC4" w:rsidRDefault="002D3BC4" w:rsidP="00340C6D">
      <w:pPr>
        <w:jc w:val="both"/>
        <w:rPr>
          <w:sz w:val="20"/>
          <w:lang w:val="fr-CA"/>
        </w:rPr>
      </w:pPr>
    </w:p>
    <w:tbl>
      <w:tblPr>
        <w:tblW w:w="4869" w:type="pct"/>
        <w:tblLayout w:type="fixed"/>
        <w:tblCellMar>
          <w:left w:w="0" w:type="dxa"/>
          <w:bottom w:w="99" w:type="dxa"/>
          <w:right w:w="0" w:type="dxa"/>
        </w:tblCellMar>
        <w:tblLook w:val="04A0" w:firstRow="1" w:lastRow="0" w:firstColumn="1" w:lastColumn="0" w:noHBand="0" w:noVBand="1"/>
      </w:tblPr>
      <w:tblGrid>
        <w:gridCol w:w="851"/>
        <w:gridCol w:w="8264"/>
      </w:tblGrid>
      <w:tr w:rsidR="002D3BC4" w:rsidRPr="002D3BC4" w:rsidTr="00131D2C">
        <w:tc>
          <w:tcPr>
            <w:tcW w:w="467" w:type="pct"/>
          </w:tcPr>
          <w:p w:rsidR="002D3BC4" w:rsidRPr="002D3BC4" w:rsidRDefault="002D3BC4" w:rsidP="00CB2697">
            <w:pPr>
              <w:rPr>
                <w:sz w:val="20"/>
                <w:lang w:val="en-CA"/>
              </w:rPr>
            </w:pPr>
            <w:r w:rsidRPr="002D3BC4">
              <w:rPr>
                <w:rStyle w:val="SCCFileNumberChar"/>
                <w:sz w:val="20"/>
              </w:rPr>
              <w:t>37898</w:t>
            </w:r>
          </w:p>
        </w:tc>
        <w:tc>
          <w:tcPr>
            <w:tcW w:w="4533" w:type="pct"/>
          </w:tcPr>
          <w:p w:rsidR="002D3BC4" w:rsidRPr="002D3BC4" w:rsidRDefault="002D3BC4" w:rsidP="00131D2C">
            <w:pPr>
              <w:pStyle w:val="SCCLsocParty"/>
              <w:rPr>
                <w:b/>
                <w:i w:val="0"/>
                <w:sz w:val="20"/>
                <w:szCs w:val="20"/>
                <w:lang w:val="en-CA"/>
              </w:rPr>
            </w:pPr>
            <w:r w:rsidRPr="002D3BC4">
              <w:rPr>
                <w:b/>
                <w:sz w:val="20"/>
                <w:szCs w:val="20"/>
                <w:lang w:val="en-CA"/>
              </w:rPr>
              <w:t>Desjardins Financial Services Firm Inc., Desjardins Global Asset Management Inc., a lawfully constituted legal person, formerly Desjardins Asset Management Inc. v. Ronald Asselin</w:t>
            </w:r>
          </w:p>
          <w:p w:rsidR="002D3BC4" w:rsidRPr="002D3BC4" w:rsidRDefault="002D3BC4" w:rsidP="002D3BC4">
            <w:pPr>
              <w:rPr>
                <w:sz w:val="20"/>
                <w:lang w:val="en-CA"/>
              </w:rPr>
            </w:pPr>
            <w:r w:rsidRPr="002D3BC4">
              <w:rPr>
                <w:sz w:val="20"/>
                <w:lang w:val="en-CA"/>
              </w:rPr>
              <w:t>(Que.) (Civil) (By Leave)</w:t>
            </w:r>
          </w:p>
        </w:tc>
      </w:tr>
      <w:tr w:rsidR="002D3BC4" w:rsidRPr="002D3BC4" w:rsidTr="00131D2C">
        <w:tc>
          <w:tcPr>
            <w:tcW w:w="5000" w:type="pct"/>
            <w:gridSpan w:val="2"/>
          </w:tcPr>
          <w:p w:rsidR="002D3BC4" w:rsidRPr="002D3BC4" w:rsidRDefault="002D3BC4" w:rsidP="00131D2C">
            <w:pPr>
              <w:pStyle w:val="SCCBanSummary"/>
              <w:rPr>
                <w:sz w:val="20"/>
                <w:szCs w:val="20"/>
                <w:lang w:val="en-CA"/>
              </w:rPr>
            </w:pPr>
            <w:r w:rsidRPr="002D3BC4">
              <w:rPr>
                <w:smallCaps w:val="0"/>
                <w:sz w:val="20"/>
                <w:szCs w:val="20"/>
                <w:lang w:val="en-CA"/>
              </w:rPr>
              <w:t xml:space="preserve">Civil procedure - Class action - Authorization criteria - Common questions - Arguable case - Class action in contractual and extracontractual civil liability - Whether Court of Appeal erred in authorizing class action based on representations made individually by hundreds of financial advisors to thousands of investors in context of their personal financial planning under art. 1003(a) [now 575 para. 1] of </w:t>
            </w:r>
            <w:r w:rsidRPr="002D3BC4">
              <w:rPr>
                <w:i/>
                <w:smallCaps w:val="0"/>
                <w:sz w:val="20"/>
                <w:szCs w:val="20"/>
                <w:lang w:val="en-CA"/>
              </w:rPr>
              <w:t>Code of Civil Procedure</w:t>
            </w:r>
            <w:r w:rsidRPr="002D3BC4">
              <w:rPr>
                <w:smallCaps w:val="0"/>
                <w:sz w:val="20"/>
                <w:szCs w:val="20"/>
                <w:lang w:val="en-CA"/>
              </w:rPr>
              <w:t xml:space="preserve"> - Whether, in light of release and injunction in homologation order, cause of action based on ABCP (asset</w:t>
            </w:r>
            <w:r w:rsidRPr="002D3BC4">
              <w:rPr>
                <w:smallCaps w:val="0"/>
                <w:sz w:val="20"/>
                <w:szCs w:val="20"/>
                <w:lang w:val="en-CA"/>
              </w:rPr>
              <w:noBreakHyphen/>
              <w:t xml:space="preserve">backed commercial paper) was “arguable” for purposes of art. 1003(b) [now 575 para. 2] of </w:t>
            </w:r>
            <w:r w:rsidRPr="002D3BC4">
              <w:rPr>
                <w:i/>
                <w:smallCaps w:val="0"/>
                <w:sz w:val="20"/>
                <w:szCs w:val="20"/>
                <w:lang w:val="en-CA"/>
              </w:rPr>
              <w:t>Code of Civil Procedure</w:t>
            </w:r>
            <w:r w:rsidRPr="002D3BC4">
              <w:rPr>
                <w:smallCaps w:val="0"/>
                <w:sz w:val="20"/>
                <w:szCs w:val="20"/>
                <w:lang w:val="en-CA"/>
              </w:rPr>
              <w:t xml:space="preserve"> - Whether Court of Appeal erred in concluding that purely speculative allegations concerning alleged error of design and management sufficed to establish arguable cause of action for purposes of art. 1003(b) [now 575 para. 2] of </w:t>
            </w:r>
            <w:r w:rsidRPr="002D3BC4">
              <w:rPr>
                <w:i/>
                <w:smallCaps w:val="0"/>
                <w:sz w:val="20"/>
                <w:szCs w:val="20"/>
                <w:lang w:val="en-CA"/>
              </w:rPr>
              <w:t>Code of Civil Procedure</w:t>
            </w:r>
            <w:r w:rsidRPr="002D3BC4">
              <w:rPr>
                <w:smallCaps w:val="0"/>
                <w:sz w:val="20"/>
                <w:szCs w:val="20"/>
                <w:lang w:val="en-CA"/>
              </w:rPr>
              <w:t xml:space="preserve"> - </w:t>
            </w:r>
            <w:r w:rsidRPr="002D3BC4">
              <w:rPr>
                <w:i/>
                <w:smallCaps w:val="0"/>
                <w:sz w:val="20"/>
                <w:szCs w:val="20"/>
                <w:lang w:val="en-CA"/>
              </w:rPr>
              <w:t>Code of Civil Procedure</w:t>
            </w:r>
            <w:r w:rsidRPr="002D3BC4">
              <w:rPr>
                <w:smallCaps w:val="0"/>
                <w:sz w:val="20"/>
                <w:szCs w:val="20"/>
                <w:lang w:val="en-CA"/>
              </w:rPr>
              <w:t>, CQLR,</w:t>
            </w:r>
            <w:r w:rsidRPr="002D3BC4">
              <w:rPr>
                <w:i/>
                <w:smallCaps w:val="0"/>
                <w:sz w:val="20"/>
                <w:szCs w:val="20"/>
                <w:lang w:val="en-CA"/>
              </w:rPr>
              <w:t xml:space="preserve"> </w:t>
            </w:r>
            <w:r w:rsidRPr="002D3BC4">
              <w:rPr>
                <w:smallCaps w:val="0"/>
                <w:sz w:val="20"/>
                <w:szCs w:val="20"/>
                <w:lang w:val="en-CA"/>
              </w:rPr>
              <w:t xml:space="preserve">c. C-25, art. 1003 (repealed) </w:t>
            </w:r>
            <w:r w:rsidRPr="002D3BC4">
              <w:rPr>
                <w:rFonts w:cs="Times New Roman"/>
                <w:smallCaps w:val="0"/>
                <w:sz w:val="20"/>
                <w:szCs w:val="20"/>
                <w:lang w:val="en-CA"/>
              </w:rPr>
              <w:t>-</w:t>
            </w:r>
            <w:r w:rsidRPr="002D3BC4">
              <w:rPr>
                <w:smallCaps w:val="0"/>
                <w:sz w:val="20"/>
                <w:szCs w:val="20"/>
                <w:lang w:val="en-CA"/>
              </w:rPr>
              <w:t xml:space="preserve"> </w:t>
            </w:r>
            <w:r w:rsidRPr="002D3BC4">
              <w:rPr>
                <w:i/>
                <w:smallCaps w:val="0"/>
                <w:sz w:val="20"/>
                <w:szCs w:val="20"/>
                <w:lang w:val="en-CA"/>
              </w:rPr>
              <w:t>Code of Civil Procedure</w:t>
            </w:r>
            <w:r w:rsidRPr="002D3BC4">
              <w:rPr>
                <w:smallCaps w:val="0"/>
                <w:sz w:val="20"/>
                <w:szCs w:val="20"/>
                <w:lang w:val="en-CA"/>
              </w:rPr>
              <w:t xml:space="preserve">, CQLR, </w:t>
            </w:r>
            <w:proofErr w:type="gramStart"/>
            <w:r w:rsidRPr="002D3BC4">
              <w:rPr>
                <w:smallCaps w:val="0"/>
                <w:sz w:val="20"/>
                <w:szCs w:val="20"/>
                <w:lang w:val="en-CA"/>
              </w:rPr>
              <w:t>c</w:t>
            </w:r>
            <w:proofErr w:type="gramEnd"/>
            <w:r w:rsidRPr="002D3BC4">
              <w:rPr>
                <w:smallCaps w:val="0"/>
                <w:sz w:val="20"/>
                <w:szCs w:val="20"/>
                <w:lang w:val="en-CA"/>
              </w:rPr>
              <w:t xml:space="preserve">. C-25.01, art. 575 - </w:t>
            </w:r>
            <w:r w:rsidRPr="002D3BC4">
              <w:rPr>
                <w:i/>
                <w:smallCaps w:val="0"/>
                <w:sz w:val="20"/>
                <w:szCs w:val="20"/>
                <w:lang w:val="en-CA"/>
              </w:rPr>
              <w:t>Companies’ Creditors Arrangement Act</w:t>
            </w:r>
            <w:r w:rsidRPr="002D3BC4">
              <w:rPr>
                <w:smallCaps w:val="0"/>
                <w:sz w:val="20"/>
                <w:szCs w:val="20"/>
                <w:lang w:val="en-CA"/>
              </w:rPr>
              <w:t>, R.S.C. 1985, c. C</w:t>
            </w:r>
            <w:r w:rsidRPr="002D3BC4">
              <w:rPr>
                <w:smallCaps w:val="0"/>
                <w:sz w:val="20"/>
                <w:szCs w:val="20"/>
                <w:lang w:val="en-CA"/>
              </w:rPr>
              <w:noBreakHyphen/>
              <w:t>36, ss. 16 and 17.</w:t>
            </w:r>
          </w:p>
        </w:tc>
      </w:tr>
      <w:tr w:rsidR="002D3BC4" w:rsidRPr="002D3BC4" w:rsidTr="00131D2C">
        <w:tc>
          <w:tcPr>
            <w:tcW w:w="5000" w:type="pct"/>
            <w:gridSpan w:val="2"/>
          </w:tcPr>
          <w:p w:rsidR="002D3BC4" w:rsidRPr="002D3BC4" w:rsidRDefault="002D3BC4" w:rsidP="00CB2697">
            <w:pPr>
              <w:rPr>
                <w:sz w:val="20"/>
                <w:lang w:val="en-CA"/>
              </w:rPr>
            </w:pPr>
          </w:p>
        </w:tc>
      </w:tr>
      <w:tr w:rsidR="002D3BC4" w:rsidRPr="002D3BC4" w:rsidTr="00131D2C">
        <w:tc>
          <w:tcPr>
            <w:tcW w:w="5000" w:type="pct"/>
            <w:gridSpan w:val="2"/>
          </w:tcPr>
          <w:p w:rsidR="002D3BC4" w:rsidRPr="002D3BC4" w:rsidRDefault="002D3BC4" w:rsidP="002D3BC4">
            <w:pPr>
              <w:jc w:val="both"/>
              <w:rPr>
                <w:sz w:val="20"/>
                <w:lang w:val="en-CA"/>
              </w:rPr>
            </w:pPr>
            <w:r w:rsidRPr="002D3BC4">
              <w:rPr>
                <w:sz w:val="20"/>
                <w:lang w:val="en-CA"/>
              </w:rPr>
              <w:t xml:space="preserve">The respondent, Ronald Asselin, made investments with </w:t>
            </w:r>
            <w:proofErr w:type="spellStart"/>
            <w:r w:rsidRPr="002D3BC4">
              <w:rPr>
                <w:sz w:val="20"/>
                <w:lang w:val="en-CA"/>
              </w:rPr>
              <w:t>Caisse</w:t>
            </w:r>
            <w:proofErr w:type="spellEnd"/>
            <w:r w:rsidRPr="002D3BC4">
              <w:rPr>
                <w:sz w:val="20"/>
                <w:lang w:val="en-CA"/>
              </w:rPr>
              <w:t xml:space="preserve"> Desjardins de </w:t>
            </w:r>
            <w:proofErr w:type="spellStart"/>
            <w:r w:rsidRPr="002D3BC4">
              <w:rPr>
                <w:sz w:val="20"/>
                <w:lang w:val="en-CA"/>
              </w:rPr>
              <w:t>Sherbrooke</w:t>
            </w:r>
            <w:proofErr w:type="spellEnd"/>
            <w:r w:rsidRPr="002D3BC4">
              <w:rPr>
                <w:sz w:val="20"/>
                <w:lang w:val="en-CA"/>
              </w:rPr>
              <w:noBreakHyphen/>
              <w:t>Est. Called “Perspectives Plus Term Savings” and “Alternative Term Savings”, they were principal</w:t>
            </w:r>
            <w:r w:rsidRPr="002D3BC4">
              <w:rPr>
                <w:sz w:val="20"/>
                <w:lang w:val="en-CA"/>
              </w:rPr>
              <w:noBreakHyphen/>
              <w:t xml:space="preserve">protected term deposits that were not cashable before maturity. Following the economic crisis of 2008, Mr. Asselin was informed in March 2009 that although the principal was still protected, the investments would not yield any return and would continue not to be cashable until the end of the term. In 2011, Mr. Asselin filed an application for authorization to institute a class action in contractual civil liability against the appellant Desjardins Financial Services Firm Inc. on the ground that it had encouraged people to make investments that were represented to be safe even though they involved a specific risk that could affect their yield potential, and in extracontractual civil liability against the appellant Desjardins Global Asset Management Inc. on the ground that it had designed and managed the </w:t>
            </w:r>
            <w:r w:rsidRPr="002D3BC4">
              <w:rPr>
                <w:sz w:val="20"/>
                <w:lang w:val="en-CA"/>
              </w:rPr>
              <w:lastRenderedPageBreak/>
              <w:t>investments in question in a reckless and incompetent manner that was not in keeping with the risk associated with a financial product represented to be safe, and that it had used inappropriate financial strategies.</w:t>
            </w:r>
          </w:p>
        </w:tc>
      </w:tr>
    </w:tbl>
    <w:p w:rsidR="002D3BC4" w:rsidRPr="002D3BC4" w:rsidRDefault="002D3BC4" w:rsidP="00131D2C">
      <w:pPr>
        <w:widowControl w:val="0"/>
        <w:rPr>
          <w:sz w:val="20"/>
          <w:lang w:val="en-CA"/>
        </w:rPr>
      </w:pPr>
    </w:p>
    <w:p w:rsidR="002D3BC4" w:rsidRPr="002D3BC4" w:rsidRDefault="002D3BC4" w:rsidP="00131D2C">
      <w:pPr>
        <w:widowControl w:val="0"/>
        <w:rPr>
          <w:sz w:val="20"/>
          <w:lang w:val="en-CA"/>
        </w:rPr>
      </w:pPr>
      <w:r w:rsidRPr="002D3BC4">
        <w:rPr>
          <w:sz w:val="20"/>
        </w:rPr>
        <w:pict>
          <v:rect id="_x0000_i1028" style="width:2in;height:1pt" o:hrpct="0" o:hralign="center" o:hrstd="t" o:hrnoshade="t" o:hr="t" fillcolor="black [3213]" stroked="f"/>
        </w:pict>
      </w:r>
    </w:p>
    <w:p w:rsidR="002D3BC4" w:rsidRPr="002D3BC4" w:rsidRDefault="002D3BC4" w:rsidP="00131D2C">
      <w:pPr>
        <w:widowControl w:val="0"/>
        <w:rPr>
          <w:sz w:val="20"/>
          <w:lang w:val="en-CA"/>
        </w:rPr>
      </w:pPr>
    </w:p>
    <w:tbl>
      <w:tblPr>
        <w:tblW w:w="4869" w:type="pct"/>
        <w:tblLayout w:type="fixed"/>
        <w:tblCellMar>
          <w:left w:w="0" w:type="dxa"/>
          <w:bottom w:w="99" w:type="dxa"/>
          <w:right w:w="0" w:type="dxa"/>
        </w:tblCellMar>
        <w:tblLook w:val="04A0" w:firstRow="1" w:lastRow="0" w:firstColumn="1" w:lastColumn="0" w:noHBand="0" w:noVBand="1"/>
      </w:tblPr>
      <w:tblGrid>
        <w:gridCol w:w="851"/>
        <w:gridCol w:w="8264"/>
      </w:tblGrid>
      <w:tr w:rsidR="002D3BC4" w:rsidRPr="002D3BC4" w:rsidTr="00527DBD">
        <w:tc>
          <w:tcPr>
            <w:tcW w:w="467" w:type="pct"/>
          </w:tcPr>
          <w:p w:rsidR="002D3BC4" w:rsidRPr="002D3BC4" w:rsidRDefault="002D3BC4" w:rsidP="00CB2697">
            <w:pPr>
              <w:rPr>
                <w:sz w:val="20"/>
              </w:rPr>
            </w:pPr>
            <w:r w:rsidRPr="002D3BC4">
              <w:rPr>
                <w:rStyle w:val="SCCFileNumberChar"/>
                <w:sz w:val="20"/>
              </w:rPr>
              <w:t>37898</w:t>
            </w:r>
          </w:p>
        </w:tc>
        <w:tc>
          <w:tcPr>
            <w:tcW w:w="4533" w:type="pct"/>
          </w:tcPr>
          <w:p w:rsidR="002D3BC4" w:rsidRPr="002D3BC4" w:rsidRDefault="002D3BC4" w:rsidP="00527DBD">
            <w:pPr>
              <w:pStyle w:val="SCCLsocParty"/>
              <w:rPr>
                <w:b/>
                <w:i w:val="0"/>
                <w:sz w:val="20"/>
                <w:szCs w:val="20"/>
              </w:rPr>
            </w:pPr>
            <w:r w:rsidRPr="002D3BC4">
              <w:rPr>
                <w:b/>
                <w:sz w:val="20"/>
                <w:szCs w:val="20"/>
              </w:rPr>
              <w:t>Desjardins Cabinet de services financiers inc., Desjardins Gestion internationale d’actifs inc., personne morale légalement constituée, anciennement Desjardins Gestion d’actifs inc. c. Ronald Asselin</w:t>
            </w:r>
          </w:p>
          <w:p w:rsidR="002D3BC4" w:rsidRPr="002D3BC4" w:rsidRDefault="002D3BC4" w:rsidP="002D3BC4">
            <w:pPr>
              <w:rPr>
                <w:sz w:val="20"/>
              </w:rPr>
            </w:pPr>
            <w:r w:rsidRPr="002D3BC4">
              <w:rPr>
                <w:sz w:val="20"/>
              </w:rPr>
              <w:t>(Qc) (Civile) (Autorisation)</w:t>
            </w:r>
          </w:p>
        </w:tc>
      </w:tr>
      <w:tr w:rsidR="002D3BC4" w:rsidRPr="002D3BC4" w:rsidTr="00527DBD">
        <w:tc>
          <w:tcPr>
            <w:tcW w:w="5000" w:type="pct"/>
            <w:gridSpan w:val="2"/>
          </w:tcPr>
          <w:p w:rsidR="002D3BC4" w:rsidRPr="002D3BC4" w:rsidRDefault="002D3BC4" w:rsidP="00527DBD">
            <w:pPr>
              <w:pStyle w:val="SCCBanSummary"/>
              <w:rPr>
                <w:sz w:val="20"/>
                <w:szCs w:val="20"/>
              </w:rPr>
            </w:pPr>
            <w:r w:rsidRPr="002D3BC4">
              <w:rPr>
                <w:smallCaps w:val="0"/>
                <w:sz w:val="20"/>
                <w:szCs w:val="20"/>
              </w:rPr>
              <w:t xml:space="preserve">Procédure civile - Recours collectif - Critères d’autorisation - Questions communes - Cause défendable - Action collective en responsabilité civile contractuelle et extracontractuelle - La Cour d’appel a-t-elle erré en autorisant une action collective fondée sur les représentations faites individuellement par des centaines de conseillers financiers à des milliers investisseurs, dans le cadre de leur planification financière personnelle, de l’art. 1003(a) [maintenant 575 par. 1] du </w:t>
            </w:r>
            <w:r w:rsidRPr="002D3BC4">
              <w:rPr>
                <w:i/>
                <w:smallCaps w:val="0"/>
                <w:sz w:val="20"/>
                <w:szCs w:val="20"/>
              </w:rPr>
              <w:t>Code de procédure civile</w:t>
            </w:r>
            <w:r w:rsidRPr="002D3BC4">
              <w:rPr>
                <w:smallCaps w:val="0"/>
                <w:sz w:val="20"/>
                <w:szCs w:val="20"/>
              </w:rPr>
              <w:t xml:space="preserve">? - À la lumière de la quittance et de l’injonction contenues à l’Ordonnance d’homologation la cause d’action fondée sur les PCAA (papiers commerciaux adossés à des actifs) était-elle « défendable » au sens de l’art. 1003(b) [maintenant 575 par. 2] du </w:t>
            </w:r>
            <w:r w:rsidRPr="002D3BC4">
              <w:rPr>
                <w:i/>
                <w:smallCaps w:val="0"/>
                <w:sz w:val="20"/>
                <w:szCs w:val="20"/>
              </w:rPr>
              <w:t>Code de procédure civile</w:t>
            </w:r>
            <w:r w:rsidRPr="002D3BC4">
              <w:rPr>
                <w:smallCaps w:val="0"/>
                <w:sz w:val="20"/>
                <w:szCs w:val="20"/>
              </w:rPr>
              <w:t xml:space="preserve">? - La Cour d’appel erre-t-elle en concluant que les allégations purement spéculatives relatives à la prétendue faute de conception et de gestion permettent d’établir une cause d’action défendable au sens de l’art. 1003(b) [maintenant 575 par. 2] du </w:t>
            </w:r>
            <w:r w:rsidRPr="002D3BC4">
              <w:rPr>
                <w:i/>
                <w:smallCaps w:val="0"/>
                <w:sz w:val="20"/>
                <w:szCs w:val="20"/>
              </w:rPr>
              <w:t>Code de procédure civile</w:t>
            </w:r>
            <w:r w:rsidRPr="002D3BC4">
              <w:rPr>
                <w:smallCaps w:val="0"/>
                <w:sz w:val="20"/>
                <w:szCs w:val="20"/>
              </w:rPr>
              <w:t xml:space="preserve">? - </w:t>
            </w:r>
            <w:r w:rsidRPr="002D3BC4">
              <w:rPr>
                <w:i/>
                <w:smallCaps w:val="0"/>
                <w:sz w:val="20"/>
                <w:szCs w:val="20"/>
              </w:rPr>
              <w:t>Code de procédure civile</w:t>
            </w:r>
            <w:r w:rsidRPr="002D3BC4">
              <w:rPr>
                <w:smallCaps w:val="0"/>
                <w:sz w:val="20"/>
                <w:szCs w:val="20"/>
              </w:rPr>
              <w:t xml:space="preserve">, RLRQ c. C-25, art. 1003 (abrogé) </w:t>
            </w:r>
            <w:r w:rsidRPr="002D3BC4">
              <w:rPr>
                <w:rFonts w:cs="Times New Roman"/>
                <w:smallCaps w:val="0"/>
                <w:sz w:val="20"/>
                <w:szCs w:val="20"/>
              </w:rPr>
              <w:t>-</w:t>
            </w:r>
            <w:r w:rsidRPr="002D3BC4">
              <w:rPr>
                <w:smallCaps w:val="0"/>
                <w:sz w:val="20"/>
                <w:szCs w:val="20"/>
              </w:rPr>
              <w:t xml:space="preserve"> </w:t>
            </w:r>
            <w:r w:rsidRPr="002D3BC4">
              <w:rPr>
                <w:i/>
                <w:smallCaps w:val="0"/>
                <w:sz w:val="20"/>
                <w:szCs w:val="20"/>
              </w:rPr>
              <w:t>Code de procédure civile</w:t>
            </w:r>
            <w:r w:rsidRPr="002D3BC4">
              <w:rPr>
                <w:smallCaps w:val="0"/>
                <w:sz w:val="20"/>
                <w:szCs w:val="20"/>
              </w:rPr>
              <w:t xml:space="preserve">, RLRQ c. C-25.01, art. 575 - </w:t>
            </w:r>
            <w:r w:rsidRPr="002D3BC4">
              <w:rPr>
                <w:i/>
                <w:smallCaps w:val="0"/>
                <w:sz w:val="20"/>
                <w:szCs w:val="20"/>
              </w:rPr>
              <w:t>Loi sur les arrangements avec les créanciers des compagnies</w:t>
            </w:r>
            <w:r w:rsidRPr="002D3BC4">
              <w:rPr>
                <w:smallCaps w:val="0"/>
                <w:sz w:val="20"/>
                <w:szCs w:val="20"/>
              </w:rPr>
              <w:t>, LRC 1985, c. C-36, art. 16 et 17.</w:t>
            </w:r>
          </w:p>
        </w:tc>
      </w:tr>
      <w:tr w:rsidR="002D3BC4" w:rsidRPr="002D3BC4" w:rsidTr="00527DBD">
        <w:tc>
          <w:tcPr>
            <w:tcW w:w="5000" w:type="pct"/>
            <w:gridSpan w:val="2"/>
          </w:tcPr>
          <w:p w:rsidR="002D3BC4" w:rsidRPr="002D3BC4" w:rsidRDefault="002D3BC4" w:rsidP="00CB2697">
            <w:pPr>
              <w:rPr>
                <w:sz w:val="20"/>
                <w:lang w:val="fr-CA"/>
              </w:rPr>
            </w:pPr>
          </w:p>
        </w:tc>
      </w:tr>
      <w:tr w:rsidR="002D3BC4" w:rsidRPr="002D3BC4" w:rsidTr="00527DBD">
        <w:tc>
          <w:tcPr>
            <w:tcW w:w="5000" w:type="pct"/>
            <w:gridSpan w:val="2"/>
          </w:tcPr>
          <w:p w:rsidR="002D3BC4" w:rsidRPr="002D3BC4" w:rsidRDefault="002D3BC4" w:rsidP="002D3BC4">
            <w:pPr>
              <w:jc w:val="both"/>
              <w:rPr>
                <w:sz w:val="20"/>
                <w:lang w:val="fr-CA"/>
              </w:rPr>
            </w:pPr>
            <w:r w:rsidRPr="002D3BC4">
              <w:rPr>
                <w:sz w:val="20"/>
                <w:lang w:val="fr-CA"/>
              </w:rPr>
              <w:t xml:space="preserve">L’intimé, Monsieur Ronald Asselin, a investi dans des placements auprès de la Caisse Desjardins de Sherbrooke-Est à savoir, des dépôts à terme à capital protégé non encaissables avant l’échéance appelés « placement à terme perspective plus » et « placement épargne à terme gestion active ». Des suites de la crise économique de 2008, M. Asselin est informé en mars 2009 que bien que le capital demeure protégé, ces placements ne produiraient aucun rendement et qu’ils resteraient non encaissables jusqu’à la fin du terme. En 2011, M. Asselin dépose une demande d’autorisation d’action collective en responsabilité civile contractuelle contre l’appelante Desjardins Cabinet de services financiers inc. au motif qu’elle aurait incité à contracter des placements présentés comme sûrs alors qu’ils comportaient un risque particulier pouvant affecter leur potentiel de rendement et en responsabilité civile extracontractuelle contre l’appelante Desjardins Gestion internationale d’actifs inc. au motif qu’elle aurait </w:t>
            </w:r>
            <w:r w:rsidRPr="002D3BC4">
              <w:rPr>
                <w:sz w:val="20"/>
                <w:lang w:val="fr-FR"/>
              </w:rPr>
              <w:t>conçu et géré les placements en question d’une façon téméraire et incompétente, qui ne concordait pas avec le risque associé à un produit financier présenté comme sûr, et d’avoir usé de stratégies financières inappropriées.</w:t>
            </w:r>
          </w:p>
        </w:tc>
      </w:tr>
    </w:tbl>
    <w:p w:rsidR="00201F9C" w:rsidRPr="002D3BC4" w:rsidRDefault="00201F9C" w:rsidP="00941131">
      <w:pPr>
        <w:rPr>
          <w:sz w:val="20"/>
          <w:lang w:val="fr-CA"/>
        </w:rPr>
      </w:pPr>
    </w:p>
    <w:p w:rsidR="00201F9C" w:rsidRPr="002D3BC4" w:rsidRDefault="002D3BC4" w:rsidP="00340C6D">
      <w:pPr>
        <w:jc w:val="both"/>
        <w:rPr>
          <w:sz w:val="20"/>
        </w:rPr>
      </w:pPr>
      <w:r w:rsidRPr="002D3BC4">
        <w:rPr>
          <w:sz w:val="20"/>
        </w:rPr>
        <w:pict>
          <v:rect id="_x0000_i1027" style="width:2in;height:1pt" o:hrpct="0" o:hralign="center" o:hrstd="t" o:hrnoshade="t" o:hr="t" fillcolor="black [3213]" stroked="f"/>
        </w:pict>
      </w:r>
    </w:p>
    <w:p w:rsidR="00AE46E9" w:rsidRPr="002D3BC4" w:rsidRDefault="00AE46E9">
      <w:pPr>
        <w:rPr>
          <w:sz w:val="20"/>
        </w:rPr>
      </w:pPr>
    </w:p>
    <w:p w:rsidR="00AE46E9" w:rsidRPr="002D3BC4" w:rsidRDefault="00AE46E9" w:rsidP="00340C6D">
      <w:pPr>
        <w:jc w:val="both"/>
        <w:rPr>
          <w:sz w:val="20"/>
          <w:lang w:val="fr-CA"/>
        </w:rPr>
      </w:pPr>
    </w:p>
    <w:p w:rsidR="00072A63" w:rsidRPr="002D3BC4" w:rsidRDefault="00072A63" w:rsidP="00EC79B0">
      <w:pPr>
        <w:jc w:val="both"/>
        <w:rPr>
          <w:sz w:val="20"/>
          <w:lang w:val="fr-CA"/>
        </w:rPr>
      </w:pPr>
    </w:p>
    <w:p w:rsidR="001C4415" w:rsidRPr="002D3BC4" w:rsidRDefault="001C4415" w:rsidP="001C4415">
      <w:pPr>
        <w:widowControl w:val="0"/>
        <w:outlineLvl w:val="0"/>
      </w:pPr>
      <w:r w:rsidRPr="002D3BC4">
        <w:t xml:space="preserve">Supreme Court of Canada / Cour suprême du </w:t>
      </w:r>
      <w:proofErr w:type="gramStart"/>
      <w:r w:rsidRPr="002D3BC4">
        <w:t>Canada :</w:t>
      </w:r>
      <w:proofErr w:type="gramEnd"/>
      <w:r w:rsidRPr="002D3BC4">
        <w:t xml:space="preserve"> </w:t>
      </w:r>
    </w:p>
    <w:p w:rsidR="001C4415" w:rsidRPr="002D3BC4" w:rsidRDefault="002D3BC4" w:rsidP="001C4415">
      <w:pPr>
        <w:widowControl w:val="0"/>
        <w:outlineLvl w:val="0"/>
      </w:pPr>
      <w:hyperlink r:id="rId8" w:history="1">
        <w:r w:rsidR="001C4415" w:rsidRPr="002D3BC4">
          <w:rPr>
            <w:rStyle w:val="Hyperlink"/>
          </w:rPr>
          <w:t>comments-commentaires@scc-csc.ca</w:t>
        </w:r>
      </w:hyperlink>
    </w:p>
    <w:p w:rsidR="001C4415" w:rsidRPr="002D3BC4" w:rsidRDefault="001C4415" w:rsidP="001C4415">
      <w:pPr>
        <w:widowControl w:val="0"/>
        <w:outlineLvl w:val="0"/>
      </w:pPr>
      <w:r w:rsidRPr="002D3BC4">
        <w:t>(613) 995-4330</w:t>
      </w:r>
    </w:p>
    <w:p w:rsidR="001C4415" w:rsidRPr="002D3BC4" w:rsidRDefault="001C4415" w:rsidP="001C4415">
      <w:pPr>
        <w:widowControl w:val="0"/>
        <w:rPr>
          <w:sz w:val="20"/>
        </w:rPr>
      </w:pPr>
    </w:p>
    <w:p w:rsidR="0036476C" w:rsidRPr="005205FF" w:rsidRDefault="001C4415" w:rsidP="0036476C">
      <w:pPr>
        <w:pStyle w:val="Footer"/>
        <w:jc w:val="center"/>
        <w:rPr>
          <w:lang w:val="fr-CA"/>
        </w:rPr>
      </w:pPr>
      <w:r w:rsidRPr="002D3BC4">
        <w:rPr>
          <w:lang w:val="fr-CA"/>
        </w:rPr>
        <w:t xml:space="preserve">- 30 </w:t>
      </w:r>
      <w:r w:rsidR="003C1B6E" w:rsidRPr="002D3BC4">
        <w:rPr>
          <w:lang w:val="fr-CA"/>
        </w:rPr>
        <w:t>-</w:t>
      </w:r>
      <w:bookmarkStart w:id="0" w:name="_GoBack"/>
      <w:bookmarkEnd w:id="0"/>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67806"/>
    <w:rsid w:val="00072A63"/>
    <w:rsid w:val="0008116D"/>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89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2020-10-19T15:37:00Z</dcterms:modified>
</cp:coreProperties>
</file>