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5D15AC" w:rsidRDefault="000E391F" w:rsidP="000E391F">
      <w:pPr>
        <w:pStyle w:val="Header"/>
        <w:jc w:val="center"/>
        <w:rPr>
          <w:b/>
          <w:sz w:val="32"/>
        </w:rPr>
      </w:pPr>
      <w:r w:rsidRPr="005D15AC">
        <w:rPr>
          <w:b/>
          <w:sz w:val="32"/>
        </w:rPr>
        <w:t>Supreme Court of Canada / Cour suprême du Canada</w:t>
      </w:r>
    </w:p>
    <w:p w:rsidR="000E391F" w:rsidRPr="005D15AC" w:rsidRDefault="000E391F" w:rsidP="000E391F">
      <w:pPr>
        <w:widowControl w:val="0"/>
      </w:pPr>
    </w:p>
    <w:p w:rsidR="000E391F" w:rsidRPr="005D15AC" w:rsidRDefault="000E391F" w:rsidP="000E391F">
      <w:pPr>
        <w:widowControl w:val="0"/>
        <w:rPr>
          <w:i/>
        </w:rPr>
      </w:pPr>
    </w:p>
    <w:p w:rsidR="006F2579" w:rsidRPr="005D15AC" w:rsidRDefault="006F2579" w:rsidP="006F2579">
      <w:pPr>
        <w:widowControl w:val="0"/>
        <w:rPr>
          <w:i/>
          <w:sz w:val="20"/>
        </w:rPr>
      </w:pPr>
      <w:r w:rsidRPr="005D15AC">
        <w:rPr>
          <w:i/>
          <w:sz w:val="20"/>
        </w:rPr>
        <w:t>(</w:t>
      </w:r>
      <w:r w:rsidR="003240B6" w:rsidRPr="005D15AC">
        <w:rPr>
          <w:i/>
          <w:sz w:val="20"/>
        </w:rPr>
        <w:t>L</w:t>
      </w:r>
      <w:r w:rsidRPr="005D15AC">
        <w:rPr>
          <w:i/>
          <w:sz w:val="20"/>
        </w:rPr>
        <w:t>e français suit)</w:t>
      </w:r>
    </w:p>
    <w:p w:rsidR="006F2579" w:rsidRPr="005D15AC" w:rsidRDefault="006F2579" w:rsidP="006F2579">
      <w:pPr>
        <w:widowControl w:val="0"/>
      </w:pPr>
    </w:p>
    <w:p w:rsidR="006F2579" w:rsidRPr="005D15AC" w:rsidRDefault="00B07908" w:rsidP="006F2579">
      <w:pPr>
        <w:widowControl w:val="0"/>
        <w:jc w:val="center"/>
        <w:rPr>
          <w:b/>
        </w:rPr>
      </w:pPr>
      <w:r w:rsidRPr="005D15AC">
        <w:fldChar w:fldCharType="begin"/>
      </w:r>
      <w:r w:rsidR="006F2579" w:rsidRPr="005D15AC">
        <w:instrText xml:space="preserve"> SEQ CHAPTER \h \r 1</w:instrText>
      </w:r>
      <w:r w:rsidRPr="005D15AC">
        <w:fldChar w:fldCharType="end"/>
      </w:r>
      <w:r w:rsidR="006F2579" w:rsidRPr="005D15AC">
        <w:rPr>
          <w:b/>
        </w:rPr>
        <w:t>JUDGMENT</w:t>
      </w:r>
      <w:r w:rsidR="00B17AAC" w:rsidRPr="005D15AC">
        <w:rPr>
          <w:b/>
        </w:rPr>
        <w:t>S</w:t>
      </w:r>
      <w:r w:rsidR="006F2579" w:rsidRPr="005D15AC">
        <w:rPr>
          <w:b/>
        </w:rPr>
        <w:t xml:space="preserve"> TO B</w:t>
      </w:r>
      <w:r w:rsidR="00001846" w:rsidRPr="005D15AC">
        <w:rPr>
          <w:b/>
        </w:rPr>
        <w:t>E RENDERED IN LE</w:t>
      </w:r>
      <w:r w:rsidR="00A0288A" w:rsidRPr="005D15AC">
        <w:rPr>
          <w:b/>
        </w:rPr>
        <w:t>A</w:t>
      </w:r>
      <w:r w:rsidR="00001846" w:rsidRPr="005D15AC">
        <w:rPr>
          <w:b/>
        </w:rPr>
        <w:t>VE APPLICATION</w:t>
      </w:r>
      <w:r w:rsidR="00511288" w:rsidRPr="005D15AC">
        <w:rPr>
          <w:b/>
        </w:rPr>
        <w:t>S</w:t>
      </w:r>
    </w:p>
    <w:p w:rsidR="006F2579" w:rsidRPr="005D15AC" w:rsidRDefault="006F2579" w:rsidP="006F2579">
      <w:pPr>
        <w:widowControl w:val="0"/>
      </w:pPr>
    </w:p>
    <w:p w:rsidR="006F2579" w:rsidRPr="005D15AC" w:rsidRDefault="004C631D" w:rsidP="006F2579">
      <w:pPr>
        <w:widowControl w:val="0"/>
      </w:pPr>
      <w:r w:rsidRPr="005D15AC">
        <w:rPr>
          <w:b/>
        </w:rPr>
        <w:t>November</w:t>
      </w:r>
      <w:r w:rsidR="00A15B66" w:rsidRPr="005D15AC">
        <w:rPr>
          <w:b/>
        </w:rPr>
        <w:t xml:space="preserve"> </w:t>
      </w:r>
      <w:r w:rsidR="0029283C" w:rsidRPr="005D15AC">
        <w:rPr>
          <w:b/>
        </w:rPr>
        <w:t>2</w:t>
      </w:r>
      <w:r w:rsidR="004441C7" w:rsidRPr="005D15AC">
        <w:rPr>
          <w:b/>
        </w:rPr>
        <w:t>,</w:t>
      </w:r>
      <w:r w:rsidR="006F2579" w:rsidRPr="005D15AC">
        <w:rPr>
          <w:b/>
        </w:rPr>
        <w:t xml:space="preserve"> </w:t>
      </w:r>
      <w:r w:rsidR="0054689F" w:rsidRPr="005D15AC">
        <w:rPr>
          <w:b/>
        </w:rPr>
        <w:t>20</w:t>
      </w:r>
      <w:r w:rsidR="00526754" w:rsidRPr="005D15AC">
        <w:rPr>
          <w:b/>
        </w:rPr>
        <w:t>20</w:t>
      </w:r>
    </w:p>
    <w:p w:rsidR="006F2579" w:rsidRPr="005D15AC" w:rsidRDefault="00674F39" w:rsidP="006F2579">
      <w:pPr>
        <w:widowControl w:val="0"/>
        <w:rPr>
          <w:b/>
        </w:rPr>
      </w:pPr>
      <w:r w:rsidRPr="005D15AC">
        <w:rPr>
          <w:b/>
        </w:rPr>
        <w:t>For immediate release</w:t>
      </w:r>
    </w:p>
    <w:p w:rsidR="006F2579" w:rsidRPr="005D15AC" w:rsidRDefault="006F2579" w:rsidP="006F2579">
      <w:pPr>
        <w:widowControl w:val="0"/>
      </w:pPr>
    </w:p>
    <w:p w:rsidR="006F2579" w:rsidRPr="005D15AC" w:rsidRDefault="006F2579" w:rsidP="006F2579">
      <w:pPr>
        <w:widowControl w:val="0"/>
        <w:rPr>
          <w:lang w:val="fr-CA"/>
        </w:rPr>
      </w:pPr>
      <w:r w:rsidRPr="005D15AC">
        <w:rPr>
          <w:b/>
        </w:rPr>
        <w:t>OTTAWA</w:t>
      </w:r>
      <w:r w:rsidRPr="005D15AC">
        <w:t xml:space="preserve"> – The Supreme Court of Canad</w:t>
      </w:r>
      <w:r w:rsidR="006246E4" w:rsidRPr="005D15AC">
        <w:t>a</w:t>
      </w:r>
      <w:r w:rsidRPr="005D15AC">
        <w:t xml:space="preserve"> announced today that judgment in the following </w:t>
      </w:r>
      <w:r w:rsidR="00DB6199" w:rsidRPr="005D15AC">
        <w:t xml:space="preserve">leave applications </w:t>
      </w:r>
      <w:r w:rsidRPr="005D15AC">
        <w:t xml:space="preserve">will be delivered at 9:45 a.m. </w:t>
      </w:r>
      <w:r w:rsidR="00E05816" w:rsidRPr="005D15AC">
        <w:t>E</w:t>
      </w:r>
      <w:r w:rsidR="004C631D" w:rsidRPr="005D15AC">
        <w:t>S</w:t>
      </w:r>
      <w:r w:rsidR="00E05816" w:rsidRPr="005D15AC">
        <w:t>T</w:t>
      </w:r>
      <w:r w:rsidRPr="005D15AC">
        <w:t xml:space="preserve"> on Thursday, </w:t>
      </w:r>
      <w:r w:rsidR="004C631D" w:rsidRPr="005D15AC">
        <w:t>November</w:t>
      </w:r>
      <w:r w:rsidR="00455912" w:rsidRPr="005D15AC">
        <w:t xml:space="preserve"> </w:t>
      </w:r>
      <w:r w:rsidR="004C631D" w:rsidRPr="005D15AC">
        <w:t>5</w:t>
      </w:r>
      <w:r w:rsidR="007E112F" w:rsidRPr="005D15AC">
        <w:t>,</w:t>
      </w:r>
      <w:r w:rsidR="002F38D7" w:rsidRPr="005D15AC">
        <w:t xml:space="preserve"> </w:t>
      </w:r>
      <w:r w:rsidR="006648D1" w:rsidRPr="005D15AC">
        <w:t>20</w:t>
      </w:r>
      <w:r w:rsidR="00526754" w:rsidRPr="005D15AC">
        <w:t>20</w:t>
      </w:r>
      <w:r w:rsidRPr="005D15AC">
        <w:t xml:space="preserve">. </w:t>
      </w:r>
      <w:r w:rsidRPr="005D15AC">
        <w:rPr>
          <w:lang w:val="fr-CA"/>
        </w:rPr>
        <w:t>This list is subject to chang</w:t>
      </w:r>
      <w:r w:rsidR="00192F7F" w:rsidRPr="005D15AC">
        <w:rPr>
          <w:lang w:val="fr-CA"/>
        </w:rPr>
        <w:t>e</w:t>
      </w:r>
      <w:r w:rsidRPr="005D15AC">
        <w:rPr>
          <w:lang w:val="fr-CA"/>
        </w:rPr>
        <w:t>.</w:t>
      </w:r>
    </w:p>
    <w:p w:rsidR="00FF5AA4" w:rsidRPr="005D15AC" w:rsidRDefault="00FF5AA4" w:rsidP="006F2579">
      <w:pPr>
        <w:widowControl w:val="0"/>
        <w:rPr>
          <w:lang w:val="fr-CA"/>
        </w:rPr>
      </w:pPr>
    </w:p>
    <w:p w:rsidR="00B43418" w:rsidRPr="005D15AC" w:rsidRDefault="00B43418" w:rsidP="006F2579">
      <w:pPr>
        <w:widowControl w:val="0"/>
        <w:rPr>
          <w:lang w:val="fr-CA"/>
        </w:rPr>
      </w:pPr>
    </w:p>
    <w:p w:rsidR="006F2579" w:rsidRPr="005D15AC" w:rsidRDefault="006F2579" w:rsidP="006F2579">
      <w:pPr>
        <w:widowControl w:val="0"/>
        <w:jc w:val="center"/>
        <w:rPr>
          <w:lang w:val="fr-CA"/>
        </w:rPr>
      </w:pPr>
      <w:r w:rsidRPr="005D15AC">
        <w:rPr>
          <w:b/>
          <w:lang w:val="fr-CA"/>
        </w:rPr>
        <w:t>PROCHAIN</w:t>
      </w:r>
      <w:r w:rsidR="00B17AAC" w:rsidRPr="005D15AC">
        <w:rPr>
          <w:b/>
          <w:lang w:val="fr-CA"/>
        </w:rPr>
        <w:t>S</w:t>
      </w:r>
      <w:r w:rsidRPr="005D15AC">
        <w:rPr>
          <w:b/>
          <w:lang w:val="fr-CA"/>
        </w:rPr>
        <w:t xml:space="preserve"> JUGEMENT</w:t>
      </w:r>
      <w:r w:rsidR="00B17AAC" w:rsidRPr="005D15AC">
        <w:rPr>
          <w:b/>
          <w:lang w:val="fr-CA"/>
        </w:rPr>
        <w:t>S</w:t>
      </w:r>
      <w:r w:rsidR="00001846" w:rsidRPr="005D15AC">
        <w:rPr>
          <w:b/>
          <w:lang w:val="fr-CA"/>
        </w:rPr>
        <w:t xml:space="preserve"> SUR DEMANDE</w:t>
      </w:r>
      <w:r w:rsidR="00B17AAC" w:rsidRPr="005D15AC">
        <w:rPr>
          <w:b/>
          <w:lang w:val="fr-CA"/>
        </w:rPr>
        <w:t>S</w:t>
      </w:r>
      <w:r w:rsidRPr="005D15AC">
        <w:rPr>
          <w:b/>
          <w:lang w:val="fr-CA"/>
        </w:rPr>
        <w:t xml:space="preserve"> D’AUTORISATION</w:t>
      </w:r>
    </w:p>
    <w:p w:rsidR="006F2579" w:rsidRPr="005D15AC" w:rsidRDefault="006F2579" w:rsidP="006F2579">
      <w:pPr>
        <w:widowControl w:val="0"/>
        <w:rPr>
          <w:lang w:val="fr-CA"/>
        </w:rPr>
      </w:pPr>
    </w:p>
    <w:p w:rsidR="006F2579" w:rsidRPr="005D15AC" w:rsidRDefault="006F2579" w:rsidP="006F2579">
      <w:pPr>
        <w:widowControl w:val="0"/>
        <w:rPr>
          <w:lang w:val="fr-CA"/>
        </w:rPr>
      </w:pPr>
      <w:r w:rsidRPr="005D15AC">
        <w:rPr>
          <w:b/>
          <w:lang w:val="fr-CA"/>
        </w:rPr>
        <w:t>Le</w:t>
      </w:r>
      <w:r w:rsidR="00957A76" w:rsidRPr="005D15AC">
        <w:rPr>
          <w:b/>
          <w:lang w:val="fr-CA"/>
        </w:rPr>
        <w:t xml:space="preserve"> </w:t>
      </w:r>
      <w:r w:rsidR="0029283C" w:rsidRPr="005D15AC">
        <w:rPr>
          <w:b/>
          <w:lang w:val="fr-CA"/>
        </w:rPr>
        <w:t>2</w:t>
      </w:r>
      <w:r w:rsidR="007A72CA" w:rsidRPr="005D15AC">
        <w:rPr>
          <w:b/>
          <w:lang w:val="fr-CA"/>
        </w:rPr>
        <w:t xml:space="preserve"> </w:t>
      </w:r>
      <w:r w:rsidR="004C631D" w:rsidRPr="005D15AC">
        <w:rPr>
          <w:b/>
          <w:lang w:val="fr-CA"/>
        </w:rPr>
        <w:t>novembre</w:t>
      </w:r>
      <w:r w:rsidR="00A151D1" w:rsidRPr="005D15AC">
        <w:rPr>
          <w:b/>
          <w:lang w:val="fr-CA"/>
        </w:rPr>
        <w:t xml:space="preserve"> 20</w:t>
      </w:r>
      <w:r w:rsidR="00526754" w:rsidRPr="005D15AC">
        <w:rPr>
          <w:b/>
          <w:lang w:val="fr-CA"/>
        </w:rPr>
        <w:t>20</w:t>
      </w:r>
    </w:p>
    <w:p w:rsidR="006F2579" w:rsidRPr="005D15AC" w:rsidRDefault="006F2579" w:rsidP="006F2579">
      <w:pPr>
        <w:widowControl w:val="0"/>
        <w:rPr>
          <w:b/>
          <w:lang w:val="fr-CA"/>
        </w:rPr>
      </w:pPr>
      <w:r w:rsidRPr="005D15AC">
        <w:rPr>
          <w:b/>
          <w:lang w:val="fr-CA"/>
        </w:rPr>
        <w:t>Pour diffusion immédiate</w:t>
      </w:r>
    </w:p>
    <w:p w:rsidR="006F2579" w:rsidRPr="005D15AC" w:rsidRDefault="006F2579" w:rsidP="006F2579">
      <w:pPr>
        <w:widowControl w:val="0"/>
        <w:rPr>
          <w:lang w:val="fr-CA"/>
        </w:rPr>
      </w:pPr>
    </w:p>
    <w:p w:rsidR="006F2579" w:rsidRPr="005D15AC" w:rsidRDefault="006F2579" w:rsidP="006F2579">
      <w:pPr>
        <w:widowControl w:val="0"/>
        <w:rPr>
          <w:lang w:val="fr-CA"/>
        </w:rPr>
      </w:pPr>
      <w:r w:rsidRPr="005D15AC">
        <w:rPr>
          <w:b/>
          <w:lang w:val="fr-CA"/>
        </w:rPr>
        <w:t>OTTAWA</w:t>
      </w:r>
      <w:r w:rsidRPr="005D15AC">
        <w:rPr>
          <w:lang w:val="fr-CA"/>
        </w:rPr>
        <w:t xml:space="preserve"> – La Cour suprême du Canada annonce que jugement ser</w:t>
      </w:r>
      <w:r w:rsidR="004259F9" w:rsidRPr="005D15AC">
        <w:rPr>
          <w:lang w:val="fr-CA"/>
        </w:rPr>
        <w:t>a</w:t>
      </w:r>
      <w:r w:rsidRPr="005D15AC">
        <w:rPr>
          <w:lang w:val="fr-CA"/>
        </w:rPr>
        <w:t xml:space="preserve"> rendu dans l</w:t>
      </w:r>
      <w:r w:rsidR="008600ED" w:rsidRPr="005D15AC">
        <w:rPr>
          <w:lang w:val="fr-CA"/>
        </w:rPr>
        <w:t>es</w:t>
      </w:r>
      <w:r w:rsidRPr="005D15AC">
        <w:rPr>
          <w:lang w:val="fr-CA"/>
        </w:rPr>
        <w:t xml:space="preserve"> demande</w:t>
      </w:r>
      <w:r w:rsidR="008600ED" w:rsidRPr="005D15AC">
        <w:rPr>
          <w:lang w:val="fr-CA"/>
        </w:rPr>
        <w:t>s</w:t>
      </w:r>
      <w:r w:rsidRPr="005D15AC">
        <w:rPr>
          <w:lang w:val="fr-CA"/>
        </w:rPr>
        <w:t xml:space="preserve"> d</w:t>
      </w:r>
      <w:r w:rsidR="00001846" w:rsidRPr="005D15AC">
        <w:rPr>
          <w:lang w:val="fr-CA"/>
        </w:rPr>
        <w:t>’autorisation suivante</w:t>
      </w:r>
      <w:r w:rsidR="008600ED" w:rsidRPr="005D15AC">
        <w:rPr>
          <w:lang w:val="fr-CA"/>
        </w:rPr>
        <w:t>s</w:t>
      </w:r>
      <w:r w:rsidRPr="005D15AC">
        <w:rPr>
          <w:lang w:val="fr-CA"/>
        </w:rPr>
        <w:t xml:space="preserve"> le jeudi </w:t>
      </w:r>
      <w:r w:rsidR="004C631D" w:rsidRPr="005D15AC">
        <w:rPr>
          <w:lang w:val="fr-CA"/>
        </w:rPr>
        <w:t>5</w:t>
      </w:r>
      <w:r w:rsidR="00466302" w:rsidRPr="005D15AC">
        <w:rPr>
          <w:lang w:val="fr-CA"/>
        </w:rPr>
        <w:t xml:space="preserve"> </w:t>
      </w:r>
      <w:r w:rsidR="004C631D" w:rsidRPr="005D15AC">
        <w:rPr>
          <w:lang w:val="fr-CA"/>
        </w:rPr>
        <w:t>novembre</w:t>
      </w:r>
      <w:r w:rsidR="00694391" w:rsidRPr="005D15AC">
        <w:rPr>
          <w:lang w:val="fr-CA"/>
        </w:rPr>
        <w:t xml:space="preserve"> 2</w:t>
      </w:r>
      <w:r w:rsidR="006648D1" w:rsidRPr="005D15AC">
        <w:rPr>
          <w:lang w:val="fr-CA"/>
        </w:rPr>
        <w:t>0</w:t>
      </w:r>
      <w:r w:rsidR="00526754" w:rsidRPr="005D15AC">
        <w:rPr>
          <w:lang w:val="fr-CA"/>
        </w:rPr>
        <w:t>20</w:t>
      </w:r>
      <w:r w:rsidRPr="005D15AC">
        <w:rPr>
          <w:lang w:val="fr-CA"/>
        </w:rPr>
        <w:t xml:space="preserve">, à 9 h 45 </w:t>
      </w:r>
      <w:r w:rsidR="000627A2" w:rsidRPr="005D15AC">
        <w:rPr>
          <w:lang w:val="fr-CA"/>
        </w:rPr>
        <w:t>H</w:t>
      </w:r>
      <w:r w:rsidR="004C631D" w:rsidRPr="005D15AC">
        <w:rPr>
          <w:lang w:val="fr-CA"/>
        </w:rPr>
        <w:t>N</w:t>
      </w:r>
      <w:r w:rsidRPr="005D15AC">
        <w:rPr>
          <w:lang w:val="fr-CA"/>
        </w:rPr>
        <w:t>E. Cette liste est sujette à modifications.</w:t>
      </w:r>
    </w:p>
    <w:p w:rsidR="0080556B" w:rsidRPr="005D15AC" w:rsidRDefault="0080556B" w:rsidP="009B14F4">
      <w:pPr>
        <w:widowControl w:val="0"/>
        <w:jc w:val="both"/>
        <w:rPr>
          <w:sz w:val="20"/>
          <w:lang w:val="fr-CA"/>
        </w:rPr>
      </w:pPr>
    </w:p>
    <w:p w:rsidR="00867C61" w:rsidRPr="005D15AC" w:rsidRDefault="006509AD" w:rsidP="009B14F4">
      <w:pPr>
        <w:widowControl w:val="0"/>
        <w:jc w:val="both"/>
        <w:rPr>
          <w:sz w:val="20"/>
        </w:rPr>
      </w:pPr>
      <w:r w:rsidRPr="005D15AC">
        <w:rPr>
          <w:sz w:val="20"/>
        </w:rPr>
        <w:pict>
          <v:rect id="_x0000_i1025" style="width:2in;height:1pt" o:hrpct="0" o:hralign="center" o:hrstd="t" o:hrnoshade="t" o:hr="t" fillcolor="black [3213]" stroked="f"/>
        </w:pict>
      </w:r>
    </w:p>
    <w:p w:rsidR="0029283C" w:rsidRPr="005D15AC" w:rsidRDefault="0029283C" w:rsidP="0029283C">
      <w:pPr>
        <w:rPr>
          <w:sz w:val="20"/>
        </w:rPr>
      </w:pPr>
    </w:p>
    <w:p w:rsidR="006903A2" w:rsidRPr="005D15AC" w:rsidRDefault="006903A2" w:rsidP="006903A2">
      <w:pPr>
        <w:pStyle w:val="ListParagraph"/>
        <w:numPr>
          <w:ilvl w:val="0"/>
          <w:numId w:val="50"/>
        </w:numPr>
        <w:ind w:left="357" w:hanging="357"/>
        <w:rPr>
          <w:rFonts w:eastAsia="Calibri"/>
          <w:sz w:val="20"/>
          <w:lang w:val="fr-CA"/>
        </w:rPr>
      </w:pPr>
      <w:r w:rsidRPr="005D15AC">
        <w:rPr>
          <w:rFonts w:eastAsia="Calibri"/>
          <w:i/>
          <w:sz w:val="20"/>
          <w:lang w:val="fr-CA"/>
        </w:rPr>
        <w:t>Hakim Haddad c. Sa Majesté la Reine</w:t>
      </w:r>
      <w:r w:rsidRPr="005D15AC">
        <w:rPr>
          <w:rFonts w:eastAsia="Calibri"/>
          <w:sz w:val="20"/>
          <w:lang w:val="fr-CA"/>
        </w:rPr>
        <w:t xml:space="preserve"> (Qc) (Criminelle) (Autorisation) </w:t>
      </w:r>
      <w:r w:rsidRPr="005D15AC">
        <w:rPr>
          <w:sz w:val="20"/>
          <w:lang w:val="fr-CA"/>
        </w:rPr>
        <w:t>(</w:t>
      </w:r>
      <w:hyperlink r:id="rId8" w:history="1">
        <w:r w:rsidRPr="005D15AC">
          <w:rPr>
            <w:rStyle w:val="Hyperlink"/>
            <w:sz w:val="20"/>
            <w:szCs w:val="20"/>
            <w:lang w:val="fr-CA"/>
          </w:rPr>
          <w:t>392</w:t>
        </w:r>
        <w:r w:rsidR="00CE3FC9" w:rsidRPr="005D15AC">
          <w:rPr>
            <w:rStyle w:val="Hyperlink"/>
            <w:sz w:val="20"/>
            <w:szCs w:val="20"/>
            <w:lang w:val="fr-CA"/>
          </w:rPr>
          <w:t>48</w:t>
        </w:r>
      </w:hyperlink>
      <w:r w:rsidRPr="005D15AC">
        <w:rPr>
          <w:sz w:val="20"/>
          <w:lang w:val="fr-CA"/>
        </w:rPr>
        <w:t>)</w:t>
      </w:r>
    </w:p>
    <w:p w:rsidR="006903A2" w:rsidRPr="005D15AC" w:rsidRDefault="006903A2" w:rsidP="006903A2">
      <w:pPr>
        <w:tabs>
          <w:tab w:val="left" w:pos="360"/>
        </w:tabs>
        <w:ind w:left="357" w:hanging="357"/>
        <w:rPr>
          <w:sz w:val="20"/>
          <w:lang w:val="fr-CA"/>
        </w:rPr>
      </w:pPr>
    </w:p>
    <w:p w:rsidR="006903A2" w:rsidRPr="005D15AC" w:rsidRDefault="006903A2" w:rsidP="006903A2">
      <w:pPr>
        <w:pStyle w:val="ListParagraph"/>
        <w:numPr>
          <w:ilvl w:val="0"/>
          <w:numId w:val="50"/>
        </w:numPr>
        <w:ind w:left="357" w:hanging="357"/>
        <w:rPr>
          <w:rFonts w:eastAsia="Calibri"/>
          <w:sz w:val="20"/>
        </w:rPr>
      </w:pPr>
      <w:r w:rsidRPr="005D15AC">
        <w:rPr>
          <w:rFonts w:eastAsia="Calibri"/>
          <w:i/>
          <w:sz w:val="20"/>
        </w:rPr>
        <w:t>Dawn Rae Downton v. Organigram Holdings Inc., et al.</w:t>
      </w:r>
      <w:r w:rsidRPr="005D15AC">
        <w:rPr>
          <w:rFonts w:eastAsia="Calibri"/>
          <w:sz w:val="20"/>
        </w:rPr>
        <w:t xml:space="preserve"> </w:t>
      </w:r>
      <w:r w:rsidRPr="005D15AC">
        <w:rPr>
          <w:rFonts w:eastAsia="Calibri"/>
          <w:sz w:val="20"/>
          <w:lang w:val="en-CA"/>
        </w:rPr>
        <w:t xml:space="preserve">(N.S.) (Civil) (By Leave) </w:t>
      </w:r>
      <w:r w:rsidRPr="005D15AC">
        <w:rPr>
          <w:sz w:val="20"/>
        </w:rPr>
        <w:t>(</w:t>
      </w:r>
      <w:hyperlink r:id="rId9" w:history="1">
        <w:r w:rsidRPr="005D15AC">
          <w:rPr>
            <w:rStyle w:val="Hyperlink"/>
            <w:sz w:val="20"/>
            <w:szCs w:val="20"/>
          </w:rPr>
          <w:t>392</w:t>
        </w:r>
        <w:r w:rsidR="00CE3FC9" w:rsidRPr="005D15AC">
          <w:rPr>
            <w:rStyle w:val="Hyperlink"/>
            <w:sz w:val="20"/>
            <w:szCs w:val="20"/>
          </w:rPr>
          <w:t>3</w:t>
        </w:r>
        <w:r w:rsidRPr="005D15AC">
          <w:rPr>
            <w:rStyle w:val="Hyperlink"/>
            <w:sz w:val="20"/>
            <w:szCs w:val="20"/>
          </w:rPr>
          <w:t>4</w:t>
        </w:r>
      </w:hyperlink>
      <w:r w:rsidRPr="005D15AC">
        <w:rPr>
          <w:sz w:val="20"/>
        </w:rPr>
        <w:t>)</w:t>
      </w:r>
    </w:p>
    <w:p w:rsidR="006903A2" w:rsidRPr="005D15AC" w:rsidRDefault="006903A2" w:rsidP="006903A2">
      <w:pPr>
        <w:ind w:left="357" w:hanging="357"/>
        <w:rPr>
          <w:sz w:val="20"/>
        </w:rPr>
      </w:pPr>
    </w:p>
    <w:p w:rsidR="006903A2" w:rsidRPr="005D15AC" w:rsidRDefault="006903A2" w:rsidP="006903A2">
      <w:pPr>
        <w:pStyle w:val="ListParagraph"/>
        <w:numPr>
          <w:ilvl w:val="0"/>
          <w:numId w:val="50"/>
        </w:numPr>
        <w:ind w:left="357" w:hanging="357"/>
        <w:rPr>
          <w:rFonts w:eastAsia="Calibri"/>
          <w:sz w:val="20"/>
          <w:lang w:val="en-CA"/>
        </w:rPr>
      </w:pPr>
      <w:r w:rsidRPr="005D15AC">
        <w:rPr>
          <w:rFonts w:eastAsia="Calibri"/>
          <w:i/>
          <w:sz w:val="20"/>
          <w:lang w:val="en-CA"/>
        </w:rPr>
        <w:t>Robert Friesen v. 698828 Alberta Ltd.</w:t>
      </w:r>
      <w:r w:rsidR="006B6490" w:rsidRPr="005D15AC">
        <w:rPr>
          <w:rFonts w:eastAsia="Calibri"/>
          <w:sz w:val="20"/>
          <w:lang w:val="en-CA"/>
        </w:rPr>
        <w:t xml:space="preserve"> (Alta.) (Civil) (By Leave)</w:t>
      </w:r>
      <w:r w:rsidRPr="005D15AC">
        <w:rPr>
          <w:rFonts w:eastAsia="Calibri"/>
          <w:sz w:val="20"/>
          <w:lang w:val="en-CA"/>
        </w:rPr>
        <w:t xml:space="preserve"> </w:t>
      </w:r>
      <w:r w:rsidRPr="005D15AC">
        <w:rPr>
          <w:sz w:val="20"/>
          <w:lang w:val="fr-CA"/>
        </w:rPr>
        <w:t>(</w:t>
      </w:r>
      <w:hyperlink r:id="rId10" w:history="1">
        <w:r w:rsidRPr="005D15AC">
          <w:rPr>
            <w:rStyle w:val="Hyperlink"/>
            <w:sz w:val="20"/>
            <w:szCs w:val="20"/>
            <w:lang w:val="fr-CA"/>
          </w:rPr>
          <w:t>392</w:t>
        </w:r>
        <w:r w:rsidR="006B6490" w:rsidRPr="005D15AC">
          <w:rPr>
            <w:rStyle w:val="Hyperlink"/>
            <w:sz w:val="20"/>
            <w:szCs w:val="20"/>
            <w:lang w:val="fr-CA"/>
          </w:rPr>
          <w:t>16</w:t>
        </w:r>
      </w:hyperlink>
      <w:r w:rsidRPr="005D15AC">
        <w:rPr>
          <w:sz w:val="20"/>
          <w:lang w:val="fr-CA"/>
        </w:rPr>
        <w:t>)</w:t>
      </w:r>
    </w:p>
    <w:p w:rsidR="006903A2" w:rsidRPr="005D15AC" w:rsidRDefault="006903A2" w:rsidP="006903A2">
      <w:pPr>
        <w:tabs>
          <w:tab w:val="left" w:pos="360"/>
        </w:tabs>
        <w:ind w:left="357" w:hanging="357"/>
        <w:rPr>
          <w:sz w:val="20"/>
        </w:rPr>
      </w:pPr>
    </w:p>
    <w:p w:rsidR="006903A2" w:rsidRPr="005D15AC" w:rsidRDefault="006903A2" w:rsidP="006903A2">
      <w:pPr>
        <w:pStyle w:val="ListParagraph"/>
        <w:numPr>
          <w:ilvl w:val="0"/>
          <w:numId w:val="50"/>
        </w:numPr>
        <w:ind w:left="357" w:hanging="357"/>
        <w:rPr>
          <w:rFonts w:eastAsia="Calibri"/>
          <w:sz w:val="20"/>
        </w:rPr>
      </w:pPr>
      <w:r w:rsidRPr="005D15AC">
        <w:rPr>
          <w:rFonts w:eastAsia="Calibri"/>
          <w:i/>
          <w:sz w:val="20"/>
          <w:lang w:val="en-CA"/>
        </w:rPr>
        <w:t>Joseph Stephen Rooke v. Canada, et al.</w:t>
      </w:r>
      <w:r w:rsidRPr="005D15AC">
        <w:rPr>
          <w:rFonts w:eastAsia="Calibri"/>
          <w:sz w:val="20"/>
          <w:lang w:val="en-CA"/>
        </w:rPr>
        <w:t xml:space="preserve"> (F.C.) (Civil) (By Leave) </w:t>
      </w:r>
      <w:r w:rsidRPr="005D15AC">
        <w:rPr>
          <w:sz w:val="20"/>
        </w:rPr>
        <w:t>(</w:t>
      </w:r>
      <w:hyperlink r:id="rId11" w:history="1">
        <w:r w:rsidRPr="005D15AC">
          <w:rPr>
            <w:rStyle w:val="Hyperlink"/>
            <w:sz w:val="20"/>
            <w:szCs w:val="20"/>
          </w:rPr>
          <w:t>392</w:t>
        </w:r>
        <w:r w:rsidR="005A2B32" w:rsidRPr="005D15AC">
          <w:rPr>
            <w:rStyle w:val="Hyperlink"/>
            <w:sz w:val="20"/>
            <w:szCs w:val="20"/>
          </w:rPr>
          <w:t>53</w:t>
        </w:r>
      </w:hyperlink>
      <w:r w:rsidRPr="005D15AC">
        <w:rPr>
          <w:sz w:val="20"/>
        </w:rPr>
        <w:t>)</w:t>
      </w:r>
    </w:p>
    <w:p w:rsidR="006903A2" w:rsidRPr="005D15AC" w:rsidRDefault="006903A2" w:rsidP="006903A2">
      <w:pPr>
        <w:ind w:left="357" w:hanging="357"/>
        <w:contextualSpacing/>
        <w:rPr>
          <w:rFonts w:eastAsiaTheme="minorHAnsi" w:cstheme="minorBidi"/>
          <w:sz w:val="20"/>
        </w:rPr>
      </w:pPr>
    </w:p>
    <w:p w:rsidR="006903A2" w:rsidRPr="005D15AC" w:rsidRDefault="006903A2" w:rsidP="006903A2">
      <w:pPr>
        <w:pStyle w:val="SCCAppellantInfoAppellantInfo"/>
        <w:numPr>
          <w:ilvl w:val="0"/>
          <w:numId w:val="50"/>
        </w:numPr>
        <w:ind w:left="357" w:hanging="357"/>
        <w:rPr>
          <w:sz w:val="20"/>
          <w:szCs w:val="20"/>
          <w:lang w:val="fr-CA"/>
        </w:rPr>
      </w:pPr>
      <w:r w:rsidRPr="005D15AC">
        <w:rPr>
          <w:i/>
          <w:sz w:val="20"/>
          <w:szCs w:val="20"/>
          <w:lang w:val="fr-CA"/>
        </w:rPr>
        <w:t>Casmatec Canada inc., et al. c. Produits manufacturés Bradken Canada limité, et al.</w:t>
      </w:r>
      <w:r w:rsidR="00E537AB" w:rsidRPr="005D15AC">
        <w:rPr>
          <w:sz w:val="20"/>
          <w:szCs w:val="20"/>
          <w:lang w:val="fr-CA"/>
        </w:rPr>
        <w:t xml:space="preserve"> (Qc) (Civile) (Autorisation)</w:t>
      </w:r>
      <w:r w:rsidRPr="005D15AC">
        <w:rPr>
          <w:sz w:val="20"/>
          <w:szCs w:val="20"/>
          <w:lang w:val="fr-CA"/>
        </w:rPr>
        <w:t xml:space="preserve"> </w:t>
      </w:r>
      <w:r w:rsidRPr="005D15AC">
        <w:rPr>
          <w:sz w:val="20"/>
          <w:lang w:val="fr-CA"/>
        </w:rPr>
        <w:t>(</w:t>
      </w:r>
      <w:hyperlink r:id="rId12" w:history="1">
        <w:r w:rsidRPr="005D15AC">
          <w:rPr>
            <w:rStyle w:val="Hyperlink"/>
            <w:sz w:val="20"/>
            <w:szCs w:val="20"/>
            <w:lang w:val="fr-CA"/>
          </w:rPr>
          <w:t>39</w:t>
        </w:r>
        <w:r w:rsidR="00E537AB" w:rsidRPr="005D15AC">
          <w:rPr>
            <w:rStyle w:val="Hyperlink"/>
            <w:sz w:val="20"/>
            <w:szCs w:val="20"/>
            <w:lang w:val="fr-CA"/>
          </w:rPr>
          <w:t>143</w:t>
        </w:r>
      </w:hyperlink>
      <w:r w:rsidRPr="005D15AC">
        <w:rPr>
          <w:sz w:val="20"/>
          <w:lang w:val="fr-CA"/>
        </w:rPr>
        <w:t>)</w:t>
      </w:r>
    </w:p>
    <w:p w:rsidR="006903A2" w:rsidRPr="005D15AC" w:rsidRDefault="006903A2" w:rsidP="006903A2">
      <w:pPr>
        <w:ind w:left="357" w:hanging="357"/>
        <w:rPr>
          <w:sz w:val="20"/>
          <w:lang w:val="fr-CA"/>
        </w:rPr>
      </w:pPr>
    </w:p>
    <w:p w:rsidR="006903A2" w:rsidRPr="005D15AC" w:rsidRDefault="006903A2" w:rsidP="006903A2">
      <w:pPr>
        <w:pStyle w:val="ListParagraph"/>
        <w:numPr>
          <w:ilvl w:val="0"/>
          <w:numId w:val="50"/>
        </w:numPr>
        <w:ind w:left="357" w:hanging="357"/>
        <w:rPr>
          <w:sz w:val="20"/>
          <w:lang w:val="fr-CA"/>
        </w:rPr>
      </w:pPr>
      <w:r w:rsidRPr="005D15AC">
        <w:rPr>
          <w:i/>
          <w:sz w:val="20"/>
          <w:lang w:val="fr-CA"/>
        </w:rPr>
        <w:t>Procureure générale du Québec c. Constructions Concreate ltée</w:t>
      </w:r>
      <w:r w:rsidRPr="005D15AC">
        <w:rPr>
          <w:sz w:val="20"/>
          <w:lang w:val="fr-CA"/>
        </w:rPr>
        <w:t xml:space="preserve"> (Qc) (Civile) (Autorisation) (</w:t>
      </w:r>
      <w:hyperlink r:id="rId13" w:history="1">
        <w:r w:rsidRPr="005D15AC">
          <w:rPr>
            <w:rStyle w:val="Hyperlink"/>
            <w:sz w:val="20"/>
            <w:szCs w:val="20"/>
            <w:lang w:val="fr-CA"/>
          </w:rPr>
          <w:t>3920</w:t>
        </w:r>
        <w:r w:rsidR="00014CA5" w:rsidRPr="005D15AC">
          <w:rPr>
            <w:rStyle w:val="Hyperlink"/>
            <w:sz w:val="20"/>
            <w:szCs w:val="20"/>
            <w:lang w:val="fr-CA"/>
          </w:rPr>
          <w:t>6</w:t>
        </w:r>
      </w:hyperlink>
      <w:r w:rsidRPr="005D15AC">
        <w:rPr>
          <w:sz w:val="20"/>
          <w:lang w:val="fr-CA"/>
        </w:rPr>
        <w:t>)</w:t>
      </w:r>
    </w:p>
    <w:p w:rsidR="004C631D" w:rsidRPr="005D15AC" w:rsidRDefault="004C631D" w:rsidP="006903A2">
      <w:pPr>
        <w:ind w:left="357" w:hanging="357"/>
        <w:rPr>
          <w:sz w:val="20"/>
          <w:lang w:val="fr-CA"/>
        </w:rPr>
      </w:pPr>
    </w:p>
    <w:p w:rsidR="006903A2" w:rsidRPr="005D15AC" w:rsidRDefault="006903A2" w:rsidP="006903A2">
      <w:pPr>
        <w:pStyle w:val="ListParagraph"/>
        <w:numPr>
          <w:ilvl w:val="0"/>
          <w:numId w:val="50"/>
        </w:numPr>
        <w:tabs>
          <w:tab w:val="left" w:pos="490"/>
        </w:tabs>
        <w:ind w:left="357" w:hanging="357"/>
        <w:rPr>
          <w:sz w:val="20"/>
        </w:rPr>
      </w:pPr>
      <w:r w:rsidRPr="005D15AC">
        <w:rPr>
          <w:i/>
          <w:sz w:val="20"/>
        </w:rPr>
        <w:t>Teliphone Corp. v. Ernst &amp; Young Inc., Court-Appointed Monitor of the Petitioners</w:t>
      </w:r>
      <w:r w:rsidRPr="005D15AC">
        <w:rPr>
          <w:sz w:val="20"/>
        </w:rPr>
        <w:t xml:space="preserve"> (B.C.) (Civil) (By Leave) (</w:t>
      </w:r>
      <w:r w:rsidRPr="005D15AC">
        <w:rPr>
          <w:rStyle w:val="Hyperlink"/>
          <w:sz w:val="20"/>
          <w:szCs w:val="20"/>
          <w:lang w:val="fr-CA"/>
        </w:rPr>
        <w:fldChar w:fldCharType="begin"/>
      </w:r>
      <w:r w:rsidR="00014CA5" w:rsidRPr="005D15AC">
        <w:rPr>
          <w:rStyle w:val="Hyperlink"/>
          <w:sz w:val="20"/>
          <w:szCs w:val="20"/>
        </w:rPr>
        <w:instrText>HYPERLINK "https://www.scc-csc.ca/case-dossier/info/sum-som-eng.aspx?cas=39082"</w:instrText>
      </w:r>
      <w:r w:rsidR="00014CA5" w:rsidRPr="005D15AC">
        <w:rPr>
          <w:rStyle w:val="Hyperlink"/>
          <w:sz w:val="20"/>
          <w:szCs w:val="20"/>
          <w:lang w:val="fr-CA"/>
        </w:rPr>
      </w:r>
      <w:r w:rsidRPr="005D15AC">
        <w:rPr>
          <w:rStyle w:val="Hyperlink"/>
          <w:sz w:val="20"/>
          <w:szCs w:val="20"/>
          <w:lang w:val="fr-CA"/>
        </w:rPr>
        <w:fldChar w:fldCharType="separate"/>
      </w:r>
      <w:r w:rsidRPr="005D15AC">
        <w:rPr>
          <w:rStyle w:val="Hyperlink"/>
          <w:sz w:val="20"/>
          <w:szCs w:val="20"/>
        </w:rPr>
        <w:t>390</w:t>
      </w:r>
      <w:r w:rsidR="00014CA5" w:rsidRPr="005D15AC">
        <w:rPr>
          <w:rStyle w:val="Hyperlink"/>
          <w:sz w:val="20"/>
          <w:szCs w:val="20"/>
        </w:rPr>
        <w:t>82</w:t>
      </w:r>
      <w:r w:rsidRPr="005D15AC">
        <w:rPr>
          <w:rStyle w:val="Hyperlink"/>
          <w:sz w:val="20"/>
          <w:szCs w:val="20"/>
          <w:lang w:val="fr-CA"/>
        </w:rPr>
        <w:fldChar w:fldCharType="end"/>
      </w:r>
      <w:r w:rsidRPr="005D15AC">
        <w:rPr>
          <w:sz w:val="20"/>
        </w:rPr>
        <w:t>)</w:t>
      </w:r>
    </w:p>
    <w:p w:rsidR="006903A2" w:rsidRPr="005D15AC" w:rsidRDefault="006903A2" w:rsidP="006903A2">
      <w:pPr>
        <w:widowControl w:val="0"/>
        <w:tabs>
          <w:tab w:val="left" w:pos="567"/>
        </w:tabs>
        <w:autoSpaceDE w:val="0"/>
        <w:autoSpaceDN w:val="0"/>
        <w:adjustRightInd w:val="0"/>
        <w:ind w:left="357" w:hanging="357"/>
        <w:contextualSpacing/>
        <w:rPr>
          <w:sz w:val="20"/>
        </w:rPr>
      </w:pPr>
    </w:p>
    <w:p w:rsidR="006903A2" w:rsidRPr="005D15AC" w:rsidRDefault="006903A2" w:rsidP="006903A2">
      <w:pPr>
        <w:pStyle w:val="ListParagraph"/>
        <w:numPr>
          <w:ilvl w:val="0"/>
          <w:numId w:val="50"/>
        </w:numPr>
        <w:tabs>
          <w:tab w:val="left" w:pos="450"/>
        </w:tabs>
        <w:ind w:left="357" w:hanging="357"/>
        <w:rPr>
          <w:sz w:val="20"/>
        </w:rPr>
      </w:pPr>
      <w:r w:rsidRPr="005D15AC">
        <w:rPr>
          <w:i/>
          <w:sz w:val="20"/>
          <w:lang w:val="en-CA"/>
        </w:rPr>
        <w:t xml:space="preserve">Activa Trading Co. Ltd., </w:t>
      </w:r>
      <w:r w:rsidR="00014CA5" w:rsidRPr="005D15AC">
        <w:rPr>
          <w:i/>
          <w:sz w:val="20"/>
          <w:lang w:val="en-CA"/>
        </w:rPr>
        <w:t>et al.</w:t>
      </w:r>
      <w:r w:rsidRPr="005D15AC">
        <w:rPr>
          <w:i/>
          <w:sz w:val="20"/>
          <w:lang w:val="en-CA"/>
        </w:rPr>
        <w:t xml:space="preserve"> v. Birchland Plywood-Veneer Limited, </w:t>
      </w:r>
      <w:r w:rsidR="00014CA5" w:rsidRPr="005D15AC">
        <w:rPr>
          <w:i/>
          <w:sz w:val="20"/>
          <w:lang w:val="en-CA"/>
        </w:rPr>
        <w:t>et al.</w:t>
      </w:r>
      <w:r w:rsidRPr="005D15AC">
        <w:rPr>
          <w:i/>
          <w:sz w:val="20"/>
        </w:rPr>
        <w:t xml:space="preserve"> </w:t>
      </w:r>
      <w:r w:rsidRPr="005D15AC">
        <w:rPr>
          <w:sz w:val="20"/>
        </w:rPr>
        <w:t>(Ont.) (Civil) (By Leave) (</w:t>
      </w:r>
      <w:hyperlink r:id="rId14" w:history="1">
        <w:r w:rsidRPr="005D15AC">
          <w:rPr>
            <w:rStyle w:val="Hyperlink"/>
            <w:sz w:val="20"/>
            <w:szCs w:val="20"/>
          </w:rPr>
          <w:t>392</w:t>
        </w:r>
        <w:r w:rsidR="00014CA5" w:rsidRPr="005D15AC">
          <w:rPr>
            <w:rStyle w:val="Hyperlink"/>
            <w:sz w:val="20"/>
            <w:szCs w:val="20"/>
          </w:rPr>
          <w:t>63</w:t>
        </w:r>
      </w:hyperlink>
      <w:r w:rsidRPr="005D15AC">
        <w:rPr>
          <w:sz w:val="20"/>
        </w:rPr>
        <w:t>)</w:t>
      </w:r>
    </w:p>
    <w:p w:rsidR="00350F1B" w:rsidRPr="005D15AC" w:rsidRDefault="00350F1B" w:rsidP="009B14F4">
      <w:pPr>
        <w:widowControl w:val="0"/>
        <w:jc w:val="both"/>
        <w:rPr>
          <w:sz w:val="20"/>
        </w:rPr>
      </w:pPr>
    </w:p>
    <w:p w:rsidR="0057402C" w:rsidRPr="005D15AC" w:rsidRDefault="006509AD" w:rsidP="009B14F4">
      <w:pPr>
        <w:widowControl w:val="0"/>
        <w:jc w:val="both"/>
        <w:rPr>
          <w:sz w:val="20"/>
        </w:rPr>
      </w:pPr>
      <w:r w:rsidRPr="005D15AC">
        <w:rPr>
          <w:sz w:val="20"/>
        </w:rPr>
        <w:pict>
          <v:rect id="_x0000_i1026" style="width:2in;height:1pt" o:hrpct="0" o:hralign="center" o:hrstd="t" o:hrnoshade="t" o:hr="t" fillcolor="black [3213]" stroked="f"/>
        </w:pict>
      </w:r>
    </w:p>
    <w:p w:rsidR="0057402C" w:rsidRPr="005D15AC" w:rsidRDefault="0057402C" w:rsidP="007B7DA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67F57" w:rsidRPr="005D15AC" w:rsidTr="006509AD">
        <w:tc>
          <w:tcPr>
            <w:tcW w:w="543" w:type="pct"/>
          </w:tcPr>
          <w:p w:rsidR="00267F57" w:rsidRPr="005D15AC" w:rsidRDefault="00267F57" w:rsidP="006509AD">
            <w:pPr>
              <w:jc w:val="both"/>
              <w:rPr>
                <w:sz w:val="20"/>
                <w:lang w:val="en-CA"/>
              </w:rPr>
            </w:pPr>
            <w:r w:rsidRPr="005D15AC">
              <w:rPr>
                <w:rStyle w:val="SCCFileNumberChar"/>
                <w:sz w:val="20"/>
                <w:szCs w:val="20"/>
              </w:rPr>
              <w:t>39248</w:t>
            </w:r>
          </w:p>
        </w:tc>
        <w:tc>
          <w:tcPr>
            <w:tcW w:w="4457" w:type="pct"/>
            <w:gridSpan w:val="3"/>
          </w:tcPr>
          <w:p w:rsidR="00267F57" w:rsidRPr="005D15AC" w:rsidRDefault="00267F57" w:rsidP="006509AD">
            <w:pPr>
              <w:pStyle w:val="SCCLsocParty"/>
              <w:jc w:val="both"/>
              <w:rPr>
                <w:b/>
                <w:sz w:val="20"/>
                <w:szCs w:val="20"/>
                <w:lang w:val="en-CA"/>
              </w:rPr>
            </w:pPr>
            <w:r w:rsidRPr="005D15AC">
              <w:rPr>
                <w:b/>
                <w:sz w:val="20"/>
                <w:szCs w:val="20"/>
                <w:lang w:val="en-CA"/>
              </w:rPr>
              <w:t>Hakim Haddad v. Her Majesty the Queen</w:t>
            </w:r>
          </w:p>
          <w:p w:rsidR="00267F57" w:rsidRPr="005D15AC" w:rsidRDefault="00267F57" w:rsidP="006509AD">
            <w:pPr>
              <w:jc w:val="both"/>
              <w:rPr>
                <w:sz w:val="20"/>
                <w:lang w:val="en-CA"/>
              </w:rPr>
            </w:pPr>
            <w:r w:rsidRPr="005D15AC">
              <w:rPr>
                <w:sz w:val="20"/>
                <w:lang w:val="en-CA"/>
              </w:rPr>
              <w:t>(Que.) (Criminal) (By Leave)</w:t>
            </w:r>
          </w:p>
        </w:tc>
      </w:tr>
      <w:tr w:rsidR="00267F57" w:rsidRPr="005D15AC" w:rsidTr="006509AD">
        <w:tc>
          <w:tcPr>
            <w:tcW w:w="5000" w:type="pct"/>
            <w:gridSpan w:val="4"/>
          </w:tcPr>
          <w:p w:rsidR="00267F57" w:rsidRPr="005D15AC" w:rsidRDefault="00267F57" w:rsidP="006509AD">
            <w:pPr>
              <w:jc w:val="both"/>
              <w:rPr>
                <w:sz w:val="20"/>
                <w:lang w:val="en-CA"/>
              </w:rPr>
            </w:pPr>
            <w:proofErr w:type="gramStart"/>
            <w:r w:rsidRPr="005D15AC">
              <w:rPr>
                <w:sz w:val="20"/>
                <w:lang w:val="en-CA"/>
              </w:rPr>
              <w:t xml:space="preserve">Criminal law — Whether burden of proof established by appellate courts (“clear and convincing” evidence) should be interpreted as proof on balance of probabilities — If not, whether standard of intervention for determination of credibility of witnesses must apply — Criteria that must be applied to determine what constitute different levels of scrutiny for evidence of defence and that of prosecution that would justify intervention by appellate courts — Whether Court of Appeal erred in declining to recognize that belated amendment of indictment in such way that it </w:t>
            </w:r>
            <w:r w:rsidRPr="005D15AC">
              <w:rPr>
                <w:sz w:val="20"/>
                <w:lang w:val="en-CA"/>
              </w:rPr>
              <w:lastRenderedPageBreak/>
              <w:t>could result in conviction of applicant had caused proceeding to be unjust and unfair — Whether, in this case, appellant had proven that he had been treated unfairly — If so, remedy this honourable Court should apply.</w:t>
            </w:r>
            <w:proofErr w:type="gramEnd"/>
          </w:p>
        </w:tc>
      </w:tr>
      <w:tr w:rsidR="00267F57" w:rsidRPr="005D15AC" w:rsidTr="006509AD">
        <w:tc>
          <w:tcPr>
            <w:tcW w:w="5000" w:type="pct"/>
            <w:gridSpan w:val="4"/>
          </w:tcPr>
          <w:p w:rsidR="00267F57" w:rsidRPr="005D15AC" w:rsidRDefault="00267F57" w:rsidP="006509AD">
            <w:pPr>
              <w:jc w:val="both"/>
              <w:rPr>
                <w:sz w:val="20"/>
                <w:lang w:val="en-CA"/>
              </w:rPr>
            </w:pPr>
          </w:p>
          <w:p w:rsidR="00267F57" w:rsidRPr="005D15AC" w:rsidRDefault="00267F57" w:rsidP="006509AD">
            <w:pPr>
              <w:jc w:val="both"/>
              <w:rPr>
                <w:sz w:val="20"/>
                <w:lang w:val="en-CA"/>
              </w:rPr>
            </w:pPr>
            <w:r w:rsidRPr="005D15AC">
              <w:rPr>
                <w:sz w:val="20"/>
                <w:lang w:val="en-CA"/>
              </w:rPr>
              <w:t xml:space="preserve">The applicant, Mr. Haddad, was charged with, among other things, being a party, as an accessory, to a break and </w:t>
            </w:r>
            <w:proofErr w:type="gramStart"/>
            <w:r w:rsidRPr="005D15AC">
              <w:rPr>
                <w:sz w:val="20"/>
                <w:lang w:val="en-CA"/>
              </w:rPr>
              <w:t>enter,</w:t>
            </w:r>
            <w:proofErr w:type="gramEnd"/>
            <w:r w:rsidRPr="005D15AC">
              <w:rPr>
                <w:sz w:val="20"/>
                <w:lang w:val="en-CA"/>
              </w:rPr>
              <w:t xml:space="preserve"> robbery of two persons, and forcible confinement, imprisonment or seizure of two persons. The Court of Québec found that a reasonable doubt </w:t>
            </w:r>
            <w:proofErr w:type="gramStart"/>
            <w:r w:rsidRPr="005D15AC">
              <w:rPr>
                <w:sz w:val="20"/>
                <w:lang w:val="en-CA"/>
              </w:rPr>
              <w:t>had not been raised</w:t>
            </w:r>
            <w:proofErr w:type="gramEnd"/>
            <w:r w:rsidRPr="005D15AC">
              <w:rPr>
                <w:sz w:val="20"/>
                <w:lang w:val="en-CA"/>
              </w:rPr>
              <w:t xml:space="preserve"> and that certain amendments made to the counts were appropriate. Mr. Haddad </w:t>
            </w:r>
            <w:proofErr w:type="gramStart"/>
            <w:r w:rsidRPr="005D15AC">
              <w:rPr>
                <w:sz w:val="20"/>
                <w:lang w:val="en-CA"/>
              </w:rPr>
              <w:t>was found</w:t>
            </w:r>
            <w:proofErr w:type="gramEnd"/>
            <w:r w:rsidRPr="005D15AC">
              <w:rPr>
                <w:sz w:val="20"/>
                <w:lang w:val="en-CA"/>
              </w:rPr>
              <w:t xml:space="preserve"> guilty on all the counts. The Court of Appeal unanimously dismissed the appeal. It concluded that there were no errors in the trial judge’s assessment of the evidence, and that his analysis had been meticulous, methodical and consistent with the applicable law. </w:t>
            </w:r>
          </w:p>
        </w:tc>
      </w:tr>
      <w:tr w:rsidR="00267F57" w:rsidRPr="005D15AC" w:rsidTr="006509AD">
        <w:tc>
          <w:tcPr>
            <w:tcW w:w="5000" w:type="pct"/>
            <w:gridSpan w:val="4"/>
          </w:tcPr>
          <w:p w:rsidR="00267F57" w:rsidRPr="005D15AC" w:rsidRDefault="00267F57" w:rsidP="006509AD">
            <w:pPr>
              <w:jc w:val="both"/>
              <w:rPr>
                <w:sz w:val="20"/>
                <w:lang w:val="en-CA"/>
              </w:rPr>
            </w:pPr>
          </w:p>
        </w:tc>
      </w:tr>
      <w:tr w:rsidR="00267F57" w:rsidRPr="005D15AC" w:rsidTr="006509AD">
        <w:tc>
          <w:tcPr>
            <w:tcW w:w="2427" w:type="pct"/>
            <w:gridSpan w:val="2"/>
          </w:tcPr>
          <w:p w:rsidR="00267F57" w:rsidRPr="005D15AC" w:rsidRDefault="00267F57" w:rsidP="006509AD">
            <w:pPr>
              <w:jc w:val="both"/>
              <w:rPr>
                <w:sz w:val="20"/>
                <w:lang w:val="en-CA"/>
              </w:rPr>
            </w:pPr>
            <w:r w:rsidRPr="005D15AC">
              <w:rPr>
                <w:sz w:val="20"/>
                <w:lang w:val="en-CA"/>
              </w:rPr>
              <w:t>July 24, 2017</w:t>
            </w:r>
          </w:p>
          <w:p w:rsidR="00267F57" w:rsidRPr="005D15AC" w:rsidRDefault="00267F57" w:rsidP="006509AD">
            <w:pPr>
              <w:jc w:val="both"/>
              <w:rPr>
                <w:sz w:val="20"/>
                <w:lang w:val="en-CA"/>
              </w:rPr>
            </w:pPr>
            <w:r w:rsidRPr="005D15AC">
              <w:rPr>
                <w:sz w:val="20"/>
                <w:lang w:val="en-CA"/>
              </w:rPr>
              <w:t>Court of Québec</w:t>
            </w:r>
          </w:p>
          <w:p w:rsidR="00267F57" w:rsidRPr="005D15AC" w:rsidRDefault="00267F57" w:rsidP="006509AD">
            <w:pPr>
              <w:jc w:val="both"/>
              <w:rPr>
                <w:sz w:val="20"/>
                <w:lang w:val="en-CA"/>
              </w:rPr>
            </w:pPr>
            <w:r w:rsidRPr="005D15AC">
              <w:rPr>
                <w:sz w:val="20"/>
                <w:lang w:val="en-CA"/>
              </w:rPr>
              <w:t>(Judge St-Cyr)</w:t>
            </w:r>
          </w:p>
          <w:p w:rsidR="00267F57" w:rsidRPr="005D15AC" w:rsidRDefault="00267F57" w:rsidP="006509AD">
            <w:pPr>
              <w:jc w:val="both"/>
              <w:rPr>
                <w:sz w:val="20"/>
                <w:lang w:val="en-CA"/>
              </w:rPr>
            </w:pPr>
            <w:r w:rsidRPr="005D15AC">
              <w:rPr>
                <w:sz w:val="20"/>
                <w:lang w:val="en-CA"/>
              </w:rPr>
              <w:t>200</w:t>
            </w:r>
            <w:r w:rsidRPr="005D15AC">
              <w:rPr>
                <w:sz w:val="20"/>
                <w:lang w:val="en-CA"/>
              </w:rPr>
              <w:noBreakHyphen/>
              <w:t>01</w:t>
            </w:r>
            <w:r w:rsidRPr="005D15AC">
              <w:rPr>
                <w:sz w:val="20"/>
                <w:lang w:val="en-CA"/>
              </w:rPr>
              <w:noBreakHyphen/>
              <w:t>174351</w:t>
            </w:r>
            <w:r w:rsidRPr="005D15AC">
              <w:rPr>
                <w:sz w:val="20"/>
                <w:lang w:val="en-CA"/>
              </w:rPr>
              <w:noBreakHyphen/>
              <w:t>134</w:t>
            </w:r>
          </w:p>
          <w:p w:rsidR="00267F57" w:rsidRPr="005D15AC" w:rsidRDefault="00267F57" w:rsidP="006509AD">
            <w:pPr>
              <w:jc w:val="both"/>
              <w:rPr>
                <w:sz w:val="20"/>
                <w:lang w:val="en-CA"/>
              </w:rPr>
            </w:pPr>
          </w:p>
        </w:tc>
        <w:tc>
          <w:tcPr>
            <w:tcW w:w="243" w:type="pct"/>
          </w:tcPr>
          <w:p w:rsidR="00267F57" w:rsidRPr="005D15AC" w:rsidRDefault="00267F57" w:rsidP="006509AD">
            <w:pPr>
              <w:jc w:val="both"/>
              <w:rPr>
                <w:sz w:val="20"/>
                <w:lang w:val="en-CA"/>
              </w:rPr>
            </w:pPr>
          </w:p>
        </w:tc>
        <w:tc>
          <w:tcPr>
            <w:tcW w:w="2330" w:type="pct"/>
          </w:tcPr>
          <w:p w:rsidR="00267F57" w:rsidRPr="005D15AC" w:rsidRDefault="00267F57" w:rsidP="006509AD">
            <w:pPr>
              <w:jc w:val="both"/>
              <w:rPr>
                <w:sz w:val="20"/>
                <w:lang w:val="en-CA"/>
              </w:rPr>
            </w:pPr>
            <w:r w:rsidRPr="005D15AC">
              <w:rPr>
                <w:sz w:val="20"/>
                <w:lang w:val="en-CA"/>
              </w:rPr>
              <w:t>Applicant found guilty on 7 amended counts</w:t>
            </w:r>
          </w:p>
        </w:tc>
      </w:tr>
      <w:tr w:rsidR="00267F57" w:rsidRPr="005D15AC" w:rsidTr="006509AD">
        <w:tc>
          <w:tcPr>
            <w:tcW w:w="2427" w:type="pct"/>
            <w:gridSpan w:val="2"/>
          </w:tcPr>
          <w:p w:rsidR="00267F57" w:rsidRPr="005D15AC" w:rsidRDefault="00267F57" w:rsidP="006509AD">
            <w:pPr>
              <w:jc w:val="both"/>
              <w:rPr>
                <w:sz w:val="20"/>
                <w:lang w:val="en-CA"/>
              </w:rPr>
            </w:pPr>
            <w:r w:rsidRPr="005D15AC">
              <w:rPr>
                <w:sz w:val="20"/>
                <w:lang w:val="en-CA"/>
              </w:rPr>
              <w:t>June 12, 2020</w:t>
            </w:r>
          </w:p>
          <w:p w:rsidR="00267F57" w:rsidRPr="005D15AC" w:rsidRDefault="00267F57" w:rsidP="006509AD">
            <w:pPr>
              <w:jc w:val="both"/>
              <w:rPr>
                <w:sz w:val="20"/>
                <w:lang w:val="en-CA"/>
              </w:rPr>
            </w:pPr>
            <w:r w:rsidRPr="005D15AC">
              <w:rPr>
                <w:sz w:val="20"/>
                <w:lang w:val="en-CA"/>
              </w:rPr>
              <w:t>Quebec Court of Appeal (Québec)</w:t>
            </w:r>
          </w:p>
          <w:p w:rsidR="00267F57" w:rsidRPr="005D15AC" w:rsidRDefault="00267F57" w:rsidP="006509AD">
            <w:pPr>
              <w:jc w:val="both"/>
              <w:rPr>
                <w:sz w:val="20"/>
                <w:lang w:val="en-CA"/>
              </w:rPr>
            </w:pPr>
            <w:r w:rsidRPr="005D15AC">
              <w:rPr>
                <w:sz w:val="20"/>
                <w:lang w:val="en-CA"/>
              </w:rPr>
              <w:t>(Gagnon, Levesque and Rancourt JJ.A.)</w:t>
            </w:r>
          </w:p>
          <w:p w:rsidR="00267F57" w:rsidRPr="005D15AC" w:rsidRDefault="00267F57" w:rsidP="006509AD">
            <w:pPr>
              <w:jc w:val="both"/>
              <w:rPr>
                <w:sz w:val="20"/>
                <w:lang w:val="en-CA"/>
              </w:rPr>
            </w:pPr>
            <w:hyperlink r:id="rId15" w:history="1">
              <w:r w:rsidRPr="005D15AC">
                <w:rPr>
                  <w:rStyle w:val="Hyperlink"/>
                  <w:sz w:val="20"/>
                  <w:lang w:val="en-CA"/>
                </w:rPr>
                <w:t>2020 QCCA 793</w:t>
              </w:r>
            </w:hyperlink>
          </w:p>
          <w:p w:rsidR="00267F57" w:rsidRPr="005D15AC" w:rsidRDefault="00267F57" w:rsidP="006509AD">
            <w:pPr>
              <w:jc w:val="both"/>
              <w:rPr>
                <w:sz w:val="20"/>
                <w:lang w:val="en-CA"/>
              </w:rPr>
            </w:pPr>
          </w:p>
        </w:tc>
        <w:tc>
          <w:tcPr>
            <w:tcW w:w="243" w:type="pct"/>
          </w:tcPr>
          <w:p w:rsidR="00267F57" w:rsidRPr="005D15AC" w:rsidRDefault="00267F57" w:rsidP="006509AD">
            <w:pPr>
              <w:jc w:val="both"/>
              <w:rPr>
                <w:sz w:val="20"/>
                <w:lang w:val="en-CA"/>
              </w:rPr>
            </w:pPr>
          </w:p>
        </w:tc>
        <w:tc>
          <w:tcPr>
            <w:tcW w:w="2330" w:type="pct"/>
          </w:tcPr>
          <w:p w:rsidR="00267F57" w:rsidRPr="005D15AC" w:rsidRDefault="00267F57" w:rsidP="006509AD">
            <w:pPr>
              <w:jc w:val="both"/>
              <w:rPr>
                <w:sz w:val="20"/>
                <w:lang w:val="en-CA"/>
              </w:rPr>
            </w:pPr>
            <w:r w:rsidRPr="005D15AC">
              <w:rPr>
                <w:sz w:val="20"/>
                <w:lang w:val="en-CA"/>
              </w:rPr>
              <w:t>Appeal dismissed</w:t>
            </w:r>
          </w:p>
          <w:p w:rsidR="00267F57" w:rsidRPr="005D15AC" w:rsidRDefault="00267F57" w:rsidP="006509AD">
            <w:pPr>
              <w:jc w:val="both"/>
              <w:rPr>
                <w:sz w:val="20"/>
                <w:lang w:val="en-CA"/>
              </w:rPr>
            </w:pPr>
          </w:p>
        </w:tc>
      </w:tr>
      <w:tr w:rsidR="00267F57" w:rsidRPr="005D15AC" w:rsidTr="006509AD">
        <w:tc>
          <w:tcPr>
            <w:tcW w:w="2427" w:type="pct"/>
            <w:gridSpan w:val="2"/>
          </w:tcPr>
          <w:p w:rsidR="00267F57" w:rsidRPr="005D15AC" w:rsidRDefault="00267F57" w:rsidP="006509AD">
            <w:pPr>
              <w:jc w:val="both"/>
              <w:rPr>
                <w:sz w:val="20"/>
                <w:lang w:val="en-CA"/>
              </w:rPr>
            </w:pPr>
            <w:r w:rsidRPr="005D15AC">
              <w:rPr>
                <w:sz w:val="20"/>
                <w:lang w:val="en-CA"/>
              </w:rPr>
              <w:t>July 13, 2020</w:t>
            </w:r>
          </w:p>
          <w:p w:rsidR="00267F57" w:rsidRPr="005D15AC" w:rsidRDefault="00267F57" w:rsidP="006509AD">
            <w:pPr>
              <w:jc w:val="both"/>
              <w:rPr>
                <w:sz w:val="20"/>
                <w:lang w:val="en-CA"/>
              </w:rPr>
            </w:pPr>
            <w:r w:rsidRPr="005D15AC">
              <w:rPr>
                <w:sz w:val="20"/>
                <w:lang w:val="en-CA"/>
              </w:rPr>
              <w:t>Supreme Court of Canada</w:t>
            </w:r>
          </w:p>
        </w:tc>
        <w:tc>
          <w:tcPr>
            <w:tcW w:w="243" w:type="pct"/>
          </w:tcPr>
          <w:p w:rsidR="00267F57" w:rsidRPr="005D15AC" w:rsidRDefault="00267F57" w:rsidP="006509AD">
            <w:pPr>
              <w:jc w:val="both"/>
              <w:rPr>
                <w:sz w:val="20"/>
                <w:lang w:val="en-CA"/>
              </w:rPr>
            </w:pPr>
          </w:p>
        </w:tc>
        <w:tc>
          <w:tcPr>
            <w:tcW w:w="2330" w:type="pct"/>
          </w:tcPr>
          <w:p w:rsidR="00267F57" w:rsidRPr="005D15AC" w:rsidRDefault="00267F57" w:rsidP="006509AD">
            <w:pPr>
              <w:jc w:val="both"/>
              <w:rPr>
                <w:sz w:val="20"/>
                <w:lang w:val="en-CA"/>
              </w:rPr>
            </w:pPr>
            <w:r w:rsidRPr="005D15AC">
              <w:rPr>
                <w:sz w:val="20"/>
                <w:lang w:val="en-CA"/>
              </w:rPr>
              <w:t>Application for leave to appeal filed</w:t>
            </w:r>
          </w:p>
          <w:p w:rsidR="00267F57" w:rsidRPr="005D15AC" w:rsidRDefault="00267F57" w:rsidP="006509AD">
            <w:pPr>
              <w:jc w:val="both"/>
              <w:rPr>
                <w:sz w:val="20"/>
                <w:lang w:val="en-CA"/>
              </w:rPr>
            </w:pPr>
          </w:p>
        </w:tc>
      </w:tr>
    </w:tbl>
    <w:p w:rsidR="00267F57" w:rsidRPr="005D15AC" w:rsidRDefault="00267F57" w:rsidP="006509AD">
      <w:pPr>
        <w:jc w:val="both"/>
        <w:rPr>
          <w:sz w:val="20"/>
          <w:lang w:val="en-CA"/>
        </w:rPr>
      </w:pPr>
    </w:p>
    <w:p w:rsidR="00267F57" w:rsidRPr="005D15AC" w:rsidRDefault="006509AD" w:rsidP="006509AD">
      <w:pPr>
        <w:jc w:val="both"/>
        <w:rPr>
          <w:sz w:val="20"/>
          <w:lang w:val="en-CA"/>
        </w:rPr>
      </w:pPr>
      <w:r w:rsidRPr="005D15AC">
        <w:rPr>
          <w:sz w:val="20"/>
        </w:rPr>
        <w:pict>
          <v:rect id="_x0000_i1078" style="width:2in;height:1pt" o:hrpct="0" o:hralign="center" o:hrstd="t" o:hrnoshade="t" o:hr="t" fillcolor="black [3213]" stroked="f"/>
        </w:pict>
      </w:r>
    </w:p>
    <w:p w:rsidR="00267F57" w:rsidRPr="005D15AC" w:rsidRDefault="00267F57" w:rsidP="006509A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67F57" w:rsidRPr="005D15AC" w:rsidTr="006509AD">
        <w:tc>
          <w:tcPr>
            <w:tcW w:w="543" w:type="pct"/>
          </w:tcPr>
          <w:p w:rsidR="00267F57" w:rsidRPr="005D15AC" w:rsidRDefault="00267F57" w:rsidP="006509AD">
            <w:pPr>
              <w:jc w:val="both"/>
              <w:rPr>
                <w:sz w:val="20"/>
              </w:rPr>
            </w:pPr>
            <w:r w:rsidRPr="005D15AC">
              <w:rPr>
                <w:rStyle w:val="SCCFileNumberChar"/>
                <w:sz w:val="20"/>
                <w:szCs w:val="20"/>
              </w:rPr>
              <w:t>39248</w:t>
            </w:r>
          </w:p>
        </w:tc>
        <w:tc>
          <w:tcPr>
            <w:tcW w:w="4457" w:type="pct"/>
            <w:gridSpan w:val="3"/>
          </w:tcPr>
          <w:p w:rsidR="00267F57" w:rsidRPr="005D15AC" w:rsidRDefault="00267F57" w:rsidP="006509AD">
            <w:pPr>
              <w:pStyle w:val="SCCLsocParty"/>
              <w:jc w:val="both"/>
              <w:rPr>
                <w:b/>
                <w:sz w:val="20"/>
                <w:szCs w:val="20"/>
              </w:rPr>
            </w:pPr>
            <w:r w:rsidRPr="005D15AC">
              <w:rPr>
                <w:b/>
                <w:sz w:val="20"/>
                <w:szCs w:val="20"/>
              </w:rPr>
              <w:t>Hakim Haddad c. Sa Majesté la Reine</w:t>
            </w:r>
          </w:p>
          <w:p w:rsidR="00267F57" w:rsidRPr="005D15AC" w:rsidRDefault="00267F57" w:rsidP="006509AD">
            <w:pPr>
              <w:jc w:val="both"/>
              <w:rPr>
                <w:sz w:val="20"/>
              </w:rPr>
            </w:pPr>
            <w:r w:rsidRPr="005D15AC">
              <w:rPr>
                <w:sz w:val="20"/>
              </w:rPr>
              <w:t>(Qc) (Crimine</w:t>
            </w:r>
            <w:r w:rsidR="006509AD" w:rsidRPr="005D15AC">
              <w:rPr>
                <w:sz w:val="20"/>
              </w:rPr>
              <w:t>l</w:t>
            </w:r>
            <w:r w:rsidRPr="005D15AC">
              <w:rPr>
                <w:sz w:val="20"/>
              </w:rPr>
              <w:t>l</w:t>
            </w:r>
            <w:r w:rsidR="006509AD" w:rsidRPr="005D15AC">
              <w:rPr>
                <w:sz w:val="20"/>
              </w:rPr>
              <w:t>e</w:t>
            </w:r>
            <w:r w:rsidRPr="005D15AC">
              <w:rPr>
                <w:sz w:val="20"/>
              </w:rPr>
              <w:t>) (Autorisation)</w:t>
            </w:r>
          </w:p>
        </w:tc>
      </w:tr>
      <w:tr w:rsidR="00267F57" w:rsidRPr="005D15AC" w:rsidTr="006509AD">
        <w:tc>
          <w:tcPr>
            <w:tcW w:w="5000" w:type="pct"/>
            <w:gridSpan w:val="4"/>
          </w:tcPr>
          <w:p w:rsidR="00267F57" w:rsidRPr="005D15AC" w:rsidRDefault="00267F57" w:rsidP="006509AD">
            <w:pPr>
              <w:jc w:val="both"/>
              <w:rPr>
                <w:sz w:val="20"/>
                <w:lang w:val="fr-CA"/>
              </w:rPr>
            </w:pPr>
            <w:r w:rsidRPr="005D15AC">
              <w:rPr>
                <w:sz w:val="20"/>
                <w:lang w:val="fr-CA"/>
              </w:rPr>
              <w:t>Droit criminel — Le fardeau de la preuve établi par les cours d’appel (preuve « claire et convaincante ») doit</w:t>
            </w:r>
            <w:r w:rsidRPr="005D15AC">
              <w:rPr>
                <w:sz w:val="20"/>
                <w:lang w:val="fr-CA"/>
              </w:rPr>
              <w:noBreakHyphen/>
              <w:t>il être interprété comme une preuve selon la balance des probabilités? — Dans le cas contraire, la norme d’intervention relative à l’analyse de la crédibilité des témoins doit</w:t>
            </w:r>
            <w:r w:rsidRPr="005D15AC">
              <w:rPr>
                <w:sz w:val="20"/>
                <w:lang w:val="fr-CA"/>
              </w:rPr>
              <w:noBreakHyphen/>
              <w:t>elle s’appliquer? — Quels doivent être les critères visant à déterminer ce que constitue un degré différent d’examen entre la preuve de la défense et celle de la poursuite justifiant une intervention des cours d’appel? — La Cour d’appel a</w:t>
            </w:r>
            <w:r w:rsidRPr="005D15AC">
              <w:rPr>
                <w:sz w:val="20"/>
                <w:lang w:val="fr-CA"/>
              </w:rPr>
              <w:noBreakHyphen/>
              <w:t>t</w:t>
            </w:r>
            <w:r w:rsidRPr="005D15AC">
              <w:rPr>
                <w:sz w:val="20"/>
                <w:lang w:val="fr-CA"/>
              </w:rPr>
              <w:noBreakHyphen/>
              <w:t>elle erré en refusant de reconnaître que la modification tardive de l’acte d’accusation faite de manière à ce qu’il puisse donner lieu à la condamnation du demandeur rendait la procédure injuste et inéquitable? — En l’espèce, l’appelant avait</w:t>
            </w:r>
            <w:r w:rsidRPr="005D15AC">
              <w:rPr>
                <w:sz w:val="20"/>
                <w:lang w:val="fr-CA"/>
              </w:rPr>
              <w:noBreakHyphen/>
              <w:t>il démontré le traitement inéquitable dont il a été victime? — Si oui, quel doit</w:t>
            </w:r>
            <w:r w:rsidRPr="005D15AC">
              <w:rPr>
                <w:sz w:val="20"/>
                <w:lang w:val="fr-CA"/>
              </w:rPr>
              <w:noBreakHyphen/>
              <w:t>être le remède appliqué par cette honorable Cour?</w:t>
            </w:r>
          </w:p>
        </w:tc>
      </w:tr>
      <w:tr w:rsidR="00267F57" w:rsidRPr="005D15AC" w:rsidTr="006509AD">
        <w:tc>
          <w:tcPr>
            <w:tcW w:w="5000" w:type="pct"/>
            <w:gridSpan w:val="4"/>
          </w:tcPr>
          <w:p w:rsidR="00267F57" w:rsidRPr="005D15AC" w:rsidRDefault="00267F57" w:rsidP="006509AD">
            <w:pPr>
              <w:jc w:val="both"/>
              <w:rPr>
                <w:sz w:val="20"/>
                <w:lang w:val="fr-CA"/>
              </w:rPr>
            </w:pPr>
          </w:p>
          <w:p w:rsidR="00267F57" w:rsidRPr="005D15AC" w:rsidRDefault="00267F57" w:rsidP="006509AD">
            <w:pPr>
              <w:jc w:val="both"/>
              <w:rPr>
                <w:sz w:val="20"/>
                <w:lang w:val="fr-CA"/>
              </w:rPr>
            </w:pPr>
            <w:r w:rsidRPr="005D15AC">
              <w:rPr>
                <w:sz w:val="20"/>
                <w:lang w:val="fr-CA"/>
              </w:rPr>
              <w:t xml:space="preserve">Le demandeur M. Haddad est visé par des chefs d’accusation lui reprochant entre autres d’avoir participé par la complicité à une introduction par effraction; à un vol qualifié à l’égard de deux personnes; à la séquestration, à l’emprisonnement ou à la saisie de force deux personnes. La Cour du Québec considère qu’aucun doute raisonnable n’a été soulevé et que des modifications apportées aux chefs d’accusations sont appropriées. Monsieur Haddad est déclaré coupable de l’ensemble des chefs d’accusation. La Cour d’appel rejette l’appel de façon unanime. Elle est d’avis que l’appréciation de la preuve faite par le juge de première instance est sans faille, et que son analyse est minutieuse, méthodique et respectueuse du droit applicable. </w:t>
            </w:r>
          </w:p>
        </w:tc>
      </w:tr>
      <w:tr w:rsidR="00267F57" w:rsidRPr="005D15AC" w:rsidTr="006509AD">
        <w:tc>
          <w:tcPr>
            <w:tcW w:w="5000" w:type="pct"/>
            <w:gridSpan w:val="4"/>
          </w:tcPr>
          <w:p w:rsidR="00267F57" w:rsidRPr="005D15AC" w:rsidRDefault="00267F57" w:rsidP="006509AD">
            <w:pPr>
              <w:jc w:val="both"/>
              <w:rPr>
                <w:sz w:val="20"/>
                <w:lang w:val="fr-CA"/>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Le 24 juillet 2017</w:t>
            </w:r>
          </w:p>
          <w:p w:rsidR="00267F57" w:rsidRPr="005D15AC" w:rsidRDefault="00267F57" w:rsidP="006509AD">
            <w:pPr>
              <w:jc w:val="both"/>
              <w:rPr>
                <w:sz w:val="20"/>
                <w:lang w:val="fr-CA"/>
              </w:rPr>
            </w:pPr>
            <w:r w:rsidRPr="005D15AC">
              <w:rPr>
                <w:sz w:val="20"/>
                <w:lang w:val="fr-CA"/>
              </w:rPr>
              <w:t>Cour du Québec</w:t>
            </w:r>
          </w:p>
          <w:p w:rsidR="00267F57" w:rsidRPr="005D15AC" w:rsidRDefault="00267F57" w:rsidP="006509AD">
            <w:pPr>
              <w:jc w:val="both"/>
              <w:rPr>
                <w:sz w:val="20"/>
                <w:lang w:val="fr-CA"/>
              </w:rPr>
            </w:pPr>
            <w:r w:rsidRPr="005D15AC">
              <w:rPr>
                <w:sz w:val="20"/>
                <w:lang w:val="fr-CA"/>
              </w:rPr>
              <w:t>(le juge St-Cyr)</w:t>
            </w:r>
          </w:p>
          <w:p w:rsidR="00267F57" w:rsidRPr="005D15AC" w:rsidRDefault="00267F57" w:rsidP="006509AD">
            <w:pPr>
              <w:jc w:val="both"/>
              <w:rPr>
                <w:sz w:val="20"/>
              </w:rPr>
            </w:pPr>
            <w:r w:rsidRPr="005D15AC">
              <w:rPr>
                <w:sz w:val="20"/>
              </w:rPr>
              <w:t>200</w:t>
            </w:r>
            <w:r w:rsidRPr="005D15AC">
              <w:rPr>
                <w:sz w:val="20"/>
              </w:rPr>
              <w:noBreakHyphen/>
              <w:t>01</w:t>
            </w:r>
            <w:r w:rsidRPr="005D15AC">
              <w:rPr>
                <w:sz w:val="20"/>
              </w:rPr>
              <w:noBreakHyphen/>
              <w:t>174351</w:t>
            </w:r>
            <w:r w:rsidRPr="005D15AC">
              <w:rPr>
                <w:sz w:val="20"/>
              </w:rPr>
              <w:noBreakHyphen/>
              <w:t>134</w:t>
            </w:r>
          </w:p>
          <w:p w:rsidR="00267F57" w:rsidRPr="005D15AC" w:rsidRDefault="00267F57" w:rsidP="006509AD">
            <w:pPr>
              <w:jc w:val="both"/>
              <w:rPr>
                <w:sz w:val="20"/>
              </w:rPr>
            </w:pP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lang w:val="fr-CA"/>
              </w:rPr>
            </w:pPr>
            <w:r w:rsidRPr="005D15AC">
              <w:rPr>
                <w:sz w:val="20"/>
                <w:lang w:val="fr-CA"/>
              </w:rPr>
              <w:t xml:space="preserve">Demandeur déclaré coupable de 7 chefs d’accusation modifiés </w:t>
            </w: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Le 12 juin 2020</w:t>
            </w:r>
          </w:p>
          <w:p w:rsidR="00267F57" w:rsidRPr="005D15AC" w:rsidRDefault="00267F57" w:rsidP="006509AD">
            <w:pPr>
              <w:jc w:val="both"/>
              <w:rPr>
                <w:sz w:val="20"/>
                <w:lang w:val="fr-CA"/>
              </w:rPr>
            </w:pPr>
            <w:r w:rsidRPr="005D15AC">
              <w:rPr>
                <w:sz w:val="20"/>
                <w:lang w:val="fr-CA"/>
              </w:rPr>
              <w:t>Cour d’appel du Québec (Québec)</w:t>
            </w:r>
          </w:p>
          <w:p w:rsidR="00267F57" w:rsidRPr="005D15AC" w:rsidRDefault="00267F57" w:rsidP="006509AD">
            <w:pPr>
              <w:jc w:val="both"/>
              <w:rPr>
                <w:sz w:val="20"/>
                <w:lang w:val="fr-CA"/>
              </w:rPr>
            </w:pPr>
            <w:r w:rsidRPr="005D15AC">
              <w:rPr>
                <w:sz w:val="20"/>
                <w:lang w:val="fr-CA"/>
              </w:rPr>
              <w:t>(les juges Gagnon, Levesque et Rancourt)</w:t>
            </w:r>
          </w:p>
          <w:p w:rsidR="00267F57" w:rsidRPr="005D15AC" w:rsidRDefault="00267F57" w:rsidP="006509AD">
            <w:pPr>
              <w:jc w:val="both"/>
              <w:rPr>
                <w:sz w:val="20"/>
              </w:rPr>
            </w:pPr>
            <w:hyperlink r:id="rId16" w:history="1">
              <w:r w:rsidRPr="005D15AC">
                <w:rPr>
                  <w:rStyle w:val="Hyperlink"/>
                  <w:sz w:val="20"/>
                </w:rPr>
                <w:t>2020 QCCA 793</w:t>
              </w:r>
            </w:hyperlink>
          </w:p>
          <w:p w:rsidR="00267F57" w:rsidRPr="005D15AC" w:rsidRDefault="00267F57" w:rsidP="006509AD">
            <w:pPr>
              <w:jc w:val="both"/>
              <w:rPr>
                <w:sz w:val="20"/>
              </w:rPr>
            </w:pP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rPr>
            </w:pPr>
            <w:r w:rsidRPr="005D15AC">
              <w:rPr>
                <w:sz w:val="20"/>
              </w:rPr>
              <w:t>Appel rejeté</w:t>
            </w:r>
          </w:p>
          <w:p w:rsidR="00267F57" w:rsidRPr="005D15AC" w:rsidRDefault="00267F57" w:rsidP="006509AD">
            <w:pPr>
              <w:jc w:val="both"/>
              <w:rPr>
                <w:sz w:val="20"/>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lastRenderedPageBreak/>
              <w:t>Le 13 juillet 2020</w:t>
            </w:r>
          </w:p>
          <w:p w:rsidR="00267F57" w:rsidRPr="005D15AC" w:rsidRDefault="00267F57" w:rsidP="006509AD">
            <w:pPr>
              <w:jc w:val="both"/>
              <w:rPr>
                <w:sz w:val="20"/>
                <w:lang w:val="fr-CA"/>
              </w:rPr>
            </w:pPr>
            <w:r w:rsidRPr="005D15AC">
              <w:rPr>
                <w:sz w:val="20"/>
                <w:lang w:val="fr-CA"/>
              </w:rPr>
              <w:t>Cour suprême du Canada</w:t>
            </w: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rPr>
            </w:pPr>
            <w:r w:rsidRPr="005D15AC">
              <w:rPr>
                <w:sz w:val="20"/>
              </w:rPr>
              <w:t>Demande d’autorisation d’appel déposée</w:t>
            </w:r>
          </w:p>
          <w:p w:rsidR="00267F57" w:rsidRPr="005D15AC" w:rsidRDefault="00267F57" w:rsidP="006509AD">
            <w:pPr>
              <w:jc w:val="both"/>
              <w:rPr>
                <w:sz w:val="20"/>
              </w:rPr>
            </w:pPr>
          </w:p>
        </w:tc>
      </w:tr>
    </w:tbl>
    <w:p w:rsidR="00267F57" w:rsidRPr="005D15AC" w:rsidRDefault="00267F57" w:rsidP="006509AD">
      <w:pPr>
        <w:jc w:val="both"/>
        <w:rPr>
          <w:sz w:val="20"/>
        </w:rPr>
      </w:pPr>
    </w:p>
    <w:p w:rsidR="006509AD" w:rsidRPr="005D15AC" w:rsidRDefault="006509AD" w:rsidP="006509AD">
      <w:pPr>
        <w:jc w:val="both"/>
        <w:rPr>
          <w:sz w:val="20"/>
        </w:rPr>
      </w:pPr>
      <w:r w:rsidRPr="005D15AC">
        <w:rPr>
          <w:sz w:val="20"/>
        </w:rPr>
        <w:pict>
          <v:rect id="_x0000_i1081" style="width:2in;height:1pt" o:hrpct="0" o:hralign="center" o:hrstd="t" o:hrnoshade="t" o:hr="t" fillcolor="black [3213]" stroked="f"/>
        </w:pict>
      </w:r>
    </w:p>
    <w:p w:rsidR="00267F57" w:rsidRPr="005D15AC" w:rsidRDefault="00267F57" w:rsidP="00650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67F57" w:rsidRPr="005D15AC" w:rsidTr="006509AD">
        <w:tc>
          <w:tcPr>
            <w:tcW w:w="543" w:type="pct"/>
          </w:tcPr>
          <w:p w:rsidR="00267F57" w:rsidRPr="005D15AC" w:rsidRDefault="00267F57" w:rsidP="006509AD">
            <w:pPr>
              <w:jc w:val="both"/>
              <w:rPr>
                <w:sz w:val="20"/>
              </w:rPr>
            </w:pPr>
            <w:r w:rsidRPr="005D15AC">
              <w:rPr>
                <w:rStyle w:val="SCCFileNumberChar"/>
                <w:sz w:val="20"/>
                <w:szCs w:val="20"/>
              </w:rPr>
              <w:t>39234</w:t>
            </w:r>
          </w:p>
        </w:tc>
        <w:tc>
          <w:tcPr>
            <w:tcW w:w="4457" w:type="pct"/>
            <w:gridSpan w:val="3"/>
          </w:tcPr>
          <w:p w:rsidR="00267F57" w:rsidRPr="005D15AC" w:rsidRDefault="00267F57" w:rsidP="006509AD">
            <w:pPr>
              <w:pStyle w:val="SCCLsocParty"/>
              <w:jc w:val="both"/>
              <w:rPr>
                <w:b/>
                <w:sz w:val="20"/>
                <w:szCs w:val="20"/>
                <w:lang w:val="en-US"/>
              </w:rPr>
            </w:pPr>
            <w:r w:rsidRPr="005D15AC">
              <w:rPr>
                <w:b/>
                <w:sz w:val="20"/>
                <w:szCs w:val="20"/>
                <w:lang w:val="en-US"/>
              </w:rPr>
              <w:t>Dawn Rae Downton v. Organigram Holdings Inc, Organigram Inc.</w:t>
            </w:r>
          </w:p>
          <w:p w:rsidR="00267F57" w:rsidRPr="005D15AC" w:rsidRDefault="00267F57" w:rsidP="006509AD">
            <w:pPr>
              <w:jc w:val="both"/>
              <w:rPr>
                <w:sz w:val="20"/>
              </w:rPr>
            </w:pPr>
            <w:r w:rsidRPr="005D15AC">
              <w:rPr>
                <w:sz w:val="20"/>
              </w:rPr>
              <w:t>(N.S.) (Civil) (By Leave)</w:t>
            </w:r>
          </w:p>
        </w:tc>
      </w:tr>
      <w:tr w:rsidR="00267F57" w:rsidRPr="005D15AC" w:rsidTr="006509AD">
        <w:tc>
          <w:tcPr>
            <w:tcW w:w="5000" w:type="pct"/>
            <w:gridSpan w:val="4"/>
          </w:tcPr>
          <w:p w:rsidR="00267F57" w:rsidRPr="005D15AC" w:rsidRDefault="00267F57" w:rsidP="006509AD">
            <w:pPr>
              <w:jc w:val="both"/>
              <w:rPr>
                <w:sz w:val="20"/>
              </w:rPr>
            </w:pPr>
            <w:r w:rsidRPr="005D15AC">
              <w:rPr>
                <w:sz w:val="20"/>
              </w:rPr>
              <w:t>Civil procedure — Parties — Class or representative actions — Certification — Proper approach to workable methodology requirement to certify class proceeding in context of tort and personal injury damages and threshold evidentiary requirements — Whether inference of causation can be drawn for certification in the context of contaminants requiring novel methodologies of proof?</w:t>
            </w:r>
          </w:p>
        </w:tc>
      </w:tr>
      <w:tr w:rsidR="00267F57" w:rsidRPr="005D15AC" w:rsidTr="006509AD">
        <w:tc>
          <w:tcPr>
            <w:tcW w:w="5000" w:type="pct"/>
            <w:gridSpan w:val="4"/>
          </w:tcPr>
          <w:p w:rsidR="00267F57" w:rsidRPr="005D15AC" w:rsidRDefault="00267F57" w:rsidP="006509AD">
            <w:pPr>
              <w:jc w:val="both"/>
              <w:rPr>
                <w:sz w:val="20"/>
              </w:rPr>
            </w:pPr>
          </w:p>
          <w:p w:rsidR="00267F57" w:rsidRPr="005D15AC" w:rsidRDefault="00267F57" w:rsidP="006509AD">
            <w:pPr>
              <w:jc w:val="both"/>
              <w:rPr>
                <w:sz w:val="20"/>
              </w:rPr>
            </w:pPr>
            <w:r w:rsidRPr="005D15AC">
              <w:rPr>
                <w:sz w:val="20"/>
              </w:rPr>
              <w:t>Organigram Inc. produces medical marihuana. Organigram Inc. and Health Canada recalled some of Organigram Inc.’s marihuana after Organigram Inc. discovered and reported that some of its marihuana contained trace amounts of three pesticides. Ms. Downton commenced an action claiming that she consumed Organigram Inc.’s marihuana containing pesticides and she suffered nausea and headaches. She applied to certify the action as a class proceeding. Another proposed member of the class alleges Organigram Inc.’s marihuana caused her to suffer severe nausea, gastrointestinal issues, breathing difficulty and headaches. The proposed class claims include claims seeking damages for personal injury. Expert opinion divided on whether there is a workable methodology to determine issues class</w:t>
            </w:r>
            <w:r w:rsidRPr="005D15AC">
              <w:rPr>
                <w:sz w:val="20"/>
              </w:rPr>
              <w:noBreakHyphen/>
              <w:t xml:space="preserve">wide. The motions judge certified the action as a class proceeding. </w:t>
            </w:r>
            <w:r w:rsidRPr="005D15AC">
              <w:rPr>
                <w:spacing w:val="-1"/>
                <w:sz w:val="20"/>
              </w:rPr>
              <w:t xml:space="preserve">The Court of Appeal allowed an appeal in part. </w:t>
            </w:r>
            <w:r w:rsidRPr="005D15AC">
              <w:rPr>
                <w:sz w:val="20"/>
              </w:rPr>
              <w:t>It set aside and deleted parts of the certification order.</w:t>
            </w:r>
          </w:p>
        </w:tc>
      </w:tr>
      <w:tr w:rsidR="00267F57" w:rsidRPr="005D15AC" w:rsidTr="006509AD">
        <w:tc>
          <w:tcPr>
            <w:tcW w:w="5000" w:type="pct"/>
            <w:gridSpan w:val="4"/>
          </w:tcPr>
          <w:p w:rsidR="00267F57" w:rsidRPr="005D15AC" w:rsidRDefault="00267F57" w:rsidP="006509AD">
            <w:pPr>
              <w:jc w:val="both"/>
              <w:rPr>
                <w:sz w:val="20"/>
              </w:rPr>
            </w:pPr>
          </w:p>
        </w:tc>
      </w:tr>
      <w:tr w:rsidR="00267F57" w:rsidRPr="005D15AC" w:rsidTr="006509AD">
        <w:tc>
          <w:tcPr>
            <w:tcW w:w="2427" w:type="pct"/>
            <w:gridSpan w:val="2"/>
          </w:tcPr>
          <w:p w:rsidR="00267F57" w:rsidRPr="005D15AC" w:rsidRDefault="00267F57" w:rsidP="006509AD">
            <w:pPr>
              <w:jc w:val="both"/>
              <w:rPr>
                <w:sz w:val="20"/>
              </w:rPr>
            </w:pPr>
            <w:r w:rsidRPr="005D15AC">
              <w:rPr>
                <w:sz w:val="20"/>
              </w:rPr>
              <w:t>January 18, 2019</w:t>
            </w:r>
          </w:p>
          <w:p w:rsidR="00267F57" w:rsidRPr="005D15AC" w:rsidRDefault="00267F57" w:rsidP="006509AD">
            <w:pPr>
              <w:jc w:val="both"/>
              <w:rPr>
                <w:sz w:val="20"/>
              </w:rPr>
            </w:pPr>
            <w:r w:rsidRPr="005D15AC">
              <w:rPr>
                <w:sz w:val="20"/>
              </w:rPr>
              <w:t>Supreme Court of Nova Scotia, Trial Division</w:t>
            </w:r>
          </w:p>
          <w:p w:rsidR="00267F57" w:rsidRPr="005D15AC" w:rsidRDefault="00267F57" w:rsidP="006509AD">
            <w:pPr>
              <w:jc w:val="both"/>
              <w:rPr>
                <w:sz w:val="20"/>
              </w:rPr>
            </w:pPr>
            <w:r w:rsidRPr="005D15AC">
              <w:rPr>
                <w:sz w:val="20"/>
              </w:rPr>
              <w:t>(Smith J.)</w:t>
            </w:r>
          </w:p>
          <w:p w:rsidR="00267F57" w:rsidRPr="005D15AC" w:rsidRDefault="00267F57" w:rsidP="006509AD">
            <w:pPr>
              <w:jc w:val="both"/>
              <w:rPr>
                <w:sz w:val="20"/>
              </w:rPr>
            </w:pPr>
            <w:hyperlink r:id="rId17" w:history="1">
              <w:r w:rsidRPr="005D15AC">
                <w:rPr>
                  <w:rStyle w:val="Hyperlink"/>
                  <w:sz w:val="20"/>
                </w:rPr>
                <w:t>2019 NSSC 4</w:t>
              </w:r>
            </w:hyperlink>
          </w:p>
          <w:p w:rsidR="00267F57" w:rsidRPr="005D15AC" w:rsidRDefault="00267F57" w:rsidP="006509AD">
            <w:pPr>
              <w:jc w:val="both"/>
              <w:rPr>
                <w:sz w:val="20"/>
              </w:rPr>
            </w:pP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rPr>
            </w:pPr>
            <w:r w:rsidRPr="005D15AC">
              <w:rPr>
                <w:sz w:val="20"/>
              </w:rPr>
              <w:t>Action certified as a class proceeding</w:t>
            </w:r>
          </w:p>
          <w:p w:rsidR="00267F57" w:rsidRPr="005D15AC" w:rsidRDefault="00267F57" w:rsidP="006509AD">
            <w:pPr>
              <w:jc w:val="both"/>
              <w:rPr>
                <w:sz w:val="20"/>
              </w:rPr>
            </w:pPr>
          </w:p>
        </w:tc>
      </w:tr>
      <w:tr w:rsidR="00267F57" w:rsidRPr="005D15AC" w:rsidTr="006509AD">
        <w:tc>
          <w:tcPr>
            <w:tcW w:w="2427" w:type="pct"/>
            <w:gridSpan w:val="2"/>
          </w:tcPr>
          <w:p w:rsidR="00267F57" w:rsidRPr="005D15AC" w:rsidRDefault="00267F57" w:rsidP="006509AD">
            <w:pPr>
              <w:jc w:val="both"/>
              <w:rPr>
                <w:sz w:val="20"/>
              </w:rPr>
            </w:pPr>
            <w:r w:rsidRPr="005D15AC">
              <w:rPr>
                <w:sz w:val="20"/>
              </w:rPr>
              <w:t>April 30, 2020</w:t>
            </w:r>
          </w:p>
          <w:p w:rsidR="00267F57" w:rsidRPr="005D15AC" w:rsidRDefault="00267F57" w:rsidP="006509AD">
            <w:pPr>
              <w:jc w:val="both"/>
              <w:rPr>
                <w:sz w:val="20"/>
              </w:rPr>
            </w:pPr>
            <w:r w:rsidRPr="005D15AC">
              <w:rPr>
                <w:sz w:val="20"/>
              </w:rPr>
              <w:t>Nova Scotia Court of Appeal</w:t>
            </w:r>
          </w:p>
          <w:p w:rsidR="00267F57" w:rsidRPr="005D15AC" w:rsidRDefault="00267F57" w:rsidP="006509AD">
            <w:pPr>
              <w:jc w:val="both"/>
              <w:rPr>
                <w:sz w:val="20"/>
              </w:rPr>
            </w:pPr>
            <w:r w:rsidRPr="005D15AC">
              <w:rPr>
                <w:sz w:val="20"/>
              </w:rPr>
              <w:t>(Farrar, Fichaud, Bryson JJ.A.)</w:t>
            </w:r>
          </w:p>
          <w:p w:rsidR="00267F57" w:rsidRPr="005D15AC" w:rsidRDefault="00267F57" w:rsidP="006509AD">
            <w:pPr>
              <w:jc w:val="both"/>
              <w:rPr>
                <w:sz w:val="20"/>
              </w:rPr>
            </w:pPr>
            <w:hyperlink r:id="rId18" w:history="1">
              <w:r w:rsidRPr="005D15AC">
                <w:rPr>
                  <w:rStyle w:val="Hyperlink"/>
                  <w:sz w:val="20"/>
                </w:rPr>
                <w:t>2020 NSCA 38</w:t>
              </w:r>
            </w:hyperlink>
            <w:r w:rsidRPr="005D15AC">
              <w:rPr>
                <w:sz w:val="20"/>
              </w:rPr>
              <w:t>; CA 485656</w:t>
            </w:r>
          </w:p>
          <w:p w:rsidR="00267F57" w:rsidRPr="005D15AC" w:rsidRDefault="00267F57" w:rsidP="006509AD">
            <w:pPr>
              <w:jc w:val="both"/>
              <w:rPr>
                <w:sz w:val="20"/>
              </w:rPr>
            </w:pP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rPr>
            </w:pPr>
            <w:r w:rsidRPr="005D15AC">
              <w:rPr>
                <w:sz w:val="20"/>
              </w:rPr>
              <w:t>Appeal allowed in part</w:t>
            </w:r>
          </w:p>
        </w:tc>
      </w:tr>
      <w:tr w:rsidR="00267F57" w:rsidRPr="005D15AC" w:rsidTr="006509AD">
        <w:tc>
          <w:tcPr>
            <w:tcW w:w="2427" w:type="pct"/>
            <w:gridSpan w:val="2"/>
          </w:tcPr>
          <w:p w:rsidR="00267F57" w:rsidRPr="005D15AC" w:rsidRDefault="00267F57" w:rsidP="006509AD">
            <w:pPr>
              <w:jc w:val="both"/>
              <w:rPr>
                <w:sz w:val="20"/>
              </w:rPr>
            </w:pPr>
            <w:r w:rsidRPr="005D15AC">
              <w:rPr>
                <w:sz w:val="20"/>
              </w:rPr>
              <w:t>June 26, 2020</w:t>
            </w:r>
          </w:p>
          <w:p w:rsidR="00267F57" w:rsidRPr="005D15AC" w:rsidRDefault="00267F57" w:rsidP="006509AD">
            <w:pPr>
              <w:jc w:val="both"/>
              <w:rPr>
                <w:sz w:val="20"/>
              </w:rPr>
            </w:pPr>
            <w:r w:rsidRPr="005D15AC">
              <w:rPr>
                <w:sz w:val="20"/>
              </w:rPr>
              <w:t>Supreme Court of Canada</w:t>
            </w: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rPr>
            </w:pPr>
            <w:r w:rsidRPr="005D15AC">
              <w:rPr>
                <w:sz w:val="20"/>
              </w:rPr>
              <w:t>Application for leave to appeal filed</w:t>
            </w:r>
          </w:p>
          <w:p w:rsidR="00267F57" w:rsidRPr="005D15AC" w:rsidRDefault="00267F57" w:rsidP="006509AD">
            <w:pPr>
              <w:jc w:val="both"/>
              <w:rPr>
                <w:sz w:val="20"/>
              </w:rPr>
            </w:pPr>
          </w:p>
        </w:tc>
      </w:tr>
    </w:tbl>
    <w:p w:rsidR="00267F57" w:rsidRPr="005D15AC" w:rsidRDefault="00267F57" w:rsidP="006509AD">
      <w:pPr>
        <w:jc w:val="both"/>
        <w:rPr>
          <w:sz w:val="20"/>
        </w:rPr>
      </w:pPr>
    </w:p>
    <w:p w:rsidR="006509AD" w:rsidRPr="005D15AC" w:rsidRDefault="006509AD" w:rsidP="006509AD">
      <w:pPr>
        <w:jc w:val="both"/>
        <w:rPr>
          <w:sz w:val="20"/>
        </w:rPr>
      </w:pPr>
      <w:r w:rsidRPr="005D15AC">
        <w:rPr>
          <w:sz w:val="20"/>
        </w:rPr>
        <w:pict>
          <v:rect id="_x0000_i1082" style="width:2in;height:1pt" o:hrpct="0" o:hralign="center" o:hrstd="t" o:hrnoshade="t" o:hr="t" fillcolor="black [3213]" stroked="f"/>
        </w:pict>
      </w:r>
    </w:p>
    <w:p w:rsidR="006509AD" w:rsidRPr="005D15AC" w:rsidRDefault="006509AD" w:rsidP="00650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67F57" w:rsidRPr="005D15AC" w:rsidTr="006509AD">
        <w:tc>
          <w:tcPr>
            <w:tcW w:w="543" w:type="pct"/>
          </w:tcPr>
          <w:p w:rsidR="00267F57" w:rsidRPr="005D15AC" w:rsidRDefault="00267F57" w:rsidP="006509AD">
            <w:pPr>
              <w:jc w:val="both"/>
              <w:rPr>
                <w:sz w:val="20"/>
                <w:lang w:val="fr-CA"/>
              </w:rPr>
            </w:pPr>
            <w:r w:rsidRPr="005D15AC">
              <w:rPr>
                <w:rStyle w:val="SCCFileNumberChar"/>
                <w:sz w:val="20"/>
                <w:szCs w:val="20"/>
                <w:lang w:val="fr-CA"/>
              </w:rPr>
              <w:t>39234</w:t>
            </w:r>
          </w:p>
        </w:tc>
        <w:tc>
          <w:tcPr>
            <w:tcW w:w="4457" w:type="pct"/>
            <w:gridSpan w:val="3"/>
          </w:tcPr>
          <w:p w:rsidR="00267F57" w:rsidRPr="005D15AC" w:rsidRDefault="00267F57" w:rsidP="006509AD">
            <w:pPr>
              <w:pStyle w:val="SCCLsocParty"/>
              <w:jc w:val="both"/>
              <w:rPr>
                <w:b/>
                <w:sz w:val="20"/>
                <w:szCs w:val="20"/>
                <w:lang w:val="en-US"/>
              </w:rPr>
            </w:pPr>
            <w:r w:rsidRPr="005D15AC">
              <w:rPr>
                <w:b/>
                <w:sz w:val="20"/>
                <w:szCs w:val="20"/>
                <w:lang w:val="en-US"/>
              </w:rPr>
              <w:t>Dawn Rae Downton c. Organigram Holdings Inc, Organigram Inc.</w:t>
            </w:r>
          </w:p>
          <w:p w:rsidR="00267F57" w:rsidRPr="005D15AC" w:rsidRDefault="00267F57" w:rsidP="006509AD">
            <w:pPr>
              <w:jc w:val="both"/>
              <w:rPr>
                <w:sz w:val="20"/>
                <w:lang w:val="fr-CA"/>
              </w:rPr>
            </w:pPr>
            <w:r w:rsidRPr="005D15AC">
              <w:rPr>
                <w:sz w:val="20"/>
                <w:lang w:val="fr-CA"/>
              </w:rPr>
              <w:t>(N.</w:t>
            </w:r>
            <w:r w:rsidRPr="005D15AC">
              <w:rPr>
                <w:sz w:val="20"/>
                <w:lang w:val="fr-CA"/>
              </w:rPr>
              <w:noBreakHyphen/>
              <w:t>É.) (Civile) (Sur autorisation)</w:t>
            </w:r>
          </w:p>
        </w:tc>
      </w:tr>
      <w:tr w:rsidR="00267F57" w:rsidRPr="005D15AC" w:rsidTr="006509AD">
        <w:tc>
          <w:tcPr>
            <w:tcW w:w="5000" w:type="pct"/>
            <w:gridSpan w:val="4"/>
          </w:tcPr>
          <w:p w:rsidR="00267F57" w:rsidRPr="005D15AC" w:rsidRDefault="00267F57" w:rsidP="006509AD">
            <w:pPr>
              <w:jc w:val="both"/>
              <w:rPr>
                <w:sz w:val="20"/>
                <w:lang w:val="fr-CA"/>
              </w:rPr>
            </w:pPr>
            <w:r w:rsidRPr="005D15AC">
              <w:rPr>
                <w:sz w:val="20"/>
                <w:lang w:val="fr-CA"/>
              </w:rPr>
              <w:t>Procédure civile — Parties — Recours collectifs — Certification — Démarche à adopter quant à la méthode réalisable requise en vue d’autoriser un recours collectif dans le contexte des dommages</w:t>
            </w:r>
            <w:r w:rsidRPr="005D15AC">
              <w:rPr>
                <w:sz w:val="20"/>
                <w:lang w:val="fr-CA"/>
              </w:rPr>
              <w:noBreakHyphen/>
              <w:t>intérêts pour délits civils et lésions corporelles et des exigences quant au critère préliminaire de preuve — Une inférence de causalité peut</w:t>
            </w:r>
            <w:r w:rsidRPr="005D15AC">
              <w:rPr>
                <w:sz w:val="20"/>
                <w:lang w:val="fr-CA"/>
              </w:rPr>
              <w:noBreakHyphen/>
              <w:t>elle être faite à l’égard de la certification dans le contexte de contaminants qui exige de nouvelles méthodologies relatives à la preuve ?</w:t>
            </w:r>
          </w:p>
        </w:tc>
      </w:tr>
      <w:tr w:rsidR="00267F57" w:rsidRPr="005D15AC" w:rsidTr="006509AD">
        <w:tc>
          <w:tcPr>
            <w:tcW w:w="5000" w:type="pct"/>
            <w:gridSpan w:val="4"/>
          </w:tcPr>
          <w:p w:rsidR="00267F57" w:rsidRPr="005D15AC" w:rsidRDefault="00267F57" w:rsidP="006509AD">
            <w:pPr>
              <w:jc w:val="both"/>
              <w:rPr>
                <w:sz w:val="20"/>
                <w:lang w:val="fr-CA"/>
              </w:rPr>
            </w:pPr>
          </w:p>
          <w:p w:rsidR="00267F57" w:rsidRPr="005D15AC" w:rsidRDefault="00267F57" w:rsidP="006509AD">
            <w:pPr>
              <w:jc w:val="both"/>
              <w:rPr>
                <w:sz w:val="20"/>
                <w:lang w:val="fr-CA"/>
              </w:rPr>
            </w:pPr>
            <w:r w:rsidRPr="005D15AC">
              <w:rPr>
                <w:sz w:val="20"/>
                <w:lang w:val="fr-CA"/>
              </w:rPr>
              <w:t xml:space="preserve">Organigram Inc. produit de la marihuana à des fins médicales. Organigram Inc. et Santé Canada ont retiré du marché certains produits de marihuana d’Organigram Inc. après que cette dernière </w:t>
            </w:r>
            <w:proofErr w:type="gramStart"/>
            <w:r w:rsidRPr="005D15AC">
              <w:rPr>
                <w:sz w:val="20"/>
                <w:lang w:val="fr-CA"/>
              </w:rPr>
              <w:t>a</w:t>
            </w:r>
            <w:proofErr w:type="gramEnd"/>
            <w:r w:rsidRPr="005D15AC">
              <w:rPr>
                <w:sz w:val="20"/>
                <w:lang w:val="fr-CA"/>
              </w:rPr>
              <w:t xml:space="preserve"> découvert et signalé que ceux</w:t>
            </w:r>
            <w:r w:rsidRPr="005D15AC">
              <w:rPr>
                <w:sz w:val="20"/>
                <w:lang w:val="fr-CA"/>
              </w:rPr>
              <w:noBreakHyphen/>
              <w:t xml:space="preserve">ci contenaient des traces de trois différents pesticides. Mme Downton a intenté une action, alléguant qu’après avoir consommé de la marihuana contenant des pesticides d’Organigram Inc., elle a souffert de nausée et de maux de tête. Elle a demandé l’autorisation d’engager l’action en tant que recours collectif. </w:t>
            </w:r>
            <w:proofErr w:type="gramStart"/>
            <w:r w:rsidRPr="005D15AC">
              <w:rPr>
                <w:sz w:val="20"/>
                <w:lang w:val="fr-CA"/>
              </w:rPr>
              <w:t>Une</w:t>
            </w:r>
            <w:proofErr w:type="gramEnd"/>
            <w:r w:rsidRPr="005D15AC">
              <w:rPr>
                <w:sz w:val="20"/>
                <w:lang w:val="fr-CA"/>
              </w:rPr>
              <w:t xml:space="preserve"> autre membre du groupe proposé allègue que la marihuana d’Organigram Inc. lui a fait subir des nausées graves, des troubles gastro</w:t>
            </w:r>
            <w:r w:rsidRPr="005D15AC">
              <w:rPr>
                <w:sz w:val="20"/>
                <w:lang w:val="fr-CA"/>
              </w:rPr>
              <w:noBreakHyphen/>
              <w:t>intestinaux, des difficultés respiratoires et des maux de tête. Les membres du groupe proposé réclament notamment des dommages</w:t>
            </w:r>
            <w:r w:rsidRPr="005D15AC">
              <w:rPr>
                <w:sz w:val="20"/>
                <w:lang w:val="fr-CA"/>
              </w:rPr>
              <w:noBreakHyphen/>
              <w:t xml:space="preserve">intérêts pour lésions corporelles. L’opinion des experts est partagée quant à la question de savoir s’il y a une méthode réalisable pour trancher les questions à l’échelle du groupe. La juge des motions a autorisé l’action à </w:t>
            </w:r>
            <w:r w:rsidRPr="005D15AC">
              <w:rPr>
                <w:sz w:val="20"/>
                <w:lang w:val="fr-CA"/>
              </w:rPr>
              <w:lastRenderedPageBreak/>
              <w:t xml:space="preserve">titre de recours collectif. </w:t>
            </w:r>
            <w:r w:rsidRPr="005D15AC">
              <w:rPr>
                <w:spacing w:val="-1"/>
                <w:sz w:val="20"/>
                <w:lang w:val="fr-CA"/>
              </w:rPr>
              <w:t>La Cour d’appel a accueilli l’appel, en partie. Elle a annulé et a supprimé des parties de l’ordonnance de certification</w:t>
            </w:r>
            <w:r w:rsidRPr="005D15AC">
              <w:rPr>
                <w:sz w:val="20"/>
                <w:lang w:val="fr-CA"/>
              </w:rPr>
              <w:t>.</w:t>
            </w:r>
          </w:p>
        </w:tc>
      </w:tr>
      <w:tr w:rsidR="00267F57" w:rsidRPr="005D15AC" w:rsidTr="006509AD">
        <w:tc>
          <w:tcPr>
            <w:tcW w:w="5000" w:type="pct"/>
            <w:gridSpan w:val="4"/>
          </w:tcPr>
          <w:p w:rsidR="00267F57" w:rsidRPr="005D15AC" w:rsidRDefault="00267F57" w:rsidP="006509AD">
            <w:pPr>
              <w:jc w:val="both"/>
              <w:rPr>
                <w:sz w:val="20"/>
                <w:lang w:val="fr-CA"/>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18 janvier 2019</w:t>
            </w:r>
          </w:p>
          <w:p w:rsidR="00267F57" w:rsidRPr="005D15AC" w:rsidRDefault="00267F57" w:rsidP="006509AD">
            <w:pPr>
              <w:jc w:val="both"/>
              <w:rPr>
                <w:sz w:val="20"/>
                <w:lang w:val="fr-CA"/>
              </w:rPr>
            </w:pPr>
            <w:r w:rsidRPr="005D15AC">
              <w:rPr>
                <w:sz w:val="20"/>
                <w:lang w:val="fr-CA"/>
              </w:rPr>
              <w:t>Cour suprême de la Nouvelle</w:t>
            </w:r>
            <w:r w:rsidRPr="005D15AC">
              <w:rPr>
                <w:sz w:val="20"/>
                <w:lang w:val="fr-CA"/>
              </w:rPr>
              <w:noBreakHyphen/>
              <w:t>Écosse, Division de première instance</w:t>
            </w:r>
          </w:p>
          <w:p w:rsidR="00267F57" w:rsidRPr="005D15AC" w:rsidRDefault="00267F57" w:rsidP="006509AD">
            <w:pPr>
              <w:jc w:val="both"/>
              <w:rPr>
                <w:sz w:val="20"/>
                <w:lang w:val="fr-CA"/>
              </w:rPr>
            </w:pPr>
            <w:r w:rsidRPr="005D15AC">
              <w:rPr>
                <w:sz w:val="20"/>
                <w:lang w:val="fr-CA"/>
              </w:rPr>
              <w:t>(Juge Smith)</w:t>
            </w:r>
          </w:p>
          <w:p w:rsidR="00267F57" w:rsidRPr="005D15AC" w:rsidRDefault="00267F57" w:rsidP="006509AD">
            <w:pPr>
              <w:jc w:val="both"/>
              <w:rPr>
                <w:sz w:val="20"/>
                <w:lang w:val="fr-CA"/>
              </w:rPr>
            </w:pPr>
            <w:hyperlink r:id="rId19" w:history="1">
              <w:r w:rsidRPr="005D15AC">
                <w:rPr>
                  <w:rStyle w:val="Hyperlink"/>
                  <w:sz w:val="20"/>
                  <w:lang w:val="fr-CA"/>
                </w:rPr>
                <w:t>2019 NSSC 4</w:t>
              </w:r>
            </w:hyperlink>
          </w:p>
          <w:p w:rsidR="00267F57" w:rsidRPr="005D15AC" w:rsidRDefault="00267F57" w:rsidP="006509AD">
            <w:pPr>
              <w:jc w:val="both"/>
              <w:rPr>
                <w:sz w:val="20"/>
                <w:lang w:val="fr-CA"/>
              </w:rPr>
            </w:pP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lang w:val="fr-CA"/>
              </w:rPr>
            </w:pPr>
            <w:r w:rsidRPr="005D15AC">
              <w:rPr>
                <w:sz w:val="20"/>
                <w:lang w:val="fr-FR"/>
              </w:rPr>
              <w:t>Autorisation d’engager l’action en tant que recours collectif accordée.</w:t>
            </w: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30 avril 2020</w:t>
            </w:r>
          </w:p>
          <w:p w:rsidR="00267F57" w:rsidRPr="005D15AC" w:rsidRDefault="00267F57" w:rsidP="006509AD">
            <w:pPr>
              <w:jc w:val="both"/>
              <w:rPr>
                <w:sz w:val="20"/>
                <w:lang w:val="fr-CA"/>
              </w:rPr>
            </w:pPr>
            <w:r w:rsidRPr="005D15AC">
              <w:rPr>
                <w:sz w:val="20"/>
                <w:lang w:val="fr-CA"/>
              </w:rPr>
              <w:t>Cour d’appel de la Nouvelle</w:t>
            </w:r>
            <w:r w:rsidRPr="005D15AC">
              <w:rPr>
                <w:sz w:val="20"/>
                <w:lang w:val="fr-CA"/>
              </w:rPr>
              <w:noBreakHyphen/>
              <w:t>Écosse</w:t>
            </w:r>
          </w:p>
          <w:p w:rsidR="00267F57" w:rsidRPr="005D15AC" w:rsidRDefault="00267F57" w:rsidP="006509AD">
            <w:pPr>
              <w:jc w:val="both"/>
              <w:rPr>
                <w:sz w:val="20"/>
                <w:lang w:val="fr-CA"/>
              </w:rPr>
            </w:pPr>
            <w:r w:rsidRPr="005D15AC">
              <w:rPr>
                <w:sz w:val="20"/>
                <w:lang w:val="fr-CA"/>
              </w:rPr>
              <w:t xml:space="preserve">(Juges Farrar, </w:t>
            </w:r>
            <w:proofErr w:type="spellStart"/>
            <w:r w:rsidRPr="005D15AC">
              <w:rPr>
                <w:sz w:val="20"/>
                <w:lang w:val="fr-CA"/>
              </w:rPr>
              <w:t>Fichaud</w:t>
            </w:r>
            <w:proofErr w:type="spellEnd"/>
            <w:r w:rsidRPr="005D15AC">
              <w:rPr>
                <w:sz w:val="20"/>
                <w:lang w:val="fr-CA"/>
              </w:rPr>
              <w:t>, Bryson)</w:t>
            </w:r>
          </w:p>
          <w:p w:rsidR="00267F57" w:rsidRPr="005D15AC" w:rsidRDefault="00267F57" w:rsidP="006509AD">
            <w:pPr>
              <w:jc w:val="both"/>
              <w:rPr>
                <w:sz w:val="20"/>
                <w:lang w:val="fr-CA"/>
              </w:rPr>
            </w:pPr>
            <w:hyperlink r:id="rId20" w:history="1">
              <w:r w:rsidRPr="005D15AC">
                <w:rPr>
                  <w:rStyle w:val="Hyperlink"/>
                  <w:sz w:val="20"/>
                  <w:lang w:val="fr-CA"/>
                </w:rPr>
                <w:t>2020 NSCA 38</w:t>
              </w:r>
            </w:hyperlink>
            <w:r w:rsidRPr="005D15AC">
              <w:rPr>
                <w:sz w:val="20"/>
                <w:lang w:val="fr-CA"/>
              </w:rPr>
              <w:t>; CA 485656</w:t>
            </w:r>
          </w:p>
          <w:p w:rsidR="00267F57" w:rsidRPr="005D15AC" w:rsidRDefault="00267F57" w:rsidP="006509AD">
            <w:pPr>
              <w:jc w:val="both"/>
              <w:rPr>
                <w:sz w:val="20"/>
                <w:lang w:val="fr-CA"/>
              </w:rPr>
            </w:pP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lang w:val="fr-CA"/>
              </w:rPr>
            </w:pPr>
            <w:r w:rsidRPr="005D15AC">
              <w:rPr>
                <w:sz w:val="20"/>
                <w:lang w:val="fr-CA"/>
              </w:rPr>
              <w:t>Appel accueilli en partie.</w:t>
            </w: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26 juin 2020</w:t>
            </w:r>
          </w:p>
          <w:p w:rsidR="00267F57" w:rsidRPr="005D15AC" w:rsidRDefault="00267F57" w:rsidP="006509AD">
            <w:pPr>
              <w:jc w:val="both"/>
              <w:rPr>
                <w:sz w:val="20"/>
                <w:lang w:val="fr-CA"/>
              </w:rPr>
            </w:pPr>
            <w:r w:rsidRPr="005D15AC">
              <w:rPr>
                <w:sz w:val="20"/>
                <w:lang w:val="fr-CA"/>
              </w:rPr>
              <w:t>Cour suprême du Canada</w:t>
            </w: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lang w:val="fr-CA"/>
              </w:rPr>
            </w:pPr>
            <w:r w:rsidRPr="005D15AC">
              <w:rPr>
                <w:sz w:val="20"/>
                <w:lang w:val="fr-CA"/>
              </w:rPr>
              <w:t>Demande d’autorisation d’appel présentée.</w:t>
            </w:r>
          </w:p>
          <w:p w:rsidR="00267F57" w:rsidRPr="005D15AC" w:rsidRDefault="00267F57" w:rsidP="006509AD">
            <w:pPr>
              <w:jc w:val="both"/>
              <w:rPr>
                <w:sz w:val="20"/>
                <w:lang w:val="fr-CA"/>
              </w:rPr>
            </w:pPr>
          </w:p>
        </w:tc>
      </w:tr>
    </w:tbl>
    <w:p w:rsidR="00267F57" w:rsidRPr="005D15AC" w:rsidRDefault="00267F57" w:rsidP="006509AD">
      <w:pPr>
        <w:jc w:val="both"/>
        <w:rPr>
          <w:sz w:val="20"/>
          <w:lang w:val="fr-CA"/>
        </w:rPr>
      </w:pPr>
    </w:p>
    <w:p w:rsidR="006509AD" w:rsidRPr="005D15AC" w:rsidRDefault="006509AD" w:rsidP="006509AD">
      <w:pPr>
        <w:jc w:val="both"/>
        <w:rPr>
          <w:sz w:val="20"/>
          <w:lang w:val="fr-CA"/>
        </w:rPr>
      </w:pPr>
      <w:r w:rsidRPr="005D15AC">
        <w:rPr>
          <w:sz w:val="20"/>
        </w:rPr>
        <w:pict>
          <v:rect id="_x0000_i1083" style="width:2in;height:1pt" o:hrpct="0" o:hralign="center" o:hrstd="t" o:hrnoshade="t" o:hr="t" fillcolor="black [3213]" stroked="f"/>
        </w:pict>
      </w:r>
    </w:p>
    <w:p w:rsidR="00267F57" w:rsidRPr="005D15AC" w:rsidRDefault="00267F57" w:rsidP="00650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67F57" w:rsidRPr="005D15AC" w:rsidTr="006509AD">
        <w:tc>
          <w:tcPr>
            <w:tcW w:w="543" w:type="pct"/>
          </w:tcPr>
          <w:p w:rsidR="00267F57" w:rsidRPr="005D15AC" w:rsidRDefault="00267F57" w:rsidP="006509AD">
            <w:pPr>
              <w:jc w:val="both"/>
              <w:rPr>
                <w:sz w:val="20"/>
              </w:rPr>
            </w:pPr>
            <w:r w:rsidRPr="005D15AC">
              <w:rPr>
                <w:rStyle w:val="SCCFileNumberChar"/>
                <w:sz w:val="20"/>
                <w:szCs w:val="20"/>
              </w:rPr>
              <w:t>39216</w:t>
            </w:r>
          </w:p>
        </w:tc>
        <w:tc>
          <w:tcPr>
            <w:tcW w:w="4457" w:type="pct"/>
            <w:gridSpan w:val="3"/>
          </w:tcPr>
          <w:p w:rsidR="00267F57" w:rsidRPr="005D15AC" w:rsidRDefault="00267F57" w:rsidP="006509AD">
            <w:pPr>
              <w:pStyle w:val="SCCLsocParty"/>
              <w:jc w:val="both"/>
              <w:rPr>
                <w:b/>
                <w:sz w:val="20"/>
                <w:szCs w:val="20"/>
                <w:lang w:val="en-US"/>
              </w:rPr>
            </w:pPr>
            <w:r w:rsidRPr="005D15AC">
              <w:rPr>
                <w:b/>
                <w:sz w:val="20"/>
                <w:szCs w:val="20"/>
                <w:lang w:val="en-US"/>
              </w:rPr>
              <w:t>Robert Friesen v. 698828 Alberta Ltd.</w:t>
            </w:r>
          </w:p>
          <w:p w:rsidR="00267F57" w:rsidRPr="005D15AC" w:rsidRDefault="00267F57" w:rsidP="006509AD">
            <w:pPr>
              <w:jc w:val="both"/>
              <w:rPr>
                <w:sz w:val="20"/>
              </w:rPr>
            </w:pPr>
            <w:r w:rsidRPr="005D15AC">
              <w:rPr>
                <w:sz w:val="20"/>
              </w:rPr>
              <w:t>(Alta.) (Civil) (By Leave)</w:t>
            </w:r>
          </w:p>
        </w:tc>
      </w:tr>
      <w:tr w:rsidR="00267F57" w:rsidRPr="005D15AC" w:rsidTr="006509AD">
        <w:tc>
          <w:tcPr>
            <w:tcW w:w="5000" w:type="pct"/>
            <w:gridSpan w:val="4"/>
          </w:tcPr>
          <w:p w:rsidR="00267F57" w:rsidRPr="005D15AC" w:rsidRDefault="00267F57" w:rsidP="006509AD">
            <w:pPr>
              <w:jc w:val="both"/>
              <w:rPr>
                <w:sz w:val="20"/>
              </w:rPr>
            </w:pPr>
            <w:r w:rsidRPr="005D15AC">
              <w:rPr>
                <w:sz w:val="20"/>
              </w:rPr>
              <w:t xml:space="preserve">Contracts — Commercial contracts — Joint venture agreement — Real property development —Oppression remedy — Limitation of actions — Agency — How do sections 8 and 9 of the </w:t>
            </w:r>
            <w:r w:rsidRPr="005D15AC">
              <w:rPr>
                <w:i/>
                <w:sz w:val="20"/>
              </w:rPr>
              <w:t>Limitations Act</w:t>
            </w:r>
            <w:r w:rsidRPr="005D15AC">
              <w:rPr>
                <w:sz w:val="20"/>
              </w:rPr>
              <w:t xml:space="preserve"> operate in the context of the law of agency — How is section 3(1)(a) of the </w:t>
            </w:r>
            <w:r w:rsidRPr="005D15AC">
              <w:rPr>
                <w:i/>
                <w:sz w:val="20"/>
              </w:rPr>
              <w:t>Limitations Act</w:t>
            </w:r>
            <w:r w:rsidRPr="005D15AC">
              <w:rPr>
                <w:sz w:val="20"/>
              </w:rPr>
              <w:t>, RSA 2000, c. L</w:t>
            </w:r>
            <w:r w:rsidRPr="005D15AC">
              <w:rPr>
                <w:sz w:val="20"/>
              </w:rPr>
              <w:noBreakHyphen/>
              <w:t xml:space="preserve">12, to be interpreted and applied — Is the oppression remedy under section 242(2) of the Alberta </w:t>
            </w:r>
            <w:r w:rsidRPr="005D15AC">
              <w:rPr>
                <w:i/>
                <w:sz w:val="20"/>
              </w:rPr>
              <w:t>Business Corporations Act</w:t>
            </w:r>
            <w:r w:rsidRPr="005D15AC">
              <w:rPr>
                <w:sz w:val="20"/>
              </w:rPr>
              <w:t>, RSA 2000, c. B</w:t>
            </w:r>
            <w:r w:rsidRPr="005D15AC">
              <w:rPr>
                <w:sz w:val="20"/>
              </w:rPr>
              <w:noBreakHyphen/>
              <w:t>9, available with respect to a corporate entity that has been dissolved and not revived in accordance with the provisions of that Act — What is the test for a two</w:t>
            </w:r>
            <w:r w:rsidRPr="005D15AC">
              <w:rPr>
                <w:sz w:val="20"/>
              </w:rPr>
              <w:noBreakHyphen/>
              <w:t>party corporate variation of the tort of inducing breach of contract — What is the requisite intention required to induce breach of contract in the two</w:t>
            </w:r>
            <w:r w:rsidRPr="005D15AC">
              <w:rPr>
                <w:sz w:val="20"/>
              </w:rPr>
              <w:noBreakHyphen/>
              <w:t>party corporate variation of the tort of inducing breach of contract?</w:t>
            </w:r>
          </w:p>
        </w:tc>
      </w:tr>
      <w:tr w:rsidR="00267F57" w:rsidRPr="005D15AC" w:rsidTr="006509AD">
        <w:tc>
          <w:tcPr>
            <w:tcW w:w="5000" w:type="pct"/>
            <w:gridSpan w:val="4"/>
          </w:tcPr>
          <w:p w:rsidR="00267F57" w:rsidRPr="005D15AC" w:rsidRDefault="00267F57" w:rsidP="006509AD">
            <w:pPr>
              <w:jc w:val="both"/>
              <w:rPr>
                <w:sz w:val="20"/>
              </w:rPr>
            </w:pPr>
          </w:p>
          <w:p w:rsidR="00267F57" w:rsidRPr="005D15AC" w:rsidRDefault="00267F57" w:rsidP="006509AD">
            <w:pPr>
              <w:jc w:val="both"/>
              <w:rPr>
                <w:sz w:val="20"/>
              </w:rPr>
            </w:pPr>
            <w:r w:rsidRPr="005D15AC">
              <w:rPr>
                <w:sz w:val="20"/>
              </w:rPr>
              <w:t xml:space="preserve">In 2004, </w:t>
            </w:r>
            <w:r w:rsidRPr="005D15AC">
              <w:rPr>
                <w:color w:val="000000"/>
                <w:sz w:val="20"/>
                <w:shd w:val="clear" w:color="auto" w:fill="FFFFFF"/>
              </w:rPr>
              <w:t xml:space="preserve">698828 Alberta Ltd. entered into a joint venture agreement with Elite Homes (1998), a subsidiary of Unity Builders Group, for development of residential homes in the Taralake district of Calgary, Alberta. The agreement entitled 698828 to profit sharing of the development. After an initial delay, 11 homes sold in 2006 and 698828 received a share of the proceeds from those sales. Although further sales occurred, 698828 received no payments from those transactions. Unbeknownst to 698828, Elite Homes (1998) Inc. was dissolved on April 2, 2007. On October 23, 2009, a letter was sent to 698828 from Unity Builders Group acknowledging a debt owing in the amount of $3,217,597. In 2012, the Unity Builders Group of companies went into creditor protection under the </w:t>
            </w:r>
            <w:r w:rsidRPr="005D15AC">
              <w:rPr>
                <w:i/>
                <w:color w:val="000000"/>
                <w:sz w:val="20"/>
                <w:shd w:val="clear" w:color="auto" w:fill="FFFFFF"/>
              </w:rPr>
              <w:t>Companies’ Creditors Arrangement Act</w:t>
            </w:r>
            <w:r w:rsidRPr="005D15AC">
              <w:rPr>
                <w:color w:val="000000"/>
                <w:sz w:val="20"/>
                <w:shd w:val="clear" w:color="auto" w:fill="FFFFFF"/>
              </w:rPr>
              <w:t>, RSC 1985, c. C</w:t>
            </w:r>
            <w:r w:rsidRPr="005D15AC">
              <w:rPr>
                <w:color w:val="000000"/>
                <w:sz w:val="20"/>
                <w:shd w:val="clear" w:color="auto" w:fill="FFFFFF"/>
              </w:rPr>
              <w:noBreakHyphen/>
              <w:t>36. 698828 filed an action on July 27, 2010, alleging amongst other things that Robert Friesen, sole owner of Elite Homes (1998) and controlling shareholder of Unity Builders Group, was personally liable for inducing breach of contract, breach of fiduciary obligations, and oppressive conduct. The Court of Queen’s Bench of Alberta found Mr. Friesen’s actions were oppressive but recovery was barred by a statute of limitations. The Court of Appeal for Alberta, with one judge writing concurring reasons in the result, concluded that the limitation period had not expired and that Mr. Friesen was personally liable.</w:t>
            </w:r>
          </w:p>
        </w:tc>
      </w:tr>
      <w:tr w:rsidR="00267F57" w:rsidRPr="005D15AC" w:rsidTr="006509AD">
        <w:tc>
          <w:tcPr>
            <w:tcW w:w="5000" w:type="pct"/>
            <w:gridSpan w:val="4"/>
          </w:tcPr>
          <w:p w:rsidR="00267F57" w:rsidRPr="005D15AC" w:rsidRDefault="00267F57" w:rsidP="006509AD">
            <w:pPr>
              <w:jc w:val="both"/>
              <w:rPr>
                <w:sz w:val="20"/>
              </w:rPr>
            </w:pPr>
          </w:p>
        </w:tc>
      </w:tr>
      <w:tr w:rsidR="00267F57" w:rsidRPr="005D15AC" w:rsidTr="006509AD">
        <w:tc>
          <w:tcPr>
            <w:tcW w:w="2427" w:type="pct"/>
            <w:gridSpan w:val="2"/>
          </w:tcPr>
          <w:p w:rsidR="00267F57" w:rsidRPr="005D15AC" w:rsidRDefault="00267F57" w:rsidP="006509AD">
            <w:pPr>
              <w:jc w:val="both"/>
              <w:rPr>
                <w:sz w:val="20"/>
              </w:rPr>
            </w:pPr>
            <w:r w:rsidRPr="005D15AC">
              <w:rPr>
                <w:sz w:val="20"/>
              </w:rPr>
              <w:t>May 27, 2019</w:t>
            </w:r>
          </w:p>
          <w:p w:rsidR="00267F57" w:rsidRPr="005D15AC" w:rsidRDefault="00267F57" w:rsidP="006509AD">
            <w:pPr>
              <w:jc w:val="both"/>
              <w:rPr>
                <w:sz w:val="20"/>
              </w:rPr>
            </w:pPr>
            <w:r w:rsidRPr="005D15AC">
              <w:rPr>
                <w:sz w:val="20"/>
              </w:rPr>
              <w:t>Court of Queen’s Bench of Alberta</w:t>
            </w:r>
          </w:p>
          <w:p w:rsidR="00267F57" w:rsidRPr="005D15AC" w:rsidRDefault="00267F57" w:rsidP="006509AD">
            <w:pPr>
              <w:jc w:val="both"/>
              <w:rPr>
                <w:sz w:val="20"/>
              </w:rPr>
            </w:pPr>
            <w:r w:rsidRPr="005D15AC">
              <w:rPr>
                <w:sz w:val="20"/>
              </w:rPr>
              <w:t>(Dario J.)</w:t>
            </w:r>
          </w:p>
          <w:p w:rsidR="00267F57" w:rsidRPr="005D15AC" w:rsidRDefault="00267F57" w:rsidP="006509AD">
            <w:pPr>
              <w:jc w:val="both"/>
              <w:rPr>
                <w:sz w:val="20"/>
              </w:rPr>
            </w:pPr>
            <w:hyperlink r:id="rId21" w:history="1">
              <w:r w:rsidRPr="005D15AC">
                <w:rPr>
                  <w:rStyle w:val="Hyperlink"/>
                  <w:sz w:val="20"/>
                </w:rPr>
                <w:t>2019 ABQB 393</w:t>
              </w:r>
            </w:hyperlink>
          </w:p>
          <w:p w:rsidR="00267F57" w:rsidRPr="005D15AC" w:rsidRDefault="00267F57" w:rsidP="006509AD">
            <w:pPr>
              <w:jc w:val="both"/>
              <w:rPr>
                <w:sz w:val="20"/>
              </w:rPr>
            </w:pP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rPr>
            </w:pPr>
            <w:r w:rsidRPr="005D15AC">
              <w:rPr>
                <w:sz w:val="20"/>
              </w:rPr>
              <w:t>Claims of inducing breach of contract and oppression substantiated but barred by the expiration of a limitation period.</w:t>
            </w:r>
          </w:p>
          <w:p w:rsidR="00267F57" w:rsidRPr="005D15AC" w:rsidRDefault="00267F57" w:rsidP="006509AD">
            <w:pPr>
              <w:jc w:val="both"/>
              <w:rPr>
                <w:sz w:val="20"/>
              </w:rPr>
            </w:pPr>
          </w:p>
        </w:tc>
      </w:tr>
      <w:tr w:rsidR="00267F57" w:rsidRPr="005D15AC" w:rsidTr="006509AD">
        <w:tc>
          <w:tcPr>
            <w:tcW w:w="2427" w:type="pct"/>
            <w:gridSpan w:val="2"/>
          </w:tcPr>
          <w:p w:rsidR="00267F57" w:rsidRPr="005D15AC" w:rsidRDefault="00267F57" w:rsidP="006509AD">
            <w:pPr>
              <w:jc w:val="both"/>
              <w:rPr>
                <w:sz w:val="20"/>
              </w:rPr>
            </w:pPr>
            <w:r w:rsidRPr="005D15AC">
              <w:rPr>
                <w:sz w:val="20"/>
              </w:rPr>
              <w:t>April 21, 2020</w:t>
            </w:r>
          </w:p>
          <w:p w:rsidR="00267F57" w:rsidRPr="005D15AC" w:rsidRDefault="00267F57" w:rsidP="006509AD">
            <w:pPr>
              <w:jc w:val="both"/>
              <w:rPr>
                <w:sz w:val="20"/>
              </w:rPr>
            </w:pPr>
            <w:r w:rsidRPr="005D15AC">
              <w:rPr>
                <w:sz w:val="20"/>
              </w:rPr>
              <w:t>Court of Appeal of Alberta (Calgary)</w:t>
            </w:r>
          </w:p>
          <w:p w:rsidR="00267F57" w:rsidRPr="005D15AC" w:rsidRDefault="00267F57" w:rsidP="006509AD">
            <w:pPr>
              <w:jc w:val="both"/>
              <w:rPr>
                <w:sz w:val="20"/>
              </w:rPr>
            </w:pPr>
            <w:r w:rsidRPr="005D15AC">
              <w:rPr>
                <w:sz w:val="20"/>
              </w:rPr>
              <w:t>(Bielby, and Antonio JJ.A.; Slatter J.A.</w:t>
            </w:r>
          </w:p>
          <w:p w:rsidR="00267F57" w:rsidRPr="005D15AC" w:rsidRDefault="00267F57" w:rsidP="006509AD">
            <w:pPr>
              <w:jc w:val="both"/>
              <w:rPr>
                <w:sz w:val="20"/>
              </w:rPr>
            </w:pPr>
            <w:r w:rsidRPr="005D15AC">
              <w:rPr>
                <w:sz w:val="20"/>
              </w:rPr>
              <w:t>concurring)</w:t>
            </w:r>
          </w:p>
          <w:p w:rsidR="00267F57" w:rsidRPr="005D15AC" w:rsidRDefault="00267F57" w:rsidP="006509AD">
            <w:pPr>
              <w:jc w:val="both"/>
              <w:rPr>
                <w:sz w:val="20"/>
              </w:rPr>
            </w:pPr>
            <w:hyperlink r:id="rId22" w:history="1">
              <w:r w:rsidRPr="005D15AC">
                <w:rPr>
                  <w:rStyle w:val="Hyperlink"/>
                  <w:sz w:val="20"/>
                </w:rPr>
                <w:t>2020 ABCA 154</w:t>
              </w:r>
            </w:hyperlink>
          </w:p>
          <w:p w:rsidR="00267F57" w:rsidRPr="005D15AC" w:rsidRDefault="00267F57" w:rsidP="006509AD">
            <w:pPr>
              <w:jc w:val="both"/>
              <w:rPr>
                <w:sz w:val="20"/>
              </w:rPr>
            </w:pP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rPr>
            </w:pPr>
            <w:r w:rsidRPr="005D15AC">
              <w:rPr>
                <w:sz w:val="20"/>
              </w:rPr>
              <w:t>Appeal allowed and cross-appeal dismissed; finding that limitation period had not expired and conclusion that Mr. Friesen was personally liable under the oppression remedy.</w:t>
            </w:r>
          </w:p>
          <w:p w:rsidR="00267F57" w:rsidRPr="005D15AC" w:rsidRDefault="00267F57" w:rsidP="006509AD">
            <w:pPr>
              <w:jc w:val="both"/>
              <w:rPr>
                <w:sz w:val="20"/>
              </w:rPr>
            </w:pPr>
          </w:p>
        </w:tc>
      </w:tr>
      <w:tr w:rsidR="00267F57" w:rsidRPr="005D15AC" w:rsidTr="006509AD">
        <w:tc>
          <w:tcPr>
            <w:tcW w:w="2427" w:type="pct"/>
            <w:gridSpan w:val="2"/>
          </w:tcPr>
          <w:p w:rsidR="00267F57" w:rsidRPr="005D15AC" w:rsidRDefault="00267F57" w:rsidP="006509AD">
            <w:pPr>
              <w:jc w:val="both"/>
              <w:rPr>
                <w:sz w:val="20"/>
              </w:rPr>
            </w:pPr>
            <w:r w:rsidRPr="005D15AC">
              <w:rPr>
                <w:sz w:val="20"/>
              </w:rPr>
              <w:lastRenderedPageBreak/>
              <w:t>June 18, 2020</w:t>
            </w:r>
          </w:p>
          <w:p w:rsidR="00267F57" w:rsidRPr="005D15AC" w:rsidRDefault="00267F57" w:rsidP="006509AD">
            <w:pPr>
              <w:jc w:val="both"/>
              <w:rPr>
                <w:sz w:val="20"/>
              </w:rPr>
            </w:pPr>
            <w:r w:rsidRPr="005D15AC">
              <w:rPr>
                <w:sz w:val="20"/>
              </w:rPr>
              <w:t>Supreme Court of Canada</w:t>
            </w: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rPr>
            </w:pPr>
            <w:r w:rsidRPr="005D15AC">
              <w:rPr>
                <w:sz w:val="20"/>
              </w:rPr>
              <w:t>Application for leave to appeal filed</w:t>
            </w:r>
          </w:p>
          <w:p w:rsidR="00267F57" w:rsidRPr="005D15AC" w:rsidRDefault="00267F57" w:rsidP="006509AD">
            <w:pPr>
              <w:jc w:val="both"/>
              <w:rPr>
                <w:sz w:val="20"/>
              </w:rPr>
            </w:pPr>
          </w:p>
        </w:tc>
      </w:tr>
    </w:tbl>
    <w:p w:rsidR="00267F57" w:rsidRPr="005D15AC" w:rsidRDefault="00267F57" w:rsidP="006509AD">
      <w:pPr>
        <w:jc w:val="both"/>
        <w:rPr>
          <w:sz w:val="20"/>
        </w:rPr>
      </w:pPr>
    </w:p>
    <w:p w:rsidR="006509AD" w:rsidRPr="005D15AC" w:rsidRDefault="006509AD" w:rsidP="006509AD">
      <w:pPr>
        <w:jc w:val="both"/>
        <w:rPr>
          <w:sz w:val="20"/>
        </w:rPr>
      </w:pPr>
      <w:r w:rsidRPr="005D15AC">
        <w:rPr>
          <w:sz w:val="20"/>
        </w:rPr>
        <w:pict>
          <v:rect id="_x0000_i1084" style="width:2in;height:1pt" o:hrpct="0" o:hralign="center" o:hrstd="t" o:hrnoshade="t" o:hr="t" fillcolor="black [3213]" stroked="f"/>
        </w:pict>
      </w:r>
    </w:p>
    <w:p w:rsidR="006509AD" w:rsidRPr="005D15AC" w:rsidRDefault="006509AD" w:rsidP="00650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67F57" w:rsidRPr="005D15AC" w:rsidTr="006509AD">
        <w:tc>
          <w:tcPr>
            <w:tcW w:w="543" w:type="pct"/>
          </w:tcPr>
          <w:p w:rsidR="00267F57" w:rsidRPr="005D15AC" w:rsidRDefault="00267F57" w:rsidP="006509AD">
            <w:pPr>
              <w:jc w:val="both"/>
              <w:rPr>
                <w:sz w:val="20"/>
                <w:lang w:val="fr-CA"/>
              </w:rPr>
            </w:pPr>
            <w:r w:rsidRPr="005D15AC">
              <w:rPr>
                <w:rStyle w:val="SCCFileNumberChar"/>
                <w:sz w:val="20"/>
                <w:szCs w:val="20"/>
                <w:lang w:val="fr-CA"/>
              </w:rPr>
              <w:t>39216</w:t>
            </w:r>
          </w:p>
        </w:tc>
        <w:tc>
          <w:tcPr>
            <w:tcW w:w="4457" w:type="pct"/>
            <w:gridSpan w:val="3"/>
          </w:tcPr>
          <w:p w:rsidR="00267F57" w:rsidRPr="005D15AC" w:rsidRDefault="00267F57" w:rsidP="006509AD">
            <w:pPr>
              <w:pStyle w:val="SCCLsocParty"/>
              <w:jc w:val="both"/>
              <w:rPr>
                <w:b/>
                <w:sz w:val="20"/>
                <w:szCs w:val="20"/>
                <w:lang w:val="en-US"/>
              </w:rPr>
            </w:pPr>
            <w:r w:rsidRPr="005D15AC">
              <w:rPr>
                <w:b/>
                <w:sz w:val="20"/>
                <w:szCs w:val="20"/>
                <w:lang w:val="en-US"/>
              </w:rPr>
              <w:t>Robert Friesen c. 698828 Alberta Ltd.</w:t>
            </w:r>
          </w:p>
          <w:p w:rsidR="00267F57" w:rsidRPr="005D15AC" w:rsidRDefault="00267F57" w:rsidP="006509AD">
            <w:pPr>
              <w:jc w:val="both"/>
              <w:rPr>
                <w:sz w:val="20"/>
                <w:lang w:val="fr-CA"/>
              </w:rPr>
            </w:pPr>
            <w:r w:rsidRPr="005D15AC">
              <w:rPr>
                <w:sz w:val="20"/>
                <w:lang w:val="fr-CA"/>
              </w:rPr>
              <w:t>(Alb.) (Civile) (Sur autorisation)</w:t>
            </w:r>
          </w:p>
        </w:tc>
      </w:tr>
      <w:tr w:rsidR="00267F57" w:rsidRPr="005D15AC" w:rsidTr="006509AD">
        <w:tc>
          <w:tcPr>
            <w:tcW w:w="5000" w:type="pct"/>
            <w:gridSpan w:val="4"/>
          </w:tcPr>
          <w:p w:rsidR="00267F57" w:rsidRPr="005D15AC" w:rsidRDefault="00267F57" w:rsidP="006509AD">
            <w:pPr>
              <w:jc w:val="both"/>
              <w:rPr>
                <w:sz w:val="20"/>
                <w:lang w:val="fr-CA"/>
              </w:rPr>
            </w:pPr>
            <w:r w:rsidRPr="005D15AC">
              <w:rPr>
                <w:sz w:val="20"/>
                <w:lang w:val="fr-CA"/>
              </w:rPr>
              <w:t xml:space="preserve">Contrats — Contrats commerciaux — Accord de coentreprise — Aménagement de biens réels — Redressement pour abus — Prescription — Mandat — De quelle façon les articles 8 et 9 de la </w:t>
            </w:r>
            <w:r w:rsidRPr="005D15AC">
              <w:rPr>
                <w:i/>
                <w:sz w:val="20"/>
                <w:lang w:val="fr-CA"/>
              </w:rPr>
              <w:t>Limitations Act</w:t>
            </w:r>
            <w:r w:rsidRPr="005D15AC">
              <w:rPr>
                <w:sz w:val="20"/>
                <w:lang w:val="fr-CA"/>
              </w:rPr>
              <w:t xml:space="preserve"> s’appliquent</w:t>
            </w:r>
            <w:r w:rsidRPr="005D15AC">
              <w:rPr>
                <w:sz w:val="20"/>
                <w:lang w:val="fr-CA"/>
              </w:rPr>
              <w:noBreakHyphen/>
            </w:r>
            <w:proofErr w:type="spellStart"/>
            <w:r w:rsidRPr="005D15AC">
              <w:rPr>
                <w:sz w:val="20"/>
                <w:lang w:val="fr-CA"/>
              </w:rPr>
              <w:t>ils</w:t>
            </w:r>
            <w:proofErr w:type="spellEnd"/>
            <w:r w:rsidRPr="005D15AC">
              <w:rPr>
                <w:sz w:val="20"/>
                <w:lang w:val="fr-CA"/>
              </w:rPr>
              <w:t xml:space="preserve"> dans le contexte du droit des mandats ? — De quelle façon l’alinéa 3(1)a) de la </w:t>
            </w:r>
            <w:r w:rsidRPr="005D15AC">
              <w:rPr>
                <w:i/>
                <w:sz w:val="20"/>
                <w:lang w:val="fr-CA"/>
              </w:rPr>
              <w:t>Limitations Act</w:t>
            </w:r>
            <w:r w:rsidRPr="005D15AC">
              <w:rPr>
                <w:sz w:val="20"/>
                <w:lang w:val="fr-CA"/>
              </w:rPr>
              <w:t>, RSA 2000, c. L</w:t>
            </w:r>
            <w:r w:rsidRPr="005D15AC">
              <w:rPr>
                <w:sz w:val="20"/>
                <w:lang w:val="fr-CA"/>
              </w:rPr>
              <w:noBreakHyphen/>
              <w:t>12, doit</w:t>
            </w:r>
            <w:r w:rsidRPr="005D15AC">
              <w:rPr>
                <w:sz w:val="20"/>
                <w:lang w:val="fr-CA"/>
              </w:rPr>
              <w:noBreakHyphen/>
              <w:t>il être interprété et appliqué ? — Est</w:t>
            </w:r>
            <w:r w:rsidRPr="005D15AC">
              <w:rPr>
                <w:sz w:val="20"/>
                <w:lang w:val="fr-CA"/>
              </w:rPr>
              <w:noBreakHyphen/>
              <w:t xml:space="preserve">il possible de se prévaloir du redressement pour abus, prévu au paragraphe 242(2) de la </w:t>
            </w:r>
            <w:r w:rsidRPr="005D15AC">
              <w:rPr>
                <w:i/>
                <w:sz w:val="20"/>
                <w:lang w:val="fr-CA"/>
              </w:rPr>
              <w:t>Business Corporations Act</w:t>
            </w:r>
            <w:r w:rsidRPr="005D15AC">
              <w:rPr>
                <w:sz w:val="20"/>
                <w:lang w:val="fr-CA"/>
              </w:rPr>
              <w:t>, RSA 2000, c. B</w:t>
            </w:r>
            <w:r w:rsidRPr="005D15AC">
              <w:rPr>
                <w:sz w:val="20"/>
                <w:lang w:val="fr-CA"/>
              </w:rPr>
              <w:noBreakHyphen/>
              <w:t>9 de l’Alberta, lorsqu’une personne morale a fait l’objet d’une dissolution et n’a pas été reconstituée conformément aux dispositions de cette loi ? — Quel est le critère relatif</w:t>
            </w:r>
            <w:r w:rsidRPr="005D15AC">
              <w:rPr>
                <w:sz w:val="20"/>
                <w:lang w:val="fr-FR"/>
              </w:rPr>
              <w:t xml:space="preserve"> au délit d’incitation à la rupture de contrat</w:t>
            </w:r>
            <w:r w:rsidRPr="005D15AC">
              <w:rPr>
                <w:sz w:val="20"/>
                <w:lang w:val="fr-CA"/>
              </w:rPr>
              <w:t xml:space="preserve"> lorsqu’il est modifié pour s’appliquer à deux personnes morales ? — Quelle est l’intention requise aux fins d’incitation à la rupture de contrat dans le cadre du </w:t>
            </w:r>
            <w:r w:rsidRPr="005D15AC">
              <w:rPr>
                <w:sz w:val="20"/>
                <w:lang w:val="fr-FR"/>
              </w:rPr>
              <w:t>délit d’incitation à la rupture de contrat</w:t>
            </w:r>
            <w:r w:rsidRPr="005D15AC">
              <w:rPr>
                <w:sz w:val="20"/>
                <w:lang w:val="fr-CA"/>
              </w:rPr>
              <w:t xml:space="preserve"> ainsi modifié ?</w:t>
            </w:r>
          </w:p>
        </w:tc>
      </w:tr>
      <w:tr w:rsidR="00267F57" w:rsidRPr="005D15AC" w:rsidTr="006509AD">
        <w:tc>
          <w:tcPr>
            <w:tcW w:w="5000" w:type="pct"/>
            <w:gridSpan w:val="4"/>
          </w:tcPr>
          <w:p w:rsidR="00267F57" w:rsidRPr="005D15AC" w:rsidRDefault="00267F57" w:rsidP="006509AD">
            <w:pPr>
              <w:jc w:val="both"/>
              <w:rPr>
                <w:sz w:val="20"/>
                <w:lang w:val="fr-CA"/>
              </w:rPr>
            </w:pPr>
          </w:p>
          <w:p w:rsidR="00267F57" w:rsidRPr="005D15AC" w:rsidRDefault="00267F57" w:rsidP="006509AD">
            <w:pPr>
              <w:jc w:val="both"/>
              <w:rPr>
                <w:sz w:val="20"/>
                <w:lang w:val="fr-CA"/>
              </w:rPr>
            </w:pPr>
            <w:r w:rsidRPr="005D15AC">
              <w:rPr>
                <w:sz w:val="20"/>
                <w:lang w:val="fr-CA"/>
              </w:rPr>
              <w:t xml:space="preserve">En 2004, </w:t>
            </w:r>
            <w:r w:rsidRPr="005D15AC">
              <w:rPr>
                <w:color w:val="000000"/>
                <w:sz w:val="20"/>
                <w:shd w:val="clear" w:color="auto" w:fill="FFFFFF"/>
                <w:lang w:val="fr-CA"/>
              </w:rPr>
              <w:t>698 828 Alberta Ltd. a conclu un accord de coentreprise avec Elite Homes (1998), une filiale de Unity Builders Group, visant la construction de résidences dans le district de Taralake à Calgary, en Alberta. L’accord donnait à 698 828 le droit de participation aux profits connexes. À la suite d’un retard initial, 11 résidences ont été vendues en 2006 et 698 828 a reçu une part des produits de la vente de celle</w:t>
            </w:r>
            <w:r w:rsidRPr="005D15AC">
              <w:rPr>
                <w:color w:val="000000"/>
                <w:sz w:val="20"/>
                <w:shd w:val="clear" w:color="auto" w:fill="FFFFFF"/>
                <w:lang w:val="fr-CA"/>
              </w:rPr>
              <w:noBreakHyphen/>
              <w:t xml:space="preserve">ci. Bien que d’autres résidences aient été vendues plus tard, 698 828 n’a pas reçu de paiements découlant de ces opérations. À l’insu de 698 828, Elite Homes (1998) Inc. a fait l’objet de dissolution le 2 avril 2007. Le 23 octobre 2009, une lettre a été envoyée à 698 828 de la part </w:t>
            </w:r>
            <w:proofErr w:type="gramStart"/>
            <w:r w:rsidRPr="005D15AC">
              <w:rPr>
                <w:color w:val="000000"/>
                <w:sz w:val="20"/>
                <w:shd w:val="clear" w:color="auto" w:fill="FFFFFF"/>
                <w:lang w:val="fr-CA"/>
              </w:rPr>
              <w:t>de Unity</w:t>
            </w:r>
            <w:proofErr w:type="gramEnd"/>
            <w:r w:rsidRPr="005D15AC">
              <w:rPr>
                <w:color w:val="000000"/>
                <w:sz w:val="20"/>
                <w:shd w:val="clear" w:color="auto" w:fill="FFFFFF"/>
                <w:lang w:val="fr-CA"/>
              </w:rPr>
              <w:t xml:space="preserve"> Builders Group reconnaissant l’existence d’une dette de 3 217 597 $. En 2012, </w:t>
            </w:r>
            <w:proofErr w:type="gramStart"/>
            <w:r w:rsidRPr="005D15AC">
              <w:rPr>
                <w:color w:val="000000"/>
                <w:sz w:val="20"/>
                <w:shd w:val="clear" w:color="auto" w:fill="FFFFFF"/>
                <w:lang w:val="fr-CA"/>
              </w:rPr>
              <w:t>la Unity</w:t>
            </w:r>
            <w:proofErr w:type="gramEnd"/>
            <w:r w:rsidRPr="005D15AC">
              <w:rPr>
                <w:color w:val="000000"/>
                <w:sz w:val="20"/>
                <w:shd w:val="clear" w:color="auto" w:fill="FFFFFF"/>
                <w:lang w:val="fr-CA"/>
              </w:rPr>
              <w:t xml:space="preserve"> Builders Group of Companies est tombé sous le coup de la protection contre ses créanciers en vertu de la </w:t>
            </w:r>
            <w:r w:rsidRPr="005D15AC">
              <w:rPr>
                <w:i/>
                <w:color w:val="000000"/>
                <w:sz w:val="20"/>
                <w:shd w:val="clear" w:color="auto" w:fill="FFFFFF"/>
                <w:lang w:val="fr-CA"/>
              </w:rPr>
              <w:t>Loi sur les arrangements avec les créanciers des compagnies</w:t>
            </w:r>
            <w:r w:rsidRPr="005D15AC">
              <w:rPr>
                <w:color w:val="000000"/>
                <w:sz w:val="20"/>
                <w:shd w:val="clear" w:color="auto" w:fill="FFFFFF"/>
                <w:lang w:val="fr-CA"/>
              </w:rPr>
              <w:t>, L.R.C. 1985, c. C</w:t>
            </w:r>
            <w:r w:rsidRPr="005D15AC">
              <w:rPr>
                <w:color w:val="000000"/>
                <w:sz w:val="20"/>
                <w:shd w:val="clear" w:color="auto" w:fill="FFFFFF"/>
                <w:lang w:val="fr-CA"/>
              </w:rPr>
              <w:noBreakHyphen/>
              <w:t>36. 698 828 a intenté une action le 27 juillet 2010, alléguant notamment que Robert Friesen, propriétaire unique d’Elite Homes (1998) et actionnaire dominant de Unity Builders Group, était personnellement responsable</w:t>
            </w:r>
            <w:r w:rsidRPr="005D15AC">
              <w:rPr>
                <w:sz w:val="20"/>
                <w:lang w:val="fr-FR"/>
              </w:rPr>
              <w:t xml:space="preserve"> </w:t>
            </w:r>
            <w:r w:rsidRPr="005D15AC">
              <w:rPr>
                <w:color w:val="000000"/>
                <w:sz w:val="20"/>
                <w:shd w:val="clear" w:color="auto" w:fill="FFFFFF"/>
                <w:lang w:val="fr-FR"/>
              </w:rPr>
              <w:t>d’incitation à la rupture de contrat</w:t>
            </w:r>
            <w:r w:rsidRPr="005D15AC">
              <w:rPr>
                <w:color w:val="000000"/>
                <w:sz w:val="20"/>
                <w:shd w:val="clear" w:color="auto" w:fill="FFFFFF"/>
                <w:lang w:val="fr-CA"/>
              </w:rPr>
              <w:t>, de manquement à l’obligation fiduciaire et d’abus. La Cour du Banc de la Reine de l’Alberta a conclu au caractère abusif de la conduite de M. Friesen, mais le recouvrement de la dette a été refusé pour cause de prescription. La Cour d’appel de l’Alberta, avec motifs concordants d’un des juges quant au résultat, a conclu que le délai de prescription n’avait pas expiré et que M. Friesen était personnellement responsable.</w:t>
            </w:r>
          </w:p>
        </w:tc>
      </w:tr>
      <w:tr w:rsidR="00267F57" w:rsidRPr="005D15AC" w:rsidTr="006509AD">
        <w:tc>
          <w:tcPr>
            <w:tcW w:w="5000" w:type="pct"/>
            <w:gridSpan w:val="4"/>
          </w:tcPr>
          <w:p w:rsidR="00267F57" w:rsidRPr="005D15AC" w:rsidRDefault="00267F57" w:rsidP="006509AD">
            <w:pPr>
              <w:jc w:val="both"/>
              <w:rPr>
                <w:sz w:val="20"/>
                <w:lang w:val="fr-CA"/>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27 mai 2019</w:t>
            </w:r>
          </w:p>
          <w:p w:rsidR="00267F57" w:rsidRPr="005D15AC" w:rsidRDefault="00267F57" w:rsidP="006509AD">
            <w:pPr>
              <w:jc w:val="both"/>
              <w:rPr>
                <w:sz w:val="20"/>
                <w:lang w:val="fr-CA"/>
              </w:rPr>
            </w:pPr>
            <w:r w:rsidRPr="005D15AC">
              <w:rPr>
                <w:sz w:val="20"/>
                <w:lang w:val="fr-CA"/>
              </w:rPr>
              <w:t>Cour du Banc de la Reine de l’Alberta</w:t>
            </w:r>
          </w:p>
          <w:p w:rsidR="00267F57" w:rsidRPr="005D15AC" w:rsidRDefault="00267F57" w:rsidP="006509AD">
            <w:pPr>
              <w:jc w:val="both"/>
              <w:rPr>
                <w:sz w:val="20"/>
                <w:lang w:val="fr-CA"/>
              </w:rPr>
            </w:pPr>
            <w:r w:rsidRPr="005D15AC">
              <w:rPr>
                <w:sz w:val="20"/>
                <w:lang w:val="fr-CA"/>
              </w:rPr>
              <w:t>(Juge Dario)</w:t>
            </w:r>
          </w:p>
          <w:p w:rsidR="00267F57" w:rsidRPr="005D15AC" w:rsidRDefault="00267F57" w:rsidP="006509AD">
            <w:pPr>
              <w:jc w:val="both"/>
              <w:rPr>
                <w:sz w:val="20"/>
                <w:lang w:val="fr-CA"/>
              </w:rPr>
            </w:pPr>
            <w:hyperlink r:id="rId23" w:history="1">
              <w:r w:rsidRPr="005D15AC">
                <w:rPr>
                  <w:rStyle w:val="Hyperlink"/>
                  <w:sz w:val="20"/>
                  <w:lang w:val="fr-CA"/>
                </w:rPr>
                <w:t>2019 ABQB 393</w:t>
              </w:r>
            </w:hyperlink>
          </w:p>
          <w:p w:rsidR="00267F57" w:rsidRPr="005D15AC" w:rsidRDefault="00267F57" w:rsidP="006509AD">
            <w:pPr>
              <w:jc w:val="both"/>
              <w:rPr>
                <w:sz w:val="20"/>
                <w:lang w:val="fr-CA"/>
              </w:rPr>
            </w:pP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lang w:val="fr-CA"/>
              </w:rPr>
            </w:pPr>
            <w:r w:rsidRPr="005D15AC">
              <w:rPr>
                <w:sz w:val="20"/>
                <w:lang w:val="fr-CA"/>
              </w:rPr>
              <w:t xml:space="preserve">Les allégations </w:t>
            </w:r>
            <w:r w:rsidRPr="005D15AC">
              <w:rPr>
                <w:sz w:val="20"/>
                <w:lang w:val="fr-FR"/>
              </w:rPr>
              <w:t>d’incitation à la rupture de contrat</w:t>
            </w:r>
            <w:r w:rsidRPr="005D15AC">
              <w:rPr>
                <w:sz w:val="20"/>
                <w:lang w:val="fr-CA"/>
              </w:rPr>
              <w:t xml:space="preserve"> et d’abus ont été confirmées, mais jugées irrecevables en raison de l’expiration du délai de prescription.</w:t>
            </w:r>
          </w:p>
          <w:p w:rsidR="00267F57" w:rsidRPr="005D15AC" w:rsidRDefault="00267F57" w:rsidP="006509AD">
            <w:pPr>
              <w:jc w:val="both"/>
              <w:rPr>
                <w:sz w:val="20"/>
                <w:lang w:val="fr-CA"/>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21 avril 2020</w:t>
            </w:r>
          </w:p>
          <w:p w:rsidR="00267F57" w:rsidRPr="005D15AC" w:rsidRDefault="00267F57" w:rsidP="006509AD">
            <w:pPr>
              <w:jc w:val="both"/>
              <w:rPr>
                <w:sz w:val="20"/>
                <w:lang w:val="fr-CA"/>
              </w:rPr>
            </w:pPr>
            <w:r w:rsidRPr="005D15AC">
              <w:rPr>
                <w:sz w:val="20"/>
                <w:lang w:val="fr-CA"/>
              </w:rPr>
              <w:t>Cour d’appel de l’Alberta (Calgary)</w:t>
            </w:r>
          </w:p>
          <w:p w:rsidR="00267F57" w:rsidRPr="005D15AC" w:rsidRDefault="00267F57" w:rsidP="006509AD">
            <w:pPr>
              <w:jc w:val="both"/>
              <w:rPr>
                <w:sz w:val="20"/>
                <w:lang w:val="fr-CA"/>
              </w:rPr>
            </w:pPr>
            <w:r w:rsidRPr="005D15AC">
              <w:rPr>
                <w:sz w:val="20"/>
                <w:lang w:val="fr-CA"/>
              </w:rPr>
              <w:t>(Juges Bielby et Antonio; motifs concordants du juge Slatter)</w:t>
            </w:r>
          </w:p>
          <w:p w:rsidR="00267F57" w:rsidRPr="005D15AC" w:rsidRDefault="00267F57" w:rsidP="006509AD">
            <w:pPr>
              <w:jc w:val="both"/>
              <w:rPr>
                <w:sz w:val="20"/>
                <w:lang w:val="fr-CA"/>
              </w:rPr>
            </w:pPr>
            <w:hyperlink r:id="rId24" w:history="1">
              <w:r w:rsidRPr="005D15AC">
                <w:rPr>
                  <w:rStyle w:val="Hyperlink"/>
                  <w:sz w:val="20"/>
                  <w:lang w:val="fr-CA"/>
                </w:rPr>
                <w:t>2020 ABCA 154</w:t>
              </w:r>
            </w:hyperlink>
          </w:p>
          <w:p w:rsidR="00267F57" w:rsidRPr="005D15AC" w:rsidRDefault="00267F57" w:rsidP="006509AD">
            <w:pPr>
              <w:jc w:val="both"/>
              <w:rPr>
                <w:sz w:val="20"/>
                <w:lang w:val="fr-CA"/>
              </w:rPr>
            </w:pP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lang w:val="fr-CA"/>
              </w:rPr>
            </w:pPr>
            <w:r w:rsidRPr="005D15AC">
              <w:rPr>
                <w:sz w:val="20"/>
                <w:lang w:val="fr-CA"/>
              </w:rPr>
              <w:t>Appel accueilli et appel incident rejeté; conclusion portant que le délai de prescription n’avait pas expiré et que M. Friesen était personnellement responsable dans le cadre du recours en redressement pour abus.</w:t>
            </w:r>
          </w:p>
          <w:p w:rsidR="00267F57" w:rsidRPr="005D15AC" w:rsidRDefault="00267F57" w:rsidP="006509AD">
            <w:pPr>
              <w:jc w:val="both"/>
              <w:rPr>
                <w:sz w:val="20"/>
                <w:lang w:val="fr-CA"/>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18 juin 2020</w:t>
            </w:r>
          </w:p>
          <w:p w:rsidR="00267F57" w:rsidRPr="005D15AC" w:rsidRDefault="00267F57" w:rsidP="006509AD">
            <w:pPr>
              <w:jc w:val="both"/>
              <w:rPr>
                <w:sz w:val="20"/>
                <w:lang w:val="fr-CA"/>
              </w:rPr>
            </w:pPr>
            <w:r w:rsidRPr="005D15AC">
              <w:rPr>
                <w:sz w:val="20"/>
                <w:lang w:val="fr-CA"/>
              </w:rPr>
              <w:t>Cour suprême du Canada</w:t>
            </w: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lang w:val="fr-CA"/>
              </w:rPr>
            </w:pPr>
            <w:r w:rsidRPr="005D15AC">
              <w:rPr>
                <w:sz w:val="20"/>
                <w:lang w:val="fr-CA"/>
              </w:rPr>
              <w:t xml:space="preserve">Demande d’autorisation d’appel présentée. </w:t>
            </w:r>
          </w:p>
        </w:tc>
      </w:tr>
    </w:tbl>
    <w:p w:rsidR="00267F57" w:rsidRPr="005D15AC" w:rsidRDefault="00267F57" w:rsidP="006509AD">
      <w:pPr>
        <w:jc w:val="both"/>
        <w:rPr>
          <w:sz w:val="20"/>
          <w:lang w:val="fr-CA"/>
        </w:rPr>
      </w:pPr>
    </w:p>
    <w:p w:rsidR="006509AD" w:rsidRPr="005D15AC" w:rsidRDefault="006509AD" w:rsidP="006509AD">
      <w:pPr>
        <w:jc w:val="both"/>
        <w:rPr>
          <w:sz w:val="20"/>
          <w:lang w:val="fr-CA"/>
        </w:rPr>
      </w:pPr>
      <w:r w:rsidRPr="005D15AC">
        <w:rPr>
          <w:sz w:val="20"/>
        </w:rPr>
        <w:pict>
          <v:rect id="_x0000_i1085" style="width:2in;height:1pt" o:hrpct="0" o:hralign="center" o:hrstd="t" o:hrnoshade="t" o:hr="t" fillcolor="black [3213]" stroked="f"/>
        </w:pict>
      </w:r>
    </w:p>
    <w:p w:rsidR="004C631D" w:rsidRPr="005D15AC" w:rsidRDefault="004C631D" w:rsidP="006509AD">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67F57" w:rsidRPr="005D15AC" w:rsidTr="006509AD">
        <w:tc>
          <w:tcPr>
            <w:tcW w:w="543" w:type="pct"/>
          </w:tcPr>
          <w:p w:rsidR="00267F57" w:rsidRPr="005D15AC" w:rsidRDefault="00267F57" w:rsidP="006509AD">
            <w:pPr>
              <w:jc w:val="both"/>
              <w:rPr>
                <w:sz w:val="20"/>
              </w:rPr>
            </w:pPr>
            <w:r w:rsidRPr="005D15AC">
              <w:rPr>
                <w:rStyle w:val="SCCFileNumberChar"/>
                <w:sz w:val="20"/>
                <w:szCs w:val="20"/>
              </w:rPr>
              <w:t>39253</w:t>
            </w:r>
          </w:p>
        </w:tc>
        <w:tc>
          <w:tcPr>
            <w:tcW w:w="4457" w:type="pct"/>
            <w:gridSpan w:val="3"/>
          </w:tcPr>
          <w:p w:rsidR="00267F57" w:rsidRPr="005D15AC" w:rsidRDefault="00267F57" w:rsidP="006509AD">
            <w:pPr>
              <w:pStyle w:val="SCCLsocParty"/>
              <w:jc w:val="both"/>
              <w:rPr>
                <w:b/>
                <w:sz w:val="20"/>
                <w:szCs w:val="20"/>
                <w:lang w:val="en-US"/>
              </w:rPr>
            </w:pPr>
            <w:r w:rsidRPr="005D15AC">
              <w:rPr>
                <w:b/>
                <w:sz w:val="20"/>
                <w:szCs w:val="20"/>
                <w:lang w:val="en-US"/>
              </w:rPr>
              <w:t>Joseph Stephen Rooke v. Canada, Minister of Health, Minister of the Department of Indian Affairs and Northern Development</w:t>
            </w:r>
          </w:p>
          <w:p w:rsidR="00267F57" w:rsidRPr="005D15AC" w:rsidRDefault="00267F57" w:rsidP="006509AD">
            <w:pPr>
              <w:jc w:val="both"/>
              <w:rPr>
                <w:sz w:val="20"/>
              </w:rPr>
            </w:pPr>
            <w:r w:rsidRPr="005D15AC">
              <w:rPr>
                <w:sz w:val="20"/>
              </w:rPr>
              <w:t>(F</w:t>
            </w:r>
            <w:r w:rsidR="006509AD" w:rsidRPr="005D15AC">
              <w:rPr>
                <w:sz w:val="20"/>
              </w:rPr>
              <w:t>.</w:t>
            </w:r>
            <w:r w:rsidRPr="005D15AC">
              <w:rPr>
                <w:sz w:val="20"/>
              </w:rPr>
              <w:t>C</w:t>
            </w:r>
            <w:r w:rsidR="006509AD" w:rsidRPr="005D15AC">
              <w:rPr>
                <w:sz w:val="20"/>
              </w:rPr>
              <w:t>.</w:t>
            </w:r>
            <w:r w:rsidRPr="005D15AC">
              <w:rPr>
                <w:sz w:val="20"/>
              </w:rPr>
              <w:t>) (Civil) (By Leave)</w:t>
            </w:r>
          </w:p>
        </w:tc>
      </w:tr>
      <w:tr w:rsidR="00267F57" w:rsidRPr="005D15AC" w:rsidTr="006509AD">
        <w:tc>
          <w:tcPr>
            <w:tcW w:w="5000" w:type="pct"/>
            <w:gridSpan w:val="4"/>
          </w:tcPr>
          <w:p w:rsidR="00267F57" w:rsidRPr="005D15AC" w:rsidRDefault="00267F57" w:rsidP="006509AD">
            <w:pPr>
              <w:jc w:val="both"/>
              <w:rPr>
                <w:sz w:val="20"/>
              </w:rPr>
            </w:pPr>
            <w:r w:rsidRPr="005D15AC">
              <w:rPr>
                <w:sz w:val="20"/>
              </w:rPr>
              <w:t>Civil Procedure — Appeals — Time — Extension of time — Application for extension of time to appeal decisions in two proceedings dismissed by Federal Court of Appeal — Whether applicant raises issue of law of national or public significance?</w:t>
            </w:r>
          </w:p>
        </w:tc>
      </w:tr>
      <w:tr w:rsidR="00267F57" w:rsidRPr="005D15AC" w:rsidTr="006509AD">
        <w:tc>
          <w:tcPr>
            <w:tcW w:w="5000" w:type="pct"/>
            <w:gridSpan w:val="4"/>
          </w:tcPr>
          <w:p w:rsidR="00267F57" w:rsidRPr="005D15AC" w:rsidRDefault="00267F57" w:rsidP="006509AD">
            <w:pPr>
              <w:jc w:val="both"/>
              <w:rPr>
                <w:sz w:val="20"/>
              </w:rPr>
            </w:pPr>
          </w:p>
          <w:p w:rsidR="00267F57" w:rsidRPr="005D15AC" w:rsidRDefault="00267F57" w:rsidP="006509AD">
            <w:pPr>
              <w:kinsoku w:val="0"/>
              <w:overflowPunct w:val="0"/>
              <w:jc w:val="both"/>
              <w:textAlignment w:val="baseline"/>
              <w:rPr>
                <w:sz w:val="20"/>
              </w:rPr>
            </w:pPr>
            <w:r w:rsidRPr="005D15AC">
              <w:rPr>
                <w:sz w:val="20"/>
              </w:rPr>
              <w:t>A Canada Pension Plan/Employment Insurance officer ruled that amounts received by Mr. Rooke as a teaching assistant were insurable and pensionable employment earnings. The Minister of National Revenue upheld the ruling and the Tax Court of Canada dismissed an appeal.  In separate proceedings, a Prothonotary of the Federal Court dismissed a motion for various relief including certification of an action as a class proceeding. A judge of the Federal Court dismissed an application for an extension of time to appeal and an appeal from the Prothono</w:t>
            </w:r>
            <w:r w:rsidR="006509AD" w:rsidRPr="005D15AC">
              <w:rPr>
                <w:sz w:val="20"/>
              </w:rPr>
              <w:t>t</w:t>
            </w:r>
            <w:r w:rsidRPr="005D15AC">
              <w:rPr>
                <w:sz w:val="20"/>
              </w:rPr>
              <w:t>ary’s decision. The Federal Court of Appeal dismissed an application for extensions of time to appeal in these proceedings.</w:t>
            </w:r>
          </w:p>
        </w:tc>
      </w:tr>
      <w:tr w:rsidR="00267F57" w:rsidRPr="005D15AC" w:rsidTr="006509AD">
        <w:tc>
          <w:tcPr>
            <w:tcW w:w="5000" w:type="pct"/>
            <w:gridSpan w:val="4"/>
          </w:tcPr>
          <w:p w:rsidR="00267F57" w:rsidRPr="005D15AC" w:rsidRDefault="00267F57" w:rsidP="006509AD">
            <w:pPr>
              <w:jc w:val="both"/>
              <w:rPr>
                <w:sz w:val="20"/>
              </w:rPr>
            </w:pPr>
          </w:p>
        </w:tc>
      </w:tr>
      <w:tr w:rsidR="00267F57" w:rsidRPr="005D15AC" w:rsidTr="006509AD">
        <w:tc>
          <w:tcPr>
            <w:tcW w:w="2427" w:type="pct"/>
            <w:gridSpan w:val="2"/>
          </w:tcPr>
          <w:p w:rsidR="00267F57" w:rsidRPr="005D15AC" w:rsidRDefault="00267F57" w:rsidP="006509AD">
            <w:pPr>
              <w:jc w:val="both"/>
              <w:rPr>
                <w:sz w:val="20"/>
              </w:rPr>
            </w:pPr>
            <w:r w:rsidRPr="005D15AC">
              <w:rPr>
                <w:sz w:val="20"/>
              </w:rPr>
              <w:t xml:space="preserve">March 4, 2019 </w:t>
            </w:r>
          </w:p>
          <w:p w:rsidR="00267F57" w:rsidRPr="005D15AC" w:rsidRDefault="00267F57" w:rsidP="006509AD">
            <w:pPr>
              <w:jc w:val="both"/>
              <w:rPr>
                <w:sz w:val="20"/>
              </w:rPr>
            </w:pPr>
            <w:r w:rsidRPr="005D15AC">
              <w:rPr>
                <w:sz w:val="20"/>
              </w:rPr>
              <w:t xml:space="preserve">Federal Court </w:t>
            </w:r>
          </w:p>
          <w:p w:rsidR="00267F57" w:rsidRPr="005D15AC" w:rsidRDefault="00267F57" w:rsidP="006509AD">
            <w:pPr>
              <w:jc w:val="both"/>
              <w:rPr>
                <w:sz w:val="20"/>
              </w:rPr>
            </w:pPr>
            <w:r w:rsidRPr="005D15AC">
              <w:rPr>
                <w:sz w:val="20"/>
              </w:rPr>
              <w:t>(Tabib P.)(T</w:t>
            </w:r>
            <w:r w:rsidRPr="005D15AC">
              <w:rPr>
                <w:sz w:val="20"/>
              </w:rPr>
              <w:noBreakHyphen/>
              <w:t>848</w:t>
            </w:r>
            <w:r w:rsidRPr="005D15AC">
              <w:rPr>
                <w:sz w:val="20"/>
              </w:rPr>
              <w:noBreakHyphen/>
              <w:t>18)</w:t>
            </w:r>
          </w:p>
          <w:p w:rsidR="00267F57" w:rsidRPr="005D15AC" w:rsidRDefault="00267F57" w:rsidP="006509AD">
            <w:pPr>
              <w:jc w:val="both"/>
              <w:rPr>
                <w:sz w:val="20"/>
              </w:rPr>
            </w:pP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rPr>
            </w:pPr>
            <w:r w:rsidRPr="005D15AC">
              <w:rPr>
                <w:sz w:val="20"/>
              </w:rPr>
              <w:t>Motion dismissed</w:t>
            </w:r>
          </w:p>
          <w:p w:rsidR="00267F57" w:rsidRPr="005D15AC" w:rsidRDefault="00267F57" w:rsidP="006509AD">
            <w:pPr>
              <w:jc w:val="both"/>
              <w:rPr>
                <w:sz w:val="20"/>
              </w:rPr>
            </w:pPr>
          </w:p>
        </w:tc>
      </w:tr>
      <w:tr w:rsidR="00267F57" w:rsidRPr="005D15AC" w:rsidTr="006509AD">
        <w:tc>
          <w:tcPr>
            <w:tcW w:w="2427" w:type="pct"/>
            <w:gridSpan w:val="2"/>
          </w:tcPr>
          <w:p w:rsidR="00267F57" w:rsidRPr="005D15AC" w:rsidRDefault="00267F57" w:rsidP="006509AD">
            <w:pPr>
              <w:jc w:val="both"/>
              <w:rPr>
                <w:sz w:val="20"/>
              </w:rPr>
            </w:pPr>
            <w:r w:rsidRPr="005D15AC">
              <w:rPr>
                <w:sz w:val="20"/>
              </w:rPr>
              <w:t>March 5, 2019</w:t>
            </w:r>
          </w:p>
          <w:p w:rsidR="00267F57" w:rsidRPr="005D15AC" w:rsidRDefault="00267F57" w:rsidP="006509AD">
            <w:pPr>
              <w:jc w:val="both"/>
              <w:rPr>
                <w:sz w:val="20"/>
              </w:rPr>
            </w:pPr>
            <w:r w:rsidRPr="005D15AC">
              <w:rPr>
                <w:sz w:val="20"/>
              </w:rPr>
              <w:t>Tax Court of Canada</w:t>
            </w:r>
          </w:p>
          <w:p w:rsidR="00267F57" w:rsidRPr="005D15AC" w:rsidRDefault="00267F57" w:rsidP="006509AD">
            <w:pPr>
              <w:jc w:val="both"/>
              <w:rPr>
                <w:sz w:val="20"/>
              </w:rPr>
            </w:pPr>
            <w:r w:rsidRPr="005D15AC">
              <w:rPr>
                <w:sz w:val="20"/>
              </w:rPr>
              <w:t xml:space="preserve">(Campbell J.) </w:t>
            </w:r>
          </w:p>
          <w:p w:rsidR="00267F57" w:rsidRPr="005D15AC" w:rsidRDefault="00267F57" w:rsidP="006509AD">
            <w:pPr>
              <w:jc w:val="both"/>
              <w:rPr>
                <w:sz w:val="20"/>
                <w:lang w:val="en"/>
              </w:rPr>
            </w:pPr>
            <w:hyperlink r:id="rId25" w:history="1">
              <w:r w:rsidRPr="005D15AC">
                <w:rPr>
                  <w:rStyle w:val="Hyperlink"/>
                  <w:sz w:val="20"/>
                </w:rPr>
                <w:t>2019 TCC 52</w:t>
              </w:r>
            </w:hyperlink>
            <w:r w:rsidRPr="005D15AC">
              <w:rPr>
                <w:sz w:val="20"/>
              </w:rPr>
              <w:t xml:space="preserve"> (</w:t>
            </w:r>
            <w:bookmarkStart w:id="0" w:name="docket"/>
            <w:bookmarkEnd w:id="0"/>
            <w:r w:rsidRPr="005D15AC">
              <w:rPr>
                <w:sz w:val="20"/>
                <w:lang w:val="en"/>
              </w:rPr>
              <w:t>2017</w:t>
            </w:r>
            <w:r w:rsidRPr="005D15AC">
              <w:rPr>
                <w:sz w:val="20"/>
                <w:lang w:val="en"/>
              </w:rPr>
              <w:noBreakHyphen/>
              <w:t>3441</w:t>
            </w:r>
            <w:r w:rsidRPr="005D15AC">
              <w:rPr>
                <w:sz w:val="20"/>
              </w:rPr>
              <w:t>; 2017</w:t>
            </w:r>
            <w:r w:rsidRPr="005D15AC">
              <w:rPr>
                <w:sz w:val="20"/>
              </w:rPr>
              <w:noBreakHyphen/>
              <w:t>3442)</w:t>
            </w:r>
          </w:p>
          <w:p w:rsidR="00267F57" w:rsidRPr="005D15AC" w:rsidRDefault="00267F57" w:rsidP="006509AD">
            <w:pPr>
              <w:jc w:val="both"/>
              <w:rPr>
                <w:sz w:val="20"/>
              </w:rPr>
            </w:pP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rPr>
            </w:pPr>
            <w:r w:rsidRPr="005D15AC">
              <w:rPr>
                <w:sz w:val="20"/>
              </w:rPr>
              <w:t>Appeals from Minister of National Revenue’s decisions dismissed</w:t>
            </w:r>
          </w:p>
          <w:p w:rsidR="00267F57" w:rsidRPr="005D15AC" w:rsidRDefault="00267F57" w:rsidP="006509AD">
            <w:pPr>
              <w:jc w:val="both"/>
              <w:rPr>
                <w:sz w:val="20"/>
              </w:rPr>
            </w:pPr>
          </w:p>
        </w:tc>
      </w:tr>
      <w:tr w:rsidR="00267F57" w:rsidRPr="005D15AC" w:rsidTr="006509AD">
        <w:tc>
          <w:tcPr>
            <w:tcW w:w="2427" w:type="pct"/>
            <w:gridSpan w:val="2"/>
          </w:tcPr>
          <w:p w:rsidR="00267F57" w:rsidRPr="005D15AC" w:rsidRDefault="00267F57" w:rsidP="006509AD">
            <w:pPr>
              <w:jc w:val="both"/>
              <w:rPr>
                <w:sz w:val="20"/>
              </w:rPr>
            </w:pPr>
            <w:r w:rsidRPr="005D15AC">
              <w:rPr>
                <w:sz w:val="20"/>
              </w:rPr>
              <w:t>May 31, 2019</w:t>
            </w:r>
          </w:p>
          <w:p w:rsidR="00267F57" w:rsidRPr="005D15AC" w:rsidRDefault="00267F57" w:rsidP="006509AD">
            <w:pPr>
              <w:jc w:val="both"/>
              <w:rPr>
                <w:sz w:val="20"/>
              </w:rPr>
            </w:pPr>
            <w:r w:rsidRPr="005D15AC">
              <w:rPr>
                <w:sz w:val="20"/>
              </w:rPr>
              <w:t xml:space="preserve">Federal Court </w:t>
            </w:r>
          </w:p>
          <w:p w:rsidR="00267F57" w:rsidRPr="005D15AC" w:rsidRDefault="00267F57" w:rsidP="006509AD">
            <w:pPr>
              <w:jc w:val="both"/>
              <w:rPr>
                <w:sz w:val="20"/>
              </w:rPr>
            </w:pPr>
            <w:r w:rsidRPr="005D15AC">
              <w:rPr>
                <w:sz w:val="20"/>
              </w:rPr>
              <w:t>(Simmons J.)</w:t>
            </w:r>
          </w:p>
          <w:p w:rsidR="00267F57" w:rsidRPr="005D15AC" w:rsidRDefault="00267F57" w:rsidP="006509AD">
            <w:pPr>
              <w:jc w:val="both"/>
              <w:rPr>
                <w:sz w:val="20"/>
              </w:rPr>
            </w:pPr>
            <w:hyperlink r:id="rId26" w:history="1">
              <w:r w:rsidRPr="005D15AC">
                <w:rPr>
                  <w:rStyle w:val="Hyperlink"/>
                  <w:sz w:val="20"/>
                </w:rPr>
                <w:t>2019 FC 765</w:t>
              </w:r>
            </w:hyperlink>
            <w:r w:rsidRPr="005D15AC">
              <w:rPr>
                <w:sz w:val="20"/>
              </w:rPr>
              <w:t xml:space="preserve"> (T</w:t>
            </w:r>
            <w:r w:rsidRPr="005D15AC">
              <w:rPr>
                <w:sz w:val="20"/>
              </w:rPr>
              <w:noBreakHyphen/>
              <w:t>848</w:t>
            </w:r>
            <w:r w:rsidRPr="005D15AC">
              <w:rPr>
                <w:sz w:val="20"/>
              </w:rPr>
              <w:noBreakHyphen/>
              <w:t>18)</w:t>
            </w:r>
          </w:p>
          <w:p w:rsidR="00267F57" w:rsidRPr="005D15AC" w:rsidRDefault="00267F57" w:rsidP="006509AD">
            <w:pPr>
              <w:jc w:val="both"/>
              <w:rPr>
                <w:sz w:val="20"/>
              </w:rPr>
            </w:pP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rPr>
            </w:pPr>
            <w:r w:rsidRPr="005D15AC">
              <w:rPr>
                <w:sz w:val="20"/>
              </w:rPr>
              <w:t xml:space="preserve">Application for an extension of time to appeal and appeal from Prothonotary’s decision dismissed </w:t>
            </w:r>
          </w:p>
          <w:p w:rsidR="00267F57" w:rsidRPr="005D15AC" w:rsidRDefault="00267F57" w:rsidP="006509AD">
            <w:pPr>
              <w:jc w:val="both"/>
              <w:rPr>
                <w:sz w:val="20"/>
              </w:rPr>
            </w:pPr>
          </w:p>
        </w:tc>
      </w:tr>
      <w:tr w:rsidR="00267F57" w:rsidRPr="005D15AC" w:rsidTr="006509AD">
        <w:tc>
          <w:tcPr>
            <w:tcW w:w="2427" w:type="pct"/>
            <w:gridSpan w:val="2"/>
          </w:tcPr>
          <w:p w:rsidR="00267F57" w:rsidRPr="005D15AC" w:rsidRDefault="00267F57" w:rsidP="006509AD">
            <w:pPr>
              <w:jc w:val="both"/>
              <w:rPr>
                <w:sz w:val="20"/>
              </w:rPr>
            </w:pPr>
            <w:r w:rsidRPr="005D15AC">
              <w:rPr>
                <w:sz w:val="20"/>
              </w:rPr>
              <w:t>December 10, 2019</w:t>
            </w:r>
          </w:p>
          <w:p w:rsidR="00267F57" w:rsidRPr="005D15AC" w:rsidRDefault="00267F57" w:rsidP="006509AD">
            <w:pPr>
              <w:jc w:val="both"/>
              <w:rPr>
                <w:sz w:val="20"/>
              </w:rPr>
            </w:pPr>
            <w:r w:rsidRPr="005D15AC">
              <w:rPr>
                <w:sz w:val="20"/>
              </w:rPr>
              <w:t>Federal Court of Appeal</w:t>
            </w:r>
          </w:p>
          <w:p w:rsidR="00267F57" w:rsidRPr="005D15AC" w:rsidRDefault="00267F57" w:rsidP="006509AD">
            <w:pPr>
              <w:jc w:val="both"/>
              <w:rPr>
                <w:sz w:val="20"/>
              </w:rPr>
            </w:pPr>
            <w:r w:rsidRPr="005D15AC">
              <w:rPr>
                <w:sz w:val="20"/>
              </w:rPr>
              <w:t>(</w:t>
            </w:r>
            <w:proofErr w:type="spellStart"/>
            <w:r w:rsidRPr="005D15AC">
              <w:rPr>
                <w:sz w:val="20"/>
              </w:rPr>
              <w:t>Stratas</w:t>
            </w:r>
            <w:proofErr w:type="spellEnd"/>
            <w:r w:rsidRPr="005D15AC">
              <w:rPr>
                <w:sz w:val="20"/>
              </w:rPr>
              <w:t xml:space="preserve"> J.A.)</w:t>
            </w:r>
          </w:p>
          <w:p w:rsidR="00267F57" w:rsidRPr="005D15AC" w:rsidRDefault="00267F57" w:rsidP="006509AD">
            <w:pPr>
              <w:jc w:val="both"/>
              <w:rPr>
                <w:sz w:val="20"/>
              </w:rPr>
            </w:pPr>
            <w:r w:rsidRPr="005D15AC">
              <w:rPr>
                <w:sz w:val="20"/>
              </w:rPr>
              <w:t>(Unreported) 19</w:t>
            </w:r>
            <w:r w:rsidRPr="005D15AC">
              <w:rPr>
                <w:sz w:val="20"/>
              </w:rPr>
              <w:noBreakHyphen/>
              <w:t>A</w:t>
            </w:r>
            <w:r w:rsidRPr="005D15AC">
              <w:rPr>
                <w:sz w:val="20"/>
              </w:rPr>
              <w:noBreakHyphen/>
              <w:t>72</w:t>
            </w:r>
          </w:p>
          <w:p w:rsidR="00267F57" w:rsidRPr="005D15AC" w:rsidRDefault="00267F57" w:rsidP="006509AD">
            <w:pPr>
              <w:jc w:val="both"/>
              <w:rPr>
                <w:sz w:val="20"/>
              </w:rPr>
            </w:pP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rPr>
            </w:pPr>
            <w:r w:rsidRPr="005D15AC">
              <w:rPr>
                <w:sz w:val="20"/>
              </w:rPr>
              <w:t>Application for extension of time to appeal judgment of Tax Court and order of Federal Court dismissed</w:t>
            </w:r>
          </w:p>
        </w:tc>
      </w:tr>
      <w:tr w:rsidR="00267F57" w:rsidRPr="005D15AC" w:rsidTr="006509AD">
        <w:tc>
          <w:tcPr>
            <w:tcW w:w="2427" w:type="pct"/>
            <w:gridSpan w:val="2"/>
          </w:tcPr>
          <w:p w:rsidR="00267F57" w:rsidRPr="005D15AC" w:rsidRDefault="00267F57" w:rsidP="006509AD">
            <w:pPr>
              <w:jc w:val="both"/>
              <w:rPr>
                <w:sz w:val="20"/>
              </w:rPr>
            </w:pPr>
            <w:r w:rsidRPr="005D15AC">
              <w:rPr>
                <w:sz w:val="20"/>
              </w:rPr>
              <w:t>February 14, 2020</w:t>
            </w:r>
          </w:p>
          <w:p w:rsidR="00267F57" w:rsidRPr="005D15AC" w:rsidRDefault="00267F57" w:rsidP="006509AD">
            <w:pPr>
              <w:jc w:val="both"/>
              <w:rPr>
                <w:sz w:val="20"/>
              </w:rPr>
            </w:pPr>
            <w:r w:rsidRPr="005D15AC">
              <w:rPr>
                <w:sz w:val="20"/>
              </w:rPr>
              <w:t>Supreme Court of Canada</w:t>
            </w: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rPr>
            </w:pPr>
            <w:r w:rsidRPr="005D15AC">
              <w:rPr>
                <w:sz w:val="20"/>
              </w:rPr>
              <w:t>Motion for extension of time to serve and file application for leave to appeal and Application for leave to appeal filed</w:t>
            </w:r>
          </w:p>
        </w:tc>
      </w:tr>
    </w:tbl>
    <w:p w:rsidR="00267F57" w:rsidRPr="005D15AC" w:rsidRDefault="00267F57" w:rsidP="006509AD">
      <w:pPr>
        <w:jc w:val="both"/>
        <w:rPr>
          <w:sz w:val="20"/>
        </w:rPr>
      </w:pPr>
    </w:p>
    <w:p w:rsidR="006509AD" w:rsidRPr="005D15AC" w:rsidRDefault="006509AD" w:rsidP="006509AD">
      <w:pPr>
        <w:jc w:val="both"/>
        <w:rPr>
          <w:sz w:val="20"/>
        </w:rPr>
      </w:pPr>
      <w:r w:rsidRPr="005D15AC">
        <w:rPr>
          <w:sz w:val="20"/>
        </w:rPr>
        <w:pict>
          <v:rect id="_x0000_i1086" style="width:2in;height:1pt" o:hrpct="0" o:hralign="center" o:hrstd="t" o:hrnoshade="t" o:hr="t" fillcolor="black [3213]" stroked="f"/>
        </w:pict>
      </w:r>
    </w:p>
    <w:p w:rsidR="006509AD" w:rsidRPr="005D15AC" w:rsidRDefault="006509AD" w:rsidP="00650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67F57" w:rsidRPr="005D15AC" w:rsidTr="006509AD">
        <w:tc>
          <w:tcPr>
            <w:tcW w:w="543" w:type="pct"/>
          </w:tcPr>
          <w:p w:rsidR="00267F57" w:rsidRPr="005D15AC" w:rsidRDefault="00267F57" w:rsidP="006509AD">
            <w:pPr>
              <w:jc w:val="both"/>
              <w:rPr>
                <w:sz w:val="20"/>
                <w:lang w:val="fr-CA"/>
              </w:rPr>
            </w:pPr>
            <w:r w:rsidRPr="005D15AC">
              <w:rPr>
                <w:rStyle w:val="SCCFileNumberChar"/>
                <w:sz w:val="20"/>
                <w:szCs w:val="20"/>
                <w:lang w:val="fr-CA"/>
              </w:rPr>
              <w:t>39253</w:t>
            </w:r>
          </w:p>
        </w:tc>
        <w:tc>
          <w:tcPr>
            <w:tcW w:w="4457" w:type="pct"/>
            <w:gridSpan w:val="3"/>
          </w:tcPr>
          <w:p w:rsidR="00267F57" w:rsidRPr="005D15AC" w:rsidRDefault="00267F57" w:rsidP="006509AD">
            <w:pPr>
              <w:pStyle w:val="SCCLsocParty"/>
              <w:jc w:val="both"/>
              <w:rPr>
                <w:b/>
                <w:sz w:val="20"/>
                <w:szCs w:val="20"/>
              </w:rPr>
            </w:pPr>
            <w:r w:rsidRPr="005D15AC">
              <w:rPr>
                <w:b/>
                <w:sz w:val="20"/>
                <w:szCs w:val="20"/>
              </w:rPr>
              <w:t>Joseph Stephen Rooke c. Canada, ministre de la Santé, ministre des Affaires indiennes et du Nord canadien</w:t>
            </w:r>
          </w:p>
          <w:p w:rsidR="00267F57" w:rsidRPr="005D15AC" w:rsidRDefault="00267F57" w:rsidP="006509AD">
            <w:pPr>
              <w:jc w:val="both"/>
              <w:rPr>
                <w:sz w:val="20"/>
                <w:lang w:val="fr-CA"/>
              </w:rPr>
            </w:pPr>
            <w:r w:rsidRPr="005D15AC">
              <w:rPr>
                <w:sz w:val="20"/>
                <w:lang w:val="fr-CA"/>
              </w:rPr>
              <w:t>(C</w:t>
            </w:r>
            <w:r w:rsidR="006509AD" w:rsidRPr="005D15AC">
              <w:rPr>
                <w:sz w:val="20"/>
                <w:lang w:val="fr-CA"/>
              </w:rPr>
              <w:t>.</w:t>
            </w:r>
            <w:r w:rsidRPr="005D15AC">
              <w:rPr>
                <w:sz w:val="20"/>
                <w:lang w:val="fr-CA"/>
              </w:rPr>
              <w:t>F</w:t>
            </w:r>
            <w:r w:rsidR="006509AD" w:rsidRPr="005D15AC">
              <w:rPr>
                <w:sz w:val="20"/>
                <w:lang w:val="fr-CA"/>
              </w:rPr>
              <w:t>.</w:t>
            </w:r>
            <w:r w:rsidRPr="005D15AC">
              <w:rPr>
                <w:sz w:val="20"/>
                <w:lang w:val="fr-CA"/>
              </w:rPr>
              <w:t>) (Civile) (Sur autorisation)</w:t>
            </w:r>
          </w:p>
        </w:tc>
      </w:tr>
      <w:tr w:rsidR="00267F57" w:rsidRPr="005D15AC" w:rsidTr="006509AD">
        <w:tc>
          <w:tcPr>
            <w:tcW w:w="5000" w:type="pct"/>
            <w:gridSpan w:val="4"/>
          </w:tcPr>
          <w:p w:rsidR="00267F57" w:rsidRPr="005D15AC" w:rsidRDefault="00267F57" w:rsidP="006509AD">
            <w:pPr>
              <w:jc w:val="both"/>
              <w:rPr>
                <w:sz w:val="20"/>
                <w:lang w:val="fr-CA"/>
              </w:rPr>
            </w:pPr>
            <w:r w:rsidRPr="005D15AC">
              <w:rPr>
                <w:sz w:val="20"/>
                <w:lang w:val="fr-CA"/>
              </w:rPr>
              <w:t>Procédure civile — Appels — Délai — Prorogation de délai — Demande de prorogation du délai pour interjeter appel de décisions dans le cadre de deux instances rejetées par la Cour d’appel fédérale — Le demandeur soulève</w:t>
            </w:r>
            <w:r w:rsidRPr="005D15AC">
              <w:rPr>
                <w:sz w:val="20"/>
                <w:lang w:val="fr-CA"/>
              </w:rPr>
              <w:noBreakHyphen/>
              <w:t>t</w:t>
            </w:r>
            <w:r w:rsidRPr="005D15AC">
              <w:rPr>
                <w:sz w:val="20"/>
                <w:lang w:val="fr-CA"/>
              </w:rPr>
              <w:noBreakHyphen/>
              <w:t>il une question de droit qui revêt une importance nationale ou de l’importance pour le public ?</w:t>
            </w:r>
          </w:p>
        </w:tc>
      </w:tr>
      <w:tr w:rsidR="00267F57" w:rsidRPr="005D15AC" w:rsidTr="006509AD">
        <w:tc>
          <w:tcPr>
            <w:tcW w:w="5000" w:type="pct"/>
            <w:gridSpan w:val="4"/>
          </w:tcPr>
          <w:p w:rsidR="00267F57" w:rsidRPr="005D15AC" w:rsidRDefault="00267F57" w:rsidP="006509AD">
            <w:pPr>
              <w:jc w:val="both"/>
              <w:rPr>
                <w:sz w:val="20"/>
                <w:lang w:val="fr-CA"/>
              </w:rPr>
            </w:pPr>
          </w:p>
          <w:p w:rsidR="00267F57" w:rsidRPr="005D15AC" w:rsidRDefault="00267F57" w:rsidP="006509AD">
            <w:pPr>
              <w:kinsoku w:val="0"/>
              <w:overflowPunct w:val="0"/>
              <w:jc w:val="both"/>
              <w:textAlignment w:val="baseline"/>
              <w:rPr>
                <w:sz w:val="20"/>
                <w:lang w:val="fr-FR"/>
              </w:rPr>
            </w:pPr>
            <w:r w:rsidRPr="005D15AC">
              <w:rPr>
                <w:sz w:val="20"/>
                <w:lang w:val="fr-FR"/>
              </w:rPr>
              <w:t xml:space="preserve">Un agent des décisions en matière de Régime de pensions du Canada et d’assurance-emploi a conclu que les </w:t>
            </w:r>
            <w:r w:rsidRPr="005D15AC">
              <w:rPr>
                <w:sz w:val="20"/>
                <w:lang w:val="fr-CA"/>
              </w:rPr>
              <w:t xml:space="preserve">montants que M. Rooke a reçus à titre d’assistant à l’enseignement </w:t>
            </w:r>
            <w:r w:rsidRPr="005D15AC">
              <w:rPr>
                <w:sz w:val="20"/>
                <w:lang w:val="fr-FR"/>
              </w:rPr>
              <w:t>étaient des revenus d’emploi assurables et qui ouvraient droit à pension</w:t>
            </w:r>
            <w:r w:rsidRPr="005D15AC">
              <w:rPr>
                <w:sz w:val="20"/>
                <w:lang w:val="fr-CA"/>
              </w:rPr>
              <w:t xml:space="preserve">. Le ministre du Revenu national a confirmé cette décision et la Cour canadienne de l’impôt a rejeté l’appel. Dans une instance distincte, </w:t>
            </w:r>
            <w:proofErr w:type="gramStart"/>
            <w:r w:rsidRPr="005D15AC">
              <w:rPr>
                <w:sz w:val="20"/>
                <w:lang w:val="fr-CA"/>
              </w:rPr>
              <w:t>une</w:t>
            </w:r>
            <w:proofErr w:type="gramEnd"/>
            <w:r w:rsidRPr="005D15AC">
              <w:rPr>
                <w:sz w:val="20"/>
                <w:lang w:val="fr-CA"/>
              </w:rPr>
              <w:t xml:space="preserve"> protonotaire de la Cour fédérale a rejeté une requête en vue d’obtenir notamment l’autorisation d’une action comme recours collectif. Un juge de la Cour fédérale a rejeté la demande de prorogation du délai pour interjeter appel et l’appel de la décision </w:t>
            </w:r>
            <w:proofErr w:type="gramStart"/>
            <w:r w:rsidRPr="005D15AC">
              <w:rPr>
                <w:sz w:val="20"/>
                <w:lang w:val="fr-CA"/>
              </w:rPr>
              <w:t>de la</w:t>
            </w:r>
            <w:proofErr w:type="gramEnd"/>
            <w:r w:rsidRPr="005D15AC">
              <w:rPr>
                <w:sz w:val="20"/>
                <w:lang w:val="fr-CA"/>
              </w:rPr>
              <w:t xml:space="preserve"> protonotaire. La Cour d’appel fédérale a rejeté la demande de prorogation du délai pour interjeter appel dans le cadre de ces instances.</w:t>
            </w:r>
          </w:p>
        </w:tc>
      </w:tr>
      <w:tr w:rsidR="00267F57" w:rsidRPr="005D15AC" w:rsidTr="006509AD">
        <w:tc>
          <w:tcPr>
            <w:tcW w:w="5000" w:type="pct"/>
            <w:gridSpan w:val="4"/>
          </w:tcPr>
          <w:p w:rsidR="00267F57" w:rsidRPr="005D15AC" w:rsidRDefault="00267F57" w:rsidP="006509AD">
            <w:pPr>
              <w:jc w:val="both"/>
              <w:rPr>
                <w:sz w:val="20"/>
                <w:lang w:val="fr-CA"/>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 xml:space="preserve">4 mars 2019 </w:t>
            </w:r>
          </w:p>
          <w:p w:rsidR="00267F57" w:rsidRPr="005D15AC" w:rsidRDefault="00267F57" w:rsidP="006509AD">
            <w:pPr>
              <w:jc w:val="both"/>
              <w:rPr>
                <w:sz w:val="20"/>
                <w:lang w:val="fr-CA"/>
              </w:rPr>
            </w:pPr>
            <w:r w:rsidRPr="005D15AC">
              <w:rPr>
                <w:sz w:val="20"/>
                <w:lang w:val="fr-CA"/>
              </w:rPr>
              <w:t xml:space="preserve">Cour fédérale </w:t>
            </w:r>
          </w:p>
          <w:p w:rsidR="00267F57" w:rsidRPr="005D15AC" w:rsidRDefault="00267F57" w:rsidP="006509AD">
            <w:pPr>
              <w:jc w:val="both"/>
              <w:rPr>
                <w:sz w:val="20"/>
                <w:lang w:val="fr-CA"/>
              </w:rPr>
            </w:pPr>
            <w:r w:rsidRPr="005D15AC">
              <w:rPr>
                <w:sz w:val="20"/>
                <w:lang w:val="fr-CA"/>
              </w:rPr>
              <w:t>(protonotaire Tabib)(T</w:t>
            </w:r>
            <w:r w:rsidRPr="005D15AC">
              <w:rPr>
                <w:sz w:val="20"/>
                <w:lang w:val="fr-CA"/>
              </w:rPr>
              <w:noBreakHyphen/>
              <w:t>848</w:t>
            </w:r>
            <w:r w:rsidRPr="005D15AC">
              <w:rPr>
                <w:sz w:val="20"/>
                <w:lang w:val="fr-CA"/>
              </w:rPr>
              <w:noBreakHyphen/>
              <w:t>18)</w:t>
            </w:r>
          </w:p>
          <w:p w:rsidR="00267F57" w:rsidRPr="005D15AC" w:rsidRDefault="00267F57" w:rsidP="006509AD">
            <w:pPr>
              <w:jc w:val="both"/>
              <w:rPr>
                <w:sz w:val="20"/>
                <w:lang w:val="fr-CA"/>
              </w:rPr>
            </w:pP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lang w:val="fr-CA"/>
              </w:rPr>
            </w:pPr>
            <w:r w:rsidRPr="005D15AC">
              <w:rPr>
                <w:sz w:val="20"/>
                <w:lang w:val="fr-CA"/>
              </w:rPr>
              <w:t>Requête rejetée.</w:t>
            </w:r>
          </w:p>
          <w:p w:rsidR="00267F57" w:rsidRPr="005D15AC" w:rsidRDefault="00267F57" w:rsidP="006509AD">
            <w:pPr>
              <w:jc w:val="both"/>
              <w:rPr>
                <w:sz w:val="20"/>
                <w:lang w:val="fr-CA"/>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5 mars 2019</w:t>
            </w:r>
          </w:p>
          <w:p w:rsidR="00267F57" w:rsidRPr="005D15AC" w:rsidRDefault="00267F57" w:rsidP="006509AD">
            <w:pPr>
              <w:jc w:val="both"/>
              <w:rPr>
                <w:sz w:val="20"/>
                <w:lang w:val="fr-CA"/>
              </w:rPr>
            </w:pPr>
            <w:r w:rsidRPr="005D15AC">
              <w:rPr>
                <w:sz w:val="20"/>
                <w:lang w:val="fr-CA"/>
              </w:rPr>
              <w:t xml:space="preserve">Cour canadienne de l’impôt </w:t>
            </w:r>
          </w:p>
          <w:p w:rsidR="00267F57" w:rsidRPr="005D15AC" w:rsidRDefault="00267F57" w:rsidP="006509AD">
            <w:pPr>
              <w:jc w:val="both"/>
              <w:rPr>
                <w:sz w:val="20"/>
                <w:lang w:val="fr-CA"/>
              </w:rPr>
            </w:pPr>
            <w:r w:rsidRPr="005D15AC">
              <w:rPr>
                <w:sz w:val="20"/>
                <w:lang w:val="fr-CA"/>
              </w:rPr>
              <w:lastRenderedPageBreak/>
              <w:t xml:space="preserve">(Juge Campbell) </w:t>
            </w:r>
          </w:p>
          <w:p w:rsidR="00267F57" w:rsidRPr="005D15AC" w:rsidRDefault="00267F57" w:rsidP="006509AD">
            <w:pPr>
              <w:jc w:val="both"/>
              <w:rPr>
                <w:sz w:val="20"/>
                <w:lang w:val="fr-CA"/>
              </w:rPr>
            </w:pPr>
            <w:hyperlink r:id="rId27" w:history="1">
              <w:r w:rsidRPr="005D15AC">
                <w:rPr>
                  <w:rStyle w:val="Hyperlink"/>
                  <w:sz w:val="20"/>
                  <w:lang w:val="fr-CA"/>
                </w:rPr>
                <w:t>2019 CCI 52</w:t>
              </w:r>
            </w:hyperlink>
            <w:r w:rsidRPr="005D15AC">
              <w:rPr>
                <w:sz w:val="20"/>
                <w:lang w:val="fr-CA"/>
              </w:rPr>
              <w:t xml:space="preserve"> (2017</w:t>
            </w:r>
            <w:r w:rsidRPr="005D15AC">
              <w:rPr>
                <w:sz w:val="20"/>
                <w:lang w:val="fr-CA"/>
              </w:rPr>
              <w:noBreakHyphen/>
              <w:t>3441; 2017</w:t>
            </w:r>
            <w:r w:rsidRPr="005D15AC">
              <w:rPr>
                <w:sz w:val="20"/>
                <w:lang w:val="fr-CA"/>
              </w:rPr>
              <w:noBreakHyphen/>
              <w:t>3442)</w:t>
            </w:r>
          </w:p>
          <w:p w:rsidR="00267F57" w:rsidRPr="005D15AC" w:rsidRDefault="00267F57" w:rsidP="006509AD">
            <w:pPr>
              <w:jc w:val="both"/>
              <w:rPr>
                <w:sz w:val="20"/>
                <w:lang w:val="fr-CA"/>
              </w:rPr>
            </w:pP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lang w:val="fr-CA"/>
              </w:rPr>
            </w:pPr>
            <w:r w:rsidRPr="005D15AC">
              <w:rPr>
                <w:sz w:val="20"/>
                <w:lang w:val="fr-CA"/>
              </w:rPr>
              <w:t>Appels des décisions du ministre du Revenu national rejetés.</w:t>
            </w:r>
          </w:p>
          <w:p w:rsidR="00267F57" w:rsidRPr="005D15AC" w:rsidRDefault="00267F57" w:rsidP="006509AD">
            <w:pPr>
              <w:jc w:val="both"/>
              <w:rPr>
                <w:sz w:val="20"/>
                <w:lang w:val="fr-CA"/>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lastRenderedPageBreak/>
              <w:t>31 mai 2019</w:t>
            </w:r>
          </w:p>
          <w:p w:rsidR="00267F57" w:rsidRPr="005D15AC" w:rsidRDefault="00267F57" w:rsidP="006509AD">
            <w:pPr>
              <w:jc w:val="both"/>
              <w:rPr>
                <w:sz w:val="20"/>
                <w:lang w:val="fr-CA"/>
              </w:rPr>
            </w:pPr>
            <w:r w:rsidRPr="005D15AC">
              <w:rPr>
                <w:sz w:val="20"/>
                <w:lang w:val="fr-CA"/>
              </w:rPr>
              <w:t xml:space="preserve">Cour fédérale </w:t>
            </w:r>
          </w:p>
          <w:p w:rsidR="00267F57" w:rsidRPr="005D15AC" w:rsidRDefault="00267F57" w:rsidP="006509AD">
            <w:pPr>
              <w:jc w:val="both"/>
              <w:rPr>
                <w:sz w:val="20"/>
                <w:lang w:val="fr-CA"/>
              </w:rPr>
            </w:pPr>
            <w:r w:rsidRPr="005D15AC">
              <w:rPr>
                <w:sz w:val="20"/>
                <w:lang w:val="fr-CA"/>
              </w:rPr>
              <w:t>(Juge Simmons)</w:t>
            </w:r>
          </w:p>
          <w:p w:rsidR="00267F57" w:rsidRPr="005D15AC" w:rsidRDefault="00267F57" w:rsidP="006509AD">
            <w:pPr>
              <w:jc w:val="both"/>
              <w:rPr>
                <w:sz w:val="20"/>
                <w:lang w:val="fr-CA"/>
              </w:rPr>
            </w:pPr>
            <w:hyperlink r:id="rId28" w:history="1">
              <w:r w:rsidRPr="005D15AC">
                <w:rPr>
                  <w:rStyle w:val="Hyperlink"/>
                  <w:sz w:val="20"/>
                  <w:lang w:val="fr-CA"/>
                </w:rPr>
                <w:t>2019 CF 765</w:t>
              </w:r>
            </w:hyperlink>
            <w:r w:rsidRPr="005D15AC">
              <w:rPr>
                <w:sz w:val="20"/>
                <w:lang w:val="fr-CA"/>
              </w:rPr>
              <w:t xml:space="preserve"> (T</w:t>
            </w:r>
            <w:r w:rsidRPr="005D15AC">
              <w:rPr>
                <w:sz w:val="20"/>
                <w:lang w:val="fr-CA"/>
              </w:rPr>
              <w:noBreakHyphen/>
              <w:t>848</w:t>
            </w:r>
            <w:r w:rsidRPr="005D15AC">
              <w:rPr>
                <w:sz w:val="20"/>
                <w:lang w:val="fr-CA"/>
              </w:rPr>
              <w:noBreakHyphen/>
              <w:t>18)</w:t>
            </w:r>
          </w:p>
          <w:p w:rsidR="00267F57" w:rsidRPr="005D15AC" w:rsidRDefault="00267F57" w:rsidP="006509AD">
            <w:pPr>
              <w:jc w:val="both"/>
              <w:rPr>
                <w:sz w:val="20"/>
                <w:lang w:val="fr-CA"/>
              </w:rPr>
            </w:pP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lang w:val="fr-CA"/>
              </w:rPr>
            </w:pPr>
            <w:r w:rsidRPr="005D15AC">
              <w:rPr>
                <w:sz w:val="20"/>
                <w:lang w:val="fr-CA"/>
              </w:rPr>
              <w:t xml:space="preserve">Demande de </w:t>
            </w:r>
            <w:r w:rsidRPr="005D15AC">
              <w:rPr>
                <w:sz w:val="20"/>
                <w:lang w:val="fr-FR"/>
              </w:rPr>
              <w:t xml:space="preserve">prorogation du délai pour interjeter appel et </w:t>
            </w:r>
            <w:r w:rsidRPr="005D15AC">
              <w:rPr>
                <w:sz w:val="20"/>
                <w:lang w:val="fr-CA"/>
              </w:rPr>
              <w:t xml:space="preserve">appel de la décision </w:t>
            </w:r>
            <w:proofErr w:type="gramStart"/>
            <w:r w:rsidRPr="005D15AC">
              <w:rPr>
                <w:sz w:val="20"/>
                <w:lang w:val="fr-CA"/>
              </w:rPr>
              <w:t>de la protonotaire rejetés</w:t>
            </w:r>
            <w:proofErr w:type="gramEnd"/>
            <w:r w:rsidRPr="005D15AC">
              <w:rPr>
                <w:sz w:val="20"/>
                <w:lang w:val="fr-CA"/>
              </w:rPr>
              <w:t xml:space="preserve">. </w:t>
            </w:r>
          </w:p>
          <w:p w:rsidR="00267F57" w:rsidRPr="005D15AC" w:rsidRDefault="00267F57" w:rsidP="006509AD">
            <w:pPr>
              <w:jc w:val="both"/>
              <w:rPr>
                <w:sz w:val="20"/>
                <w:lang w:val="fr-CA"/>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10 décembre 2019</w:t>
            </w:r>
          </w:p>
          <w:p w:rsidR="00267F57" w:rsidRPr="005D15AC" w:rsidRDefault="00267F57" w:rsidP="006509AD">
            <w:pPr>
              <w:jc w:val="both"/>
              <w:rPr>
                <w:sz w:val="20"/>
                <w:lang w:val="fr-CA"/>
              </w:rPr>
            </w:pPr>
            <w:r w:rsidRPr="005D15AC">
              <w:rPr>
                <w:sz w:val="20"/>
                <w:lang w:val="fr-CA"/>
              </w:rPr>
              <w:t>Cour d’appel fédérale</w:t>
            </w:r>
          </w:p>
          <w:p w:rsidR="00267F57" w:rsidRPr="005D15AC" w:rsidRDefault="00267F57" w:rsidP="006509AD">
            <w:pPr>
              <w:jc w:val="both"/>
              <w:rPr>
                <w:sz w:val="20"/>
                <w:lang w:val="fr-CA"/>
              </w:rPr>
            </w:pPr>
            <w:r w:rsidRPr="005D15AC">
              <w:rPr>
                <w:sz w:val="20"/>
                <w:lang w:val="fr-CA"/>
              </w:rPr>
              <w:t xml:space="preserve">(Juge </w:t>
            </w:r>
            <w:proofErr w:type="spellStart"/>
            <w:r w:rsidRPr="005D15AC">
              <w:rPr>
                <w:sz w:val="20"/>
                <w:lang w:val="fr-CA"/>
              </w:rPr>
              <w:t>Stratas</w:t>
            </w:r>
            <w:proofErr w:type="spellEnd"/>
            <w:r w:rsidRPr="005D15AC">
              <w:rPr>
                <w:sz w:val="20"/>
                <w:lang w:val="fr-CA"/>
              </w:rPr>
              <w:t>)</w:t>
            </w:r>
          </w:p>
          <w:p w:rsidR="00267F57" w:rsidRPr="005D15AC" w:rsidRDefault="00267F57" w:rsidP="006509AD">
            <w:pPr>
              <w:jc w:val="both"/>
              <w:rPr>
                <w:sz w:val="20"/>
                <w:lang w:val="fr-CA"/>
              </w:rPr>
            </w:pPr>
            <w:r w:rsidRPr="005D15AC">
              <w:rPr>
                <w:sz w:val="20"/>
                <w:lang w:val="fr-CA"/>
              </w:rPr>
              <w:t>(Non publié) 19</w:t>
            </w:r>
            <w:r w:rsidRPr="005D15AC">
              <w:rPr>
                <w:sz w:val="20"/>
                <w:lang w:val="fr-CA"/>
              </w:rPr>
              <w:noBreakHyphen/>
              <w:t>A</w:t>
            </w:r>
            <w:r w:rsidRPr="005D15AC">
              <w:rPr>
                <w:sz w:val="20"/>
                <w:lang w:val="fr-CA"/>
              </w:rPr>
              <w:noBreakHyphen/>
              <w:t>72</w:t>
            </w:r>
          </w:p>
          <w:p w:rsidR="00267F57" w:rsidRPr="005D15AC" w:rsidRDefault="00267F57" w:rsidP="006509AD">
            <w:pPr>
              <w:jc w:val="both"/>
              <w:rPr>
                <w:sz w:val="20"/>
                <w:lang w:val="fr-CA"/>
              </w:rPr>
            </w:pP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lang w:val="fr-CA"/>
              </w:rPr>
            </w:pPr>
            <w:r w:rsidRPr="005D15AC">
              <w:rPr>
                <w:sz w:val="20"/>
                <w:lang w:val="fr-CA"/>
              </w:rPr>
              <w:t xml:space="preserve">Demande de </w:t>
            </w:r>
            <w:r w:rsidRPr="005D15AC">
              <w:rPr>
                <w:sz w:val="20"/>
                <w:lang w:val="fr-FR"/>
              </w:rPr>
              <w:t xml:space="preserve">prorogation du délai pour interjeter appel </w:t>
            </w:r>
            <w:r w:rsidRPr="005D15AC">
              <w:rPr>
                <w:sz w:val="20"/>
                <w:lang w:val="fr-CA"/>
              </w:rPr>
              <w:t>du jugement de la Cour canadienne de l’impôt et de l’ordonnance de la Cour fédérale rejetée.</w:t>
            </w: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14 février 2020</w:t>
            </w:r>
          </w:p>
          <w:p w:rsidR="00267F57" w:rsidRPr="005D15AC" w:rsidRDefault="00267F57" w:rsidP="006509AD">
            <w:pPr>
              <w:jc w:val="both"/>
              <w:rPr>
                <w:sz w:val="20"/>
                <w:lang w:val="fr-CA"/>
              </w:rPr>
            </w:pPr>
            <w:r w:rsidRPr="005D15AC">
              <w:rPr>
                <w:sz w:val="20"/>
                <w:lang w:val="fr-CA"/>
              </w:rPr>
              <w:t>Cour suprême du Canada</w:t>
            </w:r>
          </w:p>
          <w:p w:rsidR="006509AD" w:rsidRPr="005D15AC" w:rsidRDefault="006509AD" w:rsidP="006509AD">
            <w:pPr>
              <w:jc w:val="both"/>
              <w:rPr>
                <w:sz w:val="20"/>
                <w:lang w:val="fr-CA"/>
              </w:rPr>
            </w:pP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lang w:val="fr-CA"/>
              </w:rPr>
            </w:pPr>
            <w:r w:rsidRPr="005D15AC">
              <w:rPr>
                <w:sz w:val="20"/>
                <w:lang w:val="fr-CA"/>
              </w:rPr>
              <w:t xml:space="preserve">Requête en </w:t>
            </w:r>
            <w:r w:rsidRPr="005D15AC">
              <w:rPr>
                <w:sz w:val="20"/>
                <w:lang w:val="fr-FR"/>
              </w:rPr>
              <w:t xml:space="preserve">prorogation du délai de signification et de dépôt de la demande </w:t>
            </w:r>
            <w:r w:rsidRPr="005D15AC">
              <w:rPr>
                <w:sz w:val="20"/>
                <w:lang w:val="fr-CA"/>
              </w:rPr>
              <w:t xml:space="preserve">d’autorisation d’appel et demande d’autorisation </w:t>
            </w:r>
            <w:proofErr w:type="gramStart"/>
            <w:r w:rsidRPr="005D15AC">
              <w:rPr>
                <w:sz w:val="20"/>
                <w:lang w:val="fr-CA"/>
              </w:rPr>
              <w:t>d’appel présentées</w:t>
            </w:r>
            <w:proofErr w:type="gramEnd"/>
            <w:r w:rsidRPr="005D15AC">
              <w:rPr>
                <w:sz w:val="20"/>
                <w:lang w:val="fr-CA"/>
              </w:rPr>
              <w:t>.</w:t>
            </w:r>
          </w:p>
        </w:tc>
      </w:tr>
    </w:tbl>
    <w:p w:rsidR="00267F57" w:rsidRPr="005D15AC" w:rsidRDefault="00267F57" w:rsidP="006509AD">
      <w:pPr>
        <w:jc w:val="both"/>
        <w:rPr>
          <w:sz w:val="20"/>
          <w:lang w:val="fr-CA"/>
        </w:rPr>
      </w:pPr>
    </w:p>
    <w:p w:rsidR="004C631D" w:rsidRPr="005D15AC" w:rsidRDefault="006509AD" w:rsidP="006509AD">
      <w:pPr>
        <w:widowControl w:val="0"/>
        <w:jc w:val="both"/>
        <w:rPr>
          <w:sz w:val="20"/>
          <w:lang w:val="fr-CA"/>
        </w:rPr>
      </w:pPr>
      <w:r w:rsidRPr="005D15AC">
        <w:rPr>
          <w:sz w:val="20"/>
        </w:rPr>
        <w:pict>
          <v:rect id="_x0000_i1087" style="width:2in;height:1pt" o:hrpct="0" o:hralign="center" o:hrstd="t" o:hrnoshade="t" o:hr="t" fillcolor="black [3213]" stroked="f"/>
        </w:pict>
      </w:r>
    </w:p>
    <w:p w:rsidR="006509AD" w:rsidRPr="005D15AC" w:rsidRDefault="006509AD" w:rsidP="006509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67F57" w:rsidRPr="005D15AC" w:rsidTr="006509AD">
        <w:tc>
          <w:tcPr>
            <w:tcW w:w="543" w:type="pct"/>
          </w:tcPr>
          <w:p w:rsidR="00267F57" w:rsidRPr="005D15AC" w:rsidRDefault="00267F57" w:rsidP="006509AD">
            <w:pPr>
              <w:jc w:val="both"/>
              <w:rPr>
                <w:sz w:val="20"/>
                <w:lang w:val="en-CA"/>
              </w:rPr>
            </w:pPr>
            <w:r w:rsidRPr="005D15AC">
              <w:rPr>
                <w:rStyle w:val="SCCFileNumberChar"/>
                <w:sz w:val="20"/>
                <w:szCs w:val="20"/>
              </w:rPr>
              <w:t>39143</w:t>
            </w:r>
          </w:p>
        </w:tc>
        <w:tc>
          <w:tcPr>
            <w:tcW w:w="4457" w:type="pct"/>
            <w:gridSpan w:val="3"/>
          </w:tcPr>
          <w:p w:rsidR="00267F57" w:rsidRPr="005D15AC" w:rsidRDefault="00267F57" w:rsidP="006509AD">
            <w:pPr>
              <w:pStyle w:val="SCCLsocParty"/>
              <w:jc w:val="both"/>
              <w:rPr>
                <w:b/>
                <w:sz w:val="20"/>
                <w:szCs w:val="20"/>
                <w:lang w:val="en-CA"/>
              </w:rPr>
            </w:pPr>
            <w:r w:rsidRPr="005D15AC">
              <w:rPr>
                <w:b/>
                <w:sz w:val="20"/>
                <w:szCs w:val="20"/>
                <w:lang w:val="en-CA"/>
              </w:rPr>
              <w:t>Casmatec Canada inc., Bruno Germain v. Bradken Canada Manufactured Products Ltd., Dennis Slater, Johanne Pronovost, Albert Fontaine, Sotecfond, Import-Export Jofralco Ltd.</w:t>
            </w:r>
          </w:p>
          <w:p w:rsidR="00267F57" w:rsidRPr="005D15AC" w:rsidRDefault="00267F57" w:rsidP="006509AD">
            <w:pPr>
              <w:jc w:val="both"/>
              <w:rPr>
                <w:sz w:val="20"/>
                <w:lang w:val="en-CA"/>
              </w:rPr>
            </w:pPr>
            <w:r w:rsidRPr="005D15AC">
              <w:rPr>
                <w:sz w:val="20"/>
                <w:lang w:val="en-CA"/>
              </w:rPr>
              <w:t>(Que.) (Civil) (By Leave)</w:t>
            </w:r>
          </w:p>
        </w:tc>
      </w:tr>
      <w:tr w:rsidR="00267F57" w:rsidRPr="005D15AC" w:rsidTr="006509AD">
        <w:tc>
          <w:tcPr>
            <w:tcW w:w="5000" w:type="pct"/>
            <w:gridSpan w:val="4"/>
          </w:tcPr>
          <w:p w:rsidR="00267F57" w:rsidRPr="005D15AC" w:rsidRDefault="00267F57" w:rsidP="006509AD">
            <w:pPr>
              <w:jc w:val="both"/>
              <w:rPr>
                <w:sz w:val="20"/>
                <w:lang w:val="en-CA"/>
              </w:rPr>
            </w:pPr>
            <w:proofErr w:type="gramStart"/>
            <w:r w:rsidRPr="005D15AC">
              <w:rPr>
                <w:sz w:val="20"/>
                <w:lang w:val="en-CA"/>
              </w:rPr>
              <w:t xml:space="preserve">Competition — Conspiracy — Wrongful marketing practices — Unfair competition — Evidence required — Damage — Abuse of procedure — Degree of evidence required under statutory liability scheme provided for in s. 36 of </w:t>
            </w:r>
            <w:r w:rsidRPr="005D15AC">
              <w:rPr>
                <w:i/>
                <w:sz w:val="20"/>
                <w:lang w:val="en-CA"/>
              </w:rPr>
              <w:t>Competition Act</w:t>
            </w:r>
            <w:r w:rsidRPr="005D15AC">
              <w:rPr>
                <w:sz w:val="20"/>
                <w:lang w:val="en-CA"/>
              </w:rPr>
              <w:t xml:space="preserve"> in order to recover damages after proving violation of Part VI of </w:t>
            </w:r>
            <w:r w:rsidRPr="005D15AC">
              <w:rPr>
                <w:i/>
                <w:sz w:val="20"/>
                <w:lang w:val="en-CA"/>
              </w:rPr>
              <w:t>Competition Act</w:t>
            </w:r>
            <w:r w:rsidRPr="005D15AC">
              <w:rPr>
                <w:sz w:val="20"/>
                <w:lang w:val="en-CA"/>
              </w:rPr>
              <w:t xml:space="preserve"> — Whether, where alleged violation is breach of s. 52 of </w:t>
            </w:r>
            <w:r w:rsidRPr="005D15AC">
              <w:rPr>
                <w:i/>
                <w:sz w:val="20"/>
                <w:lang w:val="en-CA"/>
              </w:rPr>
              <w:t>Competition Act</w:t>
            </w:r>
            <w:r w:rsidRPr="005D15AC">
              <w:rPr>
                <w:sz w:val="20"/>
                <w:lang w:val="en-CA"/>
              </w:rPr>
              <w:t xml:space="preserve">, proof of that violation and of damage suffered can lead to inference of cause and effect relationship between violation and damage — Whether gaps in evidence, even major ones, can lead to conclusion of abusive proceeding — </w:t>
            </w:r>
            <w:r w:rsidRPr="005D15AC">
              <w:rPr>
                <w:i/>
                <w:sz w:val="20"/>
                <w:lang w:val="en-CA"/>
              </w:rPr>
              <w:t>Competition Act</w:t>
            </w:r>
            <w:r w:rsidRPr="005D15AC">
              <w:rPr>
                <w:sz w:val="20"/>
                <w:lang w:val="en-CA"/>
              </w:rPr>
              <w:t>, R.S.C. 1985, c. C</w:t>
            </w:r>
            <w:r w:rsidRPr="005D15AC">
              <w:rPr>
                <w:sz w:val="20"/>
                <w:lang w:val="en-CA"/>
              </w:rPr>
              <w:noBreakHyphen/>
              <w:t xml:space="preserve">34, ss. 36(1), 52(1) — </w:t>
            </w:r>
            <w:r w:rsidRPr="005D15AC">
              <w:rPr>
                <w:i/>
                <w:sz w:val="20"/>
                <w:lang w:val="en-CA"/>
              </w:rPr>
              <w:t>Code of Civil Procedure</w:t>
            </w:r>
            <w:r w:rsidRPr="005D15AC">
              <w:rPr>
                <w:sz w:val="20"/>
                <w:lang w:val="en-CA"/>
              </w:rPr>
              <w:t>, CQLR, c. C</w:t>
            </w:r>
            <w:r w:rsidRPr="005D15AC">
              <w:rPr>
                <w:sz w:val="20"/>
                <w:lang w:val="en-CA"/>
              </w:rPr>
              <w:noBreakHyphen/>
              <w:t>25.01, art. </w:t>
            </w:r>
            <w:proofErr w:type="gramEnd"/>
            <w:r w:rsidRPr="005D15AC">
              <w:rPr>
                <w:sz w:val="20"/>
                <w:lang w:val="en-CA"/>
              </w:rPr>
              <w:t>54.</w:t>
            </w:r>
          </w:p>
        </w:tc>
      </w:tr>
      <w:tr w:rsidR="00267F57" w:rsidRPr="005D15AC" w:rsidTr="006509AD">
        <w:tc>
          <w:tcPr>
            <w:tcW w:w="5000" w:type="pct"/>
            <w:gridSpan w:val="4"/>
          </w:tcPr>
          <w:p w:rsidR="00267F57" w:rsidRPr="005D15AC" w:rsidRDefault="00267F57" w:rsidP="006509AD">
            <w:pPr>
              <w:jc w:val="both"/>
              <w:rPr>
                <w:sz w:val="20"/>
                <w:lang w:val="en-CA"/>
              </w:rPr>
            </w:pPr>
          </w:p>
        </w:tc>
      </w:tr>
      <w:tr w:rsidR="00267F57" w:rsidRPr="005D15AC" w:rsidTr="006509AD">
        <w:tc>
          <w:tcPr>
            <w:tcW w:w="5000" w:type="pct"/>
            <w:gridSpan w:val="4"/>
          </w:tcPr>
          <w:p w:rsidR="00267F57" w:rsidRPr="005D15AC" w:rsidRDefault="00267F57" w:rsidP="006509AD">
            <w:pPr>
              <w:jc w:val="both"/>
              <w:rPr>
                <w:sz w:val="20"/>
                <w:lang w:val="en-CA"/>
              </w:rPr>
            </w:pPr>
            <w:r w:rsidRPr="005D15AC">
              <w:rPr>
                <w:sz w:val="20"/>
                <w:lang w:val="en-CA"/>
              </w:rPr>
              <w:t xml:space="preserve">The applicants brought an action against the respondents in which they claimed more that $12 million in damages. They alleged that the respondents had conspired to exclude them from the market for products for foundries, thereby engaging in wrongful marketing practices and unfair competition. The Superior Court dismissed their action, concluding that there was no evidence of a connection between a fault committed by the respondents and damage suffered by the applicants. It held that the action constituted abuse of procedure and ordered the applicants to reimburse the reasonable extrajudicial fees incurred by the respondents. The Court of Appeal dismissed the applicants’ appeal, upholding the trial judge’s conclusion that there was no evidence whatsoever of a causal connection between the alleged offences under the </w:t>
            </w:r>
            <w:r w:rsidRPr="005D15AC">
              <w:rPr>
                <w:i/>
                <w:sz w:val="20"/>
                <w:lang w:val="en-CA"/>
              </w:rPr>
              <w:t xml:space="preserve">Competition Act </w:t>
            </w:r>
            <w:r w:rsidRPr="005D15AC">
              <w:rPr>
                <w:sz w:val="20"/>
                <w:lang w:val="en-CA"/>
              </w:rPr>
              <w:t>and the alleged losses. It also concluded that the appeal was abusive and ordered the applicants to reimburse the respondents’ extrajudicial fees.</w:t>
            </w:r>
          </w:p>
          <w:p w:rsidR="00267F57" w:rsidRPr="005D15AC" w:rsidRDefault="00267F57" w:rsidP="006509AD">
            <w:pPr>
              <w:jc w:val="both"/>
              <w:rPr>
                <w:sz w:val="20"/>
                <w:lang w:val="en-CA"/>
              </w:rPr>
            </w:pPr>
          </w:p>
        </w:tc>
      </w:tr>
      <w:tr w:rsidR="00267F57" w:rsidRPr="005D15AC" w:rsidTr="006509AD">
        <w:tc>
          <w:tcPr>
            <w:tcW w:w="2427" w:type="pct"/>
            <w:gridSpan w:val="2"/>
          </w:tcPr>
          <w:p w:rsidR="00267F57" w:rsidRPr="005D15AC" w:rsidRDefault="00267F57" w:rsidP="006509AD">
            <w:pPr>
              <w:jc w:val="both"/>
              <w:rPr>
                <w:sz w:val="20"/>
                <w:lang w:val="en-CA"/>
              </w:rPr>
            </w:pPr>
            <w:r w:rsidRPr="005D15AC">
              <w:rPr>
                <w:sz w:val="20"/>
                <w:lang w:val="en-CA"/>
              </w:rPr>
              <w:t>September 5, 2017</w:t>
            </w:r>
          </w:p>
          <w:p w:rsidR="00267F57" w:rsidRPr="005D15AC" w:rsidRDefault="00267F57" w:rsidP="006509AD">
            <w:pPr>
              <w:jc w:val="both"/>
              <w:rPr>
                <w:sz w:val="20"/>
                <w:lang w:val="en-CA"/>
              </w:rPr>
            </w:pPr>
            <w:r w:rsidRPr="005D15AC">
              <w:rPr>
                <w:sz w:val="20"/>
                <w:lang w:val="en-CA"/>
              </w:rPr>
              <w:t>Quebec Superior Court (Terrebonne)</w:t>
            </w:r>
          </w:p>
          <w:p w:rsidR="00267F57" w:rsidRPr="005D15AC" w:rsidRDefault="00267F57" w:rsidP="006509AD">
            <w:pPr>
              <w:jc w:val="both"/>
              <w:rPr>
                <w:sz w:val="20"/>
                <w:lang w:val="en-CA"/>
              </w:rPr>
            </w:pPr>
            <w:r w:rsidRPr="005D15AC">
              <w:rPr>
                <w:sz w:val="20"/>
                <w:lang w:val="en-CA"/>
              </w:rPr>
              <w:t>(Blanchard J.)</w:t>
            </w:r>
          </w:p>
          <w:p w:rsidR="00267F57" w:rsidRPr="005D15AC" w:rsidRDefault="00267F57" w:rsidP="006509AD">
            <w:pPr>
              <w:jc w:val="both"/>
              <w:rPr>
                <w:sz w:val="20"/>
                <w:lang w:val="en-CA"/>
              </w:rPr>
            </w:pPr>
            <w:r w:rsidRPr="005D15AC">
              <w:rPr>
                <w:sz w:val="20"/>
                <w:lang w:val="en-CA"/>
              </w:rPr>
              <w:t>700</w:t>
            </w:r>
            <w:r w:rsidRPr="005D15AC">
              <w:rPr>
                <w:sz w:val="20"/>
                <w:lang w:val="en-CA"/>
              </w:rPr>
              <w:noBreakHyphen/>
              <w:t>17</w:t>
            </w:r>
            <w:r w:rsidRPr="005D15AC">
              <w:rPr>
                <w:sz w:val="20"/>
                <w:lang w:val="en-CA"/>
              </w:rPr>
              <w:noBreakHyphen/>
              <w:t>004760</w:t>
            </w:r>
            <w:r w:rsidRPr="005D15AC">
              <w:rPr>
                <w:sz w:val="20"/>
                <w:lang w:val="en-CA"/>
              </w:rPr>
              <w:noBreakHyphen/>
              <w:t>079</w:t>
            </w:r>
          </w:p>
          <w:p w:rsidR="00267F57" w:rsidRPr="005D15AC" w:rsidRDefault="00267F57" w:rsidP="006509AD">
            <w:pPr>
              <w:jc w:val="both"/>
              <w:rPr>
                <w:sz w:val="20"/>
                <w:lang w:val="en-CA"/>
              </w:rPr>
            </w:pPr>
            <w:hyperlink r:id="rId29" w:history="1">
              <w:r w:rsidRPr="005D15AC">
                <w:rPr>
                  <w:rStyle w:val="Hyperlink"/>
                  <w:sz w:val="20"/>
                  <w:lang w:val="en-CA"/>
                </w:rPr>
                <w:t>2017 QCCS 3976</w:t>
              </w:r>
            </w:hyperlink>
          </w:p>
          <w:p w:rsidR="00267F57" w:rsidRPr="005D15AC" w:rsidRDefault="00267F57" w:rsidP="006509AD">
            <w:pPr>
              <w:jc w:val="both"/>
              <w:rPr>
                <w:sz w:val="20"/>
                <w:lang w:val="en-CA"/>
              </w:rPr>
            </w:pPr>
          </w:p>
        </w:tc>
        <w:tc>
          <w:tcPr>
            <w:tcW w:w="243" w:type="pct"/>
          </w:tcPr>
          <w:p w:rsidR="00267F57" w:rsidRPr="005D15AC" w:rsidRDefault="00267F57" w:rsidP="006509AD">
            <w:pPr>
              <w:jc w:val="both"/>
              <w:rPr>
                <w:sz w:val="20"/>
                <w:lang w:val="en-CA"/>
              </w:rPr>
            </w:pPr>
          </w:p>
        </w:tc>
        <w:tc>
          <w:tcPr>
            <w:tcW w:w="2330" w:type="pct"/>
          </w:tcPr>
          <w:p w:rsidR="00267F57" w:rsidRPr="005D15AC" w:rsidRDefault="00267F57" w:rsidP="006509AD">
            <w:pPr>
              <w:jc w:val="both"/>
              <w:rPr>
                <w:sz w:val="20"/>
                <w:lang w:val="en-CA"/>
              </w:rPr>
            </w:pPr>
            <w:r w:rsidRPr="005D15AC">
              <w:rPr>
                <w:sz w:val="20"/>
                <w:lang w:val="en-CA"/>
              </w:rPr>
              <w:t xml:space="preserve">Application dismissed, procedure declared to be abusive, order to reimburse extrajudicial fees, with costs </w:t>
            </w:r>
          </w:p>
          <w:p w:rsidR="00267F57" w:rsidRPr="005D15AC" w:rsidRDefault="00267F57" w:rsidP="006509AD">
            <w:pPr>
              <w:jc w:val="both"/>
              <w:rPr>
                <w:sz w:val="20"/>
                <w:lang w:val="en-CA"/>
              </w:rPr>
            </w:pPr>
          </w:p>
          <w:p w:rsidR="00267F57" w:rsidRPr="005D15AC" w:rsidRDefault="00267F57" w:rsidP="006509AD">
            <w:pPr>
              <w:jc w:val="both"/>
              <w:rPr>
                <w:sz w:val="20"/>
                <w:lang w:val="en-CA"/>
              </w:rPr>
            </w:pPr>
          </w:p>
        </w:tc>
      </w:tr>
      <w:tr w:rsidR="00267F57" w:rsidRPr="005D15AC" w:rsidTr="006509AD">
        <w:tc>
          <w:tcPr>
            <w:tcW w:w="2427" w:type="pct"/>
            <w:gridSpan w:val="2"/>
          </w:tcPr>
          <w:p w:rsidR="00267F57" w:rsidRPr="005D15AC" w:rsidRDefault="00267F57" w:rsidP="006509AD">
            <w:pPr>
              <w:jc w:val="both"/>
              <w:rPr>
                <w:sz w:val="20"/>
                <w:lang w:val="en-CA"/>
              </w:rPr>
            </w:pPr>
            <w:r w:rsidRPr="005D15AC">
              <w:rPr>
                <w:sz w:val="20"/>
                <w:lang w:val="en-CA"/>
              </w:rPr>
              <w:t>January 30, 2020</w:t>
            </w:r>
          </w:p>
          <w:p w:rsidR="00267F57" w:rsidRPr="005D15AC" w:rsidRDefault="00267F57" w:rsidP="006509AD">
            <w:pPr>
              <w:jc w:val="both"/>
              <w:rPr>
                <w:sz w:val="20"/>
                <w:lang w:val="en-CA"/>
              </w:rPr>
            </w:pPr>
            <w:r w:rsidRPr="005D15AC">
              <w:rPr>
                <w:sz w:val="20"/>
                <w:lang w:val="en-CA"/>
              </w:rPr>
              <w:t>Quebec Court of Appeal (Montréal)</w:t>
            </w:r>
          </w:p>
          <w:p w:rsidR="00267F57" w:rsidRPr="005D15AC" w:rsidRDefault="00267F57" w:rsidP="006509AD">
            <w:pPr>
              <w:jc w:val="both"/>
              <w:rPr>
                <w:sz w:val="20"/>
                <w:lang w:val="fr-CA"/>
              </w:rPr>
            </w:pPr>
            <w:r w:rsidRPr="005D15AC">
              <w:rPr>
                <w:sz w:val="20"/>
                <w:lang w:val="fr-CA"/>
              </w:rPr>
              <w:t>(Pelletier, Gagné and Fournier JJ.A.)</w:t>
            </w:r>
          </w:p>
          <w:p w:rsidR="00267F57" w:rsidRPr="005D15AC" w:rsidRDefault="00267F57" w:rsidP="006509AD">
            <w:pPr>
              <w:jc w:val="both"/>
              <w:rPr>
                <w:sz w:val="20"/>
                <w:lang w:val="en-CA"/>
              </w:rPr>
            </w:pPr>
            <w:r w:rsidRPr="005D15AC">
              <w:rPr>
                <w:sz w:val="20"/>
                <w:lang w:val="en-CA"/>
              </w:rPr>
              <w:t>500</w:t>
            </w:r>
            <w:r w:rsidRPr="005D15AC">
              <w:rPr>
                <w:sz w:val="20"/>
                <w:lang w:val="en-CA"/>
              </w:rPr>
              <w:noBreakHyphen/>
              <w:t>09</w:t>
            </w:r>
            <w:r w:rsidRPr="005D15AC">
              <w:rPr>
                <w:sz w:val="20"/>
                <w:lang w:val="en-CA"/>
              </w:rPr>
              <w:noBreakHyphen/>
              <w:t>027103</w:t>
            </w:r>
            <w:r w:rsidRPr="005D15AC">
              <w:rPr>
                <w:sz w:val="20"/>
                <w:lang w:val="en-CA"/>
              </w:rPr>
              <w:noBreakHyphen/>
              <w:t>175</w:t>
            </w:r>
          </w:p>
          <w:p w:rsidR="00267F57" w:rsidRPr="005D15AC" w:rsidRDefault="00267F57" w:rsidP="006509AD">
            <w:pPr>
              <w:jc w:val="both"/>
              <w:rPr>
                <w:sz w:val="20"/>
                <w:lang w:val="en-CA"/>
              </w:rPr>
            </w:pPr>
            <w:hyperlink r:id="rId30" w:history="1">
              <w:r w:rsidRPr="005D15AC">
                <w:rPr>
                  <w:rStyle w:val="Hyperlink"/>
                  <w:sz w:val="20"/>
                  <w:lang w:val="en-CA"/>
                </w:rPr>
                <w:t>2020 QCCA 174</w:t>
              </w:r>
            </w:hyperlink>
          </w:p>
          <w:p w:rsidR="00267F57" w:rsidRPr="005D15AC" w:rsidRDefault="00267F57" w:rsidP="006509AD">
            <w:pPr>
              <w:jc w:val="both"/>
              <w:rPr>
                <w:sz w:val="20"/>
                <w:lang w:val="en-CA"/>
              </w:rPr>
            </w:pPr>
          </w:p>
        </w:tc>
        <w:tc>
          <w:tcPr>
            <w:tcW w:w="243" w:type="pct"/>
          </w:tcPr>
          <w:p w:rsidR="00267F57" w:rsidRPr="005D15AC" w:rsidRDefault="00267F57" w:rsidP="006509AD">
            <w:pPr>
              <w:jc w:val="both"/>
              <w:rPr>
                <w:sz w:val="20"/>
                <w:lang w:val="en-CA"/>
              </w:rPr>
            </w:pPr>
          </w:p>
        </w:tc>
        <w:tc>
          <w:tcPr>
            <w:tcW w:w="2330" w:type="pct"/>
          </w:tcPr>
          <w:p w:rsidR="00267F57" w:rsidRPr="005D15AC" w:rsidRDefault="00267F57" w:rsidP="006509AD">
            <w:pPr>
              <w:jc w:val="both"/>
              <w:rPr>
                <w:sz w:val="20"/>
                <w:lang w:val="en-CA"/>
              </w:rPr>
            </w:pPr>
            <w:r w:rsidRPr="005D15AC">
              <w:rPr>
                <w:sz w:val="20"/>
                <w:lang w:val="en-CA"/>
              </w:rPr>
              <w:t xml:space="preserve">Appeal dismissed with costs; appeal declared to be abusive and matter referred back to Superior Court for determination of quantum of damages </w:t>
            </w:r>
          </w:p>
          <w:p w:rsidR="00267F57" w:rsidRPr="005D15AC" w:rsidRDefault="00267F57" w:rsidP="006509AD">
            <w:pPr>
              <w:jc w:val="both"/>
              <w:rPr>
                <w:sz w:val="20"/>
                <w:lang w:val="en-CA"/>
              </w:rPr>
            </w:pPr>
          </w:p>
        </w:tc>
      </w:tr>
      <w:tr w:rsidR="00267F57" w:rsidRPr="005D15AC" w:rsidTr="006509AD">
        <w:trPr>
          <w:trHeight w:val="513"/>
        </w:trPr>
        <w:tc>
          <w:tcPr>
            <w:tcW w:w="2427" w:type="pct"/>
            <w:gridSpan w:val="2"/>
          </w:tcPr>
          <w:p w:rsidR="00267F57" w:rsidRPr="005D15AC" w:rsidRDefault="00267F57" w:rsidP="006509AD">
            <w:pPr>
              <w:jc w:val="both"/>
              <w:rPr>
                <w:sz w:val="20"/>
                <w:lang w:val="en-CA"/>
              </w:rPr>
            </w:pPr>
            <w:r w:rsidRPr="005D15AC">
              <w:rPr>
                <w:sz w:val="20"/>
                <w:lang w:val="en-CA"/>
              </w:rPr>
              <w:t>March 31, 2020</w:t>
            </w:r>
          </w:p>
          <w:p w:rsidR="00267F57" w:rsidRPr="005D15AC" w:rsidRDefault="00267F57" w:rsidP="006509AD">
            <w:pPr>
              <w:jc w:val="both"/>
              <w:rPr>
                <w:sz w:val="20"/>
                <w:lang w:val="en-CA"/>
              </w:rPr>
            </w:pPr>
            <w:r w:rsidRPr="005D15AC">
              <w:rPr>
                <w:sz w:val="20"/>
                <w:lang w:val="en-CA"/>
              </w:rPr>
              <w:t>Supreme Court of Canada</w:t>
            </w:r>
          </w:p>
        </w:tc>
        <w:tc>
          <w:tcPr>
            <w:tcW w:w="243" w:type="pct"/>
          </w:tcPr>
          <w:p w:rsidR="00267F57" w:rsidRPr="005D15AC" w:rsidRDefault="00267F57" w:rsidP="006509AD">
            <w:pPr>
              <w:jc w:val="both"/>
              <w:rPr>
                <w:sz w:val="20"/>
                <w:lang w:val="en-CA"/>
              </w:rPr>
            </w:pPr>
          </w:p>
        </w:tc>
        <w:tc>
          <w:tcPr>
            <w:tcW w:w="2330" w:type="pct"/>
          </w:tcPr>
          <w:p w:rsidR="00267F57" w:rsidRPr="005D15AC" w:rsidRDefault="00267F57" w:rsidP="006509AD">
            <w:pPr>
              <w:jc w:val="both"/>
              <w:rPr>
                <w:sz w:val="20"/>
                <w:lang w:val="en-CA"/>
              </w:rPr>
            </w:pPr>
            <w:r w:rsidRPr="005D15AC">
              <w:rPr>
                <w:sz w:val="20"/>
                <w:lang w:val="en-CA"/>
              </w:rPr>
              <w:t>Application for leave to appeal filed</w:t>
            </w:r>
          </w:p>
        </w:tc>
      </w:tr>
    </w:tbl>
    <w:p w:rsidR="00267F57" w:rsidRPr="005D15AC" w:rsidRDefault="00267F57" w:rsidP="006509AD">
      <w:pPr>
        <w:jc w:val="both"/>
        <w:rPr>
          <w:sz w:val="20"/>
          <w:lang w:val="en-CA"/>
        </w:rPr>
      </w:pPr>
    </w:p>
    <w:p w:rsidR="006509AD" w:rsidRPr="005D15AC" w:rsidRDefault="006509AD" w:rsidP="006509AD">
      <w:pPr>
        <w:jc w:val="both"/>
        <w:rPr>
          <w:sz w:val="20"/>
          <w:lang w:val="en-CA"/>
        </w:rPr>
      </w:pPr>
      <w:r w:rsidRPr="005D15AC">
        <w:rPr>
          <w:sz w:val="20"/>
        </w:rPr>
        <w:lastRenderedPageBreak/>
        <w:pict>
          <v:rect id="_x0000_i1088" style="width:2in;height:1pt" o:hrpct="0" o:hralign="center" o:hrstd="t" o:hrnoshade="t" o:hr="t" fillcolor="black [3213]" stroked="f"/>
        </w:pict>
      </w:r>
    </w:p>
    <w:p w:rsidR="00267F57" w:rsidRPr="005D15AC" w:rsidRDefault="00267F57" w:rsidP="006509A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67F57" w:rsidRPr="005D15AC" w:rsidTr="006509AD">
        <w:tc>
          <w:tcPr>
            <w:tcW w:w="543" w:type="pct"/>
          </w:tcPr>
          <w:p w:rsidR="00267F57" w:rsidRPr="005D15AC" w:rsidRDefault="00267F57" w:rsidP="006509AD">
            <w:pPr>
              <w:jc w:val="both"/>
              <w:rPr>
                <w:sz w:val="20"/>
              </w:rPr>
            </w:pPr>
            <w:r w:rsidRPr="005D15AC">
              <w:rPr>
                <w:rStyle w:val="SCCFileNumberChar"/>
                <w:sz w:val="20"/>
                <w:szCs w:val="20"/>
              </w:rPr>
              <w:t>39143</w:t>
            </w:r>
          </w:p>
        </w:tc>
        <w:tc>
          <w:tcPr>
            <w:tcW w:w="4457" w:type="pct"/>
            <w:gridSpan w:val="3"/>
          </w:tcPr>
          <w:p w:rsidR="00267F57" w:rsidRPr="005D15AC" w:rsidRDefault="00267F57" w:rsidP="006509AD">
            <w:pPr>
              <w:pStyle w:val="SCCLsocParty"/>
              <w:jc w:val="both"/>
              <w:rPr>
                <w:b/>
                <w:sz w:val="20"/>
                <w:szCs w:val="20"/>
                <w:lang w:val="en-US"/>
              </w:rPr>
            </w:pPr>
            <w:r w:rsidRPr="005D15AC">
              <w:rPr>
                <w:b/>
                <w:sz w:val="20"/>
                <w:szCs w:val="20"/>
                <w:lang w:val="en-US"/>
              </w:rPr>
              <w:t>Casmatec Canada inc., Bruno Germain c. Produits manufacturés Bradken Canada limité, Dennis Slater, Johanne Pronovost, Albert Fontaine, Sotecfond, Import-Export Jofralco Ltd.</w:t>
            </w:r>
          </w:p>
          <w:p w:rsidR="00267F57" w:rsidRPr="005D15AC" w:rsidRDefault="00267F57" w:rsidP="006509AD">
            <w:pPr>
              <w:jc w:val="both"/>
              <w:rPr>
                <w:sz w:val="20"/>
              </w:rPr>
            </w:pPr>
            <w:r w:rsidRPr="005D15AC">
              <w:rPr>
                <w:sz w:val="20"/>
              </w:rPr>
              <w:t>(Qc) (Civile) (Autorisation)</w:t>
            </w:r>
          </w:p>
        </w:tc>
      </w:tr>
      <w:tr w:rsidR="00267F57" w:rsidRPr="005D15AC" w:rsidTr="006509AD">
        <w:tc>
          <w:tcPr>
            <w:tcW w:w="5000" w:type="pct"/>
            <w:gridSpan w:val="4"/>
          </w:tcPr>
          <w:p w:rsidR="00267F57" w:rsidRPr="005D15AC" w:rsidRDefault="00267F57" w:rsidP="006509AD">
            <w:pPr>
              <w:jc w:val="both"/>
              <w:rPr>
                <w:sz w:val="20"/>
                <w:lang w:val="fr-CA"/>
              </w:rPr>
            </w:pPr>
            <w:r w:rsidRPr="005D15AC">
              <w:rPr>
                <w:sz w:val="20"/>
                <w:lang w:val="fr-CA"/>
              </w:rPr>
              <w:t xml:space="preserve">Concurrence — Complot — Pratiques commerciales fautives — Concurrence déloyale — Preuve requise — Dommages — Abus de procédures — </w:t>
            </w:r>
            <w:r w:rsidRPr="005D15AC">
              <w:rPr>
                <w:sz w:val="20"/>
                <w:lang w:val="x-none"/>
              </w:rPr>
              <w:t>Quel est le degré de preuve requis sous l’égide du régime de la responsabilité statutaire édicté à l’art</w:t>
            </w:r>
            <w:r w:rsidRPr="005D15AC">
              <w:rPr>
                <w:sz w:val="20"/>
                <w:lang w:val="fr-CA"/>
              </w:rPr>
              <w:t>. </w:t>
            </w:r>
            <w:r w:rsidRPr="005D15AC">
              <w:rPr>
                <w:sz w:val="20"/>
                <w:lang w:val="x-none"/>
              </w:rPr>
              <w:t xml:space="preserve">36 de la </w:t>
            </w:r>
            <w:r w:rsidRPr="005D15AC">
              <w:rPr>
                <w:i/>
                <w:sz w:val="20"/>
                <w:lang w:val="x-none"/>
              </w:rPr>
              <w:t>Loi sur la concurrence</w:t>
            </w:r>
            <w:r w:rsidRPr="005D15AC">
              <w:rPr>
                <w:sz w:val="20"/>
                <w:lang w:val="fr-CA"/>
              </w:rPr>
              <w:t xml:space="preserve">, </w:t>
            </w:r>
            <w:r w:rsidRPr="005D15AC">
              <w:rPr>
                <w:sz w:val="20"/>
                <w:lang w:val="x-none"/>
              </w:rPr>
              <w:t xml:space="preserve">pour recouvrer des dommages suite à la démonstration d’une violation de la partie VI de la </w:t>
            </w:r>
            <w:r w:rsidRPr="005D15AC">
              <w:rPr>
                <w:i/>
                <w:sz w:val="20"/>
                <w:lang w:val="x-none"/>
              </w:rPr>
              <w:t>Loi sur la concurrence</w:t>
            </w:r>
            <w:r w:rsidRPr="005D15AC">
              <w:rPr>
                <w:sz w:val="20"/>
                <w:lang w:val="fr-CA"/>
              </w:rPr>
              <w:t xml:space="preserve">? — </w:t>
            </w:r>
            <w:r w:rsidRPr="005D15AC">
              <w:rPr>
                <w:sz w:val="20"/>
                <w:lang w:val="x-none"/>
              </w:rPr>
              <w:t>Lorsque la violation alléguée est un manquement à l’art</w:t>
            </w:r>
            <w:r w:rsidRPr="005D15AC">
              <w:rPr>
                <w:sz w:val="20"/>
                <w:lang w:val="fr-CA"/>
              </w:rPr>
              <w:t>. </w:t>
            </w:r>
            <w:r w:rsidRPr="005D15AC">
              <w:rPr>
                <w:sz w:val="20"/>
                <w:lang w:val="x-none"/>
              </w:rPr>
              <w:t xml:space="preserve">52 de la </w:t>
            </w:r>
            <w:r w:rsidRPr="005D15AC">
              <w:rPr>
                <w:i/>
                <w:sz w:val="20"/>
                <w:lang w:val="x-none"/>
              </w:rPr>
              <w:t xml:space="preserve">Loi sur la concurrence, </w:t>
            </w:r>
            <w:r w:rsidRPr="005D15AC">
              <w:rPr>
                <w:sz w:val="20"/>
                <w:lang w:val="x-none"/>
              </w:rPr>
              <w:t>la démonstration de cette violation et des dommages subis permet</w:t>
            </w:r>
            <w:r w:rsidRPr="005D15AC">
              <w:rPr>
                <w:sz w:val="20"/>
                <w:lang w:val="x-none"/>
              </w:rPr>
              <w:noBreakHyphen/>
              <w:t>elle d’inférer une relation de cause à effet, entre la violation et les dommages subis</w:t>
            </w:r>
            <w:r w:rsidRPr="005D15AC">
              <w:rPr>
                <w:sz w:val="20"/>
                <w:lang w:val="fr-CA"/>
              </w:rPr>
              <w:t xml:space="preserve">? — </w:t>
            </w:r>
            <w:r w:rsidRPr="005D15AC">
              <w:rPr>
                <w:sz w:val="20"/>
                <w:lang w:val="x-none"/>
              </w:rPr>
              <w:t>Des lacunes, mêmes importantes dans la preuve, permettent</w:t>
            </w:r>
            <w:r w:rsidRPr="005D15AC">
              <w:rPr>
                <w:sz w:val="20"/>
                <w:lang w:val="x-none"/>
              </w:rPr>
              <w:noBreakHyphen/>
              <w:t>elles de conclure à un recours abusif</w:t>
            </w:r>
            <w:r w:rsidRPr="005D15AC">
              <w:rPr>
                <w:sz w:val="20"/>
                <w:lang w:val="fr-CA"/>
              </w:rPr>
              <w:t xml:space="preserve"> ? — </w:t>
            </w:r>
            <w:r w:rsidRPr="005D15AC">
              <w:rPr>
                <w:i/>
                <w:sz w:val="20"/>
                <w:lang w:val="fr-CA"/>
              </w:rPr>
              <w:t>Loi sur la concurrence</w:t>
            </w:r>
            <w:r w:rsidRPr="005D15AC">
              <w:rPr>
                <w:sz w:val="20"/>
                <w:lang w:val="fr-CA"/>
              </w:rPr>
              <w:t xml:space="preserve">, LRC 1985, c C-34, par. 36(1), 52(1) — </w:t>
            </w:r>
            <w:r w:rsidRPr="005D15AC">
              <w:rPr>
                <w:i/>
                <w:sz w:val="20"/>
                <w:lang w:val="fr-CA"/>
              </w:rPr>
              <w:t>Code de procédure civile</w:t>
            </w:r>
            <w:r w:rsidRPr="005D15AC">
              <w:rPr>
                <w:sz w:val="20"/>
                <w:lang w:val="fr-CA"/>
              </w:rPr>
              <w:t>, RLRQ c C</w:t>
            </w:r>
            <w:r w:rsidRPr="005D15AC">
              <w:rPr>
                <w:sz w:val="20"/>
                <w:lang w:val="fr-CA"/>
              </w:rPr>
              <w:noBreakHyphen/>
              <w:t>25.01, art. 54.</w:t>
            </w:r>
          </w:p>
        </w:tc>
      </w:tr>
      <w:tr w:rsidR="00267F57" w:rsidRPr="005D15AC" w:rsidTr="006509AD">
        <w:tc>
          <w:tcPr>
            <w:tcW w:w="5000" w:type="pct"/>
            <w:gridSpan w:val="4"/>
          </w:tcPr>
          <w:p w:rsidR="00267F57" w:rsidRPr="005D15AC" w:rsidRDefault="00267F57" w:rsidP="006509AD">
            <w:pPr>
              <w:jc w:val="both"/>
              <w:rPr>
                <w:sz w:val="20"/>
                <w:lang w:val="fr-CA"/>
              </w:rPr>
            </w:pPr>
          </w:p>
        </w:tc>
      </w:tr>
      <w:tr w:rsidR="00267F57" w:rsidRPr="005D15AC" w:rsidTr="006509AD">
        <w:tc>
          <w:tcPr>
            <w:tcW w:w="5000" w:type="pct"/>
            <w:gridSpan w:val="4"/>
          </w:tcPr>
          <w:p w:rsidR="00267F57" w:rsidRPr="005D15AC" w:rsidRDefault="00267F57" w:rsidP="006509AD">
            <w:pPr>
              <w:jc w:val="both"/>
              <w:rPr>
                <w:sz w:val="20"/>
                <w:lang w:val="fr-CA"/>
              </w:rPr>
            </w:pPr>
            <w:r w:rsidRPr="005D15AC">
              <w:rPr>
                <w:sz w:val="20"/>
                <w:lang w:val="fr-CA"/>
              </w:rPr>
              <w:t xml:space="preserve">Les demandeurs intentent une action contre les intimés et leur réclament plus de 12 M$ en dommages. Ils allèguent que les intimés ont comploté pour les exclure du marché de la vente de produits destinés aux fonderies, se livrant ainsi à des pratiques commerciales fautives et à de la concurrence déloyale. La Cour supérieure rejette leur recours, concluant à l’absence de preuve d’un lien entre une faute commise par les intimés et un dommage subi par les demandeurs. Elle conclut que l’action constitue de l’abus de procédure et condamne les demandeurs au remboursement des honoraires extrajudiciaires raisonnables encourus par les intimés. La Cour d’appel rejette l’appel des demandeurs, confirmant la conclusion du juge de première instance quant à l’absence totale de preuve d’un lien de causalité entre les allégations d’infractions à la </w:t>
            </w:r>
            <w:r w:rsidRPr="005D15AC">
              <w:rPr>
                <w:i/>
                <w:sz w:val="20"/>
                <w:lang w:val="fr-CA"/>
              </w:rPr>
              <w:t>Loi sur la concurrence</w:t>
            </w:r>
            <w:r w:rsidRPr="005D15AC">
              <w:rPr>
                <w:sz w:val="20"/>
                <w:lang w:val="fr-CA"/>
              </w:rPr>
              <w:t xml:space="preserve"> et les pertes alléguées. Elle conclut également au caractère abusif de l’appel et condamne les demandeurs au remboursement des honoraires extrajudiciaires des intimés.</w:t>
            </w:r>
          </w:p>
          <w:p w:rsidR="00267F57" w:rsidRPr="005D15AC" w:rsidRDefault="00267F57" w:rsidP="006509AD">
            <w:pPr>
              <w:jc w:val="both"/>
              <w:rPr>
                <w:sz w:val="20"/>
                <w:lang w:val="fr-CA"/>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Le 5 septembre 2017</w:t>
            </w:r>
          </w:p>
          <w:p w:rsidR="00267F57" w:rsidRPr="005D15AC" w:rsidRDefault="00267F57" w:rsidP="006509AD">
            <w:pPr>
              <w:jc w:val="both"/>
              <w:rPr>
                <w:sz w:val="20"/>
                <w:lang w:val="fr-CA"/>
              </w:rPr>
            </w:pPr>
            <w:r w:rsidRPr="005D15AC">
              <w:rPr>
                <w:sz w:val="20"/>
                <w:lang w:val="fr-CA"/>
              </w:rPr>
              <w:t>Cour supérieure du Québec (Terrebonne)</w:t>
            </w:r>
          </w:p>
          <w:p w:rsidR="00267F57" w:rsidRPr="005D15AC" w:rsidRDefault="00267F57" w:rsidP="006509AD">
            <w:pPr>
              <w:jc w:val="both"/>
              <w:rPr>
                <w:sz w:val="20"/>
              </w:rPr>
            </w:pPr>
            <w:r w:rsidRPr="005D15AC">
              <w:rPr>
                <w:sz w:val="20"/>
              </w:rPr>
              <w:t>(Le juge Blanchard)</w:t>
            </w:r>
          </w:p>
          <w:p w:rsidR="00267F57" w:rsidRPr="005D15AC" w:rsidRDefault="00267F57" w:rsidP="006509AD">
            <w:pPr>
              <w:jc w:val="both"/>
              <w:rPr>
                <w:sz w:val="20"/>
              </w:rPr>
            </w:pPr>
            <w:r w:rsidRPr="005D15AC">
              <w:rPr>
                <w:sz w:val="20"/>
              </w:rPr>
              <w:t>700</w:t>
            </w:r>
            <w:r w:rsidRPr="005D15AC">
              <w:rPr>
                <w:sz w:val="20"/>
              </w:rPr>
              <w:noBreakHyphen/>
              <w:t>17</w:t>
            </w:r>
            <w:r w:rsidRPr="005D15AC">
              <w:rPr>
                <w:sz w:val="20"/>
              </w:rPr>
              <w:noBreakHyphen/>
              <w:t>004760</w:t>
            </w:r>
            <w:r w:rsidRPr="005D15AC">
              <w:rPr>
                <w:sz w:val="20"/>
              </w:rPr>
              <w:noBreakHyphen/>
              <w:t>079</w:t>
            </w:r>
          </w:p>
          <w:p w:rsidR="00267F57" w:rsidRPr="005D15AC" w:rsidRDefault="00267F57" w:rsidP="006509AD">
            <w:pPr>
              <w:jc w:val="both"/>
              <w:rPr>
                <w:sz w:val="20"/>
              </w:rPr>
            </w:pPr>
            <w:hyperlink r:id="rId31" w:history="1">
              <w:r w:rsidRPr="005D15AC">
                <w:rPr>
                  <w:rStyle w:val="Hyperlink"/>
                  <w:sz w:val="20"/>
                </w:rPr>
                <w:t>2017 QCCS 3976</w:t>
              </w:r>
            </w:hyperlink>
          </w:p>
          <w:p w:rsidR="00267F57" w:rsidRPr="005D15AC" w:rsidRDefault="00267F57" w:rsidP="006509AD">
            <w:pPr>
              <w:jc w:val="both"/>
              <w:rPr>
                <w:sz w:val="20"/>
              </w:rPr>
            </w:pP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lang w:val="fr-CA"/>
              </w:rPr>
            </w:pPr>
            <w:r w:rsidRPr="005D15AC">
              <w:rPr>
                <w:sz w:val="20"/>
                <w:lang w:val="fr-CA"/>
              </w:rPr>
              <w:t xml:space="preserve">Demande rejetée, procédure déclarée abusive, condamnation au remboursement des honoraires extrajudiciaires, avec frais de justice. </w:t>
            </w:r>
          </w:p>
          <w:p w:rsidR="00267F57" w:rsidRPr="005D15AC" w:rsidRDefault="00267F57" w:rsidP="006509AD">
            <w:pPr>
              <w:jc w:val="both"/>
              <w:rPr>
                <w:sz w:val="20"/>
                <w:lang w:val="fr-CA"/>
              </w:rPr>
            </w:pPr>
          </w:p>
          <w:p w:rsidR="00267F57" w:rsidRPr="005D15AC" w:rsidRDefault="00267F57" w:rsidP="006509AD">
            <w:pPr>
              <w:jc w:val="both"/>
              <w:rPr>
                <w:sz w:val="20"/>
                <w:lang w:val="fr-CA"/>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Le 30 janvier 2020</w:t>
            </w:r>
          </w:p>
          <w:p w:rsidR="00267F57" w:rsidRPr="005D15AC" w:rsidRDefault="00267F57" w:rsidP="006509AD">
            <w:pPr>
              <w:jc w:val="both"/>
              <w:rPr>
                <w:sz w:val="20"/>
                <w:lang w:val="fr-CA"/>
              </w:rPr>
            </w:pPr>
            <w:r w:rsidRPr="005D15AC">
              <w:rPr>
                <w:sz w:val="20"/>
                <w:lang w:val="fr-CA"/>
              </w:rPr>
              <w:t>Cour d’appel du Québec (Montréal)</w:t>
            </w:r>
          </w:p>
          <w:p w:rsidR="00267F57" w:rsidRPr="005D15AC" w:rsidRDefault="00267F57" w:rsidP="006509AD">
            <w:pPr>
              <w:jc w:val="both"/>
              <w:rPr>
                <w:sz w:val="20"/>
                <w:lang w:val="fr-CA"/>
              </w:rPr>
            </w:pPr>
            <w:r w:rsidRPr="005D15AC">
              <w:rPr>
                <w:sz w:val="20"/>
                <w:lang w:val="fr-CA"/>
              </w:rPr>
              <w:t>(Les juges Pelletier, Gagné et Fournier)</w:t>
            </w:r>
          </w:p>
          <w:p w:rsidR="00267F57" w:rsidRPr="005D15AC" w:rsidRDefault="00267F57" w:rsidP="006509AD">
            <w:pPr>
              <w:jc w:val="both"/>
              <w:rPr>
                <w:sz w:val="20"/>
              </w:rPr>
            </w:pPr>
            <w:r w:rsidRPr="005D15AC">
              <w:rPr>
                <w:sz w:val="20"/>
              </w:rPr>
              <w:t>500</w:t>
            </w:r>
            <w:r w:rsidRPr="005D15AC">
              <w:rPr>
                <w:sz w:val="20"/>
              </w:rPr>
              <w:noBreakHyphen/>
              <w:t>09</w:t>
            </w:r>
            <w:r w:rsidRPr="005D15AC">
              <w:rPr>
                <w:sz w:val="20"/>
              </w:rPr>
              <w:noBreakHyphen/>
              <w:t>027103</w:t>
            </w:r>
            <w:r w:rsidRPr="005D15AC">
              <w:rPr>
                <w:sz w:val="20"/>
              </w:rPr>
              <w:noBreakHyphen/>
              <w:t>175</w:t>
            </w:r>
          </w:p>
          <w:p w:rsidR="00267F57" w:rsidRPr="005D15AC" w:rsidRDefault="00267F57" w:rsidP="006509AD">
            <w:pPr>
              <w:jc w:val="both"/>
              <w:rPr>
                <w:sz w:val="20"/>
              </w:rPr>
            </w:pPr>
            <w:hyperlink r:id="rId32" w:history="1">
              <w:r w:rsidRPr="005D15AC">
                <w:rPr>
                  <w:rStyle w:val="Hyperlink"/>
                  <w:sz w:val="20"/>
                </w:rPr>
                <w:t>2020 QCCA 174</w:t>
              </w:r>
            </w:hyperlink>
          </w:p>
          <w:p w:rsidR="00267F57" w:rsidRPr="005D15AC" w:rsidRDefault="00267F57" w:rsidP="006509AD">
            <w:pPr>
              <w:jc w:val="both"/>
              <w:rPr>
                <w:sz w:val="20"/>
              </w:rPr>
            </w:pPr>
          </w:p>
        </w:tc>
        <w:tc>
          <w:tcPr>
            <w:tcW w:w="243" w:type="pct"/>
          </w:tcPr>
          <w:p w:rsidR="00267F57" w:rsidRPr="005D15AC" w:rsidRDefault="00267F57" w:rsidP="006509AD">
            <w:pPr>
              <w:jc w:val="both"/>
              <w:rPr>
                <w:sz w:val="20"/>
              </w:rPr>
            </w:pPr>
          </w:p>
        </w:tc>
        <w:tc>
          <w:tcPr>
            <w:tcW w:w="2330" w:type="pct"/>
          </w:tcPr>
          <w:p w:rsidR="00267F57" w:rsidRPr="005D15AC" w:rsidRDefault="00267F57" w:rsidP="006509AD">
            <w:pPr>
              <w:jc w:val="both"/>
              <w:rPr>
                <w:sz w:val="20"/>
                <w:lang w:val="fr-CA"/>
              </w:rPr>
            </w:pPr>
            <w:r w:rsidRPr="005D15AC">
              <w:rPr>
                <w:sz w:val="20"/>
                <w:lang w:val="fr-CA"/>
              </w:rPr>
              <w:t>Appel rejeté, avec frais de justice; appel déclaré abusif et affaire renvoyée à la Cour supérieure pour détermination du montant des dommages</w:t>
            </w:r>
            <w:r w:rsidRPr="005D15AC">
              <w:rPr>
                <w:sz w:val="20"/>
                <w:lang w:val="fr-CA"/>
              </w:rPr>
              <w:noBreakHyphen/>
              <w:t xml:space="preserve">intérêts. </w:t>
            </w:r>
          </w:p>
          <w:p w:rsidR="00267F57" w:rsidRPr="005D15AC" w:rsidRDefault="00267F57" w:rsidP="006509AD">
            <w:pPr>
              <w:jc w:val="both"/>
              <w:rPr>
                <w:sz w:val="20"/>
                <w:lang w:val="fr-CA"/>
              </w:rPr>
            </w:pPr>
          </w:p>
        </w:tc>
      </w:tr>
      <w:tr w:rsidR="00267F57" w:rsidRPr="005D15AC" w:rsidTr="006509AD">
        <w:tc>
          <w:tcPr>
            <w:tcW w:w="2427" w:type="pct"/>
            <w:gridSpan w:val="2"/>
          </w:tcPr>
          <w:p w:rsidR="00267F57" w:rsidRPr="005D15AC" w:rsidRDefault="00267F57" w:rsidP="006509AD">
            <w:pPr>
              <w:jc w:val="both"/>
              <w:rPr>
                <w:sz w:val="20"/>
                <w:lang w:val="fr-CA"/>
              </w:rPr>
            </w:pPr>
            <w:r w:rsidRPr="005D15AC">
              <w:rPr>
                <w:sz w:val="20"/>
                <w:lang w:val="fr-CA"/>
              </w:rPr>
              <w:t>Le 31 mars 2020</w:t>
            </w:r>
          </w:p>
          <w:p w:rsidR="00267F57" w:rsidRPr="005D15AC" w:rsidRDefault="00267F57" w:rsidP="006509AD">
            <w:pPr>
              <w:jc w:val="both"/>
              <w:rPr>
                <w:sz w:val="20"/>
                <w:lang w:val="fr-CA"/>
              </w:rPr>
            </w:pPr>
            <w:r w:rsidRPr="005D15AC">
              <w:rPr>
                <w:sz w:val="20"/>
                <w:lang w:val="fr-CA"/>
              </w:rPr>
              <w:t>Cour suprême du Canada</w:t>
            </w:r>
          </w:p>
        </w:tc>
        <w:tc>
          <w:tcPr>
            <w:tcW w:w="243" w:type="pct"/>
          </w:tcPr>
          <w:p w:rsidR="00267F57" w:rsidRPr="005D15AC" w:rsidRDefault="00267F57" w:rsidP="006509AD">
            <w:pPr>
              <w:jc w:val="both"/>
              <w:rPr>
                <w:sz w:val="20"/>
                <w:lang w:val="fr-CA"/>
              </w:rPr>
            </w:pPr>
          </w:p>
        </w:tc>
        <w:tc>
          <w:tcPr>
            <w:tcW w:w="2330" w:type="pct"/>
          </w:tcPr>
          <w:p w:rsidR="00267F57" w:rsidRPr="005D15AC" w:rsidRDefault="00267F57" w:rsidP="006509AD">
            <w:pPr>
              <w:jc w:val="both"/>
              <w:rPr>
                <w:sz w:val="20"/>
              </w:rPr>
            </w:pPr>
            <w:r w:rsidRPr="005D15AC">
              <w:rPr>
                <w:sz w:val="20"/>
              </w:rPr>
              <w:t xml:space="preserve">Demande d’autorisation d’appel déposée. </w:t>
            </w:r>
          </w:p>
          <w:p w:rsidR="00267F57" w:rsidRPr="005D15AC" w:rsidRDefault="00267F57" w:rsidP="006509AD">
            <w:pPr>
              <w:jc w:val="both"/>
              <w:rPr>
                <w:sz w:val="20"/>
              </w:rPr>
            </w:pPr>
          </w:p>
        </w:tc>
      </w:tr>
    </w:tbl>
    <w:p w:rsidR="00267F57" w:rsidRPr="005D15AC" w:rsidRDefault="00267F57" w:rsidP="006509AD">
      <w:pPr>
        <w:jc w:val="both"/>
        <w:rPr>
          <w:sz w:val="20"/>
        </w:rPr>
      </w:pPr>
    </w:p>
    <w:p w:rsidR="002866B6" w:rsidRPr="005D15AC" w:rsidRDefault="002866B6" w:rsidP="006509AD">
      <w:pPr>
        <w:jc w:val="both"/>
        <w:rPr>
          <w:sz w:val="20"/>
        </w:rPr>
      </w:pPr>
      <w:r w:rsidRPr="005D15AC">
        <w:rPr>
          <w:sz w:val="20"/>
        </w:rPr>
        <w:pict>
          <v:rect id="_x0000_i1089" style="width:2in;height:1pt" o:hrpct="0" o:hralign="center" o:hrstd="t" o:hrnoshade="t" o:hr="t" fillcolor="black [3213]" stroked="f"/>
        </w:pict>
      </w:r>
    </w:p>
    <w:p w:rsidR="004C631D" w:rsidRPr="005D15AC" w:rsidRDefault="004C631D" w:rsidP="006509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09AD" w:rsidRPr="005D15AC" w:rsidTr="006509AD">
        <w:tc>
          <w:tcPr>
            <w:tcW w:w="543" w:type="pct"/>
          </w:tcPr>
          <w:p w:rsidR="006509AD" w:rsidRPr="005D15AC" w:rsidRDefault="006509AD" w:rsidP="006509AD">
            <w:pPr>
              <w:jc w:val="both"/>
              <w:rPr>
                <w:sz w:val="20"/>
                <w:lang w:val="en-CA"/>
              </w:rPr>
            </w:pPr>
            <w:r w:rsidRPr="005D15AC">
              <w:rPr>
                <w:rStyle w:val="SCCFileNumberChar"/>
                <w:sz w:val="20"/>
                <w:szCs w:val="20"/>
              </w:rPr>
              <w:t>39206</w:t>
            </w:r>
          </w:p>
        </w:tc>
        <w:tc>
          <w:tcPr>
            <w:tcW w:w="4457" w:type="pct"/>
            <w:gridSpan w:val="3"/>
          </w:tcPr>
          <w:p w:rsidR="006509AD" w:rsidRPr="005D15AC" w:rsidRDefault="006509AD" w:rsidP="006509AD">
            <w:pPr>
              <w:pStyle w:val="SCCLsocParty"/>
              <w:jc w:val="both"/>
              <w:rPr>
                <w:b/>
                <w:sz w:val="20"/>
                <w:szCs w:val="20"/>
                <w:lang w:val="en-CA"/>
              </w:rPr>
            </w:pPr>
            <w:r w:rsidRPr="005D15AC">
              <w:rPr>
                <w:b/>
                <w:sz w:val="20"/>
                <w:szCs w:val="20"/>
                <w:lang w:val="en-CA"/>
              </w:rPr>
              <w:t>Attorney General of Quebec v. Constructions Concreate ltée</w:t>
            </w:r>
          </w:p>
          <w:p w:rsidR="006509AD" w:rsidRPr="005D15AC" w:rsidRDefault="002866B6" w:rsidP="006509AD">
            <w:pPr>
              <w:jc w:val="both"/>
              <w:rPr>
                <w:sz w:val="20"/>
                <w:lang w:val="en-CA"/>
              </w:rPr>
            </w:pPr>
            <w:r w:rsidRPr="005D15AC">
              <w:rPr>
                <w:sz w:val="20"/>
                <w:lang w:val="en-CA"/>
              </w:rPr>
              <w:t>(Que.) (Civil) (By Leave)</w:t>
            </w:r>
          </w:p>
        </w:tc>
      </w:tr>
      <w:tr w:rsidR="006509AD" w:rsidRPr="005D15AC" w:rsidTr="006509AD">
        <w:tc>
          <w:tcPr>
            <w:tcW w:w="5000" w:type="pct"/>
            <w:gridSpan w:val="4"/>
          </w:tcPr>
          <w:p w:rsidR="006509AD" w:rsidRPr="005D15AC" w:rsidRDefault="006509AD" w:rsidP="006509AD">
            <w:pPr>
              <w:jc w:val="both"/>
              <w:rPr>
                <w:sz w:val="20"/>
                <w:lang w:val="en-CA"/>
              </w:rPr>
            </w:pPr>
            <w:r w:rsidRPr="005D15AC">
              <w:rPr>
                <w:sz w:val="20"/>
                <w:lang w:val="en-CA"/>
              </w:rPr>
              <w:t xml:space="preserve">Appeals — Contracts — Whether intervention by Court of Appeal to set Superior Court’s judgment aside in part was justified — Whether party may rely on breach of obligation to cooperate in order to modify to its advantage clear terms of fixed price contract governed by </w:t>
            </w:r>
            <w:r w:rsidRPr="005D15AC">
              <w:rPr>
                <w:i/>
                <w:sz w:val="20"/>
                <w:lang w:val="en-CA"/>
              </w:rPr>
              <w:t>Act respecting contracting by public bodies</w:t>
            </w:r>
            <w:r w:rsidRPr="005D15AC">
              <w:rPr>
                <w:sz w:val="20"/>
                <w:lang w:val="en-CA"/>
              </w:rPr>
              <w:t xml:space="preserve"> (CQLR, c. 65</w:t>
            </w:r>
            <w:r w:rsidRPr="005D15AC">
              <w:rPr>
                <w:sz w:val="20"/>
                <w:lang w:val="en-CA"/>
              </w:rPr>
              <w:noBreakHyphen/>
              <w:t>1).</w:t>
            </w:r>
          </w:p>
        </w:tc>
      </w:tr>
      <w:tr w:rsidR="006509AD" w:rsidRPr="005D15AC" w:rsidTr="006509AD">
        <w:tc>
          <w:tcPr>
            <w:tcW w:w="5000" w:type="pct"/>
            <w:gridSpan w:val="4"/>
          </w:tcPr>
          <w:p w:rsidR="006509AD" w:rsidRPr="005D15AC" w:rsidRDefault="006509AD" w:rsidP="006509AD">
            <w:pPr>
              <w:jc w:val="both"/>
              <w:rPr>
                <w:sz w:val="20"/>
                <w:lang w:val="en-CA"/>
              </w:rPr>
            </w:pPr>
          </w:p>
          <w:p w:rsidR="006509AD" w:rsidRPr="005D15AC" w:rsidRDefault="006509AD" w:rsidP="006509AD">
            <w:pPr>
              <w:jc w:val="both"/>
              <w:rPr>
                <w:sz w:val="20"/>
                <w:lang w:val="en-CA"/>
              </w:rPr>
            </w:pPr>
            <w:r w:rsidRPr="005D15AC">
              <w:rPr>
                <w:sz w:val="20"/>
                <w:lang w:val="en-CA"/>
              </w:rPr>
              <w:t>The respondent, Constructions Concreate, failed to meet contractual deadlines for the performance of work for the Ministère des Transports du Québec, and the latter imposed penalties totalling $430,000 on the former. Constructions Concreate maintained that the Ministère des Transports du Québec was partly responsible for its failure to meet the deadlines, and it accordingly asked in the Superior Court that the Ministère pay it $280,000 corresponding to a partial annulment of the penalties and $134,970 for damage resulting from wrongful conduct on the Ministère’s part.</w:t>
            </w:r>
          </w:p>
          <w:p w:rsidR="006509AD" w:rsidRPr="005D15AC" w:rsidRDefault="006509AD" w:rsidP="006509AD">
            <w:pPr>
              <w:jc w:val="both"/>
              <w:rPr>
                <w:sz w:val="20"/>
                <w:lang w:val="en-CA"/>
              </w:rPr>
            </w:pPr>
          </w:p>
          <w:p w:rsidR="006509AD" w:rsidRPr="005D15AC" w:rsidRDefault="006509AD" w:rsidP="006509AD">
            <w:pPr>
              <w:jc w:val="both"/>
              <w:rPr>
                <w:sz w:val="20"/>
                <w:lang w:val="en-CA"/>
              </w:rPr>
            </w:pPr>
            <w:r w:rsidRPr="005D15AC">
              <w:rPr>
                <w:sz w:val="20"/>
                <w:lang w:val="en-CA"/>
              </w:rPr>
              <w:lastRenderedPageBreak/>
              <w:t xml:space="preserve">The Superior Court dismissed Constructions Concreate’s action. The court found, among other things, that Constructions Concreate had made mistakes in performing the work, and rejected Constructions Concreate’s claims that the Ministère des Transports du Québec was responsible for delays related to the Ministère’s refusal to close lanes at the worksite to protect the workers. </w:t>
            </w:r>
          </w:p>
          <w:p w:rsidR="002866B6" w:rsidRPr="005D15AC" w:rsidRDefault="002866B6" w:rsidP="006509AD">
            <w:pPr>
              <w:jc w:val="both"/>
              <w:rPr>
                <w:sz w:val="20"/>
                <w:lang w:val="en-CA"/>
              </w:rPr>
            </w:pPr>
          </w:p>
          <w:p w:rsidR="006509AD" w:rsidRPr="005D15AC" w:rsidRDefault="006509AD" w:rsidP="006509AD">
            <w:pPr>
              <w:jc w:val="both"/>
              <w:rPr>
                <w:sz w:val="20"/>
                <w:lang w:val="en-CA"/>
              </w:rPr>
            </w:pPr>
            <w:r w:rsidRPr="005D15AC">
              <w:rPr>
                <w:sz w:val="20"/>
                <w:lang w:val="en-CA"/>
              </w:rPr>
              <w:t xml:space="preserve">The Court of Appeal unanimously allowed Constructions Concreate’s appeal in part and ordered the Attorney General of Quebec to pay Constructions Concreate $220,000. </w:t>
            </w:r>
          </w:p>
        </w:tc>
      </w:tr>
      <w:tr w:rsidR="006509AD" w:rsidRPr="005D15AC" w:rsidTr="006509AD">
        <w:tc>
          <w:tcPr>
            <w:tcW w:w="5000" w:type="pct"/>
            <w:gridSpan w:val="4"/>
          </w:tcPr>
          <w:p w:rsidR="006509AD" w:rsidRPr="005D15AC" w:rsidRDefault="006509AD" w:rsidP="006509AD">
            <w:pPr>
              <w:jc w:val="both"/>
              <w:rPr>
                <w:sz w:val="20"/>
                <w:lang w:val="en-CA"/>
              </w:rPr>
            </w:pPr>
          </w:p>
        </w:tc>
      </w:tr>
      <w:tr w:rsidR="006509AD" w:rsidRPr="005D15AC" w:rsidTr="006509AD">
        <w:tc>
          <w:tcPr>
            <w:tcW w:w="2427" w:type="pct"/>
            <w:gridSpan w:val="2"/>
          </w:tcPr>
          <w:p w:rsidR="006509AD" w:rsidRPr="005D15AC" w:rsidRDefault="006509AD" w:rsidP="006509AD">
            <w:pPr>
              <w:jc w:val="both"/>
              <w:rPr>
                <w:sz w:val="20"/>
                <w:lang w:val="en-CA"/>
              </w:rPr>
            </w:pPr>
            <w:r w:rsidRPr="005D15AC">
              <w:rPr>
                <w:sz w:val="20"/>
                <w:lang w:val="en-CA"/>
              </w:rPr>
              <w:t>December 18, 2017</w:t>
            </w:r>
          </w:p>
          <w:p w:rsidR="006509AD" w:rsidRPr="005D15AC" w:rsidRDefault="006509AD" w:rsidP="006509AD">
            <w:pPr>
              <w:jc w:val="both"/>
              <w:rPr>
                <w:sz w:val="20"/>
                <w:lang w:val="en-CA"/>
              </w:rPr>
            </w:pPr>
            <w:r w:rsidRPr="005D15AC">
              <w:rPr>
                <w:sz w:val="20"/>
                <w:lang w:val="en-CA"/>
              </w:rPr>
              <w:t>Quebec Superior Court</w:t>
            </w:r>
          </w:p>
          <w:p w:rsidR="006509AD" w:rsidRPr="005D15AC" w:rsidRDefault="006509AD" w:rsidP="006509AD">
            <w:pPr>
              <w:jc w:val="both"/>
              <w:rPr>
                <w:sz w:val="20"/>
                <w:lang w:val="en-CA"/>
              </w:rPr>
            </w:pPr>
            <w:r w:rsidRPr="005D15AC">
              <w:rPr>
                <w:sz w:val="20"/>
                <w:lang w:val="en-CA"/>
              </w:rPr>
              <w:t>(De Wever J.)</w:t>
            </w:r>
          </w:p>
          <w:p w:rsidR="006509AD" w:rsidRPr="005D15AC" w:rsidRDefault="006509AD" w:rsidP="006509AD">
            <w:pPr>
              <w:jc w:val="both"/>
              <w:rPr>
                <w:sz w:val="20"/>
                <w:lang w:val="en-CA"/>
              </w:rPr>
            </w:pPr>
            <w:hyperlink r:id="rId33" w:history="1">
              <w:r w:rsidRPr="005D15AC">
                <w:rPr>
                  <w:rStyle w:val="Hyperlink"/>
                  <w:sz w:val="20"/>
                  <w:lang w:val="en-CA"/>
                </w:rPr>
                <w:t>2017 QCCS 6293</w:t>
              </w:r>
            </w:hyperlink>
          </w:p>
          <w:p w:rsidR="006509AD" w:rsidRPr="005D15AC" w:rsidRDefault="006509AD" w:rsidP="006509AD">
            <w:pPr>
              <w:jc w:val="both"/>
              <w:rPr>
                <w:sz w:val="20"/>
                <w:lang w:val="en-CA"/>
              </w:rPr>
            </w:pPr>
          </w:p>
        </w:tc>
        <w:tc>
          <w:tcPr>
            <w:tcW w:w="243" w:type="pct"/>
          </w:tcPr>
          <w:p w:rsidR="006509AD" w:rsidRPr="005D15AC" w:rsidRDefault="006509AD" w:rsidP="006509AD">
            <w:pPr>
              <w:jc w:val="both"/>
              <w:rPr>
                <w:sz w:val="20"/>
                <w:lang w:val="en-CA"/>
              </w:rPr>
            </w:pPr>
          </w:p>
        </w:tc>
        <w:tc>
          <w:tcPr>
            <w:tcW w:w="2330" w:type="pct"/>
          </w:tcPr>
          <w:p w:rsidR="006509AD" w:rsidRPr="005D15AC" w:rsidRDefault="006509AD" w:rsidP="006509AD">
            <w:pPr>
              <w:jc w:val="both"/>
              <w:rPr>
                <w:sz w:val="20"/>
                <w:lang w:val="en-CA"/>
              </w:rPr>
            </w:pPr>
            <w:r w:rsidRPr="005D15AC">
              <w:rPr>
                <w:sz w:val="20"/>
                <w:lang w:val="en-CA"/>
              </w:rPr>
              <w:t>Respondent’s originating motion dismissed</w:t>
            </w:r>
          </w:p>
          <w:p w:rsidR="006509AD" w:rsidRPr="005D15AC" w:rsidRDefault="006509AD" w:rsidP="006509AD">
            <w:pPr>
              <w:jc w:val="both"/>
              <w:rPr>
                <w:sz w:val="20"/>
                <w:lang w:val="en-CA"/>
              </w:rPr>
            </w:pPr>
          </w:p>
        </w:tc>
      </w:tr>
      <w:tr w:rsidR="006509AD" w:rsidRPr="005D15AC" w:rsidTr="006509AD">
        <w:tc>
          <w:tcPr>
            <w:tcW w:w="2427" w:type="pct"/>
            <w:gridSpan w:val="2"/>
          </w:tcPr>
          <w:p w:rsidR="006509AD" w:rsidRPr="005D15AC" w:rsidRDefault="006509AD" w:rsidP="006509AD">
            <w:pPr>
              <w:jc w:val="both"/>
              <w:rPr>
                <w:sz w:val="20"/>
                <w:lang w:val="en-CA"/>
              </w:rPr>
            </w:pPr>
            <w:r w:rsidRPr="005D15AC">
              <w:rPr>
                <w:sz w:val="20"/>
                <w:lang w:val="en-CA"/>
              </w:rPr>
              <w:t>April 9, 2020</w:t>
            </w:r>
          </w:p>
          <w:p w:rsidR="006509AD" w:rsidRPr="005D15AC" w:rsidRDefault="006509AD" w:rsidP="006509AD">
            <w:pPr>
              <w:jc w:val="both"/>
              <w:rPr>
                <w:sz w:val="20"/>
                <w:lang w:val="en-CA"/>
              </w:rPr>
            </w:pPr>
            <w:r w:rsidRPr="005D15AC">
              <w:rPr>
                <w:sz w:val="20"/>
                <w:lang w:val="en-CA"/>
              </w:rPr>
              <w:t>Quebec Court of Appeal (Montréal)</w:t>
            </w:r>
          </w:p>
          <w:p w:rsidR="006509AD" w:rsidRPr="005D15AC" w:rsidRDefault="006509AD" w:rsidP="006509AD">
            <w:pPr>
              <w:jc w:val="both"/>
              <w:rPr>
                <w:sz w:val="20"/>
                <w:lang w:val="en-CA"/>
              </w:rPr>
            </w:pPr>
            <w:r w:rsidRPr="005D15AC">
              <w:rPr>
                <w:sz w:val="20"/>
                <w:lang w:val="en-CA"/>
              </w:rPr>
              <w:t>(Schrager, Mainville and Beaupré JJ.A.)</w:t>
            </w:r>
          </w:p>
          <w:p w:rsidR="006509AD" w:rsidRPr="005D15AC" w:rsidRDefault="006509AD" w:rsidP="006509AD">
            <w:pPr>
              <w:jc w:val="both"/>
              <w:rPr>
                <w:sz w:val="20"/>
                <w:lang w:val="en-CA"/>
              </w:rPr>
            </w:pPr>
            <w:hyperlink r:id="rId34" w:history="1">
              <w:r w:rsidRPr="005D15AC">
                <w:rPr>
                  <w:rStyle w:val="Hyperlink"/>
                  <w:sz w:val="20"/>
                  <w:lang w:val="en-CA"/>
                </w:rPr>
                <w:t>2020 QCCA 570</w:t>
              </w:r>
            </w:hyperlink>
          </w:p>
          <w:p w:rsidR="006509AD" w:rsidRPr="005D15AC" w:rsidRDefault="006509AD" w:rsidP="006509AD">
            <w:pPr>
              <w:jc w:val="both"/>
              <w:rPr>
                <w:sz w:val="20"/>
                <w:lang w:val="en-CA"/>
              </w:rPr>
            </w:pPr>
          </w:p>
        </w:tc>
        <w:tc>
          <w:tcPr>
            <w:tcW w:w="243" w:type="pct"/>
          </w:tcPr>
          <w:p w:rsidR="006509AD" w:rsidRPr="005D15AC" w:rsidRDefault="006509AD" w:rsidP="006509AD">
            <w:pPr>
              <w:jc w:val="both"/>
              <w:rPr>
                <w:sz w:val="20"/>
                <w:lang w:val="en-CA"/>
              </w:rPr>
            </w:pPr>
          </w:p>
        </w:tc>
        <w:tc>
          <w:tcPr>
            <w:tcW w:w="2330" w:type="pct"/>
          </w:tcPr>
          <w:p w:rsidR="006509AD" w:rsidRPr="005D15AC" w:rsidRDefault="006509AD" w:rsidP="006509AD">
            <w:pPr>
              <w:jc w:val="both"/>
              <w:rPr>
                <w:sz w:val="20"/>
                <w:lang w:val="en-CA"/>
              </w:rPr>
            </w:pPr>
            <w:r w:rsidRPr="005D15AC">
              <w:rPr>
                <w:sz w:val="20"/>
                <w:lang w:val="en-CA"/>
              </w:rPr>
              <w:t>Appeal allowed in part</w:t>
            </w:r>
          </w:p>
        </w:tc>
      </w:tr>
      <w:tr w:rsidR="006509AD" w:rsidRPr="005D15AC" w:rsidTr="006509AD">
        <w:tc>
          <w:tcPr>
            <w:tcW w:w="2427" w:type="pct"/>
            <w:gridSpan w:val="2"/>
          </w:tcPr>
          <w:p w:rsidR="006509AD" w:rsidRPr="005D15AC" w:rsidRDefault="006509AD" w:rsidP="006509AD">
            <w:pPr>
              <w:jc w:val="both"/>
              <w:rPr>
                <w:sz w:val="20"/>
                <w:lang w:val="en-CA"/>
              </w:rPr>
            </w:pPr>
            <w:r w:rsidRPr="005D15AC">
              <w:rPr>
                <w:sz w:val="20"/>
                <w:lang w:val="en-CA"/>
              </w:rPr>
              <w:t>June 8, 2020</w:t>
            </w:r>
          </w:p>
          <w:p w:rsidR="006509AD" w:rsidRPr="005D15AC" w:rsidRDefault="006509AD" w:rsidP="006509AD">
            <w:pPr>
              <w:jc w:val="both"/>
              <w:rPr>
                <w:sz w:val="20"/>
                <w:lang w:val="en-CA"/>
              </w:rPr>
            </w:pPr>
            <w:r w:rsidRPr="005D15AC">
              <w:rPr>
                <w:sz w:val="20"/>
                <w:lang w:val="en-CA"/>
              </w:rPr>
              <w:t>Supreme Court of Canada</w:t>
            </w:r>
          </w:p>
        </w:tc>
        <w:tc>
          <w:tcPr>
            <w:tcW w:w="243" w:type="pct"/>
          </w:tcPr>
          <w:p w:rsidR="006509AD" w:rsidRPr="005D15AC" w:rsidRDefault="006509AD" w:rsidP="006509AD">
            <w:pPr>
              <w:jc w:val="both"/>
              <w:rPr>
                <w:sz w:val="20"/>
                <w:lang w:val="en-CA"/>
              </w:rPr>
            </w:pPr>
          </w:p>
        </w:tc>
        <w:tc>
          <w:tcPr>
            <w:tcW w:w="2330" w:type="pct"/>
          </w:tcPr>
          <w:p w:rsidR="006509AD" w:rsidRPr="005D15AC" w:rsidRDefault="006509AD" w:rsidP="006509AD">
            <w:pPr>
              <w:jc w:val="both"/>
              <w:rPr>
                <w:sz w:val="20"/>
                <w:lang w:val="en-CA"/>
              </w:rPr>
            </w:pPr>
            <w:r w:rsidRPr="005D15AC">
              <w:rPr>
                <w:sz w:val="20"/>
                <w:lang w:val="en-CA"/>
              </w:rPr>
              <w:t>Application for leave to appeal filed</w:t>
            </w:r>
          </w:p>
          <w:p w:rsidR="006509AD" w:rsidRPr="005D15AC" w:rsidRDefault="006509AD" w:rsidP="006509AD">
            <w:pPr>
              <w:jc w:val="both"/>
              <w:rPr>
                <w:sz w:val="20"/>
                <w:lang w:val="en-CA"/>
              </w:rPr>
            </w:pPr>
          </w:p>
        </w:tc>
      </w:tr>
    </w:tbl>
    <w:p w:rsidR="006509AD" w:rsidRPr="005D15AC" w:rsidRDefault="006509AD" w:rsidP="006509AD">
      <w:pPr>
        <w:jc w:val="both"/>
        <w:rPr>
          <w:sz w:val="20"/>
          <w:lang w:val="en-CA"/>
        </w:rPr>
      </w:pPr>
    </w:p>
    <w:p w:rsidR="006509AD" w:rsidRPr="005D15AC" w:rsidRDefault="002866B6" w:rsidP="006509AD">
      <w:pPr>
        <w:jc w:val="both"/>
        <w:rPr>
          <w:sz w:val="20"/>
          <w:lang w:val="en-CA"/>
        </w:rPr>
      </w:pPr>
      <w:r w:rsidRPr="005D15AC">
        <w:rPr>
          <w:sz w:val="20"/>
        </w:rPr>
        <w:pict>
          <v:rect id="_x0000_i1090" style="width:2in;height:1pt" o:hrpct="0" o:hralign="center" o:hrstd="t" o:hrnoshade="t" o:hr="t" fillcolor="black [3213]" stroked="f"/>
        </w:pict>
      </w:r>
    </w:p>
    <w:p w:rsidR="006509AD" w:rsidRPr="005D15AC" w:rsidRDefault="006509AD" w:rsidP="006509A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09AD" w:rsidRPr="005D15AC" w:rsidTr="006509AD">
        <w:tc>
          <w:tcPr>
            <w:tcW w:w="543" w:type="pct"/>
          </w:tcPr>
          <w:p w:rsidR="006509AD" w:rsidRPr="005D15AC" w:rsidRDefault="006509AD" w:rsidP="006509AD">
            <w:pPr>
              <w:jc w:val="both"/>
              <w:rPr>
                <w:sz w:val="20"/>
              </w:rPr>
            </w:pPr>
            <w:r w:rsidRPr="005D15AC">
              <w:rPr>
                <w:rStyle w:val="SCCFileNumberChar"/>
                <w:sz w:val="20"/>
                <w:szCs w:val="20"/>
              </w:rPr>
              <w:t>39206</w:t>
            </w:r>
          </w:p>
        </w:tc>
        <w:tc>
          <w:tcPr>
            <w:tcW w:w="4457" w:type="pct"/>
            <w:gridSpan w:val="3"/>
          </w:tcPr>
          <w:p w:rsidR="006509AD" w:rsidRPr="005D15AC" w:rsidRDefault="006509AD" w:rsidP="006509AD">
            <w:pPr>
              <w:pStyle w:val="SCCLsocParty"/>
              <w:jc w:val="both"/>
              <w:rPr>
                <w:b/>
                <w:sz w:val="20"/>
                <w:szCs w:val="20"/>
              </w:rPr>
            </w:pPr>
            <w:r w:rsidRPr="005D15AC">
              <w:rPr>
                <w:b/>
                <w:sz w:val="20"/>
                <w:szCs w:val="20"/>
              </w:rPr>
              <w:t>Procureure générale du Québec c. Constructions Concreate ltée</w:t>
            </w:r>
          </w:p>
          <w:p w:rsidR="006509AD" w:rsidRPr="005D15AC" w:rsidRDefault="002866B6" w:rsidP="006509AD">
            <w:pPr>
              <w:jc w:val="both"/>
              <w:rPr>
                <w:sz w:val="20"/>
              </w:rPr>
            </w:pPr>
            <w:r w:rsidRPr="005D15AC">
              <w:rPr>
                <w:sz w:val="20"/>
              </w:rPr>
              <w:t>(Qc) (Civile) (Autorisation)</w:t>
            </w:r>
          </w:p>
        </w:tc>
      </w:tr>
      <w:tr w:rsidR="006509AD" w:rsidRPr="005D15AC" w:rsidTr="006509AD">
        <w:tc>
          <w:tcPr>
            <w:tcW w:w="5000" w:type="pct"/>
            <w:gridSpan w:val="4"/>
          </w:tcPr>
          <w:p w:rsidR="006509AD" w:rsidRPr="005D15AC" w:rsidRDefault="006509AD" w:rsidP="006509AD">
            <w:pPr>
              <w:jc w:val="both"/>
              <w:rPr>
                <w:sz w:val="20"/>
                <w:lang w:val="fr-CA"/>
              </w:rPr>
            </w:pPr>
            <w:r w:rsidRPr="005D15AC">
              <w:rPr>
                <w:sz w:val="20"/>
                <w:lang w:val="fr-CA"/>
              </w:rPr>
              <w:t>Appels — Contrats — L’intervention de la Cour d’appel pour infirmer en partie le jugement de la Cour supérieure était</w:t>
            </w:r>
            <w:r w:rsidRPr="005D15AC">
              <w:rPr>
                <w:sz w:val="20"/>
                <w:lang w:val="fr-CA"/>
              </w:rPr>
              <w:noBreakHyphen/>
              <w:t>elle justifiée? — Une partie peut</w:t>
            </w:r>
            <w:r w:rsidRPr="005D15AC">
              <w:rPr>
                <w:sz w:val="20"/>
                <w:lang w:val="fr-CA"/>
              </w:rPr>
              <w:noBreakHyphen/>
              <w:t xml:space="preserve">elle invoquer une violation de l’obligation de collaborer pour modifier, à son avantage, les termes clairs d’un contrat à forfait régi par la </w:t>
            </w:r>
            <w:r w:rsidRPr="005D15AC">
              <w:rPr>
                <w:i/>
                <w:sz w:val="20"/>
                <w:lang w:val="fr-CA"/>
              </w:rPr>
              <w:t>Loi sur les contrats des organismes publics</w:t>
            </w:r>
            <w:r w:rsidRPr="005D15AC">
              <w:rPr>
                <w:sz w:val="20"/>
                <w:lang w:val="fr-CA"/>
              </w:rPr>
              <w:t xml:space="preserve"> (RLRQ, c. 65</w:t>
            </w:r>
            <w:r w:rsidRPr="005D15AC">
              <w:rPr>
                <w:sz w:val="20"/>
                <w:lang w:val="fr-CA"/>
              </w:rPr>
              <w:noBreakHyphen/>
              <w:t>1)?</w:t>
            </w:r>
          </w:p>
        </w:tc>
      </w:tr>
      <w:tr w:rsidR="006509AD" w:rsidRPr="005D15AC" w:rsidTr="006509AD">
        <w:tc>
          <w:tcPr>
            <w:tcW w:w="5000" w:type="pct"/>
            <w:gridSpan w:val="4"/>
          </w:tcPr>
          <w:p w:rsidR="006509AD" w:rsidRPr="005D15AC" w:rsidRDefault="006509AD" w:rsidP="006509AD">
            <w:pPr>
              <w:jc w:val="both"/>
              <w:rPr>
                <w:sz w:val="20"/>
                <w:lang w:val="fr-CA"/>
              </w:rPr>
            </w:pPr>
          </w:p>
          <w:p w:rsidR="006509AD" w:rsidRPr="005D15AC" w:rsidRDefault="006509AD" w:rsidP="006509AD">
            <w:pPr>
              <w:jc w:val="both"/>
              <w:rPr>
                <w:sz w:val="20"/>
                <w:lang w:val="fr-CA"/>
              </w:rPr>
            </w:pPr>
            <w:r w:rsidRPr="005D15AC">
              <w:rPr>
                <w:sz w:val="20"/>
                <w:lang w:val="fr-CA"/>
              </w:rPr>
              <w:t>L’intimée Constructions Concreate excède les délais contractuels alloués pour l’exécution de travaux pour le Ministère des Transports du Québec, et celui</w:t>
            </w:r>
            <w:r w:rsidRPr="005D15AC">
              <w:rPr>
                <w:sz w:val="20"/>
                <w:lang w:val="fr-CA"/>
              </w:rPr>
              <w:noBreakHyphen/>
              <w:t>ci lui impose des pénalités totalisant 430 000$. Soutenant que le Ministère des Transports du Québec est en partie responsable du dépassement des délais, Constructions Concreate demande en Cour supérieure qu’il lui verse la somme de 280 000$ en annulation d’une partie des pénalités, ainsi qu’une somme de 134 970$ pour des dommages résultants de ses faits et gestes fautifs.</w:t>
            </w:r>
          </w:p>
          <w:p w:rsidR="006509AD" w:rsidRPr="005D15AC" w:rsidRDefault="006509AD" w:rsidP="006509AD">
            <w:pPr>
              <w:jc w:val="both"/>
              <w:rPr>
                <w:sz w:val="20"/>
                <w:lang w:val="fr-CA"/>
              </w:rPr>
            </w:pPr>
          </w:p>
          <w:p w:rsidR="006509AD" w:rsidRPr="005D15AC" w:rsidRDefault="006509AD" w:rsidP="006509AD">
            <w:pPr>
              <w:jc w:val="both"/>
              <w:rPr>
                <w:sz w:val="20"/>
                <w:lang w:val="fr-CA"/>
              </w:rPr>
            </w:pPr>
            <w:r w:rsidRPr="005D15AC">
              <w:rPr>
                <w:sz w:val="20"/>
                <w:lang w:val="fr-CA"/>
              </w:rPr>
              <w:t>La Cour supérieure rejette le recours de Constructions Concreate. Elle considère notamment que celle</w:t>
            </w:r>
            <w:r w:rsidRPr="005D15AC">
              <w:rPr>
                <w:sz w:val="20"/>
                <w:lang w:val="fr-CA"/>
              </w:rPr>
              <w:noBreakHyphen/>
              <w:t xml:space="preserve">ci a commis des erreurs au cours de l’exécution des travaux, et rejette ses prétentions voulant que le Ministère des Transports du Québec soit responsable de délais associés au refus de ce dernier de fermer des voies de circulation sur le chantier afin d’assurer la sécurité des travailleurs. </w:t>
            </w:r>
          </w:p>
          <w:p w:rsidR="002866B6" w:rsidRPr="005D15AC" w:rsidRDefault="002866B6" w:rsidP="006509AD">
            <w:pPr>
              <w:jc w:val="both"/>
              <w:rPr>
                <w:sz w:val="20"/>
                <w:lang w:val="fr-CA"/>
              </w:rPr>
            </w:pPr>
          </w:p>
          <w:p w:rsidR="006509AD" w:rsidRPr="005D15AC" w:rsidRDefault="006509AD" w:rsidP="006509AD">
            <w:pPr>
              <w:jc w:val="both"/>
              <w:rPr>
                <w:sz w:val="20"/>
                <w:lang w:val="fr-CA"/>
              </w:rPr>
            </w:pPr>
            <w:r w:rsidRPr="005D15AC">
              <w:rPr>
                <w:sz w:val="20"/>
                <w:lang w:val="fr-CA"/>
              </w:rPr>
              <w:t xml:space="preserve">La Cour d’appel, unanime, accueille en partie l’appel de Constructions Concreate et condamne la procureure générale du Québec à payer 220 000$ à Constructions Concreate. </w:t>
            </w:r>
          </w:p>
        </w:tc>
      </w:tr>
      <w:tr w:rsidR="006509AD" w:rsidRPr="005D15AC" w:rsidTr="006509AD">
        <w:tc>
          <w:tcPr>
            <w:tcW w:w="5000" w:type="pct"/>
            <w:gridSpan w:val="4"/>
          </w:tcPr>
          <w:p w:rsidR="006509AD" w:rsidRPr="005D15AC" w:rsidRDefault="006509AD" w:rsidP="006509AD">
            <w:pPr>
              <w:jc w:val="both"/>
              <w:rPr>
                <w:sz w:val="20"/>
                <w:lang w:val="fr-CA"/>
              </w:rPr>
            </w:pPr>
          </w:p>
        </w:tc>
      </w:tr>
      <w:tr w:rsidR="006509AD" w:rsidRPr="005D15AC" w:rsidTr="006509AD">
        <w:tc>
          <w:tcPr>
            <w:tcW w:w="2427" w:type="pct"/>
            <w:gridSpan w:val="2"/>
          </w:tcPr>
          <w:p w:rsidR="006509AD" w:rsidRPr="005D15AC" w:rsidRDefault="006509AD" w:rsidP="006509AD">
            <w:pPr>
              <w:jc w:val="both"/>
              <w:rPr>
                <w:sz w:val="20"/>
                <w:lang w:val="fr-CA"/>
              </w:rPr>
            </w:pPr>
            <w:r w:rsidRPr="005D15AC">
              <w:rPr>
                <w:sz w:val="20"/>
                <w:lang w:val="fr-CA"/>
              </w:rPr>
              <w:t>Le 18 décembre 2017</w:t>
            </w:r>
          </w:p>
          <w:p w:rsidR="006509AD" w:rsidRPr="005D15AC" w:rsidRDefault="006509AD" w:rsidP="006509AD">
            <w:pPr>
              <w:jc w:val="both"/>
              <w:rPr>
                <w:sz w:val="20"/>
                <w:lang w:val="fr-CA"/>
              </w:rPr>
            </w:pPr>
            <w:r w:rsidRPr="005D15AC">
              <w:rPr>
                <w:sz w:val="20"/>
                <w:lang w:val="fr-CA"/>
              </w:rPr>
              <w:t>Cour supérieure du Québec</w:t>
            </w:r>
          </w:p>
          <w:p w:rsidR="006509AD" w:rsidRPr="005D15AC" w:rsidRDefault="006509AD" w:rsidP="006509AD">
            <w:pPr>
              <w:jc w:val="both"/>
              <w:rPr>
                <w:sz w:val="20"/>
                <w:lang w:val="fr-CA"/>
              </w:rPr>
            </w:pPr>
            <w:r w:rsidRPr="005D15AC">
              <w:rPr>
                <w:sz w:val="20"/>
                <w:lang w:val="fr-CA"/>
              </w:rPr>
              <w:t>(le juge De Wever)</w:t>
            </w:r>
          </w:p>
          <w:p w:rsidR="006509AD" w:rsidRPr="005D15AC" w:rsidRDefault="006509AD" w:rsidP="006509AD">
            <w:pPr>
              <w:jc w:val="both"/>
              <w:rPr>
                <w:sz w:val="20"/>
                <w:lang w:val="fr-CA"/>
              </w:rPr>
            </w:pPr>
            <w:hyperlink r:id="rId35" w:history="1">
              <w:r w:rsidRPr="005D15AC">
                <w:rPr>
                  <w:rStyle w:val="Hyperlink"/>
                  <w:sz w:val="20"/>
                  <w:lang w:val="fr-CA"/>
                </w:rPr>
                <w:t>2017 QCCS 6293</w:t>
              </w:r>
            </w:hyperlink>
          </w:p>
          <w:p w:rsidR="006509AD" w:rsidRPr="005D15AC" w:rsidRDefault="006509AD" w:rsidP="006509AD">
            <w:pPr>
              <w:jc w:val="both"/>
              <w:rPr>
                <w:sz w:val="20"/>
                <w:lang w:val="fr-CA"/>
              </w:rPr>
            </w:pPr>
          </w:p>
        </w:tc>
        <w:tc>
          <w:tcPr>
            <w:tcW w:w="243" w:type="pct"/>
          </w:tcPr>
          <w:p w:rsidR="006509AD" w:rsidRPr="005D15AC" w:rsidRDefault="006509AD" w:rsidP="006509AD">
            <w:pPr>
              <w:jc w:val="both"/>
              <w:rPr>
                <w:sz w:val="20"/>
                <w:lang w:val="fr-CA"/>
              </w:rPr>
            </w:pPr>
          </w:p>
        </w:tc>
        <w:tc>
          <w:tcPr>
            <w:tcW w:w="2330" w:type="pct"/>
          </w:tcPr>
          <w:p w:rsidR="006509AD" w:rsidRPr="005D15AC" w:rsidRDefault="006509AD" w:rsidP="006509AD">
            <w:pPr>
              <w:jc w:val="both"/>
              <w:rPr>
                <w:sz w:val="20"/>
                <w:lang w:val="fr-CA"/>
              </w:rPr>
            </w:pPr>
            <w:r w:rsidRPr="005D15AC">
              <w:rPr>
                <w:sz w:val="20"/>
                <w:lang w:val="fr-CA"/>
              </w:rPr>
              <w:t>Requête introductive d’instance de l’intimée rejetée</w:t>
            </w:r>
          </w:p>
          <w:p w:rsidR="006509AD" w:rsidRPr="005D15AC" w:rsidRDefault="006509AD" w:rsidP="006509AD">
            <w:pPr>
              <w:jc w:val="both"/>
              <w:rPr>
                <w:sz w:val="20"/>
                <w:lang w:val="fr-CA"/>
              </w:rPr>
            </w:pPr>
          </w:p>
        </w:tc>
      </w:tr>
      <w:tr w:rsidR="006509AD" w:rsidRPr="005D15AC" w:rsidTr="006509AD">
        <w:tc>
          <w:tcPr>
            <w:tcW w:w="2427" w:type="pct"/>
            <w:gridSpan w:val="2"/>
          </w:tcPr>
          <w:p w:rsidR="006509AD" w:rsidRPr="005D15AC" w:rsidRDefault="006509AD" w:rsidP="006509AD">
            <w:pPr>
              <w:jc w:val="both"/>
              <w:rPr>
                <w:sz w:val="20"/>
                <w:lang w:val="fr-CA"/>
              </w:rPr>
            </w:pPr>
            <w:r w:rsidRPr="005D15AC">
              <w:rPr>
                <w:sz w:val="20"/>
                <w:lang w:val="fr-CA"/>
              </w:rPr>
              <w:t>Le 9 avril 2020</w:t>
            </w:r>
          </w:p>
          <w:p w:rsidR="006509AD" w:rsidRPr="005D15AC" w:rsidRDefault="006509AD" w:rsidP="006509AD">
            <w:pPr>
              <w:jc w:val="both"/>
              <w:rPr>
                <w:sz w:val="20"/>
                <w:lang w:val="fr-CA"/>
              </w:rPr>
            </w:pPr>
            <w:r w:rsidRPr="005D15AC">
              <w:rPr>
                <w:sz w:val="20"/>
                <w:lang w:val="fr-CA"/>
              </w:rPr>
              <w:t>Cour d’appel du Québec (Montréal)</w:t>
            </w:r>
          </w:p>
          <w:p w:rsidR="006509AD" w:rsidRPr="005D15AC" w:rsidRDefault="006509AD" w:rsidP="006509AD">
            <w:pPr>
              <w:jc w:val="both"/>
              <w:rPr>
                <w:sz w:val="20"/>
                <w:lang w:val="fr-CA"/>
              </w:rPr>
            </w:pPr>
            <w:r w:rsidRPr="005D15AC">
              <w:rPr>
                <w:sz w:val="20"/>
                <w:lang w:val="fr-CA"/>
              </w:rPr>
              <w:t>(les juges Schrager, Mainville et Beaupré)</w:t>
            </w:r>
          </w:p>
          <w:p w:rsidR="006509AD" w:rsidRPr="005D15AC" w:rsidRDefault="006509AD" w:rsidP="006509AD">
            <w:pPr>
              <w:jc w:val="both"/>
              <w:rPr>
                <w:sz w:val="20"/>
              </w:rPr>
            </w:pPr>
            <w:hyperlink r:id="rId36" w:history="1">
              <w:r w:rsidRPr="005D15AC">
                <w:rPr>
                  <w:rStyle w:val="Hyperlink"/>
                  <w:sz w:val="20"/>
                </w:rPr>
                <w:t>2020 QCCA 570</w:t>
              </w:r>
            </w:hyperlink>
          </w:p>
          <w:p w:rsidR="006509AD" w:rsidRPr="005D15AC" w:rsidRDefault="006509AD" w:rsidP="006509AD">
            <w:pPr>
              <w:jc w:val="both"/>
              <w:rPr>
                <w:sz w:val="20"/>
              </w:rPr>
            </w:pPr>
          </w:p>
        </w:tc>
        <w:tc>
          <w:tcPr>
            <w:tcW w:w="243" w:type="pct"/>
          </w:tcPr>
          <w:p w:rsidR="006509AD" w:rsidRPr="005D15AC" w:rsidRDefault="006509AD" w:rsidP="006509AD">
            <w:pPr>
              <w:jc w:val="both"/>
              <w:rPr>
                <w:sz w:val="20"/>
              </w:rPr>
            </w:pPr>
          </w:p>
        </w:tc>
        <w:tc>
          <w:tcPr>
            <w:tcW w:w="2330" w:type="pct"/>
          </w:tcPr>
          <w:p w:rsidR="006509AD" w:rsidRPr="005D15AC" w:rsidRDefault="006509AD" w:rsidP="006509AD">
            <w:pPr>
              <w:jc w:val="both"/>
              <w:rPr>
                <w:sz w:val="20"/>
              </w:rPr>
            </w:pPr>
            <w:r w:rsidRPr="005D15AC">
              <w:rPr>
                <w:sz w:val="20"/>
              </w:rPr>
              <w:t>Appel accueilli en partie</w:t>
            </w:r>
          </w:p>
        </w:tc>
      </w:tr>
      <w:tr w:rsidR="006509AD" w:rsidRPr="005D15AC" w:rsidTr="006509AD">
        <w:tc>
          <w:tcPr>
            <w:tcW w:w="2427" w:type="pct"/>
            <w:gridSpan w:val="2"/>
          </w:tcPr>
          <w:p w:rsidR="006509AD" w:rsidRPr="005D15AC" w:rsidRDefault="006509AD" w:rsidP="006509AD">
            <w:pPr>
              <w:jc w:val="both"/>
              <w:rPr>
                <w:sz w:val="20"/>
                <w:lang w:val="fr-CA"/>
              </w:rPr>
            </w:pPr>
            <w:r w:rsidRPr="005D15AC">
              <w:rPr>
                <w:sz w:val="20"/>
                <w:lang w:val="fr-CA"/>
              </w:rPr>
              <w:t>Le 8 juin 2020</w:t>
            </w:r>
          </w:p>
          <w:p w:rsidR="006509AD" w:rsidRPr="005D15AC" w:rsidRDefault="006509AD" w:rsidP="006509AD">
            <w:pPr>
              <w:jc w:val="both"/>
              <w:rPr>
                <w:sz w:val="20"/>
                <w:lang w:val="fr-CA"/>
              </w:rPr>
            </w:pPr>
            <w:r w:rsidRPr="005D15AC">
              <w:rPr>
                <w:sz w:val="20"/>
                <w:lang w:val="fr-CA"/>
              </w:rPr>
              <w:lastRenderedPageBreak/>
              <w:t>Cour suprême du Canada</w:t>
            </w:r>
          </w:p>
        </w:tc>
        <w:tc>
          <w:tcPr>
            <w:tcW w:w="243" w:type="pct"/>
          </w:tcPr>
          <w:p w:rsidR="006509AD" w:rsidRPr="005D15AC" w:rsidRDefault="006509AD" w:rsidP="006509AD">
            <w:pPr>
              <w:jc w:val="both"/>
              <w:rPr>
                <w:sz w:val="20"/>
                <w:lang w:val="fr-CA"/>
              </w:rPr>
            </w:pPr>
          </w:p>
        </w:tc>
        <w:tc>
          <w:tcPr>
            <w:tcW w:w="2330" w:type="pct"/>
          </w:tcPr>
          <w:p w:rsidR="006509AD" w:rsidRPr="005D15AC" w:rsidRDefault="006509AD" w:rsidP="006509AD">
            <w:pPr>
              <w:jc w:val="both"/>
              <w:rPr>
                <w:sz w:val="20"/>
              </w:rPr>
            </w:pPr>
            <w:r w:rsidRPr="005D15AC">
              <w:rPr>
                <w:sz w:val="20"/>
              </w:rPr>
              <w:t>Demande d’autorisation d’appel déposée</w:t>
            </w:r>
          </w:p>
          <w:p w:rsidR="006509AD" w:rsidRPr="005D15AC" w:rsidRDefault="006509AD" w:rsidP="006509AD">
            <w:pPr>
              <w:jc w:val="both"/>
              <w:rPr>
                <w:sz w:val="20"/>
              </w:rPr>
            </w:pPr>
          </w:p>
        </w:tc>
      </w:tr>
    </w:tbl>
    <w:p w:rsidR="006509AD" w:rsidRPr="005D15AC" w:rsidRDefault="006509AD" w:rsidP="006509AD">
      <w:pPr>
        <w:jc w:val="both"/>
        <w:rPr>
          <w:sz w:val="20"/>
        </w:rPr>
      </w:pPr>
    </w:p>
    <w:p w:rsidR="006509AD" w:rsidRPr="005D15AC" w:rsidRDefault="002866B6" w:rsidP="006509AD">
      <w:pPr>
        <w:jc w:val="both"/>
        <w:rPr>
          <w:sz w:val="20"/>
        </w:rPr>
      </w:pPr>
      <w:r w:rsidRPr="005D15AC">
        <w:rPr>
          <w:sz w:val="20"/>
        </w:rPr>
        <w:pict>
          <v:rect id="_x0000_i1091" style="width:2in;height:1pt" o:hrpct="0" o:hralign="center" o:hrstd="t" o:hrnoshade="t" o:hr="t" fillcolor="black [3213]" stroked="f"/>
        </w:pict>
      </w:r>
    </w:p>
    <w:p w:rsidR="002866B6" w:rsidRPr="005D15AC" w:rsidRDefault="002866B6" w:rsidP="00650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09AD" w:rsidRPr="005D15AC" w:rsidTr="006509AD">
        <w:tc>
          <w:tcPr>
            <w:tcW w:w="543" w:type="pct"/>
          </w:tcPr>
          <w:p w:rsidR="006509AD" w:rsidRPr="005D15AC" w:rsidRDefault="006509AD" w:rsidP="006509AD">
            <w:pPr>
              <w:jc w:val="both"/>
              <w:rPr>
                <w:sz w:val="20"/>
              </w:rPr>
            </w:pPr>
            <w:r w:rsidRPr="005D15AC">
              <w:rPr>
                <w:rStyle w:val="SCCFileNumberChar"/>
                <w:sz w:val="20"/>
                <w:szCs w:val="20"/>
              </w:rPr>
              <w:t>39082</w:t>
            </w:r>
          </w:p>
        </w:tc>
        <w:tc>
          <w:tcPr>
            <w:tcW w:w="4457" w:type="pct"/>
            <w:gridSpan w:val="3"/>
          </w:tcPr>
          <w:p w:rsidR="006509AD" w:rsidRPr="005D15AC" w:rsidRDefault="006509AD" w:rsidP="006509AD">
            <w:pPr>
              <w:pStyle w:val="SCCLsocParty"/>
              <w:jc w:val="both"/>
              <w:rPr>
                <w:b/>
                <w:sz w:val="20"/>
                <w:szCs w:val="20"/>
                <w:lang w:val="en-US"/>
              </w:rPr>
            </w:pPr>
            <w:r w:rsidRPr="005D15AC">
              <w:rPr>
                <w:b/>
                <w:sz w:val="20"/>
                <w:szCs w:val="20"/>
                <w:lang w:val="en-US"/>
              </w:rPr>
              <w:t>Teliphone Corp. v. Ernst &amp; Young Inc., Court-Appointed Monitor of the Petitioners</w:t>
            </w:r>
          </w:p>
          <w:p w:rsidR="006509AD" w:rsidRPr="005D15AC" w:rsidRDefault="006509AD" w:rsidP="006509AD">
            <w:pPr>
              <w:jc w:val="both"/>
              <w:rPr>
                <w:sz w:val="20"/>
              </w:rPr>
            </w:pPr>
            <w:r w:rsidRPr="005D15AC">
              <w:rPr>
                <w:sz w:val="20"/>
              </w:rPr>
              <w:t>(B.C.) (Civil) (By Leave)</w:t>
            </w:r>
          </w:p>
        </w:tc>
      </w:tr>
      <w:tr w:rsidR="006509AD" w:rsidRPr="005D15AC" w:rsidTr="006509AD">
        <w:tc>
          <w:tcPr>
            <w:tcW w:w="5000" w:type="pct"/>
            <w:gridSpan w:val="4"/>
          </w:tcPr>
          <w:p w:rsidR="006509AD" w:rsidRPr="005D15AC" w:rsidRDefault="006509AD" w:rsidP="006509AD">
            <w:pPr>
              <w:jc w:val="both"/>
              <w:rPr>
                <w:sz w:val="20"/>
              </w:rPr>
            </w:pPr>
            <w:r w:rsidRPr="005D15AC">
              <w:rPr>
                <w:sz w:val="20"/>
              </w:rPr>
              <w:t>Administrative law — Appeals — Standard of review — Extricable errors of law — Monitor sale of assets — Whether there is a clear test to determine and identify extricable questions of law —</w:t>
            </w:r>
            <w:r w:rsidRPr="005D15AC">
              <w:rPr>
                <w:i/>
                <w:iCs/>
                <w:sz w:val="20"/>
              </w:rPr>
              <w:t>Companies’ Creditors Arrangement Act</w:t>
            </w:r>
            <w:r w:rsidRPr="005D15AC">
              <w:rPr>
                <w:sz w:val="20"/>
              </w:rPr>
              <w:t>, R.S.C. 1985, c. C</w:t>
            </w:r>
            <w:r w:rsidRPr="005D15AC">
              <w:rPr>
                <w:sz w:val="20"/>
              </w:rPr>
              <w:noBreakHyphen/>
              <w:t>36.</w:t>
            </w:r>
          </w:p>
        </w:tc>
      </w:tr>
      <w:tr w:rsidR="006509AD" w:rsidRPr="005D15AC" w:rsidTr="006509AD">
        <w:tc>
          <w:tcPr>
            <w:tcW w:w="5000" w:type="pct"/>
            <w:gridSpan w:val="4"/>
          </w:tcPr>
          <w:p w:rsidR="006509AD" w:rsidRPr="005D15AC" w:rsidRDefault="006509AD" w:rsidP="006509AD">
            <w:pPr>
              <w:jc w:val="both"/>
              <w:rPr>
                <w:sz w:val="20"/>
              </w:rPr>
            </w:pPr>
          </w:p>
          <w:p w:rsidR="006509AD" w:rsidRPr="005D15AC" w:rsidRDefault="006509AD" w:rsidP="006509AD">
            <w:pPr>
              <w:pStyle w:val="scjnumber"/>
              <w:shd w:val="clear" w:color="auto" w:fill="FFFFFF"/>
              <w:spacing w:before="0" w:beforeAutospacing="0" w:after="0" w:afterAutospacing="0"/>
              <w:jc w:val="both"/>
              <w:rPr>
                <w:sz w:val="20"/>
                <w:szCs w:val="20"/>
              </w:rPr>
            </w:pPr>
            <w:r w:rsidRPr="005D15AC">
              <w:rPr>
                <w:color w:val="000000"/>
                <w:sz w:val="20"/>
                <w:szCs w:val="20"/>
              </w:rPr>
              <w:t>Ernst &amp; Young Inc. is the court appointed Monitor in proceedings brought pursuant to the </w:t>
            </w:r>
            <w:r w:rsidRPr="005D15AC">
              <w:rPr>
                <w:i/>
                <w:iCs/>
                <w:sz w:val="20"/>
                <w:szCs w:val="20"/>
              </w:rPr>
              <w:t>Companies’ Creditors Arrangement Act</w:t>
            </w:r>
            <w:r w:rsidRPr="005D15AC">
              <w:rPr>
                <w:sz w:val="20"/>
                <w:szCs w:val="20"/>
              </w:rPr>
              <w:t>, R.S.C. 1985, c. C</w:t>
            </w:r>
            <w:r w:rsidRPr="005D15AC">
              <w:rPr>
                <w:sz w:val="20"/>
                <w:szCs w:val="20"/>
              </w:rPr>
              <w:noBreakHyphen/>
              <w:t>36</w:t>
            </w:r>
            <w:r w:rsidRPr="005D15AC">
              <w:rPr>
                <w:color w:val="000000"/>
                <w:sz w:val="20"/>
                <w:szCs w:val="20"/>
              </w:rPr>
              <w:t>. It asserts that in furtherance of its obligations as Monitor it has jurisdiction to sell certain assets of companies within what is known as the TNW Group. Some of the companies within the TNW Group dispute their assets are available for sale by the Monitor. Following an order from the Supreme Court of British Columbia, several of the companies within the TNW Group delivered what they described as proofs of claim to the Monitor. They were rejected. The rejection was appealed back to the Supreme Court of British Columbia, which upheld the Monitor’s decision. The Court of Appeal granted leave to appeal on the question of the appropriate standard of review that ought to have been applied. The appeal was allowed and the matter remitted to the Supreme Court of British Columbia with directions from the Court of Appeal on the appropriate standard of review. The Supreme Court of British Columbia again upheld the Monitor’s decision using the new standard of review and the subsequent appeal to the Court of Appeal was dismissed.</w:t>
            </w:r>
          </w:p>
        </w:tc>
      </w:tr>
      <w:tr w:rsidR="006509AD" w:rsidRPr="005D15AC" w:rsidTr="006509AD">
        <w:tc>
          <w:tcPr>
            <w:tcW w:w="5000" w:type="pct"/>
            <w:gridSpan w:val="4"/>
          </w:tcPr>
          <w:p w:rsidR="006509AD" w:rsidRPr="005D15AC" w:rsidRDefault="006509AD" w:rsidP="006509AD">
            <w:pPr>
              <w:jc w:val="both"/>
              <w:rPr>
                <w:sz w:val="20"/>
              </w:rPr>
            </w:pPr>
          </w:p>
        </w:tc>
      </w:tr>
      <w:tr w:rsidR="006509AD" w:rsidRPr="005D15AC" w:rsidTr="006509AD">
        <w:tc>
          <w:tcPr>
            <w:tcW w:w="2427" w:type="pct"/>
            <w:gridSpan w:val="2"/>
          </w:tcPr>
          <w:p w:rsidR="006509AD" w:rsidRPr="005D15AC" w:rsidRDefault="006509AD" w:rsidP="006509AD">
            <w:pPr>
              <w:jc w:val="both"/>
              <w:rPr>
                <w:sz w:val="20"/>
              </w:rPr>
            </w:pPr>
            <w:r w:rsidRPr="005D15AC">
              <w:rPr>
                <w:sz w:val="20"/>
              </w:rPr>
              <w:t>January 7, 2019</w:t>
            </w:r>
          </w:p>
          <w:p w:rsidR="006509AD" w:rsidRPr="005D15AC" w:rsidRDefault="006509AD" w:rsidP="006509AD">
            <w:pPr>
              <w:jc w:val="both"/>
              <w:rPr>
                <w:sz w:val="20"/>
              </w:rPr>
            </w:pPr>
            <w:r w:rsidRPr="005D15AC">
              <w:rPr>
                <w:sz w:val="20"/>
              </w:rPr>
              <w:t>Supreme Court of British Columbia</w:t>
            </w:r>
          </w:p>
          <w:p w:rsidR="006509AD" w:rsidRPr="005D15AC" w:rsidRDefault="006509AD" w:rsidP="006509AD">
            <w:pPr>
              <w:jc w:val="both"/>
              <w:rPr>
                <w:sz w:val="20"/>
              </w:rPr>
            </w:pPr>
            <w:r w:rsidRPr="005D15AC">
              <w:rPr>
                <w:sz w:val="20"/>
              </w:rPr>
              <w:t>(Affleck J.)</w:t>
            </w:r>
          </w:p>
          <w:p w:rsidR="006509AD" w:rsidRPr="005D15AC" w:rsidRDefault="006509AD" w:rsidP="006509AD">
            <w:pPr>
              <w:jc w:val="both"/>
              <w:rPr>
                <w:sz w:val="20"/>
              </w:rPr>
            </w:pPr>
            <w:hyperlink r:id="rId37" w:history="1">
              <w:r w:rsidRPr="005D15AC">
                <w:rPr>
                  <w:rStyle w:val="Hyperlink"/>
                  <w:sz w:val="20"/>
                </w:rPr>
                <w:t>2019 BCSC 8</w:t>
              </w:r>
            </w:hyperlink>
          </w:p>
          <w:p w:rsidR="006509AD" w:rsidRPr="005D15AC" w:rsidRDefault="006509AD" w:rsidP="006509AD">
            <w:pPr>
              <w:jc w:val="both"/>
              <w:rPr>
                <w:sz w:val="20"/>
              </w:rPr>
            </w:pPr>
          </w:p>
        </w:tc>
        <w:tc>
          <w:tcPr>
            <w:tcW w:w="243" w:type="pct"/>
          </w:tcPr>
          <w:p w:rsidR="006509AD" w:rsidRPr="005D15AC" w:rsidRDefault="006509AD" w:rsidP="006509AD">
            <w:pPr>
              <w:jc w:val="both"/>
              <w:rPr>
                <w:sz w:val="20"/>
              </w:rPr>
            </w:pPr>
          </w:p>
        </w:tc>
        <w:tc>
          <w:tcPr>
            <w:tcW w:w="2330" w:type="pct"/>
          </w:tcPr>
          <w:p w:rsidR="006509AD" w:rsidRPr="005D15AC" w:rsidRDefault="006509AD" w:rsidP="006509AD">
            <w:pPr>
              <w:jc w:val="both"/>
              <w:rPr>
                <w:sz w:val="20"/>
              </w:rPr>
            </w:pPr>
            <w:r w:rsidRPr="005D15AC">
              <w:rPr>
                <w:sz w:val="20"/>
              </w:rPr>
              <w:t>Rehearing of appeal from court-appointed Monitor’s decision dismissed.</w:t>
            </w:r>
          </w:p>
        </w:tc>
      </w:tr>
      <w:tr w:rsidR="006509AD" w:rsidRPr="005D15AC" w:rsidTr="006509AD">
        <w:tc>
          <w:tcPr>
            <w:tcW w:w="2427" w:type="pct"/>
            <w:gridSpan w:val="2"/>
          </w:tcPr>
          <w:p w:rsidR="006509AD" w:rsidRPr="005D15AC" w:rsidRDefault="006509AD" w:rsidP="006509AD">
            <w:pPr>
              <w:jc w:val="both"/>
              <w:rPr>
                <w:sz w:val="20"/>
              </w:rPr>
            </w:pPr>
            <w:r w:rsidRPr="005D15AC">
              <w:rPr>
                <w:sz w:val="20"/>
              </w:rPr>
              <w:t>December 27, 2019</w:t>
            </w:r>
          </w:p>
          <w:p w:rsidR="006509AD" w:rsidRPr="005D15AC" w:rsidRDefault="006509AD" w:rsidP="006509AD">
            <w:pPr>
              <w:jc w:val="both"/>
              <w:rPr>
                <w:sz w:val="20"/>
              </w:rPr>
            </w:pPr>
            <w:r w:rsidRPr="005D15AC">
              <w:rPr>
                <w:sz w:val="20"/>
              </w:rPr>
              <w:t xml:space="preserve">Court of Appeal for British Columbia </w:t>
            </w:r>
          </w:p>
          <w:p w:rsidR="006509AD" w:rsidRPr="005D15AC" w:rsidRDefault="006509AD" w:rsidP="006509AD">
            <w:pPr>
              <w:jc w:val="both"/>
              <w:rPr>
                <w:sz w:val="20"/>
              </w:rPr>
            </w:pPr>
            <w:r w:rsidRPr="005D15AC">
              <w:rPr>
                <w:sz w:val="20"/>
              </w:rPr>
              <w:t>(Vancouver)</w:t>
            </w:r>
          </w:p>
          <w:p w:rsidR="006509AD" w:rsidRPr="005D15AC" w:rsidRDefault="006509AD" w:rsidP="006509AD">
            <w:pPr>
              <w:jc w:val="both"/>
              <w:rPr>
                <w:sz w:val="20"/>
              </w:rPr>
            </w:pPr>
            <w:r w:rsidRPr="005D15AC">
              <w:rPr>
                <w:sz w:val="20"/>
              </w:rPr>
              <w:t>(Smith, Fitch, and Griffin JJ.A.)</w:t>
            </w:r>
          </w:p>
          <w:p w:rsidR="006509AD" w:rsidRPr="005D15AC" w:rsidRDefault="006509AD" w:rsidP="006509AD">
            <w:pPr>
              <w:jc w:val="both"/>
              <w:rPr>
                <w:sz w:val="20"/>
              </w:rPr>
            </w:pPr>
            <w:hyperlink r:id="rId38" w:history="1">
              <w:r w:rsidRPr="005D15AC">
                <w:rPr>
                  <w:rStyle w:val="Hyperlink"/>
                  <w:sz w:val="20"/>
                </w:rPr>
                <w:t>2019 BCCA 473</w:t>
              </w:r>
            </w:hyperlink>
          </w:p>
          <w:p w:rsidR="006509AD" w:rsidRPr="005D15AC" w:rsidRDefault="006509AD" w:rsidP="006509AD">
            <w:pPr>
              <w:jc w:val="both"/>
              <w:rPr>
                <w:sz w:val="20"/>
              </w:rPr>
            </w:pPr>
          </w:p>
        </w:tc>
        <w:tc>
          <w:tcPr>
            <w:tcW w:w="243" w:type="pct"/>
          </w:tcPr>
          <w:p w:rsidR="006509AD" w:rsidRPr="005D15AC" w:rsidRDefault="006509AD" w:rsidP="006509AD">
            <w:pPr>
              <w:jc w:val="both"/>
              <w:rPr>
                <w:sz w:val="20"/>
              </w:rPr>
            </w:pPr>
          </w:p>
        </w:tc>
        <w:tc>
          <w:tcPr>
            <w:tcW w:w="2330" w:type="pct"/>
          </w:tcPr>
          <w:p w:rsidR="006509AD" w:rsidRPr="005D15AC" w:rsidRDefault="006509AD" w:rsidP="006509AD">
            <w:pPr>
              <w:jc w:val="both"/>
              <w:rPr>
                <w:sz w:val="20"/>
              </w:rPr>
            </w:pPr>
            <w:r w:rsidRPr="005D15AC">
              <w:rPr>
                <w:sz w:val="20"/>
              </w:rPr>
              <w:t>Appeal dismissed.</w:t>
            </w:r>
          </w:p>
        </w:tc>
      </w:tr>
      <w:tr w:rsidR="006509AD" w:rsidRPr="005D15AC" w:rsidTr="006509AD">
        <w:tc>
          <w:tcPr>
            <w:tcW w:w="2427" w:type="pct"/>
            <w:gridSpan w:val="2"/>
          </w:tcPr>
          <w:p w:rsidR="006509AD" w:rsidRPr="005D15AC" w:rsidRDefault="006509AD" w:rsidP="006509AD">
            <w:pPr>
              <w:jc w:val="both"/>
              <w:rPr>
                <w:sz w:val="20"/>
              </w:rPr>
            </w:pPr>
            <w:r w:rsidRPr="005D15AC">
              <w:rPr>
                <w:sz w:val="20"/>
              </w:rPr>
              <w:t>February 25, 2020</w:t>
            </w:r>
          </w:p>
          <w:p w:rsidR="006509AD" w:rsidRPr="005D15AC" w:rsidRDefault="006509AD" w:rsidP="006509AD">
            <w:pPr>
              <w:jc w:val="both"/>
              <w:rPr>
                <w:sz w:val="20"/>
              </w:rPr>
            </w:pPr>
            <w:r w:rsidRPr="005D15AC">
              <w:rPr>
                <w:sz w:val="20"/>
              </w:rPr>
              <w:t>Supreme Court of Canada</w:t>
            </w:r>
          </w:p>
        </w:tc>
        <w:tc>
          <w:tcPr>
            <w:tcW w:w="243" w:type="pct"/>
          </w:tcPr>
          <w:p w:rsidR="006509AD" w:rsidRPr="005D15AC" w:rsidRDefault="006509AD" w:rsidP="006509AD">
            <w:pPr>
              <w:jc w:val="both"/>
              <w:rPr>
                <w:sz w:val="20"/>
              </w:rPr>
            </w:pPr>
          </w:p>
        </w:tc>
        <w:tc>
          <w:tcPr>
            <w:tcW w:w="2330" w:type="pct"/>
          </w:tcPr>
          <w:p w:rsidR="006509AD" w:rsidRPr="005D15AC" w:rsidRDefault="006509AD" w:rsidP="006509AD">
            <w:pPr>
              <w:jc w:val="both"/>
              <w:rPr>
                <w:sz w:val="20"/>
              </w:rPr>
            </w:pPr>
            <w:r w:rsidRPr="005D15AC">
              <w:rPr>
                <w:sz w:val="20"/>
              </w:rPr>
              <w:t>Application for leave to appeal filed</w:t>
            </w:r>
          </w:p>
          <w:p w:rsidR="006509AD" w:rsidRPr="005D15AC" w:rsidRDefault="006509AD" w:rsidP="006509AD">
            <w:pPr>
              <w:jc w:val="both"/>
              <w:rPr>
                <w:sz w:val="20"/>
              </w:rPr>
            </w:pPr>
          </w:p>
        </w:tc>
      </w:tr>
    </w:tbl>
    <w:p w:rsidR="006509AD" w:rsidRPr="005D15AC" w:rsidRDefault="006509AD" w:rsidP="006509AD">
      <w:pPr>
        <w:jc w:val="both"/>
        <w:rPr>
          <w:sz w:val="20"/>
        </w:rPr>
      </w:pPr>
    </w:p>
    <w:p w:rsidR="002866B6" w:rsidRPr="005D15AC" w:rsidRDefault="002866B6" w:rsidP="006509AD">
      <w:pPr>
        <w:jc w:val="both"/>
        <w:rPr>
          <w:sz w:val="20"/>
        </w:rPr>
      </w:pPr>
      <w:r w:rsidRPr="005D15AC">
        <w:rPr>
          <w:sz w:val="20"/>
        </w:rPr>
        <w:pict>
          <v:rect id="_x0000_i1092" style="width:2in;height:1pt" o:hrpct="0" o:hralign="center" o:hrstd="t" o:hrnoshade="t" o:hr="t" fillcolor="black [3213]" stroked="f"/>
        </w:pict>
      </w:r>
    </w:p>
    <w:p w:rsidR="002866B6" w:rsidRPr="005D15AC" w:rsidRDefault="002866B6" w:rsidP="00650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09AD" w:rsidRPr="005D15AC" w:rsidTr="006509AD">
        <w:tc>
          <w:tcPr>
            <w:tcW w:w="543" w:type="pct"/>
          </w:tcPr>
          <w:p w:rsidR="006509AD" w:rsidRPr="005D15AC" w:rsidRDefault="006509AD" w:rsidP="006509AD">
            <w:pPr>
              <w:jc w:val="both"/>
              <w:rPr>
                <w:sz w:val="20"/>
                <w:lang w:val="fr-CA"/>
              </w:rPr>
            </w:pPr>
            <w:r w:rsidRPr="005D15AC">
              <w:rPr>
                <w:rStyle w:val="SCCFileNumberChar"/>
                <w:sz w:val="20"/>
                <w:szCs w:val="20"/>
                <w:lang w:val="fr-CA"/>
              </w:rPr>
              <w:t>39082</w:t>
            </w:r>
          </w:p>
        </w:tc>
        <w:tc>
          <w:tcPr>
            <w:tcW w:w="4457" w:type="pct"/>
            <w:gridSpan w:val="3"/>
          </w:tcPr>
          <w:p w:rsidR="002866B6" w:rsidRPr="005D15AC" w:rsidRDefault="006509AD" w:rsidP="006509AD">
            <w:pPr>
              <w:pStyle w:val="SCCLsocParty"/>
              <w:jc w:val="both"/>
              <w:rPr>
                <w:b/>
                <w:sz w:val="20"/>
                <w:szCs w:val="20"/>
              </w:rPr>
            </w:pPr>
            <w:r w:rsidRPr="005D15AC">
              <w:rPr>
                <w:b/>
                <w:sz w:val="20"/>
                <w:szCs w:val="20"/>
              </w:rPr>
              <w:t>Teliphone Corp. c. Ernst &amp; Young Inc., contrôleur des r</w:t>
            </w:r>
            <w:r w:rsidR="002866B6" w:rsidRPr="005D15AC">
              <w:rPr>
                <w:b/>
                <w:sz w:val="20"/>
                <w:szCs w:val="20"/>
              </w:rPr>
              <w:t xml:space="preserve">equérants nommé par le tribunal </w:t>
            </w:r>
          </w:p>
          <w:p w:rsidR="006509AD" w:rsidRPr="005D15AC" w:rsidRDefault="006509AD" w:rsidP="006509AD">
            <w:pPr>
              <w:pStyle w:val="SCCLsocParty"/>
              <w:jc w:val="both"/>
              <w:rPr>
                <w:b/>
                <w:sz w:val="20"/>
                <w:szCs w:val="20"/>
              </w:rPr>
            </w:pPr>
            <w:r w:rsidRPr="005D15AC">
              <w:rPr>
                <w:sz w:val="20"/>
                <w:szCs w:val="20"/>
              </w:rPr>
              <w:t>(C.</w:t>
            </w:r>
            <w:r w:rsidRPr="005D15AC">
              <w:rPr>
                <w:sz w:val="20"/>
                <w:szCs w:val="20"/>
              </w:rPr>
              <w:noBreakHyphen/>
              <w:t>B.) (Civile) (Sur autorisation)</w:t>
            </w:r>
          </w:p>
        </w:tc>
      </w:tr>
      <w:tr w:rsidR="006509AD" w:rsidRPr="005D15AC" w:rsidTr="006509AD">
        <w:tc>
          <w:tcPr>
            <w:tcW w:w="5000" w:type="pct"/>
            <w:gridSpan w:val="4"/>
          </w:tcPr>
          <w:p w:rsidR="006509AD" w:rsidRPr="005D15AC" w:rsidRDefault="006509AD" w:rsidP="006509AD">
            <w:pPr>
              <w:jc w:val="both"/>
              <w:rPr>
                <w:sz w:val="20"/>
                <w:lang w:val="fr-CA"/>
              </w:rPr>
            </w:pPr>
            <w:r w:rsidRPr="005D15AC">
              <w:rPr>
                <w:sz w:val="20"/>
                <w:lang w:val="fr-CA"/>
              </w:rPr>
              <w:t>Droit administratif — Appels — Norme de contrôle — Erreurs de droit isolables — Vente d’actifs par le contrôleur — Existe</w:t>
            </w:r>
            <w:r w:rsidRPr="005D15AC">
              <w:rPr>
                <w:sz w:val="20"/>
                <w:lang w:val="fr-CA"/>
              </w:rPr>
              <w:noBreakHyphen/>
              <w:t>t</w:t>
            </w:r>
            <w:r w:rsidRPr="005D15AC">
              <w:rPr>
                <w:sz w:val="20"/>
                <w:lang w:val="fr-CA"/>
              </w:rPr>
              <w:noBreakHyphen/>
              <w:t xml:space="preserve">il un critère précis pour cerner les questions de droit isolables ? — </w:t>
            </w:r>
            <w:r w:rsidRPr="005D15AC">
              <w:rPr>
                <w:i/>
                <w:iCs/>
                <w:sz w:val="20"/>
                <w:lang w:val="fr-CA"/>
              </w:rPr>
              <w:t>Loi sur les arrangements avec les créanciers des compagnies</w:t>
            </w:r>
            <w:r w:rsidRPr="005D15AC">
              <w:rPr>
                <w:sz w:val="20"/>
                <w:lang w:val="fr-CA"/>
              </w:rPr>
              <w:t>, L.R.C. 1985, ch. C</w:t>
            </w:r>
            <w:r w:rsidRPr="005D15AC">
              <w:rPr>
                <w:sz w:val="20"/>
                <w:lang w:val="fr-CA"/>
              </w:rPr>
              <w:noBreakHyphen/>
              <w:t>36</w:t>
            </w:r>
          </w:p>
        </w:tc>
      </w:tr>
      <w:tr w:rsidR="006509AD" w:rsidRPr="005D15AC" w:rsidTr="006509AD">
        <w:tc>
          <w:tcPr>
            <w:tcW w:w="5000" w:type="pct"/>
            <w:gridSpan w:val="4"/>
          </w:tcPr>
          <w:p w:rsidR="006509AD" w:rsidRPr="005D15AC" w:rsidRDefault="006509AD" w:rsidP="006509AD">
            <w:pPr>
              <w:jc w:val="both"/>
              <w:rPr>
                <w:sz w:val="20"/>
                <w:lang w:val="fr-CA"/>
              </w:rPr>
            </w:pPr>
          </w:p>
          <w:p w:rsidR="006509AD" w:rsidRPr="005D15AC" w:rsidRDefault="006509AD" w:rsidP="006509AD">
            <w:pPr>
              <w:pStyle w:val="scjnumber"/>
              <w:shd w:val="clear" w:color="auto" w:fill="FFFFFF"/>
              <w:spacing w:before="0" w:beforeAutospacing="0" w:after="0" w:afterAutospacing="0"/>
              <w:jc w:val="both"/>
              <w:rPr>
                <w:sz w:val="20"/>
                <w:szCs w:val="20"/>
                <w:lang w:val="fr-CA"/>
              </w:rPr>
            </w:pPr>
            <w:r w:rsidRPr="005D15AC">
              <w:rPr>
                <w:color w:val="000000"/>
                <w:sz w:val="20"/>
                <w:szCs w:val="20"/>
                <w:lang w:val="fr-CA"/>
              </w:rPr>
              <w:t xml:space="preserve">La société Ernst &amp; Young Inc. a été nommée contrôleur par le tribunal dans une instance intentée en application de la </w:t>
            </w:r>
            <w:r w:rsidRPr="005D15AC">
              <w:rPr>
                <w:i/>
                <w:iCs/>
                <w:sz w:val="20"/>
                <w:szCs w:val="20"/>
                <w:lang w:val="fr-CA"/>
              </w:rPr>
              <w:t>Loi sur les arrangements avec les créanciers des compagnies</w:t>
            </w:r>
            <w:r w:rsidRPr="005D15AC">
              <w:rPr>
                <w:sz w:val="20"/>
                <w:szCs w:val="20"/>
                <w:lang w:val="fr-CA"/>
              </w:rPr>
              <w:t>, L.R.C. 1985, ch. C</w:t>
            </w:r>
            <w:r w:rsidRPr="005D15AC">
              <w:rPr>
                <w:sz w:val="20"/>
                <w:szCs w:val="20"/>
                <w:lang w:val="fr-CA"/>
              </w:rPr>
              <w:noBreakHyphen/>
              <w:t>36</w:t>
            </w:r>
            <w:r w:rsidRPr="005D15AC">
              <w:rPr>
                <w:color w:val="000000"/>
                <w:sz w:val="20"/>
                <w:szCs w:val="20"/>
                <w:lang w:val="fr-CA"/>
              </w:rPr>
              <w:t>. Ernst &amp; Young Inc. soutient qu’aux fins de ses obligations à titre de contrôleur, elle a compétence pour vendre certains actifs de sociétés connues sous le nom de groupe TNW. Certaines des sociétés au sein du groupe TNW contestent le fait que leurs actifs soient offerts en vente par le contrôleur. Suivant une ordonnance de la Cour suprême de la Colombie</w:t>
            </w:r>
            <w:r w:rsidRPr="005D15AC">
              <w:rPr>
                <w:color w:val="000000"/>
                <w:sz w:val="20"/>
                <w:szCs w:val="20"/>
                <w:lang w:val="fr-CA"/>
              </w:rPr>
              <w:noBreakHyphen/>
              <w:t>Britannique, plusieurs sociétés au sein du groupe TNW ont présenté au contrôleur ce qu’elles décrivent comme étant des « preuves de réclamation ». Ces dernières ont été rejetées. Les sociétés ont fait appel à la Cour suprême de la Colombie</w:t>
            </w:r>
            <w:r w:rsidRPr="005D15AC">
              <w:rPr>
                <w:color w:val="000000"/>
                <w:sz w:val="20"/>
                <w:szCs w:val="20"/>
                <w:lang w:val="fr-CA"/>
              </w:rPr>
              <w:noBreakHyphen/>
              <w:t xml:space="preserve">Britannique, qui a confirmé la décision du contrôleur. La Cour d’appel a accordé la permission de faire appel de la question de savoir quelle norme de contrôle aurait dû être appliquée. L’appel a été accueilli et l’affaire a été renvoyée à la Cour suprême de la Colombie-Britannique avec les directives de la Cour d’appel quant à la bonne </w:t>
            </w:r>
            <w:r w:rsidRPr="005D15AC">
              <w:rPr>
                <w:color w:val="000000"/>
                <w:sz w:val="20"/>
                <w:szCs w:val="20"/>
                <w:lang w:val="fr-CA"/>
              </w:rPr>
              <w:lastRenderedPageBreak/>
              <w:t>norme de contrôle à appliquer. Suivant cette nouvelle norme de contrôle, la Cour suprême de la Colombie-Britannique a encore une fois confirmé la décision du contrôleur, et l’appel subséquent à la Cour d’appel a été rejeté.</w:t>
            </w:r>
          </w:p>
        </w:tc>
      </w:tr>
      <w:tr w:rsidR="006509AD" w:rsidRPr="005D15AC" w:rsidTr="006509AD">
        <w:tc>
          <w:tcPr>
            <w:tcW w:w="5000" w:type="pct"/>
            <w:gridSpan w:val="4"/>
          </w:tcPr>
          <w:p w:rsidR="006509AD" w:rsidRPr="005D15AC" w:rsidRDefault="006509AD" w:rsidP="006509AD">
            <w:pPr>
              <w:jc w:val="both"/>
              <w:rPr>
                <w:sz w:val="20"/>
                <w:lang w:val="fr-CA"/>
              </w:rPr>
            </w:pPr>
          </w:p>
        </w:tc>
      </w:tr>
      <w:tr w:rsidR="006509AD" w:rsidRPr="005D15AC" w:rsidTr="006509AD">
        <w:tc>
          <w:tcPr>
            <w:tcW w:w="2427" w:type="pct"/>
            <w:gridSpan w:val="2"/>
          </w:tcPr>
          <w:p w:rsidR="006509AD" w:rsidRPr="005D15AC" w:rsidRDefault="006509AD" w:rsidP="006509AD">
            <w:pPr>
              <w:jc w:val="both"/>
              <w:rPr>
                <w:sz w:val="20"/>
                <w:lang w:val="fr-CA"/>
              </w:rPr>
            </w:pPr>
            <w:r w:rsidRPr="005D15AC">
              <w:rPr>
                <w:sz w:val="20"/>
                <w:lang w:val="fr-CA"/>
              </w:rPr>
              <w:t>7 janvier 2019</w:t>
            </w:r>
          </w:p>
          <w:p w:rsidR="006509AD" w:rsidRPr="005D15AC" w:rsidRDefault="006509AD" w:rsidP="006509AD">
            <w:pPr>
              <w:jc w:val="both"/>
              <w:rPr>
                <w:sz w:val="20"/>
                <w:lang w:val="fr-CA"/>
              </w:rPr>
            </w:pPr>
            <w:r w:rsidRPr="005D15AC">
              <w:rPr>
                <w:sz w:val="20"/>
                <w:lang w:val="fr-CA"/>
              </w:rPr>
              <w:t>Cour suprême de la Colombie</w:t>
            </w:r>
            <w:r w:rsidRPr="005D15AC">
              <w:rPr>
                <w:sz w:val="20"/>
                <w:lang w:val="fr-CA"/>
              </w:rPr>
              <w:noBreakHyphen/>
              <w:t>Britannique</w:t>
            </w:r>
          </w:p>
          <w:p w:rsidR="006509AD" w:rsidRPr="005D15AC" w:rsidRDefault="006509AD" w:rsidP="006509AD">
            <w:pPr>
              <w:jc w:val="both"/>
              <w:rPr>
                <w:sz w:val="20"/>
                <w:lang w:val="fr-CA"/>
              </w:rPr>
            </w:pPr>
            <w:r w:rsidRPr="005D15AC">
              <w:rPr>
                <w:sz w:val="20"/>
                <w:lang w:val="fr-CA"/>
              </w:rPr>
              <w:t xml:space="preserve">(Juge </w:t>
            </w:r>
            <w:proofErr w:type="spellStart"/>
            <w:r w:rsidRPr="005D15AC">
              <w:rPr>
                <w:sz w:val="20"/>
                <w:lang w:val="fr-CA"/>
              </w:rPr>
              <w:t>Affleck</w:t>
            </w:r>
            <w:proofErr w:type="spellEnd"/>
            <w:r w:rsidRPr="005D15AC">
              <w:rPr>
                <w:sz w:val="20"/>
                <w:lang w:val="fr-CA"/>
              </w:rPr>
              <w:t>)</w:t>
            </w:r>
          </w:p>
          <w:p w:rsidR="006509AD" w:rsidRPr="005D15AC" w:rsidRDefault="006509AD" w:rsidP="006509AD">
            <w:pPr>
              <w:jc w:val="both"/>
              <w:rPr>
                <w:sz w:val="20"/>
                <w:lang w:val="fr-CA"/>
              </w:rPr>
            </w:pPr>
            <w:hyperlink r:id="rId39" w:history="1">
              <w:r w:rsidRPr="005D15AC">
                <w:rPr>
                  <w:rStyle w:val="Hyperlink"/>
                  <w:sz w:val="20"/>
                  <w:lang w:val="fr-CA"/>
                </w:rPr>
                <w:t>2019 BCSC 8</w:t>
              </w:r>
            </w:hyperlink>
          </w:p>
          <w:p w:rsidR="006509AD" w:rsidRPr="005D15AC" w:rsidRDefault="006509AD" w:rsidP="006509AD">
            <w:pPr>
              <w:jc w:val="both"/>
              <w:rPr>
                <w:sz w:val="20"/>
                <w:lang w:val="fr-CA"/>
              </w:rPr>
            </w:pPr>
          </w:p>
        </w:tc>
        <w:tc>
          <w:tcPr>
            <w:tcW w:w="243" w:type="pct"/>
          </w:tcPr>
          <w:p w:rsidR="006509AD" w:rsidRPr="005D15AC" w:rsidRDefault="006509AD" w:rsidP="006509AD">
            <w:pPr>
              <w:jc w:val="both"/>
              <w:rPr>
                <w:sz w:val="20"/>
                <w:lang w:val="fr-CA"/>
              </w:rPr>
            </w:pPr>
          </w:p>
        </w:tc>
        <w:tc>
          <w:tcPr>
            <w:tcW w:w="2330" w:type="pct"/>
          </w:tcPr>
          <w:p w:rsidR="006509AD" w:rsidRPr="005D15AC" w:rsidRDefault="006509AD" w:rsidP="006509AD">
            <w:pPr>
              <w:jc w:val="both"/>
              <w:rPr>
                <w:sz w:val="20"/>
                <w:lang w:val="fr-CA"/>
              </w:rPr>
            </w:pPr>
            <w:r w:rsidRPr="005D15AC">
              <w:rPr>
                <w:sz w:val="20"/>
                <w:lang w:val="fr-CA"/>
              </w:rPr>
              <w:t>Nouvelle audition de l’appel intenté contre la décision du contrôleur rejetée.</w:t>
            </w:r>
          </w:p>
        </w:tc>
      </w:tr>
      <w:tr w:rsidR="006509AD" w:rsidRPr="005D15AC" w:rsidTr="006509AD">
        <w:tc>
          <w:tcPr>
            <w:tcW w:w="2427" w:type="pct"/>
            <w:gridSpan w:val="2"/>
          </w:tcPr>
          <w:p w:rsidR="006509AD" w:rsidRPr="005D15AC" w:rsidRDefault="006509AD" w:rsidP="006509AD">
            <w:pPr>
              <w:jc w:val="both"/>
              <w:rPr>
                <w:sz w:val="20"/>
                <w:lang w:val="fr-CA"/>
              </w:rPr>
            </w:pPr>
            <w:r w:rsidRPr="005D15AC">
              <w:rPr>
                <w:sz w:val="20"/>
                <w:lang w:val="fr-CA"/>
              </w:rPr>
              <w:t>27 décembre 2019</w:t>
            </w:r>
          </w:p>
          <w:p w:rsidR="006509AD" w:rsidRPr="005D15AC" w:rsidRDefault="006509AD" w:rsidP="006509AD">
            <w:pPr>
              <w:jc w:val="both"/>
              <w:rPr>
                <w:sz w:val="20"/>
                <w:lang w:val="fr-CA"/>
              </w:rPr>
            </w:pPr>
            <w:r w:rsidRPr="005D15AC">
              <w:rPr>
                <w:sz w:val="20"/>
                <w:lang w:val="fr-CA"/>
              </w:rPr>
              <w:t>Cour d’appel de la Colombie</w:t>
            </w:r>
            <w:r w:rsidRPr="005D15AC">
              <w:rPr>
                <w:sz w:val="20"/>
                <w:lang w:val="fr-CA"/>
              </w:rPr>
              <w:noBreakHyphen/>
              <w:t>Britannique</w:t>
            </w:r>
          </w:p>
          <w:p w:rsidR="006509AD" w:rsidRPr="005D15AC" w:rsidRDefault="006509AD" w:rsidP="006509AD">
            <w:pPr>
              <w:jc w:val="both"/>
              <w:rPr>
                <w:sz w:val="20"/>
                <w:lang w:val="fr-CA"/>
              </w:rPr>
            </w:pPr>
            <w:r w:rsidRPr="005D15AC">
              <w:rPr>
                <w:sz w:val="20"/>
                <w:lang w:val="fr-CA"/>
              </w:rPr>
              <w:t>(Vancouver)</w:t>
            </w:r>
          </w:p>
          <w:p w:rsidR="006509AD" w:rsidRPr="005D15AC" w:rsidRDefault="006509AD" w:rsidP="006509AD">
            <w:pPr>
              <w:jc w:val="both"/>
              <w:rPr>
                <w:sz w:val="20"/>
                <w:lang w:val="fr-CA"/>
              </w:rPr>
            </w:pPr>
            <w:r w:rsidRPr="005D15AC">
              <w:rPr>
                <w:sz w:val="20"/>
                <w:lang w:val="fr-CA"/>
              </w:rPr>
              <w:t xml:space="preserve">(Juges Smith, </w:t>
            </w:r>
            <w:proofErr w:type="spellStart"/>
            <w:r w:rsidRPr="005D15AC">
              <w:rPr>
                <w:sz w:val="20"/>
                <w:lang w:val="fr-CA"/>
              </w:rPr>
              <w:t>Fitch</w:t>
            </w:r>
            <w:proofErr w:type="spellEnd"/>
            <w:r w:rsidRPr="005D15AC">
              <w:rPr>
                <w:sz w:val="20"/>
                <w:lang w:val="fr-CA"/>
              </w:rPr>
              <w:t xml:space="preserve"> et Griffin)</w:t>
            </w:r>
          </w:p>
          <w:p w:rsidR="006509AD" w:rsidRPr="005D15AC" w:rsidRDefault="006509AD" w:rsidP="006509AD">
            <w:pPr>
              <w:jc w:val="both"/>
              <w:rPr>
                <w:sz w:val="20"/>
                <w:lang w:val="fr-CA"/>
              </w:rPr>
            </w:pPr>
            <w:hyperlink r:id="rId40" w:history="1">
              <w:r w:rsidRPr="005D15AC">
                <w:rPr>
                  <w:rStyle w:val="Hyperlink"/>
                  <w:sz w:val="20"/>
                  <w:lang w:val="fr-CA"/>
                </w:rPr>
                <w:t>2019 BCCA 473</w:t>
              </w:r>
            </w:hyperlink>
          </w:p>
          <w:p w:rsidR="006509AD" w:rsidRPr="005D15AC" w:rsidRDefault="006509AD" w:rsidP="006509AD">
            <w:pPr>
              <w:jc w:val="both"/>
              <w:rPr>
                <w:sz w:val="20"/>
                <w:lang w:val="fr-CA"/>
              </w:rPr>
            </w:pPr>
          </w:p>
        </w:tc>
        <w:tc>
          <w:tcPr>
            <w:tcW w:w="243" w:type="pct"/>
          </w:tcPr>
          <w:p w:rsidR="006509AD" w:rsidRPr="005D15AC" w:rsidRDefault="006509AD" w:rsidP="006509AD">
            <w:pPr>
              <w:jc w:val="both"/>
              <w:rPr>
                <w:sz w:val="20"/>
                <w:lang w:val="fr-CA"/>
              </w:rPr>
            </w:pPr>
          </w:p>
        </w:tc>
        <w:tc>
          <w:tcPr>
            <w:tcW w:w="2330" w:type="pct"/>
          </w:tcPr>
          <w:p w:rsidR="006509AD" w:rsidRPr="005D15AC" w:rsidRDefault="006509AD" w:rsidP="006509AD">
            <w:pPr>
              <w:jc w:val="both"/>
              <w:rPr>
                <w:sz w:val="20"/>
                <w:lang w:val="fr-CA"/>
              </w:rPr>
            </w:pPr>
            <w:r w:rsidRPr="005D15AC">
              <w:rPr>
                <w:sz w:val="20"/>
                <w:lang w:val="fr-CA"/>
              </w:rPr>
              <w:t>Appel rejeté.</w:t>
            </w:r>
          </w:p>
          <w:p w:rsidR="002866B6" w:rsidRPr="005D15AC" w:rsidRDefault="002866B6" w:rsidP="002866B6">
            <w:pPr>
              <w:jc w:val="both"/>
              <w:rPr>
                <w:sz w:val="20"/>
                <w:lang w:val="fr-CA"/>
              </w:rPr>
            </w:pPr>
          </w:p>
        </w:tc>
      </w:tr>
      <w:tr w:rsidR="002866B6" w:rsidRPr="005D15AC" w:rsidTr="006509AD">
        <w:tc>
          <w:tcPr>
            <w:tcW w:w="2427" w:type="pct"/>
            <w:gridSpan w:val="2"/>
          </w:tcPr>
          <w:p w:rsidR="002866B6" w:rsidRPr="005D15AC" w:rsidRDefault="002866B6" w:rsidP="002866B6">
            <w:pPr>
              <w:jc w:val="both"/>
              <w:rPr>
                <w:sz w:val="20"/>
                <w:lang w:val="fr-CA"/>
              </w:rPr>
            </w:pPr>
            <w:r w:rsidRPr="005D15AC">
              <w:rPr>
                <w:sz w:val="20"/>
                <w:lang w:val="fr-CA"/>
              </w:rPr>
              <w:t>25 février 2020</w:t>
            </w:r>
          </w:p>
          <w:p w:rsidR="002866B6" w:rsidRPr="005D15AC" w:rsidRDefault="002866B6" w:rsidP="002866B6">
            <w:pPr>
              <w:jc w:val="both"/>
              <w:rPr>
                <w:sz w:val="20"/>
                <w:lang w:val="fr-CA"/>
              </w:rPr>
            </w:pPr>
            <w:r w:rsidRPr="005D15AC">
              <w:rPr>
                <w:sz w:val="20"/>
                <w:lang w:val="fr-CA"/>
              </w:rPr>
              <w:t>Cour suprême du Canada</w:t>
            </w:r>
          </w:p>
        </w:tc>
        <w:tc>
          <w:tcPr>
            <w:tcW w:w="243" w:type="pct"/>
          </w:tcPr>
          <w:p w:rsidR="002866B6" w:rsidRPr="005D15AC" w:rsidRDefault="002866B6" w:rsidP="006509AD">
            <w:pPr>
              <w:jc w:val="both"/>
              <w:rPr>
                <w:sz w:val="20"/>
                <w:lang w:val="fr-CA"/>
              </w:rPr>
            </w:pPr>
          </w:p>
        </w:tc>
        <w:tc>
          <w:tcPr>
            <w:tcW w:w="2330" w:type="pct"/>
          </w:tcPr>
          <w:p w:rsidR="002866B6" w:rsidRPr="005D15AC" w:rsidRDefault="002866B6" w:rsidP="002866B6">
            <w:pPr>
              <w:jc w:val="both"/>
              <w:rPr>
                <w:sz w:val="20"/>
                <w:lang w:val="fr-CA"/>
              </w:rPr>
            </w:pPr>
            <w:r w:rsidRPr="005D15AC">
              <w:rPr>
                <w:sz w:val="20"/>
                <w:lang w:val="fr-CA"/>
              </w:rPr>
              <w:t>Demande d’autorisation d’appel présentée.</w:t>
            </w:r>
          </w:p>
          <w:p w:rsidR="002866B6" w:rsidRPr="005D15AC" w:rsidRDefault="002866B6" w:rsidP="006509AD">
            <w:pPr>
              <w:jc w:val="both"/>
              <w:rPr>
                <w:sz w:val="20"/>
                <w:lang w:val="fr-CA"/>
              </w:rPr>
            </w:pPr>
          </w:p>
        </w:tc>
      </w:tr>
    </w:tbl>
    <w:p w:rsidR="006509AD" w:rsidRPr="005D15AC" w:rsidRDefault="006509AD" w:rsidP="006509AD">
      <w:pPr>
        <w:jc w:val="both"/>
        <w:rPr>
          <w:sz w:val="20"/>
          <w:lang w:val="fr-CA"/>
        </w:rPr>
      </w:pPr>
    </w:p>
    <w:p w:rsidR="002866B6" w:rsidRPr="005D15AC" w:rsidRDefault="002866B6" w:rsidP="006509AD">
      <w:pPr>
        <w:jc w:val="both"/>
        <w:rPr>
          <w:sz w:val="20"/>
          <w:lang w:val="fr-CA"/>
        </w:rPr>
      </w:pPr>
      <w:r w:rsidRPr="005D15AC">
        <w:rPr>
          <w:sz w:val="20"/>
        </w:rPr>
        <w:pict>
          <v:rect id="_x0000_i1093" style="width:2in;height:1pt" o:hrpct="0" o:hralign="center" o:hrstd="t" o:hrnoshade="t" o:hr="t" fillcolor="black [3213]" stroked="f"/>
        </w:pict>
      </w:r>
    </w:p>
    <w:p w:rsidR="006509AD" w:rsidRPr="005D15AC" w:rsidRDefault="006509AD" w:rsidP="00650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09AD" w:rsidRPr="005D15AC" w:rsidTr="006509AD">
        <w:tc>
          <w:tcPr>
            <w:tcW w:w="543" w:type="pct"/>
          </w:tcPr>
          <w:p w:rsidR="006509AD" w:rsidRPr="005D15AC" w:rsidRDefault="006509AD" w:rsidP="006509AD">
            <w:pPr>
              <w:jc w:val="both"/>
              <w:rPr>
                <w:sz w:val="20"/>
              </w:rPr>
            </w:pPr>
            <w:r w:rsidRPr="005D15AC">
              <w:rPr>
                <w:rStyle w:val="SCCFileNumberChar"/>
                <w:sz w:val="20"/>
                <w:szCs w:val="20"/>
              </w:rPr>
              <w:t>39263</w:t>
            </w:r>
          </w:p>
        </w:tc>
        <w:tc>
          <w:tcPr>
            <w:tcW w:w="4457" w:type="pct"/>
            <w:gridSpan w:val="3"/>
          </w:tcPr>
          <w:p w:rsidR="006509AD" w:rsidRPr="005D15AC" w:rsidRDefault="006509AD" w:rsidP="006509AD">
            <w:pPr>
              <w:pStyle w:val="SCCLsocParty"/>
              <w:jc w:val="both"/>
              <w:rPr>
                <w:b/>
                <w:sz w:val="20"/>
                <w:szCs w:val="20"/>
                <w:lang w:val="en-US"/>
              </w:rPr>
            </w:pPr>
            <w:r w:rsidRPr="005D15AC">
              <w:rPr>
                <w:b/>
                <w:sz w:val="20"/>
                <w:szCs w:val="20"/>
                <w:lang w:val="en-US"/>
              </w:rPr>
              <w:t xml:space="preserve">Activa Trading Co. Ltd., MLS Machinery Incorporated, Peter Sommer, Robin Sommer v. Birchland Plywood-Veneer Limited, Birchland Plywood Limited, </w:t>
            </w:r>
            <w:proofErr w:type="gramStart"/>
            <w:r w:rsidRPr="005D15AC">
              <w:rPr>
                <w:b/>
                <w:sz w:val="20"/>
                <w:szCs w:val="20"/>
                <w:lang w:val="en-US"/>
              </w:rPr>
              <w:t>Wishart</w:t>
            </w:r>
            <w:proofErr w:type="gramEnd"/>
            <w:r w:rsidRPr="005D15AC">
              <w:rPr>
                <w:b/>
                <w:sz w:val="20"/>
                <w:szCs w:val="20"/>
                <w:lang w:val="en-US"/>
              </w:rPr>
              <w:t xml:space="preserve"> Law Firm LLP, J. Paul R. Cassan, McRoberts Legal Services Inc.</w:t>
            </w:r>
          </w:p>
          <w:p w:rsidR="006509AD" w:rsidRPr="005D15AC" w:rsidRDefault="006509AD" w:rsidP="006509AD">
            <w:pPr>
              <w:jc w:val="both"/>
              <w:rPr>
                <w:sz w:val="20"/>
              </w:rPr>
            </w:pPr>
            <w:r w:rsidRPr="005D15AC">
              <w:rPr>
                <w:sz w:val="20"/>
              </w:rPr>
              <w:t>(Ont.) (Civil) (By Leave)</w:t>
            </w:r>
          </w:p>
        </w:tc>
      </w:tr>
      <w:tr w:rsidR="006509AD" w:rsidRPr="005D15AC" w:rsidTr="006509AD">
        <w:tc>
          <w:tcPr>
            <w:tcW w:w="5000" w:type="pct"/>
            <w:gridSpan w:val="4"/>
          </w:tcPr>
          <w:p w:rsidR="006509AD" w:rsidRPr="005D15AC" w:rsidRDefault="006509AD" w:rsidP="006509AD">
            <w:pPr>
              <w:jc w:val="both"/>
              <w:rPr>
                <w:sz w:val="20"/>
              </w:rPr>
            </w:pPr>
            <w:r w:rsidRPr="005D15AC">
              <w:rPr>
                <w:sz w:val="20"/>
              </w:rPr>
              <w:t>Civil procedure — Abuse of process — Judgments and orders — Summary judgments — Default judgment — Contracts — Commercial contracts — Respondents bringing claim against applicants in respect of allegedly faulty woodworking equipment, and obtaining default judgment — Applicants alleging improper service of claim and unsuccessfully attempting to appeal or dismiss original decision — Applicants bringing new claim against respondents for damages arising out of default judgment and alleging fraud — Courts below dismissing applicants’ claim as abuse of process — Whether self</w:t>
            </w:r>
            <w:r w:rsidRPr="005D15AC">
              <w:rPr>
                <w:sz w:val="20"/>
              </w:rPr>
              <w:noBreakHyphen/>
              <w:t>represented litigants are unjustly treated by the Courts, lawyers or administrative staff — Whether summary judgment procedures are being used unfairly and inappropriately against self</w:t>
            </w:r>
            <w:r w:rsidRPr="005D15AC">
              <w:rPr>
                <w:sz w:val="20"/>
              </w:rPr>
              <w:noBreakHyphen/>
              <w:t xml:space="preserve">represented litigants, thereby limiting access to justice and depriving them of rights — Whether applicants’ case is of public interest because it transcends interests of those most directly affected by challenged law or action — Whether a claim with respect to contractual dispute may be summarily dismissed  where terms of contract never read or considered by courts below — Whether administration of justice brought into disrepute if default judgment deceitfully obtained — </w:t>
            </w:r>
            <w:r w:rsidRPr="005D15AC">
              <w:rPr>
                <w:i/>
                <w:sz w:val="20"/>
              </w:rPr>
              <w:t>Rules of Civil Procedure</w:t>
            </w:r>
            <w:r w:rsidRPr="005D15AC">
              <w:rPr>
                <w:sz w:val="20"/>
              </w:rPr>
              <w:t>, R.R.O. 1990, Reg. 194, Rule 2.1.01.</w:t>
            </w:r>
          </w:p>
          <w:p w:rsidR="002866B6" w:rsidRPr="005D15AC" w:rsidRDefault="002866B6" w:rsidP="006509AD">
            <w:pPr>
              <w:jc w:val="both"/>
              <w:rPr>
                <w:sz w:val="20"/>
              </w:rPr>
            </w:pPr>
          </w:p>
        </w:tc>
      </w:tr>
      <w:tr w:rsidR="006509AD" w:rsidRPr="005D15AC" w:rsidTr="006509AD">
        <w:tc>
          <w:tcPr>
            <w:tcW w:w="5000" w:type="pct"/>
            <w:gridSpan w:val="4"/>
          </w:tcPr>
          <w:p w:rsidR="006509AD" w:rsidRPr="005D15AC" w:rsidRDefault="006509AD" w:rsidP="006509AD">
            <w:pPr>
              <w:jc w:val="both"/>
              <w:rPr>
                <w:sz w:val="20"/>
              </w:rPr>
            </w:pPr>
            <w:r w:rsidRPr="005D15AC">
              <w:rPr>
                <w:sz w:val="20"/>
              </w:rPr>
              <w:t>The respondent Birchland brought a claim against the applicants, Activa and MLS, and obtained default judgment. Activa and MLS alleged that service of the original claim never occurred, and moved to set aside the default judgment. The motion was dismissed. Activa and MLS then attempted, unsuccessfully, to appeal the dismissal of the motion, and to bring a new motion.</w:t>
            </w:r>
          </w:p>
          <w:p w:rsidR="006509AD" w:rsidRPr="005D15AC" w:rsidRDefault="006509AD" w:rsidP="006509AD">
            <w:pPr>
              <w:jc w:val="both"/>
              <w:rPr>
                <w:sz w:val="20"/>
              </w:rPr>
            </w:pPr>
          </w:p>
          <w:p w:rsidR="006509AD" w:rsidRPr="005D15AC" w:rsidRDefault="006509AD" w:rsidP="006509AD">
            <w:pPr>
              <w:jc w:val="both"/>
              <w:rPr>
                <w:sz w:val="20"/>
              </w:rPr>
            </w:pPr>
            <w:r w:rsidRPr="005D15AC">
              <w:rPr>
                <w:sz w:val="20"/>
              </w:rPr>
              <w:t xml:space="preserve">Activa and MLS and their principals then brought a new claim against Birchland, as well as against Birchland’s law firm and lawyer, and against the process server from the original claim. Activa and MLS alleged that fraud had occurred with respect to the service of the original claim, and claimed $15 million in damages arising from the default judgment. Birchland and the other respondents moved to strike the action under Rule 2.1.01 of the Ontario </w:t>
            </w:r>
            <w:r w:rsidRPr="005D15AC">
              <w:rPr>
                <w:i/>
                <w:sz w:val="20"/>
              </w:rPr>
              <w:t>Rules of Civil Procedure</w:t>
            </w:r>
            <w:r w:rsidRPr="005D15AC">
              <w:rPr>
                <w:sz w:val="20"/>
              </w:rPr>
              <w:t xml:space="preserve">, R.R.O. 1990, </w:t>
            </w:r>
            <w:proofErr w:type="gramStart"/>
            <w:r w:rsidRPr="005D15AC">
              <w:rPr>
                <w:sz w:val="20"/>
              </w:rPr>
              <w:t>Reg</w:t>
            </w:r>
            <w:proofErr w:type="gramEnd"/>
            <w:r w:rsidRPr="005D15AC">
              <w:rPr>
                <w:sz w:val="20"/>
              </w:rPr>
              <w:t>. 194.</w:t>
            </w:r>
          </w:p>
          <w:p w:rsidR="006509AD" w:rsidRPr="005D15AC" w:rsidRDefault="006509AD" w:rsidP="006509AD">
            <w:pPr>
              <w:jc w:val="both"/>
              <w:rPr>
                <w:sz w:val="20"/>
              </w:rPr>
            </w:pPr>
          </w:p>
          <w:p w:rsidR="006509AD" w:rsidRPr="005D15AC" w:rsidRDefault="006509AD" w:rsidP="006509AD">
            <w:pPr>
              <w:jc w:val="both"/>
              <w:rPr>
                <w:sz w:val="20"/>
              </w:rPr>
            </w:pPr>
            <w:r w:rsidRPr="005D15AC">
              <w:rPr>
                <w:sz w:val="20"/>
              </w:rPr>
              <w:t>A motion judge at the Ontario Superior Court of Justice granted Birchland’s motion, and dismissed Activa’s and MLS’ new proposed claim pursuant to Rule 2.1.01, finding it to be frivolous, vexatious and an abuse of the process of the court. The Court of Appeal dismissed an appeal by Activa and MLS and their principals, finding no error in the motion judge’s analysis and in his decision to dismiss the claim.</w:t>
            </w:r>
          </w:p>
        </w:tc>
      </w:tr>
      <w:tr w:rsidR="006509AD" w:rsidRPr="005D15AC" w:rsidTr="006509AD">
        <w:tc>
          <w:tcPr>
            <w:tcW w:w="5000" w:type="pct"/>
            <w:gridSpan w:val="4"/>
          </w:tcPr>
          <w:p w:rsidR="006509AD" w:rsidRPr="005D15AC" w:rsidRDefault="006509AD" w:rsidP="006509AD">
            <w:pPr>
              <w:jc w:val="both"/>
              <w:rPr>
                <w:sz w:val="20"/>
              </w:rPr>
            </w:pPr>
          </w:p>
        </w:tc>
      </w:tr>
      <w:tr w:rsidR="006509AD" w:rsidRPr="005D15AC" w:rsidTr="006509AD">
        <w:tc>
          <w:tcPr>
            <w:tcW w:w="2427" w:type="pct"/>
            <w:gridSpan w:val="2"/>
          </w:tcPr>
          <w:p w:rsidR="006509AD" w:rsidRPr="005D15AC" w:rsidRDefault="006509AD" w:rsidP="006509AD">
            <w:pPr>
              <w:jc w:val="both"/>
              <w:rPr>
                <w:sz w:val="20"/>
              </w:rPr>
            </w:pPr>
            <w:r w:rsidRPr="005D15AC">
              <w:rPr>
                <w:sz w:val="20"/>
              </w:rPr>
              <w:t>March 29, 2019 (reasons provided July 10)</w:t>
            </w:r>
          </w:p>
          <w:p w:rsidR="006509AD" w:rsidRPr="005D15AC" w:rsidRDefault="006509AD" w:rsidP="006509AD">
            <w:pPr>
              <w:jc w:val="both"/>
              <w:rPr>
                <w:sz w:val="20"/>
              </w:rPr>
            </w:pPr>
            <w:r w:rsidRPr="005D15AC">
              <w:rPr>
                <w:sz w:val="20"/>
              </w:rPr>
              <w:t>Ontario Superior Court of Justice</w:t>
            </w:r>
          </w:p>
          <w:p w:rsidR="006509AD" w:rsidRPr="005D15AC" w:rsidRDefault="006509AD" w:rsidP="006509AD">
            <w:pPr>
              <w:jc w:val="both"/>
              <w:rPr>
                <w:sz w:val="20"/>
              </w:rPr>
            </w:pPr>
            <w:r w:rsidRPr="005D15AC">
              <w:rPr>
                <w:sz w:val="20"/>
              </w:rPr>
              <w:t>(Glustein J.)</w:t>
            </w:r>
          </w:p>
          <w:p w:rsidR="006509AD" w:rsidRPr="005D15AC" w:rsidRDefault="006509AD" w:rsidP="006509AD">
            <w:pPr>
              <w:jc w:val="both"/>
              <w:rPr>
                <w:sz w:val="20"/>
              </w:rPr>
            </w:pPr>
            <w:r w:rsidRPr="005D15AC">
              <w:rPr>
                <w:sz w:val="20"/>
              </w:rPr>
              <w:lastRenderedPageBreak/>
              <w:t xml:space="preserve">2019 ONSC 4133 </w:t>
            </w:r>
          </w:p>
          <w:p w:rsidR="006509AD" w:rsidRPr="005D15AC" w:rsidRDefault="006509AD" w:rsidP="006509AD">
            <w:pPr>
              <w:jc w:val="both"/>
              <w:rPr>
                <w:sz w:val="20"/>
              </w:rPr>
            </w:pPr>
          </w:p>
        </w:tc>
        <w:tc>
          <w:tcPr>
            <w:tcW w:w="243" w:type="pct"/>
          </w:tcPr>
          <w:p w:rsidR="006509AD" w:rsidRPr="005D15AC" w:rsidRDefault="006509AD" w:rsidP="006509AD">
            <w:pPr>
              <w:jc w:val="both"/>
              <w:rPr>
                <w:sz w:val="20"/>
              </w:rPr>
            </w:pPr>
          </w:p>
        </w:tc>
        <w:tc>
          <w:tcPr>
            <w:tcW w:w="2330" w:type="pct"/>
          </w:tcPr>
          <w:p w:rsidR="006509AD" w:rsidRPr="005D15AC" w:rsidRDefault="006509AD" w:rsidP="006509AD">
            <w:pPr>
              <w:jc w:val="both"/>
              <w:rPr>
                <w:sz w:val="20"/>
              </w:rPr>
            </w:pPr>
            <w:r w:rsidRPr="005D15AC">
              <w:rPr>
                <w:sz w:val="20"/>
              </w:rPr>
              <w:t xml:space="preserve">Activa’s and MLS’ action struck under Rule 2.1.01 of Ontario </w:t>
            </w:r>
            <w:r w:rsidRPr="005D15AC">
              <w:rPr>
                <w:i/>
                <w:sz w:val="20"/>
              </w:rPr>
              <w:t>Rules of Civil Procedure</w:t>
            </w:r>
            <w:r w:rsidRPr="005D15AC">
              <w:rPr>
                <w:sz w:val="20"/>
              </w:rPr>
              <w:t>, R.R.O. 1990, Reg. 194, for abuse of process.</w:t>
            </w:r>
          </w:p>
          <w:p w:rsidR="006509AD" w:rsidRPr="005D15AC" w:rsidRDefault="006509AD" w:rsidP="006509AD">
            <w:pPr>
              <w:jc w:val="both"/>
              <w:rPr>
                <w:sz w:val="20"/>
              </w:rPr>
            </w:pPr>
          </w:p>
        </w:tc>
      </w:tr>
      <w:tr w:rsidR="006509AD" w:rsidRPr="005D15AC" w:rsidTr="006509AD">
        <w:tc>
          <w:tcPr>
            <w:tcW w:w="2427" w:type="pct"/>
            <w:gridSpan w:val="2"/>
          </w:tcPr>
          <w:p w:rsidR="006509AD" w:rsidRPr="005D15AC" w:rsidRDefault="006509AD" w:rsidP="006509AD">
            <w:pPr>
              <w:jc w:val="both"/>
              <w:rPr>
                <w:sz w:val="20"/>
              </w:rPr>
            </w:pPr>
            <w:r w:rsidRPr="005D15AC">
              <w:rPr>
                <w:sz w:val="20"/>
              </w:rPr>
              <w:lastRenderedPageBreak/>
              <w:t>February 7, 2020</w:t>
            </w:r>
          </w:p>
          <w:p w:rsidR="006509AD" w:rsidRPr="005D15AC" w:rsidRDefault="006509AD" w:rsidP="006509AD">
            <w:pPr>
              <w:jc w:val="both"/>
              <w:rPr>
                <w:sz w:val="20"/>
              </w:rPr>
            </w:pPr>
            <w:r w:rsidRPr="005D15AC">
              <w:rPr>
                <w:sz w:val="20"/>
              </w:rPr>
              <w:t>Court of Appeal for Ontario</w:t>
            </w:r>
          </w:p>
          <w:p w:rsidR="006509AD" w:rsidRPr="005D15AC" w:rsidRDefault="006509AD" w:rsidP="006509AD">
            <w:pPr>
              <w:jc w:val="both"/>
              <w:rPr>
                <w:sz w:val="20"/>
              </w:rPr>
            </w:pPr>
            <w:r w:rsidRPr="005D15AC">
              <w:rPr>
                <w:sz w:val="20"/>
              </w:rPr>
              <w:t>(Feldman, Brown and Zarnett JJ.A.)</w:t>
            </w:r>
          </w:p>
          <w:p w:rsidR="006509AD" w:rsidRPr="005D15AC" w:rsidRDefault="006509AD" w:rsidP="006509AD">
            <w:pPr>
              <w:jc w:val="both"/>
              <w:rPr>
                <w:sz w:val="20"/>
              </w:rPr>
            </w:pPr>
            <w:hyperlink r:id="rId41" w:history="1">
              <w:r w:rsidRPr="005D15AC">
                <w:rPr>
                  <w:rStyle w:val="Hyperlink"/>
                  <w:sz w:val="20"/>
                </w:rPr>
                <w:t>2020 ONCA 93</w:t>
              </w:r>
            </w:hyperlink>
            <w:r w:rsidRPr="005D15AC">
              <w:rPr>
                <w:sz w:val="20"/>
              </w:rPr>
              <w:t xml:space="preserve"> </w:t>
            </w:r>
          </w:p>
          <w:p w:rsidR="006509AD" w:rsidRPr="005D15AC" w:rsidRDefault="006509AD" w:rsidP="006509AD">
            <w:pPr>
              <w:jc w:val="both"/>
              <w:rPr>
                <w:sz w:val="20"/>
              </w:rPr>
            </w:pPr>
          </w:p>
        </w:tc>
        <w:tc>
          <w:tcPr>
            <w:tcW w:w="243" w:type="pct"/>
          </w:tcPr>
          <w:p w:rsidR="006509AD" w:rsidRPr="005D15AC" w:rsidRDefault="006509AD" w:rsidP="006509AD">
            <w:pPr>
              <w:jc w:val="both"/>
              <w:rPr>
                <w:sz w:val="20"/>
              </w:rPr>
            </w:pPr>
          </w:p>
        </w:tc>
        <w:tc>
          <w:tcPr>
            <w:tcW w:w="2330" w:type="pct"/>
          </w:tcPr>
          <w:p w:rsidR="006509AD" w:rsidRPr="005D15AC" w:rsidRDefault="006509AD" w:rsidP="006509AD">
            <w:pPr>
              <w:jc w:val="both"/>
              <w:rPr>
                <w:sz w:val="20"/>
              </w:rPr>
            </w:pPr>
            <w:r w:rsidRPr="005D15AC">
              <w:rPr>
                <w:sz w:val="20"/>
              </w:rPr>
              <w:t>Activa’s and MLS’ appeal dismissed.</w:t>
            </w:r>
          </w:p>
          <w:p w:rsidR="006509AD" w:rsidRPr="005D15AC" w:rsidRDefault="006509AD" w:rsidP="006509AD">
            <w:pPr>
              <w:jc w:val="both"/>
              <w:rPr>
                <w:sz w:val="20"/>
              </w:rPr>
            </w:pPr>
          </w:p>
        </w:tc>
      </w:tr>
      <w:tr w:rsidR="006509AD" w:rsidRPr="005D15AC" w:rsidTr="006509AD">
        <w:tc>
          <w:tcPr>
            <w:tcW w:w="2427" w:type="pct"/>
            <w:gridSpan w:val="2"/>
          </w:tcPr>
          <w:p w:rsidR="006509AD" w:rsidRPr="005D15AC" w:rsidRDefault="006509AD" w:rsidP="006509AD">
            <w:pPr>
              <w:jc w:val="both"/>
              <w:rPr>
                <w:sz w:val="20"/>
              </w:rPr>
            </w:pPr>
            <w:r w:rsidRPr="005D15AC">
              <w:rPr>
                <w:sz w:val="20"/>
              </w:rPr>
              <w:t>April 6, 2020</w:t>
            </w:r>
          </w:p>
          <w:p w:rsidR="006509AD" w:rsidRPr="005D15AC" w:rsidRDefault="006509AD" w:rsidP="006509AD">
            <w:pPr>
              <w:jc w:val="both"/>
              <w:rPr>
                <w:sz w:val="20"/>
              </w:rPr>
            </w:pPr>
            <w:r w:rsidRPr="005D15AC">
              <w:rPr>
                <w:sz w:val="20"/>
              </w:rPr>
              <w:t>Supreme Court of Canada</w:t>
            </w:r>
          </w:p>
        </w:tc>
        <w:tc>
          <w:tcPr>
            <w:tcW w:w="243" w:type="pct"/>
          </w:tcPr>
          <w:p w:rsidR="006509AD" w:rsidRPr="005D15AC" w:rsidRDefault="006509AD" w:rsidP="006509AD">
            <w:pPr>
              <w:jc w:val="both"/>
              <w:rPr>
                <w:sz w:val="20"/>
              </w:rPr>
            </w:pPr>
          </w:p>
        </w:tc>
        <w:tc>
          <w:tcPr>
            <w:tcW w:w="2330" w:type="pct"/>
          </w:tcPr>
          <w:p w:rsidR="006509AD" w:rsidRPr="005D15AC" w:rsidRDefault="006509AD" w:rsidP="006509AD">
            <w:pPr>
              <w:jc w:val="both"/>
              <w:rPr>
                <w:sz w:val="20"/>
              </w:rPr>
            </w:pPr>
            <w:r w:rsidRPr="005D15AC">
              <w:rPr>
                <w:sz w:val="20"/>
              </w:rPr>
              <w:t>Application for leave to appeal filed by Activa and MLS</w:t>
            </w:r>
          </w:p>
        </w:tc>
      </w:tr>
    </w:tbl>
    <w:p w:rsidR="006509AD" w:rsidRPr="005D15AC" w:rsidRDefault="006509AD" w:rsidP="006509AD">
      <w:pPr>
        <w:jc w:val="both"/>
        <w:rPr>
          <w:sz w:val="20"/>
        </w:rPr>
      </w:pPr>
    </w:p>
    <w:p w:rsidR="002866B6" w:rsidRPr="005D15AC" w:rsidRDefault="002866B6" w:rsidP="006509AD">
      <w:pPr>
        <w:jc w:val="both"/>
        <w:rPr>
          <w:sz w:val="20"/>
        </w:rPr>
      </w:pPr>
      <w:r w:rsidRPr="005D15AC">
        <w:rPr>
          <w:sz w:val="20"/>
        </w:rPr>
        <w:pict>
          <v:rect id="_x0000_i1094" style="width:2in;height:1pt" o:hrpct="0" o:hralign="center" o:hrstd="t" o:hrnoshade="t" o:hr="t" fillcolor="black [3213]" stroked="f"/>
        </w:pict>
      </w:r>
    </w:p>
    <w:p w:rsidR="002866B6" w:rsidRPr="005D15AC" w:rsidRDefault="002866B6" w:rsidP="00650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09AD" w:rsidRPr="005D15AC" w:rsidTr="006509AD">
        <w:tc>
          <w:tcPr>
            <w:tcW w:w="543" w:type="pct"/>
          </w:tcPr>
          <w:p w:rsidR="006509AD" w:rsidRPr="005D15AC" w:rsidRDefault="006509AD" w:rsidP="006509AD">
            <w:pPr>
              <w:jc w:val="both"/>
              <w:rPr>
                <w:sz w:val="20"/>
                <w:lang w:val="fr-CA"/>
              </w:rPr>
            </w:pPr>
            <w:r w:rsidRPr="005D15AC">
              <w:rPr>
                <w:rStyle w:val="SCCFileNumberChar"/>
                <w:sz w:val="20"/>
                <w:szCs w:val="20"/>
                <w:lang w:val="fr-CA"/>
              </w:rPr>
              <w:t>39263</w:t>
            </w:r>
          </w:p>
        </w:tc>
        <w:tc>
          <w:tcPr>
            <w:tcW w:w="4457" w:type="pct"/>
            <w:gridSpan w:val="3"/>
          </w:tcPr>
          <w:p w:rsidR="006509AD" w:rsidRPr="005D15AC" w:rsidRDefault="006509AD" w:rsidP="006509AD">
            <w:pPr>
              <w:pStyle w:val="SCCLsocParty"/>
              <w:jc w:val="both"/>
              <w:rPr>
                <w:b/>
                <w:sz w:val="20"/>
                <w:szCs w:val="20"/>
                <w:lang w:val="en-US"/>
              </w:rPr>
            </w:pPr>
            <w:r w:rsidRPr="005D15AC">
              <w:rPr>
                <w:b/>
                <w:sz w:val="20"/>
                <w:szCs w:val="20"/>
                <w:lang w:val="en-US"/>
              </w:rPr>
              <w:t>Activa Trading Co. Ltd., MLS Machinery Incorporated, Peter Sommer, Robin Sommer c. Birchland Plywood-Veneer Limited, Birchland Plywood Limited, Wishart Law Firm LLP, J. Paul R. Cassan, McRoberts Legal Services Inc.</w:t>
            </w:r>
          </w:p>
          <w:p w:rsidR="006509AD" w:rsidRPr="005D15AC" w:rsidRDefault="006509AD" w:rsidP="006509AD">
            <w:pPr>
              <w:jc w:val="both"/>
              <w:rPr>
                <w:sz w:val="20"/>
                <w:lang w:val="fr-CA"/>
              </w:rPr>
            </w:pPr>
            <w:r w:rsidRPr="005D15AC">
              <w:rPr>
                <w:sz w:val="20"/>
                <w:lang w:val="fr-CA"/>
              </w:rPr>
              <w:t>(Ont.) (Civile) (Sur autorisation)</w:t>
            </w:r>
          </w:p>
        </w:tc>
      </w:tr>
      <w:tr w:rsidR="006509AD" w:rsidRPr="005D15AC" w:rsidTr="006509AD">
        <w:tc>
          <w:tcPr>
            <w:tcW w:w="5000" w:type="pct"/>
            <w:gridSpan w:val="4"/>
          </w:tcPr>
          <w:p w:rsidR="006509AD" w:rsidRPr="005D15AC" w:rsidRDefault="006509AD" w:rsidP="006509AD">
            <w:pPr>
              <w:jc w:val="both"/>
              <w:rPr>
                <w:sz w:val="20"/>
                <w:lang w:val="fr-CA"/>
              </w:rPr>
            </w:pPr>
            <w:r w:rsidRPr="005D15AC">
              <w:rPr>
                <w:sz w:val="20"/>
                <w:lang w:val="fr-CA"/>
              </w:rPr>
              <w:t>Procédure civile — Abus de procédure — Jugements et ordonnances — Jugements sommaires —  Jugement par défaut — Contrats — Contrats commerciaux — Les intimés ont intenté une action contre les demandeurs à l’égard d’outils de menuiserie qu’ils prétendent être défectueux et ont obtenu un jugement par défaut — Les demandeurs allèguent que la demande ne leur a pas été signifiée correctement, et leur tentative de faire appel de la décision initiale ou de la faire rejeter a échouée — Les demandeurs ont intenté une nouvelle action contre les intimés en dommages</w:t>
            </w:r>
            <w:r w:rsidRPr="005D15AC">
              <w:rPr>
                <w:sz w:val="20"/>
                <w:lang w:val="fr-CA"/>
              </w:rPr>
              <w:noBreakHyphen/>
              <w:t>intérêts découlant du jugement par défaut et allèguent la fraude — Les tribunaux inférieurs ont rejeté l’action des demandeurs pour cause d’abus de procédure — Les plaideurs non représentés sont</w:t>
            </w:r>
            <w:r w:rsidRPr="005D15AC">
              <w:rPr>
                <w:sz w:val="20"/>
                <w:lang w:val="fr-CA"/>
              </w:rPr>
              <w:noBreakHyphen/>
              <w:t>ils traités de façon inéquitable par les tribunaux, les avocats ou le personnel administratif ? — Les procédures relatives aux jugements sommaires sont-elles utilisées de façon inappropriée ou inéquitable contre les plaideurs non représentés, limitant ainsi l’accès à la justice de ces derniers et les privant de leurs droits ? — La cause des demandeurs est</w:t>
            </w:r>
            <w:r w:rsidRPr="005D15AC">
              <w:rPr>
                <w:sz w:val="20"/>
                <w:lang w:val="fr-CA"/>
              </w:rPr>
              <w:noBreakHyphen/>
              <w:t>elle dans l’intérêt public puisqu’elle transcende les intérêts de ceux qui sont directement touchés par la loi ou l’action contestée ? — Une action concernant un différend contractuel peut</w:t>
            </w:r>
            <w:r w:rsidRPr="005D15AC">
              <w:rPr>
                <w:sz w:val="20"/>
                <w:lang w:val="fr-CA"/>
              </w:rPr>
              <w:noBreakHyphen/>
              <w:t>elle être sommairement rejetée lorsque les conditions du contrat n’ont jamais été lues ou examinées par les tribunaux inférieurs ? — L’administration de la justice est</w:t>
            </w:r>
            <w:r w:rsidRPr="005D15AC">
              <w:rPr>
                <w:sz w:val="20"/>
                <w:lang w:val="fr-CA"/>
              </w:rPr>
              <w:noBreakHyphen/>
              <w:t xml:space="preserve">elle déconsidérée si le jugement par défaut a été obtenu par la tromperie ? — </w:t>
            </w:r>
            <w:r w:rsidRPr="005D15AC">
              <w:rPr>
                <w:i/>
                <w:sz w:val="20"/>
                <w:lang w:val="fr-CA"/>
              </w:rPr>
              <w:t>Règles de procédure civile</w:t>
            </w:r>
            <w:r w:rsidRPr="005D15AC">
              <w:rPr>
                <w:sz w:val="20"/>
                <w:lang w:val="fr-CA"/>
              </w:rPr>
              <w:t xml:space="preserve">, R.R.O. 1990, </w:t>
            </w:r>
            <w:proofErr w:type="spellStart"/>
            <w:r w:rsidRPr="005D15AC">
              <w:rPr>
                <w:sz w:val="20"/>
                <w:lang w:val="fr-CA"/>
              </w:rPr>
              <w:t>Règl</w:t>
            </w:r>
            <w:proofErr w:type="spellEnd"/>
            <w:r w:rsidRPr="005D15AC">
              <w:rPr>
                <w:sz w:val="20"/>
                <w:lang w:val="fr-CA"/>
              </w:rPr>
              <w:t>. 194, règle 2.1.01.</w:t>
            </w:r>
          </w:p>
          <w:p w:rsidR="002866B6" w:rsidRPr="005D15AC" w:rsidRDefault="002866B6" w:rsidP="006509AD">
            <w:pPr>
              <w:jc w:val="both"/>
              <w:rPr>
                <w:sz w:val="20"/>
                <w:lang w:val="fr-CA"/>
              </w:rPr>
            </w:pPr>
          </w:p>
        </w:tc>
      </w:tr>
      <w:tr w:rsidR="006509AD" w:rsidRPr="005D15AC" w:rsidTr="006509AD">
        <w:tc>
          <w:tcPr>
            <w:tcW w:w="5000" w:type="pct"/>
            <w:gridSpan w:val="4"/>
          </w:tcPr>
          <w:p w:rsidR="006509AD" w:rsidRPr="005D15AC" w:rsidRDefault="006509AD" w:rsidP="006509AD">
            <w:pPr>
              <w:jc w:val="both"/>
              <w:rPr>
                <w:sz w:val="20"/>
                <w:lang w:val="fr-CA"/>
              </w:rPr>
            </w:pPr>
            <w:r w:rsidRPr="005D15AC">
              <w:rPr>
                <w:sz w:val="20"/>
                <w:lang w:val="fr-CA"/>
              </w:rPr>
              <w:t>L’intimée Birchland a intenté une action contre les demanderesses, Activa and MLS, et a obtenu un jugement sommaire. Alléguant qu’il n’y avait pas eu signification de la demande initiale, Activa et MLS ont présenté une motion pour annuler le jugement par défaut. La motion a été rejetée. Activa et MLS ont par la suite tenté, sans succès, de faire appel du rejet de la motion et de présenter une nouvelle motion.</w:t>
            </w:r>
          </w:p>
          <w:p w:rsidR="006509AD" w:rsidRPr="005D15AC" w:rsidRDefault="006509AD" w:rsidP="006509AD">
            <w:pPr>
              <w:jc w:val="both"/>
              <w:rPr>
                <w:sz w:val="20"/>
                <w:lang w:val="fr-CA"/>
              </w:rPr>
            </w:pPr>
          </w:p>
          <w:p w:rsidR="006509AD" w:rsidRPr="005D15AC" w:rsidRDefault="006509AD" w:rsidP="006509AD">
            <w:pPr>
              <w:jc w:val="both"/>
              <w:rPr>
                <w:sz w:val="20"/>
                <w:lang w:val="fr-CA"/>
              </w:rPr>
            </w:pPr>
            <w:r w:rsidRPr="005D15AC">
              <w:rPr>
                <w:sz w:val="20"/>
                <w:lang w:val="fr-CA"/>
              </w:rPr>
              <w:t xml:space="preserve">Activa et MLS et les principaux responsables de ces sociétés ont ensuite intenté une nouvelle action contre Birchland, ainsi que le cabinet d’avocats et l’avocat de cette dernière, et contre la personne chargée de la signification de la demande initiale. Activa et MLS ont allégué la fraude à l’égard de la signification de la demande initiale, et ont réclamé des dommages-intérêts s’élevant à 15 millions de dollars découlant du jugement par défaut. Birchland et les autres intimés ont demandé la radiation de l’action, par voie de motion, en application de la règle 2.1.01 des </w:t>
            </w:r>
            <w:r w:rsidRPr="005D15AC">
              <w:rPr>
                <w:i/>
                <w:sz w:val="20"/>
                <w:lang w:val="fr-CA"/>
              </w:rPr>
              <w:t xml:space="preserve">Règles de procédure civile </w:t>
            </w:r>
            <w:r w:rsidRPr="005D15AC">
              <w:rPr>
                <w:sz w:val="20"/>
                <w:lang w:val="fr-CA"/>
              </w:rPr>
              <w:t>de l’Ontario.</w:t>
            </w:r>
          </w:p>
          <w:p w:rsidR="006509AD" w:rsidRPr="005D15AC" w:rsidRDefault="006509AD" w:rsidP="006509AD">
            <w:pPr>
              <w:jc w:val="both"/>
              <w:rPr>
                <w:sz w:val="20"/>
                <w:lang w:val="fr-CA"/>
              </w:rPr>
            </w:pPr>
          </w:p>
          <w:p w:rsidR="006509AD" w:rsidRPr="005D15AC" w:rsidRDefault="006509AD" w:rsidP="006509AD">
            <w:pPr>
              <w:jc w:val="both"/>
              <w:rPr>
                <w:sz w:val="20"/>
                <w:lang w:val="fr-CA"/>
              </w:rPr>
            </w:pPr>
            <w:r w:rsidRPr="005D15AC">
              <w:rPr>
                <w:sz w:val="20"/>
                <w:lang w:val="fr-CA"/>
              </w:rPr>
              <w:t>Le juge des motions de la Cour supérieure de justice de l’Ontario a accueilli la motion de Birchland, et a rejeté la nouvelle action présentée par Activa et MLS en vertu de la règle 2.1.01, après avoir conclu qu’elle était frivole, vexatoire et qu’elle constituait un recours abusif au tribunal. La Cour d’appel a rejeté l’appel d’Activa et de MLS et des principaux responsables de ces sociétés, en concluant que le juge des motions n’avait pas commis d’erreur dans son analyse et sa décision de rejeter la demande.</w:t>
            </w:r>
          </w:p>
        </w:tc>
      </w:tr>
      <w:tr w:rsidR="006509AD" w:rsidRPr="005D15AC" w:rsidTr="006509AD">
        <w:tc>
          <w:tcPr>
            <w:tcW w:w="5000" w:type="pct"/>
            <w:gridSpan w:val="4"/>
          </w:tcPr>
          <w:p w:rsidR="006509AD" w:rsidRPr="005D15AC" w:rsidRDefault="006509AD" w:rsidP="006509AD">
            <w:pPr>
              <w:jc w:val="both"/>
              <w:rPr>
                <w:sz w:val="20"/>
                <w:lang w:val="fr-CA"/>
              </w:rPr>
            </w:pPr>
          </w:p>
        </w:tc>
      </w:tr>
      <w:tr w:rsidR="006509AD" w:rsidRPr="005D15AC" w:rsidTr="006509AD">
        <w:tc>
          <w:tcPr>
            <w:tcW w:w="2427" w:type="pct"/>
            <w:gridSpan w:val="2"/>
          </w:tcPr>
          <w:p w:rsidR="006509AD" w:rsidRPr="005D15AC" w:rsidRDefault="006509AD" w:rsidP="006509AD">
            <w:pPr>
              <w:jc w:val="both"/>
              <w:rPr>
                <w:sz w:val="20"/>
                <w:lang w:val="fr-CA"/>
              </w:rPr>
            </w:pPr>
            <w:r w:rsidRPr="005D15AC">
              <w:rPr>
                <w:sz w:val="20"/>
                <w:lang w:val="fr-CA"/>
              </w:rPr>
              <w:t>29 mars 2019 (publication des motifs : 10 juillet)</w:t>
            </w:r>
          </w:p>
          <w:p w:rsidR="006509AD" w:rsidRPr="005D15AC" w:rsidRDefault="006509AD" w:rsidP="006509AD">
            <w:pPr>
              <w:jc w:val="both"/>
              <w:rPr>
                <w:sz w:val="20"/>
                <w:lang w:val="fr-CA"/>
              </w:rPr>
            </w:pPr>
            <w:r w:rsidRPr="005D15AC">
              <w:rPr>
                <w:sz w:val="20"/>
                <w:lang w:val="fr-CA"/>
              </w:rPr>
              <w:t>Cour supérieure de justice de l’Ontario</w:t>
            </w:r>
          </w:p>
          <w:p w:rsidR="006509AD" w:rsidRPr="005D15AC" w:rsidRDefault="006509AD" w:rsidP="006509AD">
            <w:pPr>
              <w:jc w:val="both"/>
              <w:rPr>
                <w:sz w:val="20"/>
                <w:lang w:val="fr-CA"/>
              </w:rPr>
            </w:pPr>
            <w:r w:rsidRPr="005D15AC">
              <w:rPr>
                <w:sz w:val="20"/>
                <w:lang w:val="fr-CA"/>
              </w:rPr>
              <w:t xml:space="preserve">(Juge </w:t>
            </w:r>
            <w:proofErr w:type="spellStart"/>
            <w:r w:rsidRPr="005D15AC">
              <w:rPr>
                <w:sz w:val="20"/>
                <w:lang w:val="fr-CA"/>
              </w:rPr>
              <w:t>Glustein</w:t>
            </w:r>
            <w:proofErr w:type="spellEnd"/>
            <w:r w:rsidRPr="005D15AC">
              <w:rPr>
                <w:sz w:val="20"/>
                <w:lang w:val="fr-CA"/>
              </w:rPr>
              <w:t>)</w:t>
            </w:r>
          </w:p>
          <w:p w:rsidR="006509AD" w:rsidRPr="005D15AC" w:rsidRDefault="006509AD" w:rsidP="006509AD">
            <w:pPr>
              <w:jc w:val="both"/>
              <w:rPr>
                <w:sz w:val="20"/>
                <w:lang w:val="fr-CA"/>
              </w:rPr>
            </w:pPr>
            <w:r w:rsidRPr="005D15AC">
              <w:rPr>
                <w:sz w:val="20"/>
                <w:lang w:val="fr-CA"/>
              </w:rPr>
              <w:t xml:space="preserve">2019 ONSC 4133 </w:t>
            </w:r>
          </w:p>
          <w:p w:rsidR="006509AD" w:rsidRPr="005D15AC" w:rsidRDefault="006509AD" w:rsidP="006509AD">
            <w:pPr>
              <w:jc w:val="both"/>
              <w:rPr>
                <w:sz w:val="20"/>
                <w:lang w:val="fr-CA"/>
              </w:rPr>
            </w:pPr>
          </w:p>
        </w:tc>
        <w:tc>
          <w:tcPr>
            <w:tcW w:w="243" w:type="pct"/>
          </w:tcPr>
          <w:p w:rsidR="006509AD" w:rsidRPr="005D15AC" w:rsidRDefault="006509AD" w:rsidP="006509AD">
            <w:pPr>
              <w:jc w:val="both"/>
              <w:rPr>
                <w:sz w:val="20"/>
                <w:lang w:val="fr-CA"/>
              </w:rPr>
            </w:pPr>
          </w:p>
        </w:tc>
        <w:tc>
          <w:tcPr>
            <w:tcW w:w="2330" w:type="pct"/>
          </w:tcPr>
          <w:p w:rsidR="006509AD" w:rsidRPr="005D15AC" w:rsidRDefault="006509AD" w:rsidP="006509AD">
            <w:pPr>
              <w:jc w:val="both"/>
              <w:rPr>
                <w:sz w:val="20"/>
                <w:lang w:val="fr-CA"/>
              </w:rPr>
            </w:pPr>
            <w:r w:rsidRPr="005D15AC">
              <w:rPr>
                <w:sz w:val="20"/>
                <w:lang w:val="fr-CA"/>
              </w:rPr>
              <w:t xml:space="preserve">L’action d’Activa et de MLS est rejetée, en vertu de la règle 2.1.01 des </w:t>
            </w:r>
            <w:r w:rsidRPr="005D15AC">
              <w:rPr>
                <w:i/>
                <w:sz w:val="20"/>
                <w:lang w:val="fr-CA"/>
              </w:rPr>
              <w:t>Règles de procédure civile</w:t>
            </w:r>
            <w:r w:rsidRPr="005D15AC">
              <w:rPr>
                <w:sz w:val="20"/>
                <w:lang w:val="fr-CA"/>
              </w:rPr>
              <w:t xml:space="preserve"> de l’Ontario, pour cause d’abus de procédure.</w:t>
            </w:r>
          </w:p>
          <w:p w:rsidR="006509AD" w:rsidRPr="005D15AC" w:rsidRDefault="006509AD" w:rsidP="006509AD">
            <w:pPr>
              <w:jc w:val="both"/>
              <w:rPr>
                <w:sz w:val="20"/>
                <w:lang w:val="fr-CA"/>
              </w:rPr>
            </w:pPr>
          </w:p>
        </w:tc>
      </w:tr>
      <w:tr w:rsidR="006509AD" w:rsidRPr="005D15AC" w:rsidTr="006509AD">
        <w:tc>
          <w:tcPr>
            <w:tcW w:w="2427" w:type="pct"/>
            <w:gridSpan w:val="2"/>
          </w:tcPr>
          <w:p w:rsidR="006509AD" w:rsidRPr="005D15AC" w:rsidRDefault="006509AD" w:rsidP="006509AD">
            <w:pPr>
              <w:jc w:val="both"/>
              <w:rPr>
                <w:sz w:val="20"/>
                <w:lang w:val="fr-CA"/>
              </w:rPr>
            </w:pPr>
            <w:r w:rsidRPr="005D15AC">
              <w:rPr>
                <w:sz w:val="20"/>
                <w:lang w:val="fr-CA"/>
              </w:rPr>
              <w:t>7 février 2020</w:t>
            </w:r>
          </w:p>
          <w:p w:rsidR="006509AD" w:rsidRPr="005D15AC" w:rsidRDefault="006509AD" w:rsidP="006509AD">
            <w:pPr>
              <w:jc w:val="both"/>
              <w:rPr>
                <w:sz w:val="20"/>
                <w:lang w:val="fr-CA"/>
              </w:rPr>
            </w:pPr>
            <w:r w:rsidRPr="005D15AC">
              <w:rPr>
                <w:sz w:val="20"/>
                <w:lang w:val="fr-CA"/>
              </w:rPr>
              <w:lastRenderedPageBreak/>
              <w:t>Cour d’appel de l’Ontario</w:t>
            </w:r>
          </w:p>
          <w:p w:rsidR="006509AD" w:rsidRPr="005D15AC" w:rsidRDefault="006509AD" w:rsidP="006509AD">
            <w:pPr>
              <w:jc w:val="both"/>
              <w:rPr>
                <w:sz w:val="20"/>
                <w:lang w:val="fr-CA"/>
              </w:rPr>
            </w:pPr>
            <w:r w:rsidRPr="005D15AC">
              <w:rPr>
                <w:sz w:val="20"/>
                <w:lang w:val="fr-CA"/>
              </w:rPr>
              <w:t xml:space="preserve">(Juges Feldman, Brown et </w:t>
            </w:r>
            <w:proofErr w:type="spellStart"/>
            <w:r w:rsidRPr="005D15AC">
              <w:rPr>
                <w:sz w:val="20"/>
                <w:lang w:val="fr-CA"/>
              </w:rPr>
              <w:t>Zarnett</w:t>
            </w:r>
            <w:proofErr w:type="spellEnd"/>
            <w:r w:rsidRPr="005D15AC">
              <w:rPr>
                <w:sz w:val="20"/>
                <w:lang w:val="fr-CA"/>
              </w:rPr>
              <w:t>)</w:t>
            </w:r>
          </w:p>
          <w:p w:rsidR="006509AD" w:rsidRPr="005D15AC" w:rsidRDefault="006509AD" w:rsidP="006509AD">
            <w:pPr>
              <w:jc w:val="both"/>
              <w:rPr>
                <w:sz w:val="20"/>
                <w:lang w:val="fr-CA"/>
              </w:rPr>
            </w:pPr>
            <w:hyperlink r:id="rId42" w:history="1">
              <w:r w:rsidRPr="005D15AC">
                <w:rPr>
                  <w:rStyle w:val="Hyperlink"/>
                  <w:sz w:val="20"/>
                  <w:lang w:val="fr-CA"/>
                </w:rPr>
                <w:t>2020 ONCA 93</w:t>
              </w:r>
            </w:hyperlink>
            <w:r w:rsidRPr="005D15AC">
              <w:rPr>
                <w:sz w:val="20"/>
                <w:lang w:val="fr-CA"/>
              </w:rPr>
              <w:t xml:space="preserve"> </w:t>
            </w:r>
          </w:p>
          <w:p w:rsidR="006509AD" w:rsidRPr="005D15AC" w:rsidRDefault="006509AD" w:rsidP="006509AD">
            <w:pPr>
              <w:jc w:val="both"/>
              <w:rPr>
                <w:sz w:val="20"/>
                <w:lang w:val="fr-CA"/>
              </w:rPr>
            </w:pPr>
          </w:p>
        </w:tc>
        <w:tc>
          <w:tcPr>
            <w:tcW w:w="243" w:type="pct"/>
          </w:tcPr>
          <w:p w:rsidR="006509AD" w:rsidRPr="005D15AC" w:rsidRDefault="006509AD" w:rsidP="006509AD">
            <w:pPr>
              <w:jc w:val="both"/>
              <w:rPr>
                <w:sz w:val="20"/>
                <w:lang w:val="fr-CA"/>
              </w:rPr>
            </w:pPr>
          </w:p>
        </w:tc>
        <w:tc>
          <w:tcPr>
            <w:tcW w:w="2330" w:type="pct"/>
          </w:tcPr>
          <w:p w:rsidR="006509AD" w:rsidRPr="005D15AC" w:rsidRDefault="006509AD" w:rsidP="006509AD">
            <w:pPr>
              <w:jc w:val="both"/>
              <w:rPr>
                <w:sz w:val="20"/>
                <w:lang w:val="fr-CA"/>
              </w:rPr>
            </w:pPr>
            <w:r w:rsidRPr="005D15AC">
              <w:rPr>
                <w:sz w:val="20"/>
                <w:lang w:val="fr-CA"/>
              </w:rPr>
              <w:t>L’appel d’Activa et de MLS est rejeté.</w:t>
            </w:r>
          </w:p>
          <w:p w:rsidR="006509AD" w:rsidRPr="005D15AC" w:rsidRDefault="006509AD" w:rsidP="006509AD">
            <w:pPr>
              <w:jc w:val="both"/>
              <w:rPr>
                <w:sz w:val="20"/>
                <w:lang w:val="fr-CA"/>
              </w:rPr>
            </w:pPr>
          </w:p>
        </w:tc>
      </w:tr>
      <w:tr w:rsidR="006509AD" w:rsidRPr="005D15AC" w:rsidTr="006509AD">
        <w:tc>
          <w:tcPr>
            <w:tcW w:w="2427" w:type="pct"/>
            <w:gridSpan w:val="2"/>
          </w:tcPr>
          <w:p w:rsidR="006509AD" w:rsidRPr="005D15AC" w:rsidRDefault="006509AD" w:rsidP="006509AD">
            <w:pPr>
              <w:jc w:val="both"/>
              <w:rPr>
                <w:sz w:val="20"/>
                <w:lang w:val="fr-CA"/>
              </w:rPr>
            </w:pPr>
            <w:r w:rsidRPr="005D15AC">
              <w:rPr>
                <w:sz w:val="20"/>
                <w:lang w:val="fr-CA"/>
              </w:rPr>
              <w:lastRenderedPageBreak/>
              <w:t>6 avril 2020</w:t>
            </w:r>
          </w:p>
          <w:p w:rsidR="006509AD" w:rsidRPr="005D15AC" w:rsidRDefault="006509AD" w:rsidP="006509AD">
            <w:pPr>
              <w:jc w:val="both"/>
              <w:rPr>
                <w:sz w:val="20"/>
                <w:lang w:val="fr-CA"/>
              </w:rPr>
            </w:pPr>
            <w:r w:rsidRPr="005D15AC">
              <w:rPr>
                <w:sz w:val="20"/>
                <w:lang w:val="fr-CA"/>
              </w:rPr>
              <w:t>Cour suprême du Canada</w:t>
            </w:r>
          </w:p>
        </w:tc>
        <w:tc>
          <w:tcPr>
            <w:tcW w:w="243" w:type="pct"/>
          </w:tcPr>
          <w:p w:rsidR="006509AD" w:rsidRPr="005D15AC" w:rsidRDefault="006509AD" w:rsidP="006509AD">
            <w:pPr>
              <w:jc w:val="both"/>
              <w:rPr>
                <w:sz w:val="20"/>
                <w:lang w:val="fr-CA"/>
              </w:rPr>
            </w:pPr>
          </w:p>
        </w:tc>
        <w:tc>
          <w:tcPr>
            <w:tcW w:w="2330" w:type="pct"/>
          </w:tcPr>
          <w:p w:rsidR="006509AD" w:rsidRPr="005D15AC" w:rsidRDefault="006509AD" w:rsidP="006509AD">
            <w:pPr>
              <w:jc w:val="both"/>
              <w:rPr>
                <w:sz w:val="20"/>
                <w:lang w:val="fr-CA"/>
              </w:rPr>
            </w:pPr>
            <w:r w:rsidRPr="005D15AC">
              <w:rPr>
                <w:sz w:val="20"/>
                <w:lang w:val="fr-CA"/>
              </w:rPr>
              <w:t>Demande d’autorisation d’appel présentée par Activa et MLS.</w:t>
            </w:r>
          </w:p>
        </w:tc>
      </w:tr>
    </w:tbl>
    <w:p w:rsidR="004C631D" w:rsidRPr="005D15AC" w:rsidRDefault="004C631D" w:rsidP="007B7DA1">
      <w:pPr>
        <w:widowControl w:val="0"/>
        <w:jc w:val="both"/>
        <w:rPr>
          <w:sz w:val="20"/>
          <w:lang w:val="fr-CA"/>
        </w:rPr>
      </w:pPr>
    </w:p>
    <w:p w:rsidR="00E85588" w:rsidRPr="005D15AC" w:rsidRDefault="006509AD" w:rsidP="00E85588">
      <w:pPr>
        <w:jc w:val="both"/>
        <w:rPr>
          <w:sz w:val="20"/>
        </w:rPr>
      </w:pPr>
      <w:r w:rsidRPr="005D15AC">
        <w:rPr>
          <w:sz w:val="20"/>
        </w:rPr>
        <w:pict>
          <v:rect id="_x0000_i1052" style="width:2in;height:1pt" o:hrpct="0" o:hralign="center" o:hrstd="t" o:hrnoshade="t" o:hr="t" fillcolor="black [3213]" stroked="f"/>
        </w:pict>
      </w:r>
    </w:p>
    <w:p w:rsidR="00E85588" w:rsidRPr="005D15AC" w:rsidRDefault="00E85588" w:rsidP="00E85588">
      <w:pPr>
        <w:jc w:val="both"/>
        <w:rPr>
          <w:sz w:val="20"/>
        </w:rPr>
      </w:pPr>
    </w:p>
    <w:p w:rsidR="005C7161" w:rsidRPr="005D15AC" w:rsidRDefault="005C7161" w:rsidP="006A22CA">
      <w:pPr>
        <w:ind w:left="142" w:hanging="142"/>
        <w:jc w:val="both"/>
        <w:rPr>
          <w:sz w:val="20"/>
        </w:rPr>
      </w:pPr>
    </w:p>
    <w:p w:rsidR="00FD3FA0" w:rsidRPr="005D15AC" w:rsidRDefault="00FD3FA0" w:rsidP="006A22CA">
      <w:pPr>
        <w:ind w:left="142" w:hanging="142"/>
        <w:jc w:val="both"/>
        <w:rPr>
          <w:sz w:val="20"/>
        </w:rPr>
      </w:pPr>
    </w:p>
    <w:p w:rsidR="00D3344A" w:rsidRPr="005D15AC" w:rsidRDefault="00D3344A" w:rsidP="00D3344A">
      <w:pPr>
        <w:widowControl w:val="0"/>
        <w:outlineLvl w:val="0"/>
      </w:pPr>
      <w:r w:rsidRPr="005D15AC">
        <w:t xml:space="preserve">Supreme Court of Canada / Cour suprême du </w:t>
      </w:r>
      <w:proofErr w:type="gramStart"/>
      <w:r w:rsidRPr="005D15AC">
        <w:t>Canad</w:t>
      </w:r>
      <w:r w:rsidR="00EE289F" w:rsidRPr="005D15AC">
        <w:t>a</w:t>
      </w:r>
      <w:r w:rsidRPr="005D15AC">
        <w:t xml:space="preserve"> :</w:t>
      </w:r>
      <w:proofErr w:type="gramEnd"/>
    </w:p>
    <w:p w:rsidR="00D3344A" w:rsidRPr="005D15AC" w:rsidRDefault="006509AD" w:rsidP="00D3344A">
      <w:pPr>
        <w:widowControl w:val="0"/>
        <w:outlineLvl w:val="0"/>
        <w:rPr>
          <w:u w:val="single"/>
        </w:rPr>
      </w:pPr>
      <w:hyperlink r:id="rId43" w:history="1">
        <w:r w:rsidR="009B7391" w:rsidRPr="005D15AC">
          <w:rPr>
            <w:rStyle w:val="Hyperlink"/>
          </w:rPr>
          <w:t>comments-commentaires@scc-csc.ca</w:t>
        </w:r>
      </w:hyperlink>
    </w:p>
    <w:p w:rsidR="00D3344A" w:rsidRPr="005D15AC" w:rsidRDefault="0065588C" w:rsidP="00D3344A">
      <w:pPr>
        <w:widowControl w:val="0"/>
        <w:outlineLvl w:val="0"/>
      </w:pPr>
      <w:r w:rsidRPr="005D15AC">
        <w:t>613-</w:t>
      </w:r>
      <w:r w:rsidR="00D3344A" w:rsidRPr="005D15AC">
        <w:t>995-4330</w:t>
      </w:r>
    </w:p>
    <w:p w:rsidR="00497B5E" w:rsidRPr="005D15AC" w:rsidRDefault="00497B5E" w:rsidP="00497B5E">
      <w:pPr>
        <w:widowControl w:val="0"/>
        <w:rPr>
          <w:sz w:val="20"/>
        </w:rPr>
      </w:pPr>
    </w:p>
    <w:p w:rsidR="00F6251B" w:rsidRPr="006E558B" w:rsidRDefault="003F43E6" w:rsidP="00F6251B">
      <w:pPr>
        <w:pStyle w:val="Footer"/>
        <w:jc w:val="center"/>
      </w:pPr>
      <w:r w:rsidRPr="005D15AC">
        <w:t>- 30 -</w:t>
      </w:r>
      <w:bookmarkStart w:id="1" w:name="_GoBack"/>
      <w:bookmarkEnd w:id="1"/>
    </w:p>
    <w:sectPr w:rsidR="00F6251B" w:rsidRPr="006E558B" w:rsidSect="00E62F93">
      <w:headerReference w:type="even" r:id="rId44"/>
      <w:headerReference w:type="default" r:id="rId45"/>
      <w:footerReference w:type="even" r:id="rId46"/>
      <w:footerReference w:type="default" r:id="rId47"/>
      <w:headerReference w:type="first" r:id="rId48"/>
      <w:footerReference w:type="first" r:id="rId4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AD" w:rsidRDefault="006509AD" w:rsidP="0034178A">
      <w:r>
        <w:separator/>
      </w:r>
    </w:p>
  </w:endnote>
  <w:endnote w:type="continuationSeparator" w:id="0">
    <w:p w:rsidR="006509AD" w:rsidRDefault="006509A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AD" w:rsidRDefault="00650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AD" w:rsidRPr="009F77F0" w:rsidRDefault="006509A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AD" w:rsidRDefault="00650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AD" w:rsidRDefault="006509AD" w:rsidP="0034178A">
      <w:r>
        <w:separator/>
      </w:r>
    </w:p>
  </w:footnote>
  <w:footnote w:type="continuationSeparator" w:id="0">
    <w:p w:rsidR="006509AD" w:rsidRDefault="006509A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AD" w:rsidRDefault="00650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AD" w:rsidRDefault="006509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AD" w:rsidRDefault="00650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921"/>
    <w:multiLevelType w:val="hybridMultilevel"/>
    <w:tmpl w:val="0060D112"/>
    <w:lvl w:ilvl="0" w:tplc="89D42A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7B34"/>
    <w:multiLevelType w:val="hybridMultilevel"/>
    <w:tmpl w:val="C7A48438"/>
    <w:lvl w:ilvl="0" w:tplc="FEE8D3E2">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83C73"/>
    <w:multiLevelType w:val="hybridMultilevel"/>
    <w:tmpl w:val="DDBE81C0"/>
    <w:lvl w:ilvl="0" w:tplc="35DCBC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F52E8"/>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47C7A"/>
    <w:multiLevelType w:val="hybridMultilevel"/>
    <w:tmpl w:val="21EE2C8E"/>
    <w:lvl w:ilvl="0" w:tplc="8856BA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E620C"/>
    <w:multiLevelType w:val="hybridMultilevel"/>
    <w:tmpl w:val="14E84D58"/>
    <w:lvl w:ilvl="0" w:tplc="7B3AC2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903"/>
    <w:multiLevelType w:val="hybridMultilevel"/>
    <w:tmpl w:val="DB7A7FAA"/>
    <w:lvl w:ilvl="0" w:tplc="239A52EC">
      <w:start w:val="1"/>
      <w:numFmt w:val="decimal"/>
      <w:lvlText w:val="%1."/>
      <w:lvlJc w:val="left"/>
      <w:pPr>
        <w:ind w:left="720" w:hanging="360"/>
      </w:pPr>
      <w:rPr>
        <w:rFonts w:eastAsiaTheme="minorHAns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D35DD"/>
    <w:multiLevelType w:val="hybridMultilevel"/>
    <w:tmpl w:val="338AB3DC"/>
    <w:lvl w:ilvl="0" w:tplc="863E59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E3308"/>
    <w:multiLevelType w:val="hybridMultilevel"/>
    <w:tmpl w:val="10C4776C"/>
    <w:lvl w:ilvl="0" w:tplc="F5ECDF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E67B7"/>
    <w:multiLevelType w:val="hybridMultilevel"/>
    <w:tmpl w:val="31F2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47C05"/>
    <w:multiLevelType w:val="hybridMultilevel"/>
    <w:tmpl w:val="4684BDEE"/>
    <w:lvl w:ilvl="0" w:tplc="D4B23C7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94FA0"/>
    <w:multiLevelType w:val="hybridMultilevel"/>
    <w:tmpl w:val="E01A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04D3C"/>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C3F7E"/>
    <w:multiLevelType w:val="hybridMultilevel"/>
    <w:tmpl w:val="8196F216"/>
    <w:lvl w:ilvl="0" w:tplc="D3C609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E6F53"/>
    <w:multiLevelType w:val="hybridMultilevel"/>
    <w:tmpl w:val="515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9063F"/>
    <w:multiLevelType w:val="hybridMultilevel"/>
    <w:tmpl w:val="A58E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67376"/>
    <w:multiLevelType w:val="hybridMultilevel"/>
    <w:tmpl w:val="93F234D2"/>
    <w:lvl w:ilvl="0" w:tplc="C486CA3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31824"/>
    <w:multiLevelType w:val="hybridMultilevel"/>
    <w:tmpl w:val="51EEA34A"/>
    <w:lvl w:ilvl="0" w:tplc="DDBC1E42">
      <w:start w:val="1"/>
      <w:numFmt w:val="decimal"/>
      <w:lvlText w:val="%1."/>
      <w:lvlJc w:val="left"/>
      <w:pPr>
        <w:ind w:left="720" w:hanging="360"/>
      </w:pPr>
      <w:rPr>
        <w:i w:val="0"/>
      </w:rPr>
    </w:lvl>
    <w:lvl w:ilvl="1" w:tplc="9E9AFB00">
      <w:numFmt w:val="bullet"/>
      <w:lvlText w:val="–"/>
      <w:lvlJc w:val="left"/>
      <w:pPr>
        <w:ind w:left="1440" w:hanging="360"/>
      </w:pPr>
      <w:rPr>
        <w:rFonts w:ascii="Times New Roman" w:eastAsia="Calibri" w:hAnsi="Times New Roman" w:cs="Times New Roman" w:hint="default"/>
      </w:rPr>
    </w:lvl>
    <w:lvl w:ilvl="2" w:tplc="F0CC85D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00E6A"/>
    <w:multiLevelType w:val="hybridMultilevel"/>
    <w:tmpl w:val="05003C6C"/>
    <w:lvl w:ilvl="0" w:tplc="A46A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1C6AFE"/>
    <w:multiLevelType w:val="hybridMultilevel"/>
    <w:tmpl w:val="0EA89BE4"/>
    <w:lvl w:ilvl="0" w:tplc="F2A8A6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CF73C2A"/>
    <w:multiLevelType w:val="hybridMultilevel"/>
    <w:tmpl w:val="684CBF22"/>
    <w:lvl w:ilvl="0" w:tplc="9B966E72">
      <w:start w:val="8"/>
      <w:numFmt w:val="decimal"/>
      <w:lvlText w:val="%1."/>
      <w:lvlJc w:val="left"/>
      <w:pPr>
        <w:ind w:left="36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8"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A12D7"/>
    <w:multiLevelType w:val="hybridMultilevel"/>
    <w:tmpl w:val="A34C0CD4"/>
    <w:lvl w:ilvl="0" w:tplc="A0B85F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224B6"/>
    <w:multiLevelType w:val="hybridMultilevel"/>
    <w:tmpl w:val="BCD854A0"/>
    <w:lvl w:ilvl="0" w:tplc="00065F32">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52FF3"/>
    <w:multiLevelType w:val="hybridMultilevel"/>
    <w:tmpl w:val="50AE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B0682"/>
    <w:multiLevelType w:val="hybridMultilevel"/>
    <w:tmpl w:val="097AF364"/>
    <w:lvl w:ilvl="0" w:tplc="C298F27E">
      <w:start w:val="1"/>
      <w:numFmt w:val="decimal"/>
      <w:lvlText w:val="%1."/>
      <w:lvlJc w:val="left"/>
      <w:pPr>
        <w:ind w:left="7165"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BBA563F"/>
    <w:multiLevelType w:val="hybridMultilevel"/>
    <w:tmpl w:val="2B0492C8"/>
    <w:lvl w:ilvl="0" w:tplc="FF367552">
      <w:start w:val="10"/>
      <w:numFmt w:val="decimal"/>
      <w:lvlText w:val="%1."/>
      <w:lvlJc w:val="left"/>
      <w:pPr>
        <w:ind w:left="720" w:hanging="360"/>
      </w:pPr>
      <w:rPr>
        <w:rFonts w:eastAsiaTheme="minorHAnsi" w:cstheme="minorBidi"/>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9"/>
  </w:num>
  <w:num w:numId="10">
    <w:abstractNumId w:val="4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27"/>
  </w:num>
  <w:num w:numId="15">
    <w:abstractNumId w:val="43"/>
  </w:num>
  <w:num w:numId="16">
    <w:abstractNumId w:val="25"/>
  </w:num>
  <w:num w:numId="17">
    <w:abstractNumId w:val="41"/>
  </w:num>
  <w:num w:numId="18">
    <w:abstractNumId w:val="38"/>
  </w:num>
  <w:num w:numId="19">
    <w:abstractNumId w:val="31"/>
  </w:num>
  <w:num w:numId="20">
    <w:abstractNumId w:val="21"/>
  </w:num>
  <w:num w:numId="21">
    <w:abstractNumId w:val="7"/>
  </w:num>
  <w:num w:numId="22">
    <w:abstractNumId w:val="4"/>
  </w:num>
  <w:num w:numId="23">
    <w:abstractNumId w:val="16"/>
  </w:num>
  <w:num w:numId="24">
    <w:abstractNumId w:val="8"/>
  </w:num>
  <w:num w:numId="25">
    <w:abstractNumId w:val="42"/>
  </w:num>
  <w:num w:numId="26">
    <w:abstractNumId w:val="1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6"/>
  </w:num>
  <w:num w:numId="30">
    <w:abstractNumId w:val="32"/>
  </w:num>
  <w:num w:numId="31">
    <w:abstractNumId w:val="39"/>
  </w:num>
  <w:num w:numId="32">
    <w:abstractNumId w:val="0"/>
  </w:num>
  <w:num w:numId="33">
    <w:abstractNumId w:val="3"/>
  </w:num>
  <w:num w:numId="34">
    <w:abstractNumId w:val="44"/>
  </w:num>
  <w:num w:numId="35">
    <w:abstractNumId w:val="5"/>
  </w:num>
  <w:num w:numId="36">
    <w:abstractNumId w:val="11"/>
  </w:num>
  <w:num w:numId="37">
    <w:abstractNumId w:val="2"/>
  </w:num>
  <w:num w:numId="38">
    <w:abstractNumId w:val="40"/>
  </w:num>
  <w:num w:numId="39">
    <w:abstractNumId w:val="12"/>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7"/>
  </w:num>
  <w:num w:numId="44">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8"/>
  </w:num>
  <w:num w:numId="47">
    <w:abstractNumId w:val="26"/>
  </w:num>
  <w:num w:numId="48">
    <w:abstractNumId w:val="17"/>
  </w:num>
  <w:num w:numId="49">
    <w:abstractNumId w:val="47"/>
  </w:num>
  <w:num w:numId="5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0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0FEC"/>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490"/>
    <w:rsid w:val="006B6A20"/>
    <w:rsid w:val="006C078D"/>
    <w:rsid w:val="006C0D6F"/>
    <w:rsid w:val="006C164E"/>
    <w:rsid w:val="006C1EDD"/>
    <w:rsid w:val="006C2188"/>
    <w:rsid w:val="006C22E4"/>
    <w:rsid w:val="006C25AD"/>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DA1"/>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9206" TargetMode="External"/><Relationship Id="rId18" Type="http://schemas.openxmlformats.org/officeDocument/2006/relationships/hyperlink" Target="https://www.canlii.org/en/ns/nsca/doc/2020/2020nsca38/2020nsca38.html?autocompleteStr=2020%20NSCA%2038&amp;autocompletePos=1" TargetMode="External"/><Relationship Id="rId26" Type="http://schemas.openxmlformats.org/officeDocument/2006/relationships/hyperlink" Target="https://www.canlii.org/en/ca/fct/doc/2019/2019fc765/2019fc765.html?resultIndex=1" TargetMode="External"/><Relationship Id="rId39" Type="http://schemas.openxmlformats.org/officeDocument/2006/relationships/hyperlink" Target="https://www.canlii.org/en/bc/bcsc/doc/2019/2019bcsc8/2019bcsc8.html" TargetMode="External"/><Relationship Id="rId3" Type="http://schemas.openxmlformats.org/officeDocument/2006/relationships/styles" Target="styles.xml"/><Relationship Id="rId21" Type="http://schemas.openxmlformats.org/officeDocument/2006/relationships/hyperlink" Target="https://www.canlii.org/en/ab/abqb/doc/2019/2019abqb393/2019abqb393.html" TargetMode="External"/><Relationship Id="rId34" Type="http://schemas.openxmlformats.org/officeDocument/2006/relationships/hyperlink" Target="https://www.canlii.org/fr/qc/qcca/doc/2020/2020qcca570/2020qcca570.html?autocompleteStr=2020%20QCCA%20570&amp;autocompletePos=1" TargetMode="External"/><Relationship Id="rId42" Type="http://schemas.openxmlformats.org/officeDocument/2006/relationships/hyperlink" Target="https://www.canlii.org/en/on/onca/doc/2020/2020onca93/2020onca93.html?autocompleteStr=2020%20ONCA%2093&amp;autocompletePos=1"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fra.aspx?cas=39143" TargetMode="External"/><Relationship Id="rId17" Type="http://schemas.openxmlformats.org/officeDocument/2006/relationships/hyperlink" Target="https://www.canlii.org/en/ns/nssc/doc/2019/2019nssc4/2019nssc4.html?resultIndex=1" TargetMode="External"/><Relationship Id="rId25" Type="http://schemas.openxmlformats.org/officeDocument/2006/relationships/hyperlink" Target="https://www.canlii.org/en/ca/tcc/doc/2019/2019tcc52/2019tcc52.html?resultIndex=1" TargetMode="External"/><Relationship Id="rId33" Type="http://schemas.openxmlformats.org/officeDocument/2006/relationships/hyperlink" Target="https://www.canlii.org/fr/qc/qccs/doc/2017/2017qccs6293/2017qccs6293.html?autocompleteStr=2017%20QCCS%206293&amp;autocompletePos=1" TargetMode="External"/><Relationship Id="rId38" Type="http://schemas.openxmlformats.org/officeDocument/2006/relationships/hyperlink" Target="https://www.canlii.org/en/bc/bcca/doc/2019/2019bcca473/2019bcca473.html?resultIndex=1"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nlii.org/fr/qc/qcca/doc/2020/2020qcca793/2020qcca793.html" TargetMode="External"/><Relationship Id="rId20" Type="http://schemas.openxmlformats.org/officeDocument/2006/relationships/hyperlink" Target="https://www.canlii.org/en/ns/nsca/doc/2020/2020nsca38/2020nsca38.html?autocompleteStr=2020%20NSCA%2038&amp;autocompletePos=1" TargetMode="External"/><Relationship Id="rId29" Type="http://schemas.openxmlformats.org/officeDocument/2006/relationships/hyperlink" Target="http://canlii.ca/t/h5snr" TargetMode="External"/><Relationship Id="rId41" Type="http://schemas.openxmlformats.org/officeDocument/2006/relationships/hyperlink" Target="https://www.canlii.org/en/on/onca/doc/2020/2020onca93/2020onca93.html?autocompleteStr=2020%20ONCA%2093&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253" TargetMode="External"/><Relationship Id="rId24" Type="http://schemas.openxmlformats.org/officeDocument/2006/relationships/hyperlink" Target="https://www.canlii.org/en/ab/abca/doc/2020/2020abca154/2020abca154.html?autocompleteStr=698828&amp;autocompletePos=2" TargetMode="External"/><Relationship Id="rId32" Type="http://schemas.openxmlformats.org/officeDocument/2006/relationships/hyperlink" Target="http://canlii.ca/t/j511m" TargetMode="External"/><Relationship Id="rId37" Type="http://schemas.openxmlformats.org/officeDocument/2006/relationships/hyperlink" Target="https://www.canlii.org/en/bc/bcsc/doc/2019/2019bcsc8/2019bcsc8.html" TargetMode="External"/><Relationship Id="rId40" Type="http://schemas.openxmlformats.org/officeDocument/2006/relationships/hyperlink" Target="https://www.canlii.org/en/bc/bcca/doc/2019/2019bcca473/2019bcca473.html?resultIndex=1"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anlii.org/fr/qc/qcca/doc/2020/2020qcca793/2020qcca793.html" TargetMode="External"/><Relationship Id="rId23" Type="http://schemas.openxmlformats.org/officeDocument/2006/relationships/hyperlink" Target="https://www.canlii.org/en/ab/abqb/doc/2019/2019abqb393/2019abqb393.html" TargetMode="External"/><Relationship Id="rId28" Type="http://schemas.openxmlformats.org/officeDocument/2006/relationships/hyperlink" Target="https://www.canlii.org/fr/ca/cfpi/doc/2019/2019cf765/2019cf765.html" TargetMode="External"/><Relationship Id="rId36" Type="http://schemas.openxmlformats.org/officeDocument/2006/relationships/hyperlink" Target="https://www.canlii.org/fr/qc/qcca/doc/2020/2020qcca570/2020qcca570.html?autocompleteStr=2020%20QCCA%20570&amp;autocompletePos=1" TargetMode="External"/><Relationship Id="rId49" Type="http://schemas.openxmlformats.org/officeDocument/2006/relationships/footer" Target="footer3.xml"/><Relationship Id="rId10" Type="http://schemas.openxmlformats.org/officeDocument/2006/relationships/hyperlink" Target="https://www.scc-csc.ca/case-dossier/info/sum-som-eng.aspx?cas=39216" TargetMode="External"/><Relationship Id="rId19" Type="http://schemas.openxmlformats.org/officeDocument/2006/relationships/hyperlink" Target="https://www.canlii.org/en/ns/nssc/doc/2019/2019nssc4/2019nssc4.html?resultIndex=1" TargetMode="External"/><Relationship Id="rId31" Type="http://schemas.openxmlformats.org/officeDocument/2006/relationships/hyperlink" Target="http://canlii.ca/t/h5snr"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9234" TargetMode="External"/><Relationship Id="rId14" Type="http://schemas.openxmlformats.org/officeDocument/2006/relationships/hyperlink" Target="https://www.scc-csc.ca/case-dossier/info/sum-som-eng.aspx?cas=39263" TargetMode="External"/><Relationship Id="rId22" Type="http://schemas.openxmlformats.org/officeDocument/2006/relationships/hyperlink" Target="https://www.canlii.org/en/ab/abca/doc/2020/2020abca154/2020abca154.html?autocompleteStr=698828&amp;autocompletePos=2" TargetMode="External"/><Relationship Id="rId27" Type="http://schemas.openxmlformats.org/officeDocument/2006/relationships/hyperlink" Target="https://www.canlii.org/fr/ca/cci/doc/2019/2019cci52/2019cci52.html" TargetMode="External"/><Relationship Id="rId30" Type="http://schemas.openxmlformats.org/officeDocument/2006/relationships/hyperlink" Target="http://canlii.ca/t/j511m" TargetMode="External"/><Relationship Id="rId35" Type="http://schemas.openxmlformats.org/officeDocument/2006/relationships/hyperlink" Target="https://www.canlii.org/fr/qc/qccs/doc/2017/2017qccs6293/2017qccs6293.html?autocompleteStr=2017%20QCCS%206293&amp;autocompletePos=1" TargetMode="External"/><Relationship Id="rId43" Type="http://schemas.openxmlformats.org/officeDocument/2006/relationships/hyperlink" Target="mailto:comments-commentaires@scc-csc.ca" TargetMode="External"/><Relationship Id="rId48" Type="http://schemas.openxmlformats.org/officeDocument/2006/relationships/header" Target="header3.xml"/><Relationship Id="rId8" Type="http://schemas.openxmlformats.org/officeDocument/2006/relationships/hyperlink" Target="https://www.scc-csc.ca/case-dossier/info/sum-som-fra.aspx?cas=39248"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F7AE-EDD8-49CF-BA65-97F03DD4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6474</Words>
  <Characters>36905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43293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2020-10-29T16:55:00Z</dcterms:modified>
</cp:coreProperties>
</file>