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9A56E0" w:rsidRDefault="002A192B" w:rsidP="002A192B">
      <w:pPr>
        <w:pStyle w:val="Header"/>
        <w:jc w:val="center"/>
        <w:rPr>
          <w:b/>
          <w:sz w:val="32"/>
        </w:rPr>
      </w:pPr>
      <w:r w:rsidRPr="009A56E0">
        <w:rPr>
          <w:b/>
          <w:sz w:val="32"/>
        </w:rPr>
        <w:t>Supreme Court of Canada / Cour suprême du Canada</w:t>
      </w:r>
    </w:p>
    <w:p w:rsidR="002A192B" w:rsidRPr="009A56E0" w:rsidRDefault="002A192B" w:rsidP="002A192B">
      <w:pPr>
        <w:widowControl w:val="0"/>
        <w:rPr>
          <w:i/>
        </w:rPr>
      </w:pPr>
    </w:p>
    <w:p w:rsidR="002A192B" w:rsidRPr="009A56E0" w:rsidRDefault="002A192B" w:rsidP="002A192B">
      <w:pPr>
        <w:widowControl w:val="0"/>
        <w:rPr>
          <w:i/>
        </w:rPr>
      </w:pPr>
    </w:p>
    <w:p w:rsidR="001C4415" w:rsidRPr="009A56E0" w:rsidRDefault="001C4415" w:rsidP="001C4415">
      <w:pPr>
        <w:widowControl w:val="0"/>
        <w:rPr>
          <w:i/>
          <w:sz w:val="20"/>
        </w:rPr>
      </w:pPr>
      <w:r w:rsidRPr="009A56E0">
        <w:rPr>
          <w:i/>
          <w:sz w:val="20"/>
        </w:rPr>
        <w:t>(</w:t>
      </w:r>
      <w:r w:rsidR="003C50BF" w:rsidRPr="009A56E0">
        <w:rPr>
          <w:i/>
          <w:sz w:val="20"/>
        </w:rPr>
        <w:t>Le</w:t>
      </w:r>
      <w:r w:rsidRPr="009A56E0">
        <w:rPr>
          <w:i/>
          <w:sz w:val="20"/>
        </w:rPr>
        <w:t xml:space="preserve"> français suit)</w:t>
      </w:r>
    </w:p>
    <w:p w:rsidR="001C4415" w:rsidRPr="009A56E0" w:rsidRDefault="001C4415" w:rsidP="001C4415">
      <w:pPr>
        <w:widowControl w:val="0"/>
      </w:pPr>
    </w:p>
    <w:p w:rsidR="001C4415" w:rsidRPr="009A56E0" w:rsidRDefault="000347C1" w:rsidP="00214729">
      <w:pPr>
        <w:widowControl w:val="0"/>
        <w:jc w:val="center"/>
        <w:rPr>
          <w:b/>
        </w:rPr>
      </w:pPr>
      <w:r w:rsidRPr="009A56E0">
        <w:fldChar w:fldCharType="begin"/>
      </w:r>
      <w:r w:rsidR="00FA7412" w:rsidRPr="009A56E0">
        <w:instrText xml:space="preserve"> SEQ CHAPTER \h \r 1</w:instrText>
      </w:r>
      <w:r w:rsidRPr="009A56E0">
        <w:fldChar w:fldCharType="end"/>
      </w:r>
      <w:r w:rsidR="00455BB9" w:rsidRPr="009A56E0">
        <w:rPr>
          <w:b/>
        </w:rPr>
        <w:t>JUDGMENT</w:t>
      </w:r>
      <w:r w:rsidR="00FA7412" w:rsidRPr="009A56E0">
        <w:rPr>
          <w:b/>
        </w:rPr>
        <w:t xml:space="preserve"> TO BE RENDERED IN APPEA</w:t>
      </w:r>
      <w:r w:rsidR="00CC2799" w:rsidRPr="009A56E0">
        <w:rPr>
          <w:b/>
        </w:rPr>
        <w:t>L</w:t>
      </w:r>
    </w:p>
    <w:p w:rsidR="005A7C1B" w:rsidRPr="009A56E0" w:rsidRDefault="005A7C1B" w:rsidP="005A7C1B">
      <w:pPr>
        <w:widowControl w:val="0"/>
      </w:pPr>
    </w:p>
    <w:p w:rsidR="00EC79B0" w:rsidRPr="009A56E0" w:rsidRDefault="000059E3" w:rsidP="00EC79B0">
      <w:pPr>
        <w:widowControl w:val="0"/>
      </w:pPr>
      <w:r w:rsidRPr="009A56E0">
        <w:rPr>
          <w:b/>
        </w:rPr>
        <w:t>May</w:t>
      </w:r>
      <w:r w:rsidR="00C86395" w:rsidRPr="009A56E0">
        <w:rPr>
          <w:b/>
        </w:rPr>
        <w:t xml:space="preserve"> </w:t>
      </w:r>
      <w:r w:rsidR="004938E8" w:rsidRPr="009A56E0">
        <w:rPr>
          <w:b/>
        </w:rPr>
        <w:t>1</w:t>
      </w:r>
      <w:r w:rsidR="007C40A3" w:rsidRPr="009A56E0">
        <w:rPr>
          <w:b/>
        </w:rPr>
        <w:t>7</w:t>
      </w:r>
      <w:r w:rsidR="00EC79B0" w:rsidRPr="009A56E0">
        <w:rPr>
          <w:b/>
        </w:rPr>
        <w:t>, 2</w:t>
      </w:r>
      <w:r w:rsidR="00E6600C" w:rsidRPr="009A56E0">
        <w:rPr>
          <w:b/>
        </w:rPr>
        <w:t>0</w:t>
      </w:r>
      <w:r w:rsidR="009544E9" w:rsidRPr="009A56E0">
        <w:rPr>
          <w:b/>
        </w:rPr>
        <w:t>2</w:t>
      </w:r>
      <w:r w:rsidR="00964827" w:rsidRPr="009A56E0">
        <w:rPr>
          <w:b/>
        </w:rPr>
        <w:t>1</w:t>
      </w:r>
    </w:p>
    <w:p w:rsidR="00EC79B0" w:rsidRPr="009A56E0" w:rsidRDefault="00EC79B0" w:rsidP="00EC79B0">
      <w:pPr>
        <w:widowControl w:val="0"/>
        <w:rPr>
          <w:b/>
        </w:rPr>
      </w:pPr>
      <w:r w:rsidRPr="009A56E0">
        <w:rPr>
          <w:b/>
        </w:rPr>
        <w:t>For immediate release</w:t>
      </w:r>
    </w:p>
    <w:p w:rsidR="00EC79B0" w:rsidRPr="009A56E0" w:rsidRDefault="00EC79B0" w:rsidP="00EC79B0">
      <w:pPr>
        <w:widowControl w:val="0"/>
      </w:pPr>
    </w:p>
    <w:p w:rsidR="00EC79B0" w:rsidRPr="009A56E0" w:rsidRDefault="00EC79B0" w:rsidP="00EC79B0">
      <w:pPr>
        <w:widowControl w:val="0"/>
        <w:rPr>
          <w:lang w:val="fr-CA"/>
        </w:rPr>
      </w:pPr>
      <w:r w:rsidRPr="009A56E0">
        <w:rPr>
          <w:b/>
        </w:rPr>
        <w:t>OTTAWA</w:t>
      </w:r>
      <w:r w:rsidRPr="009A56E0">
        <w:t xml:space="preserve"> – The Supreme Court of Canad</w:t>
      </w:r>
      <w:r w:rsidR="00455BB9" w:rsidRPr="009A56E0">
        <w:t>a announced today that judgment</w:t>
      </w:r>
      <w:r w:rsidRPr="009A56E0">
        <w:t xml:space="preserve"> in the following appeal will be delivered at 9:45 a.m. E</w:t>
      </w:r>
      <w:r w:rsidR="00A51565" w:rsidRPr="009A56E0">
        <w:t>D</w:t>
      </w:r>
      <w:r w:rsidR="00DC6C1E" w:rsidRPr="009A56E0">
        <w:t>T</w:t>
      </w:r>
      <w:r w:rsidR="00D74667" w:rsidRPr="009A56E0">
        <w:t xml:space="preserve"> on</w:t>
      </w:r>
      <w:r w:rsidR="00DC6C1E" w:rsidRPr="009A56E0">
        <w:t xml:space="preserve"> </w:t>
      </w:r>
      <w:r w:rsidR="00FB61C0" w:rsidRPr="009A56E0">
        <w:t>Fri</w:t>
      </w:r>
      <w:r w:rsidR="00F531CE" w:rsidRPr="009A56E0">
        <w:t>day</w:t>
      </w:r>
      <w:r w:rsidR="000A7900" w:rsidRPr="009A56E0">
        <w:t xml:space="preserve">, </w:t>
      </w:r>
      <w:r w:rsidR="000059E3" w:rsidRPr="009A56E0">
        <w:t>May</w:t>
      </w:r>
      <w:r w:rsidR="004E605A" w:rsidRPr="009A56E0">
        <w:t xml:space="preserve"> </w:t>
      </w:r>
      <w:r w:rsidR="007C40A3" w:rsidRPr="009A56E0">
        <w:t>2</w:t>
      </w:r>
      <w:r w:rsidR="004938E8" w:rsidRPr="009A56E0">
        <w:t>1</w:t>
      </w:r>
      <w:r w:rsidR="00E63199" w:rsidRPr="009A56E0">
        <w:t>, 2</w:t>
      </w:r>
      <w:r w:rsidR="0086609D" w:rsidRPr="009A56E0">
        <w:t>0</w:t>
      </w:r>
      <w:r w:rsidR="009544E9" w:rsidRPr="009A56E0">
        <w:t>2</w:t>
      </w:r>
      <w:r w:rsidR="00964827" w:rsidRPr="009A56E0">
        <w:t>1</w:t>
      </w:r>
      <w:r w:rsidR="00455BB9" w:rsidRPr="009A56E0">
        <w:t xml:space="preserve">. </w:t>
      </w:r>
      <w:r w:rsidR="00455BB9" w:rsidRPr="009A56E0">
        <w:rPr>
          <w:lang w:val="fr-CA"/>
        </w:rPr>
        <w:t>This</w:t>
      </w:r>
      <w:r w:rsidRPr="009A56E0">
        <w:rPr>
          <w:lang w:val="fr-CA"/>
        </w:rPr>
        <w:t xml:space="preserve"> list is subject to change.</w:t>
      </w:r>
    </w:p>
    <w:p w:rsidR="001F76DD" w:rsidRPr="009A56E0" w:rsidRDefault="001F76DD" w:rsidP="001C4415">
      <w:pPr>
        <w:widowControl w:val="0"/>
        <w:rPr>
          <w:szCs w:val="24"/>
          <w:lang w:val="fr-CA"/>
        </w:rPr>
      </w:pPr>
    </w:p>
    <w:p w:rsidR="001C4415" w:rsidRPr="009A56E0" w:rsidRDefault="001C4415" w:rsidP="001C4415">
      <w:pPr>
        <w:widowControl w:val="0"/>
        <w:rPr>
          <w:lang w:val="fr-CA"/>
        </w:rPr>
      </w:pPr>
    </w:p>
    <w:p w:rsidR="001335A1" w:rsidRPr="009A56E0" w:rsidRDefault="001335A1" w:rsidP="001335A1">
      <w:pPr>
        <w:widowControl w:val="0"/>
        <w:jc w:val="center"/>
        <w:rPr>
          <w:b/>
          <w:lang w:val="fr-CA"/>
        </w:rPr>
      </w:pPr>
      <w:r w:rsidRPr="009A56E0">
        <w:rPr>
          <w:b/>
          <w:lang w:val="fr-CA"/>
        </w:rPr>
        <w:t>PROCHAIN JUGEMENT</w:t>
      </w:r>
      <w:r w:rsidR="00455BB9" w:rsidRPr="009A56E0">
        <w:rPr>
          <w:b/>
          <w:lang w:val="fr-CA"/>
        </w:rPr>
        <w:t xml:space="preserve"> SUR APPEL</w:t>
      </w:r>
    </w:p>
    <w:p w:rsidR="001335A1" w:rsidRPr="009A56E0" w:rsidRDefault="001335A1" w:rsidP="001335A1">
      <w:pPr>
        <w:widowControl w:val="0"/>
        <w:rPr>
          <w:lang w:val="fr-CA"/>
        </w:rPr>
      </w:pPr>
    </w:p>
    <w:p w:rsidR="00EC79B0" w:rsidRPr="009A56E0" w:rsidRDefault="00EC79B0" w:rsidP="00EC79B0">
      <w:pPr>
        <w:widowControl w:val="0"/>
        <w:rPr>
          <w:lang w:val="fr-CA"/>
        </w:rPr>
      </w:pPr>
      <w:r w:rsidRPr="009A56E0">
        <w:rPr>
          <w:b/>
          <w:lang w:val="fr-CA"/>
        </w:rPr>
        <w:t xml:space="preserve">Le </w:t>
      </w:r>
      <w:r w:rsidR="004938E8" w:rsidRPr="009A56E0">
        <w:rPr>
          <w:b/>
          <w:lang w:val="fr-CA"/>
        </w:rPr>
        <w:t>1</w:t>
      </w:r>
      <w:r w:rsidR="007C40A3" w:rsidRPr="009A56E0">
        <w:rPr>
          <w:b/>
          <w:lang w:val="fr-CA"/>
        </w:rPr>
        <w:t>7</w:t>
      </w:r>
      <w:r w:rsidR="00FA5450" w:rsidRPr="009A56E0">
        <w:rPr>
          <w:b/>
          <w:lang w:val="fr-CA"/>
        </w:rPr>
        <w:t xml:space="preserve"> </w:t>
      </w:r>
      <w:r w:rsidR="000059E3" w:rsidRPr="009A56E0">
        <w:rPr>
          <w:b/>
          <w:lang w:val="fr-CA"/>
        </w:rPr>
        <w:t>mai</w:t>
      </w:r>
      <w:r w:rsidR="00C86395" w:rsidRPr="009A56E0">
        <w:rPr>
          <w:b/>
          <w:lang w:val="fr-CA"/>
        </w:rPr>
        <w:t xml:space="preserve"> </w:t>
      </w:r>
      <w:r w:rsidR="0086609D" w:rsidRPr="009A56E0">
        <w:rPr>
          <w:b/>
          <w:lang w:val="fr-CA"/>
        </w:rPr>
        <w:t>20</w:t>
      </w:r>
      <w:r w:rsidR="009544E9" w:rsidRPr="009A56E0">
        <w:rPr>
          <w:b/>
          <w:lang w:val="fr-CA"/>
        </w:rPr>
        <w:t>2</w:t>
      </w:r>
      <w:r w:rsidR="00964827" w:rsidRPr="009A56E0">
        <w:rPr>
          <w:b/>
          <w:lang w:val="fr-CA"/>
        </w:rPr>
        <w:t>1</w:t>
      </w:r>
      <w:bookmarkStart w:id="0" w:name="_GoBack"/>
      <w:bookmarkEnd w:id="0"/>
    </w:p>
    <w:p w:rsidR="00EC79B0" w:rsidRPr="009A56E0" w:rsidRDefault="00EC79B0" w:rsidP="00EC79B0">
      <w:pPr>
        <w:widowControl w:val="0"/>
        <w:rPr>
          <w:b/>
          <w:lang w:val="fr-CA"/>
        </w:rPr>
      </w:pPr>
      <w:r w:rsidRPr="009A56E0">
        <w:rPr>
          <w:b/>
          <w:lang w:val="fr-CA"/>
        </w:rPr>
        <w:t>Pour diffusion immédiate</w:t>
      </w:r>
    </w:p>
    <w:p w:rsidR="00EC79B0" w:rsidRPr="009A56E0" w:rsidRDefault="00EC79B0" w:rsidP="00EC79B0">
      <w:pPr>
        <w:widowControl w:val="0"/>
        <w:rPr>
          <w:lang w:val="fr-CA"/>
        </w:rPr>
      </w:pPr>
    </w:p>
    <w:p w:rsidR="00EC79B0" w:rsidRPr="009A56E0" w:rsidRDefault="00EC79B0" w:rsidP="00EC79B0">
      <w:pPr>
        <w:widowControl w:val="0"/>
        <w:rPr>
          <w:lang w:val="fr-CA"/>
        </w:rPr>
      </w:pPr>
      <w:r w:rsidRPr="009A56E0">
        <w:rPr>
          <w:b/>
          <w:lang w:val="fr-CA"/>
        </w:rPr>
        <w:t>OTTAWA</w:t>
      </w:r>
      <w:r w:rsidRPr="009A56E0">
        <w:rPr>
          <w:lang w:val="fr-CA"/>
        </w:rPr>
        <w:t xml:space="preserve"> – La Cour suprême du Canada annonce que jugement ser</w:t>
      </w:r>
      <w:r w:rsidR="00C86395" w:rsidRPr="009A56E0">
        <w:rPr>
          <w:lang w:val="fr-CA"/>
        </w:rPr>
        <w:t>a</w:t>
      </w:r>
      <w:r w:rsidRPr="009A56E0">
        <w:rPr>
          <w:lang w:val="fr-CA"/>
        </w:rPr>
        <w:t xml:space="preserve"> rendu dans </w:t>
      </w:r>
      <w:r w:rsidR="001F1643" w:rsidRPr="009A56E0">
        <w:rPr>
          <w:lang w:val="fr-CA"/>
        </w:rPr>
        <w:t>l</w:t>
      </w:r>
      <w:r w:rsidR="00C86395" w:rsidRPr="009A56E0">
        <w:rPr>
          <w:lang w:val="fr-CA"/>
        </w:rPr>
        <w:t>’</w:t>
      </w:r>
      <w:r w:rsidR="00A51565" w:rsidRPr="009A56E0">
        <w:rPr>
          <w:lang w:val="fr-CA"/>
        </w:rPr>
        <w:t xml:space="preserve">appel </w:t>
      </w:r>
      <w:r w:rsidRPr="009A56E0">
        <w:rPr>
          <w:lang w:val="fr-CA"/>
        </w:rPr>
        <w:t xml:space="preserve">suivant le </w:t>
      </w:r>
      <w:r w:rsidR="00FB61C0" w:rsidRPr="009A56E0">
        <w:rPr>
          <w:lang w:val="fr-CA"/>
        </w:rPr>
        <w:t>vendre</w:t>
      </w:r>
      <w:r w:rsidR="00831D1B" w:rsidRPr="009A56E0">
        <w:rPr>
          <w:lang w:val="fr-CA"/>
        </w:rPr>
        <w:t>d</w:t>
      </w:r>
      <w:r w:rsidR="00945121" w:rsidRPr="009A56E0">
        <w:rPr>
          <w:lang w:val="fr-CA"/>
        </w:rPr>
        <w:t>i</w:t>
      </w:r>
      <w:r w:rsidR="007C1648" w:rsidRPr="009A56E0">
        <w:rPr>
          <w:lang w:val="fr-CA"/>
        </w:rPr>
        <w:t xml:space="preserve"> </w:t>
      </w:r>
      <w:r w:rsidR="007C40A3" w:rsidRPr="009A56E0">
        <w:rPr>
          <w:lang w:val="fr-CA"/>
        </w:rPr>
        <w:t>2</w:t>
      </w:r>
      <w:r w:rsidR="004938E8" w:rsidRPr="009A56E0">
        <w:rPr>
          <w:lang w:val="fr-CA"/>
        </w:rPr>
        <w:t>1</w:t>
      </w:r>
      <w:r w:rsidR="00F62251" w:rsidRPr="009A56E0">
        <w:rPr>
          <w:lang w:val="fr-CA"/>
        </w:rPr>
        <w:t xml:space="preserve"> </w:t>
      </w:r>
      <w:r w:rsidR="000059E3" w:rsidRPr="009A56E0">
        <w:rPr>
          <w:lang w:val="fr-CA"/>
        </w:rPr>
        <w:t>mai</w:t>
      </w:r>
      <w:r w:rsidR="00282563" w:rsidRPr="009A56E0">
        <w:rPr>
          <w:lang w:val="fr-CA"/>
        </w:rPr>
        <w:t xml:space="preserve"> </w:t>
      </w:r>
      <w:r w:rsidRPr="009A56E0">
        <w:rPr>
          <w:lang w:val="fr-CA"/>
        </w:rPr>
        <w:t>20</w:t>
      </w:r>
      <w:r w:rsidR="009544E9" w:rsidRPr="009A56E0">
        <w:rPr>
          <w:lang w:val="fr-CA"/>
        </w:rPr>
        <w:t>2</w:t>
      </w:r>
      <w:r w:rsidR="00964827" w:rsidRPr="009A56E0">
        <w:rPr>
          <w:lang w:val="fr-CA"/>
        </w:rPr>
        <w:t>1</w:t>
      </w:r>
      <w:r w:rsidRPr="009A56E0">
        <w:rPr>
          <w:lang w:val="fr-CA"/>
        </w:rPr>
        <w:t>, à 9 h 45 H</w:t>
      </w:r>
      <w:r w:rsidR="00A51565" w:rsidRPr="009A56E0">
        <w:rPr>
          <w:lang w:val="fr-CA"/>
        </w:rPr>
        <w:t>A</w:t>
      </w:r>
      <w:r w:rsidRPr="009A56E0">
        <w:rPr>
          <w:lang w:val="fr-CA"/>
        </w:rPr>
        <w:t>E. Cette liste est sujette à modifications.</w:t>
      </w:r>
    </w:p>
    <w:p w:rsidR="001F76DD" w:rsidRPr="009A56E0" w:rsidRDefault="001F76DD" w:rsidP="00E92006">
      <w:pPr>
        <w:widowControl w:val="0"/>
        <w:jc w:val="both"/>
        <w:rPr>
          <w:szCs w:val="24"/>
          <w:lang w:val="fr-CA"/>
        </w:rPr>
      </w:pPr>
    </w:p>
    <w:p w:rsidR="00EF4622" w:rsidRPr="009A56E0" w:rsidRDefault="009A56E0" w:rsidP="00E92006">
      <w:pPr>
        <w:widowControl w:val="0"/>
        <w:jc w:val="both"/>
        <w:rPr>
          <w:szCs w:val="24"/>
          <w:lang w:val="fr-CA"/>
        </w:rPr>
      </w:pPr>
      <w:r w:rsidRPr="009A56E0">
        <w:rPr>
          <w:sz w:val="20"/>
        </w:rPr>
        <w:pict>
          <v:rect id="_x0000_i1025" style="width:2in;height:1pt" o:hrpct="0" o:hralign="center" o:hrstd="t" o:hrnoshade="t" o:hr="t" fillcolor="black [3213]" stroked="f"/>
        </w:pict>
      </w:r>
    </w:p>
    <w:p w:rsidR="001335A1" w:rsidRPr="009A56E0" w:rsidRDefault="001335A1" w:rsidP="001335A1">
      <w:pPr>
        <w:widowControl w:val="0"/>
        <w:rPr>
          <w:szCs w:val="24"/>
          <w:lang w:val="fr-CA"/>
        </w:rPr>
      </w:pPr>
    </w:p>
    <w:p w:rsidR="00772636" w:rsidRPr="009A56E0" w:rsidRDefault="007C40A3" w:rsidP="00772636">
      <w:pPr>
        <w:jc w:val="both"/>
        <w:rPr>
          <w:szCs w:val="24"/>
        </w:rPr>
      </w:pPr>
      <w:r w:rsidRPr="009A56E0">
        <w:rPr>
          <w:i/>
          <w:szCs w:val="24"/>
        </w:rPr>
        <w:t>Ethiopian Orthodox Tewahedo Church of Canada St. Mary Cathedral, et al. v. Teshome Aga, et al.</w:t>
      </w:r>
      <w:r w:rsidR="00735BE0" w:rsidRPr="009A56E0">
        <w:rPr>
          <w:i/>
          <w:szCs w:val="24"/>
        </w:rPr>
        <w:t xml:space="preserve"> </w:t>
      </w:r>
      <w:r w:rsidR="00772636" w:rsidRPr="009A56E0">
        <w:rPr>
          <w:szCs w:val="24"/>
        </w:rPr>
        <w:t>(</w:t>
      </w:r>
      <w:r w:rsidR="006D7779" w:rsidRPr="009A56E0">
        <w:rPr>
          <w:szCs w:val="24"/>
        </w:rPr>
        <w:t>Ont</w:t>
      </w:r>
      <w:r w:rsidR="00CB0853" w:rsidRPr="009A56E0">
        <w:rPr>
          <w:szCs w:val="24"/>
        </w:rPr>
        <w:t>.</w:t>
      </w:r>
      <w:r w:rsidR="00772636" w:rsidRPr="009A56E0">
        <w:rPr>
          <w:szCs w:val="24"/>
        </w:rPr>
        <w:t xml:space="preserve">) </w:t>
      </w:r>
      <w:r w:rsidR="00772636" w:rsidRPr="009A56E0">
        <w:t>(</w:t>
      </w:r>
      <w:hyperlink r:id="rId7" w:history="1">
        <w:r w:rsidR="00772636" w:rsidRPr="009A56E0">
          <w:rPr>
            <w:rStyle w:val="Hyperlink"/>
          </w:rPr>
          <w:t>3</w:t>
        </w:r>
        <w:r w:rsidRPr="009A56E0">
          <w:rPr>
            <w:rStyle w:val="Hyperlink"/>
          </w:rPr>
          <w:t>9094</w:t>
        </w:r>
      </w:hyperlink>
      <w:r w:rsidR="00772636" w:rsidRPr="009A56E0">
        <w:t>)</w:t>
      </w:r>
    </w:p>
    <w:p w:rsidR="009F18D7" w:rsidRPr="009A56E0" w:rsidRDefault="009F18D7" w:rsidP="00340C6D">
      <w:pPr>
        <w:jc w:val="both"/>
      </w:pPr>
    </w:p>
    <w:p w:rsidR="004938E8" w:rsidRPr="009A56E0" w:rsidRDefault="004938E8" w:rsidP="00340C6D">
      <w:pPr>
        <w:jc w:val="both"/>
      </w:pPr>
    </w:p>
    <w:p w:rsidR="007C40A3" w:rsidRPr="009A56E0" w:rsidRDefault="007C40A3" w:rsidP="007C40A3">
      <w:pPr>
        <w:pStyle w:val="SCCLsocParty"/>
        <w:ind w:left="720" w:hanging="720"/>
        <w:rPr>
          <w:b/>
          <w:sz w:val="20"/>
          <w:szCs w:val="20"/>
          <w:lang w:val="en-US"/>
        </w:rPr>
      </w:pPr>
      <w:r w:rsidRPr="009A56E0">
        <w:rPr>
          <w:b/>
          <w:i w:val="0"/>
          <w:sz w:val="20"/>
          <w:szCs w:val="20"/>
        </w:rPr>
        <w:fldChar w:fldCharType="begin"/>
      </w:r>
      <w:r w:rsidRPr="009A56E0">
        <w:rPr>
          <w:b/>
          <w:i w:val="0"/>
          <w:sz w:val="20"/>
          <w:szCs w:val="20"/>
          <w:lang w:val="en-US"/>
        </w:rPr>
        <w:instrText xml:space="preserve"> SEQ CHAPTER \h \r 1</w:instrText>
      </w:r>
      <w:r w:rsidRPr="009A56E0">
        <w:rPr>
          <w:b/>
          <w:i w:val="0"/>
          <w:sz w:val="20"/>
          <w:szCs w:val="20"/>
        </w:rPr>
        <w:fldChar w:fldCharType="end"/>
      </w:r>
      <w:r w:rsidRPr="009A56E0">
        <w:rPr>
          <w:b/>
          <w:i w:val="0"/>
          <w:sz w:val="20"/>
          <w:szCs w:val="20"/>
          <w:lang w:val="en-US"/>
        </w:rPr>
        <w:t>39094</w:t>
      </w:r>
      <w:r w:rsidRPr="009A56E0">
        <w:rPr>
          <w:b/>
          <w:i w:val="0"/>
          <w:sz w:val="20"/>
          <w:szCs w:val="20"/>
          <w:lang w:val="en-US"/>
        </w:rPr>
        <w:tab/>
      </w:r>
      <w:bookmarkStart w:id="1" w:name="3"/>
      <w:bookmarkEnd w:id="1"/>
      <w:r w:rsidRPr="009A56E0">
        <w:rPr>
          <w:b/>
          <w:sz w:val="20"/>
          <w:szCs w:val="20"/>
          <w:lang w:val="en-US"/>
        </w:rPr>
        <w:t>Ethiopian Orthodox Tewahedo Church of Canada St. Mary Cathedral, Mesale Enegeda, Abune Dimetros, Hiwot Bekele v. Teshome Aga, Yoseph Beyene, Dereje Goshu, Tseduke Gezaw, Belay Hebest</w:t>
      </w:r>
    </w:p>
    <w:p w:rsidR="007C40A3" w:rsidRPr="009A56E0" w:rsidRDefault="007C40A3" w:rsidP="007C40A3">
      <w:pPr>
        <w:widowControl w:val="0"/>
        <w:ind w:left="360" w:firstLine="360"/>
        <w:jc w:val="both"/>
        <w:rPr>
          <w:sz w:val="20"/>
          <w:lang w:val="en-CA"/>
        </w:rPr>
      </w:pPr>
      <w:r w:rsidRPr="009A56E0">
        <w:rPr>
          <w:sz w:val="20"/>
          <w:lang w:val="en-CA"/>
        </w:rPr>
        <w:t>(Ont.) (Civil) (By leave)</w:t>
      </w:r>
    </w:p>
    <w:p w:rsidR="007C40A3" w:rsidRPr="009A56E0" w:rsidRDefault="007C40A3" w:rsidP="00EC3709">
      <w:pPr>
        <w:widowControl w:val="0"/>
        <w:jc w:val="both"/>
        <w:rPr>
          <w:sz w:val="20"/>
          <w:lang w:val="en-CA"/>
        </w:rPr>
      </w:pPr>
    </w:p>
    <w:p w:rsidR="007C40A3" w:rsidRPr="009A56E0" w:rsidRDefault="007C40A3" w:rsidP="00FA67AD">
      <w:pPr>
        <w:widowControl w:val="0"/>
        <w:jc w:val="both"/>
        <w:rPr>
          <w:iCs/>
          <w:sz w:val="20"/>
        </w:rPr>
      </w:pPr>
      <w:r w:rsidRPr="009A56E0">
        <w:rPr>
          <w:i/>
          <w:iCs/>
          <w:sz w:val="20"/>
          <w:lang w:val="en"/>
        </w:rPr>
        <w:t>Charter of Rights and Freedoms</w:t>
      </w:r>
      <w:r w:rsidRPr="009A56E0">
        <w:rPr>
          <w:iCs/>
          <w:sz w:val="20"/>
          <w:lang w:val="en"/>
        </w:rPr>
        <w:t xml:space="preserve"> - </w:t>
      </w:r>
      <w:r w:rsidRPr="009A56E0">
        <w:rPr>
          <w:sz w:val="20"/>
        </w:rPr>
        <w:t xml:space="preserve">Freedom of religion - Freedom of Association - Freedom of speech - Multiculturalism and legal pluralism - </w:t>
      </w:r>
      <w:r w:rsidRPr="009A56E0">
        <w:rPr>
          <w:iCs/>
          <w:sz w:val="20"/>
          <w:lang w:val="en"/>
        </w:rPr>
        <w:t>Courts -</w:t>
      </w:r>
      <w:r w:rsidRPr="009A56E0">
        <w:rPr>
          <w:sz w:val="20"/>
          <w:lang w:val="en"/>
        </w:rPr>
        <w:t xml:space="preserve"> </w:t>
      </w:r>
      <w:r w:rsidRPr="009A56E0">
        <w:rPr>
          <w:iCs/>
          <w:sz w:val="20"/>
          <w:lang w:val="en"/>
        </w:rPr>
        <w:t>Jurisdiction -</w:t>
      </w:r>
      <w:r w:rsidRPr="009A56E0">
        <w:rPr>
          <w:sz w:val="20"/>
          <w:lang w:val="en"/>
        </w:rPr>
        <w:t xml:space="preserve"> </w:t>
      </w:r>
      <w:r w:rsidRPr="009A56E0">
        <w:rPr>
          <w:iCs/>
          <w:sz w:val="20"/>
          <w:lang w:val="en"/>
        </w:rPr>
        <w:t>Judicial review -</w:t>
      </w:r>
      <w:r w:rsidRPr="009A56E0">
        <w:rPr>
          <w:sz w:val="20"/>
          <w:lang w:val="en"/>
        </w:rPr>
        <w:t xml:space="preserve"> </w:t>
      </w:r>
      <w:r w:rsidRPr="009A56E0">
        <w:rPr>
          <w:iCs/>
          <w:sz w:val="20"/>
          <w:lang w:val="en"/>
        </w:rPr>
        <w:t>Private parties -</w:t>
      </w:r>
      <w:r w:rsidRPr="009A56E0">
        <w:rPr>
          <w:sz w:val="20"/>
          <w:lang w:val="en"/>
        </w:rPr>
        <w:t xml:space="preserve"> Appeals </w:t>
      </w:r>
      <w:r w:rsidRPr="009A56E0">
        <w:rPr>
          <w:iCs/>
          <w:sz w:val="20"/>
          <w:lang w:val="en"/>
        </w:rPr>
        <w:t>-</w:t>
      </w:r>
      <w:r w:rsidRPr="009A56E0">
        <w:rPr>
          <w:sz w:val="20"/>
          <w:lang w:val="en"/>
        </w:rPr>
        <w:t xml:space="preserve"> Standard of review - </w:t>
      </w:r>
      <w:r w:rsidRPr="009A56E0">
        <w:rPr>
          <w:iCs/>
          <w:sz w:val="20"/>
          <w:lang w:val="en"/>
        </w:rPr>
        <w:t xml:space="preserve">Whether superior court can review decision by religious organization regarding membership - Whether issues are ecclesiastical and non-justiciable - Whether </w:t>
      </w:r>
      <w:r w:rsidRPr="009A56E0">
        <w:rPr>
          <w:color w:val="000000"/>
          <w:sz w:val="20"/>
        </w:rPr>
        <w:t xml:space="preserve">religious organizations constitution and by-laws form a contract - Do a voluntary association’s by-laws always form a contract giving the court jurisdiction - Can charitable donations be contractual consideration - Are the respondents pursuing non-justiciable claims and remedies - Would the relief claimed by the respondents violate the </w:t>
      </w:r>
      <w:r w:rsidRPr="009A56E0">
        <w:rPr>
          <w:i/>
          <w:color w:val="000000"/>
          <w:sz w:val="20"/>
        </w:rPr>
        <w:t xml:space="preserve">Charter of Rights and Freedoms </w:t>
      </w:r>
      <w:r w:rsidRPr="009A56E0">
        <w:rPr>
          <w:color w:val="000000"/>
          <w:sz w:val="20"/>
        </w:rPr>
        <w:t>- Did the Court of Appeal overturn or make factual findings without applying the palpable and overriding error standard of review?</w:t>
      </w:r>
    </w:p>
    <w:p w:rsidR="007C40A3" w:rsidRPr="009A56E0" w:rsidRDefault="007C40A3" w:rsidP="00FA67AD">
      <w:pPr>
        <w:jc w:val="both"/>
        <w:rPr>
          <w:sz w:val="20"/>
        </w:rPr>
      </w:pPr>
    </w:p>
    <w:p w:rsidR="007C40A3" w:rsidRPr="009A56E0" w:rsidRDefault="007C40A3" w:rsidP="00A0112B">
      <w:pPr>
        <w:pStyle w:val="aparanumbering"/>
        <w:widowControl w:val="0"/>
        <w:spacing w:before="0" w:beforeAutospacing="0" w:after="0" w:afterAutospacing="0"/>
        <w:jc w:val="both"/>
        <w:rPr>
          <w:sz w:val="20"/>
          <w:szCs w:val="20"/>
        </w:rPr>
      </w:pPr>
      <w:r w:rsidRPr="009A56E0">
        <w:rPr>
          <w:color w:val="000000"/>
          <w:spacing w:val="-2"/>
          <w:sz w:val="20"/>
          <w:szCs w:val="20"/>
        </w:rPr>
        <w:t xml:space="preserve">Ethiopian Orthodox Tewahedo Church of Canada St. Mary Cathedral is a non-share capital corporation incorporated under the </w:t>
      </w:r>
      <w:r w:rsidRPr="009A56E0">
        <w:rPr>
          <w:i/>
          <w:color w:val="000000"/>
          <w:spacing w:val="-2"/>
          <w:sz w:val="20"/>
          <w:szCs w:val="20"/>
        </w:rPr>
        <w:t>Corporations Act</w:t>
      </w:r>
      <w:r w:rsidRPr="009A56E0">
        <w:rPr>
          <w:color w:val="000000"/>
          <w:spacing w:val="-2"/>
          <w:sz w:val="20"/>
          <w:szCs w:val="20"/>
        </w:rPr>
        <w:t>, R.S.O. 1990, c. C.38</w:t>
      </w:r>
      <w:r w:rsidRPr="009A56E0">
        <w:rPr>
          <w:sz w:val="20"/>
          <w:szCs w:val="20"/>
        </w:rPr>
        <w:t xml:space="preserve">. </w:t>
      </w:r>
      <w:r w:rsidRPr="009A56E0">
        <w:rPr>
          <w:rStyle w:val="ssleftalign2"/>
          <w:color w:val="373739"/>
          <w:sz w:val="20"/>
          <w:szCs w:val="20"/>
          <w:specVanish w:val="0"/>
        </w:rPr>
        <w:t xml:space="preserve">Teshome </w:t>
      </w:r>
      <w:r w:rsidRPr="009A56E0">
        <w:rPr>
          <w:rStyle w:val="sssh"/>
          <w:color w:val="373739"/>
          <w:sz w:val="20"/>
          <w:szCs w:val="20"/>
        </w:rPr>
        <w:t>Aga</w:t>
      </w:r>
      <w:r w:rsidRPr="009A56E0">
        <w:rPr>
          <w:rStyle w:val="ssleftalign2"/>
          <w:color w:val="373739"/>
          <w:sz w:val="20"/>
          <w:szCs w:val="20"/>
          <w:specVanish w:val="0"/>
        </w:rPr>
        <w:t>, Yoseph Beyene, Dereje Goshu, Tseduke Gezaw and Belay Hebest</w:t>
      </w:r>
      <w:r w:rsidRPr="009A56E0">
        <w:rPr>
          <w:sz w:val="20"/>
          <w:szCs w:val="20"/>
          <w:lang w:val="en"/>
        </w:rPr>
        <w:t xml:space="preserve"> are members of the congregation and were members of a committee that</w:t>
      </w:r>
      <w:r w:rsidRPr="009A56E0">
        <w:rPr>
          <w:sz w:val="20"/>
          <w:szCs w:val="20"/>
        </w:rPr>
        <w:t xml:space="preserve"> investigated a movement of members within the congregation. The committee reported to Archbishop Dimetros that the movement was heretical. The committee recommended action including purging of heretics. Archbishop Dimetros imposed other discipline. </w:t>
      </w:r>
      <w:r w:rsidRPr="009A56E0">
        <w:rPr>
          <w:rStyle w:val="ssleftalign2"/>
          <w:color w:val="373739"/>
          <w:sz w:val="20"/>
          <w:szCs w:val="20"/>
          <w:specVanish w:val="0"/>
        </w:rPr>
        <w:t xml:space="preserve">Teshome </w:t>
      </w:r>
      <w:r w:rsidRPr="009A56E0">
        <w:rPr>
          <w:rStyle w:val="sssh"/>
          <w:color w:val="373739"/>
          <w:sz w:val="20"/>
          <w:szCs w:val="20"/>
        </w:rPr>
        <w:t>Aga</w:t>
      </w:r>
      <w:r w:rsidRPr="009A56E0">
        <w:rPr>
          <w:rStyle w:val="ssleftalign2"/>
          <w:color w:val="373739"/>
          <w:sz w:val="20"/>
          <w:szCs w:val="20"/>
          <w:specVanish w:val="0"/>
        </w:rPr>
        <w:t>, Yoseph Beyene, Dereje Goshu, Tseduke Gezaw and Belay Hebest</w:t>
      </w:r>
      <w:r w:rsidRPr="009A56E0">
        <w:rPr>
          <w:sz w:val="20"/>
          <w:szCs w:val="20"/>
        </w:rPr>
        <w:t xml:space="preserve"> objected. They were warned that steps would be taken to expel them from the congregation if they did not cease expressing dissatisfaction. They were suspended from membership and expelled. They commenced an action. The appellants applied for summary judgment dismissing the action. The Ontario Superior Court of Justice granted the application and dismissed the action. The Court of Appeal for Ontario granted an appeal, set aside the summary judgment dismissing the action, and returned the matter to the Ontario Superior Court of Justice for trial.</w:t>
      </w:r>
    </w:p>
    <w:p w:rsidR="007C40A3" w:rsidRPr="009A56E0" w:rsidRDefault="007C40A3" w:rsidP="00A0112B">
      <w:pPr>
        <w:pStyle w:val="aparanumbering"/>
        <w:widowControl w:val="0"/>
        <w:spacing w:before="0" w:beforeAutospacing="0" w:after="0" w:afterAutospacing="0"/>
        <w:jc w:val="both"/>
        <w:rPr>
          <w:sz w:val="20"/>
          <w:szCs w:val="20"/>
        </w:rPr>
      </w:pPr>
    </w:p>
    <w:p w:rsidR="007C40A3" w:rsidRPr="009A56E0" w:rsidRDefault="009A56E0" w:rsidP="00A0112B">
      <w:pPr>
        <w:pStyle w:val="aparanumbering"/>
        <w:widowControl w:val="0"/>
        <w:spacing w:before="0" w:beforeAutospacing="0" w:after="0" w:afterAutospacing="0"/>
        <w:jc w:val="both"/>
        <w:rPr>
          <w:sz w:val="20"/>
          <w:szCs w:val="20"/>
        </w:rPr>
      </w:pPr>
      <w:r w:rsidRPr="009A56E0">
        <w:rPr>
          <w:sz w:val="20"/>
        </w:rPr>
        <w:pict>
          <v:rect id="_x0000_i1026" style="width:2in;height:1pt" o:hrpct="0" o:hralign="center" o:hrstd="t" o:hrnoshade="t" o:hr="t" fillcolor="black [3213]" stroked="f"/>
        </w:pict>
      </w:r>
    </w:p>
    <w:p w:rsidR="007C40A3" w:rsidRPr="009A56E0" w:rsidRDefault="007C40A3" w:rsidP="00A0112B">
      <w:pPr>
        <w:pStyle w:val="aparanumbering"/>
        <w:widowControl w:val="0"/>
        <w:spacing w:before="0" w:beforeAutospacing="0" w:after="0" w:afterAutospacing="0"/>
        <w:jc w:val="both"/>
        <w:rPr>
          <w:sz w:val="20"/>
          <w:szCs w:val="20"/>
          <w:lang w:val="en-CA"/>
        </w:rPr>
      </w:pPr>
    </w:p>
    <w:p w:rsidR="007C40A3" w:rsidRPr="009A56E0" w:rsidRDefault="007C40A3" w:rsidP="007C40A3">
      <w:pPr>
        <w:pStyle w:val="SCCLsocParty"/>
        <w:ind w:left="720" w:hanging="720"/>
        <w:rPr>
          <w:b/>
          <w:sz w:val="20"/>
          <w:szCs w:val="20"/>
          <w:lang w:val="en-US"/>
        </w:rPr>
      </w:pPr>
      <w:r w:rsidRPr="009A56E0">
        <w:rPr>
          <w:b/>
          <w:i w:val="0"/>
          <w:sz w:val="20"/>
          <w:szCs w:val="20"/>
        </w:rPr>
        <w:fldChar w:fldCharType="begin"/>
      </w:r>
      <w:r w:rsidRPr="009A56E0">
        <w:rPr>
          <w:b/>
          <w:i w:val="0"/>
          <w:sz w:val="20"/>
          <w:szCs w:val="20"/>
          <w:lang w:val="en-US"/>
        </w:rPr>
        <w:instrText xml:space="preserve"> SEQ CHAPTER \h \r 1</w:instrText>
      </w:r>
      <w:r w:rsidRPr="009A56E0">
        <w:rPr>
          <w:b/>
          <w:i w:val="0"/>
          <w:sz w:val="20"/>
          <w:szCs w:val="20"/>
        </w:rPr>
        <w:fldChar w:fldCharType="end"/>
      </w:r>
      <w:r w:rsidRPr="009A56E0">
        <w:rPr>
          <w:b/>
          <w:i w:val="0"/>
          <w:sz w:val="20"/>
          <w:szCs w:val="20"/>
          <w:lang w:val="en-US"/>
        </w:rPr>
        <w:t>39094</w:t>
      </w:r>
      <w:r w:rsidRPr="009A56E0">
        <w:rPr>
          <w:b/>
          <w:sz w:val="20"/>
          <w:szCs w:val="20"/>
          <w:lang w:val="en-US"/>
        </w:rPr>
        <w:tab/>
        <w:t>Ethiopian Orthodox Tewahedo Church of Canada St. Mary Cathedral, Mesale Enegeda, Abune Dimetros, Hiwot Bekele c. Teshome Aga, Yoseph Beyene, Dereje Goshu, Tseduke Gezaw, Belay Hebest</w:t>
      </w:r>
    </w:p>
    <w:p w:rsidR="007C40A3" w:rsidRPr="009A56E0" w:rsidRDefault="007C40A3" w:rsidP="007C40A3">
      <w:pPr>
        <w:widowControl w:val="0"/>
        <w:ind w:left="360" w:firstLine="360"/>
        <w:jc w:val="both"/>
        <w:rPr>
          <w:sz w:val="20"/>
          <w:lang w:val="fr-CA"/>
        </w:rPr>
      </w:pPr>
      <w:r w:rsidRPr="009A56E0">
        <w:rPr>
          <w:sz w:val="20"/>
          <w:lang w:val="fr-CA"/>
        </w:rPr>
        <w:t>(Ont.) (Civile) (Autorisation)</w:t>
      </w:r>
    </w:p>
    <w:p w:rsidR="007C40A3" w:rsidRPr="009A56E0" w:rsidRDefault="007C40A3" w:rsidP="00E93FC5">
      <w:pPr>
        <w:widowControl w:val="0"/>
        <w:jc w:val="both"/>
        <w:rPr>
          <w:sz w:val="20"/>
          <w:lang w:val="fr-CA"/>
        </w:rPr>
      </w:pPr>
    </w:p>
    <w:p w:rsidR="007C40A3" w:rsidRPr="009A56E0" w:rsidRDefault="007C40A3" w:rsidP="00E93FC5">
      <w:pPr>
        <w:widowControl w:val="0"/>
        <w:jc w:val="both"/>
        <w:rPr>
          <w:iCs/>
          <w:sz w:val="20"/>
          <w:lang w:val="fr-CA"/>
        </w:rPr>
      </w:pPr>
      <w:r w:rsidRPr="009A56E0">
        <w:rPr>
          <w:i/>
          <w:iCs/>
          <w:sz w:val="20"/>
          <w:lang w:val="fr-CA"/>
        </w:rPr>
        <w:t>Charte des droits et libertés</w:t>
      </w:r>
      <w:r w:rsidRPr="009A56E0">
        <w:rPr>
          <w:iCs/>
          <w:sz w:val="20"/>
          <w:lang w:val="fr-CA"/>
        </w:rPr>
        <w:t xml:space="preserve"> - </w:t>
      </w:r>
      <w:r w:rsidRPr="009A56E0">
        <w:rPr>
          <w:sz w:val="20"/>
          <w:lang w:val="fr-CA"/>
        </w:rPr>
        <w:t xml:space="preserve">Liberté de religion - Liberté d’association - Liberté d’expression - Multiculturalisme et pluralisme juridique - </w:t>
      </w:r>
      <w:r w:rsidRPr="009A56E0">
        <w:rPr>
          <w:iCs/>
          <w:sz w:val="20"/>
          <w:lang w:val="fr-CA"/>
        </w:rPr>
        <w:t>Tribunaux -</w:t>
      </w:r>
      <w:r w:rsidRPr="009A56E0">
        <w:rPr>
          <w:sz w:val="20"/>
          <w:lang w:val="fr-CA"/>
        </w:rPr>
        <w:t xml:space="preserve"> </w:t>
      </w:r>
      <w:r w:rsidRPr="009A56E0">
        <w:rPr>
          <w:iCs/>
          <w:sz w:val="20"/>
          <w:lang w:val="fr-CA"/>
        </w:rPr>
        <w:t>Compétence -</w:t>
      </w:r>
      <w:r w:rsidRPr="009A56E0">
        <w:rPr>
          <w:sz w:val="20"/>
          <w:lang w:val="fr-CA"/>
        </w:rPr>
        <w:t xml:space="preserve"> </w:t>
      </w:r>
      <w:r w:rsidRPr="009A56E0">
        <w:rPr>
          <w:iCs/>
          <w:sz w:val="20"/>
          <w:lang w:val="fr-CA"/>
        </w:rPr>
        <w:t>Contrôle judiciaire -</w:t>
      </w:r>
      <w:r w:rsidRPr="009A56E0">
        <w:rPr>
          <w:sz w:val="20"/>
          <w:lang w:val="fr-CA"/>
        </w:rPr>
        <w:t xml:space="preserve"> </w:t>
      </w:r>
      <w:r w:rsidRPr="009A56E0">
        <w:rPr>
          <w:iCs/>
          <w:sz w:val="20"/>
          <w:lang w:val="fr-CA"/>
        </w:rPr>
        <w:t>Parties privées -</w:t>
      </w:r>
      <w:r w:rsidRPr="009A56E0">
        <w:rPr>
          <w:sz w:val="20"/>
          <w:lang w:val="fr-CA"/>
        </w:rPr>
        <w:t xml:space="preserve"> Appels </w:t>
      </w:r>
      <w:r w:rsidRPr="009A56E0">
        <w:rPr>
          <w:iCs/>
          <w:sz w:val="20"/>
          <w:lang w:val="fr-CA"/>
        </w:rPr>
        <w:t>-</w:t>
      </w:r>
      <w:r w:rsidRPr="009A56E0">
        <w:rPr>
          <w:sz w:val="20"/>
          <w:lang w:val="fr-CA"/>
        </w:rPr>
        <w:t xml:space="preserve"> Norme de contrôle - </w:t>
      </w:r>
      <w:r w:rsidRPr="009A56E0">
        <w:rPr>
          <w:iCs/>
          <w:sz w:val="20"/>
          <w:lang w:val="fr-CA"/>
        </w:rPr>
        <w:t>Une cour supérieure peut-elle contrôler la décision prise par une organisation religieuse à propos de l’affiliation? - Les questions sont-elles ecclésiastiques et non justiciables? - L’acte constitutif et les règlements administratifs d’organisations religieuses forment-ils un contrat?</w:t>
      </w:r>
      <w:r w:rsidRPr="009A56E0">
        <w:rPr>
          <w:color w:val="000000"/>
          <w:sz w:val="20"/>
          <w:lang w:val="fr-CA"/>
        </w:rPr>
        <w:t xml:space="preserve"> - Les règlements administratifs d’une association volontaire forment-ils toujours un contrat conférant la compétence à la cour? - Les dons de bienfaisance peuvent-ils être une contrepartie contractuelle? - Les intimés poursuivent-ils des causes d’actions et des recours non justiciables? - La réparation demandée par les intimées violerait-elle la </w:t>
      </w:r>
      <w:r w:rsidRPr="009A56E0">
        <w:rPr>
          <w:i/>
          <w:color w:val="000000"/>
          <w:sz w:val="20"/>
          <w:lang w:val="fr-CA"/>
        </w:rPr>
        <w:t>Charte des droits et libertés</w:t>
      </w:r>
      <w:r w:rsidRPr="009A56E0">
        <w:rPr>
          <w:color w:val="000000"/>
          <w:sz w:val="20"/>
          <w:lang w:val="fr-CA"/>
        </w:rPr>
        <w:t>?</w:t>
      </w:r>
      <w:r w:rsidRPr="009A56E0">
        <w:rPr>
          <w:i/>
          <w:color w:val="000000"/>
          <w:sz w:val="20"/>
          <w:lang w:val="fr-CA"/>
        </w:rPr>
        <w:t xml:space="preserve"> </w:t>
      </w:r>
      <w:r w:rsidRPr="009A56E0">
        <w:rPr>
          <w:color w:val="000000"/>
          <w:sz w:val="20"/>
          <w:lang w:val="fr-CA"/>
        </w:rPr>
        <w:t>- La Cour d’appel a-t-elle infirmé ou tiré des conclusions de fait sans appliquer la norme de contrôle de l’erreur manifeste et dominante?</w:t>
      </w:r>
    </w:p>
    <w:p w:rsidR="007C40A3" w:rsidRPr="009A56E0" w:rsidRDefault="007C40A3" w:rsidP="00E93FC5">
      <w:pPr>
        <w:jc w:val="both"/>
        <w:rPr>
          <w:sz w:val="20"/>
          <w:lang w:val="fr-CA"/>
        </w:rPr>
      </w:pPr>
    </w:p>
    <w:p w:rsidR="007C40A3" w:rsidRPr="009A56E0" w:rsidRDefault="007C40A3" w:rsidP="00E93FC5">
      <w:pPr>
        <w:pStyle w:val="aparanumbering"/>
        <w:widowControl w:val="0"/>
        <w:spacing w:before="0" w:beforeAutospacing="0" w:after="0" w:afterAutospacing="0"/>
        <w:jc w:val="both"/>
        <w:rPr>
          <w:sz w:val="20"/>
          <w:szCs w:val="20"/>
          <w:lang w:val="fr-CA"/>
        </w:rPr>
      </w:pPr>
      <w:r w:rsidRPr="009A56E0">
        <w:rPr>
          <w:color w:val="000000"/>
          <w:spacing w:val="-2"/>
          <w:sz w:val="20"/>
          <w:szCs w:val="20"/>
          <w:lang w:val="fr-CA"/>
        </w:rPr>
        <w:t xml:space="preserve">Ethiopian Orthodox Tewahedo Church of Canada St. Mary Cathedral est une personne morale sans capital-actions constituée en vertu de la </w:t>
      </w:r>
      <w:r w:rsidRPr="009A56E0">
        <w:rPr>
          <w:i/>
          <w:color w:val="000000"/>
          <w:spacing w:val="-2"/>
          <w:sz w:val="20"/>
          <w:szCs w:val="20"/>
          <w:lang w:val="fr-CA"/>
        </w:rPr>
        <w:t>Loi sur les personnes morales</w:t>
      </w:r>
      <w:r w:rsidRPr="009A56E0">
        <w:rPr>
          <w:color w:val="000000"/>
          <w:spacing w:val="-2"/>
          <w:sz w:val="20"/>
          <w:szCs w:val="20"/>
          <w:lang w:val="fr-CA"/>
        </w:rPr>
        <w:t>, L.R.O. 1990, ch. C.38</w:t>
      </w:r>
      <w:r w:rsidRPr="009A56E0">
        <w:rPr>
          <w:sz w:val="20"/>
          <w:szCs w:val="20"/>
          <w:lang w:val="fr-CA"/>
        </w:rPr>
        <w:t xml:space="preserve">. </w:t>
      </w:r>
      <w:r w:rsidRPr="009A56E0">
        <w:rPr>
          <w:rStyle w:val="ssleftalign2"/>
          <w:color w:val="373739"/>
          <w:sz w:val="20"/>
          <w:szCs w:val="20"/>
          <w:lang w:val="fr-CA"/>
          <w:specVanish w:val="0"/>
        </w:rPr>
        <w:t xml:space="preserve">Teshome </w:t>
      </w:r>
      <w:r w:rsidRPr="009A56E0">
        <w:rPr>
          <w:rStyle w:val="sssh"/>
          <w:color w:val="373739"/>
          <w:sz w:val="20"/>
          <w:szCs w:val="20"/>
          <w:lang w:val="fr-CA"/>
        </w:rPr>
        <w:t>Aga</w:t>
      </w:r>
      <w:r w:rsidRPr="009A56E0">
        <w:rPr>
          <w:rStyle w:val="ssleftalign2"/>
          <w:color w:val="373739"/>
          <w:sz w:val="20"/>
          <w:szCs w:val="20"/>
          <w:lang w:val="fr-CA"/>
          <w:specVanish w:val="0"/>
        </w:rPr>
        <w:t>, Yoseph Beyene, Dereje Goshu, Tseduke Gezaw et Belay Hebest</w:t>
      </w:r>
      <w:r w:rsidRPr="009A56E0">
        <w:rPr>
          <w:sz w:val="20"/>
          <w:szCs w:val="20"/>
          <w:lang w:val="fr-CA"/>
        </w:rPr>
        <w:t xml:space="preserve"> sont membres de la congrégation et ils étaient membres d’un comité qui a enquêté sur un mouvement de membres au sein de la congrégation. Le comité a présenté un rapport à l’archevêque Dimetros comme quoi le mouvement était hérétique. Le comité a recommandé des mesures, notamment la purge des hérétiques. L’archevêque Dimetros a imposé d’autres mesures disciplinaires. </w:t>
      </w:r>
      <w:r w:rsidRPr="009A56E0">
        <w:rPr>
          <w:rStyle w:val="ssleftalign2"/>
          <w:color w:val="373739"/>
          <w:sz w:val="20"/>
          <w:szCs w:val="20"/>
          <w:lang w:val="fr-CA"/>
          <w:specVanish w:val="0"/>
        </w:rPr>
        <w:t xml:space="preserve">Teshome </w:t>
      </w:r>
      <w:r w:rsidRPr="009A56E0">
        <w:rPr>
          <w:rStyle w:val="sssh"/>
          <w:color w:val="373739"/>
          <w:sz w:val="20"/>
          <w:szCs w:val="20"/>
          <w:lang w:val="fr-CA"/>
        </w:rPr>
        <w:t>Aga</w:t>
      </w:r>
      <w:r w:rsidRPr="009A56E0">
        <w:rPr>
          <w:rStyle w:val="ssleftalign2"/>
          <w:color w:val="373739"/>
          <w:sz w:val="20"/>
          <w:szCs w:val="20"/>
          <w:lang w:val="fr-CA"/>
          <w:specVanish w:val="0"/>
        </w:rPr>
        <w:t>, Yoseph Beyene, Dereje Goshu, Tseduke Gezaw et Belay Hebest</w:t>
      </w:r>
      <w:r w:rsidRPr="009A56E0">
        <w:rPr>
          <w:sz w:val="20"/>
          <w:szCs w:val="20"/>
          <w:lang w:val="fr-CA"/>
        </w:rPr>
        <w:t xml:space="preserve"> s’y sont opposés. Ils ont été avertis que des mesures seraient prises pour les expulser de la congrégation s’ils ne cessaient pas d’exprimer leur insatisfaction. Leur affiliation a été suspendue et ils ont été expulsés. Ils ont intenté une action. Les appelants ont demandé un jugement sommaire rejetant l’action. La Cour supérieure de justice a accueilli la demande et a rejeté l’action. La Cour d’appel a accueilli l’appel, annulé le jugement sommaire rejetant l’action et a renvoyé l’affaire à la Cour supérieure de justice pour instruction.</w:t>
      </w:r>
    </w:p>
    <w:p w:rsidR="007C40A3" w:rsidRPr="009A56E0" w:rsidRDefault="007C40A3" w:rsidP="00340C6D">
      <w:pPr>
        <w:jc w:val="both"/>
        <w:rPr>
          <w:lang w:val="fr-CA"/>
        </w:rPr>
      </w:pPr>
    </w:p>
    <w:p w:rsidR="007C40A3" w:rsidRPr="009A56E0" w:rsidRDefault="009A56E0" w:rsidP="00340C6D">
      <w:pPr>
        <w:jc w:val="both"/>
        <w:rPr>
          <w:lang w:val="fr-CA"/>
        </w:rPr>
      </w:pPr>
      <w:r w:rsidRPr="009A56E0">
        <w:rPr>
          <w:sz w:val="20"/>
        </w:rPr>
        <w:pict>
          <v:rect id="_x0000_i1027" style="width:2in;height:1pt" o:hrpct="0" o:hralign="center" o:hrstd="t" o:hrnoshade="t" o:hr="t" fillcolor="black [3213]" stroked="f"/>
        </w:pict>
      </w:r>
    </w:p>
    <w:p w:rsidR="007C40A3" w:rsidRPr="009A56E0" w:rsidRDefault="007C40A3" w:rsidP="00340C6D">
      <w:pPr>
        <w:jc w:val="both"/>
        <w:rPr>
          <w:sz w:val="20"/>
          <w:lang w:val="fr-CA"/>
        </w:rPr>
      </w:pPr>
    </w:p>
    <w:p w:rsidR="00A51565" w:rsidRPr="009A56E0" w:rsidRDefault="00A51565" w:rsidP="00340C6D">
      <w:pPr>
        <w:jc w:val="both"/>
        <w:rPr>
          <w:sz w:val="20"/>
        </w:rPr>
      </w:pPr>
    </w:p>
    <w:p w:rsidR="00072A63" w:rsidRPr="009A56E0" w:rsidRDefault="00072A63" w:rsidP="00EC79B0">
      <w:pPr>
        <w:jc w:val="both"/>
        <w:rPr>
          <w:sz w:val="20"/>
          <w:lang w:val="fr-CA"/>
        </w:rPr>
      </w:pPr>
    </w:p>
    <w:p w:rsidR="001C4415" w:rsidRPr="009A56E0" w:rsidRDefault="001C4415" w:rsidP="001C4415">
      <w:pPr>
        <w:widowControl w:val="0"/>
        <w:outlineLvl w:val="0"/>
      </w:pPr>
      <w:r w:rsidRPr="009A56E0">
        <w:t xml:space="preserve">Supreme Court of Canada / Cour suprême du </w:t>
      </w:r>
      <w:proofErr w:type="gramStart"/>
      <w:r w:rsidRPr="009A56E0">
        <w:t>Canada :</w:t>
      </w:r>
      <w:proofErr w:type="gramEnd"/>
      <w:r w:rsidRPr="009A56E0">
        <w:t xml:space="preserve"> </w:t>
      </w:r>
    </w:p>
    <w:p w:rsidR="001C4415" w:rsidRPr="009A56E0" w:rsidRDefault="009A56E0" w:rsidP="001C4415">
      <w:pPr>
        <w:widowControl w:val="0"/>
        <w:outlineLvl w:val="0"/>
      </w:pPr>
      <w:hyperlink r:id="rId8" w:history="1">
        <w:r w:rsidR="001C4415" w:rsidRPr="009A56E0">
          <w:rPr>
            <w:rStyle w:val="Hyperlink"/>
          </w:rPr>
          <w:t>comments-commentaires@scc-csc.ca</w:t>
        </w:r>
      </w:hyperlink>
    </w:p>
    <w:p w:rsidR="001C4415" w:rsidRPr="009A56E0" w:rsidRDefault="001C4415" w:rsidP="001C4415">
      <w:pPr>
        <w:widowControl w:val="0"/>
        <w:outlineLvl w:val="0"/>
      </w:pPr>
      <w:r w:rsidRPr="009A56E0">
        <w:t>(613) 995-4330</w:t>
      </w:r>
    </w:p>
    <w:p w:rsidR="001C4415" w:rsidRPr="009A56E0" w:rsidRDefault="001C4415" w:rsidP="001C4415">
      <w:pPr>
        <w:widowControl w:val="0"/>
        <w:rPr>
          <w:sz w:val="20"/>
        </w:rPr>
      </w:pPr>
    </w:p>
    <w:p w:rsidR="0036476C" w:rsidRPr="00A8502B" w:rsidRDefault="001C4415" w:rsidP="0036476C">
      <w:pPr>
        <w:pStyle w:val="Footer"/>
        <w:jc w:val="center"/>
        <w:rPr>
          <w:lang w:val="fr-CA"/>
        </w:rPr>
      </w:pPr>
      <w:r w:rsidRPr="009A56E0">
        <w:rPr>
          <w:lang w:val="fr-CA"/>
        </w:rPr>
        <w:t xml:space="preserve">- 30 </w:t>
      </w:r>
      <w:r w:rsidR="003C1B6E" w:rsidRPr="009A56E0">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43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059E3"/>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02C"/>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938E8"/>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D7779"/>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C40A3"/>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2E3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56E0"/>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1565"/>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3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styleId="ListParagraph">
    <w:name w:val="List Paragraph"/>
    <w:basedOn w:val="Normal"/>
    <w:uiPriority w:val="1"/>
    <w:qFormat/>
    <w:rsid w:val="00A51565"/>
    <w:pPr>
      <w:ind w:left="720"/>
      <w:contextualSpacing/>
    </w:pPr>
    <w:rPr>
      <w:lang w:val="en-CA" w:eastAsia="en-CA"/>
    </w:rPr>
  </w:style>
  <w:style w:type="paragraph" w:customStyle="1" w:styleId="SCCFileNumber">
    <w:name w:val="SCC.FileNumber"/>
    <w:basedOn w:val="Normal"/>
    <w:next w:val="Normal"/>
    <w:link w:val="SCCFileNumberChar"/>
    <w:rsid w:val="006D7779"/>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6D7779"/>
    <w:rPr>
      <w:rFonts w:eastAsiaTheme="minorHAnsi" w:cstheme="minorBidi"/>
      <w:b/>
      <w:sz w:val="24"/>
      <w:szCs w:val="22"/>
      <w:lang w:val="en-CA"/>
    </w:rPr>
  </w:style>
  <w:style w:type="paragraph" w:customStyle="1" w:styleId="SCCBanSummary">
    <w:name w:val="SCC.BanSummary"/>
    <w:basedOn w:val="Normal"/>
    <w:next w:val="Normal"/>
    <w:link w:val="SCCBanSummaryChar"/>
    <w:rsid w:val="000059E3"/>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059E3"/>
    <w:rPr>
      <w:rFonts w:eastAsiaTheme="minorHAnsi" w:cstheme="minorBidi"/>
      <w:smallCaps/>
      <w:sz w:val="24"/>
      <w:szCs w:val="22"/>
      <w:lang w:val="en-CA"/>
    </w:rPr>
  </w:style>
  <w:style w:type="character" w:customStyle="1" w:styleId="ssleftalign2">
    <w:name w:val="ss_leftalign2"/>
    <w:basedOn w:val="DefaultParagraphFont"/>
    <w:rsid w:val="007C40A3"/>
    <w:rPr>
      <w:vanish w:val="0"/>
      <w:webHidden w:val="0"/>
      <w:sz w:val="24"/>
      <w:szCs w:val="24"/>
      <w:specVanish w:val="0"/>
    </w:rPr>
  </w:style>
  <w:style w:type="character" w:customStyle="1" w:styleId="sssh">
    <w:name w:val="ss_sh"/>
    <w:basedOn w:val="DefaultParagraphFont"/>
    <w:rsid w:val="007C40A3"/>
  </w:style>
  <w:style w:type="paragraph" w:customStyle="1" w:styleId="aparanumbering">
    <w:name w:val="aparanumbering"/>
    <w:basedOn w:val="Normal"/>
    <w:rsid w:val="007C40A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909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5788</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2021-03-31T13:43:00Z</dcterms:created>
  <dcterms:modified xsi:type="dcterms:W3CDTF">2021-05-17T12:30:00Z</dcterms:modified>
</cp:coreProperties>
</file>