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624C0" w:rsidRDefault="003F43E6" w:rsidP="00CC5785">
      <w:pPr>
        <w:pStyle w:val="Header"/>
        <w:jc w:val="center"/>
        <w:rPr>
          <w:b/>
          <w:sz w:val="32"/>
        </w:rPr>
      </w:pPr>
      <w:r w:rsidRPr="003624C0">
        <w:rPr>
          <w:b/>
          <w:sz w:val="32"/>
        </w:rPr>
        <w:t>Supreme Court of Canada / Cour suprême du Canada</w:t>
      </w:r>
    </w:p>
    <w:p w:rsidR="003F43E6" w:rsidRPr="003624C0" w:rsidRDefault="003F43E6" w:rsidP="00CC5785">
      <w:pPr>
        <w:widowControl w:val="0"/>
        <w:rPr>
          <w:i/>
        </w:rPr>
      </w:pPr>
    </w:p>
    <w:p w:rsidR="003F43E6" w:rsidRPr="003624C0" w:rsidRDefault="003F43E6" w:rsidP="00CC5785">
      <w:pPr>
        <w:widowControl w:val="0"/>
        <w:rPr>
          <w:i/>
        </w:rPr>
      </w:pPr>
    </w:p>
    <w:p w:rsidR="006F2579" w:rsidRPr="003624C0" w:rsidRDefault="006F2579" w:rsidP="00CC5785">
      <w:pPr>
        <w:widowControl w:val="0"/>
        <w:rPr>
          <w:i/>
          <w:sz w:val="20"/>
          <w:lang w:val="fr-CA"/>
        </w:rPr>
      </w:pPr>
      <w:r w:rsidRPr="003624C0">
        <w:rPr>
          <w:i/>
          <w:sz w:val="20"/>
          <w:lang w:val="fr-CA"/>
        </w:rPr>
        <w:t>(</w:t>
      </w:r>
      <w:r w:rsidR="008F3C5D" w:rsidRPr="003624C0">
        <w:rPr>
          <w:i/>
          <w:sz w:val="20"/>
          <w:lang w:val="fr-CA"/>
        </w:rPr>
        <w:t>L</w:t>
      </w:r>
      <w:r w:rsidRPr="003624C0">
        <w:rPr>
          <w:i/>
          <w:sz w:val="20"/>
          <w:lang w:val="fr-CA"/>
        </w:rPr>
        <w:t>e français suit)</w:t>
      </w:r>
    </w:p>
    <w:p w:rsidR="006F2579" w:rsidRPr="003624C0" w:rsidRDefault="006F2579" w:rsidP="00CC5785">
      <w:pPr>
        <w:widowControl w:val="0"/>
        <w:rPr>
          <w:lang w:val="fr-CA"/>
        </w:rPr>
      </w:pPr>
    </w:p>
    <w:p w:rsidR="006F2579" w:rsidRPr="003624C0" w:rsidRDefault="00C007C3" w:rsidP="00CC5785">
      <w:pPr>
        <w:widowControl w:val="0"/>
        <w:jc w:val="center"/>
        <w:rPr>
          <w:b/>
          <w:lang w:val="fr-CA"/>
        </w:rPr>
      </w:pPr>
      <w:r w:rsidRPr="003624C0">
        <w:fldChar w:fldCharType="begin"/>
      </w:r>
      <w:r w:rsidR="006F2579" w:rsidRPr="003624C0">
        <w:rPr>
          <w:lang w:val="fr-CA"/>
        </w:rPr>
        <w:instrText xml:space="preserve"> SEQ CHAPTER \h \r 1</w:instrText>
      </w:r>
      <w:r w:rsidRPr="003624C0">
        <w:fldChar w:fldCharType="end"/>
      </w:r>
      <w:r w:rsidR="002767DF" w:rsidRPr="003624C0">
        <w:rPr>
          <w:b/>
          <w:lang w:val="fr-CA"/>
        </w:rPr>
        <w:t xml:space="preserve">JUDGMENTS </w:t>
      </w:r>
      <w:r w:rsidR="004C4C26" w:rsidRPr="003624C0">
        <w:rPr>
          <w:b/>
          <w:lang w:val="fr-CA"/>
        </w:rPr>
        <w:t>IN LEAVE APPLICATION</w:t>
      </w:r>
      <w:r w:rsidR="002375D8" w:rsidRPr="003624C0">
        <w:rPr>
          <w:b/>
          <w:lang w:val="fr-CA"/>
        </w:rPr>
        <w:t>S</w:t>
      </w:r>
    </w:p>
    <w:p w:rsidR="006F2579" w:rsidRPr="003624C0" w:rsidRDefault="006F2579" w:rsidP="00CC5785">
      <w:pPr>
        <w:widowControl w:val="0"/>
        <w:rPr>
          <w:lang w:val="fr-CA"/>
        </w:rPr>
      </w:pPr>
    </w:p>
    <w:p w:rsidR="006F2579" w:rsidRPr="003624C0" w:rsidRDefault="00DA2225" w:rsidP="00CC5785">
      <w:pPr>
        <w:widowControl w:val="0"/>
      </w:pPr>
      <w:r w:rsidRPr="003624C0">
        <w:rPr>
          <w:b/>
        </w:rPr>
        <w:t>June</w:t>
      </w:r>
      <w:r w:rsidR="00D54AAF" w:rsidRPr="003624C0">
        <w:rPr>
          <w:b/>
        </w:rPr>
        <w:t xml:space="preserve"> </w:t>
      </w:r>
      <w:r w:rsidR="0046439A" w:rsidRPr="003624C0">
        <w:rPr>
          <w:b/>
        </w:rPr>
        <w:t>24</w:t>
      </w:r>
      <w:r w:rsidR="001271F9" w:rsidRPr="003624C0">
        <w:rPr>
          <w:b/>
        </w:rPr>
        <w:t>,</w:t>
      </w:r>
      <w:r w:rsidR="008825DB" w:rsidRPr="003624C0">
        <w:rPr>
          <w:b/>
        </w:rPr>
        <w:t xml:space="preserve"> 20</w:t>
      </w:r>
      <w:r w:rsidR="002902CC" w:rsidRPr="003624C0">
        <w:rPr>
          <w:b/>
        </w:rPr>
        <w:t>2</w:t>
      </w:r>
      <w:r w:rsidR="00E422E7" w:rsidRPr="003624C0">
        <w:rPr>
          <w:b/>
        </w:rPr>
        <w:t>1</w:t>
      </w:r>
    </w:p>
    <w:p w:rsidR="006F2579" w:rsidRPr="003624C0" w:rsidRDefault="006F2579" w:rsidP="00CC5785">
      <w:pPr>
        <w:widowControl w:val="0"/>
        <w:rPr>
          <w:b/>
        </w:rPr>
      </w:pPr>
      <w:r w:rsidRPr="003624C0">
        <w:rPr>
          <w:b/>
        </w:rPr>
        <w:t>For immediate release</w:t>
      </w:r>
    </w:p>
    <w:p w:rsidR="006F2579" w:rsidRPr="003624C0" w:rsidRDefault="006F2579" w:rsidP="00CC5785">
      <w:pPr>
        <w:widowControl w:val="0"/>
      </w:pPr>
    </w:p>
    <w:p w:rsidR="002767DF" w:rsidRPr="003624C0" w:rsidRDefault="002767DF" w:rsidP="00CC5785">
      <w:pPr>
        <w:widowControl w:val="0"/>
      </w:pPr>
      <w:r w:rsidRPr="003624C0">
        <w:rPr>
          <w:b/>
        </w:rPr>
        <w:t>OTTAWA</w:t>
      </w:r>
      <w:r w:rsidRPr="003624C0">
        <w:t xml:space="preserve"> – The Suprem</w:t>
      </w:r>
      <w:r w:rsidR="00580213" w:rsidRPr="003624C0">
        <w:t>e</w:t>
      </w:r>
      <w:r w:rsidRPr="003624C0">
        <w:t xml:space="preserve"> Court of Canada has today deposited with the Registrar judgment</w:t>
      </w:r>
      <w:r w:rsidR="004D3B41" w:rsidRPr="003624C0">
        <w:t>s</w:t>
      </w:r>
      <w:r w:rsidRPr="003624C0">
        <w:t xml:space="preserve"> in the following </w:t>
      </w:r>
      <w:r w:rsidR="00063949" w:rsidRPr="003624C0">
        <w:t xml:space="preserve">leave </w:t>
      </w:r>
      <w:r w:rsidRPr="003624C0">
        <w:t>application</w:t>
      </w:r>
      <w:r w:rsidR="00CC044F" w:rsidRPr="003624C0">
        <w:t>s</w:t>
      </w:r>
      <w:r w:rsidRPr="003624C0">
        <w:t>.</w:t>
      </w:r>
    </w:p>
    <w:p w:rsidR="006F2579" w:rsidRPr="003624C0" w:rsidRDefault="006F2579" w:rsidP="00CC5785">
      <w:pPr>
        <w:widowControl w:val="0"/>
      </w:pPr>
    </w:p>
    <w:p w:rsidR="006F2579" w:rsidRPr="003624C0" w:rsidRDefault="006F2579" w:rsidP="00CC5785">
      <w:pPr>
        <w:widowControl w:val="0"/>
      </w:pPr>
    </w:p>
    <w:p w:rsidR="002767DF" w:rsidRPr="003624C0" w:rsidRDefault="002767DF" w:rsidP="00CC5785">
      <w:pPr>
        <w:widowControl w:val="0"/>
        <w:jc w:val="center"/>
        <w:rPr>
          <w:lang w:val="fr-CA"/>
        </w:rPr>
      </w:pPr>
      <w:r w:rsidRPr="003624C0">
        <w:rPr>
          <w:b/>
          <w:lang w:val="fr-CA"/>
        </w:rPr>
        <w:t>JUGEMENT</w:t>
      </w:r>
      <w:r w:rsidR="004C4C26" w:rsidRPr="003624C0">
        <w:rPr>
          <w:b/>
          <w:lang w:val="fr-CA"/>
        </w:rPr>
        <w:t>S SUR DEMANDE</w:t>
      </w:r>
      <w:r w:rsidR="00CC044F" w:rsidRPr="003624C0">
        <w:rPr>
          <w:b/>
          <w:lang w:val="fr-CA"/>
        </w:rPr>
        <w:t>S</w:t>
      </w:r>
      <w:r w:rsidRPr="003624C0">
        <w:rPr>
          <w:b/>
          <w:lang w:val="fr-CA"/>
        </w:rPr>
        <w:t xml:space="preserve"> D’AUTORISATION</w:t>
      </w:r>
    </w:p>
    <w:p w:rsidR="006F2579" w:rsidRPr="003624C0" w:rsidRDefault="006F2579" w:rsidP="00CC5785">
      <w:pPr>
        <w:widowControl w:val="0"/>
        <w:rPr>
          <w:lang w:val="fr-CA"/>
        </w:rPr>
      </w:pPr>
    </w:p>
    <w:p w:rsidR="006F2579" w:rsidRPr="003624C0" w:rsidRDefault="006F2579" w:rsidP="00CC5785">
      <w:pPr>
        <w:widowControl w:val="0"/>
        <w:rPr>
          <w:lang w:val="fr-CA"/>
        </w:rPr>
      </w:pPr>
      <w:r w:rsidRPr="003624C0">
        <w:rPr>
          <w:b/>
          <w:lang w:val="fr-CA"/>
        </w:rPr>
        <w:t>Le</w:t>
      </w:r>
      <w:r w:rsidR="008825DB" w:rsidRPr="003624C0">
        <w:rPr>
          <w:b/>
          <w:lang w:val="fr-CA"/>
        </w:rPr>
        <w:t xml:space="preserve"> </w:t>
      </w:r>
      <w:r w:rsidR="0046439A" w:rsidRPr="003624C0">
        <w:rPr>
          <w:b/>
          <w:lang w:val="fr-CA"/>
        </w:rPr>
        <w:t>24</w:t>
      </w:r>
      <w:r w:rsidR="00CD7911" w:rsidRPr="003624C0">
        <w:rPr>
          <w:b/>
          <w:lang w:val="fr-CA"/>
        </w:rPr>
        <w:t xml:space="preserve"> </w:t>
      </w:r>
      <w:r w:rsidR="00DA2225" w:rsidRPr="003624C0">
        <w:rPr>
          <w:b/>
          <w:lang w:val="fr-CA"/>
        </w:rPr>
        <w:t>juin</w:t>
      </w:r>
      <w:r w:rsidR="004E4B02" w:rsidRPr="003624C0">
        <w:rPr>
          <w:b/>
          <w:lang w:val="fr-CA"/>
        </w:rPr>
        <w:t xml:space="preserve"> </w:t>
      </w:r>
      <w:r w:rsidR="008825DB" w:rsidRPr="003624C0">
        <w:rPr>
          <w:b/>
          <w:lang w:val="fr-CA"/>
        </w:rPr>
        <w:t>20</w:t>
      </w:r>
      <w:r w:rsidR="002902CC" w:rsidRPr="003624C0">
        <w:rPr>
          <w:b/>
          <w:lang w:val="fr-CA"/>
        </w:rPr>
        <w:t>2</w:t>
      </w:r>
      <w:r w:rsidR="00E422E7" w:rsidRPr="003624C0">
        <w:rPr>
          <w:b/>
          <w:lang w:val="fr-CA"/>
        </w:rPr>
        <w:t>1</w:t>
      </w:r>
    </w:p>
    <w:p w:rsidR="006F2579" w:rsidRPr="003624C0" w:rsidRDefault="006F2579" w:rsidP="00CC5785">
      <w:pPr>
        <w:widowControl w:val="0"/>
        <w:rPr>
          <w:b/>
          <w:lang w:val="fr-CA"/>
        </w:rPr>
      </w:pPr>
      <w:r w:rsidRPr="003624C0">
        <w:rPr>
          <w:b/>
          <w:lang w:val="fr-CA"/>
        </w:rPr>
        <w:t>Pour diffusion immédiate</w:t>
      </w:r>
    </w:p>
    <w:p w:rsidR="006F2579" w:rsidRPr="003624C0" w:rsidRDefault="006F2579" w:rsidP="00CC5785">
      <w:pPr>
        <w:widowControl w:val="0"/>
        <w:rPr>
          <w:lang w:val="fr-CA"/>
        </w:rPr>
      </w:pPr>
    </w:p>
    <w:p w:rsidR="002767DF" w:rsidRPr="003624C0" w:rsidRDefault="002767DF" w:rsidP="00CC5785">
      <w:pPr>
        <w:widowControl w:val="0"/>
        <w:rPr>
          <w:lang w:val="fr-CA"/>
        </w:rPr>
      </w:pPr>
      <w:r w:rsidRPr="003624C0">
        <w:rPr>
          <w:b/>
          <w:lang w:val="fr-CA"/>
        </w:rPr>
        <w:t>OTTAWA</w:t>
      </w:r>
      <w:r w:rsidRPr="003624C0">
        <w:rPr>
          <w:lang w:val="fr-CA"/>
        </w:rPr>
        <w:t xml:space="preserve"> – La Cour suprême du Canada a déposé aujourd’hui auprès du registraire les jugements dans </w:t>
      </w:r>
      <w:r w:rsidR="00CC044F" w:rsidRPr="003624C0">
        <w:rPr>
          <w:lang w:val="fr-CA"/>
        </w:rPr>
        <w:t>les</w:t>
      </w:r>
      <w:r w:rsidR="008C7CD9" w:rsidRPr="003624C0">
        <w:rPr>
          <w:lang w:val="fr-CA"/>
        </w:rPr>
        <w:t xml:space="preserve"> </w:t>
      </w:r>
      <w:r w:rsidR="004C4C26" w:rsidRPr="003624C0">
        <w:rPr>
          <w:lang w:val="fr-CA"/>
        </w:rPr>
        <w:t>demande</w:t>
      </w:r>
      <w:r w:rsidR="0088435A" w:rsidRPr="003624C0">
        <w:rPr>
          <w:lang w:val="fr-CA"/>
        </w:rPr>
        <w:t>s</w:t>
      </w:r>
      <w:r w:rsidRPr="003624C0">
        <w:rPr>
          <w:lang w:val="fr-CA"/>
        </w:rPr>
        <w:t xml:space="preserve"> d’au</w:t>
      </w:r>
      <w:r w:rsidR="00F24EF2" w:rsidRPr="003624C0">
        <w:rPr>
          <w:lang w:val="fr-CA"/>
        </w:rPr>
        <w:t xml:space="preserve">torisation </w:t>
      </w:r>
      <w:r w:rsidR="007F2922" w:rsidRPr="003624C0">
        <w:rPr>
          <w:lang w:val="fr-CA"/>
        </w:rPr>
        <w:t>sui</w:t>
      </w:r>
      <w:r w:rsidR="00F24EF2" w:rsidRPr="003624C0">
        <w:rPr>
          <w:lang w:val="fr-CA"/>
        </w:rPr>
        <w:t>v</w:t>
      </w:r>
      <w:r w:rsidR="007F2922" w:rsidRPr="003624C0">
        <w:rPr>
          <w:lang w:val="fr-CA"/>
        </w:rPr>
        <w:t>a</w:t>
      </w:r>
      <w:r w:rsidR="00F24EF2" w:rsidRPr="003624C0">
        <w:rPr>
          <w:lang w:val="fr-CA"/>
        </w:rPr>
        <w:t>nt</w:t>
      </w:r>
      <w:r w:rsidR="00C56657" w:rsidRPr="003624C0">
        <w:rPr>
          <w:lang w:val="fr-CA"/>
        </w:rPr>
        <w:t>s</w:t>
      </w:r>
      <w:r w:rsidR="00F24EF2" w:rsidRPr="003624C0">
        <w:rPr>
          <w:lang w:val="fr-CA"/>
        </w:rPr>
        <w:t>.</w:t>
      </w:r>
    </w:p>
    <w:p w:rsidR="00694BDA" w:rsidRPr="003624C0" w:rsidRDefault="00694BDA" w:rsidP="00CC5785">
      <w:pPr>
        <w:jc w:val="both"/>
        <w:rPr>
          <w:sz w:val="20"/>
          <w:lang w:val="fr-CA"/>
        </w:rPr>
      </w:pPr>
    </w:p>
    <w:p w:rsidR="00DA0759" w:rsidRPr="003624C0" w:rsidRDefault="003624C0" w:rsidP="00CC5785">
      <w:pPr>
        <w:jc w:val="both"/>
        <w:rPr>
          <w:sz w:val="20"/>
          <w:lang w:val="fr-CA"/>
        </w:rPr>
      </w:pPr>
      <w:r w:rsidRPr="003624C0">
        <w:rPr>
          <w:sz w:val="20"/>
        </w:rPr>
        <w:pict>
          <v:rect id="_x0000_i1025" style="width:2in;height:1pt" o:hrpct="0" o:hralign="center" o:hrstd="t" o:hrnoshade="t" o:hr="t" fillcolor="black [3213]" stroked="f"/>
        </w:pict>
      </w:r>
    </w:p>
    <w:p w:rsidR="00975D05" w:rsidRPr="003624C0" w:rsidRDefault="00975D05" w:rsidP="00CC5785">
      <w:pPr>
        <w:jc w:val="both"/>
        <w:rPr>
          <w:sz w:val="20"/>
        </w:rPr>
      </w:pPr>
    </w:p>
    <w:p w:rsidR="00E143EF" w:rsidRPr="003624C0" w:rsidRDefault="00E143EF" w:rsidP="00E143EF">
      <w:pPr>
        <w:jc w:val="both"/>
        <w:rPr>
          <w:b/>
          <w:sz w:val="22"/>
          <w:szCs w:val="22"/>
        </w:rPr>
      </w:pPr>
      <w:r w:rsidRPr="003624C0">
        <w:rPr>
          <w:b/>
          <w:sz w:val="22"/>
          <w:szCs w:val="22"/>
        </w:rPr>
        <w:t>GRANTED / ACCORDÉE</w:t>
      </w:r>
    </w:p>
    <w:p w:rsidR="00E143EF" w:rsidRPr="003624C0" w:rsidRDefault="00E143EF" w:rsidP="00CC5785">
      <w:pPr>
        <w:jc w:val="both"/>
        <w:rPr>
          <w:sz w:val="20"/>
        </w:rPr>
      </w:pPr>
    </w:p>
    <w:p w:rsidR="00CD5592" w:rsidRPr="003624C0" w:rsidRDefault="00CD5592" w:rsidP="00CD5592">
      <w:pPr>
        <w:rPr>
          <w:rStyle w:val="SCCAppellantInfoAppellantInfoChar"/>
          <w:sz w:val="22"/>
          <w:szCs w:val="22"/>
          <w:lang w:val="en-US"/>
        </w:rPr>
      </w:pPr>
      <w:r w:rsidRPr="003624C0">
        <w:rPr>
          <w:i/>
          <w:sz w:val="22"/>
          <w:szCs w:val="22"/>
        </w:rPr>
        <w:t>Annapolis Group Inc. v. Halifax Regional Municipality</w:t>
      </w:r>
      <w:r w:rsidRPr="003624C0">
        <w:rPr>
          <w:sz w:val="22"/>
          <w:szCs w:val="22"/>
        </w:rPr>
        <w:t xml:space="preserve"> (N.S.) (Civil) (By Leave) (</w:t>
      </w:r>
      <w:hyperlink r:id="rId7" w:history="1">
        <w:r w:rsidRPr="003624C0">
          <w:rPr>
            <w:rStyle w:val="Hyperlink"/>
            <w:sz w:val="22"/>
            <w:szCs w:val="22"/>
          </w:rPr>
          <w:t>39594</w:t>
        </w:r>
      </w:hyperlink>
      <w:r w:rsidRPr="003624C0">
        <w:rPr>
          <w:sz w:val="22"/>
          <w:szCs w:val="22"/>
        </w:rPr>
        <w:t>)</w:t>
      </w:r>
    </w:p>
    <w:p w:rsidR="00487B0F" w:rsidRPr="003624C0" w:rsidRDefault="00487B0F" w:rsidP="00487B0F">
      <w:pPr>
        <w:jc w:val="both"/>
        <w:rPr>
          <w:sz w:val="20"/>
        </w:rPr>
      </w:pPr>
    </w:p>
    <w:p w:rsidR="00CD5592" w:rsidRPr="003624C0" w:rsidRDefault="00CD5592" w:rsidP="00CD5592">
      <w:pPr>
        <w:jc w:val="both"/>
        <w:rPr>
          <w:sz w:val="20"/>
        </w:rPr>
      </w:pPr>
      <w:r w:rsidRPr="003624C0">
        <w:rPr>
          <w:sz w:val="20"/>
        </w:rPr>
        <w:t>The application for leave to appeal from the judgment of the Nova Scotia Court of Appeal, Number CA 495116, 2021 NSCA 3, dated January 7, 2021 is granted with costs in the cause.</w:t>
      </w:r>
    </w:p>
    <w:p w:rsidR="008F1DD7" w:rsidRPr="003624C0" w:rsidRDefault="008F1DD7" w:rsidP="00CC5785">
      <w:pPr>
        <w:jc w:val="both"/>
        <w:rPr>
          <w:sz w:val="20"/>
        </w:rPr>
      </w:pPr>
    </w:p>
    <w:p w:rsidR="00DA2225" w:rsidRPr="003624C0" w:rsidRDefault="00CD5592" w:rsidP="00CC5785">
      <w:pPr>
        <w:jc w:val="both"/>
        <w:rPr>
          <w:sz w:val="20"/>
          <w:lang w:val="fr-CA"/>
        </w:rPr>
      </w:pPr>
      <w:r w:rsidRPr="003624C0">
        <w:rPr>
          <w:sz w:val="20"/>
          <w:lang w:val="fr-CA"/>
        </w:rPr>
        <w:t>La demande d’autorisation d’appel de l’arrêt de la Cour d’appel de la Nouvelle-Écosse, numéro CA 495116, 2021 NSCA 3, daté du 7 janvier 2021, est accueillie avec dépens suivant la cause.</w:t>
      </w:r>
    </w:p>
    <w:p w:rsidR="00DA2225" w:rsidRPr="003624C0" w:rsidRDefault="00DA2225" w:rsidP="00CC5785">
      <w:pPr>
        <w:jc w:val="both"/>
        <w:rPr>
          <w:sz w:val="20"/>
          <w:lang w:val="fr-CA"/>
        </w:rPr>
      </w:pPr>
    </w:p>
    <w:p w:rsidR="00021DFB" w:rsidRPr="003624C0" w:rsidRDefault="003624C0" w:rsidP="00CC5785">
      <w:pPr>
        <w:jc w:val="both"/>
        <w:rPr>
          <w:sz w:val="20"/>
          <w:lang w:val="fr-CA"/>
        </w:rPr>
      </w:pPr>
      <w:r w:rsidRPr="003624C0">
        <w:rPr>
          <w:sz w:val="20"/>
        </w:rPr>
        <w:pict>
          <v:rect id="_x0000_i1026" style="width:2in;height:1pt" o:hrpct="0" o:hralign="center" o:hrstd="t" o:hrnoshade="t" o:hr="t" fillcolor="black [3213]" stroked="f"/>
        </w:pict>
      </w:r>
    </w:p>
    <w:p w:rsidR="00021DFB" w:rsidRPr="003624C0" w:rsidRDefault="00021DFB" w:rsidP="00CC5785">
      <w:pPr>
        <w:jc w:val="both"/>
        <w:rPr>
          <w:sz w:val="20"/>
          <w:lang w:val="fr-CA"/>
        </w:rPr>
      </w:pPr>
    </w:p>
    <w:p w:rsidR="00431DE2" w:rsidRPr="003624C0" w:rsidRDefault="00431DE2" w:rsidP="00CC5785">
      <w:pPr>
        <w:jc w:val="both"/>
        <w:rPr>
          <w:b/>
          <w:sz w:val="22"/>
          <w:szCs w:val="22"/>
          <w:lang w:val="fr-CA"/>
        </w:rPr>
      </w:pPr>
      <w:r w:rsidRPr="003624C0">
        <w:rPr>
          <w:b/>
          <w:sz w:val="22"/>
          <w:szCs w:val="22"/>
          <w:lang w:val="fr-CA"/>
        </w:rPr>
        <w:t>DISMISSED / REJETÉE</w:t>
      </w:r>
      <w:r w:rsidR="004C5991" w:rsidRPr="003624C0">
        <w:rPr>
          <w:b/>
          <w:sz w:val="22"/>
          <w:szCs w:val="22"/>
          <w:lang w:val="fr-CA"/>
        </w:rPr>
        <w:t>S</w:t>
      </w:r>
    </w:p>
    <w:p w:rsidR="00431DE2" w:rsidRPr="003624C0" w:rsidRDefault="00431DE2" w:rsidP="00CC5785">
      <w:pPr>
        <w:jc w:val="both"/>
        <w:rPr>
          <w:sz w:val="20"/>
          <w:lang w:val="fr-CA"/>
        </w:rPr>
      </w:pPr>
    </w:p>
    <w:p w:rsidR="00CD5592" w:rsidRPr="003624C0" w:rsidRDefault="00CD5592" w:rsidP="00CD5592">
      <w:pPr>
        <w:rPr>
          <w:sz w:val="22"/>
          <w:szCs w:val="22"/>
          <w:lang w:val="fr-CA"/>
        </w:rPr>
      </w:pPr>
      <w:r w:rsidRPr="003624C0">
        <w:rPr>
          <w:i/>
          <w:sz w:val="22"/>
          <w:szCs w:val="22"/>
          <w:lang w:val="fr-CA"/>
        </w:rPr>
        <w:t>André Duchesneau c. Ordre des podiatres du Québec</w:t>
      </w:r>
      <w:r w:rsidRPr="003624C0">
        <w:rPr>
          <w:sz w:val="22"/>
          <w:szCs w:val="22"/>
          <w:lang w:val="fr-CA"/>
        </w:rPr>
        <w:t xml:space="preserve"> (Qc) (Civile) (Autorisation) (</w:t>
      </w:r>
      <w:hyperlink r:id="rId8" w:history="1">
        <w:r w:rsidRPr="003624C0">
          <w:rPr>
            <w:rStyle w:val="Hyperlink"/>
            <w:sz w:val="22"/>
            <w:szCs w:val="22"/>
            <w:lang w:val="fr-CA"/>
          </w:rPr>
          <w:t>39549</w:t>
        </w:r>
      </w:hyperlink>
      <w:r w:rsidRPr="003624C0">
        <w:rPr>
          <w:sz w:val="22"/>
          <w:szCs w:val="22"/>
          <w:lang w:val="fr-CA"/>
        </w:rPr>
        <w:t>)</w:t>
      </w:r>
    </w:p>
    <w:p w:rsidR="00A04D13" w:rsidRPr="003624C0" w:rsidRDefault="00A04D13" w:rsidP="00CC5785">
      <w:pPr>
        <w:widowControl w:val="0"/>
        <w:rPr>
          <w:sz w:val="20"/>
          <w:lang w:val="fr-CA"/>
        </w:rPr>
      </w:pPr>
    </w:p>
    <w:p w:rsidR="00CD5592" w:rsidRPr="003624C0" w:rsidRDefault="00CD5592" w:rsidP="00CD5592">
      <w:pPr>
        <w:jc w:val="both"/>
        <w:rPr>
          <w:sz w:val="20"/>
          <w:lang w:val="fr-CA"/>
        </w:rPr>
      </w:pPr>
      <w:r w:rsidRPr="003624C0">
        <w:rPr>
          <w:sz w:val="20"/>
          <w:lang w:val="fr-CA"/>
        </w:rPr>
        <w:t>La requête en prorogation du délai de signification et de dépôt de la demande d’autorisation d’appel est accueillie. La demande d’autorisation d’appel de l’arrêt de la Cour d’appel du Québec (Québec), numéro 200-10-003788-200, 2020 QCCA 1516, daté du 9 novembre 2020, est rejetée avec dépens.</w:t>
      </w:r>
    </w:p>
    <w:p w:rsidR="000D078D" w:rsidRPr="003624C0" w:rsidRDefault="000D078D" w:rsidP="000D078D">
      <w:pPr>
        <w:jc w:val="both"/>
        <w:rPr>
          <w:sz w:val="20"/>
          <w:lang w:val="fr-CA"/>
        </w:rPr>
      </w:pPr>
    </w:p>
    <w:p w:rsidR="00CD5592" w:rsidRPr="003624C0" w:rsidRDefault="00CD5592" w:rsidP="00CD5592">
      <w:pPr>
        <w:jc w:val="both"/>
        <w:rPr>
          <w:sz w:val="20"/>
          <w:lang w:val="en-CA"/>
        </w:rPr>
      </w:pPr>
      <w:r w:rsidRPr="003624C0">
        <w:rPr>
          <w:sz w:val="20"/>
          <w:lang w:val="en-CA"/>
        </w:rPr>
        <w:t>The motion for an extension of time to serve and file the application for leave to appeal is granted. The application for leave to appeal from the judgment of the</w:t>
      </w:r>
      <w:bookmarkStart w:id="0" w:name="BM_1_"/>
      <w:bookmarkEnd w:id="0"/>
      <w:r w:rsidRPr="003624C0">
        <w:rPr>
          <w:sz w:val="20"/>
          <w:lang w:val="en-CA"/>
        </w:rPr>
        <w:t xml:space="preserve"> </w:t>
      </w:r>
      <w:r w:rsidRPr="003624C0">
        <w:rPr>
          <w:sz w:val="20"/>
        </w:rPr>
        <w:t>Court of Appeal of Quebec (Québec)</w:t>
      </w:r>
      <w:r w:rsidRPr="003624C0">
        <w:rPr>
          <w:sz w:val="20"/>
          <w:lang w:val="en-CA"/>
        </w:rPr>
        <w:t xml:space="preserve">, Number </w:t>
      </w:r>
      <w:r w:rsidRPr="003624C0">
        <w:rPr>
          <w:sz w:val="20"/>
        </w:rPr>
        <w:t>200-10-003788-200, 2020 QCCA 1516</w:t>
      </w:r>
      <w:r w:rsidRPr="003624C0">
        <w:rPr>
          <w:sz w:val="20"/>
          <w:lang w:val="en-CA"/>
        </w:rPr>
        <w:t xml:space="preserve">, dated </w:t>
      </w:r>
      <w:r w:rsidRPr="003624C0">
        <w:rPr>
          <w:sz w:val="20"/>
        </w:rPr>
        <w:t>November 9, 2020,</w:t>
      </w:r>
      <w:r w:rsidRPr="003624C0">
        <w:rPr>
          <w:sz w:val="20"/>
          <w:lang w:val="en-CA"/>
        </w:rPr>
        <w:t xml:space="preserve"> is dismissed with costs.</w:t>
      </w:r>
    </w:p>
    <w:p w:rsidR="00402EF2" w:rsidRPr="003624C0" w:rsidRDefault="00402EF2" w:rsidP="00CC5785">
      <w:pPr>
        <w:jc w:val="both"/>
        <w:rPr>
          <w:sz w:val="20"/>
          <w:lang w:val="en-CA"/>
        </w:rPr>
      </w:pPr>
    </w:p>
    <w:p w:rsidR="00A04D13" w:rsidRPr="003624C0" w:rsidRDefault="003624C0" w:rsidP="00CC5785">
      <w:pPr>
        <w:widowControl w:val="0"/>
        <w:rPr>
          <w:sz w:val="20"/>
        </w:rPr>
      </w:pPr>
      <w:r w:rsidRPr="003624C0">
        <w:rPr>
          <w:sz w:val="20"/>
        </w:rPr>
        <w:pict>
          <v:rect id="_x0000_i1027" style="width:2in;height:1pt" o:hrpct="0" o:hralign="center" o:hrstd="t" o:hrnoshade="t" o:hr="t" fillcolor="black [3213]" stroked="f"/>
        </w:pict>
      </w:r>
    </w:p>
    <w:p w:rsidR="008F1DD7" w:rsidRPr="003624C0" w:rsidRDefault="008F1DD7" w:rsidP="004C5991">
      <w:pPr>
        <w:jc w:val="both"/>
        <w:rPr>
          <w:sz w:val="20"/>
          <w:lang w:val="fr-CA"/>
        </w:rPr>
      </w:pPr>
    </w:p>
    <w:p w:rsidR="00CD5592" w:rsidRPr="003624C0" w:rsidRDefault="00CD5592" w:rsidP="00CD5592">
      <w:pPr>
        <w:rPr>
          <w:sz w:val="22"/>
          <w:szCs w:val="22"/>
          <w:lang w:val="fr-CA"/>
        </w:rPr>
      </w:pPr>
      <w:r w:rsidRPr="003624C0">
        <w:rPr>
          <w:i/>
          <w:sz w:val="22"/>
          <w:szCs w:val="22"/>
          <w:lang w:val="fr-CA"/>
        </w:rPr>
        <w:t>Télébec, société en commandite c. 9238-0831 Québec inc. faisant affaires sous le nom de Caféier-Boustifo</w:t>
      </w:r>
      <w:r w:rsidRPr="003624C0">
        <w:rPr>
          <w:sz w:val="22"/>
          <w:szCs w:val="22"/>
          <w:lang w:val="fr-CA"/>
        </w:rPr>
        <w:t xml:space="preserve"> (Qc) (Civile) (Autorisation) (</w:t>
      </w:r>
      <w:hyperlink r:id="rId9" w:history="1">
        <w:r w:rsidRPr="003624C0">
          <w:rPr>
            <w:rStyle w:val="Hyperlink"/>
            <w:sz w:val="22"/>
            <w:szCs w:val="22"/>
            <w:lang w:val="fr-CA"/>
          </w:rPr>
          <w:t>39579</w:t>
        </w:r>
      </w:hyperlink>
      <w:r w:rsidRPr="003624C0">
        <w:rPr>
          <w:sz w:val="22"/>
          <w:szCs w:val="22"/>
          <w:lang w:val="fr-CA"/>
        </w:rPr>
        <w:t>)</w:t>
      </w:r>
    </w:p>
    <w:p w:rsidR="009A5B60" w:rsidRPr="003624C0" w:rsidRDefault="009A5B60" w:rsidP="004C5991">
      <w:pPr>
        <w:jc w:val="both"/>
        <w:rPr>
          <w:sz w:val="20"/>
          <w:lang w:val="fr-CA"/>
        </w:rPr>
      </w:pPr>
    </w:p>
    <w:p w:rsidR="00CD5592" w:rsidRPr="003624C0" w:rsidRDefault="00CD5592" w:rsidP="00CD5592">
      <w:pPr>
        <w:jc w:val="both"/>
        <w:rPr>
          <w:sz w:val="20"/>
          <w:lang w:val="fr-CA"/>
        </w:rPr>
      </w:pPr>
      <w:r w:rsidRPr="003624C0">
        <w:rPr>
          <w:sz w:val="20"/>
          <w:lang w:val="fr-CA"/>
        </w:rPr>
        <w:lastRenderedPageBreak/>
        <w:t>La demande d’autorisation d’appel de l’arrêt de la Cour d’appel du Québec (Montréal), numéro 500-09-028615-193, 2020 QCCA 1720, daté du 14 décembre 2020, est rejetée.</w:t>
      </w:r>
    </w:p>
    <w:p w:rsidR="00DA2225" w:rsidRPr="003624C0" w:rsidRDefault="00DA2225" w:rsidP="004C5991">
      <w:pPr>
        <w:jc w:val="both"/>
        <w:rPr>
          <w:sz w:val="20"/>
          <w:lang w:val="fr-CA"/>
        </w:rPr>
      </w:pPr>
    </w:p>
    <w:p w:rsidR="00CD5592" w:rsidRPr="003624C0" w:rsidRDefault="00CD5592" w:rsidP="00CD5592">
      <w:pPr>
        <w:jc w:val="both"/>
        <w:rPr>
          <w:sz w:val="20"/>
          <w:lang w:val="en-CA"/>
        </w:rPr>
      </w:pPr>
      <w:r w:rsidRPr="003624C0">
        <w:rPr>
          <w:sz w:val="20"/>
          <w:lang w:val="en-CA"/>
        </w:rPr>
        <w:t xml:space="preserve">The application for leave to appeal from the judgment of the </w:t>
      </w:r>
      <w:r w:rsidRPr="003624C0">
        <w:rPr>
          <w:sz w:val="20"/>
        </w:rPr>
        <w:t>Court of Appeal of Quebec (Montréal)</w:t>
      </w:r>
      <w:r w:rsidRPr="003624C0">
        <w:rPr>
          <w:sz w:val="20"/>
          <w:lang w:val="en-CA"/>
        </w:rPr>
        <w:t xml:space="preserve">, Number </w:t>
      </w:r>
      <w:r w:rsidRPr="003624C0">
        <w:rPr>
          <w:sz w:val="20"/>
        </w:rPr>
        <w:t xml:space="preserve">500-09-028615-193, 2020 QCCA 1720, </w:t>
      </w:r>
      <w:r w:rsidRPr="003624C0">
        <w:rPr>
          <w:sz w:val="20"/>
          <w:lang w:val="en-CA"/>
        </w:rPr>
        <w:t xml:space="preserve">dated </w:t>
      </w:r>
      <w:r w:rsidRPr="003624C0">
        <w:rPr>
          <w:sz w:val="20"/>
        </w:rPr>
        <w:t>December 14, 2020,</w:t>
      </w:r>
      <w:r w:rsidRPr="003624C0">
        <w:rPr>
          <w:sz w:val="20"/>
          <w:lang w:val="en-CA"/>
        </w:rPr>
        <w:t xml:space="preserve"> is dismissed.</w:t>
      </w:r>
    </w:p>
    <w:p w:rsidR="008966B3" w:rsidRPr="003624C0" w:rsidRDefault="008966B3" w:rsidP="008966B3">
      <w:pPr>
        <w:jc w:val="both"/>
        <w:rPr>
          <w:sz w:val="20"/>
        </w:rPr>
      </w:pPr>
    </w:p>
    <w:p w:rsidR="008966B3" w:rsidRPr="003624C0" w:rsidRDefault="003624C0" w:rsidP="008966B3">
      <w:pPr>
        <w:jc w:val="both"/>
        <w:rPr>
          <w:sz w:val="20"/>
          <w:lang w:val="fr-CA"/>
        </w:rPr>
      </w:pPr>
      <w:r w:rsidRPr="003624C0">
        <w:rPr>
          <w:sz w:val="20"/>
        </w:rPr>
        <w:pict>
          <v:rect id="_x0000_i1028" style="width:2in;height:1pt" o:hrpct="0" o:hralign="center" o:hrstd="t" o:hrnoshade="t" o:hr="t" fillcolor="black [3213]" stroked="f"/>
        </w:pict>
      </w:r>
    </w:p>
    <w:p w:rsidR="008966B3" w:rsidRPr="003624C0" w:rsidRDefault="008966B3" w:rsidP="008966B3">
      <w:pPr>
        <w:jc w:val="both"/>
        <w:rPr>
          <w:sz w:val="20"/>
          <w:lang w:val="fr-CA"/>
        </w:rPr>
      </w:pPr>
    </w:p>
    <w:p w:rsidR="00CD5592" w:rsidRPr="003624C0" w:rsidRDefault="00CD5592" w:rsidP="00CD5592">
      <w:pPr>
        <w:rPr>
          <w:sz w:val="22"/>
          <w:szCs w:val="22"/>
          <w:lang w:val="fr-CA"/>
        </w:rPr>
      </w:pPr>
      <w:r w:rsidRPr="003624C0">
        <w:rPr>
          <w:i/>
          <w:sz w:val="22"/>
          <w:szCs w:val="22"/>
          <w:lang w:val="fr-CA"/>
        </w:rPr>
        <w:t>Éric Masson et Claude Gauthier c. Telus Mobilité et Société Telus Communications</w:t>
      </w:r>
      <w:r w:rsidRPr="003624C0">
        <w:rPr>
          <w:sz w:val="22"/>
          <w:szCs w:val="22"/>
          <w:lang w:val="fr-CA"/>
        </w:rPr>
        <w:t xml:space="preserve"> (Qc) (Civile) (Autorisation) (</w:t>
      </w:r>
      <w:hyperlink r:id="rId10" w:history="1">
        <w:r w:rsidRPr="003624C0">
          <w:rPr>
            <w:rStyle w:val="Hyperlink"/>
            <w:sz w:val="22"/>
            <w:szCs w:val="22"/>
            <w:lang w:val="fr-CA"/>
          </w:rPr>
          <w:t>39562</w:t>
        </w:r>
      </w:hyperlink>
      <w:r w:rsidRPr="003624C0">
        <w:rPr>
          <w:sz w:val="22"/>
          <w:szCs w:val="22"/>
          <w:lang w:val="fr-CA"/>
        </w:rPr>
        <w:t>)</w:t>
      </w:r>
    </w:p>
    <w:p w:rsidR="008966B3" w:rsidRPr="003624C0" w:rsidRDefault="008966B3" w:rsidP="008966B3">
      <w:pPr>
        <w:jc w:val="both"/>
        <w:rPr>
          <w:sz w:val="20"/>
          <w:lang w:val="fr-CA"/>
        </w:rPr>
      </w:pPr>
    </w:p>
    <w:p w:rsidR="00CD5592" w:rsidRPr="003624C0" w:rsidRDefault="00CD5592" w:rsidP="00CD5592">
      <w:pPr>
        <w:jc w:val="both"/>
        <w:rPr>
          <w:sz w:val="20"/>
          <w:lang w:val="fr-CA"/>
        </w:rPr>
      </w:pPr>
      <w:r w:rsidRPr="003624C0">
        <w:rPr>
          <w:sz w:val="20"/>
          <w:lang w:val="fr-CA"/>
        </w:rPr>
        <w:t>La requête des demandeurs en prorogation de délai pour signifier et déposer la demande d’autorisation d’appel est accueillie. La demande d’autorisation d’appel de l’arrêt de la Cour d’appel du Québec (Québec), numéros 200-09-010208-202 et 200-09-009450-179, 2020 QCCA 1546, daté du 20 novembre 2020, est rejetée.</w:t>
      </w:r>
    </w:p>
    <w:p w:rsidR="008966B3" w:rsidRPr="003624C0" w:rsidRDefault="008966B3" w:rsidP="008966B3">
      <w:pPr>
        <w:jc w:val="both"/>
        <w:rPr>
          <w:sz w:val="20"/>
          <w:lang w:val="fr-CA"/>
        </w:rPr>
      </w:pPr>
    </w:p>
    <w:p w:rsidR="00CD5592" w:rsidRPr="003624C0" w:rsidRDefault="00CD5592" w:rsidP="00CD5592">
      <w:pPr>
        <w:jc w:val="both"/>
        <w:rPr>
          <w:sz w:val="20"/>
          <w:lang w:val="en-CA"/>
        </w:rPr>
      </w:pPr>
      <w:r w:rsidRPr="003624C0">
        <w:rPr>
          <w:sz w:val="20"/>
          <w:lang w:val="en-CA"/>
        </w:rPr>
        <w:t xml:space="preserve">The applicants’ motion for an extension of time to serve and file the application for leave to appeal is granted. The application for leave to appeal from the judgment of the </w:t>
      </w:r>
      <w:r w:rsidRPr="003624C0">
        <w:rPr>
          <w:sz w:val="20"/>
        </w:rPr>
        <w:t>Court of Appeal of Quebec (Québec)</w:t>
      </w:r>
      <w:r w:rsidRPr="003624C0">
        <w:rPr>
          <w:sz w:val="20"/>
          <w:lang w:val="en-CA"/>
        </w:rPr>
        <w:t xml:space="preserve">, Numbers 200-09-010208-202 and </w:t>
      </w:r>
      <w:r w:rsidRPr="003624C0">
        <w:rPr>
          <w:sz w:val="20"/>
        </w:rPr>
        <w:t>200-09-009450-179, 2020 QCCA 1546</w:t>
      </w:r>
      <w:r w:rsidRPr="003624C0">
        <w:rPr>
          <w:sz w:val="20"/>
          <w:lang w:val="en-CA"/>
        </w:rPr>
        <w:t xml:space="preserve">, dated </w:t>
      </w:r>
      <w:r w:rsidRPr="003624C0">
        <w:rPr>
          <w:sz w:val="20"/>
        </w:rPr>
        <w:t>November 20, 2020,</w:t>
      </w:r>
      <w:r w:rsidRPr="003624C0">
        <w:rPr>
          <w:sz w:val="20"/>
          <w:lang w:val="en-CA"/>
        </w:rPr>
        <w:t xml:space="preserve"> is dismissed.</w:t>
      </w:r>
    </w:p>
    <w:p w:rsidR="008966B3" w:rsidRPr="003624C0" w:rsidRDefault="008966B3" w:rsidP="008966B3">
      <w:pPr>
        <w:jc w:val="both"/>
        <w:rPr>
          <w:sz w:val="20"/>
        </w:rPr>
      </w:pPr>
    </w:p>
    <w:p w:rsidR="008966B3" w:rsidRPr="003624C0" w:rsidRDefault="003624C0" w:rsidP="008966B3">
      <w:pPr>
        <w:widowControl w:val="0"/>
        <w:rPr>
          <w:sz w:val="20"/>
        </w:rPr>
      </w:pPr>
      <w:r w:rsidRPr="003624C0">
        <w:rPr>
          <w:sz w:val="20"/>
        </w:rPr>
        <w:pict>
          <v:rect id="_x0000_i1029" style="width:2in;height:1pt" o:hrpct="0" o:hralign="center" o:hrstd="t" o:hrnoshade="t" o:hr="t" fillcolor="black [3213]" stroked="f"/>
        </w:pict>
      </w:r>
    </w:p>
    <w:p w:rsidR="008966B3" w:rsidRPr="003624C0" w:rsidRDefault="008966B3" w:rsidP="008966B3">
      <w:pPr>
        <w:jc w:val="both"/>
        <w:rPr>
          <w:sz w:val="20"/>
        </w:rPr>
      </w:pPr>
    </w:p>
    <w:p w:rsidR="00C177AC" w:rsidRPr="003624C0" w:rsidRDefault="00C177AC" w:rsidP="00C177AC">
      <w:pPr>
        <w:rPr>
          <w:sz w:val="22"/>
          <w:szCs w:val="22"/>
        </w:rPr>
      </w:pPr>
      <w:r w:rsidRPr="003624C0">
        <w:rPr>
          <w:i/>
          <w:sz w:val="22"/>
          <w:szCs w:val="22"/>
        </w:rPr>
        <w:t>City of Saskatoon v. Brandt Properties Ltd.</w:t>
      </w:r>
      <w:r w:rsidRPr="003624C0">
        <w:rPr>
          <w:sz w:val="22"/>
          <w:szCs w:val="22"/>
        </w:rPr>
        <w:t xml:space="preserve"> (Sask.) (Civil) (By Leave) (</w:t>
      </w:r>
      <w:hyperlink r:id="rId11" w:history="1">
        <w:r w:rsidRPr="003624C0">
          <w:rPr>
            <w:rStyle w:val="Hyperlink"/>
            <w:sz w:val="22"/>
            <w:szCs w:val="22"/>
          </w:rPr>
          <w:t>39593</w:t>
        </w:r>
      </w:hyperlink>
      <w:r w:rsidRPr="003624C0">
        <w:rPr>
          <w:sz w:val="22"/>
          <w:szCs w:val="22"/>
        </w:rPr>
        <w:t>)</w:t>
      </w:r>
    </w:p>
    <w:p w:rsidR="008966B3" w:rsidRPr="003624C0" w:rsidRDefault="008966B3" w:rsidP="004C5991">
      <w:pPr>
        <w:jc w:val="both"/>
        <w:rPr>
          <w:sz w:val="20"/>
        </w:rPr>
      </w:pPr>
    </w:p>
    <w:p w:rsidR="00C177AC" w:rsidRPr="003624C0" w:rsidRDefault="00C177AC" w:rsidP="00C177AC">
      <w:pPr>
        <w:jc w:val="both"/>
        <w:rPr>
          <w:sz w:val="20"/>
        </w:rPr>
      </w:pPr>
      <w:r w:rsidRPr="003624C0">
        <w:rPr>
          <w:sz w:val="20"/>
        </w:rPr>
        <w:t>The application for leave to appeal from the judgment of the Court of Appeal for Saskatchewan, Number CACV3437, 2021 SKCA 19, dated February 1, 2021, is dismissed with costs.</w:t>
      </w:r>
    </w:p>
    <w:p w:rsidR="008966B3" w:rsidRPr="003624C0" w:rsidRDefault="008966B3" w:rsidP="004C5991">
      <w:pPr>
        <w:jc w:val="both"/>
        <w:rPr>
          <w:sz w:val="20"/>
        </w:rPr>
      </w:pPr>
    </w:p>
    <w:p w:rsidR="008966B3" w:rsidRPr="003624C0" w:rsidRDefault="00C177AC" w:rsidP="008966B3">
      <w:pPr>
        <w:jc w:val="both"/>
        <w:rPr>
          <w:sz w:val="20"/>
          <w:lang w:val="fr-CA"/>
        </w:rPr>
      </w:pPr>
      <w:r w:rsidRPr="003624C0">
        <w:rPr>
          <w:sz w:val="20"/>
          <w:lang w:val="fr-CA"/>
        </w:rPr>
        <w:t>La demande d’autorisation d’appel de l’arrêt de la Cour d’appel de la Saskatchewan, numéro CACV3437, 2021 SKCA 19, daté du 1</w:t>
      </w:r>
      <w:r w:rsidRPr="003624C0">
        <w:rPr>
          <w:sz w:val="20"/>
          <w:vertAlign w:val="superscript"/>
          <w:lang w:val="fr-CA"/>
        </w:rPr>
        <w:t>er</w:t>
      </w:r>
      <w:r w:rsidRPr="003624C0">
        <w:rPr>
          <w:sz w:val="20"/>
          <w:lang w:val="fr-CA"/>
        </w:rPr>
        <w:t xml:space="preserve"> février 2021, est rejetée avec dépens.</w:t>
      </w:r>
    </w:p>
    <w:p w:rsidR="008966B3" w:rsidRPr="003624C0" w:rsidRDefault="008966B3" w:rsidP="008966B3">
      <w:pPr>
        <w:jc w:val="both"/>
        <w:rPr>
          <w:sz w:val="20"/>
          <w:lang w:val="fr-CA"/>
        </w:rPr>
      </w:pPr>
    </w:p>
    <w:p w:rsidR="008966B3" w:rsidRPr="003624C0" w:rsidRDefault="003624C0" w:rsidP="008966B3">
      <w:pPr>
        <w:jc w:val="both"/>
        <w:rPr>
          <w:sz w:val="20"/>
          <w:lang w:val="fr-CA"/>
        </w:rPr>
      </w:pPr>
      <w:r w:rsidRPr="003624C0">
        <w:rPr>
          <w:sz w:val="20"/>
        </w:rPr>
        <w:pict>
          <v:rect id="_x0000_i1030" style="width:2in;height:1pt" o:hrpct="0" o:hralign="center" o:hrstd="t" o:hrnoshade="t" o:hr="t" fillcolor="black [3213]" stroked="f"/>
        </w:pict>
      </w:r>
    </w:p>
    <w:p w:rsidR="008966B3" w:rsidRPr="003624C0" w:rsidRDefault="008966B3" w:rsidP="008966B3">
      <w:pPr>
        <w:jc w:val="both"/>
        <w:rPr>
          <w:sz w:val="20"/>
          <w:lang w:val="fr-CA"/>
        </w:rPr>
      </w:pPr>
    </w:p>
    <w:p w:rsidR="00C177AC" w:rsidRPr="003624C0" w:rsidRDefault="00C177AC" w:rsidP="00C177AC">
      <w:pPr>
        <w:pStyle w:val="SCCLsocParty"/>
        <w:jc w:val="left"/>
        <w:rPr>
          <w:i/>
          <w:sz w:val="22"/>
          <w:lang w:val="en-US"/>
        </w:rPr>
      </w:pPr>
      <w:r w:rsidRPr="003624C0">
        <w:rPr>
          <w:i/>
          <w:sz w:val="22"/>
          <w:lang w:val="en-US"/>
        </w:rPr>
        <w:t xml:space="preserve">Abdulaziz Egal v. Her Majesty the Queen </w:t>
      </w:r>
      <w:r w:rsidRPr="003624C0">
        <w:rPr>
          <w:sz w:val="22"/>
          <w:lang w:val="en-US"/>
        </w:rPr>
        <w:t>(Ont.) (Criminal) (By Leave) (</w:t>
      </w:r>
      <w:hyperlink r:id="rId12" w:history="1">
        <w:r w:rsidRPr="003624C0">
          <w:rPr>
            <w:rStyle w:val="Hyperlink"/>
            <w:sz w:val="22"/>
            <w:lang w:val="en-US"/>
          </w:rPr>
          <w:t>39618</w:t>
        </w:r>
      </w:hyperlink>
      <w:r w:rsidRPr="003624C0">
        <w:rPr>
          <w:sz w:val="22"/>
          <w:lang w:val="en-US"/>
        </w:rPr>
        <w:t>)</w:t>
      </w:r>
    </w:p>
    <w:p w:rsidR="008966B3" w:rsidRPr="003624C0" w:rsidRDefault="008966B3" w:rsidP="008966B3">
      <w:pPr>
        <w:jc w:val="both"/>
        <w:rPr>
          <w:sz w:val="20"/>
        </w:rPr>
      </w:pPr>
    </w:p>
    <w:p w:rsidR="003624C0" w:rsidRPr="003624C0" w:rsidRDefault="003624C0" w:rsidP="003624C0">
      <w:pPr>
        <w:jc w:val="both"/>
        <w:rPr>
          <w:sz w:val="20"/>
        </w:rPr>
      </w:pPr>
      <w:r w:rsidRPr="003624C0">
        <w:rPr>
          <w:sz w:val="20"/>
        </w:rPr>
        <w:t>The motion for an extension of time to serve and file the application for leave to appeal from the judgment of the Court of Appeal for Ontario, Number C65173, 2020 ONCA 106, dated February 12, 2020, is dismissed.</w:t>
      </w:r>
    </w:p>
    <w:p w:rsidR="008966B3" w:rsidRPr="003624C0" w:rsidRDefault="008966B3" w:rsidP="008966B3">
      <w:pPr>
        <w:jc w:val="both"/>
        <w:rPr>
          <w:sz w:val="20"/>
        </w:rPr>
      </w:pPr>
    </w:p>
    <w:p w:rsidR="008966B3" w:rsidRPr="003624C0" w:rsidRDefault="003624C0" w:rsidP="008966B3">
      <w:pPr>
        <w:jc w:val="both"/>
        <w:rPr>
          <w:sz w:val="20"/>
          <w:lang w:val="fr-CA"/>
        </w:rPr>
      </w:pPr>
      <w:r w:rsidRPr="003624C0">
        <w:rPr>
          <w:sz w:val="20"/>
          <w:lang w:val="fr-CA"/>
        </w:rPr>
        <w:t>La requête en prorogation du délai de signification et de dépôt de la demande d’autorisation d’appel de l’arrêt de la Cour d’appel de l’Ontario, numéro C65173,  2020 ONCA 106, daté du 12 février 2020, est rejetée.</w:t>
      </w:r>
    </w:p>
    <w:p w:rsidR="008966B3" w:rsidRPr="003624C0" w:rsidRDefault="008966B3" w:rsidP="008966B3">
      <w:pPr>
        <w:jc w:val="both"/>
        <w:rPr>
          <w:sz w:val="20"/>
          <w:lang w:val="fr-CA"/>
        </w:rPr>
      </w:pPr>
    </w:p>
    <w:p w:rsidR="008966B3" w:rsidRPr="003624C0" w:rsidRDefault="003624C0" w:rsidP="008966B3">
      <w:pPr>
        <w:widowControl w:val="0"/>
        <w:rPr>
          <w:sz w:val="20"/>
        </w:rPr>
      </w:pPr>
      <w:r w:rsidRPr="003624C0">
        <w:rPr>
          <w:sz w:val="20"/>
        </w:rPr>
        <w:pict>
          <v:rect id="_x0000_i1031" style="width:2in;height:1pt" o:hrpct="0" o:hralign="center" o:hrstd="t" o:hrnoshade="t" o:hr="t" fillcolor="black [3213]" stroked="f"/>
        </w:pict>
      </w:r>
    </w:p>
    <w:p w:rsidR="008966B3" w:rsidRPr="003624C0" w:rsidRDefault="008966B3" w:rsidP="008966B3">
      <w:pPr>
        <w:jc w:val="both"/>
        <w:rPr>
          <w:sz w:val="20"/>
        </w:rPr>
      </w:pPr>
    </w:p>
    <w:p w:rsidR="00C177AC" w:rsidRPr="003624C0" w:rsidRDefault="00C177AC" w:rsidP="00C177AC">
      <w:pPr>
        <w:rPr>
          <w:sz w:val="22"/>
          <w:szCs w:val="22"/>
        </w:rPr>
      </w:pPr>
      <w:r w:rsidRPr="003624C0">
        <w:rPr>
          <w:i/>
          <w:sz w:val="22"/>
          <w:szCs w:val="22"/>
        </w:rPr>
        <w:t>David Palombi v. Angela Elizabeth Van</w:t>
      </w:r>
      <w:r w:rsidRPr="003624C0">
        <w:rPr>
          <w:sz w:val="22"/>
          <w:szCs w:val="22"/>
        </w:rPr>
        <w:t xml:space="preserve"> (Ont.) (Civil) (By Leave) (</w:t>
      </w:r>
      <w:hyperlink r:id="rId13" w:history="1">
        <w:r w:rsidRPr="003624C0">
          <w:rPr>
            <w:rStyle w:val="Hyperlink"/>
            <w:sz w:val="22"/>
            <w:szCs w:val="22"/>
          </w:rPr>
          <w:t>39575</w:t>
        </w:r>
      </w:hyperlink>
      <w:r w:rsidRPr="003624C0">
        <w:rPr>
          <w:sz w:val="22"/>
          <w:szCs w:val="22"/>
        </w:rPr>
        <w:t>)</w:t>
      </w:r>
    </w:p>
    <w:p w:rsidR="008966B3" w:rsidRPr="003624C0" w:rsidRDefault="008966B3" w:rsidP="004C5991">
      <w:pPr>
        <w:jc w:val="both"/>
        <w:rPr>
          <w:sz w:val="20"/>
        </w:rPr>
      </w:pPr>
    </w:p>
    <w:p w:rsidR="00C177AC" w:rsidRPr="003624C0" w:rsidRDefault="00C177AC" w:rsidP="00C177AC">
      <w:pPr>
        <w:jc w:val="both"/>
        <w:rPr>
          <w:sz w:val="20"/>
        </w:rPr>
      </w:pPr>
      <w:r w:rsidRPr="003624C0">
        <w:rPr>
          <w:sz w:val="20"/>
        </w:rPr>
        <w:t>The application for leave to appeal from the judgment of the Court of Appeal for Ontario, Number M51451, dated December 9, 2020, is dismissed with costs in the fixed amount of $5,000.00.</w:t>
      </w:r>
    </w:p>
    <w:p w:rsidR="008966B3" w:rsidRPr="003624C0" w:rsidRDefault="008966B3" w:rsidP="004C5991">
      <w:pPr>
        <w:jc w:val="both"/>
        <w:rPr>
          <w:sz w:val="20"/>
        </w:rPr>
      </w:pPr>
    </w:p>
    <w:p w:rsidR="008966B3" w:rsidRPr="003624C0" w:rsidRDefault="00C177AC" w:rsidP="004C5991">
      <w:pPr>
        <w:jc w:val="both"/>
        <w:rPr>
          <w:sz w:val="20"/>
          <w:lang w:val="fr-CA"/>
        </w:rPr>
      </w:pPr>
      <w:r w:rsidRPr="003624C0">
        <w:rPr>
          <w:sz w:val="20"/>
          <w:lang w:val="fr-CA"/>
        </w:rPr>
        <w:t>La demande d’autorisation d’appel de l’arrêt de la Cour d’appel de l’Ontario, numéro M51451, daté du 9 décembre 2020, est rejetée avec dépens au montant fixé de 5 000,00$.</w:t>
      </w:r>
    </w:p>
    <w:p w:rsidR="00DA2225" w:rsidRPr="003624C0" w:rsidRDefault="00DA2225" w:rsidP="004C5991">
      <w:pPr>
        <w:jc w:val="both"/>
        <w:rPr>
          <w:sz w:val="20"/>
          <w:lang w:val="fr-CA"/>
        </w:rPr>
      </w:pPr>
    </w:p>
    <w:p w:rsidR="00DA2225" w:rsidRPr="003624C0" w:rsidRDefault="003624C0" w:rsidP="004C5991">
      <w:pPr>
        <w:jc w:val="both"/>
        <w:rPr>
          <w:sz w:val="20"/>
          <w:lang w:val="fr-CA"/>
        </w:rPr>
      </w:pPr>
      <w:r w:rsidRPr="003624C0">
        <w:rPr>
          <w:sz w:val="20"/>
        </w:rPr>
        <w:pict>
          <v:rect id="_x0000_i1032" style="width:2in;height:1pt" o:hrpct="0" o:hralign="center" o:hrstd="t" o:hrnoshade="t" o:hr="t" fillcolor="black [3213]" stroked="f"/>
        </w:pict>
      </w:r>
    </w:p>
    <w:p w:rsidR="009A5B60" w:rsidRPr="003624C0" w:rsidRDefault="009A5B60" w:rsidP="004C5991">
      <w:pPr>
        <w:jc w:val="both"/>
        <w:rPr>
          <w:sz w:val="20"/>
          <w:lang w:val="fr-CA"/>
        </w:rPr>
      </w:pPr>
    </w:p>
    <w:p w:rsidR="00C177AC" w:rsidRPr="003624C0" w:rsidRDefault="00C177AC" w:rsidP="00C177AC">
      <w:pPr>
        <w:tabs>
          <w:tab w:val="left" w:pos="288"/>
        </w:tabs>
        <w:rPr>
          <w:sz w:val="22"/>
          <w:szCs w:val="22"/>
        </w:rPr>
      </w:pPr>
      <w:r w:rsidRPr="003624C0">
        <w:rPr>
          <w:i/>
          <w:sz w:val="22"/>
          <w:szCs w:val="22"/>
        </w:rPr>
        <w:t xml:space="preserve">Houston Thomas Engio v. Neilas (799 College St) Inc. and Skypoint Hi Rise Ltd. </w:t>
      </w:r>
      <w:r w:rsidRPr="003624C0">
        <w:rPr>
          <w:sz w:val="22"/>
          <w:szCs w:val="22"/>
        </w:rPr>
        <w:t>(Ont.) (Civil) (By Leave) (</w:t>
      </w:r>
      <w:hyperlink r:id="rId14" w:history="1">
        <w:r w:rsidRPr="003624C0">
          <w:rPr>
            <w:rStyle w:val="Hyperlink"/>
            <w:sz w:val="22"/>
            <w:szCs w:val="22"/>
          </w:rPr>
          <w:t>39485</w:t>
        </w:r>
      </w:hyperlink>
      <w:r w:rsidRPr="003624C0">
        <w:rPr>
          <w:sz w:val="22"/>
          <w:szCs w:val="22"/>
        </w:rPr>
        <w:t>)</w:t>
      </w:r>
    </w:p>
    <w:p w:rsidR="009A5B60" w:rsidRPr="003624C0" w:rsidRDefault="009A5B60" w:rsidP="004C5991">
      <w:pPr>
        <w:jc w:val="both"/>
        <w:rPr>
          <w:sz w:val="20"/>
        </w:rPr>
      </w:pPr>
    </w:p>
    <w:p w:rsidR="00C177AC" w:rsidRPr="003624C0" w:rsidRDefault="00C177AC" w:rsidP="00C177AC">
      <w:pPr>
        <w:jc w:val="both"/>
        <w:rPr>
          <w:sz w:val="20"/>
        </w:rPr>
      </w:pPr>
      <w:r w:rsidRPr="003624C0">
        <w:rPr>
          <w:sz w:val="20"/>
        </w:rPr>
        <w:t>The motion for an extension of time to serve and file the application for leave to appeal is granted. The application for leave to appeal from the judgment of the Court of Appeal for Ontario, Number C66584, 2020 ONCA 496, dated August 6, 2020, is dismissed.</w:t>
      </w:r>
    </w:p>
    <w:p w:rsidR="009A5B60" w:rsidRPr="003624C0" w:rsidRDefault="009A5B60" w:rsidP="004C5991">
      <w:pPr>
        <w:jc w:val="both"/>
        <w:rPr>
          <w:sz w:val="20"/>
        </w:rPr>
      </w:pPr>
    </w:p>
    <w:p w:rsidR="008966B3" w:rsidRPr="003624C0" w:rsidRDefault="00C177AC" w:rsidP="004C5991">
      <w:pPr>
        <w:jc w:val="both"/>
        <w:rPr>
          <w:sz w:val="20"/>
          <w:lang w:val="fr-CA"/>
        </w:rPr>
      </w:pPr>
      <w:r w:rsidRPr="003624C0">
        <w:rPr>
          <w:sz w:val="20"/>
          <w:lang w:val="fr-CA"/>
        </w:rPr>
        <w:lastRenderedPageBreak/>
        <w:t>La requête en prorogation du délai de signification et de dépôt de la demande d’autorisation d’appel est accueillie. La demande d’autorisation d’appel de l’arrêt de la Cour d’appel de l’Ontario, numéro C66584, 2020 ONCA 496, daté du 6 août 2020, est rejetée.</w:t>
      </w:r>
    </w:p>
    <w:p w:rsidR="009A5B60" w:rsidRPr="003624C0" w:rsidRDefault="009A5B60" w:rsidP="004C5991">
      <w:pPr>
        <w:jc w:val="both"/>
        <w:rPr>
          <w:sz w:val="20"/>
          <w:lang w:val="fr-CA"/>
        </w:rPr>
      </w:pPr>
    </w:p>
    <w:p w:rsidR="004C5991" w:rsidRPr="003624C0" w:rsidRDefault="003624C0" w:rsidP="004C5991">
      <w:pPr>
        <w:widowControl w:val="0"/>
        <w:rPr>
          <w:sz w:val="20"/>
        </w:rPr>
      </w:pPr>
      <w:r w:rsidRPr="003624C0">
        <w:rPr>
          <w:sz w:val="20"/>
        </w:rPr>
        <w:pict>
          <v:rect id="_x0000_i1033" style="width:2in;height:1pt" o:hrpct="0" o:hralign="center" o:hrstd="t" o:hrnoshade="t" o:hr="t" fillcolor="black [3213]" stroked="f"/>
        </w:pict>
      </w:r>
    </w:p>
    <w:p w:rsidR="008F1DD7" w:rsidRPr="003624C0" w:rsidRDefault="008F1DD7" w:rsidP="004C5991">
      <w:pPr>
        <w:jc w:val="both"/>
        <w:rPr>
          <w:sz w:val="20"/>
        </w:rPr>
      </w:pPr>
    </w:p>
    <w:p w:rsidR="00DE6A35" w:rsidRPr="003624C0" w:rsidRDefault="00DE6A35" w:rsidP="00DE6A35">
      <w:pPr>
        <w:rPr>
          <w:sz w:val="22"/>
          <w:szCs w:val="22"/>
        </w:rPr>
      </w:pPr>
      <w:r w:rsidRPr="003624C0">
        <w:rPr>
          <w:i/>
          <w:sz w:val="22"/>
          <w:szCs w:val="22"/>
        </w:rPr>
        <w:t>A.C. and J.F. v. Her Majesty the Queen in Right of Alberta</w:t>
      </w:r>
      <w:r w:rsidRPr="003624C0">
        <w:rPr>
          <w:sz w:val="22"/>
          <w:szCs w:val="22"/>
        </w:rPr>
        <w:t xml:space="preserve"> (Alta.) (Civil) (By Leave) (</w:t>
      </w:r>
      <w:hyperlink r:id="rId15" w:history="1">
        <w:r w:rsidRPr="003624C0">
          <w:rPr>
            <w:rStyle w:val="Hyperlink"/>
            <w:sz w:val="22"/>
            <w:szCs w:val="22"/>
          </w:rPr>
          <w:t>39551</w:t>
        </w:r>
      </w:hyperlink>
      <w:r w:rsidRPr="003624C0">
        <w:rPr>
          <w:sz w:val="22"/>
          <w:szCs w:val="22"/>
        </w:rPr>
        <w:t>)</w:t>
      </w:r>
    </w:p>
    <w:p w:rsidR="009A5B60" w:rsidRPr="003624C0" w:rsidRDefault="009A5B60" w:rsidP="004C5991">
      <w:pPr>
        <w:jc w:val="both"/>
        <w:rPr>
          <w:sz w:val="20"/>
        </w:rPr>
      </w:pPr>
    </w:p>
    <w:p w:rsidR="00DE6A35" w:rsidRPr="003624C0" w:rsidRDefault="00DE6A35" w:rsidP="00DE6A35">
      <w:pPr>
        <w:jc w:val="both"/>
        <w:rPr>
          <w:sz w:val="20"/>
        </w:rPr>
      </w:pPr>
      <w:r w:rsidRPr="003624C0">
        <w:rPr>
          <w:sz w:val="20"/>
        </w:rPr>
        <w:t>The application for leave to appeal from the judgment of the Court of Appeal of Alberta (Edmonton), Number 2003-0087-AC, 2021 ABCA 24, dated January 27, 2021, is dismissed.</w:t>
      </w:r>
    </w:p>
    <w:p w:rsidR="009A5B60" w:rsidRPr="003624C0" w:rsidRDefault="009A5B60" w:rsidP="004C5991">
      <w:pPr>
        <w:jc w:val="both"/>
        <w:rPr>
          <w:sz w:val="20"/>
        </w:rPr>
      </w:pPr>
    </w:p>
    <w:p w:rsidR="00DA2225" w:rsidRPr="003624C0" w:rsidRDefault="00DE6A35" w:rsidP="004C5991">
      <w:pPr>
        <w:jc w:val="both"/>
        <w:rPr>
          <w:sz w:val="20"/>
          <w:lang w:val="fr-CA"/>
        </w:rPr>
      </w:pPr>
      <w:r w:rsidRPr="003624C0">
        <w:rPr>
          <w:sz w:val="20"/>
          <w:lang w:val="fr-CA"/>
        </w:rPr>
        <w:t>La demande d’autorisation d’appel de l’arrêt de la Cour d'appel de l’Alberta (Edmonton), numéro 2003-0087-AC, 2021 ABCA 24, daté du 27 janvier 2021, est rejetée.</w:t>
      </w:r>
    </w:p>
    <w:p w:rsidR="00DA2225" w:rsidRPr="003624C0" w:rsidRDefault="00DA2225" w:rsidP="004C5991">
      <w:pPr>
        <w:jc w:val="both"/>
        <w:rPr>
          <w:sz w:val="20"/>
          <w:lang w:val="fr-CA"/>
        </w:rPr>
      </w:pPr>
    </w:p>
    <w:p w:rsidR="004C5991" w:rsidRPr="003624C0" w:rsidRDefault="003624C0" w:rsidP="004C5991">
      <w:pPr>
        <w:widowControl w:val="0"/>
        <w:rPr>
          <w:sz w:val="20"/>
        </w:rPr>
      </w:pPr>
      <w:r w:rsidRPr="003624C0">
        <w:rPr>
          <w:sz w:val="20"/>
        </w:rPr>
        <w:pict>
          <v:rect id="_x0000_i1034" style="width:2in;height:1pt" o:hrpct="0" o:hralign="center" o:hrstd="t" o:hrnoshade="t" o:hr="t" fillcolor="black [3213]" stroked="f"/>
        </w:pict>
      </w:r>
    </w:p>
    <w:p w:rsidR="009A5B60" w:rsidRPr="003624C0" w:rsidRDefault="009A5B60" w:rsidP="00021DFB">
      <w:pPr>
        <w:jc w:val="both"/>
        <w:rPr>
          <w:sz w:val="20"/>
        </w:rPr>
      </w:pPr>
    </w:p>
    <w:p w:rsidR="009A5B60" w:rsidRPr="003624C0" w:rsidRDefault="009A5B60" w:rsidP="00021DFB">
      <w:pPr>
        <w:jc w:val="both"/>
        <w:rPr>
          <w:sz w:val="20"/>
        </w:rPr>
      </w:pPr>
    </w:p>
    <w:p w:rsidR="009A5B60" w:rsidRPr="003624C0" w:rsidRDefault="009A5B60" w:rsidP="00021DFB">
      <w:pPr>
        <w:jc w:val="both"/>
        <w:rPr>
          <w:sz w:val="20"/>
        </w:rPr>
      </w:pPr>
    </w:p>
    <w:p w:rsidR="00D3344A" w:rsidRPr="003624C0" w:rsidRDefault="00D3344A" w:rsidP="00CC5785">
      <w:pPr>
        <w:widowControl w:val="0"/>
        <w:outlineLvl w:val="0"/>
      </w:pPr>
      <w:r w:rsidRPr="003624C0">
        <w:t xml:space="preserve">Supreme Court of Canada / Cour suprême du </w:t>
      </w:r>
      <w:proofErr w:type="gramStart"/>
      <w:r w:rsidRPr="003624C0">
        <w:t>Canada :</w:t>
      </w:r>
      <w:proofErr w:type="gramEnd"/>
      <w:r w:rsidRPr="003624C0">
        <w:t xml:space="preserve"> </w:t>
      </w:r>
    </w:p>
    <w:p w:rsidR="00D3344A" w:rsidRPr="003624C0" w:rsidRDefault="003624C0" w:rsidP="00CC5785">
      <w:pPr>
        <w:widowControl w:val="0"/>
        <w:outlineLvl w:val="0"/>
        <w:rPr>
          <w:color w:val="0000FF"/>
          <w:u w:val="single"/>
        </w:rPr>
      </w:pPr>
      <w:hyperlink r:id="rId16" w:history="1">
        <w:r w:rsidR="00D3344A" w:rsidRPr="003624C0">
          <w:rPr>
            <w:rStyle w:val="Hyperlink"/>
          </w:rPr>
          <w:t>comments-commentaires@scc-csc.ca</w:t>
        </w:r>
      </w:hyperlink>
    </w:p>
    <w:p w:rsidR="00D3344A" w:rsidRPr="003624C0" w:rsidRDefault="00D3344A" w:rsidP="00CC5785">
      <w:pPr>
        <w:widowControl w:val="0"/>
        <w:outlineLvl w:val="0"/>
      </w:pPr>
      <w:r w:rsidRPr="003624C0">
        <w:t>(613) 995-4330</w:t>
      </w:r>
    </w:p>
    <w:p w:rsidR="00497B5E" w:rsidRPr="003624C0" w:rsidRDefault="00497B5E" w:rsidP="00CC5785">
      <w:pPr>
        <w:widowControl w:val="0"/>
        <w:rPr>
          <w:sz w:val="20"/>
        </w:rPr>
      </w:pPr>
    </w:p>
    <w:p w:rsidR="003F43E6" w:rsidRPr="003624C0" w:rsidRDefault="003F43E6" w:rsidP="00CC5785">
      <w:pPr>
        <w:widowControl w:val="0"/>
        <w:rPr>
          <w:sz w:val="20"/>
        </w:rPr>
      </w:pPr>
    </w:p>
    <w:p w:rsidR="00224F26" w:rsidRPr="00BA42A7" w:rsidRDefault="003F43E6" w:rsidP="00CC5785">
      <w:pPr>
        <w:pStyle w:val="Footer"/>
        <w:jc w:val="center"/>
        <w:rPr>
          <w:lang w:val="fr-CA"/>
        </w:rPr>
      </w:pPr>
      <w:r w:rsidRPr="003624C0">
        <w:rPr>
          <w:lang w:val="fr-CA"/>
        </w:rPr>
        <w:t>- 30</w:t>
      </w:r>
      <w:r w:rsidR="00312438" w:rsidRPr="003624C0">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93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1DFB"/>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544"/>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4619"/>
    <w:rsid w:val="000B5274"/>
    <w:rsid w:val="000B5899"/>
    <w:rsid w:val="000B5F63"/>
    <w:rsid w:val="000B6DBE"/>
    <w:rsid w:val="000B7258"/>
    <w:rsid w:val="000B732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1F9"/>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1C2A"/>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27DDB"/>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0E62"/>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4C0"/>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2EF2"/>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025"/>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2FC1"/>
    <w:rsid w:val="00463D03"/>
    <w:rsid w:val="0046439A"/>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87B0F"/>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991"/>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98F"/>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3478"/>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2452"/>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5555"/>
    <w:rsid w:val="008960AE"/>
    <w:rsid w:val="008966B3"/>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1DD7"/>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119"/>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B60"/>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046"/>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5596"/>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177AC"/>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592"/>
    <w:rsid w:val="00CD59AA"/>
    <w:rsid w:val="00CD7911"/>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199"/>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225"/>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E6A35"/>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43E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66863"/>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DA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1F2A"/>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9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49" TargetMode="External"/><Relationship Id="rId13" Type="http://schemas.openxmlformats.org/officeDocument/2006/relationships/hyperlink" Target="https://www.scc-csc.ca/case-dossier/info/sum-som-eng.aspx?cas=39575"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cc-csc.ca/case-dossier/info/sum-som-eng.aspx?cas=39594" TargetMode="External"/><Relationship Id="rId12" Type="http://schemas.openxmlformats.org/officeDocument/2006/relationships/hyperlink" Target="https://www.scc-csc.ca/case-dossier/info/sum-som-eng.aspx?cas=3961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mments-commentaires@scc-cs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cc-csc.ca/case-dossier/info/sum-som-eng.aspx?cas=395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c-csc.ca/case-dossier/info/sum-som-eng.aspx?cas=39551" TargetMode="External"/><Relationship Id="rId23" Type="http://schemas.openxmlformats.org/officeDocument/2006/relationships/fontTable" Target="fontTable.xml"/><Relationship Id="rId10" Type="http://schemas.openxmlformats.org/officeDocument/2006/relationships/hyperlink" Target="https://www.scc-csc.ca/case-dossier/info/sum-som-fra.aspx?cas=3956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c-csc.ca/case-dossier/info/sum-som-fra.aspx?cas=39579" TargetMode="External"/><Relationship Id="rId14" Type="http://schemas.openxmlformats.org/officeDocument/2006/relationships/hyperlink" Target="https://www.scc-csc.ca/case-dossier/info/sum-som-eng.aspx?cas=3948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94726-CAE1-44E7-B965-5A8EFDEA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2021-06-21T16:31:00Z</dcterms:modified>
</cp:coreProperties>
</file>