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525037" w:rsidRDefault="000E391F" w:rsidP="000E391F">
      <w:pPr>
        <w:pStyle w:val="Header"/>
        <w:jc w:val="center"/>
        <w:rPr>
          <w:b/>
          <w:sz w:val="32"/>
        </w:rPr>
      </w:pPr>
      <w:r w:rsidRPr="00525037">
        <w:rPr>
          <w:b/>
          <w:sz w:val="32"/>
        </w:rPr>
        <w:t>Supreme Court of Canada / Cour suprême du Canada</w:t>
      </w:r>
    </w:p>
    <w:p w:rsidR="000E391F" w:rsidRPr="00525037" w:rsidRDefault="000E391F" w:rsidP="000E391F">
      <w:pPr>
        <w:widowControl w:val="0"/>
      </w:pPr>
    </w:p>
    <w:p w:rsidR="000E391F" w:rsidRPr="00525037" w:rsidRDefault="000E391F" w:rsidP="000E391F">
      <w:pPr>
        <w:widowControl w:val="0"/>
        <w:rPr>
          <w:i/>
        </w:rPr>
      </w:pPr>
    </w:p>
    <w:p w:rsidR="006F2579" w:rsidRPr="00525037" w:rsidRDefault="006F2579" w:rsidP="006F2579">
      <w:pPr>
        <w:widowControl w:val="0"/>
        <w:rPr>
          <w:i/>
          <w:sz w:val="20"/>
        </w:rPr>
      </w:pPr>
      <w:r w:rsidRPr="00525037">
        <w:rPr>
          <w:i/>
          <w:sz w:val="20"/>
        </w:rPr>
        <w:t>(</w:t>
      </w:r>
      <w:r w:rsidR="003240B6" w:rsidRPr="00525037">
        <w:rPr>
          <w:i/>
          <w:sz w:val="20"/>
        </w:rPr>
        <w:t>L</w:t>
      </w:r>
      <w:r w:rsidRPr="00525037">
        <w:rPr>
          <w:i/>
          <w:sz w:val="20"/>
        </w:rPr>
        <w:t>e français suit)</w:t>
      </w:r>
    </w:p>
    <w:p w:rsidR="006F2579" w:rsidRPr="00525037" w:rsidRDefault="006F2579" w:rsidP="006F2579">
      <w:pPr>
        <w:widowControl w:val="0"/>
      </w:pPr>
    </w:p>
    <w:p w:rsidR="006F2579" w:rsidRPr="00525037" w:rsidRDefault="00B07908" w:rsidP="006F2579">
      <w:pPr>
        <w:widowControl w:val="0"/>
        <w:jc w:val="center"/>
        <w:rPr>
          <w:b/>
        </w:rPr>
      </w:pPr>
      <w:r w:rsidRPr="00525037">
        <w:fldChar w:fldCharType="begin"/>
      </w:r>
      <w:r w:rsidR="006F2579" w:rsidRPr="00525037">
        <w:instrText xml:space="preserve"> SEQ CHAPTER \h \r 1</w:instrText>
      </w:r>
      <w:r w:rsidRPr="00525037">
        <w:fldChar w:fldCharType="end"/>
      </w:r>
      <w:r w:rsidR="006F2579" w:rsidRPr="00525037">
        <w:rPr>
          <w:b/>
        </w:rPr>
        <w:t>JUDGMENT</w:t>
      </w:r>
      <w:r w:rsidR="00B17AAC" w:rsidRPr="00525037">
        <w:rPr>
          <w:b/>
        </w:rPr>
        <w:t>S</w:t>
      </w:r>
      <w:r w:rsidR="006F2579" w:rsidRPr="00525037">
        <w:rPr>
          <w:b/>
        </w:rPr>
        <w:t xml:space="preserve"> TO B</w:t>
      </w:r>
      <w:r w:rsidR="00001846" w:rsidRPr="00525037">
        <w:rPr>
          <w:b/>
        </w:rPr>
        <w:t>E RENDERED IN LE</w:t>
      </w:r>
      <w:r w:rsidR="00A0288A" w:rsidRPr="00525037">
        <w:rPr>
          <w:b/>
        </w:rPr>
        <w:t>A</w:t>
      </w:r>
      <w:r w:rsidR="00001846" w:rsidRPr="00525037">
        <w:rPr>
          <w:b/>
        </w:rPr>
        <w:t>VE APPLICATION</w:t>
      </w:r>
      <w:r w:rsidR="00511288" w:rsidRPr="00525037">
        <w:rPr>
          <w:b/>
        </w:rPr>
        <w:t>S</w:t>
      </w:r>
    </w:p>
    <w:p w:rsidR="006F2579" w:rsidRPr="00525037" w:rsidRDefault="006F2579" w:rsidP="006F2579">
      <w:pPr>
        <w:widowControl w:val="0"/>
      </w:pPr>
    </w:p>
    <w:p w:rsidR="006F2579" w:rsidRPr="00525037" w:rsidRDefault="000949BD" w:rsidP="006F2579">
      <w:pPr>
        <w:widowControl w:val="0"/>
      </w:pPr>
      <w:r w:rsidRPr="00525037">
        <w:rPr>
          <w:b/>
        </w:rPr>
        <w:t>August</w:t>
      </w:r>
      <w:r w:rsidR="00A15B66" w:rsidRPr="00525037">
        <w:rPr>
          <w:b/>
        </w:rPr>
        <w:t xml:space="preserve"> </w:t>
      </w:r>
      <w:r w:rsidRPr="00525037">
        <w:rPr>
          <w:b/>
        </w:rPr>
        <w:t>3</w:t>
      </w:r>
      <w:r w:rsidR="004441C7" w:rsidRPr="00525037">
        <w:rPr>
          <w:b/>
        </w:rPr>
        <w:t>,</w:t>
      </w:r>
      <w:r w:rsidR="006F2579" w:rsidRPr="00525037">
        <w:rPr>
          <w:b/>
        </w:rPr>
        <w:t xml:space="preserve"> </w:t>
      </w:r>
      <w:r w:rsidR="0054689F" w:rsidRPr="00525037">
        <w:rPr>
          <w:b/>
        </w:rPr>
        <w:t>20</w:t>
      </w:r>
      <w:r w:rsidR="00526754" w:rsidRPr="00525037">
        <w:rPr>
          <w:b/>
        </w:rPr>
        <w:t>2</w:t>
      </w:r>
      <w:r w:rsidR="0068416C" w:rsidRPr="00525037">
        <w:rPr>
          <w:b/>
        </w:rPr>
        <w:t>1</w:t>
      </w:r>
    </w:p>
    <w:p w:rsidR="006F2579" w:rsidRPr="00525037" w:rsidRDefault="00674F39" w:rsidP="006F2579">
      <w:pPr>
        <w:widowControl w:val="0"/>
        <w:rPr>
          <w:b/>
        </w:rPr>
      </w:pPr>
      <w:r w:rsidRPr="00525037">
        <w:rPr>
          <w:b/>
        </w:rPr>
        <w:t>For immediate release</w:t>
      </w:r>
    </w:p>
    <w:p w:rsidR="006F2579" w:rsidRPr="00525037" w:rsidRDefault="006F2579" w:rsidP="006F2579">
      <w:pPr>
        <w:widowControl w:val="0"/>
      </w:pPr>
    </w:p>
    <w:p w:rsidR="006F2579" w:rsidRPr="00525037" w:rsidRDefault="006F2579" w:rsidP="006F2579">
      <w:pPr>
        <w:widowControl w:val="0"/>
        <w:rPr>
          <w:lang w:val="fr-CA"/>
        </w:rPr>
      </w:pPr>
      <w:r w:rsidRPr="00525037">
        <w:rPr>
          <w:b/>
        </w:rPr>
        <w:t>OTTAWA</w:t>
      </w:r>
      <w:r w:rsidRPr="00525037">
        <w:t xml:space="preserve"> – The Supreme Court of Canad</w:t>
      </w:r>
      <w:r w:rsidR="006246E4" w:rsidRPr="00525037">
        <w:t>a</w:t>
      </w:r>
      <w:r w:rsidRPr="00525037">
        <w:t xml:space="preserve"> announced today that judgment in the following </w:t>
      </w:r>
      <w:r w:rsidR="00DB6199" w:rsidRPr="00525037">
        <w:t xml:space="preserve">leave applications </w:t>
      </w:r>
      <w:r w:rsidRPr="00525037">
        <w:t xml:space="preserve">will be delivered at 9:45 a.m. </w:t>
      </w:r>
      <w:r w:rsidR="00E05816" w:rsidRPr="00525037">
        <w:t>E</w:t>
      </w:r>
      <w:r w:rsidR="0098345D" w:rsidRPr="00525037">
        <w:t>D</w:t>
      </w:r>
      <w:r w:rsidR="00E05816" w:rsidRPr="00525037">
        <w:t>T</w:t>
      </w:r>
      <w:r w:rsidRPr="00525037">
        <w:t xml:space="preserve"> on </w:t>
      </w:r>
      <w:r w:rsidR="0068416C" w:rsidRPr="00525037">
        <w:t>Thursday</w:t>
      </w:r>
      <w:r w:rsidRPr="00525037">
        <w:t xml:space="preserve">, </w:t>
      </w:r>
      <w:r w:rsidR="000949BD" w:rsidRPr="00525037">
        <w:t>August</w:t>
      </w:r>
      <w:r w:rsidR="00455912" w:rsidRPr="00525037">
        <w:t xml:space="preserve"> </w:t>
      </w:r>
      <w:r w:rsidR="000949BD" w:rsidRPr="00525037">
        <w:t>5</w:t>
      </w:r>
      <w:r w:rsidR="007E112F" w:rsidRPr="00525037">
        <w:t>,</w:t>
      </w:r>
      <w:r w:rsidR="002F38D7" w:rsidRPr="00525037">
        <w:t xml:space="preserve"> </w:t>
      </w:r>
      <w:r w:rsidR="006648D1" w:rsidRPr="00525037">
        <w:t>20</w:t>
      </w:r>
      <w:r w:rsidR="00526754" w:rsidRPr="00525037">
        <w:t>2</w:t>
      </w:r>
      <w:r w:rsidR="00DD65CF" w:rsidRPr="00525037">
        <w:t>1</w:t>
      </w:r>
      <w:r w:rsidRPr="00525037">
        <w:t xml:space="preserve">. </w:t>
      </w:r>
      <w:r w:rsidRPr="00525037">
        <w:rPr>
          <w:lang w:val="fr-CA"/>
        </w:rPr>
        <w:t>This list is subject to chang</w:t>
      </w:r>
      <w:r w:rsidR="00192F7F" w:rsidRPr="00525037">
        <w:rPr>
          <w:lang w:val="fr-CA"/>
        </w:rPr>
        <w:t>e</w:t>
      </w:r>
      <w:r w:rsidRPr="00525037">
        <w:rPr>
          <w:lang w:val="fr-CA"/>
        </w:rPr>
        <w:t>.</w:t>
      </w:r>
    </w:p>
    <w:p w:rsidR="00FF5AA4" w:rsidRPr="00525037" w:rsidRDefault="00FF5AA4" w:rsidP="006F2579">
      <w:pPr>
        <w:widowControl w:val="0"/>
        <w:rPr>
          <w:lang w:val="fr-CA"/>
        </w:rPr>
      </w:pPr>
    </w:p>
    <w:p w:rsidR="00B43418" w:rsidRPr="00525037" w:rsidRDefault="00B43418" w:rsidP="006F2579">
      <w:pPr>
        <w:widowControl w:val="0"/>
        <w:rPr>
          <w:lang w:val="fr-CA"/>
        </w:rPr>
      </w:pPr>
    </w:p>
    <w:p w:rsidR="006F2579" w:rsidRPr="00525037" w:rsidRDefault="006F2579" w:rsidP="006F2579">
      <w:pPr>
        <w:widowControl w:val="0"/>
        <w:jc w:val="center"/>
        <w:rPr>
          <w:lang w:val="fr-CA"/>
        </w:rPr>
      </w:pPr>
      <w:r w:rsidRPr="00525037">
        <w:rPr>
          <w:b/>
          <w:lang w:val="fr-CA"/>
        </w:rPr>
        <w:t>PROCHAIN</w:t>
      </w:r>
      <w:r w:rsidR="00B17AAC" w:rsidRPr="00525037">
        <w:rPr>
          <w:b/>
          <w:lang w:val="fr-CA"/>
        </w:rPr>
        <w:t>S</w:t>
      </w:r>
      <w:r w:rsidRPr="00525037">
        <w:rPr>
          <w:b/>
          <w:lang w:val="fr-CA"/>
        </w:rPr>
        <w:t xml:space="preserve"> JUGEMENT</w:t>
      </w:r>
      <w:r w:rsidR="00B17AAC" w:rsidRPr="00525037">
        <w:rPr>
          <w:b/>
          <w:lang w:val="fr-CA"/>
        </w:rPr>
        <w:t>S</w:t>
      </w:r>
      <w:r w:rsidR="00001846" w:rsidRPr="00525037">
        <w:rPr>
          <w:b/>
          <w:lang w:val="fr-CA"/>
        </w:rPr>
        <w:t xml:space="preserve"> SUR DEMANDE</w:t>
      </w:r>
      <w:r w:rsidR="00B17AAC" w:rsidRPr="00525037">
        <w:rPr>
          <w:b/>
          <w:lang w:val="fr-CA"/>
        </w:rPr>
        <w:t>S</w:t>
      </w:r>
      <w:r w:rsidRPr="00525037">
        <w:rPr>
          <w:b/>
          <w:lang w:val="fr-CA"/>
        </w:rPr>
        <w:t xml:space="preserve"> D’AUTORISATION</w:t>
      </w:r>
    </w:p>
    <w:p w:rsidR="006F2579" w:rsidRPr="00525037" w:rsidRDefault="006F2579" w:rsidP="006F2579">
      <w:pPr>
        <w:widowControl w:val="0"/>
        <w:rPr>
          <w:lang w:val="fr-CA"/>
        </w:rPr>
      </w:pPr>
    </w:p>
    <w:p w:rsidR="006F2579" w:rsidRPr="00525037" w:rsidRDefault="006F2579" w:rsidP="006F2579">
      <w:pPr>
        <w:widowControl w:val="0"/>
        <w:rPr>
          <w:lang w:val="fr-CA"/>
        </w:rPr>
      </w:pPr>
      <w:r w:rsidRPr="00525037">
        <w:rPr>
          <w:b/>
          <w:lang w:val="fr-CA"/>
        </w:rPr>
        <w:t>Le</w:t>
      </w:r>
      <w:r w:rsidR="00957A76" w:rsidRPr="00525037">
        <w:rPr>
          <w:b/>
          <w:lang w:val="fr-CA"/>
        </w:rPr>
        <w:t xml:space="preserve"> </w:t>
      </w:r>
      <w:r w:rsidR="000949BD" w:rsidRPr="00525037">
        <w:rPr>
          <w:b/>
          <w:lang w:val="fr-CA"/>
        </w:rPr>
        <w:t>3</w:t>
      </w:r>
      <w:r w:rsidR="00825246" w:rsidRPr="00525037">
        <w:rPr>
          <w:b/>
          <w:lang w:val="fr-CA"/>
        </w:rPr>
        <w:t xml:space="preserve"> </w:t>
      </w:r>
      <w:r w:rsidR="000949BD" w:rsidRPr="00525037">
        <w:rPr>
          <w:b/>
          <w:lang w:val="fr-CA"/>
        </w:rPr>
        <w:t>août</w:t>
      </w:r>
      <w:r w:rsidR="00A151D1" w:rsidRPr="00525037">
        <w:rPr>
          <w:b/>
          <w:lang w:val="fr-CA"/>
        </w:rPr>
        <w:t xml:space="preserve"> 20</w:t>
      </w:r>
      <w:r w:rsidR="00526754" w:rsidRPr="00525037">
        <w:rPr>
          <w:b/>
          <w:lang w:val="fr-CA"/>
        </w:rPr>
        <w:t>2</w:t>
      </w:r>
      <w:r w:rsidR="0068416C" w:rsidRPr="00525037">
        <w:rPr>
          <w:b/>
          <w:lang w:val="fr-CA"/>
        </w:rPr>
        <w:t>1</w:t>
      </w:r>
    </w:p>
    <w:p w:rsidR="006F2579" w:rsidRPr="00525037" w:rsidRDefault="006F2579" w:rsidP="006F2579">
      <w:pPr>
        <w:widowControl w:val="0"/>
        <w:rPr>
          <w:b/>
          <w:lang w:val="fr-CA"/>
        </w:rPr>
      </w:pPr>
      <w:r w:rsidRPr="00525037">
        <w:rPr>
          <w:b/>
          <w:lang w:val="fr-CA"/>
        </w:rPr>
        <w:t>Pour diffusion immédiate</w:t>
      </w:r>
    </w:p>
    <w:p w:rsidR="006F2579" w:rsidRPr="00525037" w:rsidRDefault="006F2579" w:rsidP="006F2579">
      <w:pPr>
        <w:widowControl w:val="0"/>
        <w:rPr>
          <w:lang w:val="fr-CA"/>
        </w:rPr>
      </w:pPr>
    </w:p>
    <w:p w:rsidR="006F2579" w:rsidRPr="00525037" w:rsidRDefault="006F2579" w:rsidP="006F2579">
      <w:pPr>
        <w:widowControl w:val="0"/>
        <w:rPr>
          <w:lang w:val="fr-CA"/>
        </w:rPr>
      </w:pPr>
      <w:r w:rsidRPr="00525037">
        <w:rPr>
          <w:b/>
          <w:lang w:val="fr-CA"/>
        </w:rPr>
        <w:t>OTTAWA</w:t>
      </w:r>
      <w:r w:rsidRPr="00525037">
        <w:rPr>
          <w:lang w:val="fr-CA"/>
        </w:rPr>
        <w:t xml:space="preserve"> – La Cour suprême du Canada annonce que jugement ser</w:t>
      </w:r>
      <w:r w:rsidR="004259F9" w:rsidRPr="00525037">
        <w:rPr>
          <w:lang w:val="fr-CA"/>
        </w:rPr>
        <w:t>a</w:t>
      </w:r>
      <w:r w:rsidRPr="00525037">
        <w:rPr>
          <w:lang w:val="fr-CA"/>
        </w:rPr>
        <w:t xml:space="preserve"> rendu dans l</w:t>
      </w:r>
      <w:r w:rsidR="008600ED" w:rsidRPr="00525037">
        <w:rPr>
          <w:lang w:val="fr-CA"/>
        </w:rPr>
        <w:t>es</w:t>
      </w:r>
      <w:r w:rsidRPr="00525037">
        <w:rPr>
          <w:lang w:val="fr-CA"/>
        </w:rPr>
        <w:t xml:space="preserve"> demande</w:t>
      </w:r>
      <w:r w:rsidR="008600ED" w:rsidRPr="00525037">
        <w:rPr>
          <w:lang w:val="fr-CA"/>
        </w:rPr>
        <w:t>s</w:t>
      </w:r>
      <w:r w:rsidRPr="00525037">
        <w:rPr>
          <w:lang w:val="fr-CA"/>
        </w:rPr>
        <w:t xml:space="preserve"> d</w:t>
      </w:r>
      <w:r w:rsidR="00001846" w:rsidRPr="00525037">
        <w:rPr>
          <w:lang w:val="fr-CA"/>
        </w:rPr>
        <w:t>’autorisation suivante</w:t>
      </w:r>
      <w:r w:rsidR="008600ED" w:rsidRPr="00525037">
        <w:rPr>
          <w:lang w:val="fr-CA"/>
        </w:rPr>
        <w:t>s</w:t>
      </w:r>
      <w:r w:rsidRPr="00525037">
        <w:rPr>
          <w:lang w:val="fr-CA"/>
        </w:rPr>
        <w:t xml:space="preserve"> le </w:t>
      </w:r>
      <w:r w:rsidR="0068416C" w:rsidRPr="00525037">
        <w:rPr>
          <w:lang w:val="fr-CA"/>
        </w:rPr>
        <w:t>jeudi</w:t>
      </w:r>
      <w:r w:rsidRPr="00525037">
        <w:rPr>
          <w:lang w:val="fr-CA"/>
        </w:rPr>
        <w:t xml:space="preserve"> </w:t>
      </w:r>
      <w:r w:rsidR="000949BD" w:rsidRPr="00525037">
        <w:rPr>
          <w:lang w:val="fr-CA"/>
        </w:rPr>
        <w:t>5</w:t>
      </w:r>
      <w:r w:rsidR="009E0BD3" w:rsidRPr="00525037">
        <w:rPr>
          <w:lang w:val="fr-CA"/>
        </w:rPr>
        <w:t xml:space="preserve"> </w:t>
      </w:r>
      <w:r w:rsidR="000949BD" w:rsidRPr="00525037">
        <w:rPr>
          <w:lang w:val="fr-CA"/>
        </w:rPr>
        <w:t>août</w:t>
      </w:r>
      <w:r w:rsidR="00694391" w:rsidRPr="00525037">
        <w:rPr>
          <w:lang w:val="fr-CA"/>
        </w:rPr>
        <w:t xml:space="preserve"> 2</w:t>
      </w:r>
      <w:r w:rsidR="006648D1" w:rsidRPr="00525037">
        <w:rPr>
          <w:lang w:val="fr-CA"/>
        </w:rPr>
        <w:t>0</w:t>
      </w:r>
      <w:r w:rsidR="00526754" w:rsidRPr="00525037">
        <w:rPr>
          <w:lang w:val="fr-CA"/>
        </w:rPr>
        <w:t>2</w:t>
      </w:r>
      <w:r w:rsidR="0068416C" w:rsidRPr="00525037">
        <w:rPr>
          <w:lang w:val="fr-CA"/>
        </w:rPr>
        <w:t>1</w:t>
      </w:r>
      <w:r w:rsidRPr="00525037">
        <w:rPr>
          <w:lang w:val="fr-CA"/>
        </w:rPr>
        <w:t xml:space="preserve">, à 9 h 45 </w:t>
      </w:r>
      <w:r w:rsidR="000627A2" w:rsidRPr="00525037">
        <w:rPr>
          <w:lang w:val="fr-CA"/>
        </w:rPr>
        <w:t>H</w:t>
      </w:r>
      <w:r w:rsidR="0098345D" w:rsidRPr="00525037">
        <w:rPr>
          <w:lang w:val="fr-CA"/>
        </w:rPr>
        <w:t>A</w:t>
      </w:r>
      <w:r w:rsidRPr="00525037">
        <w:rPr>
          <w:lang w:val="fr-CA"/>
        </w:rPr>
        <w:t>E. Cette liste est sujette à modification</w:t>
      </w:r>
      <w:r w:rsidR="00130ADB" w:rsidRPr="00525037">
        <w:rPr>
          <w:lang w:val="fr-CA"/>
        </w:rPr>
        <w:t>s</w:t>
      </w:r>
      <w:r w:rsidRPr="00525037">
        <w:rPr>
          <w:lang w:val="fr-CA"/>
        </w:rPr>
        <w:t>.</w:t>
      </w:r>
    </w:p>
    <w:p w:rsidR="0080556B" w:rsidRPr="00525037" w:rsidRDefault="0080556B" w:rsidP="005F2A78">
      <w:pPr>
        <w:widowControl w:val="0"/>
        <w:tabs>
          <w:tab w:val="left" w:pos="3840"/>
        </w:tabs>
        <w:jc w:val="both"/>
        <w:rPr>
          <w:sz w:val="20"/>
          <w:lang w:val="fr-CA"/>
        </w:rPr>
      </w:pPr>
    </w:p>
    <w:p w:rsidR="00867C61" w:rsidRPr="00525037" w:rsidRDefault="00C26088" w:rsidP="009B14F4">
      <w:pPr>
        <w:widowControl w:val="0"/>
        <w:jc w:val="both"/>
        <w:rPr>
          <w:sz w:val="20"/>
        </w:rPr>
      </w:pPr>
      <w:r>
        <w:rPr>
          <w:sz w:val="20"/>
        </w:rPr>
        <w:pict>
          <v:rect id="_x0000_i1025" style="width:2in;height:1pt" o:hrpct="0" o:hralign="center" o:hrstd="t" o:hrnoshade="t" o:hr="t" fillcolor="black [3213]" stroked="f"/>
        </w:pict>
      </w:r>
    </w:p>
    <w:p w:rsidR="004A6E51" w:rsidRPr="00525037" w:rsidRDefault="004A6E51" w:rsidP="000E2E04">
      <w:pPr>
        <w:ind w:left="357" w:hanging="357"/>
        <w:contextualSpacing/>
        <w:rPr>
          <w:sz w:val="20"/>
          <w:lang w:val="fr-CA"/>
        </w:rPr>
      </w:pPr>
    </w:p>
    <w:p w:rsidR="00DC7782" w:rsidRPr="00525037" w:rsidRDefault="00DC7782" w:rsidP="00086AEC">
      <w:pPr>
        <w:pStyle w:val="ListParagraph"/>
        <w:numPr>
          <w:ilvl w:val="0"/>
          <w:numId w:val="49"/>
        </w:numPr>
        <w:ind w:left="357" w:hanging="357"/>
        <w:rPr>
          <w:rFonts w:eastAsiaTheme="minorHAnsi" w:cstheme="minorBidi"/>
          <w:sz w:val="20"/>
          <w:lang w:val="fr-CA"/>
        </w:rPr>
      </w:pPr>
      <w:r w:rsidRPr="00525037">
        <w:rPr>
          <w:rFonts w:eastAsiaTheme="minorHAnsi" w:cstheme="minorBidi"/>
          <w:i/>
          <w:sz w:val="20"/>
          <w:lang w:val="fr-CA"/>
        </w:rPr>
        <w:t>F.</w:t>
      </w:r>
      <w:r w:rsidR="00C26088">
        <w:rPr>
          <w:rFonts w:eastAsiaTheme="minorHAnsi" w:cstheme="minorBidi"/>
          <w:i/>
          <w:sz w:val="20"/>
          <w:lang w:val="fr-CA"/>
        </w:rPr>
        <w:t>L.</w:t>
      </w:r>
      <w:bookmarkStart w:id="0" w:name="_GoBack"/>
      <w:bookmarkEnd w:id="0"/>
      <w:r w:rsidRPr="00525037">
        <w:rPr>
          <w:rFonts w:eastAsiaTheme="minorHAnsi" w:cstheme="minorBidi"/>
          <w:i/>
          <w:sz w:val="20"/>
          <w:lang w:val="fr-CA"/>
        </w:rPr>
        <w:t xml:space="preserve"> c. C.G.</w:t>
      </w:r>
      <w:r w:rsidRPr="00525037">
        <w:rPr>
          <w:rFonts w:eastAsiaTheme="minorHAnsi" w:cstheme="minorBidi"/>
          <w:sz w:val="20"/>
          <w:lang w:val="fr-CA"/>
        </w:rPr>
        <w:t xml:space="preserve"> (Qc) (Civile) (Autorisation) </w:t>
      </w:r>
      <w:r w:rsidRPr="00525037">
        <w:rPr>
          <w:sz w:val="20"/>
          <w:lang w:val="fr-CA"/>
        </w:rPr>
        <w:t>(</w:t>
      </w:r>
      <w:hyperlink r:id="rId8" w:history="1">
        <w:r w:rsidRPr="00525037">
          <w:rPr>
            <w:rStyle w:val="Hyperlink"/>
            <w:sz w:val="20"/>
            <w:szCs w:val="20"/>
            <w:lang w:val="fr-CA"/>
          </w:rPr>
          <w:t>3954</w:t>
        </w:r>
        <w:r w:rsidRPr="00525037">
          <w:rPr>
            <w:rStyle w:val="Hyperlink"/>
            <w:sz w:val="20"/>
            <w:lang w:val="fr-CA"/>
          </w:rPr>
          <w:t>2</w:t>
        </w:r>
      </w:hyperlink>
      <w:r w:rsidRPr="00525037">
        <w:rPr>
          <w:sz w:val="20"/>
          <w:lang w:val="fr-CA"/>
        </w:rPr>
        <w:t>)</w:t>
      </w:r>
    </w:p>
    <w:p w:rsidR="008A0BAE" w:rsidRPr="00525037" w:rsidRDefault="008A0BAE" w:rsidP="00086AEC">
      <w:pPr>
        <w:widowControl w:val="0"/>
        <w:autoSpaceDE w:val="0"/>
        <w:autoSpaceDN w:val="0"/>
        <w:adjustRightInd w:val="0"/>
        <w:ind w:left="357" w:hanging="357"/>
        <w:rPr>
          <w:sz w:val="20"/>
          <w:lang w:val="fr-CA"/>
        </w:rPr>
      </w:pPr>
    </w:p>
    <w:p w:rsidR="00A332E0" w:rsidRPr="00525037" w:rsidRDefault="00A332E0" w:rsidP="00086AEC">
      <w:pPr>
        <w:pStyle w:val="SCCLsocParty"/>
        <w:numPr>
          <w:ilvl w:val="0"/>
          <w:numId w:val="49"/>
        </w:numPr>
        <w:ind w:left="357" w:hanging="357"/>
        <w:jc w:val="left"/>
        <w:rPr>
          <w:i/>
          <w:sz w:val="20"/>
          <w:szCs w:val="20"/>
          <w:lang w:val="en-US"/>
        </w:rPr>
      </w:pPr>
      <w:r w:rsidRPr="00525037">
        <w:rPr>
          <w:i/>
          <w:sz w:val="20"/>
          <w:szCs w:val="20"/>
          <w:lang w:val="en-US"/>
        </w:rPr>
        <w:t>Canadian Association of Refugee Lawyers v. Minister of Citizenship and Immigration</w:t>
      </w:r>
      <w:r w:rsidRPr="00525037">
        <w:rPr>
          <w:sz w:val="20"/>
          <w:szCs w:val="20"/>
          <w:lang w:val="en-US"/>
        </w:rPr>
        <w:t xml:space="preserve"> (F.C.) (Civil) (By Leave) </w:t>
      </w:r>
      <w:r w:rsidRPr="00525037">
        <w:rPr>
          <w:sz w:val="20"/>
          <w:lang w:val="en-US"/>
        </w:rPr>
        <w:t>(</w:t>
      </w:r>
      <w:hyperlink r:id="rId9" w:history="1">
        <w:r w:rsidRPr="00525037">
          <w:rPr>
            <w:rStyle w:val="Hyperlink"/>
            <w:sz w:val="20"/>
            <w:szCs w:val="20"/>
            <w:lang w:val="en-US"/>
          </w:rPr>
          <w:t>39522</w:t>
        </w:r>
      </w:hyperlink>
      <w:r w:rsidRPr="00525037">
        <w:rPr>
          <w:sz w:val="20"/>
          <w:lang w:val="en-US"/>
        </w:rPr>
        <w:t>)</w:t>
      </w:r>
    </w:p>
    <w:p w:rsidR="00A332E0" w:rsidRPr="00525037" w:rsidRDefault="00A332E0" w:rsidP="00086AEC">
      <w:pPr>
        <w:ind w:left="357" w:hanging="357"/>
        <w:rPr>
          <w:sz w:val="20"/>
        </w:rPr>
      </w:pPr>
    </w:p>
    <w:p w:rsidR="00A332E0" w:rsidRPr="00525037" w:rsidRDefault="00A332E0" w:rsidP="00086AEC">
      <w:pPr>
        <w:pStyle w:val="SCCLsocParty"/>
        <w:numPr>
          <w:ilvl w:val="0"/>
          <w:numId w:val="49"/>
        </w:numPr>
        <w:ind w:left="357" w:hanging="357"/>
        <w:jc w:val="left"/>
        <w:rPr>
          <w:i/>
          <w:sz w:val="20"/>
          <w:szCs w:val="20"/>
        </w:rPr>
      </w:pPr>
      <w:r w:rsidRPr="00525037">
        <w:rPr>
          <w:i/>
          <w:sz w:val="20"/>
          <w:szCs w:val="20"/>
        </w:rPr>
        <w:t>Joseph Damgajian c. Ministre de la justice du Canada</w:t>
      </w:r>
      <w:r w:rsidRPr="00525037">
        <w:rPr>
          <w:sz w:val="20"/>
          <w:szCs w:val="20"/>
        </w:rPr>
        <w:t xml:space="preserve"> (Qc) (Criminelle) (Autorisation) </w:t>
      </w:r>
      <w:r w:rsidRPr="00525037">
        <w:rPr>
          <w:sz w:val="20"/>
        </w:rPr>
        <w:t>(</w:t>
      </w:r>
      <w:hyperlink r:id="rId10" w:history="1">
        <w:r w:rsidRPr="00525037">
          <w:rPr>
            <w:rStyle w:val="Hyperlink"/>
            <w:sz w:val="20"/>
            <w:szCs w:val="20"/>
          </w:rPr>
          <w:t>39557</w:t>
        </w:r>
      </w:hyperlink>
      <w:r w:rsidRPr="00525037">
        <w:rPr>
          <w:sz w:val="20"/>
        </w:rPr>
        <w:t>)</w:t>
      </w:r>
    </w:p>
    <w:p w:rsidR="008A0BAE" w:rsidRPr="00525037" w:rsidRDefault="008A0BAE" w:rsidP="00086AEC">
      <w:pPr>
        <w:widowControl w:val="0"/>
        <w:autoSpaceDE w:val="0"/>
        <w:autoSpaceDN w:val="0"/>
        <w:adjustRightInd w:val="0"/>
        <w:ind w:left="357" w:hanging="357"/>
        <w:rPr>
          <w:sz w:val="20"/>
          <w:lang w:val="fr-CA"/>
        </w:rPr>
      </w:pPr>
    </w:p>
    <w:p w:rsidR="00086AEC" w:rsidRPr="00525037" w:rsidRDefault="00086AEC" w:rsidP="00086AEC">
      <w:pPr>
        <w:pStyle w:val="ListParagraph"/>
        <w:numPr>
          <w:ilvl w:val="0"/>
          <w:numId w:val="49"/>
        </w:numPr>
        <w:ind w:left="357" w:hanging="357"/>
        <w:rPr>
          <w:i/>
          <w:sz w:val="20"/>
          <w:szCs w:val="20"/>
          <w:lang w:val="en-CA"/>
        </w:rPr>
      </w:pPr>
      <w:r w:rsidRPr="00525037">
        <w:rPr>
          <w:i/>
          <w:sz w:val="20"/>
          <w:szCs w:val="20"/>
        </w:rPr>
        <w:t xml:space="preserve">Minassian Family v. Postmedia Network Inc., </w:t>
      </w:r>
      <w:r w:rsidRPr="00525037">
        <w:rPr>
          <w:i/>
          <w:sz w:val="20"/>
        </w:rPr>
        <w:t>et al.</w:t>
      </w:r>
      <w:r w:rsidRPr="00525037">
        <w:rPr>
          <w:sz w:val="20"/>
          <w:szCs w:val="20"/>
        </w:rPr>
        <w:t xml:space="preserve"> (Ont.) (Civil) (By Leave) (</w:t>
      </w:r>
      <w:hyperlink r:id="rId11" w:history="1">
        <w:r w:rsidRPr="00AD2169">
          <w:rPr>
            <w:rStyle w:val="Hyperlink"/>
            <w:sz w:val="20"/>
            <w:szCs w:val="20"/>
          </w:rPr>
          <w:t>3</w:t>
        </w:r>
        <w:r w:rsidRPr="00AD2169">
          <w:rPr>
            <w:rStyle w:val="Hyperlink"/>
            <w:sz w:val="20"/>
          </w:rPr>
          <w:t>8866</w:t>
        </w:r>
      </w:hyperlink>
      <w:r w:rsidRPr="00525037">
        <w:rPr>
          <w:sz w:val="20"/>
          <w:szCs w:val="20"/>
        </w:rPr>
        <w:t>)</w:t>
      </w:r>
    </w:p>
    <w:p w:rsidR="00086AEC" w:rsidRPr="00525037" w:rsidRDefault="00086AEC" w:rsidP="00086AEC">
      <w:pPr>
        <w:widowControl w:val="0"/>
        <w:autoSpaceDE w:val="0"/>
        <w:autoSpaceDN w:val="0"/>
        <w:adjustRightInd w:val="0"/>
        <w:ind w:left="357" w:hanging="357"/>
        <w:rPr>
          <w:sz w:val="20"/>
        </w:rPr>
      </w:pPr>
    </w:p>
    <w:p w:rsidR="009228C5" w:rsidRPr="00525037" w:rsidRDefault="009228C5" w:rsidP="00086AEC">
      <w:pPr>
        <w:pStyle w:val="ListParagraph"/>
        <w:numPr>
          <w:ilvl w:val="0"/>
          <w:numId w:val="49"/>
        </w:numPr>
        <w:ind w:left="357" w:hanging="357"/>
        <w:rPr>
          <w:i/>
          <w:sz w:val="20"/>
          <w:lang w:val="en-CA"/>
        </w:rPr>
      </w:pPr>
      <w:r w:rsidRPr="00525037">
        <w:rPr>
          <w:i/>
          <w:sz w:val="20"/>
        </w:rPr>
        <w:t>Gavin McKenzie v. Her Majesty the Queen</w:t>
      </w:r>
      <w:r w:rsidRPr="00525037">
        <w:rPr>
          <w:sz w:val="20"/>
        </w:rPr>
        <w:t xml:space="preserve"> (Man.) (Criminal) (By Leave) (</w:t>
      </w:r>
      <w:hyperlink r:id="rId12" w:history="1">
        <w:r w:rsidRPr="00525037">
          <w:rPr>
            <w:rStyle w:val="Hyperlink"/>
            <w:sz w:val="20"/>
            <w:szCs w:val="20"/>
          </w:rPr>
          <w:t>39630</w:t>
        </w:r>
      </w:hyperlink>
      <w:r w:rsidRPr="00525037">
        <w:rPr>
          <w:sz w:val="20"/>
        </w:rPr>
        <w:t>)</w:t>
      </w:r>
    </w:p>
    <w:p w:rsidR="009228C5" w:rsidRPr="00525037" w:rsidRDefault="009228C5" w:rsidP="00086AEC">
      <w:pPr>
        <w:widowControl w:val="0"/>
        <w:autoSpaceDE w:val="0"/>
        <w:autoSpaceDN w:val="0"/>
        <w:adjustRightInd w:val="0"/>
        <w:ind w:left="357" w:hanging="357"/>
        <w:rPr>
          <w:sz w:val="20"/>
          <w:lang w:val="en-CA"/>
        </w:rPr>
      </w:pPr>
    </w:p>
    <w:p w:rsidR="009228C5" w:rsidRPr="00525037" w:rsidRDefault="009228C5" w:rsidP="00086AEC">
      <w:pPr>
        <w:pStyle w:val="ListParagraph"/>
        <w:numPr>
          <w:ilvl w:val="0"/>
          <w:numId w:val="49"/>
        </w:numPr>
        <w:ind w:left="357" w:hanging="357"/>
        <w:rPr>
          <w:i/>
          <w:sz w:val="20"/>
          <w:lang w:val="en-CA"/>
        </w:rPr>
      </w:pPr>
      <w:r w:rsidRPr="00525037">
        <w:rPr>
          <w:i/>
          <w:sz w:val="20"/>
        </w:rPr>
        <w:t>Fitter International Inc. v. Her Majesty the Queen in Right of British Columbia</w:t>
      </w:r>
      <w:r w:rsidRPr="00525037">
        <w:rPr>
          <w:sz w:val="20"/>
        </w:rPr>
        <w:t xml:space="preserve"> (Alta.) (Civil) (By Leave) (</w:t>
      </w:r>
      <w:hyperlink r:id="rId13" w:history="1">
        <w:r w:rsidRPr="00525037">
          <w:rPr>
            <w:rStyle w:val="Hyperlink"/>
            <w:sz w:val="20"/>
            <w:szCs w:val="20"/>
          </w:rPr>
          <w:t>39633</w:t>
        </w:r>
      </w:hyperlink>
      <w:r w:rsidRPr="00525037">
        <w:rPr>
          <w:sz w:val="20"/>
        </w:rPr>
        <w:t>)</w:t>
      </w:r>
    </w:p>
    <w:p w:rsidR="009228C5" w:rsidRPr="00525037" w:rsidRDefault="009228C5" w:rsidP="000E2E04">
      <w:pPr>
        <w:ind w:left="357" w:hanging="357"/>
        <w:contextualSpacing/>
        <w:rPr>
          <w:sz w:val="20"/>
        </w:rPr>
      </w:pPr>
    </w:p>
    <w:p w:rsidR="0057402C" w:rsidRPr="00525037" w:rsidRDefault="00C26088" w:rsidP="009B14F4">
      <w:pPr>
        <w:widowControl w:val="0"/>
        <w:jc w:val="both"/>
        <w:rPr>
          <w:sz w:val="20"/>
        </w:rPr>
      </w:pPr>
      <w:r>
        <w:rPr>
          <w:sz w:val="20"/>
        </w:rPr>
        <w:pict>
          <v:rect id="_x0000_i1026" style="width:2in;height:1pt" o:hrpct="0" o:hralign="center" o:hrstd="t" o:hrnoshade="t" o:hr="t" fillcolor="black [3213]" stroked="f"/>
        </w:pict>
      </w:r>
    </w:p>
    <w:p w:rsidR="00DF2FFE" w:rsidRPr="00525037" w:rsidRDefault="00DF2FFE" w:rsidP="006B097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19C2" w:rsidRPr="00525037" w:rsidTr="00E95A6A">
        <w:tc>
          <w:tcPr>
            <w:tcW w:w="543" w:type="pct"/>
          </w:tcPr>
          <w:p w:rsidR="00BB19C2" w:rsidRPr="00525037" w:rsidRDefault="00BB19C2" w:rsidP="00BB19C2">
            <w:pPr>
              <w:jc w:val="both"/>
              <w:rPr>
                <w:sz w:val="20"/>
                <w:lang w:val="en-CA"/>
              </w:rPr>
            </w:pPr>
            <w:r w:rsidRPr="00525037">
              <w:rPr>
                <w:rStyle w:val="SCCFileNumberChar"/>
                <w:sz w:val="20"/>
                <w:szCs w:val="20"/>
              </w:rPr>
              <w:t>39542</w:t>
            </w:r>
          </w:p>
        </w:tc>
        <w:tc>
          <w:tcPr>
            <w:tcW w:w="4457" w:type="pct"/>
            <w:gridSpan w:val="3"/>
          </w:tcPr>
          <w:p w:rsidR="00BB19C2" w:rsidRPr="00525037" w:rsidRDefault="00BB19C2" w:rsidP="00BB19C2">
            <w:pPr>
              <w:pStyle w:val="SCCLsocParty"/>
              <w:jc w:val="both"/>
              <w:rPr>
                <w:b/>
                <w:sz w:val="20"/>
                <w:szCs w:val="20"/>
                <w:lang w:val="en-CA"/>
              </w:rPr>
            </w:pPr>
            <w:r w:rsidRPr="00525037">
              <w:rPr>
                <w:b/>
                <w:sz w:val="20"/>
                <w:szCs w:val="20"/>
                <w:lang w:val="en-CA"/>
              </w:rPr>
              <w:t>F.L. v. C.G.</w:t>
            </w:r>
          </w:p>
          <w:p w:rsidR="00BB19C2" w:rsidRPr="00525037" w:rsidRDefault="00BB19C2" w:rsidP="00BB19C2">
            <w:pPr>
              <w:jc w:val="both"/>
              <w:rPr>
                <w:sz w:val="20"/>
                <w:lang w:val="en-CA"/>
              </w:rPr>
            </w:pPr>
            <w:r w:rsidRPr="00525037">
              <w:rPr>
                <w:sz w:val="20"/>
                <w:lang w:val="en-CA"/>
              </w:rPr>
              <w:t>(Que.) (Civil) (By Leave)</w:t>
            </w:r>
          </w:p>
        </w:tc>
      </w:tr>
      <w:tr w:rsidR="00BB19C2" w:rsidRPr="00525037" w:rsidTr="00E95A6A">
        <w:tc>
          <w:tcPr>
            <w:tcW w:w="5000" w:type="pct"/>
            <w:gridSpan w:val="4"/>
          </w:tcPr>
          <w:p w:rsidR="00BB19C2" w:rsidRPr="00525037" w:rsidRDefault="00BB19C2" w:rsidP="00BB19C2">
            <w:pPr>
              <w:pStyle w:val="SCCBanSummary"/>
              <w:rPr>
                <w:sz w:val="20"/>
                <w:szCs w:val="20"/>
              </w:rPr>
            </w:pPr>
            <w:r w:rsidRPr="00525037">
              <w:rPr>
                <w:sz w:val="20"/>
                <w:szCs w:val="20"/>
              </w:rPr>
              <w:t>(Publication Ban in Case) (Publication Ban on Party) (Certain information not available to the public)</w:t>
            </w:r>
          </w:p>
          <w:p w:rsidR="00BB19C2" w:rsidRPr="00525037" w:rsidRDefault="00BB19C2" w:rsidP="00BB19C2">
            <w:pPr>
              <w:jc w:val="both"/>
              <w:rPr>
                <w:sz w:val="20"/>
                <w:lang w:val="en-CA"/>
              </w:rPr>
            </w:pPr>
          </w:p>
        </w:tc>
      </w:tr>
      <w:tr w:rsidR="00BB19C2" w:rsidRPr="00525037" w:rsidTr="00E95A6A">
        <w:tc>
          <w:tcPr>
            <w:tcW w:w="5000" w:type="pct"/>
            <w:gridSpan w:val="4"/>
          </w:tcPr>
          <w:p w:rsidR="00BB19C2" w:rsidRPr="00525037" w:rsidRDefault="00BB19C2" w:rsidP="00BB19C2">
            <w:pPr>
              <w:tabs>
                <w:tab w:val="left" w:pos="902"/>
              </w:tabs>
              <w:jc w:val="both"/>
              <w:rPr>
                <w:sz w:val="20"/>
                <w:lang w:val="en-CA"/>
              </w:rPr>
            </w:pPr>
            <w:proofErr w:type="gramStart"/>
            <w:r w:rsidRPr="00525037">
              <w:rPr>
                <w:sz w:val="20"/>
                <w:lang w:val="en-CA"/>
              </w:rPr>
              <w:t>Family law —</w:t>
            </w:r>
            <w:r w:rsidRPr="00525037">
              <w:rPr>
                <w:iCs/>
                <w:color w:val="000000"/>
                <w:sz w:val="20"/>
                <w:shd w:val="clear" w:color="auto" w:fill="FFFFFF"/>
                <w:lang w:val="en-CA"/>
              </w:rPr>
              <w:t xml:space="preserve"> </w:t>
            </w:r>
            <w:r w:rsidRPr="00525037">
              <w:rPr>
                <w:i/>
                <w:iCs/>
                <w:sz w:val="20"/>
                <w:lang w:val="en-CA"/>
              </w:rPr>
              <w:t xml:space="preserve">De facto </w:t>
            </w:r>
            <w:r w:rsidRPr="00525037">
              <w:rPr>
                <w:sz w:val="20"/>
                <w:lang w:val="en-CA"/>
              </w:rPr>
              <w:t>spouses</w:t>
            </w:r>
            <w:r w:rsidRPr="00525037">
              <w:rPr>
                <w:iCs/>
                <w:color w:val="000000"/>
                <w:sz w:val="20"/>
                <w:shd w:val="clear" w:color="auto" w:fill="FFFFFF"/>
                <w:lang w:val="en-CA"/>
              </w:rPr>
              <w:t xml:space="preserve"> — Separation </w:t>
            </w:r>
            <w:r w:rsidRPr="00525037">
              <w:rPr>
                <w:sz w:val="20"/>
                <w:lang w:val="en-CA"/>
              </w:rPr>
              <w:t>— Unjust enrichment — Correlative impoverishment — Joint family venture — Family residence held in undivided co</w:t>
            </w:r>
            <w:r w:rsidRPr="00525037">
              <w:rPr>
                <w:sz w:val="20"/>
                <w:lang w:val="en-CA"/>
              </w:rPr>
              <w:noBreakHyphen/>
              <w:t>ownership — Whether concepts of “joint family venture” and “value survived” developed in common law in context of action for unjust enrichment can apply in context of action for unjust enrichment governed by Quebec civil law and, if so, in what manner — If concepts can apply, what criteria should be used to calculate indemnity to be paid to impoverished party under “value survived” approach —</w:t>
            </w:r>
            <w:r w:rsidRPr="00525037">
              <w:rPr>
                <w:i/>
                <w:sz w:val="20"/>
                <w:lang w:val="en-CA"/>
              </w:rPr>
              <w:t xml:space="preserve"> Civil Code of Québec</w:t>
            </w:r>
            <w:r w:rsidRPr="00525037">
              <w:rPr>
                <w:sz w:val="20"/>
                <w:lang w:val="en-CA"/>
              </w:rPr>
              <w:t>, CQLR, c. CCQ</w:t>
            </w:r>
            <w:r w:rsidRPr="00525037">
              <w:rPr>
                <w:sz w:val="20"/>
                <w:lang w:val="en-CA"/>
              </w:rPr>
              <w:noBreakHyphen/>
              <w:t>1991, art. </w:t>
            </w:r>
            <w:proofErr w:type="gramEnd"/>
            <w:r w:rsidRPr="00525037">
              <w:rPr>
                <w:sz w:val="20"/>
                <w:lang w:val="en-CA"/>
              </w:rPr>
              <w:t>1493.</w:t>
            </w:r>
          </w:p>
          <w:p w:rsidR="00BB19C2" w:rsidRPr="00525037" w:rsidRDefault="00BB19C2" w:rsidP="00BB19C2">
            <w:pPr>
              <w:tabs>
                <w:tab w:val="left" w:pos="902"/>
              </w:tabs>
              <w:jc w:val="both"/>
              <w:rPr>
                <w:sz w:val="20"/>
                <w:lang w:val="en-CA"/>
              </w:rPr>
            </w:pPr>
          </w:p>
        </w:tc>
      </w:tr>
      <w:tr w:rsidR="00BB19C2" w:rsidRPr="00525037" w:rsidTr="00E95A6A">
        <w:tc>
          <w:tcPr>
            <w:tcW w:w="5000" w:type="pct"/>
            <w:gridSpan w:val="4"/>
          </w:tcPr>
          <w:p w:rsidR="00BB19C2" w:rsidRPr="00525037" w:rsidRDefault="00BB19C2" w:rsidP="00BB19C2">
            <w:pPr>
              <w:jc w:val="both"/>
              <w:rPr>
                <w:color w:val="000000"/>
                <w:sz w:val="20"/>
                <w:lang w:val="en-CA"/>
              </w:rPr>
            </w:pPr>
            <w:r w:rsidRPr="00525037">
              <w:rPr>
                <w:sz w:val="20"/>
                <w:lang w:val="en-CA"/>
              </w:rPr>
              <w:lastRenderedPageBreak/>
              <w:t>The parties lived together for 16 years, acquired a family residence in undivided co</w:t>
            </w:r>
            <w:r w:rsidRPr="00525037">
              <w:rPr>
                <w:sz w:val="20"/>
                <w:lang w:val="en-CA"/>
              </w:rPr>
              <w:noBreakHyphen/>
              <w:t xml:space="preserve">ownership and had two children. During the </w:t>
            </w:r>
            <w:proofErr w:type="gramStart"/>
            <w:r w:rsidRPr="00525037">
              <w:rPr>
                <w:sz w:val="20"/>
                <w:lang w:val="en-CA"/>
              </w:rPr>
              <w:t>time</w:t>
            </w:r>
            <w:proofErr w:type="gramEnd"/>
            <w:r w:rsidRPr="00525037">
              <w:rPr>
                <w:sz w:val="20"/>
                <w:lang w:val="en-CA"/>
              </w:rPr>
              <w:t xml:space="preserve"> they lived together, F.L. left his job to start a business, through which he made his fortune a few years later. While F.L. dedicated himself to establishing that business, C.G. supported the family financially and devoted herself to taking care of the couple’s children and looking after the family residence. When the parties separated, C.G. claimed an indemnity from F.L. for unjust enrichment. The Superior Court found that F.L. </w:t>
            </w:r>
            <w:proofErr w:type="gramStart"/>
            <w:r w:rsidRPr="00525037">
              <w:rPr>
                <w:sz w:val="20"/>
                <w:lang w:val="en-CA"/>
              </w:rPr>
              <w:t>had been unjustly enriched and ordered him to pay an indemnity</w:t>
            </w:r>
            <w:proofErr w:type="gramEnd"/>
            <w:r w:rsidRPr="00525037">
              <w:rPr>
                <w:sz w:val="20"/>
                <w:lang w:val="en-CA"/>
              </w:rPr>
              <w:t xml:space="preserve">. It ordered him to transfer his undivided share of the family residence in partial payment of the indemnity and to pay a provision for costs. The Court of Appeal allowed F.L.’s appeal in part for the sole purpose of varying the order to transfer his undivided half. Instead, it granted C.G., with F.L.’s consent, a prior right to acquire F.L.’s undivided share at its appraised value, failing which the immovable was to </w:t>
            </w:r>
            <w:proofErr w:type="gramStart"/>
            <w:r w:rsidRPr="00525037">
              <w:rPr>
                <w:sz w:val="20"/>
                <w:lang w:val="en-CA"/>
              </w:rPr>
              <w:t>be sold</w:t>
            </w:r>
            <w:proofErr w:type="gramEnd"/>
            <w:r w:rsidRPr="00525037">
              <w:rPr>
                <w:color w:val="000000"/>
                <w:sz w:val="20"/>
                <w:lang w:val="en-CA"/>
              </w:rPr>
              <w:t>. </w:t>
            </w:r>
          </w:p>
          <w:p w:rsidR="00BB19C2" w:rsidRPr="00525037" w:rsidRDefault="00BB19C2" w:rsidP="00BB19C2">
            <w:pPr>
              <w:jc w:val="both"/>
              <w:rPr>
                <w:sz w:val="20"/>
                <w:lang w:val="en-CA"/>
              </w:rPr>
            </w:pPr>
          </w:p>
        </w:tc>
      </w:tr>
      <w:tr w:rsidR="00BB19C2" w:rsidRPr="00525037" w:rsidTr="00E95A6A">
        <w:tc>
          <w:tcPr>
            <w:tcW w:w="2427" w:type="pct"/>
            <w:gridSpan w:val="2"/>
          </w:tcPr>
          <w:p w:rsidR="00BB19C2" w:rsidRPr="00525037" w:rsidRDefault="00BB19C2" w:rsidP="00BB19C2">
            <w:pPr>
              <w:jc w:val="both"/>
              <w:rPr>
                <w:sz w:val="20"/>
                <w:lang w:val="en-CA"/>
              </w:rPr>
            </w:pPr>
            <w:r w:rsidRPr="00525037">
              <w:rPr>
                <w:sz w:val="20"/>
                <w:lang w:val="en-CA"/>
              </w:rPr>
              <w:t>October 9, 2018</w:t>
            </w:r>
          </w:p>
          <w:p w:rsidR="00BB19C2" w:rsidRPr="00525037" w:rsidRDefault="00BB19C2" w:rsidP="00BB19C2">
            <w:pPr>
              <w:jc w:val="both"/>
              <w:rPr>
                <w:sz w:val="20"/>
                <w:lang w:val="en-CA"/>
              </w:rPr>
            </w:pPr>
            <w:r w:rsidRPr="00525037">
              <w:rPr>
                <w:sz w:val="20"/>
                <w:lang w:val="en-CA"/>
              </w:rPr>
              <w:t>Quebec Superior Court</w:t>
            </w:r>
          </w:p>
          <w:p w:rsidR="00BB19C2" w:rsidRPr="00525037" w:rsidRDefault="00BB19C2" w:rsidP="00BB19C2">
            <w:pPr>
              <w:jc w:val="both"/>
              <w:rPr>
                <w:sz w:val="20"/>
                <w:lang w:val="en-CA"/>
              </w:rPr>
            </w:pPr>
            <w:r w:rsidRPr="00525037">
              <w:rPr>
                <w:sz w:val="20"/>
                <w:lang w:val="en-CA"/>
              </w:rPr>
              <w:t>(Mongeon J.)</w:t>
            </w:r>
          </w:p>
          <w:p w:rsidR="00BB19C2" w:rsidRPr="00525037" w:rsidRDefault="00BB19C2" w:rsidP="00BB19C2">
            <w:pPr>
              <w:jc w:val="both"/>
              <w:rPr>
                <w:sz w:val="20"/>
                <w:lang w:val="en-CA"/>
              </w:rPr>
            </w:pPr>
            <w:r w:rsidRPr="00525037">
              <w:rPr>
                <w:sz w:val="20"/>
                <w:lang w:val="en-CA"/>
              </w:rPr>
              <w:t>500</w:t>
            </w:r>
            <w:r w:rsidRPr="00525037">
              <w:rPr>
                <w:sz w:val="20"/>
                <w:lang w:val="en-CA"/>
              </w:rPr>
              <w:noBreakHyphen/>
              <w:t>04</w:t>
            </w:r>
            <w:r w:rsidRPr="00525037">
              <w:rPr>
                <w:sz w:val="20"/>
                <w:lang w:val="en-CA"/>
              </w:rPr>
              <w:noBreakHyphen/>
              <w:t>066225</w:t>
            </w:r>
            <w:r w:rsidRPr="00525037">
              <w:rPr>
                <w:sz w:val="20"/>
                <w:lang w:val="en-CA"/>
              </w:rPr>
              <w:noBreakHyphen/>
              <w:t>153</w:t>
            </w:r>
          </w:p>
          <w:p w:rsidR="00BB19C2" w:rsidRPr="00525037" w:rsidRDefault="00C26088" w:rsidP="00BB19C2">
            <w:pPr>
              <w:jc w:val="both"/>
              <w:rPr>
                <w:sz w:val="20"/>
                <w:lang w:val="en-CA"/>
              </w:rPr>
            </w:pPr>
            <w:hyperlink r:id="rId14" w:history="1">
              <w:r w:rsidR="00BB19C2" w:rsidRPr="00525037">
                <w:rPr>
                  <w:rStyle w:val="Hyperlink"/>
                  <w:sz w:val="20"/>
                  <w:lang w:val="en-CA"/>
                </w:rPr>
                <w:t>2018 QCCS 4195</w:t>
              </w:r>
            </w:hyperlink>
          </w:p>
          <w:p w:rsidR="00BB19C2" w:rsidRPr="00525037" w:rsidRDefault="00BB19C2" w:rsidP="00BB19C2">
            <w:pPr>
              <w:jc w:val="both"/>
              <w:rPr>
                <w:sz w:val="20"/>
                <w:lang w:val="en-CA"/>
              </w:rPr>
            </w:pPr>
          </w:p>
        </w:tc>
        <w:tc>
          <w:tcPr>
            <w:tcW w:w="243" w:type="pct"/>
          </w:tcPr>
          <w:p w:rsidR="00BB19C2" w:rsidRPr="00525037" w:rsidRDefault="00BB19C2" w:rsidP="00BB19C2">
            <w:pPr>
              <w:jc w:val="both"/>
              <w:rPr>
                <w:sz w:val="20"/>
                <w:lang w:val="en-CA"/>
              </w:rPr>
            </w:pPr>
          </w:p>
        </w:tc>
        <w:tc>
          <w:tcPr>
            <w:tcW w:w="2330" w:type="pct"/>
          </w:tcPr>
          <w:p w:rsidR="00BB19C2" w:rsidRPr="00525037" w:rsidRDefault="00BB19C2" w:rsidP="00BB19C2">
            <w:pPr>
              <w:jc w:val="both"/>
              <w:rPr>
                <w:sz w:val="20"/>
                <w:lang w:val="en-CA"/>
              </w:rPr>
            </w:pPr>
            <w:r w:rsidRPr="00525037">
              <w:rPr>
                <w:sz w:val="20"/>
                <w:lang w:val="en-CA"/>
              </w:rPr>
              <w:t xml:space="preserve">Application allowed and payment of indemnity for unjust enrichment ordered </w:t>
            </w:r>
          </w:p>
          <w:p w:rsidR="00BB19C2" w:rsidRPr="00525037" w:rsidRDefault="00BB19C2" w:rsidP="00BB19C2">
            <w:pPr>
              <w:jc w:val="both"/>
              <w:rPr>
                <w:sz w:val="20"/>
                <w:lang w:val="en-CA"/>
              </w:rPr>
            </w:pPr>
          </w:p>
        </w:tc>
      </w:tr>
      <w:tr w:rsidR="00BB19C2" w:rsidRPr="00525037" w:rsidTr="00E95A6A">
        <w:tc>
          <w:tcPr>
            <w:tcW w:w="2427" w:type="pct"/>
            <w:gridSpan w:val="2"/>
          </w:tcPr>
          <w:p w:rsidR="00BB19C2" w:rsidRPr="00525037" w:rsidRDefault="00BB19C2" w:rsidP="00BB19C2">
            <w:pPr>
              <w:jc w:val="both"/>
              <w:rPr>
                <w:sz w:val="20"/>
                <w:lang w:val="en-CA"/>
              </w:rPr>
            </w:pPr>
            <w:r w:rsidRPr="00525037">
              <w:rPr>
                <w:sz w:val="20"/>
                <w:lang w:val="en-CA"/>
              </w:rPr>
              <w:t>November 27, 2020</w:t>
            </w:r>
          </w:p>
          <w:p w:rsidR="00BB19C2" w:rsidRPr="00525037" w:rsidRDefault="00BB19C2" w:rsidP="00BB19C2">
            <w:pPr>
              <w:jc w:val="both"/>
              <w:rPr>
                <w:sz w:val="20"/>
                <w:lang w:val="en-CA"/>
              </w:rPr>
            </w:pPr>
            <w:r w:rsidRPr="00525037">
              <w:rPr>
                <w:sz w:val="20"/>
                <w:lang w:val="en-CA"/>
              </w:rPr>
              <w:t>Quebec Court of Appeal (Montréal)</w:t>
            </w:r>
          </w:p>
          <w:p w:rsidR="00BB19C2" w:rsidRPr="00525037" w:rsidRDefault="00BB19C2" w:rsidP="00BB19C2">
            <w:pPr>
              <w:jc w:val="both"/>
              <w:rPr>
                <w:sz w:val="20"/>
                <w:lang w:val="en-CA"/>
              </w:rPr>
            </w:pPr>
            <w:r w:rsidRPr="00525037">
              <w:rPr>
                <w:sz w:val="20"/>
                <w:lang w:val="en-CA"/>
              </w:rPr>
              <w:t xml:space="preserve">(Savard C.J. and Roy and </w:t>
            </w:r>
          </w:p>
          <w:p w:rsidR="00BB19C2" w:rsidRPr="00525037" w:rsidRDefault="00BB19C2" w:rsidP="00BB19C2">
            <w:pPr>
              <w:jc w:val="both"/>
              <w:rPr>
                <w:sz w:val="20"/>
                <w:lang w:val="en-CA"/>
              </w:rPr>
            </w:pPr>
            <w:r w:rsidRPr="00525037">
              <w:rPr>
                <w:sz w:val="20"/>
                <w:lang w:val="en-CA"/>
              </w:rPr>
              <w:t>Sansfaçon JJ.A.)</w:t>
            </w:r>
          </w:p>
          <w:p w:rsidR="00BB19C2" w:rsidRPr="00525037" w:rsidRDefault="00BB19C2" w:rsidP="00BB19C2">
            <w:pPr>
              <w:jc w:val="both"/>
              <w:rPr>
                <w:sz w:val="20"/>
                <w:lang w:val="en-CA"/>
              </w:rPr>
            </w:pPr>
            <w:r w:rsidRPr="00525037">
              <w:rPr>
                <w:sz w:val="20"/>
                <w:lang w:val="en-CA"/>
              </w:rPr>
              <w:t>500</w:t>
            </w:r>
            <w:r w:rsidRPr="00525037">
              <w:rPr>
                <w:sz w:val="20"/>
                <w:lang w:val="en-CA"/>
              </w:rPr>
              <w:noBreakHyphen/>
              <w:t>09</w:t>
            </w:r>
            <w:r w:rsidRPr="00525037">
              <w:rPr>
                <w:sz w:val="20"/>
                <w:lang w:val="en-CA"/>
              </w:rPr>
              <w:noBreakHyphen/>
              <w:t>027904</w:t>
            </w:r>
            <w:r w:rsidRPr="00525037">
              <w:rPr>
                <w:sz w:val="20"/>
                <w:lang w:val="en-CA"/>
              </w:rPr>
              <w:noBreakHyphen/>
              <w:t>184</w:t>
            </w:r>
          </w:p>
          <w:p w:rsidR="00BB19C2" w:rsidRPr="00525037" w:rsidRDefault="00C26088" w:rsidP="00BB19C2">
            <w:pPr>
              <w:jc w:val="both"/>
              <w:rPr>
                <w:sz w:val="20"/>
                <w:lang w:val="en-CA"/>
              </w:rPr>
            </w:pPr>
            <w:hyperlink r:id="rId15" w:history="1">
              <w:r w:rsidR="00BB19C2" w:rsidRPr="00525037">
                <w:rPr>
                  <w:rStyle w:val="Hyperlink"/>
                  <w:sz w:val="20"/>
                  <w:lang w:val="en-CA"/>
                </w:rPr>
                <w:t>2020 QCCA 1587</w:t>
              </w:r>
            </w:hyperlink>
          </w:p>
          <w:p w:rsidR="00BB19C2" w:rsidRPr="00525037" w:rsidRDefault="00BB19C2" w:rsidP="00BB19C2">
            <w:pPr>
              <w:jc w:val="both"/>
              <w:rPr>
                <w:sz w:val="20"/>
                <w:lang w:val="en-CA"/>
              </w:rPr>
            </w:pPr>
          </w:p>
        </w:tc>
        <w:tc>
          <w:tcPr>
            <w:tcW w:w="243" w:type="pct"/>
          </w:tcPr>
          <w:p w:rsidR="00BB19C2" w:rsidRPr="00525037" w:rsidRDefault="00BB19C2" w:rsidP="00BB19C2">
            <w:pPr>
              <w:jc w:val="both"/>
              <w:rPr>
                <w:sz w:val="20"/>
                <w:lang w:val="en-CA"/>
              </w:rPr>
            </w:pPr>
          </w:p>
        </w:tc>
        <w:tc>
          <w:tcPr>
            <w:tcW w:w="2330" w:type="pct"/>
          </w:tcPr>
          <w:p w:rsidR="00BB19C2" w:rsidRPr="00525037" w:rsidRDefault="00BB19C2" w:rsidP="00BB19C2">
            <w:pPr>
              <w:jc w:val="both"/>
              <w:rPr>
                <w:sz w:val="20"/>
                <w:lang w:val="en-CA"/>
              </w:rPr>
            </w:pPr>
            <w:r w:rsidRPr="00525037">
              <w:rPr>
                <w:sz w:val="20"/>
                <w:lang w:val="en-CA"/>
              </w:rPr>
              <w:t>Appeal allowed in part</w:t>
            </w:r>
          </w:p>
          <w:p w:rsidR="00BB19C2" w:rsidRPr="00525037" w:rsidRDefault="00BB19C2" w:rsidP="00BB19C2">
            <w:pPr>
              <w:jc w:val="both"/>
              <w:rPr>
                <w:sz w:val="20"/>
                <w:lang w:val="en-CA"/>
              </w:rPr>
            </w:pPr>
          </w:p>
        </w:tc>
      </w:tr>
      <w:tr w:rsidR="00BB19C2" w:rsidRPr="00525037" w:rsidTr="00E95A6A">
        <w:tc>
          <w:tcPr>
            <w:tcW w:w="2427" w:type="pct"/>
            <w:gridSpan w:val="2"/>
          </w:tcPr>
          <w:p w:rsidR="00BB19C2" w:rsidRPr="00525037" w:rsidRDefault="00BB19C2" w:rsidP="00BB19C2">
            <w:pPr>
              <w:jc w:val="both"/>
              <w:rPr>
                <w:sz w:val="20"/>
                <w:lang w:val="en-CA"/>
              </w:rPr>
            </w:pPr>
            <w:r w:rsidRPr="00525037">
              <w:rPr>
                <w:sz w:val="20"/>
                <w:lang w:val="en-CA"/>
              </w:rPr>
              <w:t>January 25, 2021</w:t>
            </w:r>
          </w:p>
          <w:p w:rsidR="00BB19C2" w:rsidRPr="00525037" w:rsidRDefault="00BB19C2" w:rsidP="00BB19C2">
            <w:pPr>
              <w:jc w:val="both"/>
              <w:rPr>
                <w:sz w:val="20"/>
                <w:lang w:val="en-CA"/>
              </w:rPr>
            </w:pPr>
            <w:r w:rsidRPr="00525037">
              <w:rPr>
                <w:sz w:val="20"/>
                <w:lang w:val="en-CA"/>
              </w:rPr>
              <w:t>Supreme Court of Canada</w:t>
            </w:r>
          </w:p>
        </w:tc>
        <w:tc>
          <w:tcPr>
            <w:tcW w:w="243" w:type="pct"/>
          </w:tcPr>
          <w:p w:rsidR="00BB19C2" w:rsidRPr="00525037" w:rsidRDefault="00BB19C2" w:rsidP="00BB19C2">
            <w:pPr>
              <w:jc w:val="both"/>
              <w:rPr>
                <w:sz w:val="20"/>
                <w:lang w:val="en-CA"/>
              </w:rPr>
            </w:pPr>
          </w:p>
        </w:tc>
        <w:tc>
          <w:tcPr>
            <w:tcW w:w="2330" w:type="pct"/>
          </w:tcPr>
          <w:p w:rsidR="00BB19C2" w:rsidRPr="00525037" w:rsidRDefault="00BB19C2" w:rsidP="00BB19C2">
            <w:pPr>
              <w:jc w:val="both"/>
              <w:rPr>
                <w:sz w:val="20"/>
                <w:lang w:val="en-CA"/>
              </w:rPr>
            </w:pPr>
            <w:r w:rsidRPr="00525037">
              <w:rPr>
                <w:sz w:val="20"/>
                <w:lang w:val="en-CA"/>
              </w:rPr>
              <w:t>Application for leave to appeal filed</w:t>
            </w:r>
          </w:p>
          <w:p w:rsidR="00BB19C2" w:rsidRPr="00525037" w:rsidRDefault="00BB19C2" w:rsidP="00BB19C2">
            <w:pPr>
              <w:jc w:val="both"/>
              <w:rPr>
                <w:sz w:val="20"/>
                <w:lang w:val="en-CA"/>
              </w:rPr>
            </w:pPr>
          </w:p>
        </w:tc>
      </w:tr>
    </w:tbl>
    <w:p w:rsidR="00BB19C2" w:rsidRPr="00525037" w:rsidRDefault="00BB19C2" w:rsidP="00BB19C2">
      <w:pPr>
        <w:jc w:val="both"/>
        <w:rPr>
          <w:sz w:val="20"/>
          <w:lang w:val="en-CA"/>
        </w:rPr>
      </w:pPr>
    </w:p>
    <w:p w:rsidR="00BB19C2" w:rsidRPr="00525037" w:rsidRDefault="00C26088" w:rsidP="00BB19C2">
      <w:pPr>
        <w:jc w:val="both"/>
        <w:rPr>
          <w:sz w:val="20"/>
          <w:lang w:val="en-CA"/>
        </w:rPr>
      </w:pPr>
      <w:r>
        <w:rPr>
          <w:sz w:val="20"/>
        </w:rPr>
        <w:pict>
          <v:rect id="_x0000_i1027" style="width:2in;height:1pt" o:hrpct="0" o:hralign="center" o:hrstd="t" o:hrnoshade="t" o:hr="t" fillcolor="black [3213]" stroked="f"/>
        </w:pict>
      </w:r>
    </w:p>
    <w:p w:rsidR="00BB19C2" w:rsidRPr="00525037" w:rsidRDefault="00BB19C2" w:rsidP="00BB19C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19C2" w:rsidRPr="00C26088" w:rsidTr="00E95A6A">
        <w:tc>
          <w:tcPr>
            <w:tcW w:w="543" w:type="pct"/>
          </w:tcPr>
          <w:p w:rsidR="00BB19C2" w:rsidRPr="00525037" w:rsidRDefault="00BB19C2" w:rsidP="00BB19C2">
            <w:pPr>
              <w:jc w:val="both"/>
              <w:rPr>
                <w:sz w:val="20"/>
              </w:rPr>
            </w:pPr>
            <w:r w:rsidRPr="00525037">
              <w:rPr>
                <w:rStyle w:val="SCCFileNumberChar"/>
                <w:sz w:val="20"/>
                <w:szCs w:val="20"/>
              </w:rPr>
              <w:t>39542</w:t>
            </w:r>
          </w:p>
        </w:tc>
        <w:tc>
          <w:tcPr>
            <w:tcW w:w="4457" w:type="pct"/>
            <w:gridSpan w:val="3"/>
          </w:tcPr>
          <w:p w:rsidR="00BB19C2" w:rsidRPr="00525037" w:rsidRDefault="00BB19C2" w:rsidP="00BB19C2">
            <w:pPr>
              <w:pStyle w:val="SCCLsocParty"/>
              <w:jc w:val="both"/>
              <w:rPr>
                <w:b/>
                <w:sz w:val="20"/>
                <w:szCs w:val="20"/>
              </w:rPr>
            </w:pPr>
            <w:r w:rsidRPr="00525037">
              <w:rPr>
                <w:b/>
                <w:sz w:val="20"/>
                <w:szCs w:val="20"/>
              </w:rPr>
              <w:t>F.L. c. C.G.</w:t>
            </w:r>
          </w:p>
          <w:p w:rsidR="00BB19C2" w:rsidRPr="00525037" w:rsidRDefault="00BB19C2" w:rsidP="00BB19C2">
            <w:pPr>
              <w:jc w:val="both"/>
              <w:rPr>
                <w:sz w:val="20"/>
                <w:lang w:val="fr-CA"/>
              </w:rPr>
            </w:pPr>
            <w:r w:rsidRPr="00525037">
              <w:rPr>
                <w:sz w:val="20"/>
                <w:lang w:val="fr-CA"/>
              </w:rPr>
              <w:t>(Qc) (Civile) (Autorisation)</w:t>
            </w:r>
          </w:p>
        </w:tc>
      </w:tr>
      <w:tr w:rsidR="00BB19C2" w:rsidRPr="00C26088" w:rsidTr="00E95A6A">
        <w:tc>
          <w:tcPr>
            <w:tcW w:w="5000" w:type="pct"/>
            <w:gridSpan w:val="4"/>
          </w:tcPr>
          <w:p w:rsidR="00BB19C2" w:rsidRPr="00525037" w:rsidRDefault="00BB19C2" w:rsidP="00BB19C2">
            <w:pPr>
              <w:pStyle w:val="SCCBanSummary"/>
              <w:rPr>
                <w:sz w:val="20"/>
                <w:szCs w:val="20"/>
                <w:lang w:val="fr-CA"/>
              </w:rPr>
            </w:pPr>
            <w:r w:rsidRPr="00525037">
              <w:rPr>
                <w:sz w:val="20"/>
                <w:szCs w:val="20"/>
                <w:lang w:val="fr-CA"/>
              </w:rPr>
              <w:t>(Ordonnance de non</w:t>
            </w:r>
            <w:r w:rsidRPr="00525037">
              <w:rPr>
                <w:sz w:val="20"/>
                <w:szCs w:val="20"/>
                <w:lang w:val="fr-CA"/>
              </w:rPr>
              <w:noBreakHyphen/>
              <w:t>publication dans le dossier) (Ordonnance de non</w:t>
            </w:r>
            <w:r w:rsidRPr="00525037">
              <w:rPr>
                <w:sz w:val="20"/>
                <w:szCs w:val="20"/>
                <w:lang w:val="fr-CA"/>
              </w:rPr>
              <w:noBreakHyphen/>
              <w:t>publication visant une partie) (Certaines informations non disponibles pour le public)</w:t>
            </w:r>
          </w:p>
          <w:p w:rsidR="00BB19C2" w:rsidRPr="00525037" w:rsidRDefault="00BB19C2" w:rsidP="00BB19C2">
            <w:pPr>
              <w:jc w:val="both"/>
              <w:rPr>
                <w:sz w:val="20"/>
                <w:lang w:val="fr-CA"/>
              </w:rPr>
            </w:pPr>
          </w:p>
        </w:tc>
      </w:tr>
      <w:tr w:rsidR="00BB19C2" w:rsidRPr="00C26088" w:rsidTr="00E95A6A">
        <w:tc>
          <w:tcPr>
            <w:tcW w:w="5000" w:type="pct"/>
            <w:gridSpan w:val="4"/>
          </w:tcPr>
          <w:p w:rsidR="00BB19C2" w:rsidRPr="00525037" w:rsidRDefault="00BB19C2" w:rsidP="00BB19C2">
            <w:pPr>
              <w:tabs>
                <w:tab w:val="left" w:pos="902"/>
              </w:tabs>
              <w:jc w:val="both"/>
              <w:rPr>
                <w:sz w:val="20"/>
                <w:lang w:val="fr-CA"/>
              </w:rPr>
            </w:pPr>
            <w:r w:rsidRPr="00525037">
              <w:rPr>
                <w:sz w:val="20"/>
                <w:lang w:val="fr-CA"/>
              </w:rPr>
              <w:t>Droit de la famille —</w:t>
            </w:r>
            <w:r w:rsidRPr="00525037">
              <w:rPr>
                <w:iCs/>
                <w:color w:val="000000"/>
                <w:sz w:val="20"/>
                <w:shd w:val="clear" w:color="auto" w:fill="FFFFFF"/>
                <w:lang w:val="fr-CA"/>
              </w:rPr>
              <w:t xml:space="preserve"> Conjoints de fait — Séparation </w:t>
            </w:r>
            <w:r w:rsidRPr="00525037">
              <w:rPr>
                <w:sz w:val="20"/>
                <w:lang w:val="fr-CA"/>
              </w:rPr>
              <w:t xml:space="preserve">— Enrichissement injustifié — Appauvrissement corrélatif — Coentreprise familiale — Résidence familiale détenue en copropriété indivise — Les notions de « coentreprise familiale » et de « valeur accumulée » développées en common law dans le cadre du recours pour </w:t>
            </w:r>
            <w:proofErr w:type="spellStart"/>
            <w:r w:rsidRPr="00525037">
              <w:rPr>
                <w:i/>
                <w:sz w:val="20"/>
                <w:lang w:val="fr-CA"/>
              </w:rPr>
              <w:t>unjust</w:t>
            </w:r>
            <w:proofErr w:type="spellEnd"/>
            <w:r w:rsidRPr="00525037">
              <w:rPr>
                <w:i/>
                <w:sz w:val="20"/>
                <w:lang w:val="fr-CA"/>
              </w:rPr>
              <w:t xml:space="preserve"> </w:t>
            </w:r>
            <w:proofErr w:type="spellStart"/>
            <w:r w:rsidRPr="00525037">
              <w:rPr>
                <w:i/>
                <w:sz w:val="20"/>
                <w:lang w:val="fr-CA"/>
              </w:rPr>
              <w:t>enrichment</w:t>
            </w:r>
            <w:proofErr w:type="spellEnd"/>
            <w:r w:rsidRPr="00525037">
              <w:rPr>
                <w:sz w:val="20"/>
                <w:lang w:val="fr-CA"/>
              </w:rPr>
              <w:t xml:space="preserve"> peuvent</w:t>
            </w:r>
            <w:r w:rsidRPr="00525037">
              <w:rPr>
                <w:sz w:val="20"/>
                <w:lang w:val="fr-CA"/>
              </w:rPr>
              <w:noBreakHyphen/>
              <w:t>elles s’appliquer dans le cadre d’un recours en enrichissement injustifié régi par le droit civil québécois et le cas échéant de quelle manière? — Dans l’affirmative, en vertu de quels critères devrait être calculée l’indemnité à être versée à la partie appauvrie en application de la méthode de la « valeur accumulée »? —</w:t>
            </w:r>
            <w:r w:rsidRPr="00525037">
              <w:rPr>
                <w:i/>
                <w:sz w:val="20"/>
                <w:lang w:val="fr-CA"/>
              </w:rPr>
              <w:t xml:space="preserve"> Code civil du Québec</w:t>
            </w:r>
            <w:r w:rsidRPr="00525037">
              <w:rPr>
                <w:sz w:val="20"/>
                <w:lang w:val="fr-CA"/>
              </w:rPr>
              <w:t>, RLRQ c CCQ</w:t>
            </w:r>
            <w:r w:rsidRPr="00525037">
              <w:rPr>
                <w:sz w:val="20"/>
                <w:lang w:val="fr-CA"/>
              </w:rPr>
              <w:noBreakHyphen/>
              <w:t>1991, art. 1493.</w:t>
            </w:r>
          </w:p>
          <w:p w:rsidR="00BB19C2" w:rsidRPr="00525037" w:rsidRDefault="00BB19C2" w:rsidP="00BB19C2">
            <w:pPr>
              <w:tabs>
                <w:tab w:val="left" w:pos="902"/>
              </w:tabs>
              <w:jc w:val="both"/>
              <w:rPr>
                <w:sz w:val="20"/>
                <w:lang w:val="fr-CA"/>
              </w:rPr>
            </w:pPr>
          </w:p>
        </w:tc>
      </w:tr>
      <w:tr w:rsidR="00BB19C2" w:rsidRPr="00C26088" w:rsidTr="00E95A6A">
        <w:tc>
          <w:tcPr>
            <w:tcW w:w="5000" w:type="pct"/>
            <w:gridSpan w:val="4"/>
          </w:tcPr>
          <w:p w:rsidR="00BB19C2" w:rsidRPr="00525037" w:rsidRDefault="00BB19C2" w:rsidP="00BB19C2">
            <w:pPr>
              <w:jc w:val="both"/>
              <w:rPr>
                <w:color w:val="000000"/>
                <w:sz w:val="20"/>
                <w:lang w:val="fr-CA"/>
              </w:rPr>
            </w:pPr>
            <w:r w:rsidRPr="00525037">
              <w:rPr>
                <w:sz w:val="20"/>
                <w:lang w:val="fr-CA"/>
              </w:rPr>
              <w:t xml:space="preserve">Les parties ont fait vie commune durant seize ans, ont acquis une résidence familiale en copropriété indivise et ont eu deux enfants. Durant la vie commune, monsieur quitte son emploi pour fonder une entreprise avec laquelle il fait fortune quelques années plus tard. Alors que monsieur se dédie à la création de cette entreprise, madame soutient financièrement la famille et se consacre aux soins aux enfants du couple ainsi qu’à l’entretien de la résidence familiale. Lorsque les parties se séparent, madame réclame une indemnité à monsieur pour enrichissement injustifié. La Cour supérieure conclut </w:t>
            </w:r>
            <w:r w:rsidRPr="00525037">
              <w:rPr>
                <w:color w:val="000000"/>
                <w:sz w:val="20"/>
                <w:lang w:val="fr-CA"/>
              </w:rPr>
              <w:t xml:space="preserve">à l’enrichissement injustifié de monsieur et lui ordonne de payer une indemnité. Elle lui ordonne de transférer sa part indivise de la résidence familiale paiement partiel de l’indemnité et de payer une provision pour frais. </w:t>
            </w:r>
            <w:r w:rsidRPr="00525037">
              <w:rPr>
                <w:sz w:val="20"/>
                <w:lang w:val="fr-CA"/>
              </w:rPr>
              <w:t xml:space="preserve">La Cour d’appel accueille en partie le pourvoi de monsieur, aux seules fins de modifier l’ordonnance du </w:t>
            </w:r>
            <w:r w:rsidRPr="00525037">
              <w:rPr>
                <w:color w:val="000000"/>
                <w:sz w:val="20"/>
                <w:lang w:val="fr-CA"/>
              </w:rPr>
              <w:t>transfert de sa moitié indivise, accordant plutôt à madame, avec le consentement de monsieur, un droit prioritaire d’acquérir sa part indivise selon l’évaluation, ou, à défaut, la vente de l’immeuble. </w:t>
            </w:r>
          </w:p>
          <w:p w:rsidR="00BB19C2" w:rsidRPr="00525037" w:rsidRDefault="00BB19C2" w:rsidP="00BB19C2">
            <w:pPr>
              <w:jc w:val="both"/>
              <w:rPr>
                <w:sz w:val="20"/>
                <w:lang w:val="fr-CA"/>
              </w:rPr>
            </w:pPr>
          </w:p>
        </w:tc>
      </w:tr>
      <w:tr w:rsidR="00BB19C2" w:rsidRPr="00C26088" w:rsidTr="00E95A6A">
        <w:tc>
          <w:tcPr>
            <w:tcW w:w="2427" w:type="pct"/>
            <w:gridSpan w:val="2"/>
          </w:tcPr>
          <w:p w:rsidR="00BB19C2" w:rsidRPr="00525037" w:rsidRDefault="00BB19C2" w:rsidP="00BB19C2">
            <w:pPr>
              <w:jc w:val="both"/>
              <w:rPr>
                <w:sz w:val="20"/>
                <w:lang w:val="fr-CA"/>
              </w:rPr>
            </w:pPr>
            <w:r w:rsidRPr="00525037">
              <w:rPr>
                <w:sz w:val="20"/>
                <w:lang w:val="fr-CA"/>
              </w:rPr>
              <w:t>Le 9 octobre 2018</w:t>
            </w:r>
          </w:p>
          <w:p w:rsidR="00BB19C2" w:rsidRPr="00525037" w:rsidRDefault="00BB19C2" w:rsidP="00BB19C2">
            <w:pPr>
              <w:jc w:val="both"/>
              <w:rPr>
                <w:sz w:val="20"/>
                <w:lang w:val="fr-CA"/>
              </w:rPr>
            </w:pPr>
            <w:r w:rsidRPr="00525037">
              <w:rPr>
                <w:sz w:val="20"/>
                <w:lang w:val="fr-CA"/>
              </w:rPr>
              <w:t>Cour supérieure du Québec</w:t>
            </w:r>
          </w:p>
          <w:p w:rsidR="00BB19C2" w:rsidRPr="00525037" w:rsidRDefault="00BB19C2" w:rsidP="00BB19C2">
            <w:pPr>
              <w:jc w:val="both"/>
              <w:rPr>
                <w:sz w:val="20"/>
              </w:rPr>
            </w:pPr>
            <w:r w:rsidRPr="00525037">
              <w:rPr>
                <w:sz w:val="20"/>
              </w:rPr>
              <w:t>(Le juge Mongeon)</w:t>
            </w:r>
          </w:p>
          <w:p w:rsidR="00BB19C2" w:rsidRPr="00525037" w:rsidRDefault="00BB19C2" w:rsidP="00BB19C2">
            <w:pPr>
              <w:jc w:val="both"/>
              <w:rPr>
                <w:sz w:val="20"/>
              </w:rPr>
            </w:pPr>
            <w:r w:rsidRPr="00525037">
              <w:rPr>
                <w:sz w:val="20"/>
              </w:rPr>
              <w:lastRenderedPageBreak/>
              <w:t>500</w:t>
            </w:r>
            <w:r w:rsidRPr="00525037">
              <w:rPr>
                <w:sz w:val="20"/>
              </w:rPr>
              <w:noBreakHyphen/>
              <w:t>04</w:t>
            </w:r>
            <w:r w:rsidRPr="00525037">
              <w:rPr>
                <w:sz w:val="20"/>
              </w:rPr>
              <w:noBreakHyphen/>
              <w:t>066225</w:t>
            </w:r>
            <w:r w:rsidRPr="00525037">
              <w:rPr>
                <w:sz w:val="20"/>
              </w:rPr>
              <w:noBreakHyphen/>
              <w:t>153</w:t>
            </w:r>
          </w:p>
          <w:p w:rsidR="00BB19C2" w:rsidRPr="00525037" w:rsidRDefault="00C26088" w:rsidP="00BB19C2">
            <w:pPr>
              <w:jc w:val="both"/>
              <w:rPr>
                <w:sz w:val="20"/>
              </w:rPr>
            </w:pPr>
            <w:hyperlink r:id="rId16" w:history="1">
              <w:r w:rsidR="00BB19C2" w:rsidRPr="00525037">
                <w:rPr>
                  <w:rStyle w:val="Hyperlink"/>
                  <w:sz w:val="20"/>
                </w:rPr>
                <w:t>2018 QCCS 4195</w:t>
              </w:r>
            </w:hyperlink>
          </w:p>
          <w:p w:rsidR="00BB19C2" w:rsidRPr="00525037" w:rsidRDefault="00BB19C2" w:rsidP="00BB19C2">
            <w:pPr>
              <w:jc w:val="both"/>
              <w:rPr>
                <w:sz w:val="20"/>
              </w:rPr>
            </w:pPr>
          </w:p>
        </w:tc>
        <w:tc>
          <w:tcPr>
            <w:tcW w:w="243" w:type="pct"/>
          </w:tcPr>
          <w:p w:rsidR="00BB19C2" w:rsidRPr="00525037" w:rsidRDefault="00BB19C2" w:rsidP="00BB19C2">
            <w:pPr>
              <w:jc w:val="both"/>
              <w:rPr>
                <w:sz w:val="20"/>
              </w:rPr>
            </w:pPr>
          </w:p>
        </w:tc>
        <w:tc>
          <w:tcPr>
            <w:tcW w:w="2330" w:type="pct"/>
          </w:tcPr>
          <w:p w:rsidR="00BB19C2" w:rsidRPr="00525037" w:rsidRDefault="00BB19C2" w:rsidP="00BB19C2">
            <w:pPr>
              <w:jc w:val="both"/>
              <w:rPr>
                <w:sz w:val="20"/>
                <w:lang w:val="fr-CA"/>
              </w:rPr>
            </w:pPr>
            <w:r w:rsidRPr="00525037">
              <w:rPr>
                <w:sz w:val="20"/>
                <w:lang w:val="fr-CA"/>
              </w:rPr>
              <w:t xml:space="preserve">Demande accueillie, paiement d’une indemnité pour enrichissement injustifié ordonnée. </w:t>
            </w:r>
          </w:p>
          <w:p w:rsidR="00BB19C2" w:rsidRPr="00525037" w:rsidRDefault="00BB19C2" w:rsidP="00BB19C2">
            <w:pPr>
              <w:jc w:val="both"/>
              <w:rPr>
                <w:sz w:val="20"/>
                <w:lang w:val="fr-CA"/>
              </w:rPr>
            </w:pPr>
          </w:p>
        </w:tc>
      </w:tr>
      <w:tr w:rsidR="00BB19C2" w:rsidRPr="00525037" w:rsidTr="00E95A6A">
        <w:tc>
          <w:tcPr>
            <w:tcW w:w="2427" w:type="pct"/>
            <w:gridSpan w:val="2"/>
          </w:tcPr>
          <w:p w:rsidR="00BB19C2" w:rsidRPr="00525037" w:rsidRDefault="00BB19C2" w:rsidP="00BB19C2">
            <w:pPr>
              <w:jc w:val="both"/>
              <w:rPr>
                <w:sz w:val="20"/>
                <w:lang w:val="fr-CA"/>
              </w:rPr>
            </w:pPr>
            <w:r w:rsidRPr="00525037">
              <w:rPr>
                <w:sz w:val="20"/>
                <w:lang w:val="fr-CA"/>
              </w:rPr>
              <w:t>Le 27 novembre 2020</w:t>
            </w:r>
          </w:p>
          <w:p w:rsidR="00BB19C2" w:rsidRPr="00525037" w:rsidRDefault="00BB19C2" w:rsidP="00BB19C2">
            <w:pPr>
              <w:jc w:val="both"/>
              <w:rPr>
                <w:sz w:val="20"/>
                <w:lang w:val="fr-CA"/>
              </w:rPr>
            </w:pPr>
            <w:r w:rsidRPr="00525037">
              <w:rPr>
                <w:sz w:val="20"/>
                <w:lang w:val="fr-CA"/>
              </w:rPr>
              <w:t>Cour d’appel du Québec (Montréal)</w:t>
            </w:r>
          </w:p>
          <w:p w:rsidR="00BB19C2" w:rsidRPr="00525037" w:rsidRDefault="00BB19C2" w:rsidP="00BB19C2">
            <w:pPr>
              <w:jc w:val="both"/>
              <w:rPr>
                <w:sz w:val="20"/>
                <w:lang w:val="fr-CA"/>
              </w:rPr>
            </w:pPr>
            <w:r w:rsidRPr="00525037">
              <w:rPr>
                <w:sz w:val="20"/>
                <w:lang w:val="fr-CA"/>
              </w:rPr>
              <w:t xml:space="preserve">(La juge en chef Savard, les juges Roy et </w:t>
            </w:r>
          </w:p>
          <w:p w:rsidR="00BB19C2" w:rsidRPr="00525037" w:rsidRDefault="00BB19C2" w:rsidP="00BB19C2">
            <w:pPr>
              <w:jc w:val="both"/>
              <w:rPr>
                <w:sz w:val="20"/>
              </w:rPr>
            </w:pPr>
            <w:r w:rsidRPr="00525037">
              <w:rPr>
                <w:sz w:val="20"/>
              </w:rPr>
              <w:t>Sansfaçon)</w:t>
            </w:r>
          </w:p>
          <w:p w:rsidR="00BB19C2" w:rsidRPr="00525037" w:rsidRDefault="00BB19C2" w:rsidP="00BB19C2">
            <w:pPr>
              <w:jc w:val="both"/>
              <w:rPr>
                <w:sz w:val="20"/>
              </w:rPr>
            </w:pPr>
            <w:r w:rsidRPr="00525037">
              <w:rPr>
                <w:sz w:val="20"/>
              </w:rPr>
              <w:t>500</w:t>
            </w:r>
            <w:r w:rsidRPr="00525037">
              <w:rPr>
                <w:sz w:val="20"/>
              </w:rPr>
              <w:noBreakHyphen/>
              <w:t>09</w:t>
            </w:r>
            <w:r w:rsidRPr="00525037">
              <w:rPr>
                <w:sz w:val="20"/>
              </w:rPr>
              <w:noBreakHyphen/>
              <w:t>027904</w:t>
            </w:r>
            <w:r w:rsidRPr="00525037">
              <w:rPr>
                <w:sz w:val="20"/>
              </w:rPr>
              <w:noBreakHyphen/>
              <w:t>184</w:t>
            </w:r>
          </w:p>
          <w:p w:rsidR="00BB19C2" w:rsidRPr="00525037" w:rsidRDefault="00C26088" w:rsidP="00BB19C2">
            <w:pPr>
              <w:jc w:val="both"/>
              <w:rPr>
                <w:sz w:val="20"/>
              </w:rPr>
            </w:pPr>
            <w:hyperlink r:id="rId17" w:history="1">
              <w:r w:rsidR="00BB19C2" w:rsidRPr="00525037">
                <w:rPr>
                  <w:rStyle w:val="Hyperlink"/>
                  <w:sz w:val="20"/>
                </w:rPr>
                <w:t>2020 QCCA 1587</w:t>
              </w:r>
            </w:hyperlink>
          </w:p>
          <w:p w:rsidR="00BB19C2" w:rsidRPr="00525037" w:rsidRDefault="00BB19C2" w:rsidP="00BB19C2">
            <w:pPr>
              <w:jc w:val="both"/>
              <w:rPr>
                <w:sz w:val="20"/>
              </w:rPr>
            </w:pPr>
          </w:p>
        </w:tc>
        <w:tc>
          <w:tcPr>
            <w:tcW w:w="243" w:type="pct"/>
          </w:tcPr>
          <w:p w:rsidR="00BB19C2" w:rsidRPr="00525037" w:rsidRDefault="00BB19C2" w:rsidP="00BB19C2">
            <w:pPr>
              <w:jc w:val="both"/>
              <w:rPr>
                <w:sz w:val="20"/>
              </w:rPr>
            </w:pPr>
          </w:p>
        </w:tc>
        <w:tc>
          <w:tcPr>
            <w:tcW w:w="2330" w:type="pct"/>
          </w:tcPr>
          <w:p w:rsidR="00BB19C2" w:rsidRPr="00525037" w:rsidRDefault="00BB19C2" w:rsidP="00BB19C2">
            <w:pPr>
              <w:jc w:val="both"/>
              <w:rPr>
                <w:sz w:val="20"/>
              </w:rPr>
            </w:pPr>
            <w:r w:rsidRPr="00525037">
              <w:rPr>
                <w:sz w:val="20"/>
              </w:rPr>
              <w:t>Appel accueilli en partie.</w:t>
            </w:r>
          </w:p>
          <w:p w:rsidR="00BB19C2" w:rsidRPr="00525037" w:rsidRDefault="00BB19C2" w:rsidP="00BB19C2">
            <w:pPr>
              <w:jc w:val="both"/>
              <w:rPr>
                <w:sz w:val="20"/>
              </w:rPr>
            </w:pPr>
          </w:p>
        </w:tc>
      </w:tr>
      <w:tr w:rsidR="00BB19C2" w:rsidRPr="00525037" w:rsidTr="00E95A6A">
        <w:tc>
          <w:tcPr>
            <w:tcW w:w="2427" w:type="pct"/>
            <w:gridSpan w:val="2"/>
          </w:tcPr>
          <w:p w:rsidR="00BB19C2" w:rsidRPr="00525037" w:rsidRDefault="00BB19C2" w:rsidP="00BB19C2">
            <w:pPr>
              <w:jc w:val="both"/>
              <w:rPr>
                <w:sz w:val="20"/>
                <w:lang w:val="fr-CA"/>
              </w:rPr>
            </w:pPr>
            <w:r w:rsidRPr="00525037">
              <w:rPr>
                <w:sz w:val="20"/>
                <w:lang w:val="fr-CA"/>
              </w:rPr>
              <w:t>Le 25 janvier 2021</w:t>
            </w:r>
          </w:p>
          <w:p w:rsidR="00BB19C2" w:rsidRPr="00525037" w:rsidRDefault="00BB19C2" w:rsidP="00BB19C2">
            <w:pPr>
              <w:jc w:val="both"/>
              <w:rPr>
                <w:sz w:val="20"/>
                <w:lang w:val="fr-CA"/>
              </w:rPr>
            </w:pPr>
            <w:r w:rsidRPr="00525037">
              <w:rPr>
                <w:sz w:val="20"/>
                <w:lang w:val="fr-CA"/>
              </w:rPr>
              <w:t>Cour suprême du Canada</w:t>
            </w:r>
          </w:p>
        </w:tc>
        <w:tc>
          <w:tcPr>
            <w:tcW w:w="243" w:type="pct"/>
          </w:tcPr>
          <w:p w:rsidR="00BB19C2" w:rsidRPr="00525037" w:rsidRDefault="00BB19C2" w:rsidP="00BB19C2">
            <w:pPr>
              <w:jc w:val="both"/>
              <w:rPr>
                <w:sz w:val="20"/>
                <w:lang w:val="fr-CA"/>
              </w:rPr>
            </w:pPr>
          </w:p>
        </w:tc>
        <w:tc>
          <w:tcPr>
            <w:tcW w:w="2330" w:type="pct"/>
          </w:tcPr>
          <w:p w:rsidR="00BB19C2" w:rsidRPr="00525037" w:rsidRDefault="00BB19C2" w:rsidP="00BB19C2">
            <w:pPr>
              <w:jc w:val="both"/>
              <w:rPr>
                <w:sz w:val="20"/>
              </w:rPr>
            </w:pPr>
            <w:r w:rsidRPr="00525037">
              <w:rPr>
                <w:sz w:val="20"/>
              </w:rPr>
              <w:t>Demande d’autorisation d’appel déposée.</w:t>
            </w:r>
          </w:p>
          <w:p w:rsidR="00BB19C2" w:rsidRPr="00525037" w:rsidRDefault="00BB19C2" w:rsidP="00BB19C2">
            <w:pPr>
              <w:jc w:val="both"/>
              <w:rPr>
                <w:sz w:val="20"/>
              </w:rPr>
            </w:pPr>
          </w:p>
        </w:tc>
      </w:tr>
    </w:tbl>
    <w:p w:rsidR="00BB19C2" w:rsidRPr="00525037" w:rsidRDefault="00BB19C2" w:rsidP="00BB19C2">
      <w:pPr>
        <w:jc w:val="both"/>
        <w:rPr>
          <w:sz w:val="20"/>
        </w:rPr>
      </w:pPr>
    </w:p>
    <w:p w:rsidR="00DF2FFE" w:rsidRPr="00525037" w:rsidRDefault="00C26088" w:rsidP="00BB19C2">
      <w:pPr>
        <w:widowControl w:val="0"/>
        <w:jc w:val="both"/>
        <w:rPr>
          <w:sz w:val="20"/>
        </w:rPr>
      </w:pPr>
      <w:r>
        <w:rPr>
          <w:sz w:val="20"/>
        </w:rPr>
        <w:pict>
          <v:rect id="_x0000_i1028" style="width:2in;height:1pt" o:hrpct="0" o:hralign="center" o:hrstd="t" o:hrnoshade="t" o:hr="t" fillcolor="black [3213]" stroked="f"/>
        </w:pict>
      </w:r>
    </w:p>
    <w:p w:rsidR="00DF2FFE" w:rsidRPr="00525037" w:rsidRDefault="00DF2FFE" w:rsidP="00BB19C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332E0" w:rsidRPr="00525037" w:rsidTr="00E95A6A">
        <w:tc>
          <w:tcPr>
            <w:tcW w:w="543" w:type="pct"/>
          </w:tcPr>
          <w:p w:rsidR="00A332E0" w:rsidRPr="00525037" w:rsidRDefault="00A332E0" w:rsidP="00A332E0">
            <w:pPr>
              <w:jc w:val="both"/>
              <w:rPr>
                <w:sz w:val="20"/>
              </w:rPr>
            </w:pPr>
            <w:r w:rsidRPr="00525037">
              <w:rPr>
                <w:rStyle w:val="SCCFileNumberChar"/>
                <w:sz w:val="20"/>
                <w:szCs w:val="20"/>
              </w:rPr>
              <w:t>39522</w:t>
            </w:r>
          </w:p>
        </w:tc>
        <w:tc>
          <w:tcPr>
            <w:tcW w:w="4457" w:type="pct"/>
            <w:gridSpan w:val="3"/>
          </w:tcPr>
          <w:p w:rsidR="00A332E0" w:rsidRPr="00525037" w:rsidRDefault="00A332E0" w:rsidP="00A332E0">
            <w:pPr>
              <w:jc w:val="both"/>
              <w:rPr>
                <w:b/>
                <w:sz w:val="20"/>
              </w:rPr>
            </w:pPr>
            <w:r w:rsidRPr="00525037">
              <w:rPr>
                <w:b/>
                <w:sz w:val="20"/>
              </w:rPr>
              <w:t>Canadian Association of Refugee Lawyers v. Minister of Citizenship and Immigration</w:t>
            </w:r>
          </w:p>
          <w:p w:rsidR="00A332E0" w:rsidRPr="00525037" w:rsidRDefault="00A332E0" w:rsidP="00A332E0">
            <w:pPr>
              <w:jc w:val="both"/>
              <w:rPr>
                <w:sz w:val="20"/>
              </w:rPr>
            </w:pPr>
            <w:r w:rsidRPr="00525037">
              <w:rPr>
                <w:sz w:val="20"/>
              </w:rPr>
              <w:t>(F.C.) (Civil) (By Leave)</w:t>
            </w:r>
          </w:p>
        </w:tc>
      </w:tr>
      <w:tr w:rsidR="00A332E0" w:rsidRPr="00525037" w:rsidTr="00E95A6A">
        <w:tc>
          <w:tcPr>
            <w:tcW w:w="5000" w:type="pct"/>
            <w:gridSpan w:val="4"/>
          </w:tcPr>
          <w:p w:rsidR="00A332E0" w:rsidRPr="00525037" w:rsidRDefault="00A332E0" w:rsidP="00A332E0">
            <w:pPr>
              <w:jc w:val="both"/>
              <w:rPr>
                <w:sz w:val="20"/>
              </w:rPr>
            </w:pPr>
            <w:r w:rsidRPr="00525037">
              <w:rPr>
                <w:sz w:val="20"/>
              </w:rPr>
              <w:t xml:space="preserve">Administrative law — Judicial review — Boards and tribunals — Immigration and Refugee Board — Statutory provision allowing Chairperson to identify decisions of the Immigration and Refugee Board as jurisprudential guides to assist members in carrying out their duties —Chairperson issuing jurisprudential guides that included factual determinations and a statement of expectation that members apply them in cases with similar facts or provide reasoned justifications for not doing so — Group of lawyers challenging Chairperson’s authority to issue jurisprudential guides that include factual determinations — Whether the common law principles of natural justice permit a tribunal’s administration to issue substantive guidelines that instruct individual adjudicators on findings of fact, absent a clear statutory mandate — Whether the Federal Court of Appeal misapplied the reasonableness standard set out in </w:t>
            </w:r>
            <w:r w:rsidRPr="00525037">
              <w:rPr>
                <w:i/>
                <w:sz w:val="20"/>
              </w:rPr>
              <w:t>Canada (Minister of Citizenship and Immigration) v. Vavilov</w:t>
            </w:r>
            <w:r w:rsidRPr="00525037">
              <w:rPr>
                <w:sz w:val="20"/>
              </w:rPr>
              <w:t xml:space="preserve">, 2019 SCC 65, by imputing its own reasons to the Chairperson with a view to justifying the outcome he reached, and by failing to take into account the Chairperson’s unjustified departure from the longstanding practice and policy on the interpretation of the provision allowing the Chairperson to identify decisions of the Board as jurisprudential guides — </w:t>
            </w:r>
            <w:r w:rsidRPr="00525037">
              <w:rPr>
                <w:i/>
                <w:sz w:val="20"/>
              </w:rPr>
              <w:t>Immigration and Refugee Protection Act</w:t>
            </w:r>
            <w:r w:rsidRPr="00525037">
              <w:rPr>
                <w:sz w:val="20"/>
              </w:rPr>
              <w:t>, S.C. 2001, c. 27, s. 159(1)(h).</w:t>
            </w:r>
          </w:p>
        </w:tc>
      </w:tr>
      <w:tr w:rsidR="00A332E0" w:rsidRPr="00525037" w:rsidTr="00E95A6A">
        <w:tc>
          <w:tcPr>
            <w:tcW w:w="5000" w:type="pct"/>
            <w:gridSpan w:val="4"/>
          </w:tcPr>
          <w:p w:rsidR="00A332E0" w:rsidRPr="00525037" w:rsidRDefault="00A332E0" w:rsidP="00A332E0">
            <w:pPr>
              <w:jc w:val="both"/>
              <w:rPr>
                <w:sz w:val="20"/>
              </w:rPr>
            </w:pPr>
          </w:p>
        </w:tc>
      </w:tr>
      <w:tr w:rsidR="00A332E0" w:rsidRPr="00525037" w:rsidTr="00E95A6A">
        <w:tc>
          <w:tcPr>
            <w:tcW w:w="5000" w:type="pct"/>
            <w:gridSpan w:val="4"/>
          </w:tcPr>
          <w:p w:rsidR="00A332E0" w:rsidRPr="00525037" w:rsidRDefault="00A332E0" w:rsidP="00A332E0">
            <w:pPr>
              <w:jc w:val="both"/>
              <w:rPr>
                <w:sz w:val="20"/>
              </w:rPr>
            </w:pPr>
            <w:r w:rsidRPr="00525037">
              <w:rPr>
                <w:sz w:val="20"/>
              </w:rPr>
              <w:t>The applicant, Canadian Association of Refugee Lawyers (“CARL”) applied for judicial review of decisions by the Chairperson of the Immigration and Refugee Board (“Board”) to identify four decisions of the Board’s Refugee Appeal Division as jurisprudential guides, where those decisions included factual determinations. The Federal Court dismissed CARL’s applications in relation to that issue. Applying the standard of reasonableness, it found that it was not unreasonable for the Chairperson to have implicitly interpreted s. 159(1</w:t>
            </w:r>
            <w:proofErr w:type="gramStart"/>
            <w:r w:rsidRPr="00525037">
              <w:rPr>
                <w:sz w:val="20"/>
              </w:rPr>
              <w:t>)(</w:t>
            </w:r>
            <w:proofErr w:type="gramEnd"/>
            <w:r w:rsidRPr="00525037">
              <w:rPr>
                <w:sz w:val="20"/>
              </w:rPr>
              <w:t xml:space="preserve">h) of the </w:t>
            </w:r>
            <w:r w:rsidRPr="00525037">
              <w:rPr>
                <w:i/>
                <w:sz w:val="20"/>
              </w:rPr>
              <w:t>Immigration and Refugee Protection Act</w:t>
            </w:r>
            <w:r w:rsidRPr="00525037">
              <w:rPr>
                <w:sz w:val="20"/>
              </w:rPr>
              <w:t>, S.C. 2001, c. 27 (“IRPA”) as conferring upon him the authority to issue jurisprudential guides that include factual determinations. The Federal Court of Appeal dismissed CARL’s appeal, agreeing with the Federal Court that the Chairperson’s interpretation of s. 159(1</w:t>
            </w:r>
            <w:proofErr w:type="gramStart"/>
            <w:r w:rsidRPr="00525037">
              <w:rPr>
                <w:sz w:val="20"/>
              </w:rPr>
              <w:t>)(</w:t>
            </w:r>
            <w:proofErr w:type="gramEnd"/>
            <w:r w:rsidRPr="00525037">
              <w:rPr>
                <w:sz w:val="20"/>
              </w:rPr>
              <w:t xml:space="preserve">h) of the IRPA was reasonable. </w:t>
            </w:r>
          </w:p>
          <w:p w:rsidR="00A332E0" w:rsidRPr="00525037" w:rsidRDefault="00A332E0" w:rsidP="00A332E0">
            <w:pPr>
              <w:jc w:val="both"/>
              <w:rPr>
                <w:sz w:val="20"/>
              </w:rPr>
            </w:pPr>
          </w:p>
        </w:tc>
      </w:tr>
      <w:tr w:rsidR="00A332E0" w:rsidRPr="00525037" w:rsidTr="00E95A6A">
        <w:tc>
          <w:tcPr>
            <w:tcW w:w="2427" w:type="pct"/>
            <w:gridSpan w:val="2"/>
          </w:tcPr>
          <w:p w:rsidR="00A332E0" w:rsidRPr="00525037" w:rsidRDefault="00A332E0" w:rsidP="00A332E0">
            <w:pPr>
              <w:jc w:val="both"/>
              <w:rPr>
                <w:sz w:val="20"/>
              </w:rPr>
            </w:pPr>
            <w:r w:rsidRPr="00525037">
              <w:rPr>
                <w:sz w:val="20"/>
              </w:rPr>
              <w:t>September 4, 2019</w:t>
            </w:r>
          </w:p>
          <w:p w:rsidR="00A332E0" w:rsidRPr="00525037" w:rsidRDefault="00A332E0" w:rsidP="00A332E0">
            <w:pPr>
              <w:jc w:val="both"/>
              <w:rPr>
                <w:sz w:val="20"/>
              </w:rPr>
            </w:pPr>
            <w:r w:rsidRPr="00525037">
              <w:rPr>
                <w:sz w:val="20"/>
              </w:rPr>
              <w:t>Federal Court</w:t>
            </w:r>
          </w:p>
          <w:p w:rsidR="00A332E0" w:rsidRPr="00525037" w:rsidRDefault="00A332E0" w:rsidP="00A332E0">
            <w:pPr>
              <w:jc w:val="both"/>
              <w:rPr>
                <w:sz w:val="20"/>
              </w:rPr>
            </w:pPr>
            <w:r w:rsidRPr="00525037">
              <w:rPr>
                <w:sz w:val="20"/>
              </w:rPr>
              <w:t>(Crampton C.J.)</w:t>
            </w:r>
          </w:p>
          <w:p w:rsidR="00A332E0" w:rsidRPr="00525037" w:rsidRDefault="00C26088" w:rsidP="00A332E0">
            <w:pPr>
              <w:jc w:val="both"/>
              <w:rPr>
                <w:sz w:val="20"/>
              </w:rPr>
            </w:pPr>
            <w:hyperlink r:id="rId18" w:history="1">
              <w:r w:rsidR="00A332E0" w:rsidRPr="00525037">
                <w:rPr>
                  <w:rStyle w:val="Hyperlink"/>
                  <w:sz w:val="20"/>
                </w:rPr>
                <w:t>2019 FC 1126</w:t>
              </w:r>
            </w:hyperlink>
          </w:p>
          <w:p w:rsidR="00A332E0" w:rsidRPr="00525037" w:rsidRDefault="00A332E0" w:rsidP="00A332E0">
            <w:pPr>
              <w:jc w:val="both"/>
              <w:rPr>
                <w:sz w:val="20"/>
              </w:rPr>
            </w:pPr>
          </w:p>
        </w:tc>
        <w:tc>
          <w:tcPr>
            <w:tcW w:w="243" w:type="pct"/>
          </w:tcPr>
          <w:p w:rsidR="00A332E0" w:rsidRPr="00525037" w:rsidRDefault="00A332E0" w:rsidP="00A332E0">
            <w:pPr>
              <w:jc w:val="both"/>
              <w:rPr>
                <w:sz w:val="20"/>
              </w:rPr>
            </w:pPr>
          </w:p>
        </w:tc>
        <w:tc>
          <w:tcPr>
            <w:tcW w:w="2330" w:type="pct"/>
          </w:tcPr>
          <w:p w:rsidR="00A332E0" w:rsidRPr="00525037" w:rsidRDefault="00A332E0" w:rsidP="00A332E0">
            <w:pPr>
              <w:jc w:val="both"/>
              <w:rPr>
                <w:sz w:val="20"/>
              </w:rPr>
            </w:pPr>
            <w:r w:rsidRPr="00525037">
              <w:rPr>
                <w:sz w:val="20"/>
              </w:rPr>
              <w:t>Applications granted in part.</w:t>
            </w:r>
          </w:p>
          <w:p w:rsidR="00A332E0" w:rsidRPr="00525037" w:rsidRDefault="00A332E0" w:rsidP="00A332E0">
            <w:pPr>
              <w:jc w:val="both"/>
              <w:rPr>
                <w:sz w:val="20"/>
              </w:rPr>
            </w:pPr>
          </w:p>
        </w:tc>
      </w:tr>
      <w:tr w:rsidR="00A332E0" w:rsidRPr="00525037" w:rsidTr="00E95A6A">
        <w:tc>
          <w:tcPr>
            <w:tcW w:w="2427" w:type="pct"/>
            <w:gridSpan w:val="2"/>
          </w:tcPr>
          <w:p w:rsidR="00A332E0" w:rsidRPr="00525037" w:rsidRDefault="00A332E0" w:rsidP="00A332E0">
            <w:pPr>
              <w:jc w:val="both"/>
              <w:rPr>
                <w:sz w:val="20"/>
              </w:rPr>
            </w:pPr>
            <w:r w:rsidRPr="00525037">
              <w:rPr>
                <w:sz w:val="20"/>
              </w:rPr>
              <w:t>November 13, 2020</w:t>
            </w:r>
          </w:p>
          <w:p w:rsidR="00A332E0" w:rsidRPr="00525037" w:rsidRDefault="00A332E0" w:rsidP="00A332E0">
            <w:pPr>
              <w:jc w:val="both"/>
              <w:rPr>
                <w:sz w:val="20"/>
              </w:rPr>
            </w:pPr>
            <w:r w:rsidRPr="00525037">
              <w:rPr>
                <w:sz w:val="20"/>
              </w:rPr>
              <w:t>Federal Court of Appeal</w:t>
            </w:r>
          </w:p>
          <w:p w:rsidR="00A332E0" w:rsidRPr="00525037" w:rsidRDefault="00A332E0" w:rsidP="00A332E0">
            <w:pPr>
              <w:jc w:val="both"/>
              <w:rPr>
                <w:sz w:val="20"/>
              </w:rPr>
            </w:pPr>
            <w:r w:rsidRPr="00525037">
              <w:rPr>
                <w:sz w:val="20"/>
              </w:rPr>
              <w:t>(Near, de Montigny and LeBlanc JJ.A.)</w:t>
            </w:r>
          </w:p>
          <w:p w:rsidR="00A332E0" w:rsidRPr="00525037" w:rsidRDefault="00C26088" w:rsidP="00A332E0">
            <w:pPr>
              <w:jc w:val="both"/>
              <w:rPr>
                <w:sz w:val="20"/>
              </w:rPr>
            </w:pPr>
            <w:hyperlink r:id="rId19" w:anchor="document" w:history="1">
              <w:r w:rsidR="00A332E0" w:rsidRPr="00525037">
                <w:rPr>
                  <w:rStyle w:val="Hyperlink"/>
                  <w:sz w:val="20"/>
                </w:rPr>
                <w:t>2020 FCA 196</w:t>
              </w:r>
            </w:hyperlink>
            <w:r w:rsidR="00A332E0" w:rsidRPr="00525037">
              <w:rPr>
                <w:rStyle w:val="Hyperlink"/>
                <w:sz w:val="20"/>
              </w:rPr>
              <w:t xml:space="preserve"> </w:t>
            </w:r>
            <w:r w:rsidR="00A332E0" w:rsidRPr="00525037">
              <w:rPr>
                <w:sz w:val="20"/>
              </w:rPr>
              <w:t>(docket: A</w:t>
            </w:r>
            <w:r w:rsidR="00A332E0" w:rsidRPr="00525037">
              <w:rPr>
                <w:sz w:val="20"/>
              </w:rPr>
              <w:noBreakHyphen/>
              <w:t>382</w:t>
            </w:r>
            <w:r w:rsidR="00A332E0" w:rsidRPr="00525037">
              <w:rPr>
                <w:sz w:val="20"/>
              </w:rPr>
              <w:noBreakHyphen/>
              <w:t>19)</w:t>
            </w:r>
          </w:p>
          <w:p w:rsidR="00A332E0" w:rsidRPr="00525037" w:rsidRDefault="00A332E0" w:rsidP="00A332E0">
            <w:pPr>
              <w:jc w:val="both"/>
              <w:rPr>
                <w:sz w:val="20"/>
              </w:rPr>
            </w:pPr>
          </w:p>
        </w:tc>
        <w:tc>
          <w:tcPr>
            <w:tcW w:w="243" w:type="pct"/>
          </w:tcPr>
          <w:p w:rsidR="00A332E0" w:rsidRPr="00525037" w:rsidRDefault="00A332E0" w:rsidP="00A332E0">
            <w:pPr>
              <w:jc w:val="both"/>
              <w:rPr>
                <w:sz w:val="20"/>
              </w:rPr>
            </w:pPr>
          </w:p>
        </w:tc>
        <w:tc>
          <w:tcPr>
            <w:tcW w:w="2330" w:type="pct"/>
          </w:tcPr>
          <w:p w:rsidR="00A332E0" w:rsidRPr="00525037" w:rsidRDefault="00A332E0" w:rsidP="00A332E0">
            <w:pPr>
              <w:jc w:val="both"/>
              <w:rPr>
                <w:sz w:val="20"/>
              </w:rPr>
            </w:pPr>
            <w:r w:rsidRPr="00525037">
              <w:rPr>
                <w:sz w:val="20"/>
              </w:rPr>
              <w:t>Applicant’s appeal dismissed; respondent’s cross-appeal granted.</w:t>
            </w:r>
          </w:p>
          <w:p w:rsidR="00A332E0" w:rsidRPr="00525037" w:rsidRDefault="00A332E0" w:rsidP="00A332E0">
            <w:pPr>
              <w:jc w:val="both"/>
              <w:rPr>
                <w:sz w:val="20"/>
              </w:rPr>
            </w:pPr>
          </w:p>
        </w:tc>
      </w:tr>
      <w:tr w:rsidR="00A332E0" w:rsidRPr="00525037" w:rsidTr="00E95A6A">
        <w:tc>
          <w:tcPr>
            <w:tcW w:w="2427" w:type="pct"/>
            <w:gridSpan w:val="2"/>
          </w:tcPr>
          <w:p w:rsidR="00A332E0" w:rsidRPr="00525037" w:rsidRDefault="00A332E0" w:rsidP="00A332E0">
            <w:pPr>
              <w:jc w:val="both"/>
              <w:rPr>
                <w:sz w:val="20"/>
              </w:rPr>
            </w:pPr>
            <w:r w:rsidRPr="00525037">
              <w:rPr>
                <w:sz w:val="20"/>
              </w:rPr>
              <w:t>January 12, 2021</w:t>
            </w:r>
          </w:p>
          <w:p w:rsidR="00A332E0" w:rsidRPr="00525037" w:rsidRDefault="00A332E0" w:rsidP="00A332E0">
            <w:pPr>
              <w:jc w:val="both"/>
              <w:rPr>
                <w:sz w:val="20"/>
              </w:rPr>
            </w:pPr>
            <w:r w:rsidRPr="00525037">
              <w:rPr>
                <w:sz w:val="20"/>
              </w:rPr>
              <w:t>Supreme Court of Canada</w:t>
            </w:r>
          </w:p>
        </w:tc>
        <w:tc>
          <w:tcPr>
            <w:tcW w:w="243" w:type="pct"/>
          </w:tcPr>
          <w:p w:rsidR="00A332E0" w:rsidRPr="00525037" w:rsidRDefault="00A332E0" w:rsidP="00A332E0">
            <w:pPr>
              <w:jc w:val="both"/>
              <w:rPr>
                <w:sz w:val="20"/>
              </w:rPr>
            </w:pPr>
          </w:p>
        </w:tc>
        <w:tc>
          <w:tcPr>
            <w:tcW w:w="2330" w:type="pct"/>
          </w:tcPr>
          <w:p w:rsidR="00A332E0" w:rsidRPr="00525037" w:rsidRDefault="00A332E0" w:rsidP="00A332E0">
            <w:pPr>
              <w:jc w:val="both"/>
              <w:rPr>
                <w:sz w:val="20"/>
              </w:rPr>
            </w:pPr>
            <w:r w:rsidRPr="00525037">
              <w:rPr>
                <w:sz w:val="20"/>
              </w:rPr>
              <w:t>Application for leave to appeal filed.</w:t>
            </w:r>
          </w:p>
          <w:p w:rsidR="00A332E0" w:rsidRPr="00525037" w:rsidRDefault="00A332E0" w:rsidP="00A332E0">
            <w:pPr>
              <w:jc w:val="both"/>
              <w:rPr>
                <w:sz w:val="20"/>
              </w:rPr>
            </w:pPr>
          </w:p>
        </w:tc>
      </w:tr>
    </w:tbl>
    <w:p w:rsidR="00A332E0" w:rsidRPr="00525037" w:rsidRDefault="00A332E0" w:rsidP="00A332E0">
      <w:pPr>
        <w:jc w:val="both"/>
        <w:rPr>
          <w:sz w:val="20"/>
        </w:rPr>
      </w:pPr>
    </w:p>
    <w:p w:rsidR="00A332E0" w:rsidRPr="00525037" w:rsidRDefault="00C26088" w:rsidP="00A332E0">
      <w:pPr>
        <w:jc w:val="both"/>
        <w:rPr>
          <w:sz w:val="20"/>
        </w:rPr>
      </w:pPr>
      <w:r>
        <w:rPr>
          <w:sz w:val="20"/>
        </w:rPr>
        <w:pict>
          <v:rect id="_x0000_i1029" style="width:2in;height:1pt" o:hrpct="0" o:hralign="center" o:hrstd="t" o:hrnoshade="t" o:hr="t" fillcolor="black [3213]" stroked="f"/>
        </w:pict>
      </w:r>
    </w:p>
    <w:p w:rsidR="00A332E0" w:rsidRPr="00525037" w:rsidRDefault="00A332E0" w:rsidP="00A332E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332E0" w:rsidRPr="00C26088" w:rsidTr="00E95A6A">
        <w:tc>
          <w:tcPr>
            <w:tcW w:w="543" w:type="pct"/>
          </w:tcPr>
          <w:p w:rsidR="00A332E0" w:rsidRPr="00525037" w:rsidRDefault="00A332E0" w:rsidP="00A332E0">
            <w:pPr>
              <w:jc w:val="both"/>
              <w:rPr>
                <w:sz w:val="20"/>
                <w:lang w:val="fr-CA"/>
              </w:rPr>
            </w:pPr>
            <w:r w:rsidRPr="00525037">
              <w:rPr>
                <w:rStyle w:val="SCCFileNumberChar"/>
                <w:sz w:val="20"/>
                <w:szCs w:val="20"/>
                <w:lang w:val="fr-CA"/>
              </w:rPr>
              <w:lastRenderedPageBreak/>
              <w:t>39522</w:t>
            </w:r>
          </w:p>
        </w:tc>
        <w:tc>
          <w:tcPr>
            <w:tcW w:w="4457" w:type="pct"/>
            <w:gridSpan w:val="3"/>
          </w:tcPr>
          <w:p w:rsidR="00A332E0" w:rsidRPr="00525037" w:rsidRDefault="00A332E0" w:rsidP="00A332E0">
            <w:pPr>
              <w:jc w:val="both"/>
              <w:rPr>
                <w:b/>
                <w:sz w:val="20"/>
                <w:lang w:val="fr-CA"/>
              </w:rPr>
            </w:pPr>
            <w:r w:rsidRPr="00525037">
              <w:rPr>
                <w:b/>
                <w:sz w:val="20"/>
                <w:lang w:val="fr-CA"/>
              </w:rPr>
              <w:t>Association canadienne des avocats et avocates en droit des réfugiés c. Ministre de la Citoyenneté et de l’Immigration</w:t>
            </w:r>
          </w:p>
          <w:p w:rsidR="00A332E0" w:rsidRPr="00525037" w:rsidRDefault="00A332E0" w:rsidP="00A332E0">
            <w:pPr>
              <w:jc w:val="both"/>
              <w:rPr>
                <w:sz w:val="20"/>
                <w:lang w:val="fr-CA"/>
              </w:rPr>
            </w:pPr>
            <w:r w:rsidRPr="00525037">
              <w:rPr>
                <w:sz w:val="20"/>
                <w:lang w:val="fr-CA"/>
              </w:rPr>
              <w:t>(C.F.) (Civile) (Sur autorisation)</w:t>
            </w:r>
          </w:p>
        </w:tc>
      </w:tr>
      <w:tr w:rsidR="00A332E0" w:rsidRPr="00C26088" w:rsidTr="00E95A6A">
        <w:tc>
          <w:tcPr>
            <w:tcW w:w="5000" w:type="pct"/>
            <w:gridSpan w:val="4"/>
          </w:tcPr>
          <w:p w:rsidR="00A332E0" w:rsidRPr="00525037" w:rsidRDefault="00A332E0" w:rsidP="00A332E0">
            <w:pPr>
              <w:jc w:val="both"/>
              <w:rPr>
                <w:sz w:val="20"/>
                <w:lang w:val="fr-CA"/>
              </w:rPr>
            </w:pPr>
            <w:r w:rsidRPr="00525037">
              <w:rPr>
                <w:sz w:val="20"/>
                <w:lang w:val="fr-CA"/>
              </w:rPr>
              <w:t xml:space="preserve">Droit administratif — Contrôle judiciaire — </w:t>
            </w:r>
            <w:r w:rsidRPr="00525037">
              <w:rPr>
                <w:iCs/>
                <w:sz w:val="20"/>
                <w:lang w:val="fr-FR"/>
              </w:rPr>
              <w:t>Organismes et tribunaux administratifs</w:t>
            </w:r>
            <w:r w:rsidRPr="00525037">
              <w:rPr>
                <w:sz w:val="20"/>
                <w:lang w:val="fr-CA"/>
              </w:rPr>
              <w:t xml:space="preserve"> — </w:t>
            </w:r>
            <w:r w:rsidRPr="00525037">
              <w:rPr>
                <w:sz w:val="20"/>
                <w:lang w:val="fr-FR"/>
              </w:rPr>
              <w:t xml:space="preserve">Commission de l’immigration et du statut de réfugié </w:t>
            </w:r>
            <w:r w:rsidRPr="00525037">
              <w:rPr>
                <w:sz w:val="20"/>
                <w:lang w:val="fr-CA"/>
              </w:rPr>
              <w:t xml:space="preserve">— Disposition législative autorisant le président à désigner des décisions de la </w:t>
            </w:r>
            <w:r w:rsidRPr="00525037">
              <w:rPr>
                <w:sz w:val="20"/>
                <w:lang w:val="fr-FR"/>
              </w:rPr>
              <w:t>Commission de l’immigration et du statut de réfugié à titre de</w:t>
            </w:r>
            <w:r w:rsidRPr="00525037">
              <w:rPr>
                <w:sz w:val="20"/>
                <w:lang w:val="fr-CA"/>
              </w:rPr>
              <w:t xml:space="preserve"> </w:t>
            </w:r>
            <w:r w:rsidRPr="00525037">
              <w:rPr>
                <w:sz w:val="20"/>
                <w:lang w:val="fr-FR"/>
              </w:rPr>
              <w:t>guides jurisprudentiels afin d’aider les</w:t>
            </w:r>
            <w:r w:rsidRPr="00525037">
              <w:rPr>
                <w:sz w:val="20"/>
                <w:lang w:val="fr-CA"/>
              </w:rPr>
              <w:t xml:space="preserve"> membres de la Commission dans l’exécution de leurs fonctions — Le président a publié des guides jurisprudentiels qui comprenaient des conclusions de fait et une déclaration d’attente voulant que les commissaires appliquent ces guides aux affaires mettant en cause de faits semblables, ou bien qu’ils motivent leur décision de s’en écarter — Un groupe d’avocats conteste le pouvoir du président de publier des </w:t>
            </w:r>
            <w:r w:rsidRPr="00525037">
              <w:rPr>
                <w:sz w:val="20"/>
                <w:lang w:val="fr-FR"/>
              </w:rPr>
              <w:t>guides jurisprudentiels qui comprennent des</w:t>
            </w:r>
            <w:r w:rsidRPr="00525037">
              <w:rPr>
                <w:sz w:val="20"/>
                <w:lang w:val="fr-CA"/>
              </w:rPr>
              <w:t xml:space="preserve"> conclusions de fait — Les principes de justice naturelle reconnus en common law permettent</w:t>
            </w:r>
            <w:r w:rsidRPr="00525037">
              <w:rPr>
                <w:sz w:val="20"/>
                <w:lang w:val="fr-CA"/>
              </w:rPr>
              <w:noBreakHyphen/>
              <w:t>ils à l’administration d’un tribunal administratif de publier des lignes directrices de fond qui donnent des consignes aux décideurs individuels concernant les conclusions factuelles, en l’absence d’un mandat clair prévu par la loi à cet égard? — La Cour d’appel fédérale a</w:t>
            </w:r>
            <w:r w:rsidRPr="00525037">
              <w:rPr>
                <w:sz w:val="20"/>
                <w:lang w:val="fr-CA"/>
              </w:rPr>
              <w:noBreakHyphen/>
              <w:t>t</w:t>
            </w:r>
            <w:r w:rsidRPr="00525037">
              <w:rPr>
                <w:sz w:val="20"/>
                <w:lang w:val="fr-CA"/>
              </w:rPr>
              <w:noBreakHyphen/>
              <w:t xml:space="preserve">elle mal appliqué la norme de la décision raisonnable énoncée dans l’affaire </w:t>
            </w:r>
            <w:r w:rsidRPr="00525037">
              <w:rPr>
                <w:i/>
                <w:sz w:val="20"/>
                <w:lang w:val="fr-CA"/>
              </w:rPr>
              <w:t>Canada (Ministre de la Citoyenneté et de l’Immigration) c. Vavilov</w:t>
            </w:r>
            <w:r w:rsidRPr="00525037">
              <w:rPr>
                <w:sz w:val="20"/>
                <w:lang w:val="fr-CA"/>
              </w:rPr>
              <w:t xml:space="preserve">, 2019 CSC 65, en imputant au président ses propres motifs afin de justifier les conclusions qu’il a tirées, et en omettant de tenir compte de l’écart injustifié du président par rapport à la pratique de longue date et à la politique sur l’interprétation de la disposition autorisant le président à désigner des décisions de la Commission à titre de guides jurisprudentiels? — </w:t>
            </w:r>
            <w:r w:rsidRPr="00525037">
              <w:rPr>
                <w:i/>
                <w:sz w:val="20"/>
                <w:lang w:val="fr-FR"/>
              </w:rPr>
              <w:t>Loi sur l’immigration et la protection des réfugiés</w:t>
            </w:r>
            <w:r w:rsidRPr="00525037">
              <w:rPr>
                <w:sz w:val="20"/>
                <w:lang w:val="fr-FR"/>
              </w:rPr>
              <w:t>, L</w:t>
            </w:r>
            <w:r w:rsidRPr="00525037">
              <w:rPr>
                <w:sz w:val="20"/>
                <w:lang w:val="fr-CA"/>
              </w:rPr>
              <w:t>.C. 2001, c. 27, art. 159(1)h).</w:t>
            </w:r>
          </w:p>
        </w:tc>
      </w:tr>
      <w:tr w:rsidR="00A332E0" w:rsidRPr="00C26088" w:rsidTr="00E95A6A">
        <w:tc>
          <w:tcPr>
            <w:tcW w:w="5000" w:type="pct"/>
            <w:gridSpan w:val="4"/>
          </w:tcPr>
          <w:p w:rsidR="00A332E0" w:rsidRPr="00525037" w:rsidRDefault="00A332E0" w:rsidP="00A332E0">
            <w:pPr>
              <w:jc w:val="both"/>
              <w:rPr>
                <w:sz w:val="20"/>
                <w:lang w:val="fr-CA"/>
              </w:rPr>
            </w:pPr>
          </w:p>
        </w:tc>
      </w:tr>
      <w:tr w:rsidR="00A332E0" w:rsidRPr="00C26088" w:rsidTr="00E95A6A">
        <w:tc>
          <w:tcPr>
            <w:tcW w:w="5000" w:type="pct"/>
            <w:gridSpan w:val="4"/>
          </w:tcPr>
          <w:p w:rsidR="00A332E0" w:rsidRPr="00525037" w:rsidRDefault="00A332E0" w:rsidP="00A332E0">
            <w:pPr>
              <w:jc w:val="both"/>
              <w:rPr>
                <w:sz w:val="20"/>
                <w:lang w:val="fr-CA"/>
              </w:rPr>
            </w:pPr>
            <w:r w:rsidRPr="00525037">
              <w:rPr>
                <w:sz w:val="20"/>
                <w:lang w:val="fr-CA"/>
              </w:rPr>
              <w:t>La demanderesse, l’Association canadienne des avocats et avocates en droit des réfugiés (« ACAADR »), a demandé le contrôle judiciaire des décisions du président</w:t>
            </w:r>
            <w:r w:rsidRPr="00525037">
              <w:rPr>
                <w:sz w:val="20"/>
                <w:lang w:val="fr-FR"/>
              </w:rPr>
              <w:t xml:space="preserve"> de la Commission de l’immigration et du statut de réfugié</w:t>
            </w:r>
            <w:r w:rsidRPr="00525037">
              <w:rPr>
                <w:sz w:val="20"/>
                <w:lang w:val="fr-CA"/>
              </w:rPr>
              <w:t xml:space="preserve"> (« Commission ») qui désignaient quatre décisions de la</w:t>
            </w:r>
            <w:r w:rsidRPr="00525037">
              <w:rPr>
                <w:sz w:val="20"/>
                <w:lang w:val="fr-FR"/>
              </w:rPr>
              <w:t xml:space="preserve"> Section d’appel des réfugiés de la Commission comme</w:t>
            </w:r>
            <w:r w:rsidRPr="00525037">
              <w:rPr>
                <w:sz w:val="20"/>
                <w:lang w:val="fr-CA"/>
              </w:rPr>
              <w:t xml:space="preserve"> guides jurisprudentiels, dans la mesure où ces dernières comprenaient des conclusions de fait. La Cour fédérale a rejeté les demandes de l’ACAADR par rapport à cette question. Après avoir appliqué la norme de la décision raisonnable, elle a conclu qu’il n’était pas déraisonnable que le président interprète implicitement l’al. 159(1)h) de la </w:t>
            </w:r>
            <w:r w:rsidRPr="00525037">
              <w:rPr>
                <w:i/>
                <w:sz w:val="20"/>
                <w:lang w:val="fr-FR"/>
              </w:rPr>
              <w:t>Loi sur l’immigration et la protection des réfugiés</w:t>
            </w:r>
            <w:r w:rsidRPr="00525037">
              <w:rPr>
                <w:sz w:val="20"/>
                <w:lang w:val="fr-CA"/>
              </w:rPr>
              <w:t xml:space="preserve">, L.C. 2001, c. 27 (« LIPR ») de manière à lui conférer l’autorité de publier des guides jurisprudentiels qui comprennent des conclusions de fait. La Cour d’appel fédérale a rejeté l’appel de l’ACAADR, convenant avec la Cour fédérale que l’interprétation faite de l’al. 159(1)h) de la LIPR par le président était raisonnable. </w:t>
            </w:r>
          </w:p>
          <w:p w:rsidR="00A332E0" w:rsidRPr="00525037" w:rsidRDefault="00A332E0" w:rsidP="00A332E0">
            <w:pPr>
              <w:jc w:val="both"/>
              <w:rPr>
                <w:sz w:val="20"/>
                <w:lang w:val="fr-CA"/>
              </w:rPr>
            </w:pPr>
          </w:p>
        </w:tc>
      </w:tr>
      <w:tr w:rsidR="00A332E0" w:rsidRPr="00C26088" w:rsidTr="00E95A6A">
        <w:tc>
          <w:tcPr>
            <w:tcW w:w="2427" w:type="pct"/>
            <w:gridSpan w:val="2"/>
          </w:tcPr>
          <w:p w:rsidR="00A332E0" w:rsidRPr="00525037" w:rsidRDefault="00A332E0" w:rsidP="00A332E0">
            <w:pPr>
              <w:jc w:val="both"/>
              <w:rPr>
                <w:sz w:val="20"/>
                <w:lang w:val="fr-CA"/>
              </w:rPr>
            </w:pPr>
            <w:r w:rsidRPr="00525037">
              <w:rPr>
                <w:sz w:val="20"/>
                <w:lang w:val="fr-CA"/>
              </w:rPr>
              <w:t>4 septembre 2019</w:t>
            </w:r>
          </w:p>
          <w:p w:rsidR="00A332E0" w:rsidRPr="00525037" w:rsidRDefault="00A332E0" w:rsidP="00A332E0">
            <w:pPr>
              <w:jc w:val="both"/>
              <w:rPr>
                <w:sz w:val="20"/>
                <w:lang w:val="fr-CA"/>
              </w:rPr>
            </w:pPr>
            <w:r w:rsidRPr="00525037">
              <w:rPr>
                <w:sz w:val="20"/>
                <w:lang w:val="fr-CA"/>
              </w:rPr>
              <w:t>Cour fédérale</w:t>
            </w:r>
          </w:p>
          <w:p w:rsidR="00A332E0" w:rsidRPr="00525037" w:rsidRDefault="00A332E0" w:rsidP="00A332E0">
            <w:pPr>
              <w:jc w:val="both"/>
              <w:rPr>
                <w:sz w:val="20"/>
                <w:lang w:val="fr-CA"/>
              </w:rPr>
            </w:pPr>
            <w:r w:rsidRPr="00525037">
              <w:rPr>
                <w:sz w:val="20"/>
                <w:lang w:val="fr-CA"/>
              </w:rPr>
              <w:t>(juge en chef Crampton)</w:t>
            </w:r>
          </w:p>
          <w:p w:rsidR="00A332E0" w:rsidRPr="00525037" w:rsidRDefault="00A332E0" w:rsidP="00A332E0">
            <w:pPr>
              <w:jc w:val="both"/>
              <w:rPr>
                <w:rStyle w:val="Hyperlink"/>
                <w:color w:val="auto"/>
                <w:sz w:val="20"/>
                <w:u w:val="none"/>
                <w:lang w:val="fr-CA"/>
              </w:rPr>
            </w:pPr>
            <w:r w:rsidRPr="00525037">
              <w:rPr>
                <w:rStyle w:val="Hyperlink"/>
                <w:sz w:val="20"/>
                <w:lang w:val="fr-CA"/>
              </w:rPr>
              <w:fldChar w:fldCharType="begin"/>
            </w:r>
            <w:r w:rsidRPr="00525037">
              <w:rPr>
                <w:rStyle w:val="Hyperlink"/>
                <w:sz w:val="20"/>
                <w:lang w:val="fr-CA"/>
              </w:rPr>
              <w:instrText xml:space="preserve"> HYPERLINK "https://www.canlii.org/fr/ca/cfpi/doc/2019/2019cf1126/2019cf1126.html" </w:instrText>
            </w:r>
            <w:r w:rsidRPr="00525037">
              <w:rPr>
                <w:rStyle w:val="Hyperlink"/>
                <w:sz w:val="20"/>
                <w:lang w:val="fr-CA"/>
              </w:rPr>
              <w:fldChar w:fldCharType="separate"/>
            </w:r>
            <w:r w:rsidRPr="00525037">
              <w:rPr>
                <w:rStyle w:val="Hyperlink"/>
                <w:sz w:val="20"/>
                <w:lang w:val="fr-CA"/>
              </w:rPr>
              <w:t>2019 CF 1126</w:t>
            </w:r>
          </w:p>
          <w:p w:rsidR="00A332E0" w:rsidRPr="00525037" w:rsidRDefault="00A332E0" w:rsidP="00A332E0">
            <w:pPr>
              <w:jc w:val="both"/>
              <w:rPr>
                <w:sz w:val="20"/>
                <w:lang w:val="fr-CA"/>
              </w:rPr>
            </w:pPr>
            <w:r w:rsidRPr="00525037">
              <w:rPr>
                <w:rStyle w:val="Hyperlink"/>
                <w:sz w:val="20"/>
                <w:lang w:val="fr-CA"/>
              </w:rPr>
              <w:fldChar w:fldCharType="end"/>
            </w:r>
          </w:p>
        </w:tc>
        <w:tc>
          <w:tcPr>
            <w:tcW w:w="243" w:type="pct"/>
          </w:tcPr>
          <w:p w:rsidR="00A332E0" w:rsidRPr="00525037" w:rsidRDefault="00A332E0" w:rsidP="00A332E0">
            <w:pPr>
              <w:jc w:val="both"/>
              <w:rPr>
                <w:sz w:val="20"/>
                <w:lang w:val="fr-CA"/>
              </w:rPr>
            </w:pPr>
          </w:p>
        </w:tc>
        <w:tc>
          <w:tcPr>
            <w:tcW w:w="2330" w:type="pct"/>
          </w:tcPr>
          <w:p w:rsidR="00A332E0" w:rsidRPr="00525037" w:rsidRDefault="00A332E0" w:rsidP="00A332E0">
            <w:pPr>
              <w:jc w:val="both"/>
              <w:rPr>
                <w:sz w:val="20"/>
                <w:lang w:val="fr-CA"/>
              </w:rPr>
            </w:pPr>
            <w:r w:rsidRPr="00525037">
              <w:rPr>
                <w:sz w:val="20"/>
                <w:lang w:val="fr-CA"/>
              </w:rPr>
              <w:t>Les demandes sont accueillies en partie.</w:t>
            </w:r>
          </w:p>
          <w:p w:rsidR="00A332E0" w:rsidRPr="00525037" w:rsidRDefault="00A332E0" w:rsidP="00A332E0">
            <w:pPr>
              <w:jc w:val="both"/>
              <w:rPr>
                <w:sz w:val="20"/>
                <w:lang w:val="fr-CA"/>
              </w:rPr>
            </w:pPr>
          </w:p>
        </w:tc>
      </w:tr>
      <w:tr w:rsidR="00A332E0" w:rsidRPr="00C26088" w:rsidTr="00E95A6A">
        <w:tc>
          <w:tcPr>
            <w:tcW w:w="2427" w:type="pct"/>
            <w:gridSpan w:val="2"/>
          </w:tcPr>
          <w:p w:rsidR="00A332E0" w:rsidRPr="00525037" w:rsidRDefault="00A332E0" w:rsidP="00A332E0">
            <w:pPr>
              <w:jc w:val="both"/>
              <w:rPr>
                <w:sz w:val="20"/>
                <w:lang w:val="fr-CA"/>
              </w:rPr>
            </w:pPr>
            <w:r w:rsidRPr="00525037">
              <w:rPr>
                <w:sz w:val="20"/>
                <w:lang w:val="fr-CA"/>
              </w:rPr>
              <w:t>13 novembre 2020</w:t>
            </w:r>
          </w:p>
          <w:p w:rsidR="00A332E0" w:rsidRPr="00525037" w:rsidRDefault="00A332E0" w:rsidP="00A332E0">
            <w:pPr>
              <w:jc w:val="both"/>
              <w:rPr>
                <w:sz w:val="20"/>
                <w:lang w:val="fr-CA"/>
              </w:rPr>
            </w:pPr>
            <w:r w:rsidRPr="00525037">
              <w:rPr>
                <w:sz w:val="20"/>
                <w:lang w:val="fr-CA"/>
              </w:rPr>
              <w:t xml:space="preserve">Cour d’appel fédérale </w:t>
            </w:r>
          </w:p>
          <w:p w:rsidR="00A332E0" w:rsidRPr="00525037" w:rsidRDefault="00A332E0" w:rsidP="00A332E0">
            <w:pPr>
              <w:jc w:val="both"/>
              <w:rPr>
                <w:sz w:val="20"/>
                <w:lang w:val="fr-CA"/>
              </w:rPr>
            </w:pPr>
            <w:r w:rsidRPr="00525037">
              <w:rPr>
                <w:sz w:val="20"/>
                <w:lang w:val="fr-CA"/>
              </w:rPr>
              <w:t>(Juges Near, de Montigny et LeBlanc.)</w:t>
            </w:r>
          </w:p>
          <w:p w:rsidR="00A332E0" w:rsidRPr="00525037" w:rsidRDefault="00C26088" w:rsidP="00A332E0">
            <w:pPr>
              <w:jc w:val="both"/>
              <w:rPr>
                <w:sz w:val="20"/>
                <w:lang w:val="fr-CA"/>
              </w:rPr>
            </w:pPr>
            <w:hyperlink r:id="rId20" w:history="1">
              <w:r w:rsidR="00A332E0" w:rsidRPr="00525037">
                <w:rPr>
                  <w:rStyle w:val="Hyperlink"/>
                  <w:sz w:val="20"/>
                  <w:lang w:val="fr-CA"/>
                </w:rPr>
                <w:t>2020 CAF 196</w:t>
              </w:r>
            </w:hyperlink>
            <w:r w:rsidR="00A332E0" w:rsidRPr="00525037">
              <w:rPr>
                <w:rStyle w:val="Hyperlink"/>
                <w:sz w:val="20"/>
                <w:lang w:val="fr-CA"/>
              </w:rPr>
              <w:t xml:space="preserve"> </w:t>
            </w:r>
            <w:r w:rsidR="00A332E0" w:rsidRPr="00525037">
              <w:rPr>
                <w:sz w:val="20"/>
                <w:lang w:val="fr-CA"/>
              </w:rPr>
              <w:t>(dossier : A</w:t>
            </w:r>
            <w:r w:rsidR="00A332E0" w:rsidRPr="00525037">
              <w:rPr>
                <w:sz w:val="20"/>
                <w:lang w:val="fr-CA"/>
              </w:rPr>
              <w:noBreakHyphen/>
              <w:t>382</w:t>
            </w:r>
            <w:r w:rsidR="00A332E0" w:rsidRPr="00525037">
              <w:rPr>
                <w:sz w:val="20"/>
                <w:lang w:val="fr-CA"/>
              </w:rPr>
              <w:noBreakHyphen/>
              <w:t>19)</w:t>
            </w:r>
          </w:p>
          <w:p w:rsidR="00A332E0" w:rsidRPr="00525037" w:rsidRDefault="00A332E0" w:rsidP="00A332E0">
            <w:pPr>
              <w:jc w:val="both"/>
              <w:rPr>
                <w:sz w:val="20"/>
                <w:lang w:val="fr-CA"/>
              </w:rPr>
            </w:pPr>
          </w:p>
        </w:tc>
        <w:tc>
          <w:tcPr>
            <w:tcW w:w="243" w:type="pct"/>
          </w:tcPr>
          <w:p w:rsidR="00A332E0" w:rsidRPr="00525037" w:rsidRDefault="00A332E0" w:rsidP="00A332E0">
            <w:pPr>
              <w:jc w:val="both"/>
              <w:rPr>
                <w:sz w:val="20"/>
                <w:lang w:val="fr-CA"/>
              </w:rPr>
            </w:pPr>
          </w:p>
        </w:tc>
        <w:tc>
          <w:tcPr>
            <w:tcW w:w="2330" w:type="pct"/>
          </w:tcPr>
          <w:p w:rsidR="00A332E0" w:rsidRPr="00525037" w:rsidRDefault="00A332E0" w:rsidP="00A332E0">
            <w:pPr>
              <w:jc w:val="both"/>
              <w:rPr>
                <w:sz w:val="20"/>
                <w:lang w:val="fr-CA"/>
              </w:rPr>
            </w:pPr>
            <w:r w:rsidRPr="00525037">
              <w:rPr>
                <w:sz w:val="20"/>
                <w:lang w:val="fr-CA"/>
              </w:rPr>
              <w:t>L’appel de la demanderesse est rejeté; l’appel incident de l’intimé est accueilli.</w:t>
            </w:r>
          </w:p>
          <w:p w:rsidR="00A332E0" w:rsidRPr="00525037" w:rsidRDefault="00A332E0" w:rsidP="00A332E0">
            <w:pPr>
              <w:jc w:val="both"/>
              <w:rPr>
                <w:sz w:val="20"/>
                <w:lang w:val="fr-CA"/>
              </w:rPr>
            </w:pPr>
          </w:p>
        </w:tc>
      </w:tr>
      <w:tr w:rsidR="00A332E0" w:rsidRPr="00C26088" w:rsidTr="00E95A6A">
        <w:tc>
          <w:tcPr>
            <w:tcW w:w="2427" w:type="pct"/>
            <w:gridSpan w:val="2"/>
          </w:tcPr>
          <w:p w:rsidR="00A332E0" w:rsidRPr="00525037" w:rsidRDefault="00A332E0" w:rsidP="00A332E0">
            <w:pPr>
              <w:jc w:val="both"/>
              <w:rPr>
                <w:sz w:val="20"/>
                <w:lang w:val="fr-CA"/>
              </w:rPr>
            </w:pPr>
            <w:r w:rsidRPr="00525037">
              <w:rPr>
                <w:sz w:val="20"/>
                <w:lang w:val="fr-CA"/>
              </w:rPr>
              <w:t>12 janvier 2021</w:t>
            </w:r>
          </w:p>
          <w:p w:rsidR="00A332E0" w:rsidRPr="00525037" w:rsidRDefault="00A332E0" w:rsidP="00A332E0">
            <w:pPr>
              <w:jc w:val="both"/>
              <w:rPr>
                <w:sz w:val="20"/>
                <w:lang w:val="fr-CA"/>
              </w:rPr>
            </w:pPr>
            <w:r w:rsidRPr="00525037">
              <w:rPr>
                <w:sz w:val="20"/>
                <w:lang w:val="fr-CA"/>
              </w:rPr>
              <w:t>Cour suprême du Canada</w:t>
            </w:r>
          </w:p>
        </w:tc>
        <w:tc>
          <w:tcPr>
            <w:tcW w:w="243" w:type="pct"/>
          </w:tcPr>
          <w:p w:rsidR="00A332E0" w:rsidRPr="00525037" w:rsidRDefault="00A332E0" w:rsidP="00A332E0">
            <w:pPr>
              <w:jc w:val="both"/>
              <w:rPr>
                <w:sz w:val="20"/>
                <w:lang w:val="fr-CA"/>
              </w:rPr>
            </w:pPr>
          </w:p>
        </w:tc>
        <w:tc>
          <w:tcPr>
            <w:tcW w:w="2330" w:type="pct"/>
          </w:tcPr>
          <w:p w:rsidR="00A332E0" w:rsidRPr="00525037" w:rsidRDefault="00A332E0" w:rsidP="00A332E0">
            <w:pPr>
              <w:jc w:val="both"/>
              <w:rPr>
                <w:sz w:val="20"/>
                <w:lang w:val="fr-CA"/>
              </w:rPr>
            </w:pPr>
            <w:r w:rsidRPr="00525037">
              <w:rPr>
                <w:sz w:val="20"/>
                <w:lang w:val="fr-CA"/>
              </w:rPr>
              <w:t>La demande d’autorisation d’appel est présentée.</w:t>
            </w:r>
          </w:p>
          <w:p w:rsidR="00A332E0" w:rsidRPr="00525037" w:rsidRDefault="00A332E0" w:rsidP="00A332E0">
            <w:pPr>
              <w:jc w:val="both"/>
              <w:rPr>
                <w:sz w:val="20"/>
                <w:lang w:val="fr-CA"/>
              </w:rPr>
            </w:pPr>
          </w:p>
        </w:tc>
      </w:tr>
    </w:tbl>
    <w:p w:rsidR="00A332E0" w:rsidRPr="00525037" w:rsidRDefault="00A332E0" w:rsidP="00A332E0">
      <w:pPr>
        <w:jc w:val="both"/>
        <w:rPr>
          <w:sz w:val="20"/>
          <w:lang w:val="fr-CA"/>
        </w:rPr>
      </w:pPr>
    </w:p>
    <w:p w:rsidR="00A332E0" w:rsidRPr="00525037" w:rsidRDefault="00C26088" w:rsidP="00A332E0">
      <w:pPr>
        <w:widowControl w:val="0"/>
        <w:jc w:val="both"/>
        <w:rPr>
          <w:sz w:val="20"/>
          <w:lang w:val="fr-CA"/>
        </w:rPr>
      </w:pPr>
      <w:r>
        <w:rPr>
          <w:sz w:val="20"/>
        </w:rPr>
        <w:pict>
          <v:rect id="_x0000_i1030" style="width:2in;height:1pt" o:hrpct="0" o:hralign="center" o:hrstd="t" o:hrnoshade="t" o:hr="t" fillcolor="black [3213]" stroked="f"/>
        </w:pict>
      </w:r>
    </w:p>
    <w:p w:rsidR="00A332E0" w:rsidRPr="00525037" w:rsidRDefault="00A332E0" w:rsidP="00A332E0">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332E0" w:rsidRPr="00525037" w:rsidTr="00E95A6A">
        <w:tc>
          <w:tcPr>
            <w:tcW w:w="543" w:type="pct"/>
          </w:tcPr>
          <w:p w:rsidR="00A332E0" w:rsidRPr="00525037" w:rsidRDefault="00A332E0" w:rsidP="00A332E0">
            <w:pPr>
              <w:jc w:val="both"/>
              <w:rPr>
                <w:sz w:val="20"/>
                <w:lang w:val="en-CA"/>
              </w:rPr>
            </w:pPr>
            <w:r w:rsidRPr="00525037">
              <w:rPr>
                <w:rStyle w:val="SCCFileNumberChar"/>
                <w:sz w:val="20"/>
                <w:szCs w:val="20"/>
              </w:rPr>
              <w:t>39557</w:t>
            </w:r>
          </w:p>
        </w:tc>
        <w:tc>
          <w:tcPr>
            <w:tcW w:w="4457" w:type="pct"/>
            <w:gridSpan w:val="3"/>
          </w:tcPr>
          <w:p w:rsidR="00A332E0" w:rsidRPr="00525037" w:rsidRDefault="00A332E0" w:rsidP="00A332E0">
            <w:pPr>
              <w:pStyle w:val="SCCLsocParty"/>
              <w:jc w:val="both"/>
              <w:rPr>
                <w:b/>
                <w:sz w:val="20"/>
                <w:szCs w:val="20"/>
                <w:lang w:val="en-CA"/>
              </w:rPr>
            </w:pPr>
            <w:r w:rsidRPr="00525037">
              <w:rPr>
                <w:b/>
                <w:sz w:val="20"/>
                <w:szCs w:val="20"/>
                <w:lang w:val="en-CA"/>
              </w:rPr>
              <w:t>Joseph Damgajian v. Minister of Justice of Canada</w:t>
            </w:r>
          </w:p>
          <w:p w:rsidR="00A332E0" w:rsidRPr="00525037" w:rsidRDefault="00A332E0" w:rsidP="00A332E0">
            <w:pPr>
              <w:jc w:val="both"/>
              <w:rPr>
                <w:sz w:val="20"/>
                <w:lang w:val="en-CA"/>
              </w:rPr>
            </w:pPr>
            <w:r w:rsidRPr="00525037">
              <w:rPr>
                <w:sz w:val="20"/>
                <w:lang w:val="en-CA"/>
              </w:rPr>
              <w:t>(Que.) (Criminal) (By Leave)</w:t>
            </w:r>
          </w:p>
        </w:tc>
      </w:tr>
      <w:tr w:rsidR="00A332E0" w:rsidRPr="00525037" w:rsidTr="00E95A6A">
        <w:tc>
          <w:tcPr>
            <w:tcW w:w="5000" w:type="pct"/>
            <w:gridSpan w:val="4"/>
          </w:tcPr>
          <w:p w:rsidR="00A332E0" w:rsidRPr="00525037" w:rsidRDefault="00A332E0" w:rsidP="00A332E0">
            <w:pPr>
              <w:jc w:val="both"/>
              <w:rPr>
                <w:sz w:val="20"/>
                <w:lang w:val="en-CA"/>
              </w:rPr>
            </w:pPr>
            <w:r w:rsidRPr="00525037">
              <w:rPr>
                <w:i/>
                <w:sz w:val="20"/>
                <w:lang w:val="en-CA"/>
              </w:rPr>
              <w:t xml:space="preserve">Charter of Rights </w:t>
            </w:r>
            <w:r w:rsidRPr="00525037">
              <w:rPr>
                <w:sz w:val="20"/>
                <w:lang w:val="en-CA"/>
              </w:rPr>
              <w:t xml:space="preserve">— Extradition — Criminal law — Court of Appeal dismissing application for judicial review of surrender order of Minister of Justice — Whether Court of Appeal erred in law by dismissing application for judicial review of decision of Minister of Justice on basis that astronomic difference between possible sentence applicant faces in United States and sentence that might be imposed on him in Canada is not on its own ground for reversing Minister’s decision — Whether, rather than applying only to individual case in which applicant could be sentenced to more than 24 years in prison for having exported to United States, without permit, drugs, namely few hundred pseudoephedrine pills, that are sold over counter in Canada, Court of Appeal’s decision constitutes precedent implying that, regardless of difference between Canadian sentence and sentence imposed in requesting state, courts </w:t>
            </w:r>
            <w:r w:rsidRPr="00525037">
              <w:rPr>
                <w:sz w:val="20"/>
                <w:lang w:val="en-CA"/>
              </w:rPr>
              <w:lastRenderedPageBreak/>
              <w:t xml:space="preserve">will never characterize surrender as unjust or oppressive or as tending to shock conscience of Canadians — </w:t>
            </w:r>
            <w:r w:rsidRPr="00525037">
              <w:rPr>
                <w:i/>
                <w:sz w:val="20"/>
                <w:lang w:val="en-CA"/>
              </w:rPr>
              <w:t>Extradition Act</w:t>
            </w:r>
            <w:r w:rsidRPr="00525037">
              <w:rPr>
                <w:sz w:val="20"/>
                <w:lang w:val="en-CA"/>
              </w:rPr>
              <w:t>, S.C. 1999, c. 18, s. 44.</w:t>
            </w:r>
          </w:p>
        </w:tc>
      </w:tr>
      <w:tr w:rsidR="00A332E0" w:rsidRPr="00525037" w:rsidTr="00E95A6A">
        <w:tc>
          <w:tcPr>
            <w:tcW w:w="5000" w:type="pct"/>
            <w:gridSpan w:val="4"/>
          </w:tcPr>
          <w:p w:rsidR="00A332E0" w:rsidRPr="00525037" w:rsidRDefault="00A332E0" w:rsidP="00A332E0">
            <w:pPr>
              <w:jc w:val="both"/>
              <w:rPr>
                <w:sz w:val="20"/>
                <w:lang w:val="en-CA"/>
              </w:rPr>
            </w:pPr>
          </w:p>
        </w:tc>
      </w:tr>
      <w:tr w:rsidR="00A332E0" w:rsidRPr="00525037" w:rsidTr="00E95A6A">
        <w:tc>
          <w:tcPr>
            <w:tcW w:w="5000" w:type="pct"/>
            <w:gridSpan w:val="4"/>
          </w:tcPr>
          <w:p w:rsidR="00A332E0" w:rsidRPr="00525037" w:rsidRDefault="00A332E0" w:rsidP="00A332E0">
            <w:pPr>
              <w:jc w:val="both"/>
              <w:rPr>
                <w:sz w:val="20"/>
                <w:lang w:val="en-CA"/>
              </w:rPr>
            </w:pPr>
            <w:r w:rsidRPr="00525037">
              <w:rPr>
                <w:sz w:val="20"/>
                <w:lang w:val="en-CA"/>
              </w:rPr>
              <w:t xml:space="preserve">The applicant, Mr. Damgajian, is the subject of a request for extradition to the United States of America to face charges related to drug trafficking, including alleged offences of manufacturing, importing and distributing pseudoephedrine. The Minister of Justice of Canada issued a surrender order for the applicant on April 18, 2019. </w:t>
            </w:r>
          </w:p>
          <w:p w:rsidR="00A332E0" w:rsidRPr="00525037" w:rsidRDefault="00A332E0" w:rsidP="00A332E0">
            <w:pPr>
              <w:jc w:val="both"/>
              <w:rPr>
                <w:sz w:val="20"/>
                <w:lang w:val="en-CA"/>
              </w:rPr>
            </w:pPr>
          </w:p>
          <w:p w:rsidR="00A332E0" w:rsidRPr="00525037" w:rsidRDefault="00A332E0" w:rsidP="00A332E0">
            <w:pPr>
              <w:jc w:val="both"/>
              <w:rPr>
                <w:sz w:val="20"/>
                <w:lang w:val="en-CA"/>
              </w:rPr>
            </w:pPr>
            <w:r w:rsidRPr="00525037">
              <w:rPr>
                <w:sz w:val="20"/>
                <w:lang w:val="en-CA"/>
              </w:rPr>
              <w:t xml:space="preserve">Mr. Damgajian filed a motion for judicial review of the Minister’s decision, describing it as unjust and oppressive and as tending to shock the conscience of Canadians because of the difference between the sentence likely to </w:t>
            </w:r>
            <w:proofErr w:type="gramStart"/>
            <w:r w:rsidRPr="00525037">
              <w:rPr>
                <w:sz w:val="20"/>
                <w:lang w:val="en-CA"/>
              </w:rPr>
              <w:t>be imposed</w:t>
            </w:r>
            <w:proofErr w:type="gramEnd"/>
            <w:r w:rsidRPr="00525037">
              <w:rPr>
                <w:sz w:val="20"/>
                <w:lang w:val="en-CA"/>
              </w:rPr>
              <w:t xml:space="preserve"> on Mr. Damgajian in the United States and the Canadian sentence for the corresponding offence.</w:t>
            </w:r>
          </w:p>
          <w:p w:rsidR="00A332E0" w:rsidRPr="00525037" w:rsidRDefault="00A332E0" w:rsidP="00A332E0">
            <w:pPr>
              <w:jc w:val="both"/>
              <w:rPr>
                <w:sz w:val="20"/>
                <w:lang w:val="en-CA"/>
              </w:rPr>
            </w:pPr>
          </w:p>
          <w:p w:rsidR="00A332E0" w:rsidRPr="00525037" w:rsidRDefault="00A332E0" w:rsidP="00A332E0">
            <w:pPr>
              <w:jc w:val="both"/>
              <w:rPr>
                <w:sz w:val="20"/>
                <w:lang w:val="en-CA"/>
              </w:rPr>
            </w:pPr>
            <w:r w:rsidRPr="00525037">
              <w:rPr>
                <w:sz w:val="20"/>
                <w:lang w:val="en-CA"/>
              </w:rPr>
              <w:t xml:space="preserve">The Quebec Court of Appeal dismissed the application for judicial review on February 5, 2021, as it found that the Minister’s decision was reasonable. The Court of Appeal stressed in particular the fact that a difference between a foreign sentence and a Canadian sentence </w:t>
            </w:r>
            <w:proofErr w:type="gramStart"/>
            <w:r w:rsidRPr="00525037">
              <w:rPr>
                <w:sz w:val="20"/>
                <w:lang w:val="en-CA"/>
              </w:rPr>
              <w:t>cannot on its own justify</w:t>
            </w:r>
            <w:proofErr w:type="gramEnd"/>
            <w:r w:rsidRPr="00525037">
              <w:rPr>
                <w:sz w:val="20"/>
                <w:lang w:val="en-CA"/>
              </w:rPr>
              <w:t xml:space="preserve"> a refusal of surrender to a requesting state.</w:t>
            </w:r>
          </w:p>
          <w:p w:rsidR="00A332E0" w:rsidRPr="00525037" w:rsidRDefault="00A332E0" w:rsidP="00A332E0">
            <w:pPr>
              <w:jc w:val="both"/>
              <w:rPr>
                <w:sz w:val="20"/>
                <w:lang w:val="en-CA"/>
              </w:rPr>
            </w:pPr>
          </w:p>
        </w:tc>
      </w:tr>
      <w:tr w:rsidR="00A332E0" w:rsidRPr="00525037" w:rsidTr="00E95A6A">
        <w:tc>
          <w:tcPr>
            <w:tcW w:w="2427" w:type="pct"/>
            <w:gridSpan w:val="2"/>
          </w:tcPr>
          <w:p w:rsidR="00A332E0" w:rsidRPr="00525037" w:rsidRDefault="00A332E0" w:rsidP="00A332E0">
            <w:pPr>
              <w:jc w:val="both"/>
              <w:rPr>
                <w:sz w:val="20"/>
                <w:lang w:val="en-CA"/>
              </w:rPr>
            </w:pPr>
            <w:r w:rsidRPr="00525037">
              <w:rPr>
                <w:sz w:val="20"/>
                <w:lang w:val="en-CA"/>
              </w:rPr>
              <w:t>April 18, 2019</w:t>
            </w:r>
          </w:p>
          <w:p w:rsidR="00A332E0" w:rsidRPr="00525037" w:rsidRDefault="00A332E0" w:rsidP="00A332E0">
            <w:pPr>
              <w:jc w:val="both"/>
              <w:rPr>
                <w:sz w:val="20"/>
                <w:lang w:val="en-CA"/>
              </w:rPr>
            </w:pPr>
            <w:r w:rsidRPr="00525037">
              <w:rPr>
                <w:sz w:val="20"/>
                <w:lang w:val="en-CA"/>
              </w:rPr>
              <w:t>Minister of Justice and Attorney General of Canada (the Honourable David Lametti)</w:t>
            </w:r>
          </w:p>
          <w:p w:rsidR="00A332E0" w:rsidRPr="00525037" w:rsidRDefault="00A332E0" w:rsidP="00A332E0">
            <w:pPr>
              <w:jc w:val="both"/>
              <w:rPr>
                <w:sz w:val="20"/>
                <w:lang w:val="en-CA"/>
              </w:rPr>
            </w:pPr>
          </w:p>
          <w:p w:rsidR="00A332E0" w:rsidRPr="00525037" w:rsidRDefault="00A332E0" w:rsidP="00A332E0">
            <w:pPr>
              <w:jc w:val="both"/>
              <w:rPr>
                <w:sz w:val="20"/>
                <w:lang w:val="en-CA"/>
              </w:rPr>
            </w:pPr>
            <w:r w:rsidRPr="00525037">
              <w:rPr>
                <w:sz w:val="20"/>
                <w:lang w:val="en-CA"/>
              </w:rPr>
              <w:t>February 5, 2021</w:t>
            </w:r>
          </w:p>
          <w:p w:rsidR="00A332E0" w:rsidRPr="00525037" w:rsidRDefault="00A332E0" w:rsidP="00A332E0">
            <w:pPr>
              <w:jc w:val="both"/>
              <w:rPr>
                <w:sz w:val="20"/>
                <w:lang w:val="en-CA"/>
              </w:rPr>
            </w:pPr>
            <w:r w:rsidRPr="00525037">
              <w:rPr>
                <w:sz w:val="20"/>
                <w:lang w:val="en-CA"/>
              </w:rPr>
              <w:t>Quebec Court of Appeal (Montréal)</w:t>
            </w:r>
          </w:p>
          <w:p w:rsidR="00A332E0" w:rsidRPr="00525037" w:rsidRDefault="00A332E0" w:rsidP="00A332E0">
            <w:pPr>
              <w:jc w:val="both"/>
              <w:rPr>
                <w:sz w:val="20"/>
                <w:lang w:val="fr-CA"/>
              </w:rPr>
            </w:pPr>
            <w:r w:rsidRPr="00525037">
              <w:rPr>
                <w:sz w:val="20"/>
                <w:lang w:val="fr-CA"/>
              </w:rPr>
              <w:t>(Gagnon, Vauclair and Sansfaçon JJ.A.)</w:t>
            </w:r>
          </w:p>
          <w:p w:rsidR="00A332E0" w:rsidRPr="00525037" w:rsidRDefault="00C26088" w:rsidP="00A332E0">
            <w:pPr>
              <w:jc w:val="both"/>
              <w:rPr>
                <w:sz w:val="20"/>
                <w:lang w:val="en-CA"/>
              </w:rPr>
            </w:pPr>
            <w:hyperlink r:id="rId21" w:history="1">
              <w:r w:rsidR="00A332E0" w:rsidRPr="00525037">
                <w:rPr>
                  <w:rStyle w:val="Hyperlink"/>
                  <w:sz w:val="20"/>
                  <w:lang w:val="en-CA"/>
                </w:rPr>
                <w:t>2021 QCCA 259</w:t>
              </w:r>
            </w:hyperlink>
          </w:p>
          <w:p w:rsidR="00A332E0" w:rsidRPr="00525037" w:rsidRDefault="00A332E0" w:rsidP="00A332E0">
            <w:pPr>
              <w:jc w:val="both"/>
              <w:rPr>
                <w:sz w:val="20"/>
                <w:lang w:val="en-CA"/>
              </w:rPr>
            </w:pPr>
          </w:p>
        </w:tc>
        <w:tc>
          <w:tcPr>
            <w:tcW w:w="243" w:type="pct"/>
          </w:tcPr>
          <w:p w:rsidR="00A332E0" w:rsidRPr="00525037" w:rsidRDefault="00A332E0" w:rsidP="00A332E0">
            <w:pPr>
              <w:jc w:val="both"/>
              <w:rPr>
                <w:sz w:val="20"/>
                <w:lang w:val="en-CA"/>
              </w:rPr>
            </w:pPr>
          </w:p>
        </w:tc>
        <w:tc>
          <w:tcPr>
            <w:tcW w:w="2330" w:type="pct"/>
          </w:tcPr>
          <w:p w:rsidR="00A332E0" w:rsidRPr="00525037" w:rsidRDefault="00A332E0" w:rsidP="00A332E0">
            <w:pPr>
              <w:jc w:val="both"/>
              <w:rPr>
                <w:sz w:val="20"/>
                <w:lang w:val="en-CA"/>
              </w:rPr>
            </w:pPr>
            <w:r w:rsidRPr="00525037">
              <w:rPr>
                <w:sz w:val="20"/>
                <w:lang w:val="en-CA"/>
              </w:rPr>
              <w:t>Decision to order surrender of Mr. Damgajian; surrender order issued</w:t>
            </w:r>
          </w:p>
          <w:p w:rsidR="00A332E0" w:rsidRPr="00525037" w:rsidRDefault="00A332E0" w:rsidP="00A332E0">
            <w:pPr>
              <w:jc w:val="both"/>
              <w:rPr>
                <w:sz w:val="20"/>
                <w:lang w:val="en-CA"/>
              </w:rPr>
            </w:pPr>
          </w:p>
          <w:p w:rsidR="00A332E0" w:rsidRPr="00525037" w:rsidRDefault="00A332E0" w:rsidP="00A332E0">
            <w:pPr>
              <w:jc w:val="both"/>
              <w:rPr>
                <w:sz w:val="20"/>
                <w:lang w:val="en-CA"/>
              </w:rPr>
            </w:pPr>
          </w:p>
          <w:p w:rsidR="00A332E0" w:rsidRPr="00525037" w:rsidRDefault="00A332E0" w:rsidP="00A332E0">
            <w:pPr>
              <w:jc w:val="both"/>
              <w:rPr>
                <w:sz w:val="20"/>
                <w:lang w:val="en-CA"/>
              </w:rPr>
            </w:pPr>
            <w:r w:rsidRPr="00525037">
              <w:rPr>
                <w:sz w:val="20"/>
                <w:lang w:val="en-CA"/>
              </w:rPr>
              <w:t>Application for judicial review filed by Mr. Damgajian — dismissed</w:t>
            </w:r>
          </w:p>
          <w:p w:rsidR="00A332E0" w:rsidRPr="00525037" w:rsidRDefault="00A332E0" w:rsidP="00A332E0">
            <w:pPr>
              <w:jc w:val="both"/>
              <w:rPr>
                <w:sz w:val="20"/>
                <w:lang w:val="en-CA"/>
              </w:rPr>
            </w:pPr>
          </w:p>
        </w:tc>
      </w:tr>
      <w:tr w:rsidR="00A332E0" w:rsidRPr="00525037" w:rsidTr="00E95A6A">
        <w:tc>
          <w:tcPr>
            <w:tcW w:w="2427" w:type="pct"/>
            <w:gridSpan w:val="2"/>
          </w:tcPr>
          <w:p w:rsidR="00A332E0" w:rsidRPr="00525037" w:rsidRDefault="00A332E0" w:rsidP="00A332E0">
            <w:pPr>
              <w:jc w:val="both"/>
              <w:rPr>
                <w:sz w:val="20"/>
                <w:lang w:val="en-CA"/>
              </w:rPr>
            </w:pPr>
            <w:r w:rsidRPr="00525037">
              <w:rPr>
                <w:sz w:val="20"/>
                <w:lang w:val="en-CA"/>
              </w:rPr>
              <w:t>April 6, 2021</w:t>
            </w:r>
          </w:p>
          <w:p w:rsidR="00A332E0" w:rsidRPr="00525037" w:rsidRDefault="00A332E0" w:rsidP="00A332E0">
            <w:pPr>
              <w:jc w:val="both"/>
              <w:rPr>
                <w:sz w:val="20"/>
                <w:lang w:val="en-CA"/>
              </w:rPr>
            </w:pPr>
            <w:r w:rsidRPr="00525037">
              <w:rPr>
                <w:sz w:val="20"/>
                <w:lang w:val="en-CA"/>
              </w:rPr>
              <w:t>Supreme Court of Canada</w:t>
            </w:r>
          </w:p>
        </w:tc>
        <w:tc>
          <w:tcPr>
            <w:tcW w:w="243" w:type="pct"/>
          </w:tcPr>
          <w:p w:rsidR="00A332E0" w:rsidRPr="00525037" w:rsidRDefault="00A332E0" w:rsidP="00A332E0">
            <w:pPr>
              <w:jc w:val="both"/>
              <w:rPr>
                <w:sz w:val="20"/>
                <w:lang w:val="en-CA"/>
              </w:rPr>
            </w:pPr>
          </w:p>
        </w:tc>
        <w:tc>
          <w:tcPr>
            <w:tcW w:w="2330" w:type="pct"/>
          </w:tcPr>
          <w:p w:rsidR="00A332E0" w:rsidRPr="00525037" w:rsidRDefault="00A332E0" w:rsidP="00A332E0">
            <w:pPr>
              <w:jc w:val="both"/>
              <w:rPr>
                <w:sz w:val="20"/>
                <w:lang w:val="en-CA"/>
              </w:rPr>
            </w:pPr>
            <w:r w:rsidRPr="00525037">
              <w:rPr>
                <w:sz w:val="20"/>
                <w:lang w:val="en-CA"/>
              </w:rPr>
              <w:t>Application for leave to appeal filed by Mr. Damgajian</w:t>
            </w:r>
          </w:p>
        </w:tc>
      </w:tr>
    </w:tbl>
    <w:p w:rsidR="00A332E0" w:rsidRPr="00525037" w:rsidRDefault="00A332E0" w:rsidP="00A332E0">
      <w:pPr>
        <w:jc w:val="both"/>
        <w:rPr>
          <w:sz w:val="20"/>
          <w:lang w:val="en-CA"/>
        </w:rPr>
      </w:pPr>
    </w:p>
    <w:p w:rsidR="00A332E0" w:rsidRPr="00525037" w:rsidRDefault="00C26088" w:rsidP="00A332E0">
      <w:pPr>
        <w:jc w:val="both"/>
        <w:rPr>
          <w:sz w:val="20"/>
          <w:lang w:val="en-CA"/>
        </w:rPr>
      </w:pPr>
      <w:r>
        <w:rPr>
          <w:sz w:val="20"/>
        </w:rPr>
        <w:pict>
          <v:rect id="_x0000_i1031" style="width:2in;height:1pt" o:hrpct="0" o:hralign="center" o:hrstd="t" o:hrnoshade="t" o:hr="t" fillcolor="black [3213]" stroked="f"/>
        </w:pict>
      </w:r>
    </w:p>
    <w:p w:rsidR="00A332E0" w:rsidRPr="00525037" w:rsidRDefault="00A332E0" w:rsidP="00A332E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332E0" w:rsidRPr="00525037" w:rsidTr="00E95A6A">
        <w:tc>
          <w:tcPr>
            <w:tcW w:w="543" w:type="pct"/>
          </w:tcPr>
          <w:p w:rsidR="00A332E0" w:rsidRPr="00525037" w:rsidRDefault="00A332E0" w:rsidP="00A332E0">
            <w:pPr>
              <w:jc w:val="both"/>
              <w:rPr>
                <w:sz w:val="20"/>
              </w:rPr>
            </w:pPr>
            <w:r w:rsidRPr="00525037">
              <w:rPr>
                <w:rStyle w:val="SCCFileNumberChar"/>
                <w:sz w:val="20"/>
                <w:szCs w:val="20"/>
              </w:rPr>
              <w:t>39557</w:t>
            </w:r>
          </w:p>
        </w:tc>
        <w:tc>
          <w:tcPr>
            <w:tcW w:w="4457" w:type="pct"/>
            <w:gridSpan w:val="3"/>
          </w:tcPr>
          <w:p w:rsidR="00A332E0" w:rsidRPr="00525037" w:rsidRDefault="00A332E0" w:rsidP="00A332E0">
            <w:pPr>
              <w:pStyle w:val="SCCLsocParty"/>
              <w:jc w:val="both"/>
              <w:rPr>
                <w:b/>
                <w:sz w:val="20"/>
                <w:szCs w:val="20"/>
              </w:rPr>
            </w:pPr>
            <w:r w:rsidRPr="00525037">
              <w:rPr>
                <w:b/>
                <w:sz w:val="20"/>
                <w:szCs w:val="20"/>
              </w:rPr>
              <w:t>Joseph Damgajian c. Ministre de la justice du Canada</w:t>
            </w:r>
          </w:p>
          <w:p w:rsidR="00A332E0" w:rsidRPr="00525037" w:rsidRDefault="00A332E0" w:rsidP="00A332E0">
            <w:pPr>
              <w:jc w:val="both"/>
              <w:rPr>
                <w:sz w:val="20"/>
              </w:rPr>
            </w:pPr>
            <w:r w:rsidRPr="00525037">
              <w:rPr>
                <w:sz w:val="20"/>
              </w:rPr>
              <w:t>(Qc) (Criminelle) (Autorisation)</w:t>
            </w:r>
          </w:p>
        </w:tc>
      </w:tr>
      <w:tr w:rsidR="00A332E0" w:rsidRPr="00C26088" w:rsidTr="00E95A6A">
        <w:tc>
          <w:tcPr>
            <w:tcW w:w="5000" w:type="pct"/>
            <w:gridSpan w:val="4"/>
          </w:tcPr>
          <w:p w:rsidR="00A332E0" w:rsidRPr="00525037" w:rsidRDefault="00A332E0" w:rsidP="00A332E0">
            <w:pPr>
              <w:jc w:val="both"/>
              <w:rPr>
                <w:sz w:val="20"/>
                <w:lang w:val="fr-CA"/>
              </w:rPr>
            </w:pPr>
            <w:r w:rsidRPr="00525037">
              <w:rPr>
                <w:i/>
                <w:sz w:val="20"/>
                <w:lang w:val="fr-CA"/>
              </w:rPr>
              <w:t xml:space="preserve">Charte des droits </w:t>
            </w:r>
            <w:r w:rsidRPr="00525037">
              <w:rPr>
                <w:sz w:val="20"/>
                <w:lang w:val="fr-CA"/>
              </w:rPr>
              <w:t>— Extradition — Droit criminel — Demande de révision judiciaire de l’arrêté d’extradition du ministre de la Justice rejetée par la Cour d’appel — La Cour d’appel a</w:t>
            </w:r>
            <w:r w:rsidRPr="00525037">
              <w:rPr>
                <w:sz w:val="20"/>
                <w:lang w:val="fr-CA"/>
              </w:rPr>
              <w:noBreakHyphen/>
              <w:t>t</w:t>
            </w:r>
            <w:r w:rsidRPr="00525037">
              <w:rPr>
                <w:sz w:val="20"/>
                <w:lang w:val="fr-CA"/>
              </w:rPr>
              <w:noBreakHyphen/>
              <w:t>elle erré en droit en rejetant la demande de révision judiciaire de la décision du Ministre de la Justice au motif que l’écart astronomique entre la peine dont le demandeur pourrait écoper aux États</w:t>
            </w:r>
            <w:r w:rsidRPr="00525037">
              <w:rPr>
                <w:sz w:val="20"/>
                <w:lang w:val="fr-CA"/>
              </w:rPr>
              <w:noBreakHyphen/>
              <w:t>Unis et celle qui pourrait lui être imposée au Canada ne constitue pas un motif en soi de renverser la décision du Ministre? — Au</w:t>
            </w:r>
            <w:r w:rsidRPr="00525037">
              <w:rPr>
                <w:sz w:val="20"/>
                <w:lang w:val="fr-CA"/>
              </w:rPr>
              <w:noBreakHyphen/>
              <w:t>delà d’un cas d’espèce où le demandeur pourrait être condamné à une peine de plus de 24 ans d’incarcération pour avoir exporté sans permis aux États</w:t>
            </w:r>
            <w:r w:rsidRPr="00525037">
              <w:rPr>
                <w:sz w:val="20"/>
                <w:lang w:val="fr-CA"/>
              </w:rPr>
              <w:noBreakHyphen/>
              <w:t>Unis des médicaments en vente libre au Canada, soit quelques centaines de comprimés de pseudoéphédrine, la décision de la Cour d’appel constitue</w:t>
            </w:r>
            <w:r w:rsidRPr="00525037">
              <w:rPr>
                <w:sz w:val="20"/>
                <w:lang w:val="fr-CA"/>
              </w:rPr>
              <w:noBreakHyphen/>
              <w:t>t</w:t>
            </w:r>
            <w:r w:rsidRPr="00525037">
              <w:rPr>
                <w:sz w:val="20"/>
                <w:lang w:val="fr-CA"/>
              </w:rPr>
              <w:noBreakHyphen/>
              <w:t xml:space="preserve">elle un précédent qui implique que, peu importe l’écart entre la peine canadienne et celle imposée dans l’État requérant, l’extradition ne sera jamais qualifiée par les tribunaux d’injuste ou tyrannique, ou jugée de nature à choquer la conscience des Canadiens? — </w:t>
            </w:r>
            <w:r w:rsidRPr="00525037">
              <w:rPr>
                <w:i/>
                <w:sz w:val="20"/>
                <w:lang w:val="fr-CA"/>
              </w:rPr>
              <w:t>Loi sur l’extradition</w:t>
            </w:r>
            <w:r w:rsidRPr="00525037">
              <w:rPr>
                <w:sz w:val="20"/>
                <w:lang w:val="fr-CA"/>
              </w:rPr>
              <w:t>, L.C. 1999, ch. 18, art. 44.</w:t>
            </w:r>
          </w:p>
        </w:tc>
      </w:tr>
      <w:tr w:rsidR="00A332E0" w:rsidRPr="00C26088" w:rsidTr="00E95A6A">
        <w:tc>
          <w:tcPr>
            <w:tcW w:w="5000" w:type="pct"/>
            <w:gridSpan w:val="4"/>
          </w:tcPr>
          <w:p w:rsidR="00A332E0" w:rsidRPr="00525037" w:rsidRDefault="00A332E0" w:rsidP="00A332E0">
            <w:pPr>
              <w:jc w:val="both"/>
              <w:rPr>
                <w:sz w:val="20"/>
                <w:lang w:val="fr-CA"/>
              </w:rPr>
            </w:pPr>
          </w:p>
        </w:tc>
      </w:tr>
      <w:tr w:rsidR="00A332E0" w:rsidRPr="00C26088" w:rsidTr="00E95A6A">
        <w:tc>
          <w:tcPr>
            <w:tcW w:w="5000" w:type="pct"/>
            <w:gridSpan w:val="4"/>
          </w:tcPr>
          <w:p w:rsidR="00A332E0" w:rsidRPr="00525037" w:rsidRDefault="00A332E0" w:rsidP="00A332E0">
            <w:pPr>
              <w:jc w:val="both"/>
              <w:rPr>
                <w:sz w:val="20"/>
                <w:lang w:val="fr-CA"/>
              </w:rPr>
            </w:pPr>
            <w:r w:rsidRPr="00525037">
              <w:rPr>
                <w:sz w:val="20"/>
                <w:lang w:val="fr-CA"/>
              </w:rPr>
              <w:t>Le demandeur, M. Damgajian, est visé par une demande d’extradition vers les États</w:t>
            </w:r>
            <w:r w:rsidRPr="00525037">
              <w:rPr>
                <w:sz w:val="20"/>
                <w:lang w:val="fr-CA"/>
              </w:rPr>
              <w:noBreakHyphen/>
              <w:t xml:space="preserve">Unis d’Amérique pour faire face à des accusations reliées au trafic de drogue, dont des infractions alléguées relatives à la fabrication, l’importation et la distribution de la pseudoéphédrine. Le 18 avril 2019, le ministre de la justice du Canada émet un arrêté d’extradition visant le demandeur. </w:t>
            </w:r>
          </w:p>
          <w:p w:rsidR="00A332E0" w:rsidRPr="00525037" w:rsidRDefault="00A332E0" w:rsidP="00A332E0">
            <w:pPr>
              <w:jc w:val="both"/>
              <w:rPr>
                <w:sz w:val="20"/>
                <w:lang w:val="fr-CA"/>
              </w:rPr>
            </w:pPr>
          </w:p>
          <w:p w:rsidR="00A332E0" w:rsidRPr="00525037" w:rsidRDefault="00A332E0" w:rsidP="00A332E0">
            <w:pPr>
              <w:jc w:val="both"/>
              <w:rPr>
                <w:sz w:val="20"/>
                <w:lang w:val="fr-CA"/>
              </w:rPr>
            </w:pPr>
            <w:r w:rsidRPr="00525037">
              <w:rPr>
                <w:sz w:val="20"/>
                <w:lang w:val="fr-CA"/>
              </w:rPr>
              <w:t>Monsieur Damgajian dépose une requête en révision judiciaire de la décision du ministre, la qualifiant d’injuste, tyrannique et de nature à choquer la conscience des Canadiens, vu l’écart  entre la peine susceptible d’être imposée à M. Damgajian aux États</w:t>
            </w:r>
            <w:r w:rsidRPr="00525037">
              <w:rPr>
                <w:sz w:val="20"/>
                <w:lang w:val="fr-CA"/>
              </w:rPr>
              <w:noBreakHyphen/>
              <w:t>Unis, et la peine canadienne pour l’infraction correspondante.</w:t>
            </w:r>
          </w:p>
          <w:p w:rsidR="00A332E0" w:rsidRPr="00525037" w:rsidRDefault="00A332E0" w:rsidP="00A332E0">
            <w:pPr>
              <w:jc w:val="both"/>
              <w:rPr>
                <w:sz w:val="20"/>
                <w:lang w:val="fr-CA"/>
              </w:rPr>
            </w:pPr>
          </w:p>
          <w:p w:rsidR="00A332E0" w:rsidRPr="00525037" w:rsidRDefault="00A332E0" w:rsidP="00A332E0">
            <w:pPr>
              <w:jc w:val="both"/>
              <w:rPr>
                <w:sz w:val="20"/>
                <w:lang w:val="fr-CA"/>
              </w:rPr>
            </w:pPr>
            <w:r w:rsidRPr="00525037">
              <w:rPr>
                <w:sz w:val="20"/>
                <w:lang w:val="fr-CA"/>
              </w:rPr>
              <w:t>Le 5 février 2021, la Cour d’appel du Québec rejette la demande en révision judiciaire, jugeant que la décision du ministre était raisonnable. Surtout, la Cour d’appel souligne le fait qu’un écart entre une peine étrangère et une peine canadienne ne peut pas, à lui seul, justifier un refus d’extradition vers l’État requérant.</w:t>
            </w:r>
          </w:p>
          <w:p w:rsidR="00A332E0" w:rsidRPr="00525037" w:rsidRDefault="00A332E0" w:rsidP="00A332E0">
            <w:pPr>
              <w:jc w:val="both"/>
              <w:rPr>
                <w:sz w:val="20"/>
                <w:lang w:val="fr-CA"/>
              </w:rPr>
            </w:pPr>
          </w:p>
        </w:tc>
      </w:tr>
      <w:tr w:rsidR="00A332E0" w:rsidRPr="00C26088" w:rsidTr="00E95A6A">
        <w:tc>
          <w:tcPr>
            <w:tcW w:w="2427" w:type="pct"/>
            <w:gridSpan w:val="2"/>
          </w:tcPr>
          <w:p w:rsidR="00A332E0" w:rsidRPr="00525037" w:rsidRDefault="00A332E0" w:rsidP="00A332E0">
            <w:pPr>
              <w:jc w:val="both"/>
              <w:rPr>
                <w:sz w:val="20"/>
                <w:lang w:val="fr-CA"/>
              </w:rPr>
            </w:pPr>
            <w:r w:rsidRPr="00525037">
              <w:rPr>
                <w:sz w:val="20"/>
                <w:lang w:val="fr-CA"/>
              </w:rPr>
              <w:lastRenderedPageBreak/>
              <w:t>Le 18 avril 2019</w:t>
            </w:r>
          </w:p>
          <w:p w:rsidR="00A332E0" w:rsidRPr="00525037" w:rsidRDefault="00A332E0" w:rsidP="00A332E0">
            <w:pPr>
              <w:jc w:val="both"/>
              <w:rPr>
                <w:sz w:val="20"/>
                <w:lang w:val="fr-CA"/>
              </w:rPr>
            </w:pPr>
            <w:r w:rsidRPr="00525037">
              <w:rPr>
                <w:sz w:val="20"/>
                <w:lang w:val="fr-CA"/>
              </w:rPr>
              <w:t>Ministre de la justice et procureur général du Canada (l’honorable David Lametti)</w:t>
            </w:r>
          </w:p>
          <w:p w:rsidR="00A332E0" w:rsidRPr="00525037" w:rsidRDefault="00A332E0" w:rsidP="00A332E0">
            <w:pPr>
              <w:jc w:val="both"/>
              <w:rPr>
                <w:sz w:val="20"/>
                <w:lang w:val="fr-CA"/>
              </w:rPr>
            </w:pPr>
          </w:p>
          <w:p w:rsidR="00A332E0" w:rsidRPr="00525037" w:rsidRDefault="00A332E0" w:rsidP="00A332E0">
            <w:pPr>
              <w:jc w:val="both"/>
              <w:rPr>
                <w:sz w:val="20"/>
                <w:lang w:val="fr-CA"/>
              </w:rPr>
            </w:pPr>
            <w:r w:rsidRPr="00525037">
              <w:rPr>
                <w:sz w:val="20"/>
                <w:lang w:val="fr-CA"/>
              </w:rPr>
              <w:t>Le 5 février 2021</w:t>
            </w:r>
          </w:p>
          <w:p w:rsidR="00A332E0" w:rsidRPr="00525037" w:rsidRDefault="00A332E0" w:rsidP="00A332E0">
            <w:pPr>
              <w:jc w:val="both"/>
              <w:rPr>
                <w:sz w:val="20"/>
                <w:lang w:val="fr-CA"/>
              </w:rPr>
            </w:pPr>
            <w:r w:rsidRPr="00525037">
              <w:rPr>
                <w:sz w:val="20"/>
                <w:lang w:val="fr-CA"/>
              </w:rPr>
              <w:t>Cour d’appel du Québec (Montréal)</w:t>
            </w:r>
          </w:p>
          <w:p w:rsidR="00A332E0" w:rsidRPr="00525037" w:rsidRDefault="00A332E0" w:rsidP="00A332E0">
            <w:pPr>
              <w:jc w:val="both"/>
              <w:rPr>
                <w:sz w:val="20"/>
                <w:lang w:val="fr-CA"/>
              </w:rPr>
            </w:pPr>
            <w:r w:rsidRPr="00525037">
              <w:rPr>
                <w:sz w:val="20"/>
                <w:lang w:val="fr-CA"/>
              </w:rPr>
              <w:t>(les juges Gagnon, Vauclair et Sansfaçon)</w:t>
            </w:r>
          </w:p>
          <w:p w:rsidR="00A332E0" w:rsidRPr="00525037" w:rsidRDefault="00C26088" w:rsidP="00A332E0">
            <w:pPr>
              <w:jc w:val="both"/>
              <w:rPr>
                <w:sz w:val="20"/>
              </w:rPr>
            </w:pPr>
            <w:hyperlink r:id="rId22" w:history="1">
              <w:r w:rsidR="00A332E0" w:rsidRPr="00525037">
                <w:rPr>
                  <w:rStyle w:val="Hyperlink"/>
                  <w:sz w:val="20"/>
                </w:rPr>
                <w:t>2021 QCCA 259</w:t>
              </w:r>
            </w:hyperlink>
          </w:p>
          <w:p w:rsidR="00A332E0" w:rsidRPr="00525037" w:rsidRDefault="00A332E0" w:rsidP="00A332E0">
            <w:pPr>
              <w:jc w:val="both"/>
              <w:rPr>
                <w:sz w:val="20"/>
              </w:rPr>
            </w:pPr>
          </w:p>
        </w:tc>
        <w:tc>
          <w:tcPr>
            <w:tcW w:w="243" w:type="pct"/>
          </w:tcPr>
          <w:p w:rsidR="00A332E0" w:rsidRPr="00525037" w:rsidRDefault="00A332E0" w:rsidP="00A332E0">
            <w:pPr>
              <w:jc w:val="both"/>
              <w:rPr>
                <w:sz w:val="20"/>
              </w:rPr>
            </w:pPr>
          </w:p>
        </w:tc>
        <w:tc>
          <w:tcPr>
            <w:tcW w:w="2330" w:type="pct"/>
          </w:tcPr>
          <w:p w:rsidR="00A332E0" w:rsidRPr="00525037" w:rsidRDefault="00A332E0" w:rsidP="00A332E0">
            <w:pPr>
              <w:jc w:val="both"/>
              <w:rPr>
                <w:sz w:val="20"/>
                <w:lang w:val="fr-CA"/>
              </w:rPr>
            </w:pPr>
            <w:r w:rsidRPr="00525037">
              <w:rPr>
                <w:sz w:val="20"/>
                <w:lang w:val="fr-CA"/>
              </w:rPr>
              <w:t>Décision ordonnant l’extradition de M. Damgajian; arrêté d’extradition émis</w:t>
            </w:r>
          </w:p>
          <w:p w:rsidR="00A332E0" w:rsidRPr="00525037" w:rsidRDefault="00A332E0" w:rsidP="00A332E0">
            <w:pPr>
              <w:jc w:val="both"/>
              <w:rPr>
                <w:sz w:val="20"/>
                <w:lang w:val="fr-CA"/>
              </w:rPr>
            </w:pPr>
          </w:p>
          <w:p w:rsidR="00A332E0" w:rsidRPr="00525037" w:rsidRDefault="00A332E0" w:rsidP="00A332E0">
            <w:pPr>
              <w:jc w:val="both"/>
              <w:rPr>
                <w:sz w:val="20"/>
                <w:lang w:val="fr-CA"/>
              </w:rPr>
            </w:pPr>
          </w:p>
          <w:p w:rsidR="00A332E0" w:rsidRPr="00525037" w:rsidRDefault="00A332E0" w:rsidP="00A332E0">
            <w:pPr>
              <w:jc w:val="both"/>
              <w:rPr>
                <w:sz w:val="20"/>
                <w:lang w:val="fr-CA"/>
              </w:rPr>
            </w:pPr>
            <w:r w:rsidRPr="00525037">
              <w:rPr>
                <w:sz w:val="20"/>
                <w:lang w:val="fr-CA"/>
              </w:rPr>
              <w:t>Demande en révision judiciaire déposée par M. Damgajian — rejetée</w:t>
            </w:r>
          </w:p>
          <w:p w:rsidR="00A332E0" w:rsidRPr="00525037" w:rsidRDefault="00A332E0" w:rsidP="00A332E0">
            <w:pPr>
              <w:jc w:val="both"/>
              <w:rPr>
                <w:sz w:val="20"/>
                <w:lang w:val="fr-CA"/>
              </w:rPr>
            </w:pPr>
          </w:p>
        </w:tc>
      </w:tr>
      <w:tr w:rsidR="00A332E0" w:rsidRPr="00C26088" w:rsidTr="00E95A6A">
        <w:tc>
          <w:tcPr>
            <w:tcW w:w="2427" w:type="pct"/>
            <w:gridSpan w:val="2"/>
          </w:tcPr>
          <w:p w:rsidR="00A332E0" w:rsidRPr="00525037" w:rsidRDefault="00A332E0" w:rsidP="00A332E0">
            <w:pPr>
              <w:jc w:val="both"/>
              <w:rPr>
                <w:sz w:val="20"/>
                <w:lang w:val="fr-CA"/>
              </w:rPr>
            </w:pPr>
            <w:r w:rsidRPr="00525037">
              <w:rPr>
                <w:sz w:val="20"/>
                <w:lang w:val="fr-CA"/>
              </w:rPr>
              <w:t>Le 6 avril 2021</w:t>
            </w:r>
          </w:p>
          <w:p w:rsidR="00A332E0" w:rsidRPr="00525037" w:rsidRDefault="00A332E0" w:rsidP="00A332E0">
            <w:pPr>
              <w:jc w:val="both"/>
              <w:rPr>
                <w:sz w:val="20"/>
                <w:lang w:val="fr-CA"/>
              </w:rPr>
            </w:pPr>
            <w:r w:rsidRPr="00525037">
              <w:rPr>
                <w:sz w:val="20"/>
                <w:lang w:val="fr-CA"/>
              </w:rPr>
              <w:t>Cour suprême du Canada</w:t>
            </w:r>
          </w:p>
        </w:tc>
        <w:tc>
          <w:tcPr>
            <w:tcW w:w="243" w:type="pct"/>
          </w:tcPr>
          <w:p w:rsidR="00A332E0" w:rsidRPr="00525037" w:rsidRDefault="00A332E0" w:rsidP="00A332E0">
            <w:pPr>
              <w:jc w:val="both"/>
              <w:rPr>
                <w:sz w:val="20"/>
                <w:lang w:val="fr-CA"/>
              </w:rPr>
            </w:pPr>
          </w:p>
        </w:tc>
        <w:tc>
          <w:tcPr>
            <w:tcW w:w="2330" w:type="pct"/>
          </w:tcPr>
          <w:p w:rsidR="00A332E0" w:rsidRPr="00525037" w:rsidRDefault="00A332E0" w:rsidP="006F2E04">
            <w:pPr>
              <w:jc w:val="both"/>
              <w:rPr>
                <w:sz w:val="20"/>
                <w:lang w:val="fr-CA"/>
              </w:rPr>
            </w:pPr>
            <w:r w:rsidRPr="00525037">
              <w:rPr>
                <w:sz w:val="20"/>
                <w:lang w:val="fr-CA"/>
              </w:rPr>
              <w:t>Demande d’autorisation d’appel déposée par M. Damgajian</w:t>
            </w:r>
          </w:p>
        </w:tc>
      </w:tr>
    </w:tbl>
    <w:p w:rsidR="00A332E0" w:rsidRPr="00525037" w:rsidRDefault="00A332E0" w:rsidP="00BB19C2">
      <w:pPr>
        <w:widowControl w:val="0"/>
        <w:jc w:val="both"/>
        <w:rPr>
          <w:sz w:val="20"/>
          <w:lang w:val="fr-CA"/>
        </w:rPr>
      </w:pPr>
    </w:p>
    <w:p w:rsidR="00A332E0" w:rsidRPr="00525037" w:rsidRDefault="00C26088" w:rsidP="00BB19C2">
      <w:pPr>
        <w:widowControl w:val="0"/>
        <w:jc w:val="both"/>
        <w:rPr>
          <w:sz w:val="20"/>
        </w:rPr>
      </w:pPr>
      <w:r>
        <w:rPr>
          <w:sz w:val="20"/>
        </w:rPr>
        <w:pict>
          <v:rect id="_x0000_i1032" style="width:2in;height:1pt" o:hrpct="0" o:hralign="center" o:hrstd="t" o:hrnoshade="t" o:hr="t" fillcolor="black [3213]" stroked="f"/>
        </w:pict>
      </w:r>
    </w:p>
    <w:p w:rsidR="00A332E0" w:rsidRPr="00525037" w:rsidRDefault="00A332E0" w:rsidP="00BB19C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86AEC" w:rsidRPr="00525037" w:rsidTr="00E95A6A">
        <w:tc>
          <w:tcPr>
            <w:tcW w:w="543" w:type="pct"/>
          </w:tcPr>
          <w:p w:rsidR="00086AEC" w:rsidRPr="00525037" w:rsidRDefault="00086AEC" w:rsidP="00086AEC">
            <w:pPr>
              <w:jc w:val="both"/>
              <w:rPr>
                <w:sz w:val="20"/>
              </w:rPr>
            </w:pPr>
            <w:r w:rsidRPr="00525037">
              <w:rPr>
                <w:rStyle w:val="SCCFileNumberChar"/>
                <w:sz w:val="20"/>
                <w:szCs w:val="20"/>
              </w:rPr>
              <w:t>38866</w:t>
            </w:r>
          </w:p>
        </w:tc>
        <w:tc>
          <w:tcPr>
            <w:tcW w:w="4457" w:type="pct"/>
            <w:gridSpan w:val="3"/>
          </w:tcPr>
          <w:p w:rsidR="00086AEC" w:rsidRPr="00525037" w:rsidRDefault="00086AEC" w:rsidP="00086AEC">
            <w:pPr>
              <w:pStyle w:val="SCCLsocParty"/>
              <w:jc w:val="both"/>
              <w:rPr>
                <w:b/>
                <w:sz w:val="20"/>
                <w:szCs w:val="20"/>
                <w:lang w:val="en-US"/>
              </w:rPr>
            </w:pPr>
            <w:r w:rsidRPr="00525037">
              <w:rPr>
                <w:b/>
                <w:sz w:val="20"/>
                <w:szCs w:val="20"/>
                <w:lang w:val="en-US"/>
              </w:rPr>
              <w:t>Minassian Family v. Postmedia Network Inc., The Canadian Broadcasting Corporation, Toronto Star Newspapers Limited, Corus Entertainment Inc., CTV News a Division of Bell Media Inc., The Globe and Mail Inc., The Canadian Press Entreprises Inc.</w:t>
            </w:r>
          </w:p>
          <w:p w:rsidR="00086AEC" w:rsidRPr="00525037" w:rsidRDefault="00086AEC" w:rsidP="00086AEC">
            <w:pPr>
              <w:pStyle w:val="SCCLsocSubfileSeparator"/>
              <w:rPr>
                <w:sz w:val="20"/>
                <w:szCs w:val="20"/>
              </w:rPr>
            </w:pPr>
            <w:r w:rsidRPr="00525037">
              <w:rPr>
                <w:sz w:val="20"/>
                <w:szCs w:val="20"/>
              </w:rPr>
              <w:t>- and between -</w:t>
            </w:r>
          </w:p>
          <w:p w:rsidR="00086AEC" w:rsidRPr="00525037" w:rsidRDefault="00086AEC" w:rsidP="00086AEC">
            <w:pPr>
              <w:pStyle w:val="SCCLsocParty"/>
              <w:jc w:val="both"/>
              <w:rPr>
                <w:b/>
                <w:sz w:val="20"/>
                <w:szCs w:val="20"/>
                <w:lang w:val="en-US"/>
              </w:rPr>
            </w:pPr>
            <w:r w:rsidRPr="00525037">
              <w:rPr>
                <w:b/>
                <w:sz w:val="20"/>
                <w:szCs w:val="20"/>
                <w:lang w:val="en-US"/>
              </w:rPr>
              <w:t>Her Majesty the Queen</w:t>
            </w:r>
          </w:p>
          <w:p w:rsidR="00086AEC" w:rsidRPr="00525037" w:rsidRDefault="00086AEC" w:rsidP="00086AEC">
            <w:pPr>
              <w:pStyle w:val="SCCLsocSubfileSeparator"/>
              <w:rPr>
                <w:sz w:val="20"/>
                <w:szCs w:val="20"/>
              </w:rPr>
            </w:pPr>
            <w:r w:rsidRPr="00525037">
              <w:rPr>
                <w:sz w:val="20"/>
                <w:szCs w:val="20"/>
              </w:rPr>
              <w:t>- and between -</w:t>
            </w:r>
          </w:p>
          <w:p w:rsidR="00086AEC" w:rsidRPr="00525037" w:rsidRDefault="00086AEC" w:rsidP="00086AEC">
            <w:pPr>
              <w:pStyle w:val="SCCLsocParty"/>
              <w:jc w:val="both"/>
              <w:rPr>
                <w:b/>
                <w:sz w:val="20"/>
                <w:szCs w:val="20"/>
                <w:lang w:val="en-US"/>
              </w:rPr>
            </w:pPr>
            <w:r w:rsidRPr="00525037">
              <w:rPr>
                <w:b/>
                <w:sz w:val="20"/>
                <w:szCs w:val="20"/>
                <w:lang w:val="en-US"/>
              </w:rPr>
              <w:t>Alek Minassian</w:t>
            </w:r>
          </w:p>
          <w:p w:rsidR="00086AEC" w:rsidRPr="00525037" w:rsidRDefault="00086AEC" w:rsidP="00086AEC">
            <w:pPr>
              <w:jc w:val="both"/>
              <w:rPr>
                <w:sz w:val="20"/>
              </w:rPr>
            </w:pPr>
            <w:r w:rsidRPr="00525037">
              <w:rPr>
                <w:sz w:val="20"/>
              </w:rPr>
              <w:t>(Ont.) (Civil) (By Leave)</w:t>
            </w:r>
          </w:p>
        </w:tc>
      </w:tr>
      <w:tr w:rsidR="00086AEC" w:rsidRPr="00525037" w:rsidTr="00E95A6A">
        <w:tc>
          <w:tcPr>
            <w:tcW w:w="5000" w:type="pct"/>
            <w:gridSpan w:val="4"/>
          </w:tcPr>
          <w:p w:rsidR="00086AEC" w:rsidRPr="00525037" w:rsidRDefault="00086AEC" w:rsidP="00086AEC">
            <w:pPr>
              <w:jc w:val="both"/>
              <w:rPr>
                <w:sz w:val="20"/>
              </w:rPr>
            </w:pPr>
            <w:r w:rsidRPr="00525037">
              <w:rPr>
                <w:sz w:val="20"/>
                <w:lang w:val="en"/>
              </w:rPr>
              <w:t>(</w:t>
            </w:r>
            <w:r w:rsidRPr="00525037">
              <w:rPr>
                <w:smallCaps/>
                <w:sz w:val="20"/>
                <w:lang w:val="en"/>
              </w:rPr>
              <w:t>Sealing order and Publication ban in case</w:t>
            </w:r>
            <w:r w:rsidRPr="00525037">
              <w:rPr>
                <w:sz w:val="20"/>
                <w:lang w:val="en"/>
              </w:rPr>
              <w:t>)</w:t>
            </w:r>
          </w:p>
          <w:p w:rsidR="00086AEC" w:rsidRPr="00525037" w:rsidRDefault="00086AEC" w:rsidP="00086AEC">
            <w:pPr>
              <w:pStyle w:val="SCCBanSummary"/>
              <w:rPr>
                <w:sz w:val="20"/>
                <w:szCs w:val="20"/>
              </w:rPr>
            </w:pPr>
          </w:p>
          <w:p w:rsidR="00086AEC" w:rsidRPr="00525037" w:rsidRDefault="00086AEC" w:rsidP="00086AEC">
            <w:pPr>
              <w:jc w:val="both"/>
              <w:rPr>
                <w:sz w:val="20"/>
              </w:rPr>
            </w:pPr>
            <w:r w:rsidRPr="00525037">
              <w:rPr>
                <w:sz w:val="20"/>
              </w:rPr>
              <w:t>Criminal law — Publication bans and sealing orders — Family members of an accused seeking sealing order over some information filed in pre</w:t>
            </w:r>
            <w:r w:rsidRPr="00525037">
              <w:rPr>
                <w:sz w:val="20"/>
              </w:rPr>
              <w:noBreakHyphen/>
              <w:t xml:space="preserve">trial applications relating to material seized from their residence — Ontario Superior Court of Justice dismissing application — Whether Ontario Superior Court of Justice erred in finding the broader public interest outweighed the privacy interest of innocent third parties — Whether the Court should recognize broader categories of publication bans analogous to existing </w:t>
            </w:r>
            <w:r w:rsidRPr="00525037">
              <w:rPr>
                <w:i/>
                <w:sz w:val="20"/>
              </w:rPr>
              <w:t>Criminal Code</w:t>
            </w:r>
            <w:r w:rsidRPr="00525037">
              <w:rPr>
                <w:sz w:val="20"/>
              </w:rPr>
              <w:t xml:space="preserve"> provisions — Whether there continues to be a jurisdictional lacuna in respect to appeals of publication bans and sealing orders requiring the attention and action of Parliament.</w:t>
            </w:r>
          </w:p>
        </w:tc>
      </w:tr>
      <w:tr w:rsidR="00086AEC" w:rsidRPr="00525037" w:rsidTr="00E95A6A">
        <w:tc>
          <w:tcPr>
            <w:tcW w:w="5000" w:type="pct"/>
            <w:gridSpan w:val="4"/>
          </w:tcPr>
          <w:p w:rsidR="00086AEC" w:rsidRPr="00525037" w:rsidRDefault="00086AEC" w:rsidP="00086AEC">
            <w:pPr>
              <w:jc w:val="both"/>
              <w:rPr>
                <w:sz w:val="20"/>
              </w:rPr>
            </w:pPr>
          </w:p>
        </w:tc>
      </w:tr>
      <w:tr w:rsidR="00086AEC" w:rsidRPr="00525037" w:rsidTr="00E95A6A">
        <w:tc>
          <w:tcPr>
            <w:tcW w:w="5000" w:type="pct"/>
            <w:gridSpan w:val="4"/>
          </w:tcPr>
          <w:p w:rsidR="00086AEC" w:rsidRPr="00525037" w:rsidRDefault="00086AEC" w:rsidP="00086AEC">
            <w:pPr>
              <w:jc w:val="both"/>
              <w:rPr>
                <w:sz w:val="20"/>
              </w:rPr>
            </w:pPr>
            <w:r w:rsidRPr="00525037">
              <w:rPr>
                <w:sz w:val="20"/>
              </w:rPr>
              <w:t>Following an arrest, the police executed a search warrant of the accused’s residence, which he shared with family members. During pre</w:t>
            </w:r>
            <w:r w:rsidRPr="00525037">
              <w:rPr>
                <w:sz w:val="20"/>
              </w:rPr>
              <w:noBreakHyphen/>
              <w:t>trial applications, there were references to material that the police discovered during their search of the residence. The family members sought a sealing order over that information. The Superior Court dismissed the family members’ application for a sealing order, finding that the deleterious effects of the sealing order for the broader public interest outweighed the family’s interest in protecting its privacy. In a subsequent decision, it agreed not to lift the temporary sealing order it had previously issued until further order.</w:t>
            </w:r>
          </w:p>
          <w:p w:rsidR="00086AEC" w:rsidRPr="00525037" w:rsidRDefault="00086AEC" w:rsidP="00086AEC">
            <w:pPr>
              <w:jc w:val="both"/>
              <w:rPr>
                <w:sz w:val="20"/>
              </w:rPr>
            </w:pPr>
          </w:p>
        </w:tc>
      </w:tr>
      <w:tr w:rsidR="00086AEC" w:rsidRPr="00525037" w:rsidTr="00E95A6A">
        <w:tc>
          <w:tcPr>
            <w:tcW w:w="2427" w:type="pct"/>
            <w:gridSpan w:val="2"/>
          </w:tcPr>
          <w:p w:rsidR="00086AEC" w:rsidRPr="00525037" w:rsidRDefault="00086AEC" w:rsidP="00086AEC">
            <w:pPr>
              <w:jc w:val="both"/>
              <w:rPr>
                <w:sz w:val="20"/>
              </w:rPr>
            </w:pPr>
            <w:r w:rsidRPr="00525037">
              <w:rPr>
                <w:sz w:val="20"/>
              </w:rPr>
              <w:t>August 16, 2019</w:t>
            </w:r>
          </w:p>
          <w:p w:rsidR="00086AEC" w:rsidRPr="00525037" w:rsidRDefault="00086AEC" w:rsidP="00086AEC">
            <w:pPr>
              <w:jc w:val="both"/>
              <w:rPr>
                <w:sz w:val="20"/>
              </w:rPr>
            </w:pPr>
            <w:r w:rsidRPr="00525037">
              <w:rPr>
                <w:sz w:val="20"/>
              </w:rPr>
              <w:t>Ontario Superior Court of Justice</w:t>
            </w:r>
          </w:p>
          <w:p w:rsidR="00086AEC" w:rsidRPr="00525037" w:rsidRDefault="00086AEC" w:rsidP="00086AEC">
            <w:pPr>
              <w:jc w:val="both"/>
              <w:rPr>
                <w:sz w:val="20"/>
              </w:rPr>
            </w:pPr>
            <w:r w:rsidRPr="00525037">
              <w:rPr>
                <w:sz w:val="20"/>
              </w:rPr>
              <w:t>(Molloy J.)</w:t>
            </w:r>
          </w:p>
          <w:p w:rsidR="00086AEC" w:rsidRPr="00525037" w:rsidRDefault="00C26088" w:rsidP="00086AEC">
            <w:pPr>
              <w:jc w:val="both"/>
              <w:rPr>
                <w:sz w:val="20"/>
              </w:rPr>
            </w:pPr>
            <w:hyperlink r:id="rId23" w:history="1">
              <w:r w:rsidR="00086AEC" w:rsidRPr="00525037">
                <w:rPr>
                  <w:rStyle w:val="Hyperlink"/>
                  <w:sz w:val="20"/>
                </w:rPr>
                <w:t>2019 ONSC 4455</w:t>
              </w:r>
            </w:hyperlink>
          </w:p>
          <w:p w:rsidR="00086AEC" w:rsidRPr="00525037" w:rsidRDefault="00086AEC" w:rsidP="00086AEC">
            <w:pPr>
              <w:jc w:val="both"/>
              <w:rPr>
                <w:sz w:val="20"/>
              </w:rPr>
            </w:pPr>
          </w:p>
        </w:tc>
        <w:tc>
          <w:tcPr>
            <w:tcW w:w="243" w:type="pct"/>
          </w:tcPr>
          <w:p w:rsidR="00086AEC" w:rsidRPr="00525037" w:rsidRDefault="00086AEC" w:rsidP="00086AEC">
            <w:pPr>
              <w:jc w:val="both"/>
              <w:rPr>
                <w:sz w:val="20"/>
              </w:rPr>
            </w:pPr>
          </w:p>
        </w:tc>
        <w:tc>
          <w:tcPr>
            <w:tcW w:w="2330" w:type="pct"/>
          </w:tcPr>
          <w:p w:rsidR="00086AEC" w:rsidRPr="00525037" w:rsidRDefault="00086AEC" w:rsidP="00086AEC">
            <w:pPr>
              <w:jc w:val="both"/>
              <w:rPr>
                <w:sz w:val="20"/>
              </w:rPr>
            </w:pPr>
            <w:r w:rsidRPr="00525037">
              <w:rPr>
                <w:sz w:val="20"/>
              </w:rPr>
              <w:t>Application for a sealing order over some aspects of material filed by the Crown on pre-trial applications dismissed; implementation delayed — temporary sealing order and publication ban to be lifted September 27, 2019.</w:t>
            </w:r>
          </w:p>
          <w:p w:rsidR="00086AEC" w:rsidRPr="00525037" w:rsidRDefault="00086AEC" w:rsidP="00086AEC">
            <w:pPr>
              <w:jc w:val="both"/>
              <w:rPr>
                <w:sz w:val="20"/>
              </w:rPr>
            </w:pPr>
          </w:p>
        </w:tc>
      </w:tr>
      <w:tr w:rsidR="00086AEC" w:rsidRPr="00525037" w:rsidTr="00E95A6A">
        <w:tc>
          <w:tcPr>
            <w:tcW w:w="2427" w:type="pct"/>
            <w:gridSpan w:val="2"/>
          </w:tcPr>
          <w:p w:rsidR="00086AEC" w:rsidRPr="00525037" w:rsidRDefault="00086AEC" w:rsidP="00086AEC">
            <w:pPr>
              <w:jc w:val="both"/>
              <w:rPr>
                <w:sz w:val="20"/>
              </w:rPr>
            </w:pPr>
            <w:r w:rsidRPr="00525037">
              <w:rPr>
                <w:sz w:val="20"/>
              </w:rPr>
              <w:t>September 19, 2019</w:t>
            </w:r>
          </w:p>
          <w:p w:rsidR="00086AEC" w:rsidRPr="00525037" w:rsidRDefault="00086AEC" w:rsidP="00086AEC">
            <w:pPr>
              <w:jc w:val="both"/>
              <w:rPr>
                <w:sz w:val="20"/>
              </w:rPr>
            </w:pPr>
            <w:r w:rsidRPr="00525037">
              <w:rPr>
                <w:sz w:val="20"/>
              </w:rPr>
              <w:t>Ontario Superior Court of Justice</w:t>
            </w:r>
          </w:p>
          <w:p w:rsidR="00086AEC" w:rsidRPr="00525037" w:rsidRDefault="00086AEC" w:rsidP="00086AEC">
            <w:pPr>
              <w:jc w:val="both"/>
              <w:rPr>
                <w:sz w:val="20"/>
              </w:rPr>
            </w:pPr>
            <w:r w:rsidRPr="00525037">
              <w:rPr>
                <w:sz w:val="20"/>
              </w:rPr>
              <w:t>(Molloy J.)</w:t>
            </w:r>
          </w:p>
          <w:p w:rsidR="00086AEC" w:rsidRPr="00525037" w:rsidRDefault="00086AEC" w:rsidP="00086AEC">
            <w:pPr>
              <w:jc w:val="both"/>
              <w:rPr>
                <w:sz w:val="20"/>
              </w:rPr>
            </w:pPr>
            <w:r w:rsidRPr="00525037">
              <w:rPr>
                <w:sz w:val="20"/>
              </w:rPr>
              <w:t>Not reported</w:t>
            </w:r>
          </w:p>
          <w:p w:rsidR="00086AEC" w:rsidRPr="00525037" w:rsidRDefault="00086AEC" w:rsidP="00086AEC">
            <w:pPr>
              <w:jc w:val="both"/>
              <w:rPr>
                <w:sz w:val="20"/>
              </w:rPr>
            </w:pPr>
          </w:p>
        </w:tc>
        <w:tc>
          <w:tcPr>
            <w:tcW w:w="243" w:type="pct"/>
          </w:tcPr>
          <w:p w:rsidR="00086AEC" w:rsidRPr="00525037" w:rsidRDefault="00086AEC" w:rsidP="00086AEC">
            <w:pPr>
              <w:jc w:val="both"/>
              <w:rPr>
                <w:sz w:val="20"/>
              </w:rPr>
            </w:pPr>
          </w:p>
        </w:tc>
        <w:tc>
          <w:tcPr>
            <w:tcW w:w="2330" w:type="pct"/>
          </w:tcPr>
          <w:p w:rsidR="00086AEC" w:rsidRPr="00525037" w:rsidRDefault="00086AEC" w:rsidP="00086AEC">
            <w:pPr>
              <w:jc w:val="both"/>
              <w:rPr>
                <w:sz w:val="20"/>
              </w:rPr>
            </w:pPr>
            <w:r w:rsidRPr="00525037">
              <w:rPr>
                <w:sz w:val="20"/>
              </w:rPr>
              <w:t>Application for a stay over the lifting of the temporary sealing order granted; certain material to remain sealed until further order.</w:t>
            </w:r>
          </w:p>
        </w:tc>
      </w:tr>
      <w:tr w:rsidR="00086AEC" w:rsidRPr="00525037" w:rsidTr="00E95A6A">
        <w:tc>
          <w:tcPr>
            <w:tcW w:w="2427" w:type="pct"/>
            <w:gridSpan w:val="2"/>
          </w:tcPr>
          <w:p w:rsidR="00086AEC" w:rsidRPr="00525037" w:rsidRDefault="00086AEC" w:rsidP="00086AEC">
            <w:pPr>
              <w:jc w:val="both"/>
              <w:rPr>
                <w:sz w:val="20"/>
              </w:rPr>
            </w:pPr>
            <w:r w:rsidRPr="00525037">
              <w:rPr>
                <w:sz w:val="20"/>
              </w:rPr>
              <w:t>October 15, 2019</w:t>
            </w:r>
          </w:p>
          <w:p w:rsidR="00086AEC" w:rsidRPr="00525037" w:rsidRDefault="00086AEC" w:rsidP="00086AEC">
            <w:pPr>
              <w:jc w:val="both"/>
              <w:rPr>
                <w:sz w:val="20"/>
              </w:rPr>
            </w:pPr>
            <w:r w:rsidRPr="00525037">
              <w:rPr>
                <w:sz w:val="20"/>
              </w:rPr>
              <w:t>Supreme Court of Canada</w:t>
            </w:r>
          </w:p>
        </w:tc>
        <w:tc>
          <w:tcPr>
            <w:tcW w:w="243" w:type="pct"/>
          </w:tcPr>
          <w:p w:rsidR="00086AEC" w:rsidRPr="00525037" w:rsidRDefault="00086AEC" w:rsidP="00086AEC">
            <w:pPr>
              <w:jc w:val="both"/>
              <w:rPr>
                <w:sz w:val="20"/>
              </w:rPr>
            </w:pPr>
          </w:p>
        </w:tc>
        <w:tc>
          <w:tcPr>
            <w:tcW w:w="2330" w:type="pct"/>
          </w:tcPr>
          <w:p w:rsidR="00086AEC" w:rsidRPr="00525037" w:rsidRDefault="00086AEC" w:rsidP="00086AEC">
            <w:pPr>
              <w:jc w:val="both"/>
              <w:rPr>
                <w:sz w:val="20"/>
              </w:rPr>
            </w:pPr>
            <w:r w:rsidRPr="00525037">
              <w:rPr>
                <w:sz w:val="20"/>
              </w:rPr>
              <w:t>Application for leave to appeal filed.</w:t>
            </w:r>
          </w:p>
        </w:tc>
      </w:tr>
    </w:tbl>
    <w:p w:rsidR="00086AEC" w:rsidRPr="00525037" w:rsidRDefault="00086AEC" w:rsidP="00086AEC">
      <w:pPr>
        <w:jc w:val="both"/>
        <w:rPr>
          <w:sz w:val="20"/>
        </w:rPr>
      </w:pPr>
    </w:p>
    <w:p w:rsidR="00086AEC" w:rsidRPr="00525037" w:rsidRDefault="00C26088" w:rsidP="00086AEC">
      <w:pPr>
        <w:jc w:val="both"/>
        <w:rPr>
          <w:sz w:val="20"/>
        </w:rPr>
      </w:pPr>
      <w:r>
        <w:rPr>
          <w:sz w:val="20"/>
        </w:rPr>
        <w:pict>
          <v:rect id="_x0000_i1033" style="width:2in;height:1pt" o:hrpct="0" o:hralign="center" o:hrstd="t" o:hrnoshade="t" o:hr="t" fillcolor="black [3213]" stroked="f"/>
        </w:pict>
      </w:r>
    </w:p>
    <w:p w:rsidR="00086AEC" w:rsidRPr="00525037" w:rsidRDefault="00086AEC" w:rsidP="00086AE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86AEC" w:rsidRPr="00C26088" w:rsidTr="00E95A6A">
        <w:tc>
          <w:tcPr>
            <w:tcW w:w="543" w:type="pct"/>
          </w:tcPr>
          <w:p w:rsidR="00086AEC" w:rsidRPr="00525037" w:rsidRDefault="00086AEC" w:rsidP="00086AEC">
            <w:pPr>
              <w:jc w:val="both"/>
              <w:rPr>
                <w:sz w:val="20"/>
                <w:lang w:val="fr-CA"/>
              </w:rPr>
            </w:pPr>
            <w:r w:rsidRPr="00525037">
              <w:rPr>
                <w:rStyle w:val="SCCFileNumberChar"/>
                <w:sz w:val="20"/>
                <w:szCs w:val="20"/>
                <w:lang w:val="fr-CA"/>
              </w:rPr>
              <w:lastRenderedPageBreak/>
              <w:t>38866</w:t>
            </w:r>
          </w:p>
        </w:tc>
        <w:tc>
          <w:tcPr>
            <w:tcW w:w="4457" w:type="pct"/>
            <w:gridSpan w:val="3"/>
          </w:tcPr>
          <w:p w:rsidR="00086AEC" w:rsidRPr="00525037" w:rsidRDefault="00086AEC" w:rsidP="00086AEC">
            <w:pPr>
              <w:pStyle w:val="SCCLsocParty"/>
              <w:jc w:val="both"/>
              <w:rPr>
                <w:b/>
                <w:sz w:val="20"/>
                <w:szCs w:val="20"/>
                <w:lang w:val="en-US"/>
              </w:rPr>
            </w:pPr>
            <w:r w:rsidRPr="00525037">
              <w:rPr>
                <w:b/>
                <w:sz w:val="20"/>
                <w:szCs w:val="20"/>
                <w:lang w:val="en-US"/>
              </w:rPr>
              <w:t>La famille Minassian c. Postmedia Network Inc., la Société Radio-Canada, Toronto Star Newspapers Limited, Corus Entertainment Inc., CTV News a Division of Bell Media Inc., The Globe and Mail Inc., The Canadian Press Entreprises Inc.</w:t>
            </w:r>
          </w:p>
          <w:p w:rsidR="00086AEC" w:rsidRPr="00525037" w:rsidRDefault="00086AEC" w:rsidP="00086AEC">
            <w:pPr>
              <w:pStyle w:val="SCCLsocSubfileSeparator"/>
              <w:rPr>
                <w:sz w:val="20"/>
                <w:szCs w:val="20"/>
                <w:lang w:val="fr-CA"/>
              </w:rPr>
            </w:pPr>
            <w:r w:rsidRPr="00525037">
              <w:rPr>
                <w:sz w:val="20"/>
                <w:szCs w:val="20"/>
                <w:lang w:val="fr-CA"/>
              </w:rPr>
              <w:t>- et entre -</w:t>
            </w:r>
          </w:p>
          <w:p w:rsidR="00086AEC" w:rsidRPr="00525037" w:rsidRDefault="00086AEC" w:rsidP="00086AEC">
            <w:pPr>
              <w:pStyle w:val="SCCLsocParty"/>
              <w:jc w:val="both"/>
              <w:rPr>
                <w:b/>
                <w:sz w:val="20"/>
                <w:szCs w:val="20"/>
              </w:rPr>
            </w:pPr>
            <w:r w:rsidRPr="00525037">
              <w:rPr>
                <w:b/>
                <w:sz w:val="20"/>
                <w:szCs w:val="20"/>
              </w:rPr>
              <w:t>Sa Majesté la Reine</w:t>
            </w:r>
          </w:p>
          <w:p w:rsidR="00086AEC" w:rsidRPr="00525037" w:rsidRDefault="00086AEC" w:rsidP="00086AEC">
            <w:pPr>
              <w:pStyle w:val="SCCLsocSubfileSeparator"/>
              <w:rPr>
                <w:sz w:val="20"/>
                <w:szCs w:val="20"/>
                <w:lang w:val="fr-CA"/>
              </w:rPr>
            </w:pPr>
            <w:r w:rsidRPr="00525037">
              <w:rPr>
                <w:sz w:val="20"/>
                <w:szCs w:val="20"/>
                <w:lang w:val="fr-CA"/>
              </w:rPr>
              <w:t>- et entre -</w:t>
            </w:r>
          </w:p>
          <w:p w:rsidR="00086AEC" w:rsidRPr="00525037" w:rsidRDefault="00086AEC" w:rsidP="00086AEC">
            <w:pPr>
              <w:pStyle w:val="SCCLsocParty"/>
              <w:jc w:val="both"/>
              <w:rPr>
                <w:b/>
                <w:sz w:val="20"/>
                <w:szCs w:val="20"/>
              </w:rPr>
            </w:pPr>
            <w:r w:rsidRPr="00525037">
              <w:rPr>
                <w:b/>
                <w:sz w:val="20"/>
                <w:szCs w:val="20"/>
              </w:rPr>
              <w:t>Alek Minassian</w:t>
            </w:r>
          </w:p>
          <w:p w:rsidR="00086AEC" w:rsidRPr="00525037" w:rsidRDefault="00086AEC" w:rsidP="00086AEC">
            <w:pPr>
              <w:jc w:val="both"/>
              <w:rPr>
                <w:sz w:val="20"/>
                <w:lang w:val="fr-CA"/>
              </w:rPr>
            </w:pPr>
            <w:r w:rsidRPr="00525037">
              <w:rPr>
                <w:sz w:val="20"/>
                <w:lang w:val="fr-CA"/>
              </w:rPr>
              <w:t>(Ont.) (Civile) (Autorisation)</w:t>
            </w:r>
          </w:p>
        </w:tc>
      </w:tr>
      <w:tr w:rsidR="00086AEC" w:rsidRPr="00C26088" w:rsidTr="00E95A6A">
        <w:tc>
          <w:tcPr>
            <w:tcW w:w="5000" w:type="pct"/>
            <w:gridSpan w:val="4"/>
          </w:tcPr>
          <w:p w:rsidR="00086AEC" w:rsidRPr="00525037" w:rsidRDefault="00086AEC" w:rsidP="00086AEC">
            <w:pPr>
              <w:jc w:val="both"/>
              <w:rPr>
                <w:sz w:val="20"/>
                <w:lang w:val="fr-CA"/>
              </w:rPr>
            </w:pPr>
            <w:r w:rsidRPr="00525037">
              <w:rPr>
                <w:sz w:val="20"/>
                <w:lang w:val="fr-CA"/>
              </w:rPr>
              <w:t>(</w:t>
            </w:r>
            <w:r w:rsidRPr="00525037">
              <w:rPr>
                <w:smallCaps/>
                <w:sz w:val="20"/>
                <w:lang w:val="fr-CA"/>
              </w:rPr>
              <w:t>Ordonnance de mise sous scellés et interdiction de publication dans le dossier</w:t>
            </w:r>
            <w:r w:rsidRPr="00525037">
              <w:rPr>
                <w:sz w:val="20"/>
                <w:lang w:val="fr-CA"/>
              </w:rPr>
              <w:t>)</w:t>
            </w:r>
          </w:p>
          <w:p w:rsidR="00086AEC" w:rsidRPr="00525037" w:rsidRDefault="00086AEC" w:rsidP="00086AEC">
            <w:pPr>
              <w:pStyle w:val="SCCBanSummary"/>
              <w:rPr>
                <w:sz w:val="20"/>
                <w:szCs w:val="20"/>
                <w:lang w:val="fr-CA"/>
              </w:rPr>
            </w:pPr>
          </w:p>
          <w:p w:rsidR="00086AEC" w:rsidRPr="00525037" w:rsidRDefault="00086AEC" w:rsidP="00086AEC">
            <w:pPr>
              <w:jc w:val="both"/>
              <w:rPr>
                <w:sz w:val="20"/>
                <w:lang w:val="fr-CA"/>
              </w:rPr>
            </w:pPr>
            <w:r w:rsidRPr="00525037">
              <w:rPr>
                <w:sz w:val="20"/>
                <w:lang w:val="fr-CA"/>
              </w:rPr>
              <w:t>Droit criminel — Interdictions de publication et ordonnances de mise sous scellés — Les membres de la famille d’un accusé demandent une ordonnance de mise sous scellés ayant pour objet des renseignements déposés dans des requêtes préalables au procès liées à des documents saisis chez eux — La Cour supérieure de justice de l’Ontario a rejeté la demande — La Cour supérieure de justice de l’Ontario a</w:t>
            </w:r>
            <w:r w:rsidRPr="00525037">
              <w:rPr>
                <w:sz w:val="20"/>
                <w:lang w:val="fr-CA"/>
              </w:rPr>
              <w:noBreakHyphen/>
              <w:t>t</w:t>
            </w:r>
            <w:r w:rsidRPr="00525037">
              <w:rPr>
                <w:sz w:val="20"/>
                <w:lang w:val="fr-CA"/>
              </w:rPr>
              <w:noBreakHyphen/>
              <w:t>elle eu tort de conclure qu’un intérêt public général l’emportait sur le droit à la vie privée de tiers innocents? — La Cour devrait</w:t>
            </w:r>
            <w:r w:rsidRPr="00525037">
              <w:rPr>
                <w:sz w:val="20"/>
                <w:lang w:val="fr-CA"/>
              </w:rPr>
              <w:noBreakHyphen/>
              <w:t xml:space="preserve">elle reconnaître des catégories d’interdictions de publication plus larges, analogues aux dispositions actuelles du </w:t>
            </w:r>
            <w:r w:rsidRPr="00525037">
              <w:rPr>
                <w:i/>
                <w:sz w:val="20"/>
                <w:lang w:val="fr-CA"/>
              </w:rPr>
              <w:t>Code criminel</w:t>
            </w:r>
            <w:r w:rsidRPr="00525037">
              <w:rPr>
                <w:sz w:val="20"/>
                <w:lang w:val="fr-CA"/>
              </w:rPr>
              <w:t>? — Existe</w:t>
            </w:r>
            <w:r w:rsidRPr="00525037">
              <w:rPr>
                <w:sz w:val="20"/>
                <w:lang w:val="fr-CA"/>
              </w:rPr>
              <w:noBreakHyphen/>
              <w:t>t</w:t>
            </w:r>
            <w:r w:rsidRPr="00525037">
              <w:rPr>
                <w:sz w:val="20"/>
                <w:lang w:val="fr-CA"/>
              </w:rPr>
              <w:noBreakHyphen/>
              <w:t>il toujours une lacune en ce qui concerne les appels d’interdictions de publication et d’ordonnances de mise sous scellés nécessitant l’attention et l’intervention du Parlement?</w:t>
            </w:r>
          </w:p>
        </w:tc>
      </w:tr>
      <w:tr w:rsidR="00086AEC" w:rsidRPr="00C26088" w:rsidTr="00E95A6A">
        <w:tc>
          <w:tcPr>
            <w:tcW w:w="5000" w:type="pct"/>
            <w:gridSpan w:val="4"/>
          </w:tcPr>
          <w:p w:rsidR="00086AEC" w:rsidRPr="00525037" w:rsidRDefault="00086AEC" w:rsidP="00086AEC">
            <w:pPr>
              <w:jc w:val="both"/>
              <w:rPr>
                <w:sz w:val="20"/>
                <w:lang w:val="fr-CA"/>
              </w:rPr>
            </w:pPr>
          </w:p>
        </w:tc>
      </w:tr>
      <w:tr w:rsidR="00086AEC" w:rsidRPr="00C26088" w:rsidTr="00E95A6A">
        <w:tc>
          <w:tcPr>
            <w:tcW w:w="5000" w:type="pct"/>
            <w:gridSpan w:val="4"/>
          </w:tcPr>
          <w:p w:rsidR="00086AEC" w:rsidRPr="00525037" w:rsidRDefault="00086AEC" w:rsidP="00086AEC">
            <w:pPr>
              <w:jc w:val="both"/>
              <w:rPr>
                <w:sz w:val="20"/>
                <w:lang w:val="fr-CA"/>
              </w:rPr>
            </w:pPr>
            <w:r w:rsidRPr="00525037">
              <w:rPr>
                <w:sz w:val="20"/>
                <w:lang w:val="fr-CA"/>
              </w:rPr>
              <w:t>À la suite d’une arrestation, la police a exécuté un mandat de perquisition de la résidence de l’accusé, qu’il partageait avec des membres de la famille. Pendant l’instruction des requêtes préalables au procès, il y a été fait mention de documents que les policiers avaient découverts pendant la perquisition de la résidence. Les membres de la famille ont sollicité une ordonnance de mise sous scellés ayant pour objet ces renseignements. La Cour supérieure a rejeté la demande des membres de la famille en vue d’obtenir une ordonnance de mise sous scellés, concluant que les effets préjudiciables d’une telle ordonnance sur l’intérêt public général l’emportaient sur le droit de la famille de protéger sa vie privée. Dans une décision subséquente, le tribunal a accepté de ne pas lever l’ordonnance temporaire de mise sous scellés qu’elle avait déjà prononcée jusqu’à nouvel ordre.</w:t>
            </w:r>
          </w:p>
          <w:p w:rsidR="00086AEC" w:rsidRPr="00525037" w:rsidRDefault="00086AEC" w:rsidP="00086AEC">
            <w:pPr>
              <w:jc w:val="both"/>
              <w:rPr>
                <w:sz w:val="20"/>
                <w:lang w:val="fr-CA"/>
              </w:rPr>
            </w:pPr>
          </w:p>
        </w:tc>
      </w:tr>
      <w:tr w:rsidR="00086AEC" w:rsidRPr="00C26088" w:rsidTr="00E95A6A">
        <w:tc>
          <w:tcPr>
            <w:tcW w:w="2427" w:type="pct"/>
            <w:gridSpan w:val="2"/>
          </w:tcPr>
          <w:p w:rsidR="00086AEC" w:rsidRPr="00525037" w:rsidRDefault="00086AEC" w:rsidP="00086AEC">
            <w:pPr>
              <w:jc w:val="both"/>
              <w:rPr>
                <w:sz w:val="20"/>
                <w:lang w:val="fr-CA"/>
              </w:rPr>
            </w:pPr>
            <w:r w:rsidRPr="00525037">
              <w:rPr>
                <w:sz w:val="20"/>
                <w:lang w:val="fr-CA"/>
              </w:rPr>
              <w:t>16 août 2019</w:t>
            </w:r>
          </w:p>
          <w:p w:rsidR="00086AEC" w:rsidRPr="00525037" w:rsidRDefault="00086AEC" w:rsidP="00086AEC">
            <w:pPr>
              <w:jc w:val="both"/>
              <w:rPr>
                <w:sz w:val="20"/>
                <w:lang w:val="fr-CA"/>
              </w:rPr>
            </w:pPr>
            <w:r w:rsidRPr="00525037">
              <w:rPr>
                <w:sz w:val="20"/>
                <w:lang w:val="fr-CA"/>
              </w:rPr>
              <w:t>Cour supérieure de justice de l’Ontario</w:t>
            </w:r>
          </w:p>
          <w:p w:rsidR="00086AEC" w:rsidRPr="00525037" w:rsidRDefault="00086AEC" w:rsidP="00086AEC">
            <w:pPr>
              <w:jc w:val="both"/>
              <w:rPr>
                <w:sz w:val="20"/>
                <w:lang w:val="fr-CA"/>
              </w:rPr>
            </w:pPr>
            <w:r w:rsidRPr="00525037">
              <w:rPr>
                <w:sz w:val="20"/>
                <w:lang w:val="fr-CA"/>
              </w:rPr>
              <w:t>(Juge Molloy)</w:t>
            </w:r>
          </w:p>
          <w:p w:rsidR="00086AEC" w:rsidRPr="00525037" w:rsidRDefault="00C26088" w:rsidP="00086AEC">
            <w:pPr>
              <w:jc w:val="both"/>
              <w:rPr>
                <w:sz w:val="20"/>
                <w:lang w:val="fr-CA"/>
              </w:rPr>
            </w:pPr>
            <w:hyperlink r:id="rId24" w:history="1">
              <w:r w:rsidR="00086AEC" w:rsidRPr="00525037">
                <w:rPr>
                  <w:rStyle w:val="Hyperlink"/>
                  <w:sz w:val="20"/>
                  <w:lang w:val="fr-CA"/>
                </w:rPr>
                <w:t>2019 ONSC 4455</w:t>
              </w:r>
            </w:hyperlink>
          </w:p>
          <w:p w:rsidR="00086AEC" w:rsidRPr="00525037" w:rsidRDefault="00086AEC" w:rsidP="00086AEC">
            <w:pPr>
              <w:jc w:val="both"/>
              <w:rPr>
                <w:sz w:val="20"/>
                <w:lang w:val="fr-CA"/>
              </w:rPr>
            </w:pPr>
          </w:p>
        </w:tc>
        <w:tc>
          <w:tcPr>
            <w:tcW w:w="243" w:type="pct"/>
          </w:tcPr>
          <w:p w:rsidR="00086AEC" w:rsidRPr="00525037" w:rsidRDefault="00086AEC" w:rsidP="00086AEC">
            <w:pPr>
              <w:jc w:val="both"/>
              <w:rPr>
                <w:sz w:val="20"/>
                <w:lang w:val="fr-CA"/>
              </w:rPr>
            </w:pPr>
          </w:p>
        </w:tc>
        <w:tc>
          <w:tcPr>
            <w:tcW w:w="2330" w:type="pct"/>
          </w:tcPr>
          <w:p w:rsidR="00086AEC" w:rsidRPr="00525037" w:rsidRDefault="00086AEC" w:rsidP="00086AEC">
            <w:pPr>
              <w:jc w:val="both"/>
              <w:rPr>
                <w:sz w:val="20"/>
                <w:lang w:val="fr-CA"/>
              </w:rPr>
            </w:pPr>
            <w:r w:rsidRPr="00525037">
              <w:rPr>
                <w:sz w:val="20"/>
                <w:lang w:val="fr-CA"/>
              </w:rPr>
              <w:t>Jugement rejetant la demande d’ordonnance de mise sous scellés ayant pour objet certains aspects de documents déposés par le ministère public dans le cadre des requêtes préalables au procès, retardant l’exécution du jugement jusqu’à la levée de l’ordonnance temporaire de mise sous scellés et de l’interdiction de publication le 27 septembre 2019.</w:t>
            </w:r>
          </w:p>
          <w:p w:rsidR="00086AEC" w:rsidRPr="00525037" w:rsidRDefault="00086AEC" w:rsidP="00086AEC">
            <w:pPr>
              <w:jc w:val="both"/>
              <w:rPr>
                <w:sz w:val="20"/>
                <w:lang w:val="fr-CA"/>
              </w:rPr>
            </w:pPr>
          </w:p>
        </w:tc>
      </w:tr>
      <w:tr w:rsidR="00086AEC" w:rsidRPr="00C26088" w:rsidTr="00E95A6A">
        <w:tc>
          <w:tcPr>
            <w:tcW w:w="2427" w:type="pct"/>
            <w:gridSpan w:val="2"/>
          </w:tcPr>
          <w:p w:rsidR="00086AEC" w:rsidRPr="00525037" w:rsidRDefault="00086AEC" w:rsidP="00086AEC">
            <w:pPr>
              <w:jc w:val="both"/>
              <w:rPr>
                <w:sz w:val="20"/>
                <w:lang w:val="fr-CA"/>
              </w:rPr>
            </w:pPr>
            <w:r w:rsidRPr="00525037">
              <w:rPr>
                <w:sz w:val="20"/>
                <w:lang w:val="fr-CA"/>
              </w:rPr>
              <w:t>19 septembre 2019</w:t>
            </w:r>
          </w:p>
          <w:p w:rsidR="00086AEC" w:rsidRPr="00525037" w:rsidRDefault="00086AEC" w:rsidP="00086AEC">
            <w:pPr>
              <w:jc w:val="both"/>
              <w:rPr>
                <w:sz w:val="20"/>
                <w:lang w:val="fr-CA"/>
              </w:rPr>
            </w:pPr>
            <w:r w:rsidRPr="00525037">
              <w:rPr>
                <w:sz w:val="20"/>
                <w:lang w:val="fr-CA"/>
              </w:rPr>
              <w:t>Cour supérieure de justice de l’Ontario</w:t>
            </w:r>
          </w:p>
          <w:p w:rsidR="00086AEC" w:rsidRPr="00525037" w:rsidRDefault="00086AEC" w:rsidP="00086AEC">
            <w:pPr>
              <w:jc w:val="both"/>
              <w:rPr>
                <w:sz w:val="20"/>
                <w:lang w:val="fr-CA"/>
              </w:rPr>
            </w:pPr>
            <w:r w:rsidRPr="00525037">
              <w:rPr>
                <w:sz w:val="20"/>
                <w:lang w:val="fr-CA"/>
              </w:rPr>
              <w:t>(Juge Molloy)</w:t>
            </w:r>
          </w:p>
          <w:p w:rsidR="00086AEC" w:rsidRPr="00525037" w:rsidRDefault="00086AEC" w:rsidP="00086AEC">
            <w:pPr>
              <w:jc w:val="both"/>
              <w:rPr>
                <w:sz w:val="20"/>
                <w:lang w:val="fr-CA"/>
              </w:rPr>
            </w:pPr>
            <w:r w:rsidRPr="00525037">
              <w:rPr>
                <w:sz w:val="20"/>
                <w:lang w:val="fr-CA"/>
              </w:rPr>
              <w:t>Non publié</w:t>
            </w:r>
          </w:p>
          <w:p w:rsidR="00086AEC" w:rsidRPr="00525037" w:rsidRDefault="00086AEC" w:rsidP="00086AEC">
            <w:pPr>
              <w:jc w:val="both"/>
              <w:rPr>
                <w:sz w:val="20"/>
                <w:lang w:val="fr-CA"/>
              </w:rPr>
            </w:pPr>
          </w:p>
        </w:tc>
        <w:tc>
          <w:tcPr>
            <w:tcW w:w="243" w:type="pct"/>
          </w:tcPr>
          <w:p w:rsidR="00086AEC" w:rsidRPr="00525037" w:rsidRDefault="00086AEC" w:rsidP="00086AEC">
            <w:pPr>
              <w:jc w:val="both"/>
              <w:rPr>
                <w:sz w:val="20"/>
                <w:lang w:val="fr-CA"/>
              </w:rPr>
            </w:pPr>
          </w:p>
        </w:tc>
        <w:tc>
          <w:tcPr>
            <w:tcW w:w="2330" w:type="pct"/>
          </w:tcPr>
          <w:p w:rsidR="00086AEC" w:rsidRPr="00525037" w:rsidRDefault="00086AEC" w:rsidP="00086AEC">
            <w:pPr>
              <w:jc w:val="both"/>
              <w:rPr>
                <w:sz w:val="20"/>
                <w:lang w:val="fr-CA"/>
              </w:rPr>
            </w:pPr>
            <w:r w:rsidRPr="00525037">
              <w:rPr>
                <w:sz w:val="20"/>
                <w:lang w:val="fr-CA"/>
              </w:rPr>
              <w:t>Jugement accueillant la demande de sursis de la levée de l’ordonnance temporaire de mise sous scellés et ordonnant que certains documents demeurent sous scellés jusqu’à nouvel ordre.</w:t>
            </w:r>
          </w:p>
        </w:tc>
      </w:tr>
      <w:tr w:rsidR="00086AEC" w:rsidRPr="00C26088" w:rsidTr="00E95A6A">
        <w:tc>
          <w:tcPr>
            <w:tcW w:w="2427" w:type="pct"/>
            <w:gridSpan w:val="2"/>
          </w:tcPr>
          <w:p w:rsidR="00086AEC" w:rsidRPr="00525037" w:rsidRDefault="00086AEC" w:rsidP="00086AEC">
            <w:pPr>
              <w:jc w:val="both"/>
              <w:rPr>
                <w:sz w:val="20"/>
                <w:lang w:val="fr-CA"/>
              </w:rPr>
            </w:pPr>
            <w:r w:rsidRPr="00525037">
              <w:rPr>
                <w:sz w:val="20"/>
                <w:lang w:val="fr-CA"/>
              </w:rPr>
              <w:t>15 octobre 2019</w:t>
            </w:r>
          </w:p>
          <w:p w:rsidR="00086AEC" w:rsidRPr="00525037" w:rsidRDefault="00086AEC" w:rsidP="00086AEC">
            <w:pPr>
              <w:jc w:val="both"/>
              <w:rPr>
                <w:sz w:val="20"/>
                <w:lang w:val="fr-CA"/>
              </w:rPr>
            </w:pPr>
            <w:r w:rsidRPr="00525037">
              <w:rPr>
                <w:sz w:val="20"/>
                <w:lang w:val="fr-CA"/>
              </w:rPr>
              <w:t>Cour suprême du Canada</w:t>
            </w:r>
          </w:p>
        </w:tc>
        <w:tc>
          <w:tcPr>
            <w:tcW w:w="243" w:type="pct"/>
          </w:tcPr>
          <w:p w:rsidR="00086AEC" w:rsidRPr="00525037" w:rsidRDefault="00086AEC" w:rsidP="00086AEC">
            <w:pPr>
              <w:jc w:val="both"/>
              <w:rPr>
                <w:sz w:val="20"/>
                <w:lang w:val="fr-CA"/>
              </w:rPr>
            </w:pPr>
          </w:p>
        </w:tc>
        <w:tc>
          <w:tcPr>
            <w:tcW w:w="2330" w:type="pct"/>
          </w:tcPr>
          <w:p w:rsidR="00086AEC" w:rsidRPr="00525037" w:rsidRDefault="00086AEC" w:rsidP="00086AEC">
            <w:pPr>
              <w:jc w:val="both"/>
              <w:rPr>
                <w:sz w:val="20"/>
                <w:lang w:val="fr-CA"/>
              </w:rPr>
            </w:pPr>
            <w:r w:rsidRPr="00525037">
              <w:rPr>
                <w:sz w:val="20"/>
                <w:lang w:val="fr-CA"/>
              </w:rPr>
              <w:t>Dépôt de la demande d’autorisation d’appel.</w:t>
            </w:r>
          </w:p>
        </w:tc>
      </w:tr>
    </w:tbl>
    <w:p w:rsidR="00086AEC" w:rsidRPr="00525037" w:rsidRDefault="00086AEC" w:rsidP="00BB19C2">
      <w:pPr>
        <w:widowControl w:val="0"/>
        <w:jc w:val="both"/>
        <w:rPr>
          <w:sz w:val="20"/>
          <w:lang w:val="fr-CA"/>
        </w:rPr>
      </w:pPr>
    </w:p>
    <w:p w:rsidR="00086AEC" w:rsidRPr="00525037" w:rsidRDefault="00C26088" w:rsidP="00BB19C2">
      <w:pPr>
        <w:widowControl w:val="0"/>
        <w:jc w:val="both"/>
        <w:rPr>
          <w:sz w:val="20"/>
        </w:rPr>
      </w:pPr>
      <w:r>
        <w:rPr>
          <w:sz w:val="20"/>
        </w:rPr>
        <w:pict>
          <v:rect id="_x0000_i1034" style="width:2in;height:1pt" o:hrpct="0" o:hralign="center" o:hrstd="t" o:hrnoshade="t" o:hr="t" fillcolor="black [3213]" stroked="f"/>
        </w:pict>
      </w:r>
    </w:p>
    <w:p w:rsidR="00086AEC" w:rsidRPr="00525037" w:rsidRDefault="00086AEC" w:rsidP="00BB19C2">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19C2" w:rsidRPr="00525037" w:rsidTr="00E95A6A">
        <w:tc>
          <w:tcPr>
            <w:tcW w:w="543" w:type="pct"/>
          </w:tcPr>
          <w:p w:rsidR="00BB19C2" w:rsidRPr="00525037" w:rsidRDefault="00BB19C2" w:rsidP="00BB19C2">
            <w:pPr>
              <w:jc w:val="both"/>
              <w:rPr>
                <w:sz w:val="20"/>
              </w:rPr>
            </w:pPr>
            <w:r w:rsidRPr="00525037">
              <w:rPr>
                <w:rStyle w:val="SCCFileNumberChar"/>
                <w:sz w:val="20"/>
                <w:szCs w:val="20"/>
              </w:rPr>
              <w:t>39630</w:t>
            </w:r>
          </w:p>
        </w:tc>
        <w:tc>
          <w:tcPr>
            <w:tcW w:w="4457" w:type="pct"/>
            <w:gridSpan w:val="3"/>
          </w:tcPr>
          <w:p w:rsidR="00BB19C2" w:rsidRPr="00525037" w:rsidRDefault="00BB19C2" w:rsidP="00BB19C2">
            <w:pPr>
              <w:pStyle w:val="SCCLsocParty"/>
              <w:jc w:val="both"/>
              <w:rPr>
                <w:b/>
                <w:sz w:val="20"/>
                <w:szCs w:val="20"/>
                <w:lang w:val="en-US"/>
              </w:rPr>
            </w:pPr>
            <w:r w:rsidRPr="00525037">
              <w:rPr>
                <w:b/>
                <w:sz w:val="20"/>
                <w:szCs w:val="20"/>
                <w:lang w:val="en-US"/>
              </w:rPr>
              <w:t>Gavin McKenzie v. Her Majesty the Queen</w:t>
            </w:r>
          </w:p>
          <w:p w:rsidR="00BB19C2" w:rsidRPr="00525037" w:rsidRDefault="00BB19C2" w:rsidP="00BB19C2">
            <w:pPr>
              <w:jc w:val="both"/>
              <w:rPr>
                <w:sz w:val="20"/>
              </w:rPr>
            </w:pPr>
            <w:r w:rsidRPr="00525037">
              <w:rPr>
                <w:sz w:val="20"/>
              </w:rPr>
              <w:t>(Man.) (Criminal) (By Leave)</w:t>
            </w:r>
          </w:p>
        </w:tc>
      </w:tr>
      <w:tr w:rsidR="00BB19C2" w:rsidRPr="00525037" w:rsidTr="00E95A6A">
        <w:tc>
          <w:tcPr>
            <w:tcW w:w="5000" w:type="pct"/>
            <w:gridSpan w:val="4"/>
          </w:tcPr>
          <w:p w:rsidR="00BB19C2" w:rsidRPr="00525037" w:rsidRDefault="00BB19C2" w:rsidP="00BB19C2">
            <w:pPr>
              <w:jc w:val="both"/>
              <w:rPr>
                <w:sz w:val="20"/>
              </w:rPr>
            </w:pPr>
            <w:r w:rsidRPr="00525037">
              <w:rPr>
                <w:sz w:val="20"/>
              </w:rPr>
              <w:t xml:space="preserve">Criminal law — Sentencing — Guilty plea — Adult sentence — Did the Court of Appeal err in finding that the guilty plea to discharging firearm with intent was made unequivocally and in accordance with the </w:t>
            </w:r>
            <w:r w:rsidRPr="00525037">
              <w:rPr>
                <w:i/>
                <w:sz w:val="20"/>
              </w:rPr>
              <w:t>Youth Criminal Justice Act</w:t>
            </w:r>
            <w:r w:rsidRPr="00525037">
              <w:rPr>
                <w:sz w:val="20"/>
              </w:rPr>
              <w:t xml:space="preserve">, s. 36 and the </w:t>
            </w:r>
            <w:r w:rsidRPr="00525037">
              <w:rPr>
                <w:i/>
                <w:sz w:val="20"/>
              </w:rPr>
              <w:t>Criminal Code</w:t>
            </w:r>
            <w:r w:rsidRPr="00525037">
              <w:rPr>
                <w:sz w:val="20"/>
              </w:rPr>
              <w:t>, ss. 606(1</w:t>
            </w:r>
            <w:proofErr w:type="gramStart"/>
            <w:r w:rsidRPr="00525037">
              <w:rPr>
                <w:sz w:val="20"/>
              </w:rPr>
              <w:t>)</w:t>
            </w:r>
            <w:r w:rsidRPr="00525037">
              <w:rPr>
                <w:sz w:val="20"/>
              </w:rPr>
              <w:noBreakHyphen/>
            </w:r>
            <w:proofErr w:type="gramEnd"/>
            <w:r w:rsidRPr="00525037">
              <w:rPr>
                <w:sz w:val="20"/>
              </w:rPr>
              <w:t xml:space="preserve">(1.2) —Did the Court of Appeal err in deciding not to overturn the sentencing judge’s imposition of an adult sentence under </w:t>
            </w:r>
            <w:r w:rsidRPr="00525037">
              <w:rPr>
                <w:i/>
                <w:sz w:val="20"/>
              </w:rPr>
              <w:t>Youth Criminal Justice Act</w:t>
            </w:r>
            <w:r w:rsidRPr="00525037">
              <w:rPr>
                <w:sz w:val="20"/>
              </w:rPr>
              <w:t>,</w:t>
            </w:r>
            <w:r w:rsidRPr="00525037">
              <w:rPr>
                <w:i/>
                <w:sz w:val="20"/>
              </w:rPr>
              <w:t xml:space="preserve"> </w:t>
            </w:r>
            <w:r w:rsidRPr="00525037">
              <w:rPr>
                <w:sz w:val="20"/>
              </w:rPr>
              <w:t>s. 72.</w:t>
            </w:r>
          </w:p>
        </w:tc>
      </w:tr>
      <w:tr w:rsidR="00BB19C2" w:rsidRPr="00525037" w:rsidTr="00E95A6A">
        <w:tc>
          <w:tcPr>
            <w:tcW w:w="5000" w:type="pct"/>
            <w:gridSpan w:val="4"/>
          </w:tcPr>
          <w:p w:rsidR="00BB19C2" w:rsidRPr="00525037" w:rsidRDefault="00BB19C2" w:rsidP="00BB19C2">
            <w:pPr>
              <w:jc w:val="both"/>
              <w:rPr>
                <w:sz w:val="20"/>
              </w:rPr>
            </w:pPr>
          </w:p>
        </w:tc>
      </w:tr>
      <w:tr w:rsidR="00BB19C2" w:rsidRPr="00525037" w:rsidTr="00E95A6A">
        <w:tc>
          <w:tcPr>
            <w:tcW w:w="5000" w:type="pct"/>
            <w:gridSpan w:val="4"/>
          </w:tcPr>
          <w:p w:rsidR="00BB19C2" w:rsidRPr="00525037" w:rsidRDefault="00BB19C2" w:rsidP="00BB19C2">
            <w:pPr>
              <w:jc w:val="both"/>
              <w:rPr>
                <w:sz w:val="20"/>
              </w:rPr>
            </w:pPr>
            <w:r w:rsidRPr="00525037">
              <w:rPr>
                <w:sz w:val="20"/>
              </w:rPr>
              <w:t xml:space="preserve">The applicant, then age 15, participated in a home invasion while using a firearm. </w:t>
            </w:r>
            <w:r w:rsidRPr="00525037">
              <w:rPr>
                <w:sz w:val="20"/>
                <w:lang w:val="en"/>
              </w:rPr>
              <w:t xml:space="preserve">The two adult occupants attempted to hold the door closed when the applicant fired through the door, resulting in serious injuries to one of the occupants. </w:t>
            </w:r>
            <w:r w:rsidRPr="00525037">
              <w:rPr>
                <w:color w:val="000000"/>
                <w:sz w:val="20"/>
              </w:rPr>
              <w:lastRenderedPageBreak/>
              <w:t>The applicant entered a guilty plea to the charge of discharging a firearm with intent. The Crown successfully applied to have the applicant sentenced as an adult. The sentence of six years and eight months was imposed, which was then reduced by 20 months of credit for pre-sentence custody. The Court of Appeal dismissed the appeal.</w:t>
            </w:r>
          </w:p>
          <w:p w:rsidR="00BB19C2" w:rsidRPr="00525037" w:rsidRDefault="00BB19C2" w:rsidP="00BB19C2">
            <w:pPr>
              <w:jc w:val="both"/>
              <w:rPr>
                <w:sz w:val="20"/>
              </w:rPr>
            </w:pPr>
          </w:p>
        </w:tc>
      </w:tr>
      <w:tr w:rsidR="00BB19C2" w:rsidRPr="00525037" w:rsidTr="00E95A6A">
        <w:tc>
          <w:tcPr>
            <w:tcW w:w="2427" w:type="pct"/>
            <w:gridSpan w:val="2"/>
          </w:tcPr>
          <w:p w:rsidR="00BB19C2" w:rsidRPr="00525037" w:rsidRDefault="00BB19C2" w:rsidP="00BB19C2">
            <w:pPr>
              <w:jc w:val="both"/>
              <w:rPr>
                <w:sz w:val="20"/>
              </w:rPr>
            </w:pPr>
            <w:r w:rsidRPr="00525037">
              <w:rPr>
                <w:sz w:val="20"/>
              </w:rPr>
              <w:lastRenderedPageBreak/>
              <w:t>August 20, 2019</w:t>
            </w:r>
          </w:p>
          <w:p w:rsidR="00BB19C2" w:rsidRPr="00525037" w:rsidRDefault="00BB19C2" w:rsidP="00BB19C2">
            <w:pPr>
              <w:jc w:val="both"/>
              <w:rPr>
                <w:sz w:val="20"/>
              </w:rPr>
            </w:pPr>
            <w:r w:rsidRPr="00525037">
              <w:rPr>
                <w:sz w:val="20"/>
              </w:rPr>
              <w:t>Provincial Court of Manitoba</w:t>
            </w:r>
          </w:p>
          <w:p w:rsidR="00BB19C2" w:rsidRPr="00525037" w:rsidRDefault="00BB19C2" w:rsidP="00BB19C2">
            <w:pPr>
              <w:jc w:val="both"/>
              <w:rPr>
                <w:sz w:val="20"/>
              </w:rPr>
            </w:pPr>
            <w:r w:rsidRPr="00525037">
              <w:rPr>
                <w:sz w:val="20"/>
              </w:rPr>
              <w:t>(Heinricks P.C.J.)</w:t>
            </w:r>
          </w:p>
          <w:p w:rsidR="00BB19C2" w:rsidRPr="00525037" w:rsidRDefault="00BB19C2" w:rsidP="00BB19C2">
            <w:pPr>
              <w:jc w:val="both"/>
              <w:rPr>
                <w:sz w:val="20"/>
              </w:rPr>
            </w:pPr>
            <w:r w:rsidRPr="00525037">
              <w:rPr>
                <w:sz w:val="20"/>
              </w:rPr>
              <w:t>(unreported)</w:t>
            </w:r>
          </w:p>
          <w:p w:rsidR="00BB19C2" w:rsidRPr="00525037" w:rsidRDefault="00BB19C2" w:rsidP="00BB19C2">
            <w:pPr>
              <w:jc w:val="both"/>
              <w:rPr>
                <w:sz w:val="20"/>
              </w:rPr>
            </w:pPr>
          </w:p>
        </w:tc>
        <w:tc>
          <w:tcPr>
            <w:tcW w:w="243" w:type="pct"/>
          </w:tcPr>
          <w:p w:rsidR="00BB19C2" w:rsidRPr="00525037" w:rsidRDefault="00BB19C2" w:rsidP="00BB19C2">
            <w:pPr>
              <w:jc w:val="both"/>
              <w:rPr>
                <w:sz w:val="20"/>
              </w:rPr>
            </w:pPr>
          </w:p>
        </w:tc>
        <w:tc>
          <w:tcPr>
            <w:tcW w:w="2330" w:type="pct"/>
          </w:tcPr>
          <w:p w:rsidR="00BB19C2" w:rsidRPr="00525037" w:rsidRDefault="00BB19C2" w:rsidP="00BB19C2">
            <w:pPr>
              <w:jc w:val="both"/>
              <w:rPr>
                <w:sz w:val="20"/>
              </w:rPr>
            </w:pPr>
            <w:r w:rsidRPr="00525037">
              <w:rPr>
                <w:sz w:val="20"/>
              </w:rPr>
              <w:t>Sentence imposed: six years and eight months</w:t>
            </w:r>
          </w:p>
        </w:tc>
      </w:tr>
      <w:tr w:rsidR="00BB19C2" w:rsidRPr="00525037" w:rsidTr="00E95A6A">
        <w:tc>
          <w:tcPr>
            <w:tcW w:w="2427" w:type="pct"/>
            <w:gridSpan w:val="2"/>
          </w:tcPr>
          <w:p w:rsidR="00BB19C2" w:rsidRPr="00525037" w:rsidRDefault="00BB19C2" w:rsidP="00BB19C2">
            <w:pPr>
              <w:jc w:val="both"/>
              <w:rPr>
                <w:sz w:val="20"/>
              </w:rPr>
            </w:pPr>
            <w:r w:rsidRPr="00525037">
              <w:rPr>
                <w:sz w:val="20"/>
              </w:rPr>
              <w:t>January 29, 2021</w:t>
            </w:r>
          </w:p>
          <w:p w:rsidR="00BB19C2" w:rsidRPr="00525037" w:rsidRDefault="00BB19C2" w:rsidP="00BB19C2">
            <w:pPr>
              <w:jc w:val="both"/>
              <w:rPr>
                <w:sz w:val="20"/>
              </w:rPr>
            </w:pPr>
            <w:r w:rsidRPr="00525037">
              <w:rPr>
                <w:sz w:val="20"/>
              </w:rPr>
              <w:t>Court of Appeal of Manitoba</w:t>
            </w:r>
          </w:p>
          <w:p w:rsidR="00BB19C2" w:rsidRPr="00525037" w:rsidRDefault="00BB19C2" w:rsidP="00BB19C2">
            <w:pPr>
              <w:jc w:val="both"/>
              <w:rPr>
                <w:sz w:val="20"/>
              </w:rPr>
            </w:pPr>
            <w:r w:rsidRPr="00525037">
              <w:rPr>
                <w:sz w:val="20"/>
              </w:rPr>
              <w:t>(Burnett, leMaistre and Spivak JJ.A.)</w:t>
            </w:r>
          </w:p>
          <w:p w:rsidR="00BB19C2" w:rsidRPr="00525037" w:rsidRDefault="00C26088" w:rsidP="00BB19C2">
            <w:pPr>
              <w:jc w:val="both"/>
              <w:rPr>
                <w:sz w:val="20"/>
              </w:rPr>
            </w:pPr>
            <w:hyperlink r:id="rId25" w:history="1">
              <w:r w:rsidR="00BB19C2" w:rsidRPr="00525037">
                <w:rPr>
                  <w:rStyle w:val="Hyperlink"/>
                  <w:sz w:val="20"/>
                </w:rPr>
                <w:t>2021 MBCA 8</w:t>
              </w:r>
            </w:hyperlink>
            <w:r w:rsidR="00BB19C2" w:rsidRPr="00525037">
              <w:rPr>
                <w:sz w:val="20"/>
              </w:rPr>
              <w:t>; AY20</w:t>
            </w:r>
            <w:r w:rsidR="00BB19C2" w:rsidRPr="00525037">
              <w:rPr>
                <w:sz w:val="20"/>
              </w:rPr>
              <w:noBreakHyphen/>
              <w:t>30</w:t>
            </w:r>
            <w:r w:rsidR="00BB19C2" w:rsidRPr="00525037">
              <w:rPr>
                <w:sz w:val="20"/>
              </w:rPr>
              <w:noBreakHyphen/>
              <w:t>09396</w:t>
            </w:r>
          </w:p>
          <w:p w:rsidR="00BB19C2" w:rsidRPr="00525037" w:rsidRDefault="00BB19C2" w:rsidP="00BB19C2">
            <w:pPr>
              <w:jc w:val="both"/>
              <w:rPr>
                <w:sz w:val="20"/>
              </w:rPr>
            </w:pPr>
          </w:p>
        </w:tc>
        <w:tc>
          <w:tcPr>
            <w:tcW w:w="243" w:type="pct"/>
          </w:tcPr>
          <w:p w:rsidR="00BB19C2" w:rsidRPr="00525037" w:rsidRDefault="00BB19C2" w:rsidP="00BB19C2">
            <w:pPr>
              <w:jc w:val="both"/>
              <w:rPr>
                <w:sz w:val="20"/>
              </w:rPr>
            </w:pPr>
          </w:p>
        </w:tc>
        <w:tc>
          <w:tcPr>
            <w:tcW w:w="2330" w:type="pct"/>
          </w:tcPr>
          <w:p w:rsidR="00BB19C2" w:rsidRPr="00525037" w:rsidRDefault="00BB19C2" w:rsidP="00BB19C2">
            <w:pPr>
              <w:jc w:val="both"/>
              <w:rPr>
                <w:sz w:val="20"/>
              </w:rPr>
            </w:pPr>
            <w:r w:rsidRPr="00525037">
              <w:rPr>
                <w:sz w:val="20"/>
              </w:rPr>
              <w:t>Appeal dismissed</w:t>
            </w:r>
          </w:p>
          <w:p w:rsidR="00BB19C2" w:rsidRPr="00525037" w:rsidRDefault="00BB19C2" w:rsidP="00BB19C2">
            <w:pPr>
              <w:jc w:val="both"/>
              <w:rPr>
                <w:sz w:val="20"/>
              </w:rPr>
            </w:pPr>
          </w:p>
        </w:tc>
      </w:tr>
      <w:tr w:rsidR="00BB19C2" w:rsidRPr="00525037" w:rsidTr="00E95A6A">
        <w:tc>
          <w:tcPr>
            <w:tcW w:w="2427" w:type="pct"/>
            <w:gridSpan w:val="2"/>
          </w:tcPr>
          <w:p w:rsidR="00BB19C2" w:rsidRPr="00525037" w:rsidRDefault="00BB19C2" w:rsidP="00BB19C2">
            <w:pPr>
              <w:jc w:val="both"/>
              <w:rPr>
                <w:sz w:val="20"/>
              </w:rPr>
            </w:pPr>
            <w:r w:rsidRPr="00525037">
              <w:rPr>
                <w:sz w:val="20"/>
              </w:rPr>
              <w:t>March 29, 2021</w:t>
            </w:r>
          </w:p>
          <w:p w:rsidR="00BB19C2" w:rsidRPr="00525037" w:rsidRDefault="00BB19C2" w:rsidP="00BB19C2">
            <w:pPr>
              <w:jc w:val="both"/>
              <w:rPr>
                <w:sz w:val="20"/>
              </w:rPr>
            </w:pPr>
            <w:r w:rsidRPr="00525037">
              <w:rPr>
                <w:sz w:val="20"/>
              </w:rPr>
              <w:t>Supreme Court of Canada</w:t>
            </w:r>
          </w:p>
        </w:tc>
        <w:tc>
          <w:tcPr>
            <w:tcW w:w="243" w:type="pct"/>
          </w:tcPr>
          <w:p w:rsidR="00BB19C2" w:rsidRPr="00525037" w:rsidRDefault="00BB19C2" w:rsidP="00BB19C2">
            <w:pPr>
              <w:jc w:val="both"/>
              <w:rPr>
                <w:sz w:val="20"/>
              </w:rPr>
            </w:pPr>
          </w:p>
        </w:tc>
        <w:tc>
          <w:tcPr>
            <w:tcW w:w="2330" w:type="pct"/>
          </w:tcPr>
          <w:p w:rsidR="00BB19C2" w:rsidRPr="00525037" w:rsidRDefault="00BB19C2" w:rsidP="00BB19C2">
            <w:pPr>
              <w:jc w:val="both"/>
              <w:rPr>
                <w:sz w:val="20"/>
              </w:rPr>
            </w:pPr>
            <w:r w:rsidRPr="00525037">
              <w:rPr>
                <w:sz w:val="20"/>
              </w:rPr>
              <w:t>Application for leave to appeal filed</w:t>
            </w:r>
          </w:p>
          <w:p w:rsidR="00BB19C2" w:rsidRPr="00525037" w:rsidRDefault="00BB19C2" w:rsidP="00BB19C2">
            <w:pPr>
              <w:jc w:val="both"/>
              <w:rPr>
                <w:sz w:val="20"/>
              </w:rPr>
            </w:pPr>
          </w:p>
        </w:tc>
      </w:tr>
    </w:tbl>
    <w:p w:rsidR="00BB19C2" w:rsidRPr="00525037" w:rsidRDefault="00BB19C2" w:rsidP="00BB19C2">
      <w:pPr>
        <w:jc w:val="both"/>
        <w:rPr>
          <w:sz w:val="20"/>
        </w:rPr>
      </w:pPr>
    </w:p>
    <w:p w:rsidR="00BB19C2" w:rsidRPr="00525037" w:rsidRDefault="00C26088" w:rsidP="00BB19C2">
      <w:pPr>
        <w:jc w:val="both"/>
        <w:rPr>
          <w:sz w:val="20"/>
        </w:rPr>
      </w:pPr>
      <w:r>
        <w:rPr>
          <w:sz w:val="20"/>
        </w:rPr>
        <w:pict>
          <v:rect id="_x0000_i1035" style="width:2in;height:1pt" o:hrpct="0" o:hralign="center" o:hrstd="t" o:hrnoshade="t" o:hr="t" fillcolor="black [3213]" stroked="f"/>
        </w:pict>
      </w:r>
    </w:p>
    <w:p w:rsidR="00BB19C2" w:rsidRPr="00525037" w:rsidRDefault="00BB19C2" w:rsidP="00BB19C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19C2" w:rsidRPr="00525037" w:rsidTr="00E95A6A">
        <w:tc>
          <w:tcPr>
            <w:tcW w:w="543" w:type="pct"/>
          </w:tcPr>
          <w:p w:rsidR="00BB19C2" w:rsidRPr="00525037" w:rsidRDefault="00BB19C2" w:rsidP="00BB19C2">
            <w:pPr>
              <w:jc w:val="both"/>
              <w:rPr>
                <w:sz w:val="20"/>
                <w:lang w:val="fr-CA"/>
              </w:rPr>
            </w:pPr>
            <w:r w:rsidRPr="00525037">
              <w:rPr>
                <w:rStyle w:val="SCCFileNumberChar"/>
                <w:sz w:val="20"/>
                <w:szCs w:val="20"/>
                <w:lang w:val="fr-CA"/>
              </w:rPr>
              <w:t>39630</w:t>
            </w:r>
          </w:p>
        </w:tc>
        <w:tc>
          <w:tcPr>
            <w:tcW w:w="4457" w:type="pct"/>
            <w:gridSpan w:val="3"/>
          </w:tcPr>
          <w:p w:rsidR="00BB19C2" w:rsidRPr="00525037" w:rsidRDefault="00BB19C2" w:rsidP="00BB19C2">
            <w:pPr>
              <w:pStyle w:val="SCCLsocParty"/>
              <w:jc w:val="both"/>
              <w:rPr>
                <w:b/>
                <w:sz w:val="20"/>
                <w:szCs w:val="20"/>
              </w:rPr>
            </w:pPr>
            <w:r w:rsidRPr="00525037">
              <w:rPr>
                <w:b/>
                <w:sz w:val="20"/>
                <w:szCs w:val="20"/>
              </w:rPr>
              <w:t>Gavin McKenzie c. Sa Majesté la Reine</w:t>
            </w:r>
          </w:p>
          <w:p w:rsidR="00BB19C2" w:rsidRPr="00525037" w:rsidRDefault="00BB19C2" w:rsidP="00BB19C2">
            <w:pPr>
              <w:jc w:val="both"/>
              <w:rPr>
                <w:sz w:val="20"/>
                <w:lang w:val="fr-CA"/>
              </w:rPr>
            </w:pPr>
            <w:r w:rsidRPr="00525037">
              <w:rPr>
                <w:sz w:val="20"/>
                <w:lang w:val="fr-CA"/>
              </w:rPr>
              <w:t>(Man.) (Criminelle) (Sur autorisation)</w:t>
            </w:r>
          </w:p>
        </w:tc>
      </w:tr>
      <w:tr w:rsidR="00BB19C2" w:rsidRPr="00C26088" w:rsidTr="00E95A6A">
        <w:tc>
          <w:tcPr>
            <w:tcW w:w="5000" w:type="pct"/>
            <w:gridSpan w:val="4"/>
          </w:tcPr>
          <w:p w:rsidR="00BB19C2" w:rsidRPr="00525037" w:rsidRDefault="00BB19C2" w:rsidP="00BB19C2">
            <w:pPr>
              <w:jc w:val="both"/>
              <w:rPr>
                <w:sz w:val="20"/>
                <w:lang w:val="fr-CA"/>
              </w:rPr>
            </w:pPr>
            <w:r w:rsidRPr="00525037">
              <w:rPr>
                <w:sz w:val="20"/>
                <w:lang w:val="fr-CA"/>
              </w:rPr>
              <w:t>Droit criminel — Détermination de la peine — Plaidoyer de culpabilité — Peine applicable aux adultes — La Cour d’appel a</w:t>
            </w:r>
            <w:r w:rsidRPr="00525037">
              <w:rPr>
                <w:sz w:val="20"/>
                <w:lang w:val="fr-CA"/>
              </w:rPr>
              <w:noBreakHyphen/>
              <w:t>t</w:t>
            </w:r>
            <w:r w:rsidRPr="00525037">
              <w:rPr>
                <w:sz w:val="20"/>
                <w:lang w:val="fr-CA"/>
              </w:rPr>
              <w:noBreakHyphen/>
              <w:t xml:space="preserve">elle commis une erreur en concluant que le plaidoyer de culpabilité à l’accusation d’avoir déchargé une arme à feu avec une intention particulière a été fait sans équivoque et conformément à l’art. 36 de la </w:t>
            </w:r>
            <w:r w:rsidRPr="00525037">
              <w:rPr>
                <w:i/>
                <w:sz w:val="20"/>
                <w:lang w:val="fr-CA"/>
              </w:rPr>
              <w:t>Loi sur le système de justice pénale pour les adolescents</w:t>
            </w:r>
            <w:r w:rsidRPr="00525037">
              <w:rPr>
                <w:sz w:val="20"/>
                <w:lang w:val="fr-CA"/>
              </w:rPr>
              <w:t xml:space="preserve"> et aux par. 606(1</w:t>
            </w:r>
            <w:proofErr w:type="gramStart"/>
            <w:r w:rsidRPr="00525037">
              <w:rPr>
                <w:sz w:val="20"/>
                <w:lang w:val="fr-CA"/>
              </w:rPr>
              <w:t>)</w:t>
            </w:r>
            <w:r w:rsidRPr="00525037">
              <w:rPr>
                <w:sz w:val="20"/>
                <w:lang w:val="fr-CA"/>
              </w:rPr>
              <w:noBreakHyphen/>
            </w:r>
            <w:proofErr w:type="gramEnd"/>
            <w:r w:rsidRPr="00525037">
              <w:rPr>
                <w:sz w:val="20"/>
                <w:lang w:val="fr-CA"/>
              </w:rPr>
              <w:t xml:space="preserve">(1.2) du </w:t>
            </w:r>
            <w:r w:rsidRPr="00525037">
              <w:rPr>
                <w:i/>
                <w:sz w:val="20"/>
                <w:lang w:val="fr-CA"/>
              </w:rPr>
              <w:t>Code criminel</w:t>
            </w:r>
            <w:r w:rsidRPr="00525037">
              <w:rPr>
                <w:sz w:val="20"/>
                <w:lang w:val="fr-CA"/>
              </w:rPr>
              <w:t>? — La Cour d’appel a</w:t>
            </w:r>
            <w:r w:rsidRPr="00525037">
              <w:rPr>
                <w:sz w:val="20"/>
                <w:lang w:val="fr-CA"/>
              </w:rPr>
              <w:noBreakHyphen/>
              <w:t>t</w:t>
            </w:r>
            <w:r w:rsidRPr="00525037">
              <w:rPr>
                <w:sz w:val="20"/>
                <w:lang w:val="fr-CA"/>
              </w:rPr>
              <w:noBreakHyphen/>
              <w:t xml:space="preserve">elle commis une erreur en décidant de ne pas annuler l’imposition, par le juge chargé de déterminer la peine, d’une peine applicable aux adultes en vertu de l’art. 72 de la </w:t>
            </w:r>
            <w:r w:rsidRPr="00525037">
              <w:rPr>
                <w:i/>
                <w:sz w:val="20"/>
                <w:lang w:val="fr-CA"/>
              </w:rPr>
              <w:t>Loi sur le système de justice pénale pour les adolescents</w:t>
            </w:r>
            <w:r w:rsidRPr="00525037">
              <w:rPr>
                <w:sz w:val="20"/>
                <w:lang w:val="fr-CA"/>
              </w:rPr>
              <w:t>?</w:t>
            </w:r>
          </w:p>
        </w:tc>
      </w:tr>
      <w:tr w:rsidR="00BB19C2" w:rsidRPr="00C26088" w:rsidTr="00E95A6A">
        <w:tc>
          <w:tcPr>
            <w:tcW w:w="5000" w:type="pct"/>
            <w:gridSpan w:val="4"/>
          </w:tcPr>
          <w:p w:rsidR="00BB19C2" w:rsidRPr="00525037" w:rsidRDefault="00BB19C2" w:rsidP="00BB19C2">
            <w:pPr>
              <w:jc w:val="both"/>
              <w:rPr>
                <w:sz w:val="20"/>
                <w:lang w:val="fr-CA"/>
              </w:rPr>
            </w:pPr>
          </w:p>
        </w:tc>
      </w:tr>
      <w:tr w:rsidR="00BB19C2" w:rsidRPr="00525037" w:rsidTr="00E95A6A">
        <w:tc>
          <w:tcPr>
            <w:tcW w:w="5000" w:type="pct"/>
            <w:gridSpan w:val="4"/>
          </w:tcPr>
          <w:p w:rsidR="00BB19C2" w:rsidRPr="00525037" w:rsidRDefault="00BB19C2" w:rsidP="00BB19C2">
            <w:pPr>
              <w:jc w:val="both"/>
              <w:rPr>
                <w:sz w:val="20"/>
                <w:lang w:val="fr-CA"/>
              </w:rPr>
            </w:pPr>
            <w:r w:rsidRPr="00525037">
              <w:rPr>
                <w:sz w:val="20"/>
                <w:lang w:val="fr-CA"/>
              </w:rPr>
              <w:t>Le demandeur, alors âgé de 15 ans, a pris part à un braquage à domicile en utilisant une arme à feu. Les deux occupants adultes ont tenté de garder la porte fermée pendant que le demandeur tirait des coups de feu à travers la porte, ce qui a causé de graves blessures à l’un des occupants. Le demandeur a plaidé coupable à l’accusation d’avoir déchargé une arme à feu avec une intention particulière. La Couronne a demandé avec succès que celui-ci soit assujetti à une peine pour adultes. Une peine de six ans et huit mois a été imposée, et a ensuite été réduite de 20 mois en raison de la période passée en détention présentencielle. La Cour d’appel a rejeté le pourvoi.</w:t>
            </w:r>
          </w:p>
          <w:p w:rsidR="00BB19C2" w:rsidRPr="00525037" w:rsidRDefault="00BB19C2" w:rsidP="00BB19C2">
            <w:pPr>
              <w:jc w:val="both"/>
              <w:rPr>
                <w:sz w:val="20"/>
                <w:lang w:val="fr-CA"/>
              </w:rPr>
            </w:pPr>
          </w:p>
        </w:tc>
      </w:tr>
      <w:tr w:rsidR="00BB19C2" w:rsidRPr="00C26088" w:rsidTr="00E95A6A">
        <w:tc>
          <w:tcPr>
            <w:tcW w:w="2427" w:type="pct"/>
            <w:gridSpan w:val="2"/>
          </w:tcPr>
          <w:p w:rsidR="00BB19C2" w:rsidRPr="00525037" w:rsidRDefault="00BB19C2" w:rsidP="00BB19C2">
            <w:pPr>
              <w:jc w:val="both"/>
              <w:rPr>
                <w:sz w:val="20"/>
                <w:lang w:val="fr-CA"/>
              </w:rPr>
            </w:pPr>
            <w:r w:rsidRPr="00525037">
              <w:rPr>
                <w:sz w:val="20"/>
                <w:lang w:val="fr-CA"/>
              </w:rPr>
              <w:t>20 août 2019</w:t>
            </w:r>
          </w:p>
          <w:p w:rsidR="00BB19C2" w:rsidRPr="00525037" w:rsidRDefault="00BB19C2" w:rsidP="00BB19C2">
            <w:pPr>
              <w:jc w:val="both"/>
              <w:rPr>
                <w:sz w:val="20"/>
                <w:lang w:val="fr-CA"/>
              </w:rPr>
            </w:pPr>
            <w:r w:rsidRPr="00525037">
              <w:rPr>
                <w:sz w:val="20"/>
                <w:lang w:val="fr-CA"/>
              </w:rPr>
              <w:t>Cour provinciale du Manitoba</w:t>
            </w:r>
          </w:p>
          <w:p w:rsidR="00BB19C2" w:rsidRPr="00525037" w:rsidRDefault="00BB19C2" w:rsidP="00BB19C2">
            <w:pPr>
              <w:jc w:val="both"/>
              <w:rPr>
                <w:sz w:val="20"/>
                <w:lang w:val="fr-CA"/>
              </w:rPr>
            </w:pPr>
            <w:r w:rsidRPr="00525037">
              <w:rPr>
                <w:sz w:val="20"/>
                <w:lang w:val="fr-CA"/>
              </w:rPr>
              <w:t>(Juge Heinricks)</w:t>
            </w:r>
          </w:p>
          <w:p w:rsidR="00BB19C2" w:rsidRPr="00525037" w:rsidRDefault="00BB19C2" w:rsidP="00BB19C2">
            <w:pPr>
              <w:jc w:val="both"/>
              <w:rPr>
                <w:sz w:val="20"/>
                <w:lang w:val="fr-CA"/>
              </w:rPr>
            </w:pPr>
            <w:r w:rsidRPr="00525037">
              <w:rPr>
                <w:sz w:val="20"/>
                <w:lang w:val="fr-CA"/>
              </w:rPr>
              <w:t>(non publié)</w:t>
            </w:r>
          </w:p>
          <w:p w:rsidR="00BB19C2" w:rsidRPr="00525037" w:rsidRDefault="00BB19C2" w:rsidP="00BB19C2">
            <w:pPr>
              <w:jc w:val="both"/>
              <w:rPr>
                <w:sz w:val="20"/>
                <w:lang w:val="fr-CA"/>
              </w:rPr>
            </w:pPr>
          </w:p>
        </w:tc>
        <w:tc>
          <w:tcPr>
            <w:tcW w:w="243" w:type="pct"/>
          </w:tcPr>
          <w:p w:rsidR="00BB19C2" w:rsidRPr="00525037" w:rsidRDefault="00BB19C2" w:rsidP="00BB19C2">
            <w:pPr>
              <w:jc w:val="both"/>
              <w:rPr>
                <w:sz w:val="20"/>
                <w:lang w:val="fr-CA"/>
              </w:rPr>
            </w:pPr>
          </w:p>
        </w:tc>
        <w:tc>
          <w:tcPr>
            <w:tcW w:w="2330" w:type="pct"/>
          </w:tcPr>
          <w:p w:rsidR="00BB19C2" w:rsidRPr="00525037" w:rsidRDefault="00BB19C2" w:rsidP="00BB19C2">
            <w:pPr>
              <w:jc w:val="both"/>
              <w:rPr>
                <w:sz w:val="20"/>
                <w:lang w:val="fr-CA"/>
              </w:rPr>
            </w:pPr>
            <w:r w:rsidRPr="00525037">
              <w:rPr>
                <w:sz w:val="20"/>
                <w:lang w:val="fr-CA"/>
              </w:rPr>
              <w:t>Prononcé de la peine : six ans et huit mois</w:t>
            </w:r>
          </w:p>
        </w:tc>
      </w:tr>
      <w:tr w:rsidR="00BB19C2" w:rsidRPr="00525037" w:rsidTr="00E95A6A">
        <w:tc>
          <w:tcPr>
            <w:tcW w:w="2427" w:type="pct"/>
            <w:gridSpan w:val="2"/>
          </w:tcPr>
          <w:p w:rsidR="00BB19C2" w:rsidRPr="00525037" w:rsidRDefault="00BB19C2" w:rsidP="00BB19C2">
            <w:pPr>
              <w:jc w:val="both"/>
              <w:rPr>
                <w:sz w:val="20"/>
                <w:lang w:val="fr-CA"/>
              </w:rPr>
            </w:pPr>
            <w:r w:rsidRPr="00525037">
              <w:rPr>
                <w:sz w:val="20"/>
                <w:lang w:val="fr-CA"/>
              </w:rPr>
              <w:t>29 janvier 2021</w:t>
            </w:r>
          </w:p>
          <w:p w:rsidR="00BB19C2" w:rsidRPr="00525037" w:rsidRDefault="00BB19C2" w:rsidP="00BB19C2">
            <w:pPr>
              <w:jc w:val="both"/>
              <w:rPr>
                <w:sz w:val="20"/>
                <w:lang w:val="fr-CA"/>
              </w:rPr>
            </w:pPr>
            <w:r w:rsidRPr="00525037">
              <w:rPr>
                <w:sz w:val="20"/>
                <w:lang w:val="fr-CA"/>
              </w:rPr>
              <w:t>Cour d’appel du Manitoba</w:t>
            </w:r>
          </w:p>
          <w:p w:rsidR="00BB19C2" w:rsidRPr="00525037" w:rsidRDefault="00BB19C2" w:rsidP="00BB19C2">
            <w:pPr>
              <w:jc w:val="both"/>
              <w:rPr>
                <w:sz w:val="20"/>
                <w:lang w:val="fr-CA"/>
              </w:rPr>
            </w:pPr>
            <w:r w:rsidRPr="00525037">
              <w:rPr>
                <w:sz w:val="20"/>
                <w:lang w:val="fr-CA"/>
              </w:rPr>
              <w:t>(Juges Burnett, leMaistre et Spivak)</w:t>
            </w:r>
          </w:p>
          <w:p w:rsidR="00BB19C2" w:rsidRPr="00525037" w:rsidRDefault="00C26088" w:rsidP="00BB19C2">
            <w:pPr>
              <w:jc w:val="both"/>
              <w:rPr>
                <w:sz w:val="20"/>
                <w:lang w:val="fr-CA"/>
              </w:rPr>
            </w:pPr>
            <w:hyperlink r:id="rId26" w:history="1">
              <w:r w:rsidR="00BB19C2" w:rsidRPr="00525037">
                <w:rPr>
                  <w:rStyle w:val="Hyperlink"/>
                  <w:sz w:val="20"/>
                  <w:lang w:val="fr-CA"/>
                </w:rPr>
                <w:t>2021 MBCA 8</w:t>
              </w:r>
            </w:hyperlink>
            <w:r w:rsidR="00BB19C2" w:rsidRPr="00525037">
              <w:rPr>
                <w:sz w:val="20"/>
                <w:lang w:val="fr-CA"/>
              </w:rPr>
              <w:t>; AY20</w:t>
            </w:r>
            <w:r w:rsidR="00BB19C2" w:rsidRPr="00525037">
              <w:rPr>
                <w:sz w:val="20"/>
                <w:lang w:val="fr-CA"/>
              </w:rPr>
              <w:noBreakHyphen/>
              <w:t>30</w:t>
            </w:r>
            <w:r w:rsidR="00BB19C2" w:rsidRPr="00525037">
              <w:rPr>
                <w:sz w:val="20"/>
                <w:lang w:val="fr-CA"/>
              </w:rPr>
              <w:noBreakHyphen/>
              <w:t>09396</w:t>
            </w:r>
          </w:p>
          <w:p w:rsidR="00BB19C2" w:rsidRPr="00525037" w:rsidRDefault="00BB19C2" w:rsidP="00BB19C2">
            <w:pPr>
              <w:jc w:val="both"/>
              <w:rPr>
                <w:sz w:val="20"/>
                <w:lang w:val="fr-CA"/>
              </w:rPr>
            </w:pPr>
          </w:p>
        </w:tc>
        <w:tc>
          <w:tcPr>
            <w:tcW w:w="243" w:type="pct"/>
          </w:tcPr>
          <w:p w:rsidR="00BB19C2" w:rsidRPr="00525037" w:rsidRDefault="00BB19C2" w:rsidP="00BB19C2">
            <w:pPr>
              <w:jc w:val="both"/>
              <w:rPr>
                <w:sz w:val="20"/>
                <w:lang w:val="fr-CA"/>
              </w:rPr>
            </w:pPr>
          </w:p>
        </w:tc>
        <w:tc>
          <w:tcPr>
            <w:tcW w:w="2330" w:type="pct"/>
          </w:tcPr>
          <w:p w:rsidR="00BB19C2" w:rsidRPr="00525037" w:rsidRDefault="00BB19C2" w:rsidP="00BB19C2">
            <w:pPr>
              <w:jc w:val="both"/>
              <w:rPr>
                <w:sz w:val="20"/>
                <w:lang w:val="fr-CA"/>
              </w:rPr>
            </w:pPr>
            <w:r w:rsidRPr="00525037">
              <w:rPr>
                <w:sz w:val="20"/>
                <w:lang w:val="fr-CA"/>
              </w:rPr>
              <w:t xml:space="preserve">Rejet de l’appel </w:t>
            </w:r>
          </w:p>
          <w:p w:rsidR="00BB19C2" w:rsidRPr="00525037" w:rsidRDefault="00BB19C2" w:rsidP="00BB19C2">
            <w:pPr>
              <w:jc w:val="both"/>
              <w:rPr>
                <w:sz w:val="20"/>
                <w:lang w:val="fr-CA"/>
              </w:rPr>
            </w:pPr>
          </w:p>
        </w:tc>
      </w:tr>
      <w:tr w:rsidR="00BB19C2" w:rsidRPr="00C26088" w:rsidTr="00E95A6A">
        <w:tc>
          <w:tcPr>
            <w:tcW w:w="2427" w:type="pct"/>
            <w:gridSpan w:val="2"/>
          </w:tcPr>
          <w:p w:rsidR="00BB19C2" w:rsidRPr="00525037" w:rsidRDefault="00BB19C2" w:rsidP="00BB19C2">
            <w:pPr>
              <w:jc w:val="both"/>
              <w:rPr>
                <w:sz w:val="20"/>
                <w:lang w:val="fr-CA"/>
              </w:rPr>
            </w:pPr>
            <w:r w:rsidRPr="00525037">
              <w:rPr>
                <w:sz w:val="20"/>
                <w:lang w:val="fr-CA"/>
              </w:rPr>
              <w:t>29 mars 2021</w:t>
            </w:r>
          </w:p>
          <w:p w:rsidR="00BB19C2" w:rsidRPr="00525037" w:rsidRDefault="00BB19C2" w:rsidP="00BB19C2">
            <w:pPr>
              <w:jc w:val="both"/>
              <w:rPr>
                <w:sz w:val="20"/>
                <w:lang w:val="fr-CA"/>
              </w:rPr>
            </w:pPr>
            <w:r w:rsidRPr="00525037">
              <w:rPr>
                <w:sz w:val="20"/>
                <w:lang w:val="fr-CA"/>
              </w:rPr>
              <w:t>Cour suprême du Canada</w:t>
            </w:r>
          </w:p>
        </w:tc>
        <w:tc>
          <w:tcPr>
            <w:tcW w:w="243" w:type="pct"/>
          </w:tcPr>
          <w:p w:rsidR="00BB19C2" w:rsidRPr="00525037" w:rsidRDefault="00BB19C2" w:rsidP="00BB19C2">
            <w:pPr>
              <w:jc w:val="both"/>
              <w:rPr>
                <w:sz w:val="20"/>
                <w:lang w:val="fr-CA"/>
              </w:rPr>
            </w:pPr>
          </w:p>
        </w:tc>
        <w:tc>
          <w:tcPr>
            <w:tcW w:w="2330" w:type="pct"/>
          </w:tcPr>
          <w:p w:rsidR="00BB19C2" w:rsidRPr="00525037" w:rsidRDefault="00BB19C2" w:rsidP="00BB19C2">
            <w:pPr>
              <w:jc w:val="both"/>
              <w:rPr>
                <w:sz w:val="20"/>
                <w:lang w:val="fr-CA"/>
              </w:rPr>
            </w:pPr>
            <w:r w:rsidRPr="00525037">
              <w:rPr>
                <w:sz w:val="20"/>
                <w:lang w:val="fr-CA"/>
              </w:rPr>
              <w:t>Dépôt de la demande d’autorisation d’appel</w:t>
            </w:r>
          </w:p>
          <w:p w:rsidR="00BB19C2" w:rsidRPr="00525037" w:rsidRDefault="00BB19C2" w:rsidP="00BB19C2">
            <w:pPr>
              <w:jc w:val="both"/>
              <w:rPr>
                <w:sz w:val="20"/>
                <w:lang w:val="fr-CA"/>
              </w:rPr>
            </w:pPr>
          </w:p>
        </w:tc>
      </w:tr>
    </w:tbl>
    <w:p w:rsidR="00BB19C2" w:rsidRPr="00525037" w:rsidRDefault="00BB19C2" w:rsidP="00BB19C2">
      <w:pPr>
        <w:jc w:val="both"/>
        <w:rPr>
          <w:sz w:val="20"/>
          <w:lang w:val="fr-CA"/>
        </w:rPr>
      </w:pPr>
    </w:p>
    <w:p w:rsidR="00BB19C2" w:rsidRPr="00525037" w:rsidRDefault="00C26088" w:rsidP="00BB19C2">
      <w:pPr>
        <w:jc w:val="both"/>
        <w:rPr>
          <w:sz w:val="20"/>
          <w:lang w:val="fr-CA"/>
        </w:rPr>
      </w:pPr>
      <w:r>
        <w:rPr>
          <w:sz w:val="20"/>
        </w:rPr>
        <w:pict>
          <v:rect id="_x0000_i1036" style="width:2in;height:1pt" o:hrpct="0" o:hralign="center" o:hrstd="t" o:hrnoshade="t" o:hr="t" fillcolor="black [3213]" stroked="f"/>
        </w:pict>
      </w:r>
    </w:p>
    <w:p w:rsidR="00DF2FFE" w:rsidRPr="00525037" w:rsidRDefault="00DF2FFE" w:rsidP="00BB19C2">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19C2" w:rsidRPr="00525037" w:rsidTr="00E95A6A">
        <w:tc>
          <w:tcPr>
            <w:tcW w:w="543" w:type="pct"/>
          </w:tcPr>
          <w:p w:rsidR="00BB19C2" w:rsidRPr="00525037" w:rsidRDefault="00BB19C2" w:rsidP="00BB19C2">
            <w:pPr>
              <w:jc w:val="both"/>
              <w:rPr>
                <w:sz w:val="20"/>
              </w:rPr>
            </w:pPr>
            <w:r w:rsidRPr="00525037">
              <w:rPr>
                <w:rStyle w:val="SCCFileNumberChar"/>
                <w:sz w:val="20"/>
                <w:szCs w:val="20"/>
              </w:rPr>
              <w:t>39633</w:t>
            </w:r>
          </w:p>
        </w:tc>
        <w:tc>
          <w:tcPr>
            <w:tcW w:w="4457" w:type="pct"/>
            <w:gridSpan w:val="3"/>
          </w:tcPr>
          <w:p w:rsidR="00BB19C2" w:rsidRPr="00525037" w:rsidRDefault="00BB19C2" w:rsidP="00BB19C2">
            <w:pPr>
              <w:pStyle w:val="SCCLsocParty"/>
              <w:jc w:val="both"/>
              <w:rPr>
                <w:b/>
                <w:sz w:val="20"/>
                <w:szCs w:val="20"/>
                <w:lang w:val="en-US"/>
              </w:rPr>
            </w:pPr>
            <w:r w:rsidRPr="00525037">
              <w:rPr>
                <w:b/>
                <w:sz w:val="20"/>
                <w:szCs w:val="20"/>
                <w:lang w:val="en-US"/>
              </w:rPr>
              <w:t>Fitter International Inc. v. Her Majesty the Queen in Right of British Columbia</w:t>
            </w:r>
          </w:p>
          <w:p w:rsidR="00BB19C2" w:rsidRPr="00525037" w:rsidRDefault="00BB19C2" w:rsidP="00BB19C2">
            <w:pPr>
              <w:jc w:val="both"/>
              <w:rPr>
                <w:sz w:val="20"/>
              </w:rPr>
            </w:pPr>
            <w:r w:rsidRPr="00525037">
              <w:rPr>
                <w:sz w:val="20"/>
              </w:rPr>
              <w:t>(Alta.) (Civil) (By Leave)</w:t>
            </w:r>
          </w:p>
        </w:tc>
      </w:tr>
      <w:tr w:rsidR="00BB19C2" w:rsidRPr="00525037" w:rsidTr="00E95A6A">
        <w:tc>
          <w:tcPr>
            <w:tcW w:w="5000" w:type="pct"/>
            <w:gridSpan w:val="4"/>
          </w:tcPr>
          <w:p w:rsidR="00BB19C2" w:rsidRPr="00525037" w:rsidRDefault="00BB19C2" w:rsidP="00BB19C2">
            <w:pPr>
              <w:jc w:val="both"/>
              <w:rPr>
                <w:sz w:val="20"/>
              </w:rPr>
            </w:pPr>
            <w:r w:rsidRPr="00525037">
              <w:rPr>
                <w:sz w:val="20"/>
              </w:rPr>
              <w:t xml:space="preserve">Courts — Jurisdiction — Crown law — Immunity — Civil procedure — Costs — Do superior courts have jurisdiction to address the constitutional validity of legislation enacted in another province — Should interprovincial </w:t>
            </w:r>
            <w:r w:rsidRPr="00525037">
              <w:rPr>
                <w:sz w:val="20"/>
              </w:rPr>
              <w:lastRenderedPageBreak/>
              <w:t>Crown immunity permit a province to legislate beyond its jurisdictional boundaries, immune from judicial scrutiny by the superior courts of the other provinces — Does any personal, propriety or pecuniary interest in the result of a constitutional challenge to legislation preclude an award of special costs?</w:t>
            </w:r>
          </w:p>
        </w:tc>
      </w:tr>
      <w:tr w:rsidR="00BB19C2" w:rsidRPr="00525037" w:rsidTr="00E95A6A">
        <w:tc>
          <w:tcPr>
            <w:tcW w:w="5000" w:type="pct"/>
            <w:gridSpan w:val="4"/>
          </w:tcPr>
          <w:p w:rsidR="00BB19C2" w:rsidRPr="00525037" w:rsidRDefault="00BB19C2" w:rsidP="00BB19C2">
            <w:pPr>
              <w:jc w:val="both"/>
              <w:rPr>
                <w:sz w:val="20"/>
              </w:rPr>
            </w:pPr>
          </w:p>
        </w:tc>
      </w:tr>
      <w:tr w:rsidR="00BB19C2" w:rsidRPr="00525037" w:rsidTr="00E95A6A">
        <w:tc>
          <w:tcPr>
            <w:tcW w:w="5000" w:type="pct"/>
            <w:gridSpan w:val="4"/>
          </w:tcPr>
          <w:p w:rsidR="00BB19C2" w:rsidRPr="00525037" w:rsidRDefault="00BB19C2" w:rsidP="00BB19C2">
            <w:pPr>
              <w:jc w:val="both"/>
              <w:rPr>
                <w:sz w:val="20"/>
              </w:rPr>
            </w:pPr>
            <w:r w:rsidRPr="00525037">
              <w:rPr>
                <w:color w:val="000000"/>
                <w:sz w:val="20"/>
              </w:rPr>
              <w:t>The </w:t>
            </w:r>
            <w:r w:rsidRPr="00525037">
              <w:rPr>
                <w:rFonts w:eastAsiaTheme="majorEastAsia"/>
                <w:sz w:val="20"/>
              </w:rPr>
              <w:t>British Columbia </w:t>
            </w:r>
            <w:r w:rsidRPr="00525037">
              <w:rPr>
                <w:rFonts w:eastAsiaTheme="majorEastAsia"/>
                <w:i/>
                <w:iCs/>
                <w:sz w:val="20"/>
              </w:rPr>
              <w:t>Provincial Sales Tax Act</w:t>
            </w:r>
            <w:r w:rsidRPr="00525037">
              <w:rPr>
                <w:rFonts w:eastAsiaTheme="majorEastAsia"/>
                <w:sz w:val="20"/>
              </w:rPr>
              <w:t>, SBC 2012, c 35</w:t>
            </w:r>
            <w:r w:rsidRPr="00525037">
              <w:rPr>
                <w:color w:val="000000"/>
                <w:sz w:val="20"/>
              </w:rPr>
              <w:t> (the Act) imposes a sales tax on British Columbia residents who purchase any goods that they bring into British Columbia. The Act requires vendors outside the province of British Columbia, who sell into the province and cause goods to be delivered to it, to register, collect the sales tax owing, and remit the tax to the British Columbia government, failing which a penalty equal to the tax plus an additional penalty may be imposed. The </w:t>
            </w:r>
            <w:r w:rsidRPr="00525037">
              <w:rPr>
                <w:iCs/>
                <w:color w:val="000000"/>
                <w:sz w:val="20"/>
              </w:rPr>
              <w:t xml:space="preserve">Act </w:t>
            </w:r>
            <w:r w:rsidRPr="00525037">
              <w:rPr>
                <w:color w:val="000000"/>
                <w:sz w:val="20"/>
              </w:rPr>
              <w:t>also requires vendors to file monthly returns and allows auditors from the BC Ministry of Finance to access vendors’ business premises and records. Fitter International Inc., a business incorporated in the province of Alberta, asked the Alberta Court of Queen’s Bench to declare certain provisions of the British Columbia statute unconstitutional. The province of British Columbia brought a motion to strike the claim for lack of jurisdiction. The Alberta Court of Queen’s Bench dismissed the motion to strike and awarded special costs to Fitter International. The Court of Appeal allowed the subsequent appeals and dismissed the cross-appeal.</w:t>
            </w:r>
          </w:p>
          <w:p w:rsidR="00BB19C2" w:rsidRPr="00525037" w:rsidRDefault="00BB19C2" w:rsidP="00BB19C2">
            <w:pPr>
              <w:jc w:val="both"/>
              <w:rPr>
                <w:sz w:val="20"/>
              </w:rPr>
            </w:pPr>
          </w:p>
        </w:tc>
      </w:tr>
      <w:tr w:rsidR="00BB19C2" w:rsidRPr="00525037" w:rsidTr="00E95A6A">
        <w:tc>
          <w:tcPr>
            <w:tcW w:w="2427" w:type="pct"/>
            <w:gridSpan w:val="2"/>
          </w:tcPr>
          <w:p w:rsidR="00BB19C2" w:rsidRPr="00525037" w:rsidRDefault="00BB19C2" w:rsidP="00BB19C2">
            <w:pPr>
              <w:jc w:val="both"/>
              <w:rPr>
                <w:sz w:val="20"/>
              </w:rPr>
            </w:pPr>
            <w:r w:rsidRPr="00525037">
              <w:rPr>
                <w:sz w:val="20"/>
              </w:rPr>
              <w:t>December 20, 2019</w:t>
            </w:r>
          </w:p>
          <w:p w:rsidR="00BB19C2" w:rsidRPr="00525037" w:rsidRDefault="00BB19C2" w:rsidP="00BB19C2">
            <w:pPr>
              <w:jc w:val="both"/>
              <w:rPr>
                <w:sz w:val="20"/>
              </w:rPr>
            </w:pPr>
            <w:r w:rsidRPr="00525037">
              <w:rPr>
                <w:sz w:val="20"/>
              </w:rPr>
              <w:t>Court of Queen’s Bench of Alberta</w:t>
            </w:r>
          </w:p>
          <w:p w:rsidR="00BB19C2" w:rsidRPr="00525037" w:rsidRDefault="00BB19C2" w:rsidP="00BB19C2">
            <w:pPr>
              <w:jc w:val="both"/>
              <w:rPr>
                <w:sz w:val="20"/>
              </w:rPr>
            </w:pPr>
            <w:r w:rsidRPr="00525037">
              <w:rPr>
                <w:sz w:val="20"/>
              </w:rPr>
              <w:t>(Nixon J.)</w:t>
            </w:r>
          </w:p>
          <w:p w:rsidR="00BB19C2" w:rsidRPr="00525037" w:rsidRDefault="00C26088" w:rsidP="00BB19C2">
            <w:pPr>
              <w:jc w:val="both"/>
              <w:rPr>
                <w:sz w:val="20"/>
              </w:rPr>
            </w:pPr>
            <w:hyperlink r:id="rId27" w:history="1">
              <w:r w:rsidR="00BB19C2" w:rsidRPr="00525037">
                <w:rPr>
                  <w:rStyle w:val="Hyperlink"/>
                  <w:sz w:val="20"/>
                </w:rPr>
                <w:t>2019 ABQB 990</w:t>
              </w:r>
            </w:hyperlink>
          </w:p>
          <w:p w:rsidR="00BB19C2" w:rsidRPr="00525037" w:rsidRDefault="00BB19C2" w:rsidP="00BB19C2">
            <w:pPr>
              <w:jc w:val="both"/>
              <w:rPr>
                <w:sz w:val="20"/>
              </w:rPr>
            </w:pPr>
          </w:p>
        </w:tc>
        <w:tc>
          <w:tcPr>
            <w:tcW w:w="243" w:type="pct"/>
          </w:tcPr>
          <w:p w:rsidR="00BB19C2" w:rsidRPr="00525037" w:rsidRDefault="00BB19C2" w:rsidP="00BB19C2">
            <w:pPr>
              <w:jc w:val="both"/>
              <w:rPr>
                <w:sz w:val="20"/>
              </w:rPr>
            </w:pPr>
          </w:p>
        </w:tc>
        <w:tc>
          <w:tcPr>
            <w:tcW w:w="2330" w:type="pct"/>
          </w:tcPr>
          <w:p w:rsidR="00BB19C2" w:rsidRPr="00525037" w:rsidRDefault="00BB19C2" w:rsidP="00BB19C2">
            <w:pPr>
              <w:jc w:val="both"/>
              <w:rPr>
                <w:sz w:val="20"/>
              </w:rPr>
            </w:pPr>
            <w:r w:rsidRPr="00525037">
              <w:rPr>
                <w:sz w:val="20"/>
              </w:rPr>
              <w:t>Motion to strike dismissed; Determination that court has jurisdiction to consider extra-territorial application of other provincial laws; Crown immunity does not apply to declarations sought.</w:t>
            </w:r>
          </w:p>
          <w:p w:rsidR="00BB19C2" w:rsidRPr="00525037" w:rsidRDefault="00BB19C2" w:rsidP="00BB19C2">
            <w:pPr>
              <w:jc w:val="both"/>
              <w:rPr>
                <w:sz w:val="20"/>
              </w:rPr>
            </w:pPr>
          </w:p>
        </w:tc>
      </w:tr>
      <w:tr w:rsidR="00BB19C2" w:rsidRPr="00525037" w:rsidTr="00E95A6A">
        <w:tc>
          <w:tcPr>
            <w:tcW w:w="2427" w:type="pct"/>
            <w:gridSpan w:val="2"/>
          </w:tcPr>
          <w:p w:rsidR="00BB19C2" w:rsidRPr="00525037" w:rsidRDefault="00BB19C2" w:rsidP="00BB19C2">
            <w:pPr>
              <w:jc w:val="both"/>
              <w:rPr>
                <w:sz w:val="20"/>
              </w:rPr>
            </w:pPr>
            <w:r w:rsidRPr="00525037">
              <w:rPr>
                <w:sz w:val="20"/>
              </w:rPr>
              <w:t>April 2, 2020</w:t>
            </w:r>
          </w:p>
          <w:p w:rsidR="00BB19C2" w:rsidRPr="00525037" w:rsidRDefault="00BB19C2" w:rsidP="00BB19C2">
            <w:pPr>
              <w:jc w:val="both"/>
              <w:rPr>
                <w:sz w:val="20"/>
              </w:rPr>
            </w:pPr>
            <w:r w:rsidRPr="00525037">
              <w:rPr>
                <w:sz w:val="20"/>
              </w:rPr>
              <w:t>Court of Queen’s Bench of Alberta</w:t>
            </w:r>
          </w:p>
          <w:p w:rsidR="00BB19C2" w:rsidRPr="00525037" w:rsidRDefault="00BB19C2" w:rsidP="00BB19C2">
            <w:pPr>
              <w:jc w:val="both"/>
              <w:rPr>
                <w:sz w:val="20"/>
              </w:rPr>
            </w:pPr>
            <w:r w:rsidRPr="00525037">
              <w:rPr>
                <w:sz w:val="20"/>
              </w:rPr>
              <w:t>(Nixon J.)</w:t>
            </w:r>
          </w:p>
          <w:p w:rsidR="00BB19C2" w:rsidRPr="00525037" w:rsidRDefault="00C26088" w:rsidP="00BB19C2">
            <w:pPr>
              <w:jc w:val="both"/>
              <w:rPr>
                <w:sz w:val="20"/>
              </w:rPr>
            </w:pPr>
            <w:hyperlink r:id="rId28" w:history="1">
              <w:r w:rsidR="00BB19C2" w:rsidRPr="00525037">
                <w:rPr>
                  <w:rStyle w:val="Hyperlink"/>
                  <w:sz w:val="20"/>
                </w:rPr>
                <w:t>2020 ABQB 226</w:t>
              </w:r>
            </w:hyperlink>
          </w:p>
          <w:p w:rsidR="00BB19C2" w:rsidRPr="00525037" w:rsidRDefault="00BB19C2" w:rsidP="00BB19C2">
            <w:pPr>
              <w:jc w:val="both"/>
              <w:rPr>
                <w:sz w:val="20"/>
              </w:rPr>
            </w:pPr>
          </w:p>
        </w:tc>
        <w:tc>
          <w:tcPr>
            <w:tcW w:w="243" w:type="pct"/>
          </w:tcPr>
          <w:p w:rsidR="00BB19C2" w:rsidRPr="00525037" w:rsidRDefault="00BB19C2" w:rsidP="00BB19C2">
            <w:pPr>
              <w:jc w:val="both"/>
              <w:rPr>
                <w:sz w:val="20"/>
              </w:rPr>
            </w:pPr>
          </w:p>
        </w:tc>
        <w:tc>
          <w:tcPr>
            <w:tcW w:w="2330" w:type="pct"/>
          </w:tcPr>
          <w:p w:rsidR="00BB19C2" w:rsidRPr="00525037" w:rsidRDefault="00BB19C2" w:rsidP="00BB19C2">
            <w:pPr>
              <w:jc w:val="both"/>
              <w:rPr>
                <w:sz w:val="20"/>
              </w:rPr>
            </w:pPr>
            <w:r w:rsidRPr="00525037">
              <w:rPr>
                <w:sz w:val="20"/>
              </w:rPr>
              <w:t>Special costs in the form of full indemnity costs awarded to Fitter International Inc.</w:t>
            </w:r>
          </w:p>
        </w:tc>
      </w:tr>
      <w:tr w:rsidR="00BB19C2" w:rsidRPr="00525037" w:rsidTr="00E95A6A">
        <w:tc>
          <w:tcPr>
            <w:tcW w:w="2427" w:type="pct"/>
            <w:gridSpan w:val="2"/>
          </w:tcPr>
          <w:p w:rsidR="00BB19C2" w:rsidRPr="00525037" w:rsidRDefault="00BB19C2" w:rsidP="00BB19C2">
            <w:pPr>
              <w:jc w:val="both"/>
              <w:rPr>
                <w:sz w:val="20"/>
              </w:rPr>
            </w:pPr>
            <w:r w:rsidRPr="00525037">
              <w:rPr>
                <w:sz w:val="20"/>
              </w:rPr>
              <w:t>February 10, 2021</w:t>
            </w:r>
          </w:p>
          <w:p w:rsidR="00BB19C2" w:rsidRPr="00525037" w:rsidRDefault="00BB19C2" w:rsidP="00BB19C2">
            <w:pPr>
              <w:jc w:val="both"/>
              <w:rPr>
                <w:sz w:val="20"/>
              </w:rPr>
            </w:pPr>
            <w:r w:rsidRPr="00525037">
              <w:rPr>
                <w:sz w:val="20"/>
              </w:rPr>
              <w:t>Court of Appeal of Alberta (Calgary)</w:t>
            </w:r>
          </w:p>
          <w:p w:rsidR="00BB19C2" w:rsidRPr="00525037" w:rsidRDefault="00BB19C2" w:rsidP="00BB19C2">
            <w:pPr>
              <w:jc w:val="both"/>
              <w:rPr>
                <w:sz w:val="20"/>
              </w:rPr>
            </w:pPr>
            <w:r w:rsidRPr="00525037">
              <w:rPr>
                <w:sz w:val="20"/>
              </w:rPr>
              <w:t>(Paperny, Slatter, and Hughes JJ.A.)</w:t>
            </w:r>
          </w:p>
          <w:p w:rsidR="00BB19C2" w:rsidRPr="00525037" w:rsidRDefault="00C26088" w:rsidP="00BB19C2">
            <w:pPr>
              <w:jc w:val="both"/>
              <w:rPr>
                <w:sz w:val="20"/>
              </w:rPr>
            </w:pPr>
            <w:hyperlink r:id="rId29" w:history="1">
              <w:r w:rsidR="00BB19C2" w:rsidRPr="00525037">
                <w:rPr>
                  <w:rStyle w:val="Hyperlink"/>
                  <w:sz w:val="20"/>
                </w:rPr>
                <w:t>2021 ABCA 54</w:t>
              </w:r>
            </w:hyperlink>
          </w:p>
          <w:p w:rsidR="00BB19C2" w:rsidRPr="00525037" w:rsidRDefault="00BB19C2" w:rsidP="00BB19C2">
            <w:pPr>
              <w:jc w:val="both"/>
              <w:rPr>
                <w:sz w:val="20"/>
              </w:rPr>
            </w:pPr>
          </w:p>
        </w:tc>
        <w:tc>
          <w:tcPr>
            <w:tcW w:w="243" w:type="pct"/>
          </w:tcPr>
          <w:p w:rsidR="00BB19C2" w:rsidRPr="00525037" w:rsidRDefault="00BB19C2" w:rsidP="00BB19C2">
            <w:pPr>
              <w:jc w:val="both"/>
              <w:rPr>
                <w:sz w:val="20"/>
              </w:rPr>
            </w:pPr>
          </w:p>
        </w:tc>
        <w:tc>
          <w:tcPr>
            <w:tcW w:w="2330" w:type="pct"/>
          </w:tcPr>
          <w:p w:rsidR="00BB19C2" w:rsidRPr="00525037" w:rsidRDefault="00BB19C2" w:rsidP="00BB19C2">
            <w:pPr>
              <w:jc w:val="both"/>
              <w:rPr>
                <w:sz w:val="20"/>
              </w:rPr>
            </w:pPr>
            <w:r w:rsidRPr="00525037">
              <w:rPr>
                <w:sz w:val="20"/>
              </w:rPr>
              <w:t>Appeals allowed; cross-appeal dismissed.</w:t>
            </w:r>
          </w:p>
        </w:tc>
      </w:tr>
      <w:tr w:rsidR="00BB19C2" w:rsidRPr="00525037" w:rsidTr="00E95A6A">
        <w:tc>
          <w:tcPr>
            <w:tcW w:w="2427" w:type="pct"/>
            <w:gridSpan w:val="2"/>
          </w:tcPr>
          <w:p w:rsidR="00BB19C2" w:rsidRPr="00525037" w:rsidRDefault="00BB19C2" w:rsidP="00BB19C2">
            <w:pPr>
              <w:jc w:val="both"/>
              <w:rPr>
                <w:sz w:val="20"/>
              </w:rPr>
            </w:pPr>
            <w:r w:rsidRPr="00525037">
              <w:rPr>
                <w:sz w:val="20"/>
              </w:rPr>
              <w:t>April 9, 2021</w:t>
            </w:r>
          </w:p>
          <w:p w:rsidR="00BB19C2" w:rsidRPr="00525037" w:rsidRDefault="00BB19C2" w:rsidP="00BB19C2">
            <w:pPr>
              <w:jc w:val="both"/>
              <w:rPr>
                <w:sz w:val="20"/>
              </w:rPr>
            </w:pPr>
            <w:r w:rsidRPr="00525037">
              <w:rPr>
                <w:sz w:val="20"/>
              </w:rPr>
              <w:t>Supreme Court of Canada</w:t>
            </w:r>
          </w:p>
        </w:tc>
        <w:tc>
          <w:tcPr>
            <w:tcW w:w="243" w:type="pct"/>
          </w:tcPr>
          <w:p w:rsidR="00BB19C2" w:rsidRPr="00525037" w:rsidRDefault="00BB19C2" w:rsidP="00BB19C2">
            <w:pPr>
              <w:jc w:val="both"/>
              <w:rPr>
                <w:sz w:val="20"/>
              </w:rPr>
            </w:pPr>
          </w:p>
        </w:tc>
        <w:tc>
          <w:tcPr>
            <w:tcW w:w="2330" w:type="pct"/>
          </w:tcPr>
          <w:p w:rsidR="00BB19C2" w:rsidRPr="00525037" w:rsidRDefault="00BB19C2" w:rsidP="00BB19C2">
            <w:pPr>
              <w:jc w:val="both"/>
              <w:rPr>
                <w:sz w:val="20"/>
              </w:rPr>
            </w:pPr>
            <w:r w:rsidRPr="00525037">
              <w:rPr>
                <w:sz w:val="20"/>
              </w:rPr>
              <w:t>Application for leave to appeal filed</w:t>
            </w:r>
          </w:p>
          <w:p w:rsidR="00BB19C2" w:rsidRPr="00525037" w:rsidRDefault="00BB19C2" w:rsidP="00BB19C2">
            <w:pPr>
              <w:jc w:val="both"/>
              <w:rPr>
                <w:sz w:val="20"/>
              </w:rPr>
            </w:pPr>
          </w:p>
        </w:tc>
      </w:tr>
    </w:tbl>
    <w:p w:rsidR="00BB19C2" w:rsidRPr="00525037" w:rsidRDefault="00BB19C2" w:rsidP="00BB19C2">
      <w:pPr>
        <w:jc w:val="both"/>
        <w:rPr>
          <w:sz w:val="20"/>
        </w:rPr>
      </w:pPr>
    </w:p>
    <w:p w:rsidR="00BB19C2" w:rsidRPr="00525037" w:rsidRDefault="00C26088" w:rsidP="00BB19C2">
      <w:pPr>
        <w:jc w:val="both"/>
        <w:rPr>
          <w:sz w:val="20"/>
        </w:rPr>
      </w:pPr>
      <w:r>
        <w:rPr>
          <w:sz w:val="20"/>
        </w:rPr>
        <w:pict>
          <v:rect id="_x0000_i1037" style="width:2in;height:1pt" o:hrpct="0" o:hralign="center" o:hrstd="t" o:hrnoshade="t" o:hr="t" fillcolor="black [3213]" stroked="f"/>
        </w:pict>
      </w:r>
    </w:p>
    <w:p w:rsidR="00BB19C2" w:rsidRPr="00525037" w:rsidRDefault="00BB19C2" w:rsidP="00BB19C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B19C2" w:rsidRPr="00525037" w:rsidTr="00E95A6A">
        <w:tc>
          <w:tcPr>
            <w:tcW w:w="543" w:type="pct"/>
          </w:tcPr>
          <w:p w:rsidR="00BB19C2" w:rsidRPr="00525037" w:rsidRDefault="00BB19C2" w:rsidP="00BB19C2">
            <w:pPr>
              <w:jc w:val="both"/>
              <w:rPr>
                <w:sz w:val="20"/>
                <w:lang w:val="fr-CA"/>
              </w:rPr>
            </w:pPr>
            <w:r w:rsidRPr="00525037">
              <w:rPr>
                <w:rStyle w:val="SCCFileNumberChar"/>
                <w:sz w:val="20"/>
                <w:szCs w:val="20"/>
                <w:lang w:val="fr-CA"/>
              </w:rPr>
              <w:t>39633</w:t>
            </w:r>
          </w:p>
        </w:tc>
        <w:tc>
          <w:tcPr>
            <w:tcW w:w="4457" w:type="pct"/>
            <w:gridSpan w:val="3"/>
          </w:tcPr>
          <w:p w:rsidR="00BB19C2" w:rsidRPr="00525037" w:rsidRDefault="00BB19C2" w:rsidP="00BB19C2">
            <w:pPr>
              <w:pStyle w:val="SCCLsocParty"/>
              <w:jc w:val="both"/>
              <w:rPr>
                <w:b/>
                <w:sz w:val="20"/>
                <w:szCs w:val="20"/>
              </w:rPr>
            </w:pPr>
            <w:r w:rsidRPr="00525037">
              <w:rPr>
                <w:b/>
                <w:sz w:val="20"/>
                <w:szCs w:val="20"/>
              </w:rPr>
              <w:t>Fitter International Inc. c. Sa Majesté la Reine du chef de la Colombie-Britannique</w:t>
            </w:r>
          </w:p>
          <w:p w:rsidR="00BB19C2" w:rsidRPr="00525037" w:rsidRDefault="00BB19C2" w:rsidP="00BB19C2">
            <w:pPr>
              <w:jc w:val="both"/>
              <w:rPr>
                <w:sz w:val="20"/>
                <w:lang w:val="fr-CA"/>
              </w:rPr>
            </w:pPr>
            <w:r w:rsidRPr="00525037">
              <w:rPr>
                <w:sz w:val="20"/>
                <w:lang w:val="fr-CA"/>
              </w:rPr>
              <w:t>(Alta.) (Civile) (Sur autorisation)</w:t>
            </w:r>
          </w:p>
        </w:tc>
      </w:tr>
      <w:tr w:rsidR="00BB19C2" w:rsidRPr="00C26088" w:rsidTr="00E95A6A">
        <w:tc>
          <w:tcPr>
            <w:tcW w:w="5000" w:type="pct"/>
            <w:gridSpan w:val="4"/>
          </w:tcPr>
          <w:p w:rsidR="00BB19C2" w:rsidRPr="00525037" w:rsidRDefault="00BB19C2" w:rsidP="00BB19C2">
            <w:pPr>
              <w:jc w:val="both"/>
              <w:rPr>
                <w:sz w:val="20"/>
                <w:lang w:val="fr-CA"/>
              </w:rPr>
            </w:pPr>
            <w:r w:rsidRPr="00525037">
              <w:rPr>
                <w:sz w:val="20"/>
                <w:lang w:val="fr-CA"/>
              </w:rPr>
              <w:t>Tribunaux — Compétence — Droit de la Couronne — Immunité — Procédure civile — Dépens — Les cours supérieures ont</w:t>
            </w:r>
            <w:r w:rsidRPr="00525037">
              <w:rPr>
                <w:sz w:val="20"/>
                <w:lang w:val="fr-CA"/>
              </w:rPr>
              <w:noBreakHyphen/>
              <w:t>elles compétence pour examiner la validité constitutionnelle de lois adoptées dans une autre province? — L’immunité interprovinciale de la Couronne devrait-elle permettre à une province de légiférer au</w:t>
            </w:r>
            <w:r w:rsidRPr="00525037">
              <w:rPr>
                <w:sz w:val="20"/>
                <w:lang w:val="fr-CA"/>
              </w:rPr>
              <w:noBreakHyphen/>
              <w:t>delà des limites de sa compétence territoriale, à l’abri de l’examen judiciaire des cours supérieures des autres provinces? — Un intérêt personnel, propriétal ou pécuniaire à l’égard du résultat d’une contestation constitutionnelle d’une loi empêche</w:t>
            </w:r>
            <w:r w:rsidRPr="00525037">
              <w:rPr>
                <w:sz w:val="20"/>
                <w:lang w:val="fr-CA"/>
              </w:rPr>
              <w:noBreakHyphen/>
              <w:t>t</w:t>
            </w:r>
            <w:r w:rsidRPr="00525037">
              <w:rPr>
                <w:sz w:val="20"/>
                <w:lang w:val="fr-CA"/>
              </w:rPr>
              <w:noBreakHyphen/>
              <w:t>il l’octroi de dépens spéciaux?</w:t>
            </w:r>
          </w:p>
        </w:tc>
      </w:tr>
      <w:tr w:rsidR="00BB19C2" w:rsidRPr="00C26088" w:rsidTr="00E95A6A">
        <w:tc>
          <w:tcPr>
            <w:tcW w:w="5000" w:type="pct"/>
            <w:gridSpan w:val="4"/>
          </w:tcPr>
          <w:p w:rsidR="00BB19C2" w:rsidRPr="00525037" w:rsidRDefault="00BB19C2" w:rsidP="00BB19C2">
            <w:pPr>
              <w:jc w:val="both"/>
              <w:rPr>
                <w:sz w:val="20"/>
                <w:lang w:val="fr-CA"/>
              </w:rPr>
            </w:pPr>
          </w:p>
        </w:tc>
      </w:tr>
      <w:tr w:rsidR="00BB19C2" w:rsidRPr="00C26088" w:rsidTr="00E95A6A">
        <w:tc>
          <w:tcPr>
            <w:tcW w:w="5000" w:type="pct"/>
            <w:gridSpan w:val="4"/>
          </w:tcPr>
          <w:p w:rsidR="00BB19C2" w:rsidRPr="00525037" w:rsidRDefault="00BB19C2" w:rsidP="00BB19C2">
            <w:pPr>
              <w:jc w:val="both"/>
              <w:rPr>
                <w:color w:val="000000"/>
                <w:sz w:val="20"/>
                <w:lang w:val="fr-CA"/>
              </w:rPr>
            </w:pPr>
            <w:r w:rsidRPr="00525037">
              <w:rPr>
                <w:color w:val="000000"/>
                <w:sz w:val="20"/>
                <w:lang w:val="fr-CA"/>
              </w:rPr>
              <w:t xml:space="preserve">La </w:t>
            </w:r>
            <w:r w:rsidRPr="00525037">
              <w:rPr>
                <w:i/>
                <w:color w:val="000000"/>
                <w:sz w:val="20"/>
                <w:lang w:val="fr-CA"/>
              </w:rPr>
              <w:t>Provincial Sales Tax Act</w:t>
            </w:r>
            <w:r w:rsidRPr="00525037">
              <w:rPr>
                <w:color w:val="000000"/>
                <w:sz w:val="20"/>
                <w:lang w:val="fr-CA"/>
              </w:rPr>
              <w:t>, S.B.C. 2012, c. 35 (la Loi) de la Colombie</w:t>
            </w:r>
            <w:r w:rsidRPr="00525037">
              <w:rPr>
                <w:color w:val="000000"/>
                <w:sz w:val="20"/>
                <w:lang w:val="fr-CA"/>
              </w:rPr>
              <w:noBreakHyphen/>
              <w:t>Britannique impose une taxe de vente aux résidents de la province qui achètent des biens qu’ils apportent dans celle</w:t>
            </w:r>
            <w:r w:rsidRPr="00525037">
              <w:rPr>
                <w:color w:val="000000"/>
                <w:sz w:val="20"/>
                <w:lang w:val="fr-CA"/>
              </w:rPr>
              <w:noBreakHyphen/>
              <w:t>ci. La Loi exige que les vendeurs de l’extérieur de la Colombie</w:t>
            </w:r>
            <w:r w:rsidRPr="00525037">
              <w:rPr>
                <w:color w:val="000000"/>
                <w:sz w:val="20"/>
                <w:lang w:val="fr-CA"/>
              </w:rPr>
              <w:noBreakHyphen/>
              <w:t>Britannique, qui vendent des biens dans la province et qui font en sorte qu’ils soient livrés dans celle</w:t>
            </w:r>
            <w:r w:rsidRPr="00525037">
              <w:rPr>
                <w:color w:val="000000"/>
                <w:sz w:val="20"/>
                <w:lang w:val="fr-CA"/>
              </w:rPr>
              <w:noBreakHyphen/>
              <w:t>ci, s’enregistrent, perçoivent les taxes de vente dues et les remettent au gouvernement de la Colombie</w:t>
            </w:r>
            <w:r w:rsidRPr="00525037">
              <w:rPr>
                <w:color w:val="000000"/>
                <w:sz w:val="20"/>
                <w:lang w:val="fr-CA"/>
              </w:rPr>
              <w:noBreakHyphen/>
              <w:t>Britannique, sans quoi une pénalité équivalant aux taxes majorée d’une pénalité additionnelle peut être imposée. La Loi exige également que les vendeurs produisent des déclarations mensuelles et permettent aux vérificateurs du Ministry of Finance de la Colombie</w:t>
            </w:r>
            <w:r w:rsidRPr="00525037">
              <w:rPr>
                <w:color w:val="000000"/>
                <w:sz w:val="20"/>
                <w:lang w:val="fr-CA"/>
              </w:rPr>
              <w:noBreakHyphen/>
              <w:t>Britannique d’avoir accès aux locaux et aux dossiers commerciaux des vendeurs. Fitter International Inc., une entreprise constituée en Alberta,  a demandé à la Cour du Banc de la Reine de l’Alberta de déclarer inconstitutionnelles certaines dispositions de la Loi de la Colombie</w:t>
            </w:r>
            <w:r w:rsidRPr="00525037">
              <w:rPr>
                <w:color w:val="000000"/>
                <w:sz w:val="20"/>
                <w:lang w:val="fr-CA"/>
              </w:rPr>
              <w:noBreakHyphen/>
              <w:t>Britannique. La province de la Colombie</w:t>
            </w:r>
            <w:r w:rsidRPr="00525037">
              <w:rPr>
                <w:color w:val="000000"/>
                <w:sz w:val="20"/>
                <w:lang w:val="fr-CA"/>
              </w:rPr>
              <w:noBreakHyphen/>
              <w:t xml:space="preserve">Britannique a présenté une requête en radiation de la demande </w:t>
            </w:r>
            <w:r w:rsidRPr="00525037">
              <w:rPr>
                <w:color w:val="000000"/>
                <w:sz w:val="20"/>
                <w:lang w:val="fr-CA"/>
              </w:rPr>
              <w:lastRenderedPageBreak/>
              <w:t>fondée sur le défaut de compétence. La Cour du Banc de la Reine de l’Alberta a rejeté la requête en radiation et a adjugé des dépens spéciaux à Fitter International. La Cour d’appel a accueilli les appels subséquents et rejeté le pourvoi incident.</w:t>
            </w:r>
          </w:p>
          <w:p w:rsidR="00BB19C2" w:rsidRPr="00525037" w:rsidRDefault="00BB19C2" w:rsidP="00BB19C2">
            <w:pPr>
              <w:jc w:val="both"/>
              <w:rPr>
                <w:sz w:val="20"/>
                <w:lang w:val="fr-CA"/>
              </w:rPr>
            </w:pPr>
          </w:p>
        </w:tc>
      </w:tr>
      <w:tr w:rsidR="00BB19C2" w:rsidRPr="00C26088" w:rsidTr="00E95A6A">
        <w:tc>
          <w:tcPr>
            <w:tcW w:w="2427" w:type="pct"/>
            <w:gridSpan w:val="2"/>
          </w:tcPr>
          <w:p w:rsidR="00BB19C2" w:rsidRPr="00525037" w:rsidRDefault="00BB19C2" w:rsidP="00BB19C2">
            <w:pPr>
              <w:jc w:val="both"/>
              <w:rPr>
                <w:sz w:val="20"/>
                <w:lang w:val="fr-CA"/>
              </w:rPr>
            </w:pPr>
            <w:r w:rsidRPr="00525037">
              <w:rPr>
                <w:sz w:val="20"/>
                <w:lang w:val="fr-CA"/>
              </w:rPr>
              <w:lastRenderedPageBreak/>
              <w:t>20 décembre 2019</w:t>
            </w:r>
          </w:p>
          <w:p w:rsidR="00BB19C2" w:rsidRPr="00525037" w:rsidRDefault="00BB19C2" w:rsidP="00BB19C2">
            <w:pPr>
              <w:jc w:val="both"/>
              <w:rPr>
                <w:sz w:val="20"/>
                <w:lang w:val="fr-CA"/>
              </w:rPr>
            </w:pPr>
            <w:r w:rsidRPr="00525037">
              <w:rPr>
                <w:sz w:val="20"/>
                <w:lang w:val="fr-CA"/>
              </w:rPr>
              <w:t>Cour du Banc de la Reine de l’Alberta</w:t>
            </w:r>
          </w:p>
          <w:p w:rsidR="00BB19C2" w:rsidRPr="00525037" w:rsidRDefault="00BB19C2" w:rsidP="00BB19C2">
            <w:pPr>
              <w:jc w:val="both"/>
              <w:rPr>
                <w:sz w:val="20"/>
                <w:lang w:val="fr-CA"/>
              </w:rPr>
            </w:pPr>
            <w:r w:rsidRPr="00525037">
              <w:rPr>
                <w:sz w:val="20"/>
                <w:lang w:val="fr-CA"/>
              </w:rPr>
              <w:t>(Juge Nixon)</w:t>
            </w:r>
          </w:p>
          <w:p w:rsidR="00BB19C2" w:rsidRPr="00525037" w:rsidRDefault="00C26088" w:rsidP="00BB19C2">
            <w:pPr>
              <w:jc w:val="both"/>
              <w:rPr>
                <w:sz w:val="20"/>
                <w:lang w:val="fr-CA"/>
              </w:rPr>
            </w:pPr>
            <w:hyperlink r:id="rId30" w:history="1">
              <w:r w:rsidR="00BB19C2" w:rsidRPr="00525037">
                <w:rPr>
                  <w:rStyle w:val="Hyperlink"/>
                  <w:sz w:val="20"/>
                  <w:lang w:val="fr-CA"/>
                </w:rPr>
                <w:t>2019 ABQB 990</w:t>
              </w:r>
            </w:hyperlink>
          </w:p>
          <w:p w:rsidR="00BB19C2" w:rsidRPr="00525037" w:rsidRDefault="00BB19C2" w:rsidP="00BB19C2">
            <w:pPr>
              <w:jc w:val="both"/>
              <w:rPr>
                <w:sz w:val="20"/>
                <w:lang w:val="fr-CA"/>
              </w:rPr>
            </w:pPr>
          </w:p>
        </w:tc>
        <w:tc>
          <w:tcPr>
            <w:tcW w:w="243" w:type="pct"/>
          </w:tcPr>
          <w:p w:rsidR="00BB19C2" w:rsidRPr="00525037" w:rsidRDefault="00BB19C2" w:rsidP="00BB19C2">
            <w:pPr>
              <w:jc w:val="both"/>
              <w:rPr>
                <w:sz w:val="20"/>
                <w:lang w:val="fr-CA"/>
              </w:rPr>
            </w:pPr>
          </w:p>
        </w:tc>
        <w:tc>
          <w:tcPr>
            <w:tcW w:w="2330" w:type="pct"/>
          </w:tcPr>
          <w:p w:rsidR="00BB19C2" w:rsidRPr="00525037" w:rsidRDefault="00BB19C2" w:rsidP="00BB19C2">
            <w:pPr>
              <w:jc w:val="both"/>
              <w:rPr>
                <w:sz w:val="20"/>
                <w:lang w:val="fr-CA"/>
              </w:rPr>
            </w:pPr>
            <w:r w:rsidRPr="00525037">
              <w:rPr>
                <w:sz w:val="20"/>
                <w:lang w:val="fr-CA"/>
              </w:rPr>
              <w:t>Requête en radiation rejetée; Conclusion portant que la cour a compétence pour se pencher sur l’application extraterritoriale d’autres lois provinciales; l’immunité de la Couronne ne s’applique pas aux jugements déclaratoires sollicités.</w:t>
            </w:r>
          </w:p>
          <w:p w:rsidR="00BB19C2" w:rsidRPr="00525037" w:rsidRDefault="00BB19C2" w:rsidP="00BB19C2">
            <w:pPr>
              <w:jc w:val="both"/>
              <w:rPr>
                <w:sz w:val="20"/>
                <w:lang w:val="fr-CA"/>
              </w:rPr>
            </w:pPr>
          </w:p>
        </w:tc>
      </w:tr>
      <w:tr w:rsidR="00BB19C2" w:rsidRPr="00C26088" w:rsidTr="00E95A6A">
        <w:tc>
          <w:tcPr>
            <w:tcW w:w="2427" w:type="pct"/>
            <w:gridSpan w:val="2"/>
          </w:tcPr>
          <w:p w:rsidR="00BB19C2" w:rsidRPr="00525037" w:rsidRDefault="00BB19C2" w:rsidP="00BB19C2">
            <w:pPr>
              <w:jc w:val="both"/>
              <w:rPr>
                <w:sz w:val="20"/>
                <w:lang w:val="fr-CA"/>
              </w:rPr>
            </w:pPr>
            <w:r w:rsidRPr="00525037">
              <w:rPr>
                <w:sz w:val="20"/>
                <w:lang w:val="fr-CA"/>
              </w:rPr>
              <w:t>2 avril 2020</w:t>
            </w:r>
          </w:p>
          <w:p w:rsidR="00BB19C2" w:rsidRPr="00525037" w:rsidRDefault="00BB19C2" w:rsidP="00BB19C2">
            <w:pPr>
              <w:jc w:val="both"/>
              <w:rPr>
                <w:sz w:val="20"/>
                <w:lang w:val="fr-CA"/>
              </w:rPr>
            </w:pPr>
            <w:r w:rsidRPr="00525037">
              <w:rPr>
                <w:sz w:val="20"/>
                <w:lang w:val="fr-CA"/>
              </w:rPr>
              <w:t>Cour du Banc de la Reine de l’Alberta</w:t>
            </w:r>
          </w:p>
          <w:p w:rsidR="00BB19C2" w:rsidRPr="00525037" w:rsidRDefault="00BB19C2" w:rsidP="00BB19C2">
            <w:pPr>
              <w:jc w:val="both"/>
              <w:rPr>
                <w:sz w:val="20"/>
                <w:lang w:val="fr-CA"/>
              </w:rPr>
            </w:pPr>
            <w:r w:rsidRPr="00525037">
              <w:rPr>
                <w:sz w:val="20"/>
                <w:lang w:val="fr-CA"/>
              </w:rPr>
              <w:t>(Juge Nixon)</w:t>
            </w:r>
          </w:p>
          <w:p w:rsidR="00BB19C2" w:rsidRPr="00525037" w:rsidRDefault="00C26088" w:rsidP="00BB19C2">
            <w:pPr>
              <w:jc w:val="both"/>
              <w:rPr>
                <w:sz w:val="20"/>
                <w:lang w:val="fr-CA"/>
              </w:rPr>
            </w:pPr>
            <w:hyperlink r:id="rId31" w:history="1">
              <w:r w:rsidR="00BB19C2" w:rsidRPr="00525037">
                <w:rPr>
                  <w:rStyle w:val="Hyperlink"/>
                  <w:sz w:val="20"/>
                  <w:lang w:val="fr-CA"/>
                </w:rPr>
                <w:t>2020 ABQB 226</w:t>
              </w:r>
            </w:hyperlink>
          </w:p>
          <w:p w:rsidR="00BB19C2" w:rsidRPr="00525037" w:rsidRDefault="00BB19C2" w:rsidP="00BB19C2">
            <w:pPr>
              <w:jc w:val="both"/>
              <w:rPr>
                <w:sz w:val="20"/>
                <w:lang w:val="fr-CA"/>
              </w:rPr>
            </w:pPr>
          </w:p>
        </w:tc>
        <w:tc>
          <w:tcPr>
            <w:tcW w:w="243" w:type="pct"/>
          </w:tcPr>
          <w:p w:rsidR="00BB19C2" w:rsidRPr="00525037" w:rsidRDefault="00BB19C2" w:rsidP="00BB19C2">
            <w:pPr>
              <w:jc w:val="both"/>
              <w:rPr>
                <w:sz w:val="20"/>
                <w:lang w:val="fr-CA"/>
              </w:rPr>
            </w:pPr>
          </w:p>
        </w:tc>
        <w:tc>
          <w:tcPr>
            <w:tcW w:w="2330" w:type="pct"/>
          </w:tcPr>
          <w:p w:rsidR="00BB19C2" w:rsidRPr="00525037" w:rsidRDefault="00BB19C2" w:rsidP="00BB19C2">
            <w:pPr>
              <w:jc w:val="both"/>
              <w:rPr>
                <w:sz w:val="20"/>
                <w:lang w:val="fr-CA"/>
              </w:rPr>
            </w:pPr>
            <w:r w:rsidRPr="00525037">
              <w:rPr>
                <w:sz w:val="20"/>
                <w:lang w:val="fr-CA"/>
              </w:rPr>
              <w:t>Dépens spéciaux sous forme de dépens d’indemnisation complets accordés à Fitter International Inc.</w:t>
            </w:r>
          </w:p>
        </w:tc>
      </w:tr>
      <w:tr w:rsidR="00BB19C2" w:rsidRPr="00C26088" w:rsidTr="00E95A6A">
        <w:tc>
          <w:tcPr>
            <w:tcW w:w="2427" w:type="pct"/>
            <w:gridSpan w:val="2"/>
          </w:tcPr>
          <w:p w:rsidR="00BB19C2" w:rsidRPr="00525037" w:rsidRDefault="00BB19C2" w:rsidP="00BB19C2">
            <w:pPr>
              <w:jc w:val="both"/>
              <w:rPr>
                <w:sz w:val="20"/>
                <w:lang w:val="fr-CA"/>
              </w:rPr>
            </w:pPr>
            <w:r w:rsidRPr="00525037">
              <w:rPr>
                <w:sz w:val="20"/>
                <w:lang w:val="fr-CA"/>
              </w:rPr>
              <w:t>10 février 2021</w:t>
            </w:r>
          </w:p>
          <w:p w:rsidR="00BB19C2" w:rsidRPr="00525037" w:rsidRDefault="00BB19C2" w:rsidP="00BB19C2">
            <w:pPr>
              <w:jc w:val="both"/>
              <w:rPr>
                <w:sz w:val="20"/>
                <w:lang w:val="fr-CA"/>
              </w:rPr>
            </w:pPr>
            <w:r w:rsidRPr="00525037">
              <w:rPr>
                <w:sz w:val="20"/>
                <w:lang w:val="fr-CA"/>
              </w:rPr>
              <w:t>Cour d’appel de l’Alberta (Calgary)</w:t>
            </w:r>
          </w:p>
          <w:p w:rsidR="00BB19C2" w:rsidRPr="00525037" w:rsidRDefault="00BB19C2" w:rsidP="00BB19C2">
            <w:pPr>
              <w:jc w:val="both"/>
              <w:rPr>
                <w:sz w:val="20"/>
                <w:lang w:val="fr-CA"/>
              </w:rPr>
            </w:pPr>
            <w:r w:rsidRPr="00525037">
              <w:rPr>
                <w:sz w:val="20"/>
                <w:lang w:val="fr-CA"/>
              </w:rPr>
              <w:t>(Juges Paperny, Slatter et Hughes)</w:t>
            </w:r>
          </w:p>
          <w:p w:rsidR="00BB19C2" w:rsidRPr="00525037" w:rsidRDefault="00C26088" w:rsidP="00BB19C2">
            <w:pPr>
              <w:jc w:val="both"/>
              <w:rPr>
                <w:sz w:val="20"/>
                <w:lang w:val="fr-CA"/>
              </w:rPr>
            </w:pPr>
            <w:hyperlink r:id="rId32" w:history="1">
              <w:r w:rsidR="00BB19C2" w:rsidRPr="00525037">
                <w:rPr>
                  <w:rStyle w:val="Hyperlink"/>
                  <w:sz w:val="20"/>
                  <w:lang w:val="fr-CA"/>
                </w:rPr>
                <w:t>2021 ABCA 54</w:t>
              </w:r>
            </w:hyperlink>
          </w:p>
          <w:p w:rsidR="00BB19C2" w:rsidRPr="00525037" w:rsidRDefault="00BB19C2" w:rsidP="00BB19C2">
            <w:pPr>
              <w:jc w:val="both"/>
              <w:rPr>
                <w:sz w:val="20"/>
                <w:lang w:val="fr-CA"/>
              </w:rPr>
            </w:pPr>
          </w:p>
        </w:tc>
        <w:tc>
          <w:tcPr>
            <w:tcW w:w="243" w:type="pct"/>
          </w:tcPr>
          <w:p w:rsidR="00BB19C2" w:rsidRPr="00525037" w:rsidRDefault="00BB19C2" w:rsidP="00BB19C2">
            <w:pPr>
              <w:jc w:val="both"/>
              <w:rPr>
                <w:sz w:val="20"/>
                <w:lang w:val="fr-CA"/>
              </w:rPr>
            </w:pPr>
          </w:p>
        </w:tc>
        <w:tc>
          <w:tcPr>
            <w:tcW w:w="2330" w:type="pct"/>
          </w:tcPr>
          <w:p w:rsidR="00BB19C2" w:rsidRPr="00525037" w:rsidRDefault="00BB19C2" w:rsidP="00BB19C2">
            <w:pPr>
              <w:jc w:val="both"/>
              <w:rPr>
                <w:sz w:val="20"/>
                <w:lang w:val="fr-CA"/>
              </w:rPr>
            </w:pPr>
            <w:r w:rsidRPr="00525037">
              <w:rPr>
                <w:sz w:val="20"/>
                <w:lang w:val="fr-CA"/>
              </w:rPr>
              <w:t>Appels accueillis; appel incident rejeté.</w:t>
            </w:r>
          </w:p>
        </w:tc>
      </w:tr>
      <w:tr w:rsidR="00BB19C2" w:rsidRPr="00C26088" w:rsidTr="00E95A6A">
        <w:tc>
          <w:tcPr>
            <w:tcW w:w="2427" w:type="pct"/>
            <w:gridSpan w:val="2"/>
          </w:tcPr>
          <w:p w:rsidR="00BB19C2" w:rsidRPr="00525037" w:rsidRDefault="00BB19C2" w:rsidP="00BB19C2">
            <w:pPr>
              <w:jc w:val="both"/>
              <w:rPr>
                <w:sz w:val="20"/>
                <w:lang w:val="fr-CA"/>
              </w:rPr>
            </w:pPr>
            <w:r w:rsidRPr="00525037">
              <w:rPr>
                <w:sz w:val="20"/>
                <w:lang w:val="fr-CA"/>
              </w:rPr>
              <w:t>9 avril 2021</w:t>
            </w:r>
          </w:p>
          <w:p w:rsidR="00BB19C2" w:rsidRPr="00525037" w:rsidRDefault="00BB19C2" w:rsidP="00BB19C2">
            <w:pPr>
              <w:jc w:val="both"/>
              <w:rPr>
                <w:sz w:val="20"/>
                <w:lang w:val="fr-CA"/>
              </w:rPr>
            </w:pPr>
            <w:r w:rsidRPr="00525037">
              <w:rPr>
                <w:sz w:val="20"/>
                <w:lang w:val="fr-CA"/>
              </w:rPr>
              <w:t>Cour suprême du Canada</w:t>
            </w:r>
          </w:p>
        </w:tc>
        <w:tc>
          <w:tcPr>
            <w:tcW w:w="243" w:type="pct"/>
          </w:tcPr>
          <w:p w:rsidR="00BB19C2" w:rsidRPr="00525037" w:rsidRDefault="00BB19C2" w:rsidP="00BB19C2">
            <w:pPr>
              <w:jc w:val="both"/>
              <w:rPr>
                <w:sz w:val="20"/>
                <w:lang w:val="fr-CA"/>
              </w:rPr>
            </w:pPr>
          </w:p>
        </w:tc>
        <w:tc>
          <w:tcPr>
            <w:tcW w:w="2330" w:type="pct"/>
          </w:tcPr>
          <w:p w:rsidR="00BB19C2" w:rsidRPr="00525037" w:rsidRDefault="00BB19C2" w:rsidP="00BB19C2">
            <w:pPr>
              <w:jc w:val="both"/>
              <w:rPr>
                <w:sz w:val="20"/>
                <w:lang w:val="fr-CA"/>
              </w:rPr>
            </w:pPr>
            <w:r w:rsidRPr="00525037">
              <w:rPr>
                <w:sz w:val="20"/>
                <w:lang w:val="fr-CA"/>
              </w:rPr>
              <w:t>Dépôt de la demande d’autorisation d’appel</w:t>
            </w:r>
          </w:p>
          <w:p w:rsidR="00BB19C2" w:rsidRPr="00525037" w:rsidRDefault="00BB19C2" w:rsidP="00BB19C2">
            <w:pPr>
              <w:jc w:val="both"/>
              <w:rPr>
                <w:sz w:val="20"/>
                <w:lang w:val="fr-CA"/>
              </w:rPr>
            </w:pPr>
          </w:p>
        </w:tc>
      </w:tr>
    </w:tbl>
    <w:p w:rsidR="00DF2FFE" w:rsidRPr="00525037" w:rsidRDefault="00DF2FFE" w:rsidP="006B097E">
      <w:pPr>
        <w:widowControl w:val="0"/>
        <w:jc w:val="both"/>
        <w:rPr>
          <w:sz w:val="20"/>
          <w:lang w:val="fr-CA"/>
        </w:rPr>
      </w:pPr>
    </w:p>
    <w:p w:rsidR="008C3C00" w:rsidRPr="00525037" w:rsidRDefault="00C26088" w:rsidP="00C13AB4">
      <w:pPr>
        <w:widowControl w:val="0"/>
        <w:jc w:val="both"/>
        <w:rPr>
          <w:sz w:val="20"/>
        </w:rPr>
      </w:pPr>
      <w:r>
        <w:rPr>
          <w:sz w:val="20"/>
        </w:rPr>
        <w:pict>
          <v:rect id="_x0000_i1038" style="width:2in;height:1pt" o:hrpct="0" o:hralign="center" o:hrstd="t" o:hrnoshade="t" o:hr="t" fillcolor="black [3213]" stroked="f"/>
        </w:pict>
      </w:r>
    </w:p>
    <w:p w:rsidR="008C3C00" w:rsidRPr="00525037" w:rsidRDefault="008C3C00" w:rsidP="00C13AB4">
      <w:pPr>
        <w:widowControl w:val="0"/>
        <w:jc w:val="both"/>
        <w:rPr>
          <w:sz w:val="20"/>
        </w:rPr>
      </w:pPr>
    </w:p>
    <w:p w:rsidR="005C7161" w:rsidRPr="00525037" w:rsidRDefault="005C7161" w:rsidP="006A22CA">
      <w:pPr>
        <w:ind w:left="142" w:hanging="142"/>
        <w:jc w:val="both"/>
        <w:rPr>
          <w:sz w:val="20"/>
        </w:rPr>
      </w:pPr>
    </w:p>
    <w:p w:rsidR="00FD3FA0" w:rsidRPr="00525037" w:rsidRDefault="00FD3FA0" w:rsidP="006A22CA">
      <w:pPr>
        <w:ind w:left="142" w:hanging="142"/>
        <w:jc w:val="both"/>
        <w:rPr>
          <w:sz w:val="20"/>
        </w:rPr>
      </w:pPr>
    </w:p>
    <w:p w:rsidR="00D3344A" w:rsidRPr="00525037" w:rsidRDefault="00D3344A" w:rsidP="00D3344A">
      <w:pPr>
        <w:widowControl w:val="0"/>
        <w:outlineLvl w:val="0"/>
      </w:pPr>
      <w:r w:rsidRPr="00525037">
        <w:t xml:space="preserve">Supreme Court of Canada / Cour suprême du </w:t>
      </w:r>
      <w:proofErr w:type="gramStart"/>
      <w:r w:rsidRPr="00525037">
        <w:t>Canad</w:t>
      </w:r>
      <w:r w:rsidR="00EE289F" w:rsidRPr="00525037">
        <w:t>a</w:t>
      </w:r>
      <w:r w:rsidRPr="00525037">
        <w:t xml:space="preserve"> :</w:t>
      </w:r>
      <w:proofErr w:type="gramEnd"/>
    </w:p>
    <w:p w:rsidR="00D3344A" w:rsidRPr="00525037" w:rsidRDefault="00C26088" w:rsidP="00D3344A">
      <w:pPr>
        <w:widowControl w:val="0"/>
        <w:outlineLvl w:val="0"/>
        <w:rPr>
          <w:u w:val="single"/>
        </w:rPr>
      </w:pPr>
      <w:hyperlink r:id="rId33" w:history="1">
        <w:r w:rsidR="009B7391" w:rsidRPr="00525037">
          <w:rPr>
            <w:rStyle w:val="Hyperlink"/>
          </w:rPr>
          <w:t>comments-commentaires@scc-csc.ca</w:t>
        </w:r>
      </w:hyperlink>
    </w:p>
    <w:p w:rsidR="00D3344A" w:rsidRPr="00525037" w:rsidRDefault="0065588C" w:rsidP="00D3344A">
      <w:pPr>
        <w:widowControl w:val="0"/>
        <w:outlineLvl w:val="0"/>
      </w:pPr>
      <w:r w:rsidRPr="00525037">
        <w:t>613-</w:t>
      </w:r>
      <w:r w:rsidR="00D3344A" w:rsidRPr="00525037">
        <w:t>995-4330</w:t>
      </w:r>
    </w:p>
    <w:p w:rsidR="00497B5E" w:rsidRPr="00525037" w:rsidRDefault="00497B5E" w:rsidP="00497B5E">
      <w:pPr>
        <w:widowControl w:val="0"/>
        <w:rPr>
          <w:sz w:val="20"/>
        </w:rPr>
      </w:pPr>
    </w:p>
    <w:p w:rsidR="00F6251B" w:rsidRPr="006E558B" w:rsidRDefault="003F43E6" w:rsidP="00F6251B">
      <w:pPr>
        <w:pStyle w:val="Footer"/>
        <w:jc w:val="center"/>
      </w:pPr>
      <w:r w:rsidRPr="00525037">
        <w:t>- 30 -</w:t>
      </w:r>
    </w:p>
    <w:sectPr w:rsidR="00F6251B" w:rsidRPr="006E558B" w:rsidSect="00E62F93">
      <w:headerReference w:type="even" r:id="rId34"/>
      <w:headerReference w:type="default" r:id="rId35"/>
      <w:footerReference w:type="even" r:id="rId36"/>
      <w:footerReference w:type="default" r:id="rId37"/>
      <w:headerReference w:type="first" r:id="rId38"/>
      <w:footerReference w:type="first" r:id="rId39"/>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10" w:rsidRDefault="00FE1F10" w:rsidP="0034178A">
      <w:r>
        <w:separator/>
      </w:r>
    </w:p>
  </w:endnote>
  <w:endnote w:type="continuationSeparator" w:id="0">
    <w:p w:rsidR="00FE1F10" w:rsidRDefault="00FE1F10"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Pr="009F77F0" w:rsidRDefault="00FE1F10"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10" w:rsidRDefault="00FE1F10" w:rsidP="0034178A">
      <w:r>
        <w:separator/>
      </w:r>
    </w:p>
  </w:footnote>
  <w:footnote w:type="continuationSeparator" w:id="0">
    <w:p w:rsidR="00FE1F10" w:rsidRDefault="00FE1F10"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F10" w:rsidRDefault="00FE1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34CB"/>
    <w:multiLevelType w:val="hybridMultilevel"/>
    <w:tmpl w:val="DDF83788"/>
    <w:lvl w:ilvl="0" w:tplc="D7CEB04C">
      <w:start w:val="7"/>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0C1"/>
    <w:multiLevelType w:val="hybridMultilevel"/>
    <w:tmpl w:val="E98A046A"/>
    <w:lvl w:ilvl="0" w:tplc="9FE47D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A312A"/>
    <w:multiLevelType w:val="hybridMultilevel"/>
    <w:tmpl w:val="B388DC70"/>
    <w:lvl w:ilvl="0" w:tplc="FB14D30C">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57D53"/>
    <w:multiLevelType w:val="hybridMultilevel"/>
    <w:tmpl w:val="D4D0E024"/>
    <w:lvl w:ilvl="0" w:tplc="E500BCC8">
      <w:start w:val="5"/>
      <w:numFmt w:val="decimal"/>
      <w:lvlText w:val="%1."/>
      <w:lvlJc w:val="left"/>
      <w:pPr>
        <w:ind w:left="882" w:hanging="738"/>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9C865A2"/>
    <w:multiLevelType w:val="hybridMultilevel"/>
    <w:tmpl w:val="EB4E955E"/>
    <w:lvl w:ilvl="0" w:tplc="C6345860">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B45B2"/>
    <w:multiLevelType w:val="hybridMultilevel"/>
    <w:tmpl w:val="7A0CAA5C"/>
    <w:lvl w:ilvl="0" w:tplc="F6AA7EE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E0B80"/>
    <w:multiLevelType w:val="hybridMultilevel"/>
    <w:tmpl w:val="59C2CEF4"/>
    <w:lvl w:ilvl="0" w:tplc="13AE61F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6760A"/>
    <w:multiLevelType w:val="hybridMultilevel"/>
    <w:tmpl w:val="CE2033EA"/>
    <w:lvl w:ilvl="0" w:tplc="17D23FD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61C44"/>
    <w:multiLevelType w:val="hybridMultilevel"/>
    <w:tmpl w:val="108C4B24"/>
    <w:lvl w:ilvl="0" w:tplc="F4A27C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FB3DFD"/>
    <w:multiLevelType w:val="hybridMultilevel"/>
    <w:tmpl w:val="8C925AF8"/>
    <w:lvl w:ilvl="0" w:tplc="2FD67EC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73E1D"/>
    <w:multiLevelType w:val="hybridMultilevel"/>
    <w:tmpl w:val="0D386928"/>
    <w:lvl w:ilvl="0" w:tplc="C526DC6E">
      <w:start w:val="7"/>
      <w:numFmt w:val="decimal"/>
      <w:lvlText w:val="%1."/>
      <w:lvlJc w:val="left"/>
      <w:pPr>
        <w:tabs>
          <w:tab w:val="num" w:pos="810"/>
        </w:tabs>
        <w:ind w:left="810" w:hanging="432"/>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DE3324E"/>
    <w:multiLevelType w:val="hybridMultilevel"/>
    <w:tmpl w:val="7DCEE960"/>
    <w:lvl w:ilvl="0" w:tplc="B266913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47A24"/>
    <w:multiLevelType w:val="hybridMultilevel"/>
    <w:tmpl w:val="F2042A6E"/>
    <w:lvl w:ilvl="0" w:tplc="C8201D52">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10077"/>
    <w:multiLevelType w:val="hybridMultilevel"/>
    <w:tmpl w:val="1EEA51E4"/>
    <w:lvl w:ilvl="0" w:tplc="F386F8FA">
      <w:start w:val="5"/>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168FE"/>
    <w:multiLevelType w:val="hybridMultilevel"/>
    <w:tmpl w:val="712A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97CB7"/>
    <w:multiLevelType w:val="hybridMultilevel"/>
    <w:tmpl w:val="8ED4C39C"/>
    <w:lvl w:ilvl="0" w:tplc="0C348DA4">
      <w:start w:val="14"/>
      <w:numFmt w:val="decimal"/>
      <w:lvlText w:val="%1."/>
      <w:lvlJc w:val="left"/>
      <w:pPr>
        <w:ind w:left="36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F940AD1"/>
    <w:multiLevelType w:val="hybridMultilevel"/>
    <w:tmpl w:val="52C6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4198C"/>
    <w:multiLevelType w:val="hybridMultilevel"/>
    <w:tmpl w:val="8146E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85579B"/>
    <w:multiLevelType w:val="hybridMultilevel"/>
    <w:tmpl w:val="A3523420"/>
    <w:lvl w:ilvl="0" w:tplc="233C2542">
      <w:start w:val="11"/>
      <w:numFmt w:val="decimal"/>
      <w:lvlText w:val="%1."/>
      <w:lvlJc w:val="left"/>
      <w:pPr>
        <w:ind w:left="540" w:hanging="360"/>
      </w:pPr>
      <w:rPr>
        <w:rFonts w:hint="default"/>
        <w:b w:val="0"/>
        <w:i w:val="0"/>
        <w:lang w:val="en-CA"/>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7811838"/>
    <w:multiLevelType w:val="hybridMultilevel"/>
    <w:tmpl w:val="93243EFA"/>
    <w:lvl w:ilvl="0" w:tplc="62F830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A32C7D"/>
    <w:multiLevelType w:val="hybridMultilevel"/>
    <w:tmpl w:val="EC9E2B3A"/>
    <w:lvl w:ilvl="0" w:tplc="A38470F2">
      <w:start w:val="4"/>
      <w:numFmt w:val="decimal"/>
      <w:lvlText w:val="%1."/>
      <w:lvlJc w:val="left"/>
      <w:pPr>
        <w:ind w:left="648" w:hanging="64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BB5570"/>
    <w:multiLevelType w:val="hybridMultilevel"/>
    <w:tmpl w:val="9698D48A"/>
    <w:lvl w:ilvl="0" w:tplc="2E2CDE1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C96334"/>
    <w:multiLevelType w:val="hybridMultilevel"/>
    <w:tmpl w:val="A334A8C2"/>
    <w:lvl w:ilvl="0" w:tplc="C88AEDE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03142F"/>
    <w:multiLevelType w:val="hybridMultilevel"/>
    <w:tmpl w:val="C5027DC4"/>
    <w:lvl w:ilvl="0" w:tplc="44F8595E">
      <w:start w:val="1"/>
      <w:numFmt w:val="decimal"/>
      <w:lvlText w:val="%1."/>
      <w:lvlJc w:val="left"/>
      <w:pPr>
        <w:ind w:left="720" w:hanging="360"/>
      </w:pPr>
      <w:rPr>
        <w:rFonts w:eastAsiaTheme="minorEastAsia" w:hint="default"/>
        <w:b w:val="0"/>
        <w:i w:val="0"/>
        <w:color w:val="FF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A3715"/>
    <w:multiLevelType w:val="hybridMultilevel"/>
    <w:tmpl w:val="9D7E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447A8"/>
    <w:multiLevelType w:val="hybridMultilevel"/>
    <w:tmpl w:val="E4F88610"/>
    <w:lvl w:ilvl="0" w:tplc="83DC10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D96806"/>
    <w:multiLevelType w:val="hybridMultilevel"/>
    <w:tmpl w:val="ECF63D88"/>
    <w:lvl w:ilvl="0" w:tplc="B880ADA8">
      <w:start w:val="10"/>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74BF5"/>
    <w:multiLevelType w:val="hybridMultilevel"/>
    <w:tmpl w:val="6E1C8F6A"/>
    <w:lvl w:ilvl="0" w:tplc="7472956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C1576A"/>
    <w:multiLevelType w:val="hybridMultilevel"/>
    <w:tmpl w:val="88B40416"/>
    <w:lvl w:ilvl="0" w:tplc="26BA182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AE784B"/>
    <w:multiLevelType w:val="hybridMultilevel"/>
    <w:tmpl w:val="5418B168"/>
    <w:lvl w:ilvl="0" w:tplc="7C3EDD8A">
      <w:start w:val="14"/>
      <w:numFmt w:val="decimal"/>
      <w:lvlText w:val="%1."/>
      <w:lvlJc w:val="left"/>
      <w:pPr>
        <w:ind w:left="45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2366B4"/>
    <w:multiLevelType w:val="hybridMultilevel"/>
    <w:tmpl w:val="1862D8FE"/>
    <w:lvl w:ilvl="0" w:tplc="094E33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F56A9E"/>
    <w:multiLevelType w:val="hybridMultilevel"/>
    <w:tmpl w:val="6C8225C0"/>
    <w:lvl w:ilvl="0" w:tplc="B39ABB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9702D"/>
    <w:multiLevelType w:val="hybridMultilevel"/>
    <w:tmpl w:val="4692D09C"/>
    <w:lvl w:ilvl="0" w:tplc="E7F8C4B0">
      <w:start w:val="3"/>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E726A8"/>
    <w:multiLevelType w:val="hybridMultilevel"/>
    <w:tmpl w:val="5986F94A"/>
    <w:lvl w:ilvl="0" w:tplc="1FE865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DE01B0"/>
    <w:multiLevelType w:val="hybridMultilevel"/>
    <w:tmpl w:val="1554B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8B62DA"/>
    <w:multiLevelType w:val="hybridMultilevel"/>
    <w:tmpl w:val="CB062F5E"/>
    <w:lvl w:ilvl="0" w:tplc="7BE6B92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8C3B4F"/>
    <w:multiLevelType w:val="hybridMultilevel"/>
    <w:tmpl w:val="CF127CCC"/>
    <w:lvl w:ilvl="0" w:tplc="1F52E5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D250F"/>
    <w:multiLevelType w:val="hybridMultilevel"/>
    <w:tmpl w:val="935CA012"/>
    <w:lvl w:ilvl="0" w:tplc="1EE82A34">
      <w:start w:val="5"/>
      <w:numFmt w:val="decimal"/>
      <w:lvlText w:val="%1."/>
      <w:lvlJc w:val="left"/>
      <w:pPr>
        <w:tabs>
          <w:tab w:val="num" w:pos="360"/>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4B6177"/>
    <w:multiLevelType w:val="hybridMultilevel"/>
    <w:tmpl w:val="8E8E8B1E"/>
    <w:lvl w:ilvl="0" w:tplc="74289C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C185E"/>
    <w:multiLevelType w:val="hybridMultilevel"/>
    <w:tmpl w:val="01E8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B26B2E"/>
    <w:multiLevelType w:val="hybridMultilevel"/>
    <w:tmpl w:val="15B8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E13BB"/>
    <w:multiLevelType w:val="hybridMultilevel"/>
    <w:tmpl w:val="F79E2C60"/>
    <w:lvl w:ilvl="0" w:tplc="B91615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A607CE"/>
    <w:multiLevelType w:val="hybridMultilevel"/>
    <w:tmpl w:val="32FA2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6C6D99"/>
    <w:multiLevelType w:val="hybridMultilevel"/>
    <w:tmpl w:val="B4686A8C"/>
    <w:lvl w:ilvl="0" w:tplc="B2B419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CE65A6"/>
    <w:multiLevelType w:val="hybridMultilevel"/>
    <w:tmpl w:val="A7645834"/>
    <w:lvl w:ilvl="0" w:tplc="4C48F0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3A252B"/>
    <w:multiLevelType w:val="hybridMultilevel"/>
    <w:tmpl w:val="FA6CBB5A"/>
    <w:lvl w:ilvl="0" w:tplc="1D4EA6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044618"/>
    <w:multiLevelType w:val="hybridMultilevel"/>
    <w:tmpl w:val="9D926EC6"/>
    <w:lvl w:ilvl="0" w:tplc="3B2EA5C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8"/>
  </w:num>
  <w:num w:numId="3">
    <w:abstractNumId w:val="15"/>
  </w:num>
  <w:num w:numId="4">
    <w:abstractNumId w:val="33"/>
  </w:num>
  <w:num w:numId="5">
    <w:abstractNumId w:val="46"/>
  </w:num>
  <w:num w:numId="6">
    <w:abstractNumId w:val="32"/>
  </w:num>
  <w:num w:numId="7">
    <w:abstractNumId w:val="38"/>
  </w:num>
  <w:num w:numId="8">
    <w:abstractNumId w:val="22"/>
  </w:num>
  <w:num w:numId="9">
    <w:abstractNumId w:val="2"/>
  </w:num>
  <w:num w:numId="10">
    <w:abstractNumId w:val="43"/>
  </w:num>
  <w:num w:numId="11">
    <w:abstractNumId w:val="29"/>
  </w:num>
  <w:num w:numId="12">
    <w:abstractNumId w:val="26"/>
  </w:num>
  <w:num w:numId="13">
    <w:abstractNumId w:val="25"/>
  </w:num>
  <w:num w:numId="14">
    <w:abstractNumId w:val="47"/>
  </w:num>
  <w:num w:numId="15">
    <w:abstractNumId w:val="36"/>
  </w:num>
  <w:num w:numId="16">
    <w:abstractNumId w:val="6"/>
  </w:num>
  <w:num w:numId="17">
    <w:abstractNumId w:val="12"/>
  </w:num>
  <w:num w:numId="18">
    <w:abstractNumId w:val="42"/>
  </w:num>
  <w:num w:numId="19">
    <w:abstractNumId w:val="45"/>
  </w:num>
  <w:num w:numId="20">
    <w:abstractNumId w:val="41"/>
  </w:num>
  <w:num w:numId="21">
    <w:abstractNumId w:val="17"/>
  </w:num>
  <w:num w:numId="22">
    <w:abstractNumId w:val="19"/>
  </w:num>
  <w:num w:numId="23">
    <w:abstractNumId w:val="31"/>
  </w:num>
  <w:num w:numId="24">
    <w:abstractNumId w:val="1"/>
  </w:num>
  <w:num w:numId="25">
    <w:abstractNumId w:val="13"/>
  </w:num>
  <w:num w:numId="26">
    <w:abstractNumId w:val="7"/>
  </w:num>
  <w:num w:numId="27">
    <w:abstractNumId w:val="9"/>
  </w:num>
  <w:num w:numId="28">
    <w:abstractNumId w:val="23"/>
  </w:num>
  <w:num w:numId="29">
    <w:abstractNumId w:val="20"/>
  </w:num>
  <w:num w:numId="30">
    <w:abstractNumId w:val="4"/>
  </w:num>
  <w:num w:numId="31">
    <w:abstractNumId w:val="3"/>
  </w:num>
  <w:num w:numId="32">
    <w:abstractNumId w:val="5"/>
  </w:num>
  <w:num w:numId="33">
    <w:abstractNumId w:val="10"/>
  </w:num>
  <w:num w:numId="34">
    <w:abstractNumId w:val="40"/>
  </w:num>
  <w:num w:numId="35">
    <w:abstractNumId w:val="30"/>
  </w:num>
  <w:num w:numId="36">
    <w:abstractNumId w:val="21"/>
  </w:num>
  <w:num w:numId="37">
    <w:abstractNumId w:val="39"/>
  </w:num>
  <w:num w:numId="38">
    <w:abstractNumId w:val="16"/>
  </w:num>
  <w:num w:numId="39">
    <w:abstractNumId w:val="0"/>
  </w:num>
  <w:num w:numId="40">
    <w:abstractNumId w:val="37"/>
  </w:num>
  <w:num w:numId="41">
    <w:abstractNumId w:val="11"/>
  </w:num>
  <w:num w:numId="42">
    <w:abstractNumId w:val="24"/>
  </w:num>
  <w:num w:numId="43">
    <w:abstractNumId w:val="28"/>
  </w:num>
  <w:num w:numId="44">
    <w:abstractNumId w:val="34"/>
  </w:num>
  <w:num w:numId="45">
    <w:abstractNumId w:val="14"/>
  </w:num>
  <w:num w:numId="4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8"/>
  </w:num>
  <w:num w:numId="49">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1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6AEC"/>
    <w:rsid w:val="00087808"/>
    <w:rsid w:val="000879BA"/>
    <w:rsid w:val="00087CEF"/>
    <w:rsid w:val="00090151"/>
    <w:rsid w:val="0009046F"/>
    <w:rsid w:val="00090A95"/>
    <w:rsid w:val="00090D30"/>
    <w:rsid w:val="00091FFC"/>
    <w:rsid w:val="00093575"/>
    <w:rsid w:val="00093693"/>
    <w:rsid w:val="00093B7C"/>
    <w:rsid w:val="00093DFA"/>
    <w:rsid w:val="00093FF5"/>
    <w:rsid w:val="000949BD"/>
    <w:rsid w:val="00094C56"/>
    <w:rsid w:val="00095627"/>
    <w:rsid w:val="00095945"/>
    <w:rsid w:val="00095A2E"/>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05D"/>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3A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E04E8"/>
    <w:rsid w:val="001E184B"/>
    <w:rsid w:val="001E1EE3"/>
    <w:rsid w:val="001E1F20"/>
    <w:rsid w:val="001E26B5"/>
    <w:rsid w:val="001E2AA6"/>
    <w:rsid w:val="001E386F"/>
    <w:rsid w:val="001E394B"/>
    <w:rsid w:val="001E3BCD"/>
    <w:rsid w:val="001E3D7B"/>
    <w:rsid w:val="001E4522"/>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1EC"/>
    <w:rsid w:val="003104EE"/>
    <w:rsid w:val="003106DE"/>
    <w:rsid w:val="00311663"/>
    <w:rsid w:val="00311B59"/>
    <w:rsid w:val="0031227B"/>
    <w:rsid w:val="003127F4"/>
    <w:rsid w:val="00312A20"/>
    <w:rsid w:val="00312A92"/>
    <w:rsid w:val="003133C7"/>
    <w:rsid w:val="00313652"/>
    <w:rsid w:val="0031376D"/>
    <w:rsid w:val="00313D36"/>
    <w:rsid w:val="00314899"/>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037"/>
    <w:rsid w:val="005256BB"/>
    <w:rsid w:val="005256DB"/>
    <w:rsid w:val="00525AC4"/>
    <w:rsid w:val="00525B79"/>
    <w:rsid w:val="005264A5"/>
    <w:rsid w:val="00526754"/>
    <w:rsid w:val="00526A8A"/>
    <w:rsid w:val="00526D01"/>
    <w:rsid w:val="00526D9F"/>
    <w:rsid w:val="00527A69"/>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5176"/>
    <w:rsid w:val="005A64FE"/>
    <w:rsid w:val="005A6943"/>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37E5C"/>
    <w:rsid w:val="00640221"/>
    <w:rsid w:val="006406E5"/>
    <w:rsid w:val="00640B24"/>
    <w:rsid w:val="0064110A"/>
    <w:rsid w:val="006416FE"/>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2E04"/>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BAE"/>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8C5"/>
    <w:rsid w:val="00922A4B"/>
    <w:rsid w:val="00923492"/>
    <w:rsid w:val="009236F3"/>
    <w:rsid w:val="009241BB"/>
    <w:rsid w:val="009244F7"/>
    <w:rsid w:val="00924C0D"/>
    <w:rsid w:val="00924D94"/>
    <w:rsid w:val="0092501B"/>
    <w:rsid w:val="0092587F"/>
    <w:rsid w:val="00925AA4"/>
    <w:rsid w:val="00926BE1"/>
    <w:rsid w:val="0092714F"/>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2E0"/>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16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19C2"/>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088"/>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6"/>
    <w:rsid w:val="00CD7204"/>
    <w:rsid w:val="00CD7CC3"/>
    <w:rsid w:val="00CE0A6E"/>
    <w:rsid w:val="00CE113C"/>
    <w:rsid w:val="00CE1E9C"/>
    <w:rsid w:val="00CE1F89"/>
    <w:rsid w:val="00CE1F94"/>
    <w:rsid w:val="00CE2C20"/>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49A0"/>
    <w:rsid w:val="00DC54DF"/>
    <w:rsid w:val="00DC5A4C"/>
    <w:rsid w:val="00DC6443"/>
    <w:rsid w:val="00DC68D3"/>
    <w:rsid w:val="00DC6EBF"/>
    <w:rsid w:val="00DC7782"/>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A0210"/>
    <w:rsid w:val="00FA08D8"/>
    <w:rsid w:val="00FA2500"/>
    <w:rsid w:val="00FA2831"/>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1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542" TargetMode="External"/><Relationship Id="rId13" Type="http://schemas.openxmlformats.org/officeDocument/2006/relationships/hyperlink" Target="https://www.scc-csc.ca/case-dossier/info/sum-som-eng.aspx?cas=39633" TargetMode="External"/><Relationship Id="rId18" Type="http://schemas.openxmlformats.org/officeDocument/2006/relationships/hyperlink" Target="https://www.canlii.org/en/ca/fct/doc/2019/2019fc1126/2019fc1126.html" TargetMode="External"/><Relationship Id="rId26" Type="http://schemas.openxmlformats.org/officeDocument/2006/relationships/hyperlink" Target="https://canlii.ca/t/jd1kk"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canlii.org/fr/qc/qcca/doc/2021/2021qcca259/2021qcca259.html?autocompleteStr=2021%20QCCA%20259&amp;autocompletePos=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scc-csc.ca/case-dossier/info/sum-som-eng.aspx?cas=39630" TargetMode="External"/><Relationship Id="rId17" Type="http://schemas.openxmlformats.org/officeDocument/2006/relationships/hyperlink" Target="https://canlii.ca/t/jbv7s" TargetMode="External"/><Relationship Id="rId25" Type="http://schemas.openxmlformats.org/officeDocument/2006/relationships/hyperlink" Target="https://canlii.ca/t/jd1kk" TargetMode="External"/><Relationship Id="rId33" Type="http://schemas.openxmlformats.org/officeDocument/2006/relationships/hyperlink" Target="mailto:comments-commentaires@scc-csc.ca"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anlii.ca/t/hvc1c" TargetMode="External"/><Relationship Id="rId20" Type="http://schemas.openxmlformats.org/officeDocument/2006/relationships/hyperlink" Target="https://www.canlii.org/fr/ca/caf/doc/2020/2020caf196/2020caf196.html" TargetMode="External"/><Relationship Id="rId29" Type="http://schemas.openxmlformats.org/officeDocument/2006/relationships/hyperlink" Target="https://www.canlii.org/en/ab/abca/doc/2021/2021abca54/2021abca54.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8866" TargetMode="External"/><Relationship Id="rId24" Type="http://schemas.openxmlformats.org/officeDocument/2006/relationships/hyperlink" Target="https://www.canlii.org/en/on/onsc/doc/2019/2019onsc4455/2019onsc4455.html" TargetMode="External"/><Relationship Id="rId32" Type="http://schemas.openxmlformats.org/officeDocument/2006/relationships/hyperlink" Target="https://www.canlii.org/en/ab/abca/doc/2021/2021abca54/2021abca54.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nlii.ca/t/jbv7s" TargetMode="External"/><Relationship Id="rId23" Type="http://schemas.openxmlformats.org/officeDocument/2006/relationships/hyperlink" Target="https://www.canlii.org/en/on/onsc/doc/2019/2019onsc4455/2019onsc4455.html" TargetMode="External"/><Relationship Id="rId28" Type="http://schemas.openxmlformats.org/officeDocument/2006/relationships/hyperlink" Target="https://www.canlii.org/en/ab/abqb/doc/2020/2020abqb226/2020abqb226.html" TargetMode="External"/><Relationship Id="rId36" Type="http://schemas.openxmlformats.org/officeDocument/2006/relationships/footer" Target="footer1.xml"/><Relationship Id="rId10" Type="http://schemas.openxmlformats.org/officeDocument/2006/relationships/hyperlink" Target="https://www.scc-csc.ca/case-dossier/info/sum-som-fra.aspx?cas=39557" TargetMode="External"/><Relationship Id="rId19" Type="http://schemas.openxmlformats.org/officeDocument/2006/relationships/hyperlink" Target="https://www.canlii.org/en/ca/fca/doc/2020/2020fca196/2020fca196.html" TargetMode="External"/><Relationship Id="rId31" Type="http://schemas.openxmlformats.org/officeDocument/2006/relationships/hyperlink" Target="https://www.canlii.org/en/ab/abqb/doc/2020/2020abqb226/2020abqb226.html" TargetMode="External"/><Relationship Id="rId4" Type="http://schemas.openxmlformats.org/officeDocument/2006/relationships/settings" Target="settings.xml"/><Relationship Id="rId9" Type="http://schemas.openxmlformats.org/officeDocument/2006/relationships/hyperlink" Target="https://www.scc-csc.ca/case-dossier/info/sum-som-eng.aspx?cas=39522" TargetMode="External"/><Relationship Id="rId14" Type="http://schemas.openxmlformats.org/officeDocument/2006/relationships/hyperlink" Target="https://canlii.ca/t/hvc1c" TargetMode="External"/><Relationship Id="rId22" Type="http://schemas.openxmlformats.org/officeDocument/2006/relationships/hyperlink" Target="https://www.canlii.org/fr/qc/qcca/doc/2021/2021qcca259/2021qcca259.html?autocompleteStr=2021%20QCCA%20259&amp;autocompletePos=1" TargetMode="External"/><Relationship Id="rId27" Type="http://schemas.openxmlformats.org/officeDocument/2006/relationships/hyperlink" Target="https://www.canlii.org/en/ab/abqb/doc/2019/2019abqb990/2019abqb990.html" TargetMode="External"/><Relationship Id="rId30" Type="http://schemas.openxmlformats.org/officeDocument/2006/relationships/hyperlink" Target="https://www.canlii.org/en/ab/abqb/doc/2019/2019abqb990/2019abqb990.html"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5B21E-C793-4CB4-8C7B-E1FC9290C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4991</Words>
  <Characters>28453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33378</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2021-08-04T13:58:00Z</dcterms:modified>
</cp:coreProperties>
</file>