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B4B3E" w:rsidRDefault="000E391F" w:rsidP="006B4B3E">
      <w:pPr>
        <w:pStyle w:val="Header"/>
        <w:jc w:val="center"/>
        <w:rPr>
          <w:b/>
          <w:sz w:val="32"/>
        </w:rPr>
      </w:pPr>
      <w:r w:rsidRPr="006B4B3E">
        <w:rPr>
          <w:b/>
          <w:sz w:val="32"/>
        </w:rPr>
        <w:t>Supreme Court of Canada / Cour suprême du Canada</w:t>
      </w:r>
    </w:p>
    <w:p w:rsidR="000E391F" w:rsidRPr="006B4B3E" w:rsidRDefault="000E391F" w:rsidP="006B4B3E">
      <w:pPr>
        <w:widowControl w:val="0"/>
      </w:pPr>
    </w:p>
    <w:p w:rsidR="000E391F" w:rsidRPr="006B4B3E" w:rsidRDefault="000E391F" w:rsidP="006B4B3E">
      <w:pPr>
        <w:widowControl w:val="0"/>
        <w:rPr>
          <w:i/>
        </w:rPr>
      </w:pPr>
    </w:p>
    <w:p w:rsidR="006F2579" w:rsidRPr="006B4B3E" w:rsidRDefault="006F2579" w:rsidP="006B4B3E">
      <w:pPr>
        <w:widowControl w:val="0"/>
        <w:rPr>
          <w:i/>
          <w:sz w:val="20"/>
        </w:rPr>
      </w:pPr>
      <w:r w:rsidRPr="006B4B3E">
        <w:rPr>
          <w:i/>
          <w:sz w:val="20"/>
        </w:rPr>
        <w:t>(</w:t>
      </w:r>
      <w:r w:rsidR="003240B6" w:rsidRPr="006B4B3E">
        <w:rPr>
          <w:i/>
          <w:sz w:val="20"/>
        </w:rPr>
        <w:t>L</w:t>
      </w:r>
      <w:r w:rsidRPr="006B4B3E">
        <w:rPr>
          <w:i/>
          <w:sz w:val="20"/>
        </w:rPr>
        <w:t>e français suit)</w:t>
      </w:r>
    </w:p>
    <w:p w:rsidR="006F2579" w:rsidRPr="006B4B3E" w:rsidRDefault="006F2579" w:rsidP="006B4B3E">
      <w:pPr>
        <w:widowControl w:val="0"/>
      </w:pPr>
    </w:p>
    <w:p w:rsidR="006F2579" w:rsidRPr="006B4B3E" w:rsidRDefault="00B07908" w:rsidP="006B4B3E">
      <w:pPr>
        <w:widowControl w:val="0"/>
        <w:jc w:val="center"/>
        <w:rPr>
          <w:b/>
        </w:rPr>
      </w:pPr>
      <w:r w:rsidRPr="006B4B3E">
        <w:fldChar w:fldCharType="begin"/>
      </w:r>
      <w:r w:rsidR="006F2579" w:rsidRPr="006B4B3E">
        <w:instrText xml:space="preserve"> SEQ CHAPTER \h \r 1</w:instrText>
      </w:r>
      <w:r w:rsidRPr="006B4B3E">
        <w:fldChar w:fldCharType="end"/>
      </w:r>
      <w:r w:rsidR="006F2579" w:rsidRPr="006B4B3E">
        <w:rPr>
          <w:b/>
        </w:rPr>
        <w:t>JUDGMENT</w:t>
      </w:r>
      <w:r w:rsidR="00B17AAC" w:rsidRPr="006B4B3E">
        <w:rPr>
          <w:b/>
        </w:rPr>
        <w:t>S</w:t>
      </w:r>
      <w:r w:rsidR="006F2579" w:rsidRPr="006B4B3E">
        <w:rPr>
          <w:b/>
        </w:rPr>
        <w:t xml:space="preserve"> TO B</w:t>
      </w:r>
      <w:r w:rsidR="00001846" w:rsidRPr="006B4B3E">
        <w:rPr>
          <w:b/>
        </w:rPr>
        <w:t>E RENDERED IN LE</w:t>
      </w:r>
      <w:r w:rsidR="00A0288A" w:rsidRPr="006B4B3E">
        <w:rPr>
          <w:b/>
        </w:rPr>
        <w:t>A</w:t>
      </w:r>
      <w:r w:rsidR="00001846" w:rsidRPr="006B4B3E">
        <w:rPr>
          <w:b/>
        </w:rPr>
        <w:t>VE APPLICATION</w:t>
      </w:r>
      <w:r w:rsidR="00511288" w:rsidRPr="006B4B3E">
        <w:rPr>
          <w:b/>
        </w:rPr>
        <w:t>S</w:t>
      </w:r>
    </w:p>
    <w:p w:rsidR="006F2579" w:rsidRPr="006B4B3E" w:rsidRDefault="006F2579" w:rsidP="006B4B3E">
      <w:pPr>
        <w:widowControl w:val="0"/>
      </w:pPr>
    </w:p>
    <w:p w:rsidR="006F2579" w:rsidRPr="006B4B3E" w:rsidRDefault="000949BD" w:rsidP="006B4B3E">
      <w:pPr>
        <w:widowControl w:val="0"/>
      </w:pPr>
      <w:r w:rsidRPr="006B4B3E">
        <w:rPr>
          <w:b/>
        </w:rPr>
        <w:t>August</w:t>
      </w:r>
      <w:r w:rsidR="00A15B66" w:rsidRPr="006B4B3E">
        <w:rPr>
          <w:b/>
        </w:rPr>
        <w:t xml:space="preserve"> </w:t>
      </w:r>
      <w:r w:rsidR="00D36218" w:rsidRPr="006B4B3E">
        <w:rPr>
          <w:b/>
        </w:rPr>
        <w:t>9</w:t>
      </w:r>
      <w:r w:rsidR="004441C7" w:rsidRPr="006B4B3E">
        <w:rPr>
          <w:b/>
        </w:rPr>
        <w:t>,</w:t>
      </w:r>
      <w:r w:rsidR="006F2579" w:rsidRPr="006B4B3E">
        <w:rPr>
          <w:b/>
        </w:rPr>
        <w:t xml:space="preserve"> </w:t>
      </w:r>
      <w:r w:rsidR="0054689F" w:rsidRPr="006B4B3E">
        <w:rPr>
          <w:b/>
        </w:rPr>
        <w:t>20</w:t>
      </w:r>
      <w:r w:rsidR="00526754" w:rsidRPr="006B4B3E">
        <w:rPr>
          <w:b/>
        </w:rPr>
        <w:t>2</w:t>
      </w:r>
      <w:r w:rsidR="0068416C" w:rsidRPr="006B4B3E">
        <w:rPr>
          <w:b/>
        </w:rPr>
        <w:t>1</w:t>
      </w:r>
    </w:p>
    <w:p w:rsidR="006F2579" w:rsidRPr="006B4B3E" w:rsidRDefault="00674F39" w:rsidP="006B4B3E">
      <w:pPr>
        <w:widowControl w:val="0"/>
        <w:rPr>
          <w:b/>
        </w:rPr>
      </w:pPr>
      <w:r w:rsidRPr="006B4B3E">
        <w:rPr>
          <w:b/>
        </w:rPr>
        <w:t>For immediate release</w:t>
      </w:r>
    </w:p>
    <w:p w:rsidR="006F2579" w:rsidRPr="006B4B3E" w:rsidRDefault="006F2579" w:rsidP="006B4B3E">
      <w:pPr>
        <w:widowControl w:val="0"/>
      </w:pPr>
    </w:p>
    <w:p w:rsidR="006F2579" w:rsidRPr="006B4B3E" w:rsidRDefault="006F2579" w:rsidP="006B4B3E">
      <w:pPr>
        <w:widowControl w:val="0"/>
        <w:rPr>
          <w:lang w:val="fr-CA"/>
        </w:rPr>
      </w:pPr>
      <w:r w:rsidRPr="006B4B3E">
        <w:rPr>
          <w:b/>
        </w:rPr>
        <w:t>OTTAWA</w:t>
      </w:r>
      <w:r w:rsidRPr="006B4B3E">
        <w:t xml:space="preserve"> – The Supreme Court of Canad</w:t>
      </w:r>
      <w:r w:rsidR="006246E4" w:rsidRPr="006B4B3E">
        <w:t>a</w:t>
      </w:r>
      <w:r w:rsidRPr="006B4B3E">
        <w:t xml:space="preserve"> announced today that judgment in the following </w:t>
      </w:r>
      <w:r w:rsidR="00DB6199" w:rsidRPr="006B4B3E">
        <w:t xml:space="preserve">leave applications </w:t>
      </w:r>
      <w:r w:rsidRPr="006B4B3E">
        <w:t xml:space="preserve">will be delivered at 9:45 a.m. </w:t>
      </w:r>
      <w:r w:rsidR="00E05816" w:rsidRPr="006B4B3E">
        <w:t>E</w:t>
      </w:r>
      <w:r w:rsidR="0098345D" w:rsidRPr="006B4B3E">
        <w:t>D</w:t>
      </w:r>
      <w:r w:rsidR="00E05816" w:rsidRPr="006B4B3E">
        <w:t>T</w:t>
      </w:r>
      <w:r w:rsidRPr="006B4B3E">
        <w:t xml:space="preserve"> on </w:t>
      </w:r>
      <w:r w:rsidR="0068416C" w:rsidRPr="006B4B3E">
        <w:t>Thursday</w:t>
      </w:r>
      <w:r w:rsidRPr="006B4B3E">
        <w:t xml:space="preserve">, </w:t>
      </w:r>
      <w:r w:rsidR="000949BD" w:rsidRPr="006B4B3E">
        <w:t>August</w:t>
      </w:r>
      <w:r w:rsidR="00455912" w:rsidRPr="006B4B3E">
        <w:t xml:space="preserve"> </w:t>
      </w:r>
      <w:r w:rsidR="00D36218" w:rsidRPr="006B4B3E">
        <w:t>12</w:t>
      </w:r>
      <w:r w:rsidR="007E112F" w:rsidRPr="006B4B3E">
        <w:t>,</w:t>
      </w:r>
      <w:r w:rsidR="002F38D7" w:rsidRPr="006B4B3E">
        <w:t xml:space="preserve"> </w:t>
      </w:r>
      <w:r w:rsidR="006648D1" w:rsidRPr="006B4B3E">
        <w:t>20</w:t>
      </w:r>
      <w:r w:rsidR="00526754" w:rsidRPr="006B4B3E">
        <w:t>2</w:t>
      </w:r>
      <w:r w:rsidR="00DD65CF" w:rsidRPr="006B4B3E">
        <w:t>1</w:t>
      </w:r>
      <w:r w:rsidRPr="006B4B3E">
        <w:t xml:space="preserve">. </w:t>
      </w:r>
      <w:r w:rsidRPr="006B4B3E">
        <w:rPr>
          <w:lang w:val="fr-CA"/>
        </w:rPr>
        <w:t>This list is subject to chang</w:t>
      </w:r>
      <w:r w:rsidR="00192F7F" w:rsidRPr="006B4B3E">
        <w:rPr>
          <w:lang w:val="fr-CA"/>
        </w:rPr>
        <w:t>e</w:t>
      </w:r>
      <w:r w:rsidRPr="006B4B3E">
        <w:rPr>
          <w:lang w:val="fr-CA"/>
        </w:rPr>
        <w:t>.</w:t>
      </w:r>
    </w:p>
    <w:p w:rsidR="00FF5AA4" w:rsidRPr="006B4B3E" w:rsidRDefault="00FF5AA4" w:rsidP="006B4B3E">
      <w:pPr>
        <w:widowControl w:val="0"/>
        <w:rPr>
          <w:lang w:val="fr-CA"/>
        </w:rPr>
      </w:pPr>
    </w:p>
    <w:p w:rsidR="00B43418" w:rsidRPr="006B4B3E" w:rsidRDefault="00B43418" w:rsidP="006B4B3E">
      <w:pPr>
        <w:widowControl w:val="0"/>
        <w:rPr>
          <w:lang w:val="fr-CA"/>
        </w:rPr>
      </w:pPr>
    </w:p>
    <w:p w:rsidR="006F2579" w:rsidRPr="006B4B3E" w:rsidRDefault="006F2579" w:rsidP="006B4B3E">
      <w:pPr>
        <w:widowControl w:val="0"/>
        <w:jc w:val="center"/>
        <w:rPr>
          <w:lang w:val="fr-CA"/>
        </w:rPr>
      </w:pPr>
      <w:r w:rsidRPr="006B4B3E">
        <w:rPr>
          <w:b/>
          <w:lang w:val="fr-CA"/>
        </w:rPr>
        <w:t>PROCHAIN</w:t>
      </w:r>
      <w:r w:rsidR="00B17AAC" w:rsidRPr="006B4B3E">
        <w:rPr>
          <w:b/>
          <w:lang w:val="fr-CA"/>
        </w:rPr>
        <w:t>S</w:t>
      </w:r>
      <w:r w:rsidRPr="006B4B3E">
        <w:rPr>
          <w:b/>
          <w:lang w:val="fr-CA"/>
        </w:rPr>
        <w:t xml:space="preserve"> JUGEMENT</w:t>
      </w:r>
      <w:r w:rsidR="00B17AAC" w:rsidRPr="006B4B3E">
        <w:rPr>
          <w:b/>
          <w:lang w:val="fr-CA"/>
        </w:rPr>
        <w:t>S</w:t>
      </w:r>
      <w:r w:rsidR="00001846" w:rsidRPr="006B4B3E">
        <w:rPr>
          <w:b/>
          <w:lang w:val="fr-CA"/>
        </w:rPr>
        <w:t xml:space="preserve"> SUR DEMANDE</w:t>
      </w:r>
      <w:r w:rsidR="00B17AAC" w:rsidRPr="006B4B3E">
        <w:rPr>
          <w:b/>
          <w:lang w:val="fr-CA"/>
        </w:rPr>
        <w:t>S</w:t>
      </w:r>
      <w:r w:rsidRPr="006B4B3E">
        <w:rPr>
          <w:b/>
          <w:lang w:val="fr-CA"/>
        </w:rPr>
        <w:t xml:space="preserve"> D’AUTORISATION</w:t>
      </w:r>
    </w:p>
    <w:p w:rsidR="006F2579" w:rsidRPr="006B4B3E" w:rsidRDefault="006F2579" w:rsidP="006B4B3E">
      <w:pPr>
        <w:widowControl w:val="0"/>
        <w:rPr>
          <w:lang w:val="fr-CA"/>
        </w:rPr>
      </w:pPr>
    </w:p>
    <w:p w:rsidR="006F2579" w:rsidRPr="006B4B3E" w:rsidRDefault="006F2579" w:rsidP="006B4B3E">
      <w:pPr>
        <w:widowControl w:val="0"/>
        <w:rPr>
          <w:lang w:val="fr-CA"/>
        </w:rPr>
      </w:pPr>
      <w:r w:rsidRPr="006B4B3E">
        <w:rPr>
          <w:b/>
          <w:lang w:val="fr-CA"/>
        </w:rPr>
        <w:t>Le</w:t>
      </w:r>
      <w:r w:rsidR="00957A76" w:rsidRPr="006B4B3E">
        <w:rPr>
          <w:b/>
          <w:lang w:val="fr-CA"/>
        </w:rPr>
        <w:t xml:space="preserve"> </w:t>
      </w:r>
      <w:r w:rsidR="00D36218" w:rsidRPr="006B4B3E">
        <w:rPr>
          <w:b/>
          <w:lang w:val="fr-CA"/>
        </w:rPr>
        <w:t>9</w:t>
      </w:r>
      <w:r w:rsidR="00825246" w:rsidRPr="006B4B3E">
        <w:rPr>
          <w:b/>
          <w:lang w:val="fr-CA"/>
        </w:rPr>
        <w:t xml:space="preserve"> </w:t>
      </w:r>
      <w:r w:rsidR="000949BD" w:rsidRPr="006B4B3E">
        <w:rPr>
          <w:b/>
          <w:lang w:val="fr-CA"/>
        </w:rPr>
        <w:t>août</w:t>
      </w:r>
      <w:r w:rsidR="00A151D1" w:rsidRPr="006B4B3E">
        <w:rPr>
          <w:b/>
          <w:lang w:val="fr-CA"/>
        </w:rPr>
        <w:t xml:space="preserve"> 20</w:t>
      </w:r>
      <w:r w:rsidR="00526754" w:rsidRPr="006B4B3E">
        <w:rPr>
          <w:b/>
          <w:lang w:val="fr-CA"/>
        </w:rPr>
        <w:t>2</w:t>
      </w:r>
      <w:r w:rsidR="0068416C" w:rsidRPr="006B4B3E">
        <w:rPr>
          <w:b/>
          <w:lang w:val="fr-CA"/>
        </w:rPr>
        <w:t>1</w:t>
      </w:r>
    </w:p>
    <w:p w:rsidR="006F2579" w:rsidRPr="006B4B3E" w:rsidRDefault="006F2579" w:rsidP="006B4B3E">
      <w:pPr>
        <w:widowControl w:val="0"/>
        <w:rPr>
          <w:b/>
          <w:lang w:val="fr-CA"/>
        </w:rPr>
      </w:pPr>
      <w:r w:rsidRPr="006B4B3E">
        <w:rPr>
          <w:b/>
          <w:lang w:val="fr-CA"/>
        </w:rPr>
        <w:t>Pour diffusion immédiate</w:t>
      </w:r>
    </w:p>
    <w:p w:rsidR="006F2579" w:rsidRPr="006B4B3E" w:rsidRDefault="006F2579" w:rsidP="006B4B3E">
      <w:pPr>
        <w:widowControl w:val="0"/>
        <w:rPr>
          <w:lang w:val="fr-CA"/>
        </w:rPr>
      </w:pPr>
    </w:p>
    <w:p w:rsidR="006F2579" w:rsidRPr="006B4B3E" w:rsidRDefault="006F2579" w:rsidP="006B4B3E">
      <w:pPr>
        <w:widowControl w:val="0"/>
        <w:rPr>
          <w:lang w:val="fr-CA"/>
        </w:rPr>
      </w:pPr>
      <w:r w:rsidRPr="006B4B3E">
        <w:rPr>
          <w:b/>
          <w:lang w:val="fr-CA"/>
        </w:rPr>
        <w:t>OTTAWA</w:t>
      </w:r>
      <w:r w:rsidRPr="006B4B3E">
        <w:rPr>
          <w:lang w:val="fr-CA"/>
        </w:rPr>
        <w:t xml:space="preserve"> – La Cour suprême du Canada annonce que jugement ser</w:t>
      </w:r>
      <w:r w:rsidR="004259F9" w:rsidRPr="006B4B3E">
        <w:rPr>
          <w:lang w:val="fr-CA"/>
        </w:rPr>
        <w:t>a</w:t>
      </w:r>
      <w:r w:rsidRPr="006B4B3E">
        <w:rPr>
          <w:lang w:val="fr-CA"/>
        </w:rPr>
        <w:t xml:space="preserve"> rendu dans l</w:t>
      </w:r>
      <w:r w:rsidR="008600ED" w:rsidRPr="006B4B3E">
        <w:rPr>
          <w:lang w:val="fr-CA"/>
        </w:rPr>
        <w:t>es</w:t>
      </w:r>
      <w:r w:rsidRPr="006B4B3E">
        <w:rPr>
          <w:lang w:val="fr-CA"/>
        </w:rPr>
        <w:t xml:space="preserve"> demande</w:t>
      </w:r>
      <w:r w:rsidR="008600ED" w:rsidRPr="006B4B3E">
        <w:rPr>
          <w:lang w:val="fr-CA"/>
        </w:rPr>
        <w:t>s</w:t>
      </w:r>
      <w:r w:rsidRPr="006B4B3E">
        <w:rPr>
          <w:lang w:val="fr-CA"/>
        </w:rPr>
        <w:t xml:space="preserve"> d</w:t>
      </w:r>
      <w:r w:rsidR="00001846" w:rsidRPr="006B4B3E">
        <w:rPr>
          <w:lang w:val="fr-CA"/>
        </w:rPr>
        <w:t>’autorisation suivante</w:t>
      </w:r>
      <w:r w:rsidR="008600ED" w:rsidRPr="006B4B3E">
        <w:rPr>
          <w:lang w:val="fr-CA"/>
        </w:rPr>
        <w:t>s</w:t>
      </w:r>
      <w:r w:rsidRPr="006B4B3E">
        <w:rPr>
          <w:lang w:val="fr-CA"/>
        </w:rPr>
        <w:t xml:space="preserve"> le </w:t>
      </w:r>
      <w:r w:rsidR="0068416C" w:rsidRPr="006B4B3E">
        <w:rPr>
          <w:lang w:val="fr-CA"/>
        </w:rPr>
        <w:t>jeudi</w:t>
      </w:r>
      <w:r w:rsidRPr="006B4B3E">
        <w:rPr>
          <w:lang w:val="fr-CA"/>
        </w:rPr>
        <w:t xml:space="preserve"> </w:t>
      </w:r>
      <w:r w:rsidR="00D36218" w:rsidRPr="006B4B3E">
        <w:rPr>
          <w:lang w:val="fr-CA"/>
        </w:rPr>
        <w:t>12</w:t>
      </w:r>
      <w:r w:rsidR="009E0BD3" w:rsidRPr="006B4B3E">
        <w:rPr>
          <w:lang w:val="fr-CA"/>
        </w:rPr>
        <w:t xml:space="preserve"> </w:t>
      </w:r>
      <w:r w:rsidR="000949BD" w:rsidRPr="006B4B3E">
        <w:rPr>
          <w:lang w:val="fr-CA"/>
        </w:rPr>
        <w:t>août</w:t>
      </w:r>
      <w:r w:rsidR="00694391" w:rsidRPr="006B4B3E">
        <w:rPr>
          <w:lang w:val="fr-CA"/>
        </w:rPr>
        <w:t xml:space="preserve"> 2</w:t>
      </w:r>
      <w:r w:rsidR="006648D1" w:rsidRPr="006B4B3E">
        <w:rPr>
          <w:lang w:val="fr-CA"/>
        </w:rPr>
        <w:t>0</w:t>
      </w:r>
      <w:r w:rsidR="00526754" w:rsidRPr="006B4B3E">
        <w:rPr>
          <w:lang w:val="fr-CA"/>
        </w:rPr>
        <w:t>2</w:t>
      </w:r>
      <w:r w:rsidR="0068416C" w:rsidRPr="006B4B3E">
        <w:rPr>
          <w:lang w:val="fr-CA"/>
        </w:rPr>
        <w:t>1</w:t>
      </w:r>
      <w:r w:rsidRPr="006B4B3E">
        <w:rPr>
          <w:lang w:val="fr-CA"/>
        </w:rPr>
        <w:t xml:space="preserve">, à 9 h 45 </w:t>
      </w:r>
      <w:r w:rsidR="000627A2" w:rsidRPr="006B4B3E">
        <w:rPr>
          <w:lang w:val="fr-CA"/>
        </w:rPr>
        <w:t>H</w:t>
      </w:r>
      <w:r w:rsidR="0098345D" w:rsidRPr="006B4B3E">
        <w:rPr>
          <w:lang w:val="fr-CA"/>
        </w:rPr>
        <w:t>A</w:t>
      </w:r>
      <w:r w:rsidRPr="006B4B3E">
        <w:rPr>
          <w:lang w:val="fr-CA"/>
        </w:rPr>
        <w:t>E. Cette liste est sujette à modification</w:t>
      </w:r>
      <w:r w:rsidR="00130ADB" w:rsidRPr="006B4B3E">
        <w:rPr>
          <w:lang w:val="fr-CA"/>
        </w:rPr>
        <w:t>s</w:t>
      </w:r>
      <w:r w:rsidRPr="006B4B3E">
        <w:rPr>
          <w:lang w:val="fr-CA"/>
        </w:rPr>
        <w:t>.</w:t>
      </w:r>
    </w:p>
    <w:p w:rsidR="0080556B" w:rsidRPr="006B4B3E" w:rsidRDefault="0080556B" w:rsidP="006B4B3E">
      <w:pPr>
        <w:widowControl w:val="0"/>
        <w:tabs>
          <w:tab w:val="left" w:pos="3840"/>
        </w:tabs>
        <w:jc w:val="both"/>
        <w:rPr>
          <w:sz w:val="20"/>
          <w:lang w:val="fr-CA"/>
        </w:rPr>
      </w:pPr>
    </w:p>
    <w:p w:rsidR="00867C61" w:rsidRPr="006B4B3E" w:rsidRDefault="008C0899" w:rsidP="006B4B3E">
      <w:pPr>
        <w:widowControl w:val="0"/>
        <w:jc w:val="both"/>
        <w:rPr>
          <w:sz w:val="20"/>
        </w:rPr>
      </w:pPr>
      <w:r>
        <w:rPr>
          <w:sz w:val="20"/>
        </w:rPr>
        <w:pict>
          <v:rect id="_x0000_i1025" style="width:2in;height:1pt" o:hrpct="0" o:hralign="center" o:hrstd="t" o:hrnoshade="t" o:hr="t" fillcolor="black [3213]" stroked="f"/>
        </w:pict>
      </w:r>
    </w:p>
    <w:p w:rsidR="003D43F1" w:rsidRPr="006B4B3E" w:rsidRDefault="003D43F1" w:rsidP="006B4B3E">
      <w:pPr>
        <w:ind w:left="357" w:hanging="357"/>
        <w:contextualSpacing/>
        <w:rPr>
          <w:sz w:val="20"/>
          <w:lang w:val="fr-CA"/>
        </w:rPr>
      </w:pPr>
    </w:p>
    <w:p w:rsidR="00BF5E6D" w:rsidRPr="006B4B3E" w:rsidRDefault="00BF5E6D" w:rsidP="006B4B3E">
      <w:pPr>
        <w:pStyle w:val="ListParagraph"/>
        <w:numPr>
          <w:ilvl w:val="0"/>
          <w:numId w:val="48"/>
        </w:numPr>
        <w:ind w:left="357" w:hanging="357"/>
        <w:rPr>
          <w:sz w:val="20"/>
        </w:rPr>
      </w:pPr>
      <w:r w:rsidRPr="006B4B3E">
        <w:rPr>
          <w:i/>
          <w:sz w:val="20"/>
        </w:rPr>
        <w:t>Belinda Anderson, et al. v. Her Majesty the Queen</w:t>
      </w:r>
      <w:r w:rsidRPr="006B4B3E">
        <w:rPr>
          <w:sz w:val="20"/>
        </w:rPr>
        <w:t xml:space="preserve"> (Ont.) (Criminal) (By Leave) (</w:t>
      </w:r>
      <w:hyperlink r:id="rId8" w:history="1">
        <w:r w:rsidRPr="006B4B3E">
          <w:rPr>
            <w:rStyle w:val="Hyperlink"/>
            <w:sz w:val="20"/>
            <w:szCs w:val="20"/>
          </w:rPr>
          <w:t>39620</w:t>
        </w:r>
      </w:hyperlink>
      <w:r w:rsidRPr="006B4B3E">
        <w:rPr>
          <w:sz w:val="20"/>
        </w:rPr>
        <w:t>)</w:t>
      </w:r>
    </w:p>
    <w:p w:rsidR="00BF5E6D" w:rsidRPr="006B4B3E" w:rsidRDefault="00BF5E6D" w:rsidP="006B4B3E">
      <w:pPr>
        <w:ind w:left="357" w:hanging="357"/>
        <w:rPr>
          <w:sz w:val="20"/>
        </w:rPr>
      </w:pPr>
    </w:p>
    <w:p w:rsidR="00BF5E6D" w:rsidRPr="006B4B3E" w:rsidRDefault="00BF5E6D" w:rsidP="006B4B3E">
      <w:pPr>
        <w:pStyle w:val="ListParagraph"/>
        <w:numPr>
          <w:ilvl w:val="0"/>
          <w:numId w:val="48"/>
        </w:numPr>
        <w:ind w:left="357" w:hanging="357"/>
        <w:rPr>
          <w:sz w:val="20"/>
          <w:lang w:val="fr-CA"/>
        </w:rPr>
      </w:pPr>
      <w:r w:rsidRPr="006B4B3E">
        <w:rPr>
          <w:i/>
          <w:sz w:val="20"/>
        </w:rPr>
        <w:t xml:space="preserve">Zoe Onley, et al. </w:t>
      </w:r>
      <w:r w:rsidR="00A144CA" w:rsidRPr="006B4B3E">
        <w:rPr>
          <w:i/>
          <w:sz w:val="20"/>
        </w:rPr>
        <w:t xml:space="preserve">v. </w:t>
      </w:r>
      <w:r w:rsidRPr="006B4B3E">
        <w:rPr>
          <w:i/>
          <w:sz w:val="20"/>
        </w:rPr>
        <w:t>Corporation of the Town of Whitby</w:t>
      </w:r>
      <w:r w:rsidRPr="006B4B3E">
        <w:rPr>
          <w:sz w:val="20"/>
        </w:rPr>
        <w:t xml:space="preserve"> (Ont.) </w:t>
      </w:r>
      <w:r w:rsidRPr="006B4B3E">
        <w:rPr>
          <w:sz w:val="20"/>
          <w:lang w:val="fr-CA"/>
        </w:rPr>
        <w:t>(Civil) (By Leave) (</w:t>
      </w:r>
      <w:hyperlink r:id="rId9" w:history="1">
        <w:r w:rsidRPr="006B4B3E">
          <w:rPr>
            <w:rStyle w:val="Hyperlink"/>
            <w:sz w:val="20"/>
            <w:szCs w:val="20"/>
            <w:lang w:val="fr-CA"/>
          </w:rPr>
          <w:t>39538</w:t>
        </w:r>
      </w:hyperlink>
      <w:r w:rsidRPr="006B4B3E">
        <w:rPr>
          <w:sz w:val="20"/>
          <w:lang w:val="fr-CA"/>
        </w:rPr>
        <w:t>)</w:t>
      </w:r>
    </w:p>
    <w:p w:rsidR="00BF5E6D" w:rsidRPr="006B4B3E" w:rsidRDefault="00BF5E6D" w:rsidP="006B4B3E">
      <w:pPr>
        <w:ind w:left="357" w:hanging="357"/>
        <w:rPr>
          <w:sz w:val="20"/>
          <w:lang w:val="fr-CA"/>
        </w:rPr>
      </w:pPr>
    </w:p>
    <w:p w:rsidR="00BF5E6D" w:rsidRPr="006B4B3E" w:rsidRDefault="00BF5E6D" w:rsidP="006B4B3E">
      <w:pPr>
        <w:pStyle w:val="ListParagraph"/>
        <w:numPr>
          <w:ilvl w:val="0"/>
          <w:numId w:val="48"/>
        </w:numPr>
        <w:ind w:left="357" w:hanging="357"/>
        <w:rPr>
          <w:sz w:val="20"/>
          <w:lang w:val="fr-CA"/>
        </w:rPr>
      </w:pPr>
      <w:r w:rsidRPr="006B4B3E">
        <w:rPr>
          <w:i/>
          <w:sz w:val="20"/>
          <w:lang w:val="fr-CA"/>
        </w:rPr>
        <w:t>Fédération des médecins spécialistes du Québec, et al. c. Procureur général du Québec</w:t>
      </w:r>
      <w:r w:rsidRPr="006B4B3E">
        <w:rPr>
          <w:sz w:val="20"/>
          <w:lang w:val="fr-CA"/>
        </w:rPr>
        <w:t xml:space="preserve"> (Qc) (Civile) (Autorisation) (</w:t>
      </w:r>
      <w:hyperlink r:id="rId10" w:history="1">
        <w:r w:rsidRPr="006B4B3E">
          <w:rPr>
            <w:rStyle w:val="Hyperlink"/>
            <w:sz w:val="20"/>
            <w:szCs w:val="20"/>
            <w:lang w:val="fr-CA"/>
          </w:rPr>
          <w:t>39581</w:t>
        </w:r>
      </w:hyperlink>
      <w:r w:rsidRPr="006B4B3E">
        <w:rPr>
          <w:sz w:val="20"/>
          <w:lang w:val="fr-CA"/>
        </w:rPr>
        <w:t>)</w:t>
      </w:r>
    </w:p>
    <w:p w:rsidR="00BF5E6D" w:rsidRPr="00C80162" w:rsidRDefault="00BF5E6D" w:rsidP="006B4B3E">
      <w:pPr>
        <w:ind w:left="357" w:hanging="357"/>
        <w:rPr>
          <w:sz w:val="20"/>
          <w:lang w:val="fr-CA"/>
        </w:rPr>
      </w:pPr>
    </w:p>
    <w:p w:rsidR="00BF5E6D" w:rsidRPr="006B4B3E" w:rsidRDefault="00BF5E6D" w:rsidP="006B4B3E">
      <w:pPr>
        <w:pStyle w:val="ListParagraph"/>
        <w:numPr>
          <w:ilvl w:val="0"/>
          <w:numId w:val="48"/>
        </w:numPr>
        <w:ind w:left="357" w:hanging="357"/>
        <w:rPr>
          <w:sz w:val="20"/>
        </w:rPr>
      </w:pPr>
      <w:r w:rsidRPr="006B4B3E">
        <w:rPr>
          <w:i/>
          <w:sz w:val="20"/>
        </w:rPr>
        <w:t xml:space="preserve">Kin Hung (Jeffrey) Chang, et al. v. GEA Refrigeration Canada Inc. </w:t>
      </w:r>
      <w:r w:rsidRPr="006B4B3E">
        <w:rPr>
          <w:sz w:val="20"/>
        </w:rPr>
        <w:t>(B.C.) (Civil) (By Leave) (</w:t>
      </w:r>
      <w:hyperlink r:id="rId11" w:history="1">
        <w:r w:rsidRPr="006B4B3E">
          <w:rPr>
            <w:rStyle w:val="Hyperlink"/>
            <w:sz w:val="20"/>
            <w:szCs w:val="20"/>
          </w:rPr>
          <w:t>39619</w:t>
        </w:r>
      </w:hyperlink>
      <w:r w:rsidRPr="006B4B3E">
        <w:rPr>
          <w:sz w:val="20"/>
        </w:rPr>
        <w:t>)</w:t>
      </w:r>
    </w:p>
    <w:p w:rsidR="003D43F1" w:rsidRPr="006B4B3E" w:rsidRDefault="003D43F1" w:rsidP="006B4B3E">
      <w:pPr>
        <w:ind w:left="357" w:hanging="357"/>
        <w:contextualSpacing/>
        <w:rPr>
          <w:sz w:val="20"/>
        </w:rPr>
      </w:pPr>
    </w:p>
    <w:p w:rsidR="003D43F1" w:rsidRPr="006B4B3E" w:rsidRDefault="003D43F1" w:rsidP="006B4B3E">
      <w:pPr>
        <w:pStyle w:val="ListParagraph"/>
        <w:numPr>
          <w:ilvl w:val="0"/>
          <w:numId w:val="48"/>
        </w:numPr>
        <w:ind w:left="357" w:hanging="357"/>
        <w:rPr>
          <w:sz w:val="20"/>
        </w:rPr>
      </w:pPr>
      <w:r w:rsidRPr="006B4B3E">
        <w:rPr>
          <w:i/>
          <w:sz w:val="20"/>
        </w:rPr>
        <w:t>Jason Windebank v. Her Majesty the Queen</w:t>
      </w:r>
      <w:r w:rsidRPr="006B4B3E">
        <w:rPr>
          <w:sz w:val="20"/>
        </w:rPr>
        <w:t xml:space="preserve"> (Ont.) (Criminal) (By Leave) (</w:t>
      </w:r>
      <w:hyperlink r:id="rId12" w:history="1">
        <w:r w:rsidRPr="006B4B3E">
          <w:rPr>
            <w:rStyle w:val="Hyperlink"/>
            <w:sz w:val="20"/>
            <w:szCs w:val="20"/>
          </w:rPr>
          <w:t>3964</w:t>
        </w:r>
        <w:r w:rsidRPr="006B4B3E">
          <w:rPr>
            <w:rStyle w:val="Hyperlink"/>
            <w:sz w:val="20"/>
          </w:rPr>
          <w:t>1</w:t>
        </w:r>
      </w:hyperlink>
      <w:r w:rsidRPr="006B4B3E">
        <w:rPr>
          <w:sz w:val="20"/>
        </w:rPr>
        <w:t>)</w:t>
      </w:r>
    </w:p>
    <w:p w:rsidR="00DF2FFE" w:rsidRPr="006B4B3E" w:rsidRDefault="00DF2FFE" w:rsidP="006B4B3E">
      <w:pPr>
        <w:ind w:left="357" w:hanging="357"/>
        <w:contextualSpacing/>
        <w:rPr>
          <w:sz w:val="20"/>
        </w:rPr>
      </w:pPr>
    </w:p>
    <w:p w:rsidR="00BF5E6D" w:rsidRPr="006B4B3E" w:rsidRDefault="00BF5E6D" w:rsidP="006B4B3E">
      <w:pPr>
        <w:pStyle w:val="ListParagraph"/>
        <w:numPr>
          <w:ilvl w:val="0"/>
          <w:numId w:val="48"/>
        </w:numPr>
        <w:ind w:left="357" w:hanging="357"/>
        <w:rPr>
          <w:sz w:val="20"/>
        </w:rPr>
      </w:pPr>
      <w:r w:rsidRPr="006B4B3E">
        <w:rPr>
          <w:i/>
          <w:sz w:val="20"/>
        </w:rPr>
        <w:t>Michael Joseph Jerace v. Her Majesty the Queen</w:t>
      </w:r>
      <w:r w:rsidRPr="006B4B3E">
        <w:rPr>
          <w:sz w:val="20"/>
        </w:rPr>
        <w:t xml:space="preserve"> (B.C.) (Criminal) (By Leave) (</w:t>
      </w:r>
      <w:hyperlink r:id="rId13" w:history="1">
        <w:r w:rsidRPr="006B4B3E">
          <w:rPr>
            <w:rStyle w:val="Hyperlink"/>
            <w:sz w:val="20"/>
            <w:szCs w:val="20"/>
          </w:rPr>
          <w:t>39648</w:t>
        </w:r>
      </w:hyperlink>
      <w:r w:rsidRPr="006B4B3E">
        <w:rPr>
          <w:sz w:val="20"/>
        </w:rPr>
        <w:t>)</w:t>
      </w:r>
    </w:p>
    <w:p w:rsidR="006B6572" w:rsidRPr="006B4B3E" w:rsidRDefault="006B6572" w:rsidP="006B4B3E">
      <w:pPr>
        <w:ind w:left="357" w:hanging="357"/>
        <w:contextualSpacing/>
        <w:rPr>
          <w:sz w:val="20"/>
        </w:rPr>
      </w:pPr>
    </w:p>
    <w:p w:rsidR="001F09D0" w:rsidRPr="006B4B3E" w:rsidRDefault="001F09D0" w:rsidP="006B4B3E">
      <w:pPr>
        <w:pStyle w:val="ListParagraph"/>
        <w:numPr>
          <w:ilvl w:val="0"/>
          <w:numId w:val="48"/>
        </w:numPr>
        <w:ind w:left="357" w:hanging="357"/>
        <w:rPr>
          <w:rStyle w:val="SCCAppellantInfoAppellantInfoChar"/>
          <w:sz w:val="20"/>
          <w:szCs w:val="20"/>
          <w:lang w:val="fr-CA"/>
        </w:rPr>
      </w:pPr>
      <w:r w:rsidRPr="006B4B3E">
        <w:rPr>
          <w:rStyle w:val="SCCAppellantInfoAppellantInfoChar"/>
          <w:i/>
          <w:sz w:val="20"/>
          <w:szCs w:val="20"/>
          <w:lang w:val="fr-CA"/>
        </w:rPr>
        <w:t>Jean</w:t>
      </w:r>
      <w:r w:rsidR="00C56D88">
        <w:rPr>
          <w:rStyle w:val="SCCAppellantInfoAppellantInfoChar"/>
          <w:i/>
          <w:sz w:val="20"/>
          <w:szCs w:val="20"/>
          <w:lang w:val="fr-CA"/>
        </w:rPr>
        <w:t>-</w:t>
      </w:r>
      <w:r w:rsidRPr="006B4B3E">
        <w:rPr>
          <w:rStyle w:val="SCCAppellantInfoAppellantInfoChar"/>
          <w:i/>
          <w:sz w:val="20"/>
          <w:szCs w:val="20"/>
          <w:lang w:val="fr-CA"/>
        </w:rPr>
        <w:t>Paul Braun c. Conseil de la magistrature du Québec</w:t>
      </w:r>
      <w:r w:rsidRPr="006B4B3E">
        <w:rPr>
          <w:rStyle w:val="SCCAppellantInfoAppellantInfoChar"/>
          <w:sz w:val="20"/>
          <w:szCs w:val="20"/>
          <w:lang w:val="fr-CA"/>
        </w:rPr>
        <w:t xml:space="preserve"> (Qc) (Civile) (Autorisation) </w:t>
      </w:r>
      <w:r w:rsidRPr="006B4B3E">
        <w:rPr>
          <w:sz w:val="20"/>
          <w:lang w:val="fr-CA"/>
        </w:rPr>
        <w:t>(</w:t>
      </w:r>
      <w:hyperlink r:id="rId14" w:history="1">
        <w:r w:rsidRPr="006B4B3E">
          <w:rPr>
            <w:rStyle w:val="Hyperlink"/>
            <w:sz w:val="20"/>
            <w:szCs w:val="20"/>
            <w:lang w:val="fr-CA"/>
          </w:rPr>
          <w:t>39</w:t>
        </w:r>
        <w:r w:rsidRPr="006B4B3E">
          <w:rPr>
            <w:rStyle w:val="Hyperlink"/>
            <w:sz w:val="20"/>
            <w:lang w:val="fr-CA"/>
          </w:rPr>
          <w:t>606</w:t>
        </w:r>
      </w:hyperlink>
      <w:r w:rsidRPr="006B4B3E">
        <w:rPr>
          <w:sz w:val="20"/>
          <w:lang w:val="fr-CA"/>
        </w:rPr>
        <w:t>)</w:t>
      </w:r>
    </w:p>
    <w:p w:rsidR="001F09D0" w:rsidRPr="006B4B3E" w:rsidRDefault="001F09D0" w:rsidP="006B4B3E">
      <w:pPr>
        <w:ind w:left="357" w:hanging="357"/>
        <w:contextualSpacing/>
        <w:rPr>
          <w:sz w:val="20"/>
          <w:lang w:val="fr-CA"/>
        </w:rPr>
      </w:pPr>
    </w:p>
    <w:p w:rsidR="0057402C" w:rsidRPr="006B4B3E" w:rsidRDefault="008C0899" w:rsidP="006B4B3E">
      <w:pPr>
        <w:widowControl w:val="0"/>
        <w:jc w:val="both"/>
        <w:rPr>
          <w:sz w:val="20"/>
        </w:rPr>
      </w:pPr>
      <w:r>
        <w:rPr>
          <w:sz w:val="20"/>
        </w:rPr>
        <w:pict>
          <v:rect id="_x0000_i1026" style="width:2in;height:1pt" o:hrpct="0" o:hralign="center" o:hrstd="t" o:hrnoshade="t" o:hr="t" fillcolor="black [3213]" stroked="f"/>
        </w:pict>
      </w:r>
    </w:p>
    <w:p w:rsidR="00DF2FFE" w:rsidRPr="006B4B3E" w:rsidRDefault="00DF2FFE" w:rsidP="006B4B3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6B4B3E" w:rsidTr="00A144CA">
        <w:tc>
          <w:tcPr>
            <w:tcW w:w="543" w:type="pct"/>
          </w:tcPr>
          <w:p w:rsidR="00341D04" w:rsidRPr="006B4B3E" w:rsidRDefault="00341D04" w:rsidP="006B4B3E">
            <w:pPr>
              <w:jc w:val="both"/>
              <w:rPr>
                <w:sz w:val="20"/>
              </w:rPr>
            </w:pPr>
            <w:r w:rsidRPr="006B4B3E">
              <w:rPr>
                <w:rStyle w:val="SCCFileNumberChar"/>
                <w:sz w:val="20"/>
                <w:szCs w:val="20"/>
              </w:rPr>
              <w:t>39620</w:t>
            </w:r>
          </w:p>
        </w:tc>
        <w:tc>
          <w:tcPr>
            <w:tcW w:w="4457" w:type="pct"/>
            <w:gridSpan w:val="3"/>
          </w:tcPr>
          <w:p w:rsidR="00341D04" w:rsidRPr="006B4B3E" w:rsidRDefault="00341D04" w:rsidP="006B4B3E">
            <w:pPr>
              <w:pStyle w:val="SCCLsocParty"/>
              <w:jc w:val="both"/>
              <w:rPr>
                <w:b/>
                <w:sz w:val="20"/>
                <w:szCs w:val="20"/>
                <w:lang w:val="en-US"/>
              </w:rPr>
            </w:pPr>
            <w:r w:rsidRPr="006B4B3E">
              <w:rPr>
                <w:b/>
                <w:sz w:val="20"/>
                <w:szCs w:val="20"/>
                <w:lang w:val="en-US"/>
              </w:rPr>
              <w:t>Belinda Anderson, Shane Cumberbatch-Agard v. Her Majesty the Queen</w:t>
            </w:r>
          </w:p>
          <w:p w:rsidR="00341D04" w:rsidRPr="006B4B3E" w:rsidRDefault="00341D04" w:rsidP="006B4B3E">
            <w:pPr>
              <w:jc w:val="both"/>
              <w:rPr>
                <w:sz w:val="20"/>
              </w:rPr>
            </w:pPr>
            <w:r w:rsidRPr="006B4B3E">
              <w:rPr>
                <w:sz w:val="20"/>
              </w:rPr>
              <w:t>(Ont.) (Criminal) (By Leave)</w:t>
            </w:r>
          </w:p>
        </w:tc>
      </w:tr>
      <w:tr w:rsidR="00341D04" w:rsidRPr="006B4B3E" w:rsidTr="00A144CA">
        <w:tc>
          <w:tcPr>
            <w:tcW w:w="5000" w:type="pct"/>
            <w:gridSpan w:val="4"/>
          </w:tcPr>
          <w:p w:rsidR="00341D04" w:rsidRPr="006B4B3E" w:rsidRDefault="00341D04" w:rsidP="006B4B3E">
            <w:pPr>
              <w:jc w:val="both"/>
              <w:rPr>
                <w:sz w:val="20"/>
              </w:rPr>
            </w:pPr>
            <w:r w:rsidRPr="006B4B3E">
              <w:rPr>
                <w:sz w:val="20"/>
              </w:rPr>
              <w:t>Criminal law — Appeals — Unreasonable verdict — Did the Court of Appeal err in holding that the facts of this case supported an air of reality to willful blindness?</w:t>
            </w:r>
          </w:p>
        </w:tc>
      </w:tr>
      <w:tr w:rsidR="00341D04" w:rsidRPr="006B4B3E" w:rsidTr="00341D04">
        <w:tc>
          <w:tcPr>
            <w:tcW w:w="5000" w:type="pct"/>
            <w:gridSpan w:val="4"/>
          </w:tcPr>
          <w:p w:rsidR="00341D04" w:rsidRPr="006B4B3E" w:rsidRDefault="00341D04" w:rsidP="006B4B3E">
            <w:pPr>
              <w:jc w:val="both"/>
              <w:rPr>
                <w:sz w:val="20"/>
              </w:rPr>
            </w:pPr>
          </w:p>
        </w:tc>
      </w:tr>
      <w:tr w:rsidR="00341D04" w:rsidRPr="006B4B3E" w:rsidTr="00A144CA">
        <w:tc>
          <w:tcPr>
            <w:tcW w:w="5000" w:type="pct"/>
            <w:gridSpan w:val="4"/>
          </w:tcPr>
          <w:p w:rsidR="00341D04" w:rsidRPr="006B4B3E" w:rsidRDefault="00341D04" w:rsidP="006B4B3E">
            <w:pPr>
              <w:jc w:val="both"/>
              <w:textAlignment w:val="baseline"/>
              <w:rPr>
                <w:color w:val="000000"/>
                <w:sz w:val="20"/>
              </w:rPr>
            </w:pPr>
            <w:r w:rsidRPr="006B4B3E">
              <w:rPr>
                <w:color w:val="000000"/>
                <w:spacing w:val="-2"/>
                <w:sz w:val="20"/>
              </w:rPr>
              <w:t>The applicants are two of the four people convicted by a jury of importing a shipment of cocaine concealed in confections from Jamaica.</w:t>
            </w:r>
            <w:r w:rsidRPr="006B4B3E">
              <w:rPr>
                <w:color w:val="000000"/>
                <w:sz w:val="20"/>
              </w:rPr>
              <w:t xml:space="preserve"> They argued the verdicts were unreasonable because the offence was complete before their involvement with the package and because there was no evidence they knew the package contained cocaine. They also argued that willful blindness should not have been left with the jury because the evidence did not meet the air of reality test. </w:t>
            </w:r>
            <w:r w:rsidRPr="006B4B3E">
              <w:rPr>
                <w:sz w:val="20"/>
              </w:rPr>
              <w:t>The conviction appeals were dismissed.</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lastRenderedPageBreak/>
              <w:t>May 15, 2018</w:t>
            </w:r>
          </w:p>
          <w:p w:rsidR="00341D04" w:rsidRPr="006B4B3E" w:rsidRDefault="00341D04" w:rsidP="006B4B3E">
            <w:pPr>
              <w:jc w:val="both"/>
              <w:rPr>
                <w:sz w:val="20"/>
              </w:rPr>
            </w:pPr>
            <w:r w:rsidRPr="006B4B3E">
              <w:rPr>
                <w:sz w:val="20"/>
              </w:rPr>
              <w:t>Ontario Superior Court of Justice</w:t>
            </w:r>
          </w:p>
          <w:p w:rsidR="00341D04" w:rsidRPr="006B4B3E" w:rsidRDefault="00341D04" w:rsidP="006B4B3E">
            <w:pPr>
              <w:jc w:val="both"/>
              <w:rPr>
                <w:sz w:val="20"/>
              </w:rPr>
            </w:pPr>
            <w:r w:rsidRPr="006B4B3E">
              <w:rPr>
                <w:sz w:val="20"/>
              </w:rPr>
              <w:t>(Reid J.)</w:t>
            </w:r>
          </w:p>
          <w:p w:rsidR="00341D04" w:rsidRPr="006B4B3E" w:rsidRDefault="00341D04" w:rsidP="006B4B3E">
            <w:pPr>
              <w:jc w:val="both"/>
              <w:rPr>
                <w:sz w:val="20"/>
              </w:rPr>
            </w:pPr>
            <w:r w:rsidRPr="006B4B3E">
              <w:rPr>
                <w:sz w:val="20"/>
              </w:rPr>
              <w:t>(unreported)</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Convictions: importing cocaine for the purpose of trafficking</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t>December 29, 2020</w:t>
            </w:r>
          </w:p>
          <w:p w:rsidR="00341D04" w:rsidRPr="006B4B3E" w:rsidRDefault="00341D04" w:rsidP="006B4B3E">
            <w:pPr>
              <w:jc w:val="both"/>
              <w:rPr>
                <w:sz w:val="20"/>
              </w:rPr>
            </w:pPr>
            <w:r w:rsidRPr="006B4B3E">
              <w:rPr>
                <w:sz w:val="20"/>
              </w:rPr>
              <w:t>Court of Appeal for Ontario</w:t>
            </w:r>
          </w:p>
          <w:p w:rsidR="00341D04" w:rsidRPr="006B4B3E" w:rsidRDefault="00341D04" w:rsidP="006B4B3E">
            <w:pPr>
              <w:jc w:val="both"/>
              <w:rPr>
                <w:sz w:val="20"/>
              </w:rPr>
            </w:pPr>
            <w:r w:rsidRPr="006B4B3E">
              <w:rPr>
                <w:sz w:val="20"/>
              </w:rPr>
              <w:t>(Pepall, van Rensburg, Brooke JJ.A.)</w:t>
            </w:r>
          </w:p>
          <w:p w:rsidR="00341D04" w:rsidRPr="006B4B3E" w:rsidRDefault="008C0899" w:rsidP="006B4B3E">
            <w:pPr>
              <w:jc w:val="both"/>
              <w:rPr>
                <w:rStyle w:val="Hyperlink"/>
                <w:sz w:val="20"/>
              </w:rPr>
            </w:pPr>
            <w:hyperlink r:id="rId15" w:history="1">
              <w:r w:rsidR="00341D04" w:rsidRPr="006B4B3E">
                <w:rPr>
                  <w:rStyle w:val="Hyperlink"/>
                  <w:sz w:val="20"/>
                </w:rPr>
                <w:t>2020 ONCA 780</w:t>
              </w:r>
            </w:hyperlink>
          </w:p>
          <w:p w:rsidR="00341D04" w:rsidRPr="006B4B3E" w:rsidRDefault="00341D04" w:rsidP="006B4B3E">
            <w:pPr>
              <w:jc w:val="both"/>
              <w:rPr>
                <w:sz w:val="20"/>
              </w:rPr>
            </w:pPr>
            <w:r w:rsidRPr="006B4B3E">
              <w:rPr>
                <w:rStyle w:val="Hyperlink"/>
                <w:sz w:val="20"/>
              </w:rPr>
              <w:t>C65857;C67034</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Appeals dismissed</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t>March 29, 2021</w:t>
            </w:r>
          </w:p>
          <w:p w:rsidR="00341D04" w:rsidRPr="006B4B3E" w:rsidRDefault="00341D04" w:rsidP="006B4B3E">
            <w:pPr>
              <w:jc w:val="both"/>
              <w:rPr>
                <w:sz w:val="20"/>
              </w:rPr>
            </w:pPr>
            <w:r w:rsidRPr="006B4B3E">
              <w:rPr>
                <w:sz w:val="20"/>
              </w:rPr>
              <w:t>Supreme Court of Canada</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Motion to join, motion for an extension of time to serve and file the application for leave to appeal and application for leave to appeal filed</w:t>
            </w:r>
          </w:p>
        </w:tc>
      </w:tr>
    </w:tbl>
    <w:p w:rsidR="00341D04" w:rsidRPr="006B4B3E" w:rsidRDefault="00341D04" w:rsidP="006B4B3E">
      <w:pPr>
        <w:jc w:val="both"/>
        <w:rPr>
          <w:sz w:val="20"/>
        </w:rPr>
      </w:pPr>
    </w:p>
    <w:p w:rsidR="00341D04" w:rsidRPr="006B4B3E" w:rsidRDefault="008C0899" w:rsidP="006B4B3E">
      <w:pPr>
        <w:jc w:val="both"/>
        <w:rPr>
          <w:sz w:val="20"/>
        </w:rPr>
      </w:pPr>
      <w:r>
        <w:rPr>
          <w:sz w:val="20"/>
        </w:rPr>
        <w:pict>
          <v:rect id="_x0000_i1027" style="width:2in;height:1pt" o:hrpct="0" o:hralign="center" o:hrstd="t" o:hrnoshade="t" o:hr="t" fillcolor="black [3213]" stroked="f"/>
        </w:pict>
      </w:r>
    </w:p>
    <w:p w:rsidR="00341D04" w:rsidRPr="006B4B3E" w:rsidRDefault="00341D04" w:rsidP="006B4B3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6B4B3E" w:rsidTr="00A144CA">
        <w:tc>
          <w:tcPr>
            <w:tcW w:w="543" w:type="pct"/>
          </w:tcPr>
          <w:p w:rsidR="00341D04" w:rsidRPr="006B4B3E" w:rsidRDefault="00341D04" w:rsidP="006B4B3E">
            <w:pPr>
              <w:jc w:val="both"/>
              <w:rPr>
                <w:sz w:val="20"/>
                <w:lang w:val="fr-CA"/>
              </w:rPr>
            </w:pPr>
            <w:r w:rsidRPr="006B4B3E">
              <w:rPr>
                <w:rStyle w:val="SCCFileNumberChar"/>
                <w:sz w:val="20"/>
                <w:szCs w:val="20"/>
                <w:lang w:val="fr-CA"/>
              </w:rPr>
              <w:t>39620</w:t>
            </w:r>
          </w:p>
        </w:tc>
        <w:tc>
          <w:tcPr>
            <w:tcW w:w="4457" w:type="pct"/>
            <w:gridSpan w:val="3"/>
          </w:tcPr>
          <w:p w:rsidR="00341D04" w:rsidRPr="006B4B3E" w:rsidRDefault="00341D04" w:rsidP="006B4B3E">
            <w:pPr>
              <w:pStyle w:val="SCCLsocParty"/>
              <w:jc w:val="both"/>
              <w:rPr>
                <w:b/>
                <w:sz w:val="20"/>
                <w:szCs w:val="20"/>
              </w:rPr>
            </w:pPr>
            <w:r w:rsidRPr="006B4B3E">
              <w:rPr>
                <w:b/>
                <w:sz w:val="20"/>
                <w:szCs w:val="20"/>
              </w:rPr>
              <w:t>Belinda Anderson, Shane Cumberbatch-Agard c. Sa Majesté la Reine</w:t>
            </w:r>
          </w:p>
          <w:p w:rsidR="00341D04" w:rsidRPr="006B4B3E" w:rsidRDefault="00341D04" w:rsidP="006B4B3E">
            <w:pPr>
              <w:jc w:val="both"/>
              <w:rPr>
                <w:sz w:val="20"/>
                <w:lang w:val="fr-CA"/>
              </w:rPr>
            </w:pPr>
            <w:r w:rsidRPr="006B4B3E">
              <w:rPr>
                <w:sz w:val="20"/>
                <w:lang w:val="fr-CA"/>
              </w:rPr>
              <w:t>(Ont.) (Criminelle) (Sur autorisation)</w:t>
            </w:r>
          </w:p>
        </w:tc>
      </w:tr>
      <w:tr w:rsidR="00341D04" w:rsidRPr="008C0899" w:rsidTr="00A144CA">
        <w:tc>
          <w:tcPr>
            <w:tcW w:w="5000" w:type="pct"/>
            <w:gridSpan w:val="4"/>
          </w:tcPr>
          <w:p w:rsidR="00341D04" w:rsidRPr="006B4B3E" w:rsidRDefault="00341D04" w:rsidP="006B4B3E">
            <w:pPr>
              <w:jc w:val="both"/>
              <w:rPr>
                <w:sz w:val="20"/>
                <w:lang w:val="fr-CA"/>
              </w:rPr>
            </w:pPr>
            <w:r w:rsidRPr="006B4B3E">
              <w:rPr>
                <w:sz w:val="20"/>
                <w:lang w:val="fr-CA"/>
              </w:rPr>
              <w:t>Droit criminel — Appels — Verdict déraisonnable — La Cour d’appel a</w:t>
            </w:r>
            <w:r w:rsidRPr="006B4B3E">
              <w:rPr>
                <w:sz w:val="20"/>
                <w:lang w:val="fr-CA"/>
              </w:rPr>
              <w:noBreakHyphen/>
              <w:t>t</w:t>
            </w:r>
            <w:r w:rsidRPr="006B4B3E">
              <w:rPr>
                <w:sz w:val="20"/>
                <w:lang w:val="fr-CA"/>
              </w:rPr>
              <w:noBreakHyphen/>
              <w:t>elle commis une erreur en statuant que les faits en l’espèce appuyaient une apparence vraisemblable d’aveuglement volontaire?</w:t>
            </w:r>
          </w:p>
        </w:tc>
      </w:tr>
      <w:tr w:rsidR="00341D04" w:rsidRPr="008C0899" w:rsidTr="00341D04">
        <w:tc>
          <w:tcPr>
            <w:tcW w:w="5000" w:type="pct"/>
            <w:gridSpan w:val="4"/>
          </w:tcPr>
          <w:p w:rsidR="00341D04" w:rsidRPr="006B4B3E" w:rsidRDefault="00341D04" w:rsidP="006B4B3E">
            <w:pPr>
              <w:jc w:val="both"/>
              <w:rPr>
                <w:sz w:val="20"/>
                <w:lang w:val="fr-CA"/>
              </w:rPr>
            </w:pPr>
          </w:p>
        </w:tc>
      </w:tr>
      <w:tr w:rsidR="00341D04" w:rsidRPr="006B4B3E" w:rsidTr="00A144CA">
        <w:tc>
          <w:tcPr>
            <w:tcW w:w="5000" w:type="pct"/>
            <w:gridSpan w:val="4"/>
          </w:tcPr>
          <w:p w:rsidR="00341D04" w:rsidRPr="006B4B3E" w:rsidRDefault="00341D04" w:rsidP="006B4B3E">
            <w:pPr>
              <w:jc w:val="both"/>
              <w:textAlignment w:val="baseline"/>
              <w:rPr>
                <w:color w:val="000000"/>
                <w:sz w:val="20"/>
                <w:lang w:val="fr-CA"/>
              </w:rPr>
            </w:pPr>
            <w:r w:rsidRPr="006B4B3E">
              <w:rPr>
                <w:color w:val="000000"/>
                <w:spacing w:val="-2"/>
                <w:sz w:val="20"/>
                <w:lang w:val="fr-CA"/>
              </w:rPr>
              <w:t>Les demandeurs sont deux des quatre personnes qui ont été déclarées coupables par un jury d’avoir importé un chargement de cocaïne dissimulée dans des confiseries provenant de la Jamaïque.</w:t>
            </w:r>
            <w:r w:rsidRPr="006B4B3E">
              <w:rPr>
                <w:color w:val="000000"/>
                <w:sz w:val="20"/>
                <w:lang w:val="fr-CA"/>
              </w:rPr>
              <w:t xml:space="preserve"> Ils ont fait valoir que les verdicts étaient déraisonnables parce que l’infraction avait été entièrement perpétrée avant qu’ils n’interviennent vis</w:t>
            </w:r>
            <w:r w:rsidRPr="006B4B3E">
              <w:rPr>
                <w:color w:val="000000"/>
                <w:sz w:val="20"/>
                <w:lang w:val="fr-CA"/>
              </w:rPr>
              <w:noBreakHyphen/>
              <w:t>à</w:t>
            </w:r>
            <w:r w:rsidRPr="006B4B3E">
              <w:rPr>
                <w:color w:val="000000"/>
                <w:sz w:val="20"/>
                <w:lang w:val="fr-CA"/>
              </w:rPr>
              <w:noBreakHyphen/>
              <w:t>vis du paquet et parce qu’il n’y avait aucune preuve démontrant qu’ils savaient que celui</w:t>
            </w:r>
            <w:r w:rsidRPr="006B4B3E">
              <w:rPr>
                <w:color w:val="000000"/>
                <w:sz w:val="20"/>
                <w:lang w:val="fr-CA"/>
              </w:rPr>
              <w:noBreakHyphen/>
              <w:t>ci contenait de la cocaïne. Les demandeurs ont également soutenu qu’on n’aurait</w:t>
            </w:r>
            <w:r w:rsidRPr="006B4B3E">
              <w:rPr>
                <w:sz w:val="20"/>
                <w:lang w:val="fr-CA"/>
              </w:rPr>
              <w:t xml:space="preserve"> </w:t>
            </w:r>
            <w:r w:rsidRPr="006B4B3E">
              <w:rPr>
                <w:color w:val="000000"/>
                <w:sz w:val="20"/>
                <w:lang w:val="fr-CA"/>
              </w:rPr>
              <w:t xml:space="preserve">pas dû être soumettre </w:t>
            </w:r>
            <w:r w:rsidRPr="006B4B3E">
              <w:rPr>
                <w:sz w:val="20"/>
                <w:lang w:val="fr-CA"/>
              </w:rPr>
              <w:t xml:space="preserve">l’aveuglement volontaire </w:t>
            </w:r>
            <w:r w:rsidRPr="006B4B3E">
              <w:rPr>
                <w:color w:val="000000"/>
                <w:sz w:val="20"/>
                <w:lang w:val="fr-CA"/>
              </w:rPr>
              <w:t>à l'appréciation du jury puisque la preuve à cet égard ne satisfaisait pas au critère de la vraisemblance. Les appels des déclarations de culpabilité ont été rejetés</w:t>
            </w:r>
            <w:r w:rsidRPr="006B4B3E">
              <w:rPr>
                <w:sz w:val="20"/>
                <w:lang w:val="fr-CA"/>
              </w:rPr>
              <w:t>.</w:t>
            </w:r>
          </w:p>
          <w:p w:rsidR="00341D04" w:rsidRPr="006B4B3E" w:rsidRDefault="00341D04" w:rsidP="006B4B3E">
            <w:pPr>
              <w:jc w:val="both"/>
              <w:rPr>
                <w:sz w:val="20"/>
                <w:lang w:val="fr-CA"/>
              </w:rPr>
            </w:pPr>
          </w:p>
        </w:tc>
      </w:tr>
      <w:tr w:rsidR="00341D04" w:rsidRPr="008C0899" w:rsidTr="00A144CA">
        <w:tc>
          <w:tcPr>
            <w:tcW w:w="2427" w:type="pct"/>
            <w:gridSpan w:val="2"/>
          </w:tcPr>
          <w:p w:rsidR="00341D04" w:rsidRPr="006B4B3E" w:rsidRDefault="00341D04" w:rsidP="006B4B3E">
            <w:pPr>
              <w:jc w:val="both"/>
              <w:rPr>
                <w:sz w:val="20"/>
                <w:lang w:val="fr-CA"/>
              </w:rPr>
            </w:pPr>
            <w:r w:rsidRPr="006B4B3E">
              <w:rPr>
                <w:sz w:val="20"/>
                <w:lang w:val="fr-CA"/>
              </w:rPr>
              <w:t>15 mai 2018</w:t>
            </w:r>
          </w:p>
          <w:p w:rsidR="00341D04" w:rsidRPr="006B4B3E" w:rsidRDefault="00341D04" w:rsidP="006B4B3E">
            <w:pPr>
              <w:jc w:val="both"/>
              <w:rPr>
                <w:sz w:val="20"/>
                <w:lang w:val="fr-CA"/>
              </w:rPr>
            </w:pPr>
            <w:r w:rsidRPr="006B4B3E">
              <w:rPr>
                <w:sz w:val="20"/>
                <w:lang w:val="fr-CA"/>
              </w:rPr>
              <w:t>Cour supérieure de justice de l’Ontario</w:t>
            </w:r>
          </w:p>
          <w:p w:rsidR="00341D04" w:rsidRPr="006B4B3E" w:rsidRDefault="00341D04" w:rsidP="006B4B3E">
            <w:pPr>
              <w:jc w:val="both"/>
              <w:rPr>
                <w:sz w:val="20"/>
                <w:lang w:val="fr-CA"/>
              </w:rPr>
            </w:pPr>
            <w:r w:rsidRPr="006B4B3E">
              <w:rPr>
                <w:sz w:val="20"/>
                <w:lang w:val="fr-CA"/>
              </w:rPr>
              <w:t>(juge Reid)</w:t>
            </w:r>
          </w:p>
          <w:p w:rsidR="00341D04" w:rsidRPr="006B4B3E" w:rsidRDefault="00341D04" w:rsidP="006B4B3E">
            <w:pPr>
              <w:jc w:val="both"/>
              <w:rPr>
                <w:sz w:val="20"/>
                <w:lang w:val="fr-CA"/>
              </w:rPr>
            </w:pPr>
            <w:r w:rsidRPr="006B4B3E">
              <w:rPr>
                <w:sz w:val="20"/>
                <w:lang w:val="fr-CA"/>
              </w:rPr>
              <w:t>(non publié)</w:t>
            </w:r>
          </w:p>
          <w:p w:rsidR="00341D04" w:rsidRPr="006B4B3E" w:rsidRDefault="00341D04" w:rsidP="006B4B3E">
            <w:pPr>
              <w:jc w:val="both"/>
              <w:rPr>
                <w:sz w:val="20"/>
                <w:lang w:val="fr-CA"/>
              </w:rPr>
            </w:pP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Les déclarations de culpabilité sont prononcées : importation de cocaïne en vue d’en faire le trafic.</w:t>
            </w:r>
          </w:p>
          <w:p w:rsidR="00341D04" w:rsidRPr="006B4B3E" w:rsidRDefault="00341D04" w:rsidP="006B4B3E">
            <w:pPr>
              <w:jc w:val="both"/>
              <w:rPr>
                <w:sz w:val="20"/>
                <w:lang w:val="fr-CA"/>
              </w:rPr>
            </w:pPr>
          </w:p>
        </w:tc>
      </w:tr>
      <w:tr w:rsidR="00341D04" w:rsidRPr="006B4B3E" w:rsidTr="00A144CA">
        <w:tc>
          <w:tcPr>
            <w:tcW w:w="2427" w:type="pct"/>
            <w:gridSpan w:val="2"/>
          </w:tcPr>
          <w:p w:rsidR="00341D04" w:rsidRPr="006B4B3E" w:rsidRDefault="00341D04" w:rsidP="006B4B3E">
            <w:pPr>
              <w:jc w:val="both"/>
              <w:rPr>
                <w:sz w:val="20"/>
                <w:lang w:val="fr-CA"/>
              </w:rPr>
            </w:pPr>
            <w:r w:rsidRPr="006B4B3E">
              <w:rPr>
                <w:sz w:val="20"/>
                <w:lang w:val="fr-CA"/>
              </w:rPr>
              <w:t>29 décembre 2020</w:t>
            </w:r>
          </w:p>
          <w:p w:rsidR="00341D04" w:rsidRPr="006B4B3E" w:rsidRDefault="00341D04" w:rsidP="006B4B3E">
            <w:pPr>
              <w:jc w:val="both"/>
              <w:rPr>
                <w:sz w:val="20"/>
                <w:lang w:val="fr-CA"/>
              </w:rPr>
            </w:pPr>
            <w:r w:rsidRPr="006B4B3E">
              <w:rPr>
                <w:sz w:val="20"/>
                <w:lang w:val="fr-CA"/>
              </w:rPr>
              <w:t>Cour d’appel de l’Ontario</w:t>
            </w:r>
          </w:p>
          <w:p w:rsidR="00341D04" w:rsidRPr="006B4B3E" w:rsidRDefault="00341D04" w:rsidP="006B4B3E">
            <w:pPr>
              <w:jc w:val="both"/>
              <w:rPr>
                <w:sz w:val="20"/>
                <w:lang w:val="fr-CA"/>
              </w:rPr>
            </w:pPr>
            <w:r w:rsidRPr="006B4B3E">
              <w:rPr>
                <w:sz w:val="20"/>
                <w:lang w:val="fr-CA"/>
              </w:rPr>
              <w:t>(juges Pepall, van Rensburg, Brooke)</w:t>
            </w:r>
          </w:p>
          <w:p w:rsidR="00341D04" w:rsidRPr="006B4B3E" w:rsidRDefault="008C0899" w:rsidP="006B4B3E">
            <w:pPr>
              <w:jc w:val="both"/>
              <w:rPr>
                <w:rStyle w:val="Hyperlink"/>
                <w:sz w:val="20"/>
                <w:lang w:val="fr-CA"/>
              </w:rPr>
            </w:pPr>
            <w:hyperlink r:id="rId16" w:history="1">
              <w:r w:rsidR="00341D04" w:rsidRPr="006B4B3E">
                <w:rPr>
                  <w:rStyle w:val="Hyperlink"/>
                  <w:sz w:val="20"/>
                  <w:lang w:val="fr-CA"/>
                </w:rPr>
                <w:t>2020 ONCA 780</w:t>
              </w:r>
            </w:hyperlink>
          </w:p>
          <w:p w:rsidR="00341D04" w:rsidRPr="006B4B3E" w:rsidRDefault="00341D04" w:rsidP="006B4B3E">
            <w:pPr>
              <w:jc w:val="both"/>
              <w:rPr>
                <w:sz w:val="20"/>
                <w:lang w:val="fr-CA"/>
              </w:rPr>
            </w:pPr>
            <w:r w:rsidRPr="006B4B3E">
              <w:rPr>
                <w:rStyle w:val="Hyperlink"/>
                <w:sz w:val="20"/>
                <w:lang w:val="fr-CA"/>
              </w:rPr>
              <w:t>C65857;C67034</w:t>
            </w:r>
          </w:p>
          <w:p w:rsidR="00341D04" w:rsidRPr="006B4B3E" w:rsidRDefault="00341D04" w:rsidP="006B4B3E">
            <w:pPr>
              <w:jc w:val="both"/>
              <w:rPr>
                <w:sz w:val="20"/>
                <w:lang w:val="fr-CA"/>
              </w:rPr>
            </w:pP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Les appels sont rejetés.</w:t>
            </w:r>
          </w:p>
          <w:p w:rsidR="00341D04" w:rsidRPr="006B4B3E" w:rsidRDefault="00341D04" w:rsidP="006B4B3E">
            <w:pPr>
              <w:jc w:val="both"/>
              <w:rPr>
                <w:sz w:val="20"/>
                <w:lang w:val="fr-CA"/>
              </w:rPr>
            </w:pPr>
          </w:p>
        </w:tc>
      </w:tr>
      <w:tr w:rsidR="00341D04" w:rsidRPr="008C0899" w:rsidTr="00A144CA">
        <w:tc>
          <w:tcPr>
            <w:tcW w:w="2427" w:type="pct"/>
            <w:gridSpan w:val="2"/>
          </w:tcPr>
          <w:p w:rsidR="00341D04" w:rsidRPr="006B4B3E" w:rsidRDefault="00341D04" w:rsidP="006B4B3E">
            <w:pPr>
              <w:jc w:val="both"/>
              <w:rPr>
                <w:sz w:val="20"/>
                <w:lang w:val="fr-CA"/>
              </w:rPr>
            </w:pPr>
            <w:r w:rsidRPr="006B4B3E">
              <w:rPr>
                <w:sz w:val="20"/>
                <w:lang w:val="fr-CA"/>
              </w:rPr>
              <w:t>29 mars 2021</w:t>
            </w:r>
          </w:p>
          <w:p w:rsidR="00341D04" w:rsidRPr="006B4B3E" w:rsidRDefault="00341D04" w:rsidP="006B4B3E">
            <w:pPr>
              <w:jc w:val="both"/>
              <w:rPr>
                <w:sz w:val="20"/>
                <w:lang w:val="fr-CA"/>
              </w:rPr>
            </w:pPr>
            <w:r w:rsidRPr="006B4B3E">
              <w:rPr>
                <w:sz w:val="20"/>
                <w:lang w:val="fr-CA"/>
              </w:rPr>
              <w:t>Cour suprême du Canada</w:t>
            </w:r>
          </w:p>
          <w:p w:rsidR="00341D04" w:rsidRPr="006B4B3E" w:rsidRDefault="00341D04" w:rsidP="006B4B3E">
            <w:pPr>
              <w:jc w:val="both"/>
              <w:rPr>
                <w:sz w:val="20"/>
                <w:lang w:val="fr-CA"/>
              </w:rPr>
            </w:pP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La requête pour réunir les demandes, la requête en prorogation du délai de signification et de dépôt de la demande d’autorisation d’appel et la demande d’autorisation d’appel sont présentées.</w:t>
            </w:r>
          </w:p>
        </w:tc>
      </w:tr>
    </w:tbl>
    <w:p w:rsidR="00341D04" w:rsidRPr="006B4B3E" w:rsidRDefault="00341D04" w:rsidP="006B4B3E">
      <w:pPr>
        <w:jc w:val="both"/>
        <w:rPr>
          <w:sz w:val="20"/>
          <w:lang w:val="fr-CA"/>
        </w:rPr>
      </w:pPr>
    </w:p>
    <w:p w:rsidR="00DF2FFE" w:rsidRPr="006B4B3E" w:rsidRDefault="008C0899" w:rsidP="006B4B3E">
      <w:pPr>
        <w:widowControl w:val="0"/>
        <w:jc w:val="both"/>
        <w:rPr>
          <w:sz w:val="20"/>
          <w:lang w:val="fr-CA"/>
        </w:rPr>
      </w:pPr>
      <w:r>
        <w:rPr>
          <w:sz w:val="20"/>
        </w:rPr>
        <w:pict>
          <v:rect id="_x0000_i1028" style="width:2in;height:1pt" o:hrpct="0" o:hralign="center" o:hrstd="t" o:hrnoshade="t" o:hr="t" fillcolor="black [3213]" stroked="f"/>
        </w:pict>
      </w:r>
    </w:p>
    <w:p w:rsidR="00DF2FFE" w:rsidRPr="006B4B3E" w:rsidRDefault="00DF2FFE" w:rsidP="006B4B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6B4B3E" w:rsidTr="00A144CA">
        <w:tc>
          <w:tcPr>
            <w:tcW w:w="543" w:type="pct"/>
          </w:tcPr>
          <w:p w:rsidR="00341D04" w:rsidRPr="006B4B3E" w:rsidRDefault="00341D04" w:rsidP="006B4B3E">
            <w:pPr>
              <w:jc w:val="both"/>
              <w:rPr>
                <w:sz w:val="20"/>
              </w:rPr>
            </w:pPr>
            <w:r w:rsidRPr="006B4B3E">
              <w:rPr>
                <w:rStyle w:val="SCCFileNumberChar"/>
                <w:sz w:val="20"/>
                <w:szCs w:val="20"/>
              </w:rPr>
              <w:t>39538</w:t>
            </w:r>
          </w:p>
        </w:tc>
        <w:tc>
          <w:tcPr>
            <w:tcW w:w="4457" w:type="pct"/>
            <w:gridSpan w:val="3"/>
          </w:tcPr>
          <w:p w:rsidR="00341D04" w:rsidRPr="006B4B3E" w:rsidRDefault="00341D04" w:rsidP="006B4B3E">
            <w:pPr>
              <w:pStyle w:val="SCCLsocParty"/>
              <w:jc w:val="both"/>
              <w:rPr>
                <w:b/>
                <w:sz w:val="20"/>
                <w:szCs w:val="20"/>
                <w:lang w:val="en-US"/>
              </w:rPr>
            </w:pPr>
            <w:r w:rsidRPr="006B4B3E">
              <w:rPr>
                <w:b/>
                <w:sz w:val="20"/>
                <w:szCs w:val="20"/>
                <w:lang w:val="en-US"/>
              </w:rPr>
              <w:t>Zoe Onley, Sallie Onley, Richard Onley v. Corporation of the Town of Whitby</w:t>
            </w:r>
          </w:p>
          <w:p w:rsidR="00341D04" w:rsidRPr="006B4B3E" w:rsidRDefault="00341D04" w:rsidP="006B4B3E">
            <w:pPr>
              <w:jc w:val="both"/>
              <w:rPr>
                <w:sz w:val="20"/>
              </w:rPr>
            </w:pPr>
            <w:r w:rsidRPr="006B4B3E">
              <w:rPr>
                <w:sz w:val="20"/>
              </w:rPr>
              <w:t>(Ont.) (Civil) (By Leave)</w:t>
            </w:r>
          </w:p>
        </w:tc>
      </w:tr>
      <w:tr w:rsidR="00341D04" w:rsidRPr="006B4B3E" w:rsidTr="00A144CA">
        <w:tc>
          <w:tcPr>
            <w:tcW w:w="5000" w:type="pct"/>
            <w:gridSpan w:val="4"/>
          </w:tcPr>
          <w:p w:rsidR="00341D04" w:rsidRPr="006B4B3E" w:rsidRDefault="00341D04" w:rsidP="006B4B3E">
            <w:pPr>
              <w:jc w:val="both"/>
              <w:rPr>
                <w:sz w:val="20"/>
              </w:rPr>
            </w:pPr>
            <w:r w:rsidRPr="006B4B3E">
              <w:rPr>
                <w:sz w:val="20"/>
              </w:rPr>
              <w:t xml:space="preserve">Torts — Duty of care — Occupiers’ liability — Reasonably foreseeable harm for occupiers — What is the appropriate standard of care for municipalities to prevent electric shocks and other injuries from occurring at the facilities they operate? — What should be the standard of care for electric shocks? — Should the concept of </w:t>
            </w:r>
            <w:r w:rsidRPr="006B4B3E">
              <w:rPr>
                <w:sz w:val="20"/>
              </w:rPr>
              <w:lastRenderedPageBreak/>
              <w:t>“reasonably foreseeable harm” widen or narrow the scope of an occupier's duty of care, as found in the applicable provincial legislation — What kinds of risks may be “reasonably foreseen” and thus attract the duty to ensure reasonable safety? —</w:t>
            </w:r>
            <w:r w:rsidRPr="006B4B3E">
              <w:rPr>
                <w:i/>
                <w:sz w:val="20"/>
              </w:rPr>
              <w:t>Occupiers’ Liability Act</w:t>
            </w:r>
            <w:r w:rsidRPr="006B4B3E">
              <w:rPr>
                <w:sz w:val="20"/>
              </w:rPr>
              <w:t>, RSO 1990, c O.2, s. 3(1).</w:t>
            </w:r>
          </w:p>
        </w:tc>
      </w:tr>
      <w:tr w:rsidR="00341D04" w:rsidRPr="006B4B3E" w:rsidTr="00A144CA">
        <w:tc>
          <w:tcPr>
            <w:tcW w:w="5000" w:type="pct"/>
            <w:gridSpan w:val="4"/>
          </w:tcPr>
          <w:p w:rsidR="00341D04" w:rsidRPr="006B4B3E" w:rsidRDefault="00341D04" w:rsidP="006B4B3E">
            <w:pPr>
              <w:jc w:val="both"/>
              <w:rPr>
                <w:sz w:val="20"/>
              </w:rPr>
            </w:pPr>
          </w:p>
        </w:tc>
      </w:tr>
      <w:tr w:rsidR="00341D04" w:rsidRPr="006B4B3E" w:rsidTr="00A144CA">
        <w:tc>
          <w:tcPr>
            <w:tcW w:w="5000" w:type="pct"/>
            <w:gridSpan w:val="4"/>
          </w:tcPr>
          <w:p w:rsidR="00341D04" w:rsidRPr="006B4B3E" w:rsidRDefault="00341D04" w:rsidP="006B4B3E">
            <w:pPr>
              <w:jc w:val="both"/>
              <w:rPr>
                <w:sz w:val="20"/>
              </w:rPr>
            </w:pPr>
            <w:r w:rsidRPr="006B4B3E">
              <w:rPr>
                <w:sz w:val="20"/>
              </w:rPr>
              <w:t xml:space="preserve">In 2012, the applicant Zoe Onley was electrocuted and injured near a light pole on property owned by the respondent, the Town of Whitby. The light pole was damaged by an earlier lightning strike, which caused electricity to leak into the ground where Ms. Onley sat. Ms. Onley and her parents commenced an action in damages against the Town, arguing that it failed to take reasonable steps to inspect and maintain its light poles, and that the Town breached its duty of care under Ontario’s </w:t>
            </w:r>
            <w:r w:rsidRPr="006B4B3E">
              <w:rPr>
                <w:i/>
                <w:sz w:val="20"/>
              </w:rPr>
              <w:t>Occupiers’ Liability Act</w:t>
            </w:r>
            <w:r w:rsidRPr="006B4B3E">
              <w:rPr>
                <w:sz w:val="20"/>
              </w:rPr>
              <w:t xml:space="preserve"> (“</w:t>
            </w:r>
            <w:r w:rsidRPr="006B4B3E">
              <w:rPr>
                <w:i/>
                <w:sz w:val="20"/>
              </w:rPr>
              <w:t>OLA</w:t>
            </w:r>
            <w:r w:rsidRPr="006B4B3E">
              <w:rPr>
                <w:sz w:val="20"/>
              </w:rPr>
              <w:t>”).</w:t>
            </w:r>
          </w:p>
          <w:p w:rsidR="00341D04" w:rsidRPr="006B4B3E" w:rsidRDefault="00341D04" w:rsidP="006B4B3E">
            <w:pPr>
              <w:jc w:val="both"/>
              <w:rPr>
                <w:sz w:val="20"/>
              </w:rPr>
            </w:pPr>
          </w:p>
          <w:p w:rsidR="00341D04" w:rsidRPr="006B4B3E" w:rsidRDefault="00341D04" w:rsidP="006B4B3E">
            <w:pPr>
              <w:jc w:val="both"/>
              <w:rPr>
                <w:sz w:val="20"/>
              </w:rPr>
            </w:pPr>
            <w:r w:rsidRPr="006B4B3E">
              <w:rPr>
                <w:sz w:val="20"/>
              </w:rPr>
              <w:t xml:space="preserve">The trial judge dismissed the Onley family’s action, on the basis that the type of damage sustained was not reasonably foreseeable, and that the Town had met </w:t>
            </w:r>
            <w:proofErr w:type="gramStart"/>
            <w:r w:rsidRPr="006B4B3E">
              <w:rPr>
                <w:sz w:val="20"/>
              </w:rPr>
              <w:t>its</w:t>
            </w:r>
            <w:proofErr w:type="gramEnd"/>
            <w:r w:rsidRPr="006B4B3E">
              <w:rPr>
                <w:sz w:val="20"/>
              </w:rPr>
              <w:t xml:space="preserve"> the standard of care pursuant to the </w:t>
            </w:r>
            <w:r w:rsidRPr="006B4B3E">
              <w:rPr>
                <w:i/>
                <w:sz w:val="20"/>
              </w:rPr>
              <w:t>OLA</w:t>
            </w:r>
            <w:r w:rsidRPr="006B4B3E">
              <w:rPr>
                <w:sz w:val="20"/>
              </w:rPr>
              <w:t>. The Court of Appeal unanimously dismissed the Onley family’s appeal. It held that the trial judge had correctly set out and applied the standard of care analysis.</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t>January 2, 2020</w:t>
            </w:r>
          </w:p>
          <w:p w:rsidR="00341D04" w:rsidRPr="006B4B3E" w:rsidRDefault="00341D04" w:rsidP="006B4B3E">
            <w:pPr>
              <w:jc w:val="both"/>
              <w:rPr>
                <w:sz w:val="20"/>
              </w:rPr>
            </w:pPr>
            <w:r w:rsidRPr="006B4B3E">
              <w:rPr>
                <w:sz w:val="20"/>
              </w:rPr>
              <w:t>Ontario Superior Court of Justice</w:t>
            </w:r>
          </w:p>
          <w:p w:rsidR="00341D04" w:rsidRPr="006B4B3E" w:rsidRDefault="00341D04" w:rsidP="006B4B3E">
            <w:pPr>
              <w:jc w:val="both"/>
              <w:rPr>
                <w:sz w:val="20"/>
              </w:rPr>
            </w:pPr>
            <w:r w:rsidRPr="006B4B3E">
              <w:rPr>
                <w:sz w:val="20"/>
              </w:rPr>
              <w:t>(Koke J.)</w:t>
            </w:r>
          </w:p>
          <w:p w:rsidR="00341D04" w:rsidRPr="006B4B3E" w:rsidRDefault="00341D04" w:rsidP="006B4B3E">
            <w:pPr>
              <w:jc w:val="both"/>
              <w:rPr>
                <w:sz w:val="20"/>
              </w:rPr>
            </w:pPr>
            <w:r w:rsidRPr="006B4B3E">
              <w:rPr>
                <w:rStyle w:val="Hyperlink"/>
                <w:sz w:val="20"/>
              </w:rPr>
              <w:t xml:space="preserve">2020 ONSC 20 </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 xml:space="preserve">Action for damages dismissed. </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t>November 23, 2020 (oral decision)</w:t>
            </w:r>
          </w:p>
          <w:p w:rsidR="00341D04" w:rsidRPr="006B4B3E" w:rsidRDefault="00341D04" w:rsidP="006B4B3E">
            <w:pPr>
              <w:jc w:val="both"/>
              <w:rPr>
                <w:sz w:val="20"/>
              </w:rPr>
            </w:pPr>
            <w:r w:rsidRPr="006B4B3E">
              <w:rPr>
                <w:sz w:val="20"/>
              </w:rPr>
              <w:t>(written reasons released December 2, 2020)</w:t>
            </w:r>
          </w:p>
          <w:p w:rsidR="00341D04" w:rsidRPr="006B4B3E" w:rsidRDefault="00341D04" w:rsidP="006B4B3E">
            <w:pPr>
              <w:jc w:val="both"/>
              <w:rPr>
                <w:sz w:val="20"/>
              </w:rPr>
            </w:pPr>
            <w:r w:rsidRPr="006B4B3E">
              <w:rPr>
                <w:sz w:val="20"/>
              </w:rPr>
              <w:t>Court of Appeal for Ontario</w:t>
            </w:r>
          </w:p>
          <w:p w:rsidR="00341D04" w:rsidRPr="006B4B3E" w:rsidRDefault="00341D04" w:rsidP="006B4B3E">
            <w:pPr>
              <w:jc w:val="both"/>
              <w:rPr>
                <w:sz w:val="20"/>
              </w:rPr>
            </w:pPr>
            <w:r w:rsidRPr="006B4B3E">
              <w:rPr>
                <w:sz w:val="20"/>
              </w:rPr>
              <w:t>(Doherty, Roberts and Young JJ.A.)</w:t>
            </w:r>
          </w:p>
          <w:p w:rsidR="00341D04" w:rsidRPr="006B4B3E" w:rsidRDefault="00341D04" w:rsidP="006B4B3E">
            <w:pPr>
              <w:jc w:val="both"/>
              <w:rPr>
                <w:sz w:val="20"/>
              </w:rPr>
            </w:pPr>
            <w:r w:rsidRPr="006B4B3E">
              <w:rPr>
                <w:rStyle w:val="Hyperlink"/>
                <w:sz w:val="20"/>
              </w:rPr>
              <w:t xml:space="preserve">2020 ONCA 774 </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 xml:space="preserve">Appeal dismissed. </w:t>
            </w:r>
          </w:p>
        </w:tc>
      </w:tr>
      <w:tr w:rsidR="00341D04" w:rsidRPr="006B4B3E" w:rsidTr="00A144CA">
        <w:tc>
          <w:tcPr>
            <w:tcW w:w="2427" w:type="pct"/>
            <w:gridSpan w:val="2"/>
          </w:tcPr>
          <w:p w:rsidR="00341D04" w:rsidRPr="006B4B3E" w:rsidRDefault="00341D04" w:rsidP="006B4B3E">
            <w:pPr>
              <w:jc w:val="both"/>
              <w:rPr>
                <w:sz w:val="20"/>
              </w:rPr>
            </w:pPr>
            <w:r w:rsidRPr="006B4B3E">
              <w:rPr>
                <w:sz w:val="20"/>
              </w:rPr>
              <w:t>January 21, 2021</w:t>
            </w:r>
          </w:p>
          <w:p w:rsidR="00341D04" w:rsidRPr="006B4B3E" w:rsidRDefault="00341D04" w:rsidP="006B4B3E">
            <w:pPr>
              <w:jc w:val="both"/>
              <w:rPr>
                <w:sz w:val="20"/>
              </w:rPr>
            </w:pPr>
            <w:r w:rsidRPr="006B4B3E">
              <w:rPr>
                <w:sz w:val="20"/>
              </w:rPr>
              <w:t>Supreme Court of Canada</w:t>
            </w: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Application for leave to appeal filed.</w:t>
            </w:r>
          </w:p>
          <w:p w:rsidR="00341D04" w:rsidRPr="006B4B3E" w:rsidRDefault="00341D04" w:rsidP="006B4B3E">
            <w:pPr>
              <w:jc w:val="both"/>
              <w:rPr>
                <w:sz w:val="20"/>
              </w:rPr>
            </w:pPr>
          </w:p>
        </w:tc>
      </w:tr>
    </w:tbl>
    <w:p w:rsidR="00341D04" w:rsidRPr="006B4B3E" w:rsidRDefault="00341D04" w:rsidP="006B4B3E">
      <w:pPr>
        <w:jc w:val="both"/>
        <w:rPr>
          <w:sz w:val="20"/>
        </w:rPr>
      </w:pPr>
    </w:p>
    <w:p w:rsidR="00341D04" w:rsidRPr="006B4B3E" w:rsidRDefault="008C0899" w:rsidP="006B4B3E">
      <w:pPr>
        <w:jc w:val="both"/>
        <w:rPr>
          <w:sz w:val="20"/>
        </w:rPr>
      </w:pPr>
      <w:r>
        <w:rPr>
          <w:sz w:val="20"/>
        </w:rPr>
        <w:pict>
          <v:rect id="_x0000_i1029" style="width:2in;height:1pt" o:hrpct="0" o:hralign="center" o:hrstd="t" o:hrnoshade="t" o:hr="t" fillcolor="black [3213]" stroked="f"/>
        </w:pict>
      </w:r>
    </w:p>
    <w:p w:rsidR="00341D04" w:rsidRPr="006B4B3E" w:rsidRDefault="00341D04" w:rsidP="006B4B3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6B4B3E" w:rsidTr="00A144CA">
        <w:tc>
          <w:tcPr>
            <w:tcW w:w="543" w:type="pct"/>
          </w:tcPr>
          <w:p w:rsidR="00341D04" w:rsidRPr="006B4B3E" w:rsidRDefault="00341D04" w:rsidP="006B4B3E">
            <w:pPr>
              <w:jc w:val="both"/>
              <w:rPr>
                <w:sz w:val="20"/>
                <w:lang w:val="fr-CA"/>
              </w:rPr>
            </w:pPr>
            <w:r w:rsidRPr="006B4B3E">
              <w:rPr>
                <w:rStyle w:val="SCCFileNumberChar"/>
                <w:sz w:val="20"/>
                <w:szCs w:val="20"/>
                <w:lang w:val="fr-CA"/>
              </w:rPr>
              <w:t>39538</w:t>
            </w:r>
          </w:p>
        </w:tc>
        <w:tc>
          <w:tcPr>
            <w:tcW w:w="4457" w:type="pct"/>
            <w:gridSpan w:val="3"/>
          </w:tcPr>
          <w:p w:rsidR="00341D04" w:rsidRPr="006B4B3E" w:rsidRDefault="00341D04" w:rsidP="006B4B3E">
            <w:pPr>
              <w:pStyle w:val="SCCLsocParty"/>
              <w:jc w:val="both"/>
              <w:rPr>
                <w:b/>
                <w:sz w:val="20"/>
                <w:szCs w:val="20"/>
                <w:lang w:val="en-US"/>
              </w:rPr>
            </w:pPr>
            <w:r w:rsidRPr="006B4B3E">
              <w:rPr>
                <w:b/>
                <w:sz w:val="20"/>
                <w:szCs w:val="20"/>
                <w:lang w:val="en-US"/>
              </w:rPr>
              <w:t>Zoe Onley, Sallie Onley, Richard Onley c. Corporation of the Town of Whitby</w:t>
            </w:r>
          </w:p>
          <w:p w:rsidR="00341D04" w:rsidRPr="006B4B3E" w:rsidRDefault="00341D04" w:rsidP="006B4B3E">
            <w:pPr>
              <w:jc w:val="both"/>
              <w:rPr>
                <w:sz w:val="20"/>
                <w:lang w:val="fr-CA"/>
              </w:rPr>
            </w:pPr>
            <w:r w:rsidRPr="006B4B3E">
              <w:rPr>
                <w:sz w:val="20"/>
                <w:lang w:val="fr-CA"/>
              </w:rPr>
              <w:t>(Ont.) (Civile) (Sur autorisation)</w:t>
            </w:r>
          </w:p>
        </w:tc>
      </w:tr>
      <w:tr w:rsidR="00341D04" w:rsidRPr="008C0899" w:rsidTr="00A144CA">
        <w:tc>
          <w:tcPr>
            <w:tcW w:w="5000" w:type="pct"/>
            <w:gridSpan w:val="4"/>
          </w:tcPr>
          <w:p w:rsidR="00341D04" w:rsidRPr="006B4B3E" w:rsidRDefault="00341D04" w:rsidP="006B4B3E">
            <w:pPr>
              <w:jc w:val="both"/>
              <w:rPr>
                <w:sz w:val="20"/>
                <w:lang w:val="fr-CA"/>
              </w:rPr>
            </w:pPr>
            <w:r w:rsidRPr="006B4B3E">
              <w:rPr>
                <w:sz w:val="20"/>
                <w:lang w:val="fr-CA"/>
              </w:rPr>
              <w:t>Responsabilité délictuelle — Obligation de diligence — Responsabilité des occupants — Préjudice raisonnablement prévisible pour les occupants — Quelle est la norme de diligence appropriée que doivent respecter les municipalités pour empêcher les décharges électriques et autres blessures de survenir dans les installations qu’elles exploitent? — Quelle est la norme de diligence applicable relativement aux décharges électriques? — La notion de « préjudice raisonnablement prévisible » devrait</w:t>
            </w:r>
            <w:r w:rsidRPr="006B4B3E">
              <w:rPr>
                <w:sz w:val="20"/>
                <w:lang w:val="fr-CA"/>
              </w:rPr>
              <w:noBreakHyphen/>
              <w:t xml:space="preserve">elle élargir ou restreindre la portée de l’obligation de diligence qui incombe à l’occupant, aux termes de la loi provinciale applicable? — Quels genres de risques peuvent être qualifiés de « raisonnablement prévisibles », entraînant ainsi l’obligation d’assurer que les personnes soient raisonnablement en sécurité? — </w:t>
            </w:r>
            <w:r w:rsidRPr="006B4B3E">
              <w:rPr>
                <w:i/>
                <w:sz w:val="20"/>
                <w:lang w:val="fr-FR"/>
              </w:rPr>
              <w:t>Loi sur la responsabilité des occupants</w:t>
            </w:r>
            <w:r w:rsidRPr="006B4B3E">
              <w:rPr>
                <w:sz w:val="20"/>
                <w:lang w:val="fr-FR"/>
              </w:rPr>
              <w:t xml:space="preserve">, L.R.O. </w:t>
            </w:r>
            <w:r w:rsidRPr="006B4B3E">
              <w:rPr>
                <w:sz w:val="20"/>
                <w:lang w:val="fr-CA"/>
              </w:rPr>
              <w:t>1990, c O.2, par. 3(1)</w:t>
            </w:r>
          </w:p>
        </w:tc>
      </w:tr>
      <w:tr w:rsidR="00341D04" w:rsidRPr="008C0899" w:rsidTr="00A144CA">
        <w:tc>
          <w:tcPr>
            <w:tcW w:w="5000" w:type="pct"/>
            <w:gridSpan w:val="4"/>
          </w:tcPr>
          <w:p w:rsidR="00341D04" w:rsidRPr="006B4B3E" w:rsidRDefault="00341D04" w:rsidP="006B4B3E">
            <w:pPr>
              <w:jc w:val="both"/>
              <w:rPr>
                <w:sz w:val="20"/>
                <w:lang w:val="fr-CA"/>
              </w:rPr>
            </w:pPr>
          </w:p>
        </w:tc>
      </w:tr>
      <w:tr w:rsidR="00341D04" w:rsidRPr="008C0899" w:rsidTr="00A144CA">
        <w:tc>
          <w:tcPr>
            <w:tcW w:w="5000" w:type="pct"/>
            <w:gridSpan w:val="4"/>
          </w:tcPr>
          <w:p w:rsidR="00341D04" w:rsidRPr="006B4B3E" w:rsidRDefault="00341D04" w:rsidP="006B4B3E">
            <w:pPr>
              <w:jc w:val="both"/>
              <w:rPr>
                <w:sz w:val="20"/>
                <w:lang w:val="fr-CA"/>
              </w:rPr>
            </w:pPr>
            <w:r w:rsidRPr="006B4B3E">
              <w:rPr>
                <w:sz w:val="20"/>
                <w:lang w:val="fr-CA"/>
              </w:rPr>
              <w:t xml:space="preserve">En 2012, la demanderesse, Zoe Onley, a été électrocutée et blessée près d’un lampadaire sur un terrain appartenant à l’intimée, la ville de Whitby. Le lampadaire avait été endommagé précédemment par un coup de foudre, ce qui a provoqué une fuite d’électricité dans le sol où était assise Mme Onley. Cette dernière et ses parents ont intenté une action en dommages-intérêts contre la ville, faisant valoir que celle-ci a omis de prendre des mesures raisonnables quant à l’inspection et l’entretien de ses lampadaires, et a manqué à son obligation de diligence en vertu de la </w:t>
            </w:r>
            <w:r w:rsidRPr="006B4B3E">
              <w:rPr>
                <w:i/>
                <w:sz w:val="20"/>
                <w:lang w:val="fr-FR"/>
              </w:rPr>
              <w:t>Loi sur la responsabilité des occupants</w:t>
            </w:r>
            <w:r w:rsidRPr="006B4B3E">
              <w:rPr>
                <w:sz w:val="20"/>
                <w:lang w:val="fr-CA"/>
              </w:rPr>
              <w:t xml:space="preserve"> de l’Ontario (« </w:t>
            </w:r>
            <w:r w:rsidRPr="006B4B3E">
              <w:rPr>
                <w:i/>
                <w:sz w:val="20"/>
                <w:lang w:val="fr-CA"/>
              </w:rPr>
              <w:t>LRO</w:t>
            </w:r>
            <w:r w:rsidRPr="006B4B3E">
              <w:rPr>
                <w:sz w:val="20"/>
                <w:lang w:val="fr-CA"/>
              </w:rPr>
              <w:t> »).</w:t>
            </w:r>
          </w:p>
          <w:p w:rsidR="00341D04" w:rsidRPr="006B4B3E" w:rsidRDefault="00341D04" w:rsidP="006B4B3E">
            <w:pPr>
              <w:jc w:val="both"/>
              <w:rPr>
                <w:sz w:val="20"/>
                <w:lang w:val="fr-CA"/>
              </w:rPr>
            </w:pPr>
          </w:p>
          <w:p w:rsidR="00341D04" w:rsidRPr="006B4B3E" w:rsidRDefault="00341D04" w:rsidP="006B4B3E">
            <w:pPr>
              <w:jc w:val="both"/>
              <w:rPr>
                <w:sz w:val="20"/>
                <w:lang w:val="fr-CA"/>
              </w:rPr>
            </w:pPr>
            <w:r w:rsidRPr="006B4B3E">
              <w:rPr>
                <w:sz w:val="20"/>
                <w:lang w:val="fr-CA"/>
              </w:rPr>
              <w:t xml:space="preserve">Le juge de première instance a rejeté l’action de la famille Onley, au motif que le type de dommage subi n’était pas raisonnablement prévisible, et que la ville avait satisfait à l’obligation de diligence qui lui incombait en vertu de la </w:t>
            </w:r>
            <w:r w:rsidRPr="006B4B3E">
              <w:rPr>
                <w:i/>
                <w:sz w:val="20"/>
                <w:lang w:val="fr-CA"/>
              </w:rPr>
              <w:t>LRO</w:t>
            </w:r>
            <w:r w:rsidRPr="006B4B3E">
              <w:rPr>
                <w:sz w:val="20"/>
                <w:lang w:val="fr-CA"/>
              </w:rPr>
              <w:t>. La Cour d’appel a rejeté à l’unanimité l’appel de la famille Onley. Elle a conclu que le juge de première instance avait correctement énoncé et appliqué l’analyse de la norme de diligence.</w:t>
            </w:r>
          </w:p>
          <w:p w:rsidR="00341D04" w:rsidRPr="006B4B3E" w:rsidRDefault="00341D04" w:rsidP="006B4B3E">
            <w:pPr>
              <w:jc w:val="both"/>
              <w:rPr>
                <w:sz w:val="20"/>
                <w:lang w:val="fr-CA"/>
              </w:rPr>
            </w:pPr>
          </w:p>
        </w:tc>
      </w:tr>
      <w:tr w:rsidR="00341D04" w:rsidRPr="008C0899" w:rsidTr="00A144CA">
        <w:tc>
          <w:tcPr>
            <w:tcW w:w="2427" w:type="pct"/>
            <w:gridSpan w:val="2"/>
          </w:tcPr>
          <w:p w:rsidR="00341D04" w:rsidRPr="006B4B3E" w:rsidRDefault="00341D04" w:rsidP="006B4B3E">
            <w:pPr>
              <w:jc w:val="both"/>
              <w:rPr>
                <w:sz w:val="20"/>
                <w:lang w:val="fr-CA"/>
              </w:rPr>
            </w:pPr>
            <w:r w:rsidRPr="006B4B3E">
              <w:rPr>
                <w:sz w:val="20"/>
                <w:lang w:val="fr-CA"/>
              </w:rPr>
              <w:t>2 janvier 2020</w:t>
            </w:r>
          </w:p>
          <w:p w:rsidR="00341D04" w:rsidRPr="006B4B3E" w:rsidRDefault="00341D04" w:rsidP="006B4B3E">
            <w:pPr>
              <w:jc w:val="both"/>
              <w:rPr>
                <w:sz w:val="20"/>
                <w:lang w:val="fr-CA"/>
              </w:rPr>
            </w:pPr>
            <w:r w:rsidRPr="006B4B3E">
              <w:rPr>
                <w:sz w:val="20"/>
                <w:lang w:val="fr-CA"/>
              </w:rPr>
              <w:t xml:space="preserve">Cour supérieure de justice de l’Ontario </w:t>
            </w:r>
          </w:p>
          <w:p w:rsidR="00341D04" w:rsidRPr="006B4B3E" w:rsidRDefault="00341D04" w:rsidP="006B4B3E">
            <w:pPr>
              <w:jc w:val="both"/>
              <w:rPr>
                <w:sz w:val="20"/>
                <w:lang w:val="fr-CA"/>
              </w:rPr>
            </w:pPr>
            <w:r w:rsidRPr="006B4B3E">
              <w:rPr>
                <w:sz w:val="20"/>
                <w:lang w:val="fr-CA"/>
              </w:rPr>
              <w:t>(juge Koke)</w:t>
            </w:r>
          </w:p>
          <w:p w:rsidR="00341D04" w:rsidRPr="006B4B3E" w:rsidRDefault="00341D04" w:rsidP="006B4B3E">
            <w:pPr>
              <w:jc w:val="both"/>
              <w:rPr>
                <w:sz w:val="20"/>
                <w:lang w:val="fr-CA"/>
              </w:rPr>
            </w:pPr>
            <w:r w:rsidRPr="006B4B3E">
              <w:rPr>
                <w:rStyle w:val="Hyperlink"/>
                <w:sz w:val="20"/>
                <w:lang w:val="fr-CA"/>
              </w:rPr>
              <w:t xml:space="preserve">2020 ONSC 20 </w:t>
            </w:r>
          </w:p>
          <w:p w:rsidR="00341D04" w:rsidRPr="006B4B3E" w:rsidRDefault="00341D04" w:rsidP="006B4B3E">
            <w:pPr>
              <w:jc w:val="both"/>
              <w:rPr>
                <w:sz w:val="20"/>
                <w:lang w:val="fr-CA"/>
              </w:rPr>
            </w:pP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 xml:space="preserve">L’action en dommages-intérêts est rejetée. </w:t>
            </w:r>
          </w:p>
          <w:p w:rsidR="00341D04" w:rsidRPr="006B4B3E" w:rsidRDefault="00341D04" w:rsidP="006B4B3E">
            <w:pPr>
              <w:jc w:val="both"/>
              <w:rPr>
                <w:sz w:val="20"/>
                <w:lang w:val="fr-CA"/>
              </w:rPr>
            </w:pPr>
          </w:p>
        </w:tc>
      </w:tr>
      <w:tr w:rsidR="00341D04" w:rsidRPr="006B4B3E" w:rsidTr="00A144CA">
        <w:tc>
          <w:tcPr>
            <w:tcW w:w="2427" w:type="pct"/>
            <w:gridSpan w:val="2"/>
          </w:tcPr>
          <w:p w:rsidR="00341D04" w:rsidRPr="006B4B3E" w:rsidRDefault="00341D04" w:rsidP="006B4B3E">
            <w:pPr>
              <w:jc w:val="both"/>
              <w:rPr>
                <w:sz w:val="20"/>
                <w:lang w:val="fr-CA"/>
              </w:rPr>
            </w:pPr>
            <w:r w:rsidRPr="006B4B3E">
              <w:rPr>
                <w:sz w:val="20"/>
                <w:lang w:val="fr-CA"/>
              </w:rPr>
              <w:t>23 novembre 2020 (décision rendue oralement)</w:t>
            </w:r>
          </w:p>
          <w:p w:rsidR="00341D04" w:rsidRPr="006B4B3E" w:rsidRDefault="00341D04" w:rsidP="006B4B3E">
            <w:pPr>
              <w:jc w:val="both"/>
              <w:rPr>
                <w:sz w:val="20"/>
                <w:lang w:val="fr-CA"/>
              </w:rPr>
            </w:pPr>
            <w:r w:rsidRPr="006B4B3E">
              <w:rPr>
                <w:sz w:val="20"/>
                <w:lang w:val="fr-CA"/>
              </w:rPr>
              <w:t>(motifs écrits publiés le 2 décembre 2020)</w:t>
            </w:r>
          </w:p>
          <w:p w:rsidR="00341D04" w:rsidRPr="006B4B3E" w:rsidRDefault="00341D04" w:rsidP="006B4B3E">
            <w:pPr>
              <w:jc w:val="both"/>
              <w:rPr>
                <w:sz w:val="20"/>
                <w:lang w:val="fr-CA"/>
              </w:rPr>
            </w:pPr>
            <w:r w:rsidRPr="006B4B3E">
              <w:rPr>
                <w:sz w:val="20"/>
                <w:lang w:val="fr-CA"/>
              </w:rPr>
              <w:t>Cour d’appel de l’Ontario</w:t>
            </w:r>
          </w:p>
          <w:p w:rsidR="00341D04" w:rsidRPr="006B4B3E" w:rsidRDefault="00341D04" w:rsidP="006B4B3E">
            <w:pPr>
              <w:jc w:val="both"/>
              <w:rPr>
                <w:sz w:val="20"/>
                <w:lang w:val="fr-CA"/>
              </w:rPr>
            </w:pPr>
            <w:r w:rsidRPr="006B4B3E">
              <w:rPr>
                <w:sz w:val="20"/>
                <w:lang w:val="fr-CA"/>
              </w:rPr>
              <w:t>(juges Doherty, Roberts et Young)</w:t>
            </w:r>
          </w:p>
          <w:p w:rsidR="00341D04" w:rsidRPr="006B4B3E" w:rsidRDefault="00341D04" w:rsidP="006B4B3E">
            <w:pPr>
              <w:jc w:val="both"/>
              <w:rPr>
                <w:sz w:val="20"/>
                <w:lang w:val="fr-CA"/>
              </w:rPr>
            </w:pPr>
            <w:r w:rsidRPr="006B4B3E">
              <w:rPr>
                <w:rStyle w:val="Hyperlink"/>
                <w:sz w:val="20"/>
                <w:lang w:val="fr-CA"/>
              </w:rPr>
              <w:t xml:space="preserve">2020 ONCA 774 </w:t>
            </w:r>
          </w:p>
          <w:p w:rsidR="00341D04" w:rsidRPr="006B4B3E" w:rsidRDefault="00341D04" w:rsidP="006B4B3E">
            <w:pPr>
              <w:jc w:val="both"/>
              <w:rPr>
                <w:sz w:val="20"/>
                <w:lang w:val="fr-CA"/>
              </w:rPr>
            </w:pP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 xml:space="preserve">L’appel est rejeté. </w:t>
            </w:r>
          </w:p>
        </w:tc>
      </w:tr>
      <w:tr w:rsidR="00341D04" w:rsidRPr="008C0899" w:rsidTr="00A144CA">
        <w:tc>
          <w:tcPr>
            <w:tcW w:w="2427" w:type="pct"/>
            <w:gridSpan w:val="2"/>
          </w:tcPr>
          <w:p w:rsidR="00341D04" w:rsidRPr="006B4B3E" w:rsidRDefault="00341D04" w:rsidP="006B4B3E">
            <w:pPr>
              <w:jc w:val="both"/>
              <w:rPr>
                <w:sz w:val="20"/>
                <w:lang w:val="fr-CA"/>
              </w:rPr>
            </w:pPr>
            <w:r w:rsidRPr="006B4B3E">
              <w:rPr>
                <w:sz w:val="20"/>
                <w:lang w:val="fr-CA"/>
              </w:rPr>
              <w:t>21 janvier 2021</w:t>
            </w:r>
          </w:p>
          <w:p w:rsidR="00341D04" w:rsidRPr="006B4B3E" w:rsidRDefault="00341D04" w:rsidP="006B4B3E">
            <w:pPr>
              <w:jc w:val="both"/>
              <w:rPr>
                <w:sz w:val="20"/>
                <w:lang w:val="fr-CA"/>
              </w:rPr>
            </w:pPr>
            <w:r w:rsidRPr="006B4B3E">
              <w:rPr>
                <w:sz w:val="20"/>
                <w:lang w:val="fr-CA"/>
              </w:rPr>
              <w:t>Cour suprême du Canada</w:t>
            </w: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La demande d’autorisation d’appel est présentée.</w:t>
            </w:r>
          </w:p>
          <w:p w:rsidR="00341D04" w:rsidRPr="006B4B3E" w:rsidRDefault="00341D04" w:rsidP="006B4B3E">
            <w:pPr>
              <w:jc w:val="both"/>
              <w:rPr>
                <w:sz w:val="20"/>
                <w:lang w:val="fr-CA"/>
              </w:rPr>
            </w:pPr>
          </w:p>
        </w:tc>
      </w:tr>
    </w:tbl>
    <w:p w:rsidR="00341D04" w:rsidRPr="006B4B3E" w:rsidRDefault="00341D04" w:rsidP="006B4B3E">
      <w:pPr>
        <w:jc w:val="both"/>
        <w:rPr>
          <w:sz w:val="20"/>
          <w:lang w:val="fr-CA"/>
        </w:rPr>
      </w:pPr>
    </w:p>
    <w:p w:rsidR="00DF2FFE" w:rsidRPr="006B4B3E" w:rsidRDefault="008C0899" w:rsidP="006B4B3E">
      <w:pPr>
        <w:widowControl w:val="0"/>
        <w:jc w:val="both"/>
        <w:rPr>
          <w:sz w:val="20"/>
          <w:lang w:val="fr-CA"/>
        </w:rPr>
      </w:pPr>
      <w:r>
        <w:rPr>
          <w:sz w:val="20"/>
        </w:rPr>
        <w:pict>
          <v:rect id="_x0000_i1030" style="width:2in;height:1pt" o:hrpct="0" o:hralign="center" o:hrstd="t" o:hrnoshade="t" o:hr="t" fillcolor="black [3213]" stroked="f"/>
        </w:pict>
      </w:r>
    </w:p>
    <w:p w:rsidR="00DF2FFE" w:rsidRPr="006B4B3E" w:rsidRDefault="00DF2FFE" w:rsidP="006B4B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6B4B3E" w:rsidTr="00A144CA">
        <w:tc>
          <w:tcPr>
            <w:tcW w:w="543" w:type="pct"/>
          </w:tcPr>
          <w:p w:rsidR="00341D04" w:rsidRPr="006B4B3E" w:rsidRDefault="00341D04" w:rsidP="006B4B3E">
            <w:pPr>
              <w:jc w:val="both"/>
              <w:rPr>
                <w:sz w:val="20"/>
                <w:lang w:val="en-CA"/>
              </w:rPr>
            </w:pPr>
            <w:r w:rsidRPr="006B4B3E">
              <w:rPr>
                <w:rStyle w:val="SCCFileNumberChar"/>
                <w:sz w:val="20"/>
                <w:szCs w:val="20"/>
              </w:rPr>
              <w:t>39581</w:t>
            </w:r>
          </w:p>
        </w:tc>
        <w:tc>
          <w:tcPr>
            <w:tcW w:w="4457" w:type="pct"/>
            <w:gridSpan w:val="3"/>
          </w:tcPr>
          <w:p w:rsidR="00341D04" w:rsidRPr="006B4B3E" w:rsidRDefault="00341D04" w:rsidP="006B4B3E">
            <w:pPr>
              <w:pStyle w:val="SCCLsocParty"/>
              <w:jc w:val="both"/>
              <w:rPr>
                <w:b/>
                <w:sz w:val="20"/>
                <w:szCs w:val="20"/>
              </w:rPr>
            </w:pPr>
            <w:r w:rsidRPr="006B4B3E">
              <w:rPr>
                <w:b/>
                <w:sz w:val="20"/>
                <w:szCs w:val="20"/>
              </w:rPr>
              <w:t>Fédération des médecins spécialistes du Québec, Fédération des médecins omnipraticiens du Québec, Association québecoise des pharmaciens propriétaires, Association des chirurgiens-dentistes du Québec, Association des optométristes du Québec v. Attorney General of Quebec</w:t>
            </w:r>
          </w:p>
          <w:p w:rsidR="00341D04" w:rsidRPr="006B4B3E" w:rsidRDefault="00341D04" w:rsidP="006B4B3E">
            <w:pPr>
              <w:pStyle w:val="SCCLsocOtherPartySeparator"/>
              <w:rPr>
                <w:sz w:val="20"/>
                <w:szCs w:val="20"/>
              </w:rPr>
            </w:pPr>
            <w:r w:rsidRPr="006B4B3E">
              <w:rPr>
                <w:sz w:val="20"/>
                <w:szCs w:val="20"/>
              </w:rPr>
              <w:t>- and -</w:t>
            </w:r>
          </w:p>
          <w:p w:rsidR="00341D04" w:rsidRPr="006B4B3E" w:rsidRDefault="00341D04" w:rsidP="006B4B3E">
            <w:pPr>
              <w:pStyle w:val="SCCLsocParty"/>
              <w:jc w:val="both"/>
              <w:rPr>
                <w:b/>
                <w:sz w:val="20"/>
                <w:szCs w:val="20"/>
              </w:rPr>
            </w:pPr>
            <w:r w:rsidRPr="006B4B3E">
              <w:rPr>
                <w:b/>
                <w:sz w:val="20"/>
                <w:szCs w:val="20"/>
              </w:rPr>
              <w:t>Régie de l’assurance maladie du Québec</w:t>
            </w:r>
          </w:p>
          <w:p w:rsidR="00341D04" w:rsidRPr="006B4B3E" w:rsidRDefault="00341D04" w:rsidP="006B4B3E">
            <w:pPr>
              <w:jc w:val="both"/>
              <w:rPr>
                <w:sz w:val="20"/>
                <w:lang w:val="en-CA"/>
              </w:rPr>
            </w:pPr>
            <w:r w:rsidRPr="006B4B3E">
              <w:rPr>
                <w:sz w:val="20"/>
                <w:lang w:val="en-CA"/>
              </w:rPr>
              <w:t>(Que.) (Civil) (By Leave)</w:t>
            </w:r>
          </w:p>
        </w:tc>
      </w:tr>
      <w:tr w:rsidR="00341D04" w:rsidRPr="006B4B3E" w:rsidTr="00A144CA">
        <w:tc>
          <w:tcPr>
            <w:tcW w:w="5000" w:type="pct"/>
            <w:gridSpan w:val="4"/>
          </w:tcPr>
          <w:p w:rsidR="00341D04" w:rsidRPr="006B4B3E" w:rsidRDefault="00341D04" w:rsidP="006B4B3E">
            <w:pPr>
              <w:jc w:val="both"/>
              <w:rPr>
                <w:sz w:val="20"/>
                <w:lang w:val="en-CA"/>
              </w:rPr>
            </w:pPr>
            <w:proofErr w:type="gramStart"/>
            <w:r w:rsidRPr="006B4B3E">
              <w:rPr>
                <w:sz w:val="20"/>
                <w:lang w:val="en-CA"/>
              </w:rPr>
              <w:t xml:space="preserve">Civil procedure — Objections — Public interest immunity — Disclosure of documents — Minister’s memorandum to Cabinet — Whether memorandum to Cabinet describing objectives of legislative amendment is relevant in litigation concerning constitutional validity of that amendment — Whether government can rely on public interest immunity to object to disclosure of such memorandum where legislative amendment was passed by legislature and memorandum is only extrinsic evidence available for purposes of constitutional challenge — </w:t>
            </w:r>
            <w:r w:rsidRPr="006B4B3E">
              <w:rPr>
                <w:i/>
                <w:sz w:val="20"/>
                <w:lang w:val="en-CA"/>
              </w:rPr>
              <w:t>Code of Civil Procedure</w:t>
            </w:r>
            <w:r w:rsidRPr="006B4B3E">
              <w:rPr>
                <w:sz w:val="20"/>
                <w:lang w:val="en-CA"/>
              </w:rPr>
              <w:t>, CQLR, c. C</w:t>
            </w:r>
            <w:r w:rsidRPr="006B4B3E">
              <w:rPr>
                <w:sz w:val="20"/>
                <w:lang w:val="en-CA"/>
              </w:rPr>
              <w:noBreakHyphen/>
              <w:t>25.01, art. </w:t>
            </w:r>
            <w:proofErr w:type="gramEnd"/>
            <w:r w:rsidRPr="006B4B3E">
              <w:rPr>
                <w:sz w:val="20"/>
                <w:lang w:val="en-CA"/>
              </w:rPr>
              <w:t>283.</w:t>
            </w:r>
          </w:p>
        </w:tc>
      </w:tr>
      <w:tr w:rsidR="00341D04" w:rsidRPr="006B4B3E" w:rsidTr="00A144CA">
        <w:tc>
          <w:tcPr>
            <w:tcW w:w="5000" w:type="pct"/>
            <w:gridSpan w:val="4"/>
          </w:tcPr>
          <w:p w:rsidR="00341D04" w:rsidRPr="006B4B3E" w:rsidRDefault="00341D04" w:rsidP="006B4B3E">
            <w:pPr>
              <w:jc w:val="both"/>
              <w:rPr>
                <w:sz w:val="20"/>
                <w:lang w:val="en-CA"/>
              </w:rPr>
            </w:pPr>
          </w:p>
        </w:tc>
      </w:tr>
      <w:tr w:rsidR="00341D04" w:rsidRPr="006B4B3E" w:rsidTr="00A144CA">
        <w:tc>
          <w:tcPr>
            <w:tcW w:w="5000" w:type="pct"/>
            <w:gridSpan w:val="4"/>
          </w:tcPr>
          <w:p w:rsidR="00341D04" w:rsidRPr="006B4B3E" w:rsidRDefault="00341D04" w:rsidP="006B4B3E">
            <w:pPr>
              <w:jc w:val="both"/>
              <w:rPr>
                <w:sz w:val="20"/>
                <w:lang w:val="en-CA"/>
              </w:rPr>
            </w:pPr>
            <w:r w:rsidRPr="006B4B3E">
              <w:rPr>
                <w:sz w:val="20"/>
                <w:lang w:val="en-CA"/>
              </w:rPr>
              <w:t xml:space="preserve">In January 2019, the applicant the Fédération des médecins spécialistes du Québec (FMSQ) applied to the Superior Court for a declaration that s. 22.6 of the </w:t>
            </w:r>
            <w:r w:rsidRPr="006B4B3E">
              <w:rPr>
                <w:i/>
                <w:sz w:val="20"/>
                <w:lang w:val="en-CA"/>
              </w:rPr>
              <w:t>Health Insurance Act</w:t>
            </w:r>
            <w:r w:rsidRPr="006B4B3E">
              <w:rPr>
                <w:sz w:val="20"/>
                <w:lang w:val="en-CA"/>
              </w:rPr>
              <w:t>,</w:t>
            </w:r>
            <w:r w:rsidRPr="006B4B3E">
              <w:rPr>
                <w:i/>
                <w:sz w:val="20"/>
                <w:lang w:val="en-CA"/>
              </w:rPr>
              <w:t xml:space="preserve"> </w:t>
            </w:r>
            <w:r w:rsidRPr="006B4B3E">
              <w:rPr>
                <w:sz w:val="20"/>
                <w:lang w:val="en-CA"/>
              </w:rPr>
              <w:t>CQLR, c. A</w:t>
            </w:r>
            <w:r w:rsidRPr="006B4B3E">
              <w:rPr>
                <w:sz w:val="20"/>
                <w:lang w:val="en-CA"/>
              </w:rPr>
              <w:noBreakHyphen/>
              <w:t xml:space="preserve">29 (HIA), is invalid. According to the FMSQ, the interpretation proposed by the intervener the Régie de l’assurance maladie du Québec (RAMQ) would have the effect of infringing the rights of members protected by s. 4 (protection of reputation) and s. 5 (protection of private life) of the </w:t>
            </w:r>
            <w:r w:rsidRPr="006B4B3E">
              <w:rPr>
                <w:i/>
                <w:sz w:val="20"/>
                <w:lang w:val="en-CA"/>
              </w:rPr>
              <w:t>Charter of human rights and freedoms</w:t>
            </w:r>
            <w:r w:rsidRPr="006B4B3E">
              <w:rPr>
                <w:sz w:val="20"/>
                <w:lang w:val="en-CA"/>
              </w:rPr>
              <w:t>, CQLR, c. C</w:t>
            </w:r>
            <w:r w:rsidRPr="006B4B3E">
              <w:rPr>
                <w:sz w:val="20"/>
                <w:lang w:val="en-CA"/>
              </w:rPr>
              <w:noBreakHyphen/>
              <w:t xml:space="preserve">12. The FMSQ argued that that provision authorizes the RAMQ to make public some of its decisions that are private because of the rules protecting personal information. </w:t>
            </w:r>
            <w:proofErr w:type="gramStart"/>
            <w:r w:rsidRPr="006B4B3E">
              <w:rPr>
                <w:sz w:val="20"/>
                <w:lang w:val="en-CA"/>
              </w:rPr>
              <w:t>In July 2019, the applicant and the Association québécoise des pharmaciens propriétaires, the Association des chirurgiens</w:t>
            </w:r>
            <w:r w:rsidRPr="006B4B3E">
              <w:rPr>
                <w:sz w:val="20"/>
                <w:lang w:val="en-CA"/>
              </w:rPr>
              <w:noBreakHyphen/>
              <w:t>dentistes du Québec, the Association des optométristes du Québec and the Fédération des médecins omnipraticiens du Québec, which intervened at trial and are now applicants, sent the respondent, the Attorney General of Quebec (AGQ), and the intervener, the RAMQ, a joint request for documents to prepare for the pre</w:t>
            </w:r>
            <w:r w:rsidRPr="006B4B3E">
              <w:rPr>
                <w:sz w:val="20"/>
                <w:lang w:val="en-CA"/>
              </w:rPr>
              <w:noBreakHyphen/>
              <w:t>trial examinations.</w:t>
            </w:r>
            <w:proofErr w:type="gramEnd"/>
            <w:r w:rsidRPr="006B4B3E">
              <w:rPr>
                <w:sz w:val="20"/>
                <w:lang w:val="en-CA"/>
              </w:rPr>
              <w:t xml:space="preserve"> In August 2019, the AGQ refused to provide certain documents, relying on public interest immunity. In response to the requests, the AGQ filed affidavits in accordance with art. 283 of the </w:t>
            </w:r>
            <w:r w:rsidRPr="006B4B3E">
              <w:rPr>
                <w:i/>
                <w:sz w:val="20"/>
                <w:lang w:val="en-CA"/>
              </w:rPr>
              <w:t>Code of Civil Procedure</w:t>
            </w:r>
            <w:r w:rsidRPr="006B4B3E">
              <w:rPr>
                <w:sz w:val="20"/>
                <w:lang w:val="en-CA"/>
              </w:rPr>
              <w:t xml:space="preserve"> to set out the public interest reasons to </w:t>
            </w:r>
            <w:proofErr w:type="gramStart"/>
            <w:r w:rsidRPr="006B4B3E">
              <w:rPr>
                <w:sz w:val="20"/>
                <w:lang w:val="en-CA"/>
              </w:rPr>
              <w:t>be considered</w:t>
            </w:r>
            <w:proofErr w:type="gramEnd"/>
            <w:r w:rsidRPr="006B4B3E">
              <w:rPr>
                <w:sz w:val="20"/>
                <w:lang w:val="en-CA"/>
              </w:rPr>
              <w:t xml:space="preserve"> by the Superior Court. The Superior Court upheld the AGQ’s objections in part and ordered the AGQ to disclose certain excerpts from a memorandum to Cabinet by the responsible minister and from the summary of that memorandum. The Court of Appeal allowed the appeal. </w:t>
            </w:r>
          </w:p>
          <w:p w:rsidR="00341D04" w:rsidRPr="006B4B3E" w:rsidRDefault="00341D04" w:rsidP="006B4B3E">
            <w:pPr>
              <w:jc w:val="both"/>
              <w:rPr>
                <w:sz w:val="20"/>
                <w:lang w:val="en-CA"/>
              </w:rPr>
            </w:pPr>
          </w:p>
        </w:tc>
      </w:tr>
      <w:tr w:rsidR="00341D04" w:rsidRPr="006B4B3E" w:rsidTr="00A144CA">
        <w:tc>
          <w:tcPr>
            <w:tcW w:w="2427" w:type="pct"/>
            <w:gridSpan w:val="2"/>
          </w:tcPr>
          <w:p w:rsidR="00341D04" w:rsidRPr="006B4B3E" w:rsidRDefault="00341D04" w:rsidP="006B4B3E">
            <w:pPr>
              <w:jc w:val="both"/>
              <w:rPr>
                <w:sz w:val="20"/>
                <w:lang w:val="en-CA"/>
              </w:rPr>
            </w:pPr>
            <w:r w:rsidRPr="006B4B3E">
              <w:rPr>
                <w:sz w:val="20"/>
                <w:lang w:val="en-CA"/>
              </w:rPr>
              <w:t>May 5, 2020</w:t>
            </w:r>
          </w:p>
          <w:p w:rsidR="00341D04" w:rsidRPr="006B4B3E" w:rsidRDefault="00341D04" w:rsidP="006B4B3E">
            <w:pPr>
              <w:jc w:val="both"/>
              <w:rPr>
                <w:sz w:val="20"/>
                <w:lang w:val="en-CA"/>
              </w:rPr>
            </w:pPr>
            <w:r w:rsidRPr="006B4B3E">
              <w:rPr>
                <w:sz w:val="20"/>
                <w:lang w:val="en-CA"/>
              </w:rPr>
              <w:t>Quebec Superior Court</w:t>
            </w:r>
          </w:p>
          <w:p w:rsidR="00341D04" w:rsidRPr="006B4B3E" w:rsidRDefault="00341D04" w:rsidP="006B4B3E">
            <w:pPr>
              <w:jc w:val="both"/>
              <w:rPr>
                <w:sz w:val="20"/>
                <w:lang w:val="en-CA"/>
              </w:rPr>
            </w:pPr>
            <w:r w:rsidRPr="006B4B3E">
              <w:rPr>
                <w:sz w:val="20"/>
                <w:lang w:val="en-CA"/>
              </w:rPr>
              <w:t>(Hardy J.)</w:t>
            </w:r>
          </w:p>
          <w:p w:rsidR="00341D04" w:rsidRPr="006B4B3E" w:rsidRDefault="008C0899" w:rsidP="006B4B3E">
            <w:pPr>
              <w:jc w:val="both"/>
              <w:rPr>
                <w:sz w:val="20"/>
                <w:lang w:val="en-CA"/>
              </w:rPr>
            </w:pPr>
            <w:hyperlink r:id="rId17" w:history="1">
              <w:r w:rsidR="00341D04" w:rsidRPr="006B4B3E">
                <w:rPr>
                  <w:rStyle w:val="Hyperlink"/>
                  <w:sz w:val="20"/>
                  <w:lang w:val="en-CA"/>
                </w:rPr>
                <w:t>2020 QCCS 1447</w:t>
              </w:r>
            </w:hyperlink>
          </w:p>
          <w:p w:rsidR="00341D04" w:rsidRPr="006B4B3E" w:rsidRDefault="00341D04" w:rsidP="006B4B3E">
            <w:pPr>
              <w:jc w:val="both"/>
              <w:rPr>
                <w:sz w:val="20"/>
                <w:lang w:val="en-CA"/>
              </w:rPr>
            </w:pPr>
          </w:p>
        </w:tc>
        <w:tc>
          <w:tcPr>
            <w:tcW w:w="243" w:type="pct"/>
          </w:tcPr>
          <w:p w:rsidR="00341D04" w:rsidRPr="006B4B3E" w:rsidRDefault="00341D04" w:rsidP="006B4B3E">
            <w:pPr>
              <w:jc w:val="both"/>
              <w:rPr>
                <w:sz w:val="20"/>
                <w:lang w:val="en-CA"/>
              </w:rPr>
            </w:pPr>
          </w:p>
        </w:tc>
        <w:tc>
          <w:tcPr>
            <w:tcW w:w="2330" w:type="pct"/>
          </w:tcPr>
          <w:p w:rsidR="00341D04" w:rsidRPr="006B4B3E" w:rsidRDefault="00341D04" w:rsidP="006B4B3E">
            <w:pPr>
              <w:jc w:val="both"/>
              <w:rPr>
                <w:sz w:val="20"/>
                <w:lang w:val="en-CA"/>
              </w:rPr>
            </w:pPr>
            <w:r w:rsidRPr="006B4B3E">
              <w:rPr>
                <w:sz w:val="20"/>
                <w:lang w:val="en-CA"/>
              </w:rPr>
              <w:t xml:space="preserve">Objection of Attorney General of Quebec to disclosure of documents upheld in part  </w:t>
            </w:r>
          </w:p>
          <w:p w:rsidR="00341D04" w:rsidRPr="006B4B3E" w:rsidRDefault="00341D04" w:rsidP="006B4B3E">
            <w:pPr>
              <w:jc w:val="both"/>
              <w:rPr>
                <w:sz w:val="20"/>
                <w:lang w:val="en-CA"/>
              </w:rPr>
            </w:pPr>
          </w:p>
        </w:tc>
      </w:tr>
      <w:tr w:rsidR="00341D04" w:rsidRPr="006B4B3E" w:rsidTr="00A144CA">
        <w:tc>
          <w:tcPr>
            <w:tcW w:w="2427" w:type="pct"/>
            <w:gridSpan w:val="2"/>
          </w:tcPr>
          <w:p w:rsidR="00341D04" w:rsidRPr="006B4B3E" w:rsidRDefault="00341D04" w:rsidP="006B4B3E">
            <w:pPr>
              <w:jc w:val="both"/>
              <w:rPr>
                <w:sz w:val="20"/>
                <w:lang w:val="en-CA"/>
              </w:rPr>
            </w:pPr>
            <w:r w:rsidRPr="006B4B3E">
              <w:rPr>
                <w:sz w:val="20"/>
                <w:lang w:val="en-CA"/>
              </w:rPr>
              <w:t>December 21, 2020</w:t>
            </w:r>
          </w:p>
          <w:p w:rsidR="00341D04" w:rsidRPr="006B4B3E" w:rsidRDefault="00341D04" w:rsidP="006B4B3E">
            <w:pPr>
              <w:jc w:val="both"/>
              <w:rPr>
                <w:sz w:val="20"/>
                <w:lang w:val="en-CA"/>
              </w:rPr>
            </w:pPr>
            <w:r w:rsidRPr="006B4B3E">
              <w:rPr>
                <w:sz w:val="20"/>
                <w:lang w:val="en-CA"/>
              </w:rPr>
              <w:t>Quebec Court of Appeal (Québec)</w:t>
            </w:r>
          </w:p>
          <w:p w:rsidR="00341D04" w:rsidRPr="006B4B3E" w:rsidRDefault="00341D04" w:rsidP="006B4B3E">
            <w:pPr>
              <w:jc w:val="both"/>
              <w:rPr>
                <w:sz w:val="20"/>
                <w:lang w:val="en-CA"/>
              </w:rPr>
            </w:pPr>
            <w:r w:rsidRPr="006B4B3E">
              <w:rPr>
                <w:sz w:val="20"/>
                <w:lang w:val="en-CA"/>
              </w:rPr>
              <w:t>(Doyon, Hogue and Rancourt JJ.A.)</w:t>
            </w:r>
          </w:p>
          <w:p w:rsidR="00341D04" w:rsidRPr="006B4B3E" w:rsidRDefault="008C0899" w:rsidP="006B4B3E">
            <w:pPr>
              <w:jc w:val="both"/>
              <w:rPr>
                <w:sz w:val="20"/>
                <w:lang w:val="en-CA"/>
              </w:rPr>
            </w:pPr>
            <w:hyperlink r:id="rId18" w:history="1">
              <w:r w:rsidR="00341D04" w:rsidRPr="006B4B3E">
                <w:rPr>
                  <w:rStyle w:val="Hyperlink"/>
                  <w:sz w:val="20"/>
                  <w:lang w:val="en-CA"/>
                </w:rPr>
                <w:t>2020 QCCA 1770</w:t>
              </w:r>
            </w:hyperlink>
          </w:p>
          <w:p w:rsidR="00341D04" w:rsidRPr="006B4B3E" w:rsidRDefault="00341D04" w:rsidP="006B4B3E">
            <w:pPr>
              <w:jc w:val="both"/>
              <w:rPr>
                <w:sz w:val="20"/>
                <w:lang w:val="en-CA"/>
              </w:rPr>
            </w:pPr>
          </w:p>
        </w:tc>
        <w:tc>
          <w:tcPr>
            <w:tcW w:w="243" w:type="pct"/>
          </w:tcPr>
          <w:p w:rsidR="00341D04" w:rsidRPr="006B4B3E" w:rsidRDefault="00341D04" w:rsidP="006B4B3E">
            <w:pPr>
              <w:jc w:val="both"/>
              <w:rPr>
                <w:sz w:val="20"/>
                <w:lang w:val="en-CA"/>
              </w:rPr>
            </w:pPr>
          </w:p>
        </w:tc>
        <w:tc>
          <w:tcPr>
            <w:tcW w:w="2330" w:type="pct"/>
          </w:tcPr>
          <w:p w:rsidR="00341D04" w:rsidRPr="006B4B3E" w:rsidRDefault="00341D04" w:rsidP="006B4B3E">
            <w:pPr>
              <w:jc w:val="both"/>
              <w:rPr>
                <w:sz w:val="20"/>
                <w:lang w:val="en-CA"/>
              </w:rPr>
            </w:pPr>
            <w:r w:rsidRPr="006B4B3E">
              <w:rPr>
                <w:sz w:val="20"/>
                <w:lang w:val="en-CA"/>
              </w:rPr>
              <w:t xml:space="preserve">Appeal allowed </w:t>
            </w:r>
          </w:p>
          <w:p w:rsidR="00341D04" w:rsidRPr="006B4B3E" w:rsidRDefault="00341D04" w:rsidP="006B4B3E">
            <w:pPr>
              <w:jc w:val="both"/>
              <w:rPr>
                <w:sz w:val="20"/>
                <w:lang w:val="en-CA"/>
              </w:rPr>
            </w:pPr>
          </w:p>
        </w:tc>
      </w:tr>
      <w:tr w:rsidR="00341D04" w:rsidRPr="006B4B3E" w:rsidTr="00A144CA">
        <w:tc>
          <w:tcPr>
            <w:tcW w:w="2427" w:type="pct"/>
            <w:gridSpan w:val="2"/>
          </w:tcPr>
          <w:p w:rsidR="00341D04" w:rsidRPr="006B4B3E" w:rsidRDefault="00341D04" w:rsidP="006B4B3E">
            <w:pPr>
              <w:jc w:val="both"/>
              <w:rPr>
                <w:sz w:val="20"/>
                <w:lang w:val="en-CA"/>
              </w:rPr>
            </w:pPr>
            <w:r w:rsidRPr="006B4B3E">
              <w:rPr>
                <w:sz w:val="20"/>
                <w:lang w:val="en-CA"/>
              </w:rPr>
              <w:t>February 18, 2021</w:t>
            </w:r>
          </w:p>
          <w:p w:rsidR="00341D04" w:rsidRPr="006B4B3E" w:rsidRDefault="00341D04" w:rsidP="006B4B3E">
            <w:pPr>
              <w:jc w:val="both"/>
              <w:rPr>
                <w:sz w:val="20"/>
                <w:lang w:val="en-CA"/>
              </w:rPr>
            </w:pPr>
            <w:r w:rsidRPr="006B4B3E">
              <w:rPr>
                <w:sz w:val="20"/>
                <w:lang w:val="en-CA"/>
              </w:rPr>
              <w:t>Supreme Court of Canada</w:t>
            </w:r>
          </w:p>
        </w:tc>
        <w:tc>
          <w:tcPr>
            <w:tcW w:w="243" w:type="pct"/>
          </w:tcPr>
          <w:p w:rsidR="00341D04" w:rsidRPr="006B4B3E" w:rsidRDefault="00341D04" w:rsidP="006B4B3E">
            <w:pPr>
              <w:jc w:val="both"/>
              <w:rPr>
                <w:sz w:val="20"/>
                <w:lang w:val="en-CA"/>
              </w:rPr>
            </w:pPr>
          </w:p>
        </w:tc>
        <w:tc>
          <w:tcPr>
            <w:tcW w:w="2330" w:type="pct"/>
          </w:tcPr>
          <w:p w:rsidR="00341D04" w:rsidRPr="006B4B3E" w:rsidRDefault="00341D04" w:rsidP="006B4B3E">
            <w:pPr>
              <w:jc w:val="both"/>
              <w:rPr>
                <w:sz w:val="20"/>
                <w:lang w:val="en-CA"/>
              </w:rPr>
            </w:pPr>
            <w:r w:rsidRPr="006B4B3E">
              <w:rPr>
                <w:sz w:val="20"/>
                <w:lang w:val="en-CA"/>
              </w:rPr>
              <w:t>Application for leave to appeal filed</w:t>
            </w:r>
          </w:p>
          <w:p w:rsidR="00341D04" w:rsidRPr="006B4B3E" w:rsidRDefault="00341D04" w:rsidP="006B4B3E">
            <w:pPr>
              <w:jc w:val="both"/>
              <w:rPr>
                <w:sz w:val="20"/>
                <w:lang w:val="en-CA"/>
              </w:rPr>
            </w:pPr>
          </w:p>
        </w:tc>
      </w:tr>
    </w:tbl>
    <w:p w:rsidR="00341D04" w:rsidRPr="006B4B3E" w:rsidRDefault="00341D04" w:rsidP="006B4B3E">
      <w:pPr>
        <w:jc w:val="both"/>
        <w:rPr>
          <w:sz w:val="20"/>
          <w:lang w:val="en-CA"/>
        </w:rPr>
      </w:pPr>
    </w:p>
    <w:p w:rsidR="00341D04" w:rsidRPr="006B4B3E" w:rsidRDefault="008C0899" w:rsidP="006B4B3E">
      <w:pPr>
        <w:jc w:val="both"/>
        <w:rPr>
          <w:sz w:val="20"/>
          <w:lang w:val="en-CA"/>
        </w:rPr>
      </w:pPr>
      <w:r>
        <w:rPr>
          <w:sz w:val="20"/>
        </w:rPr>
        <w:pict>
          <v:rect id="_x0000_i1031" style="width:2in;height:1pt" o:hrpct="0" o:hralign="center" o:hrstd="t" o:hrnoshade="t" o:hr="t" fillcolor="black [3213]" stroked="f"/>
        </w:pict>
      </w:r>
    </w:p>
    <w:p w:rsidR="00341D04" w:rsidRPr="006B4B3E" w:rsidRDefault="00341D04" w:rsidP="006B4B3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6B4B3E" w:rsidTr="00A144CA">
        <w:tc>
          <w:tcPr>
            <w:tcW w:w="543" w:type="pct"/>
          </w:tcPr>
          <w:p w:rsidR="00341D04" w:rsidRPr="006B4B3E" w:rsidRDefault="00341D04" w:rsidP="006B4B3E">
            <w:pPr>
              <w:jc w:val="both"/>
              <w:rPr>
                <w:sz w:val="20"/>
              </w:rPr>
            </w:pPr>
            <w:r w:rsidRPr="006B4B3E">
              <w:rPr>
                <w:rStyle w:val="SCCFileNumberChar"/>
                <w:sz w:val="20"/>
                <w:szCs w:val="20"/>
              </w:rPr>
              <w:t>39581</w:t>
            </w:r>
          </w:p>
        </w:tc>
        <w:tc>
          <w:tcPr>
            <w:tcW w:w="4457" w:type="pct"/>
            <w:gridSpan w:val="3"/>
          </w:tcPr>
          <w:p w:rsidR="00341D04" w:rsidRPr="006B4B3E" w:rsidRDefault="00341D04" w:rsidP="006B4B3E">
            <w:pPr>
              <w:pStyle w:val="SCCLsocParty"/>
              <w:jc w:val="both"/>
              <w:rPr>
                <w:b/>
                <w:sz w:val="20"/>
                <w:szCs w:val="20"/>
              </w:rPr>
            </w:pPr>
            <w:r w:rsidRPr="006B4B3E">
              <w:rPr>
                <w:b/>
                <w:sz w:val="20"/>
                <w:szCs w:val="20"/>
              </w:rPr>
              <w:t>Fédération des médecins spécialistes du Québec, Fédération des médecins omnipraticiens du Québec, Association québecoise des pharmaciens propriétaires, Association des chirurgiens-dentistes du Québec, Association des optométristes du Québec c. Procureur général du Québec</w:t>
            </w:r>
          </w:p>
          <w:p w:rsidR="00341D04" w:rsidRPr="006B4B3E" w:rsidRDefault="00341D04" w:rsidP="006B4B3E">
            <w:pPr>
              <w:pStyle w:val="SCCLsocOtherPartySeparator"/>
              <w:rPr>
                <w:sz w:val="20"/>
                <w:szCs w:val="20"/>
              </w:rPr>
            </w:pPr>
            <w:r w:rsidRPr="006B4B3E">
              <w:rPr>
                <w:sz w:val="20"/>
                <w:szCs w:val="20"/>
              </w:rPr>
              <w:t>- et -</w:t>
            </w:r>
          </w:p>
          <w:p w:rsidR="00341D04" w:rsidRPr="006B4B3E" w:rsidRDefault="00341D04" w:rsidP="006B4B3E">
            <w:pPr>
              <w:pStyle w:val="SCCLsocParty"/>
              <w:jc w:val="both"/>
              <w:rPr>
                <w:b/>
                <w:sz w:val="20"/>
                <w:szCs w:val="20"/>
              </w:rPr>
            </w:pPr>
            <w:r w:rsidRPr="006B4B3E">
              <w:rPr>
                <w:b/>
                <w:sz w:val="20"/>
                <w:szCs w:val="20"/>
              </w:rPr>
              <w:t>Régie de l'assurance maladie du Québec</w:t>
            </w:r>
          </w:p>
          <w:p w:rsidR="00341D04" w:rsidRPr="006B4B3E" w:rsidRDefault="00341D04" w:rsidP="006B4B3E">
            <w:pPr>
              <w:jc w:val="both"/>
              <w:rPr>
                <w:sz w:val="20"/>
              </w:rPr>
            </w:pPr>
            <w:r w:rsidRPr="006B4B3E">
              <w:rPr>
                <w:sz w:val="20"/>
              </w:rPr>
              <w:t>(Qc) (Civile) (Autorisation)</w:t>
            </w:r>
          </w:p>
        </w:tc>
      </w:tr>
      <w:tr w:rsidR="00341D04" w:rsidRPr="008C0899" w:rsidTr="00A144CA">
        <w:tc>
          <w:tcPr>
            <w:tcW w:w="5000" w:type="pct"/>
            <w:gridSpan w:val="4"/>
          </w:tcPr>
          <w:p w:rsidR="00341D04" w:rsidRPr="006B4B3E" w:rsidRDefault="00341D04" w:rsidP="006B4B3E">
            <w:pPr>
              <w:jc w:val="both"/>
              <w:rPr>
                <w:sz w:val="20"/>
                <w:lang w:val="fr-CA"/>
              </w:rPr>
            </w:pPr>
            <w:r w:rsidRPr="006B4B3E">
              <w:rPr>
                <w:sz w:val="20"/>
                <w:lang w:val="fr-CA"/>
              </w:rPr>
              <w:t>Procédure civile — Objections — Immunité d’intérêt public — Communication de documents — Mémoire du ministre au Conseil des ministres — Un mémoire au conseil des ministres qui décrit les objectifs d’un amendement législatif est</w:t>
            </w:r>
            <w:r w:rsidRPr="006B4B3E">
              <w:rPr>
                <w:sz w:val="20"/>
                <w:lang w:val="fr-CA"/>
              </w:rPr>
              <w:noBreakHyphen/>
              <w:t>il pertinent dans un litige portant sur la validité constitutionnelle de cet amendement? — Le gouvernement peut</w:t>
            </w:r>
            <w:r w:rsidRPr="006B4B3E">
              <w:rPr>
                <w:sz w:val="20"/>
                <w:lang w:val="fr-CA"/>
              </w:rPr>
              <w:noBreakHyphen/>
              <w:t xml:space="preserve">il </w:t>
            </w:r>
            <w:proofErr w:type="gramStart"/>
            <w:r w:rsidRPr="006B4B3E">
              <w:rPr>
                <w:sz w:val="20"/>
                <w:lang w:val="fr-CA"/>
              </w:rPr>
              <w:t>invoquer</w:t>
            </w:r>
            <w:proofErr w:type="gramEnd"/>
            <w:r w:rsidRPr="006B4B3E">
              <w:rPr>
                <w:sz w:val="20"/>
                <w:lang w:val="fr-CA"/>
              </w:rPr>
              <w:t xml:space="preserve"> l’immunité d’intérêt public afin de s’opposer à la communication d’un tel mémoire lorsque l’amendement législatif a été adopté par la législature et qu’il s’agit de l’unique élément de preuve extrinsèque disponible aux fins de contestation constitutionnelle? — </w:t>
            </w:r>
            <w:r w:rsidRPr="006B4B3E">
              <w:rPr>
                <w:i/>
                <w:sz w:val="20"/>
                <w:lang w:val="fr-CA"/>
              </w:rPr>
              <w:t>Code de procédure civile</w:t>
            </w:r>
            <w:r w:rsidRPr="006B4B3E">
              <w:rPr>
                <w:sz w:val="20"/>
                <w:lang w:val="fr-CA"/>
              </w:rPr>
              <w:t>, RLRQ, c. C</w:t>
            </w:r>
            <w:r w:rsidRPr="006B4B3E">
              <w:rPr>
                <w:sz w:val="20"/>
                <w:lang w:val="fr-CA"/>
              </w:rPr>
              <w:noBreakHyphen/>
              <w:t>25.01, art. 283.</w:t>
            </w:r>
          </w:p>
        </w:tc>
      </w:tr>
      <w:tr w:rsidR="00341D04" w:rsidRPr="008C0899" w:rsidTr="00A144CA">
        <w:tc>
          <w:tcPr>
            <w:tcW w:w="5000" w:type="pct"/>
            <w:gridSpan w:val="4"/>
          </w:tcPr>
          <w:p w:rsidR="00341D04" w:rsidRPr="006B4B3E" w:rsidRDefault="00341D04" w:rsidP="006B4B3E">
            <w:pPr>
              <w:jc w:val="both"/>
              <w:rPr>
                <w:sz w:val="20"/>
                <w:lang w:val="fr-CA"/>
              </w:rPr>
            </w:pPr>
          </w:p>
        </w:tc>
      </w:tr>
      <w:tr w:rsidR="00341D04" w:rsidRPr="006B4B3E" w:rsidTr="00A144CA">
        <w:tc>
          <w:tcPr>
            <w:tcW w:w="5000" w:type="pct"/>
            <w:gridSpan w:val="4"/>
          </w:tcPr>
          <w:p w:rsidR="00341D04" w:rsidRPr="006B4B3E" w:rsidRDefault="00341D04" w:rsidP="006B4B3E">
            <w:pPr>
              <w:jc w:val="both"/>
              <w:rPr>
                <w:sz w:val="20"/>
              </w:rPr>
            </w:pPr>
            <w:r w:rsidRPr="006B4B3E">
              <w:rPr>
                <w:sz w:val="20"/>
                <w:lang w:val="fr-CA"/>
              </w:rPr>
              <w:t xml:space="preserve">En janvier 2019, la demanderesse la Fédération des médecins spécialistes du Québec (FMSQ) a déposé une demande devant la Cour supérieure afin d’obtenir une déclaration d’invalidité à l’encontre de l’art. 22.6 de la </w:t>
            </w:r>
            <w:r w:rsidRPr="006B4B3E">
              <w:rPr>
                <w:i/>
                <w:sz w:val="20"/>
                <w:lang w:val="fr-CA"/>
              </w:rPr>
              <w:t>Loi sur l’assurance maladie</w:t>
            </w:r>
            <w:r w:rsidRPr="006B4B3E">
              <w:rPr>
                <w:sz w:val="20"/>
                <w:lang w:val="fr-CA"/>
              </w:rPr>
              <w:t>, RLRQ, c. A</w:t>
            </w:r>
            <w:r w:rsidRPr="006B4B3E">
              <w:rPr>
                <w:sz w:val="20"/>
                <w:lang w:val="fr-CA"/>
              </w:rPr>
              <w:noBreakHyphen/>
              <w:t xml:space="preserve">29 (LAM). Selon la FMSQ, l’interprétation préconisée par l’intervenante, la Régie de l’assurance maladie du Québec (RAMQ) aurait pour conséquence de violer les droits des membres protégés par les l’art. 4 (protection de la réputation) et 5 (protection de la vie privée) de la </w:t>
            </w:r>
            <w:r w:rsidRPr="006B4B3E">
              <w:rPr>
                <w:i/>
                <w:sz w:val="20"/>
                <w:lang w:val="fr-CA"/>
              </w:rPr>
              <w:t>Charte des droits et libertés de la personne</w:t>
            </w:r>
            <w:r w:rsidRPr="006B4B3E">
              <w:rPr>
                <w:sz w:val="20"/>
                <w:lang w:val="fr-CA"/>
              </w:rPr>
              <w:t>, RLRQ, c. C</w:t>
            </w:r>
            <w:r w:rsidRPr="006B4B3E">
              <w:rPr>
                <w:sz w:val="20"/>
                <w:lang w:val="fr-CA"/>
              </w:rPr>
              <w:noBreakHyphen/>
              <w:t>12. Le FMSQ prétend que cette disposition autoriserait la RAMQ à rendre publiques certaines de ses décisions qui ont un caractère privé en raison des règles de protection des renseignements personnels. En juillet 2019, la demanderesse ainsi que l’Association québécoise des pharmaciens propriétaires, l’Association des chirurgiens</w:t>
            </w:r>
            <w:r w:rsidRPr="006B4B3E">
              <w:rPr>
                <w:sz w:val="20"/>
                <w:lang w:val="fr-CA"/>
              </w:rPr>
              <w:noBreakHyphen/>
              <w:t xml:space="preserve">dentistes du Québec, l’Association des optométristes du Québec et la Fédération des médecins omnipraticiens du Québec, intervenantes en première instance et maintenant demanderesses, ont transmis une demande conjointe à l’intimé, le procureur général du Québec (PGQ) et à l’intervenante, la RAMQ afin d’obtenir des documents en vue de la préparation des interrogatoires préalables à l’instruction. En août 2019, le PGQ a refusé de fournir certains documents en invoquant l’immunité d’intérêt public. Comme suite à ces demandes, le procureur général du Québec a déposé les déclarations sous serment conformément à l’art. 283 du </w:t>
            </w:r>
            <w:r w:rsidRPr="006B4B3E">
              <w:rPr>
                <w:i/>
                <w:sz w:val="20"/>
                <w:lang w:val="fr-CA"/>
              </w:rPr>
              <w:t>Code de procédure civile</w:t>
            </w:r>
            <w:r w:rsidRPr="006B4B3E">
              <w:rPr>
                <w:sz w:val="20"/>
                <w:lang w:val="fr-CA"/>
              </w:rPr>
              <w:t xml:space="preserve">, afin d’exposer les motifs d’intérêt public qui seront soumis à l’appréciation du tribunal. La Cour supérieure a maintenu en partie les objections de la PGQ et elle a ordonné à la PGQ de communiquer certains extraits d’un mémoire du ministre responsable remis au Conseil des ministres et de son sommaire. </w:t>
            </w:r>
            <w:r w:rsidRPr="006B4B3E">
              <w:rPr>
                <w:sz w:val="20"/>
              </w:rPr>
              <w:t xml:space="preserve">La Cour d’appel </w:t>
            </w:r>
            <w:proofErr w:type="gramStart"/>
            <w:r w:rsidRPr="006B4B3E">
              <w:rPr>
                <w:sz w:val="20"/>
              </w:rPr>
              <w:t>a</w:t>
            </w:r>
            <w:proofErr w:type="gramEnd"/>
            <w:r w:rsidRPr="006B4B3E">
              <w:rPr>
                <w:sz w:val="20"/>
              </w:rPr>
              <w:t xml:space="preserve"> accueilli l’appel. </w:t>
            </w:r>
          </w:p>
          <w:p w:rsidR="00341D04" w:rsidRPr="006B4B3E" w:rsidRDefault="00341D04" w:rsidP="006B4B3E">
            <w:pPr>
              <w:jc w:val="both"/>
              <w:rPr>
                <w:sz w:val="20"/>
              </w:rPr>
            </w:pPr>
          </w:p>
        </w:tc>
      </w:tr>
      <w:tr w:rsidR="00341D04" w:rsidRPr="008C0899" w:rsidTr="00A144CA">
        <w:tc>
          <w:tcPr>
            <w:tcW w:w="2427" w:type="pct"/>
            <w:gridSpan w:val="2"/>
          </w:tcPr>
          <w:p w:rsidR="00341D04" w:rsidRPr="006B4B3E" w:rsidRDefault="00341D04" w:rsidP="006B4B3E">
            <w:pPr>
              <w:jc w:val="both"/>
              <w:rPr>
                <w:sz w:val="20"/>
                <w:lang w:val="fr-CA"/>
              </w:rPr>
            </w:pPr>
            <w:r w:rsidRPr="006B4B3E">
              <w:rPr>
                <w:sz w:val="20"/>
                <w:lang w:val="fr-CA"/>
              </w:rPr>
              <w:t>Le 5 mai 2020</w:t>
            </w:r>
          </w:p>
          <w:p w:rsidR="00341D04" w:rsidRPr="006B4B3E" w:rsidRDefault="00341D04" w:rsidP="006B4B3E">
            <w:pPr>
              <w:jc w:val="both"/>
              <w:rPr>
                <w:sz w:val="20"/>
                <w:lang w:val="fr-CA"/>
              </w:rPr>
            </w:pPr>
            <w:r w:rsidRPr="006B4B3E">
              <w:rPr>
                <w:sz w:val="20"/>
                <w:lang w:val="fr-CA"/>
              </w:rPr>
              <w:t>Cour supérieure du Québec</w:t>
            </w:r>
          </w:p>
          <w:p w:rsidR="00341D04" w:rsidRPr="006B4B3E" w:rsidRDefault="00341D04" w:rsidP="006B4B3E">
            <w:pPr>
              <w:jc w:val="both"/>
              <w:rPr>
                <w:sz w:val="20"/>
              </w:rPr>
            </w:pPr>
            <w:r w:rsidRPr="006B4B3E">
              <w:rPr>
                <w:sz w:val="20"/>
              </w:rPr>
              <w:t>(Le juge Hardy)</w:t>
            </w:r>
          </w:p>
          <w:p w:rsidR="00341D04" w:rsidRPr="006B4B3E" w:rsidRDefault="008C0899" w:rsidP="006B4B3E">
            <w:pPr>
              <w:jc w:val="both"/>
              <w:rPr>
                <w:sz w:val="20"/>
              </w:rPr>
            </w:pPr>
            <w:hyperlink r:id="rId19" w:history="1">
              <w:r w:rsidR="00341D04" w:rsidRPr="006B4B3E">
                <w:rPr>
                  <w:rStyle w:val="Hyperlink"/>
                  <w:sz w:val="20"/>
                </w:rPr>
                <w:t>2020 QCCS 1447</w:t>
              </w:r>
            </w:hyperlink>
            <w:r w:rsidR="00341D04" w:rsidRPr="006B4B3E">
              <w:rPr>
                <w:sz w:val="20"/>
              </w:rPr>
              <w:t xml:space="preserve"> </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lang w:val="fr-CA"/>
              </w:rPr>
            </w:pPr>
            <w:r w:rsidRPr="006B4B3E">
              <w:rPr>
                <w:sz w:val="20"/>
                <w:lang w:val="fr-CA"/>
              </w:rPr>
              <w:t xml:space="preserve">Objection de la procureure générale du Québec à la communication de documents maintenue en partie.  </w:t>
            </w:r>
          </w:p>
          <w:p w:rsidR="00341D04" w:rsidRPr="006B4B3E" w:rsidRDefault="00341D04" w:rsidP="006B4B3E">
            <w:pPr>
              <w:jc w:val="both"/>
              <w:rPr>
                <w:sz w:val="20"/>
                <w:lang w:val="fr-CA"/>
              </w:rPr>
            </w:pPr>
          </w:p>
        </w:tc>
      </w:tr>
      <w:tr w:rsidR="00341D04" w:rsidRPr="006B4B3E" w:rsidTr="00A144CA">
        <w:tc>
          <w:tcPr>
            <w:tcW w:w="2427" w:type="pct"/>
            <w:gridSpan w:val="2"/>
          </w:tcPr>
          <w:p w:rsidR="00341D04" w:rsidRPr="006B4B3E" w:rsidRDefault="00341D04" w:rsidP="006B4B3E">
            <w:pPr>
              <w:jc w:val="both"/>
              <w:rPr>
                <w:sz w:val="20"/>
                <w:lang w:val="fr-CA"/>
              </w:rPr>
            </w:pPr>
            <w:r w:rsidRPr="006B4B3E">
              <w:rPr>
                <w:sz w:val="20"/>
                <w:lang w:val="fr-CA"/>
              </w:rPr>
              <w:t>Le 21 décembre 2020</w:t>
            </w:r>
          </w:p>
          <w:p w:rsidR="00341D04" w:rsidRPr="006B4B3E" w:rsidRDefault="00341D04" w:rsidP="006B4B3E">
            <w:pPr>
              <w:jc w:val="both"/>
              <w:rPr>
                <w:sz w:val="20"/>
                <w:lang w:val="fr-CA"/>
              </w:rPr>
            </w:pPr>
            <w:r w:rsidRPr="006B4B3E">
              <w:rPr>
                <w:sz w:val="20"/>
                <w:lang w:val="fr-CA"/>
              </w:rPr>
              <w:t>Cour d’appel du Québec (Québec)</w:t>
            </w:r>
          </w:p>
          <w:p w:rsidR="00341D04" w:rsidRPr="006B4B3E" w:rsidRDefault="00341D04" w:rsidP="006B4B3E">
            <w:pPr>
              <w:jc w:val="both"/>
              <w:rPr>
                <w:sz w:val="20"/>
                <w:lang w:val="fr-CA"/>
              </w:rPr>
            </w:pPr>
            <w:r w:rsidRPr="006B4B3E">
              <w:rPr>
                <w:sz w:val="20"/>
                <w:lang w:val="fr-CA"/>
              </w:rPr>
              <w:t>(Les juges Doyon, Hogue et Rancourt)</w:t>
            </w:r>
          </w:p>
          <w:p w:rsidR="00341D04" w:rsidRPr="006B4B3E" w:rsidRDefault="008C0899" w:rsidP="006B4B3E">
            <w:pPr>
              <w:jc w:val="both"/>
              <w:rPr>
                <w:sz w:val="20"/>
              </w:rPr>
            </w:pPr>
            <w:hyperlink r:id="rId20" w:history="1">
              <w:r w:rsidR="00341D04" w:rsidRPr="006B4B3E">
                <w:rPr>
                  <w:rStyle w:val="Hyperlink"/>
                  <w:sz w:val="20"/>
                </w:rPr>
                <w:t>2020 QCCA 1770</w:t>
              </w:r>
            </w:hyperlink>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 xml:space="preserve">Appel accueilli. </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lang w:val="fr-CA"/>
              </w:rPr>
            </w:pPr>
            <w:r w:rsidRPr="006B4B3E">
              <w:rPr>
                <w:sz w:val="20"/>
                <w:lang w:val="fr-CA"/>
              </w:rPr>
              <w:t>Le 18 février 2021</w:t>
            </w:r>
          </w:p>
          <w:p w:rsidR="00341D04" w:rsidRPr="006B4B3E" w:rsidRDefault="00341D04" w:rsidP="006B4B3E">
            <w:pPr>
              <w:jc w:val="both"/>
              <w:rPr>
                <w:sz w:val="20"/>
                <w:lang w:val="fr-CA"/>
              </w:rPr>
            </w:pPr>
            <w:r w:rsidRPr="006B4B3E">
              <w:rPr>
                <w:sz w:val="20"/>
                <w:lang w:val="fr-CA"/>
              </w:rPr>
              <w:t>Cour suprême du Canada</w:t>
            </w: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rPr>
            </w:pPr>
            <w:r w:rsidRPr="006B4B3E">
              <w:rPr>
                <w:sz w:val="20"/>
              </w:rPr>
              <w:t>Demande d'autorisation d'appel déposée</w:t>
            </w:r>
          </w:p>
          <w:p w:rsidR="00341D04" w:rsidRPr="006B4B3E" w:rsidRDefault="00341D04" w:rsidP="006B4B3E">
            <w:pPr>
              <w:jc w:val="both"/>
              <w:rPr>
                <w:sz w:val="20"/>
              </w:rPr>
            </w:pPr>
          </w:p>
        </w:tc>
      </w:tr>
    </w:tbl>
    <w:p w:rsidR="00341D04" w:rsidRPr="006B4B3E" w:rsidRDefault="00341D04" w:rsidP="006B4B3E">
      <w:pPr>
        <w:jc w:val="both"/>
        <w:rPr>
          <w:sz w:val="20"/>
        </w:rPr>
      </w:pPr>
    </w:p>
    <w:p w:rsidR="00DF2FFE" w:rsidRPr="006B4B3E" w:rsidRDefault="008C0899" w:rsidP="006B4B3E">
      <w:pPr>
        <w:widowControl w:val="0"/>
        <w:jc w:val="both"/>
        <w:rPr>
          <w:sz w:val="20"/>
          <w:lang w:val="fr-CA"/>
        </w:rPr>
      </w:pPr>
      <w:r>
        <w:rPr>
          <w:sz w:val="20"/>
        </w:rPr>
        <w:pict>
          <v:rect id="_x0000_i1032" style="width:2in;height:1pt" o:hrpct="0" o:hralign="center" o:hrstd="t" o:hrnoshade="t" o:hr="t" fillcolor="black [3213]" stroked="f"/>
        </w:pict>
      </w:r>
    </w:p>
    <w:p w:rsidR="00DF2FFE" w:rsidRPr="006B4B3E" w:rsidRDefault="00DF2FFE" w:rsidP="006B4B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6B4B3E" w:rsidTr="00A144CA">
        <w:tc>
          <w:tcPr>
            <w:tcW w:w="543" w:type="pct"/>
          </w:tcPr>
          <w:p w:rsidR="00341D04" w:rsidRPr="006B4B3E" w:rsidRDefault="00341D04" w:rsidP="006B4B3E">
            <w:pPr>
              <w:jc w:val="both"/>
              <w:rPr>
                <w:sz w:val="20"/>
              </w:rPr>
            </w:pPr>
            <w:r w:rsidRPr="006B4B3E">
              <w:rPr>
                <w:rStyle w:val="SCCFileNumberChar"/>
                <w:sz w:val="20"/>
                <w:szCs w:val="20"/>
              </w:rPr>
              <w:t>39619</w:t>
            </w:r>
          </w:p>
        </w:tc>
        <w:tc>
          <w:tcPr>
            <w:tcW w:w="4457" w:type="pct"/>
            <w:gridSpan w:val="3"/>
          </w:tcPr>
          <w:p w:rsidR="00341D04" w:rsidRPr="006B4B3E" w:rsidRDefault="00341D04" w:rsidP="006B4B3E">
            <w:pPr>
              <w:pStyle w:val="SCCLsocParty"/>
              <w:jc w:val="both"/>
              <w:rPr>
                <w:b/>
                <w:sz w:val="20"/>
                <w:szCs w:val="20"/>
                <w:lang w:val="en-US"/>
              </w:rPr>
            </w:pPr>
            <w:r w:rsidRPr="006B4B3E">
              <w:rPr>
                <w:b/>
                <w:sz w:val="20"/>
                <w:szCs w:val="20"/>
                <w:lang w:val="en-US"/>
              </w:rPr>
              <w:t>Kin Hung (Jeffrey) Chang, Aihua (Alex) Chen, Justin Lai, Xiao (Mary) Hua Wu, Guang Hao (Frank) Xu, FPS Food Process Solutions Corporation v. GEA Refrigeration Canada Inc.</w:t>
            </w:r>
          </w:p>
          <w:p w:rsidR="00341D04" w:rsidRPr="006B4B3E" w:rsidRDefault="00341D04" w:rsidP="006B4B3E">
            <w:pPr>
              <w:jc w:val="both"/>
              <w:rPr>
                <w:sz w:val="20"/>
              </w:rPr>
            </w:pPr>
            <w:r w:rsidRPr="006B4B3E">
              <w:rPr>
                <w:sz w:val="20"/>
              </w:rPr>
              <w:t>(B.C.) (Civil) (By Leave)</w:t>
            </w:r>
          </w:p>
        </w:tc>
      </w:tr>
      <w:tr w:rsidR="00341D04" w:rsidRPr="006B4B3E" w:rsidTr="00A144CA">
        <w:tc>
          <w:tcPr>
            <w:tcW w:w="5000" w:type="pct"/>
            <w:gridSpan w:val="4"/>
          </w:tcPr>
          <w:p w:rsidR="00341D04" w:rsidRPr="006B4B3E" w:rsidRDefault="00341D04" w:rsidP="006B4B3E">
            <w:pPr>
              <w:pStyle w:val="SCCBanSummary"/>
              <w:rPr>
                <w:sz w:val="20"/>
                <w:szCs w:val="20"/>
              </w:rPr>
            </w:pPr>
            <w:r w:rsidRPr="006B4B3E">
              <w:rPr>
                <w:sz w:val="20"/>
                <w:szCs w:val="20"/>
              </w:rPr>
              <w:t>(Sealing order)</w:t>
            </w:r>
          </w:p>
          <w:p w:rsidR="00341D04" w:rsidRPr="006B4B3E" w:rsidRDefault="00341D04" w:rsidP="006B4B3E">
            <w:pPr>
              <w:jc w:val="both"/>
              <w:rPr>
                <w:sz w:val="20"/>
              </w:rPr>
            </w:pPr>
          </w:p>
        </w:tc>
      </w:tr>
      <w:tr w:rsidR="00341D04" w:rsidRPr="006B4B3E" w:rsidTr="00A144CA">
        <w:tc>
          <w:tcPr>
            <w:tcW w:w="5000" w:type="pct"/>
            <w:gridSpan w:val="4"/>
          </w:tcPr>
          <w:p w:rsidR="00341D04" w:rsidRPr="006B4B3E" w:rsidRDefault="00341D04" w:rsidP="006B4B3E">
            <w:pPr>
              <w:jc w:val="both"/>
              <w:rPr>
                <w:sz w:val="20"/>
              </w:rPr>
            </w:pPr>
            <w:r w:rsidRPr="006B4B3E">
              <w:rPr>
                <w:sz w:val="20"/>
              </w:rPr>
              <w:t>Commercial law — Breach of confidence — Remedies — Disgorgement of profits — Springboard period — Former employees and new company held liable for improperly using former employer’s confidential information to design competing product — Disgorgement of profits ordered for period starting when new company commenced marketing competing product — Is it correct in principle that the start date of the head start or springboard period is the date on which a defendant begins to either market or sell a competing product, irrespective of the time that has elapsed before that occurs? — Whether the Court of Appeal made a pure or extricable legal error of public importance by holding that the start date of the springboard period is the date that the corporate applicant began to market a competing product, irrespective of the time that had elapsed before that date.</w:t>
            </w:r>
          </w:p>
          <w:p w:rsidR="00341D04" w:rsidRPr="006B4B3E" w:rsidRDefault="00341D04" w:rsidP="006B4B3E">
            <w:pPr>
              <w:jc w:val="both"/>
              <w:rPr>
                <w:sz w:val="20"/>
              </w:rPr>
            </w:pPr>
          </w:p>
        </w:tc>
      </w:tr>
      <w:tr w:rsidR="00341D04" w:rsidRPr="006B4B3E" w:rsidTr="00A144CA">
        <w:tc>
          <w:tcPr>
            <w:tcW w:w="5000" w:type="pct"/>
            <w:gridSpan w:val="4"/>
          </w:tcPr>
          <w:p w:rsidR="00341D04" w:rsidRPr="006B4B3E" w:rsidRDefault="00341D04" w:rsidP="006B4B3E">
            <w:pPr>
              <w:jc w:val="both"/>
              <w:rPr>
                <w:sz w:val="20"/>
              </w:rPr>
            </w:pPr>
            <w:r w:rsidRPr="006B4B3E">
              <w:rPr>
                <w:sz w:val="20"/>
              </w:rPr>
              <w:t>The individual applicants are former employees of the respondent, GEA Refrigeration Canada Inc. (“GEA”). They formed a competing company, FPS Food Process Solutions Corporation (“FPS”). GEA sued the former employees and FPS, alleging that they used its confidential information in designing FPS freezers. The trial judge held in favour of GEA. She found that, to the knowledge of FPS, the individual applicants improperly used GEA’s engineering drawings and other confidential information to design products for sale in competition with GEA. She found that, as a result of the breaches, FPS profited by competing in the market much earlier than it would have had it designed its freezers legitimately. She awarded damages of over $7 million, calculated on the basis of disgorgement of profits for a period of approximately four years, starting when the first FPS freezer was sold. The Court of Appeal dismissed FPS’s appeal. In doing so, it upheld the start date of the springboard period, but on the basis that it was when FPS commenced its marketing of freezers. The Court of Appeal also concluded that the trial judge did not commit an error in her estimate of four years for the duration of the disgorgement period.</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t>January 8, 2018</w:t>
            </w:r>
          </w:p>
          <w:p w:rsidR="00341D04" w:rsidRPr="006B4B3E" w:rsidRDefault="00341D04" w:rsidP="006B4B3E">
            <w:pPr>
              <w:jc w:val="both"/>
              <w:rPr>
                <w:sz w:val="20"/>
              </w:rPr>
            </w:pPr>
            <w:r w:rsidRPr="006B4B3E">
              <w:rPr>
                <w:sz w:val="20"/>
              </w:rPr>
              <w:t>Supreme Court of British Columbia</w:t>
            </w:r>
          </w:p>
          <w:p w:rsidR="00341D04" w:rsidRPr="006B4B3E" w:rsidRDefault="00341D04" w:rsidP="006B4B3E">
            <w:pPr>
              <w:jc w:val="both"/>
              <w:rPr>
                <w:sz w:val="20"/>
              </w:rPr>
            </w:pPr>
            <w:r w:rsidRPr="006B4B3E">
              <w:rPr>
                <w:sz w:val="20"/>
              </w:rPr>
              <w:t>(Ballance J.)</w:t>
            </w:r>
          </w:p>
          <w:p w:rsidR="00341D04" w:rsidRPr="006B4B3E" w:rsidRDefault="00341D04" w:rsidP="006B4B3E">
            <w:pPr>
              <w:jc w:val="both"/>
              <w:rPr>
                <w:sz w:val="20"/>
              </w:rPr>
            </w:pPr>
            <w:r w:rsidRPr="006B4B3E">
              <w:rPr>
                <w:sz w:val="20"/>
              </w:rPr>
              <w:t xml:space="preserve">2018 BCSC 23 (judgment sealed) </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Applicants held liable for breach of confidence and ordered to disgorge profits</w:t>
            </w:r>
          </w:p>
        </w:tc>
      </w:tr>
      <w:tr w:rsidR="00341D04" w:rsidRPr="006B4B3E" w:rsidTr="00A144CA">
        <w:tc>
          <w:tcPr>
            <w:tcW w:w="2427" w:type="pct"/>
            <w:gridSpan w:val="2"/>
          </w:tcPr>
          <w:p w:rsidR="00341D04" w:rsidRPr="006B4B3E" w:rsidRDefault="00341D04" w:rsidP="006B4B3E">
            <w:pPr>
              <w:jc w:val="both"/>
              <w:rPr>
                <w:sz w:val="20"/>
              </w:rPr>
            </w:pPr>
            <w:r w:rsidRPr="006B4B3E">
              <w:rPr>
                <w:sz w:val="20"/>
              </w:rPr>
              <w:t>December 14, 2020</w:t>
            </w:r>
          </w:p>
          <w:p w:rsidR="00341D04" w:rsidRPr="006B4B3E" w:rsidRDefault="00341D04" w:rsidP="006B4B3E">
            <w:pPr>
              <w:jc w:val="both"/>
              <w:rPr>
                <w:sz w:val="20"/>
              </w:rPr>
            </w:pPr>
            <w:r w:rsidRPr="006B4B3E">
              <w:rPr>
                <w:sz w:val="20"/>
              </w:rPr>
              <w:t xml:space="preserve">Court of Appeal for British Columbia </w:t>
            </w:r>
          </w:p>
          <w:p w:rsidR="00341D04" w:rsidRPr="006B4B3E" w:rsidRDefault="00341D04" w:rsidP="006B4B3E">
            <w:pPr>
              <w:jc w:val="both"/>
              <w:rPr>
                <w:sz w:val="20"/>
              </w:rPr>
            </w:pPr>
            <w:r w:rsidRPr="006B4B3E">
              <w:rPr>
                <w:sz w:val="20"/>
              </w:rPr>
              <w:t>(Vancouver)</w:t>
            </w:r>
          </w:p>
          <w:p w:rsidR="00341D04" w:rsidRPr="006B4B3E" w:rsidRDefault="00341D04" w:rsidP="006B4B3E">
            <w:pPr>
              <w:jc w:val="both"/>
              <w:rPr>
                <w:sz w:val="20"/>
              </w:rPr>
            </w:pPr>
            <w:r w:rsidRPr="006B4B3E">
              <w:rPr>
                <w:sz w:val="20"/>
              </w:rPr>
              <w:t>(Groberman, Fitch, Hunter, JJ.A.)</w:t>
            </w:r>
          </w:p>
          <w:p w:rsidR="00341D04" w:rsidRPr="006B4B3E" w:rsidRDefault="008C0899" w:rsidP="006B4B3E">
            <w:pPr>
              <w:jc w:val="both"/>
              <w:rPr>
                <w:sz w:val="20"/>
              </w:rPr>
            </w:pPr>
            <w:hyperlink r:id="rId21" w:history="1">
              <w:r w:rsidR="00341D04" w:rsidRPr="006B4B3E">
                <w:rPr>
                  <w:rStyle w:val="Hyperlink"/>
                  <w:sz w:val="20"/>
                </w:rPr>
                <w:t>2020 BCCA 361</w:t>
              </w:r>
            </w:hyperlink>
            <w:r w:rsidR="00341D04" w:rsidRPr="006B4B3E">
              <w:rPr>
                <w:rStyle w:val="Hyperlink"/>
                <w:sz w:val="20"/>
              </w:rPr>
              <w:t xml:space="preserve"> </w:t>
            </w:r>
            <w:r w:rsidR="00341D04" w:rsidRPr="006B4B3E">
              <w:rPr>
                <w:sz w:val="20"/>
              </w:rPr>
              <w:t>(Docket: CA45068)</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Appeal dismissed</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t>February 11, 2021</w:t>
            </w:r>
          </w:p>
          <w:p w:rsidR="00341D04" w:rsidRPr="006B4B3E" w:rsidRDefault="00341D04" w:rsidP="006B4B3E">
            <w:pPr>
              <w:jc w:val="both"/>
              <w:rPr>
                <w:sz w:val="20"/>
              </w:rPr>
            </w:pPr>
            <w:r w:rsidRPr="006B4B3E">
              <w:rPr>
                <w:sz w:val="20"/>
              </w:rPr>
              <w:t>Supreme Court of Canada</w:t>
            </w: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Application for leave to appeal filed</w:t>
            </w:r>
          </w:p>
          <w:p w:rsidR="00341D04" w:rsidRPr="006B4B3E" w:rsidRDefault="00341D04" w:rsidP="006B4B3E">
            <w:pPr>
              <w:jc w:val="both"/>
              <w:rPr>
                <w:sz w:val="20"/>
              </w:rPr>
            </w:pPr>
          </w:p>
        </w:tc>
      </w:tr>
    </w:tbl>
    <w:p w:rsidR="00341D04" w:rsidRPr="006B4B3E" w:rsidRDefault="00341D04" w:rsidP="006B4B3E">
      <w:pPr>
        <w:jc w:val="both"/>
        <w:rPr>
          <w:sz w:val="20"/>
        </w:rPr>
      </w:pPr>
    </w:p>
    <w:p w:rsidR="00341D04" w:rsidRPr="006B4B3E" w:rsidRDefault="008C0899" w:rsidP="006B4B3E">
      <w:pPr>
        <w:jc w:val="both"/>
        <w:rPr>
          <w:sz w:val="20"/>
        </w:rPr>
      </w:pPr>
      <w:r>
        <w:rPr>
          <w:sz w:val="20"/>
        </w:rPr>
        <w:pict>
          <v:rect id="_x0000_i1033" style="width:2in;height:1pt" o:hrpct="0" o:hralign="center" o:hrstd="t" o:hrnoshade="t" o:hr="t" fillcolor="black [3213]" stroked="f"/>
        </w:pict>
      </w:r>
    </w:p>
    <w:p w:rsidR="00341D04" w:rsidRPr="006B4B3E" w:rsidRDefault="00341D04" w:rsidP="006B4B3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8C0899" w:rsidTr="00A144CA">
        <w:tc>
          <w:tcPr>
            <w:tcW w:w="543" w:type="pct"/>
          </w:tcPr>
          <w:p w:rsidR="00341D04" w:rsidRPr="006B4B3E" w:rsidRDefault="00341D04" w:rsidP="006B4B3E">
            <w:pPr>
              <w:jc w:val="both"/>
              <w:rPr>
                <w:sz w:val="20"/>
                <w:lang w:val="fr-CA"/>
              </w:rPr>
            </w:pPr>
            <w:r w:rsidRPr="006B4B3E">
              <w:rPr>
                <w:rStyle w:val="SCCFileNumberChar"/>
                <w:sz w:val="20"/>
                <w:szCs w:val="20"/>
                <w:lang w:val="fr-CA"/>
              </w:rPr>
              <w:t>39619</w:t>
            </w:r>
          </w:p>
        </w:tc>
        <w:tc>
          <w:tcPr>
            <w:tcW w:w="4457" w:type="pct"/>
            <w:gridSpan w:val="3"/>
          </w:tcPr>
          <w:p w:rsidR="00341D04" w:rsidRPr="006B4B3E" w:rsidRDefault="00341D04" w:rsidP="006B4B3E">
            <w:pPr>
              <w:pStyle w:val="SCCLsocParty"/>
              <w:jc w:val="both"/>
              <w:rPr>
                <w:b/>
                <w:sz w:val="20"/>
                <w:szCs w:val="20"/>
                <w:lang w:val="en-US"/>
              </w:rPr>
            </w:pPr>
            <w:r w:rsidRPr="006B4B3E">
              <w:rPr>
                <w:b/>
                <w:sz w:val="20"/>
                <w:szCs w:val="20"/>
                <w:lang w:val="en-US"/>
              </w:rPr>
              <w:t>Kin Hung (Jeffrey) Chang, Aihua (Alex) Chen, Justin Lai, Xiao (Mary) Hua Wu, Guang Hao (Frank) Xu, FPS Food Process Solutions Corporation c. GEA Refrigeration Canada Inc.</w:t>
            </w:r>
          </w:p>
          <w:p w:rsidR="00341D04" w:rsidRPr="006B4B3E" w:rsidRDefault="00341D04" w:rsidP="006B4B3E">
            <w:pPr>
              <w:jc w:val="both"/>
              <w:rPr>
                <w:sz w:val="20"/>
                <w:lang w:val="fr-CA"/>
              </w:rPr>
            </w:pPr>
            <w:r w:rsidRPr="006B4B3E">
              <w:rPr>
                <w:sz w:val="20"/>
                <w:lang w:val="fr-CA"/>
              </w:rPr>
              <w:t>(C.</w:t>
            </w:r>
            <w:r w:rsidRPr="006B4B3E">
              <w:rPr>
                <w:sz w:val="20"/>
                <w:lang w:val="fr-CA"/>
              </w:rPr>
              <w:noBreakHyphen/>
              <w:t>B.) (Civile) (Sur autorisation)</w:t>
            </w:r>
          </w:p>
        </w:tc>
      </w:tr>
      <w:tr w:rsidR="00341D04" w:rsidRPr="008C0899" w:rsidTr="00A144CA">
        <w:tc>
          <w:tcPr>
            <w:tcW w:w="5000" w:type="pct"/>
            <w:gridSpan w:val="4"/>
          </w:tcPr>
          <w:p w:rsidR="00341D04" w:rsidRPr="006B4B3E" w:rsidRDefault="00341D04" w:rsidP="006B4B3E">
            <w:pPr>
              <w:pStyle w:val="SCCBanSummary"/>
              <w:rPr>
                <w:sz w:val="20"/>
                <w:szCs w:val="20"/>
                <w:lang w:val="fr-CA"/>
              </w:rPr>
            </w:pPr>
            <w:r w:rsidRPr="006B4B3E">
              <w:rPr>
                <w:sz w:val="20"/>
                <w:szCs w:val="20"/>
                <w:lang w:val="fr-CA"/>
              </w:rPr>
              <w:t>(Ordonnance de mise sous scellés)</w:t>
            </w:r>
          </w:p>
          <w:p w:rsidR="00341D04" w:rsidRPr="006B4B3E" w:rsidRDefault="00341D04" w:rsidP="006B4B3E">
            <w:pPr>
              <w:jc w:val="both"/>
              <w:rPr>
                <w:sz w:val="20"/>
                <w:lang w:val="fr-CA"/>
              </w:rPr>
            </w:pPr>
          </w:p>
        </w:tc>
      </w:tr>
      <w:tr w:rsidR="00341D04" w:rsidRPr="008C0899" w:rsidTr="00A144CA">
        <w:tc>
          <w:tcPr>
            <w:tcW w:w="5000" w:type="pct"/>
            <w:gridSpan w:val="4"/>
          </w:tcPr>
          <w:p w:rsidR="00341D04" w:rsidRPr="006B4B3E" w:rsidRDefault="00341D04" w:rsidP="006B4B3E">
            <w:pPr>
              <w:jc w:val="both"/>
              <w:rPr>
                <w:sz w:val="20"/>
                <w:lang w:val="fr-CA"/>
              </w:rPr>
            </w:pPr>
            <w:r w:rsidRPr="006B4B3E">
              <w:rPr>
                <w:sz w:val="20"/>
                <w:lang w:val="fr-CA"/>
              </w:rPr>
              <w:t>Droit commercial — Abus de confiance — Recours — Restitution des profits — Période d’effet de tremplin — Anciens employés et nouvelle entreprise tenus responsables d’avoir utilisé de façon abusive les renseignements confidentiels de leur ancien employeur pour concevoir un produit concurrent — Restitution des profits ordonnée pour la période débutant au moment où la nouvelle entreprise a commencé la commercialisation du produit concurrent — Est</w:t>
            </w:r>
            <w:r w:rsidRPr="006B4B3E">
              <w:rPr>
                <w:sz w:val="20"/>
                <w:lang w:val="fr-CA"/>
              </w:rPr>
              <w:noBreakHyphen/>
              <w:t>il juste en principe que la date de début de la période d’effet de tremplin ou de longueur d’avance soit la date à laquelle le défendeur a commencé à commercialiser ou à vendre un produit concurrent, peu importe le temps qui s’est écoulé avant que cela ne se produise? — La Cour d’appel a</w:t>
            </w:r>
            <w:r w:rsidRPr="006B4B3E">
              <w:rPr>
                <w:sz w:val="20"/>
                <w:lang w:val="fr-CA"/>
              </w:rPr>
              <w:noBreakHyphen/>
              <w:t>t</w:t>
            </w:r>
            <w:r w:rsidRPr="006B4B3E">
              <w:rPr>
                <w:sz w:val="20"/>
                <w:lang w:val="fr-CA"/>
              </w:rPr>
              <w:noBreakHyphen/>
              <w:t>elle commis une erreur de droit pur ou une erreur de droit isolable d’importance pour le public lorsqu’elle a conclu que la date de début de la période d’effet de tremplin est la date à laquelle l’entreprise demanderesse a commencé à commercialiser le produit concurrent, peu importe le temps qui s’est écoulé avant cette date?</w:t>
            </w:r>
          </w:p>
          <w:p w:rsidR="00341D04" w:rsidRPr="006B4B3E" w:rsidRDefault="00341D04" w:rsidP="006B4B3E">
            <w:pPr>
              <w:jc w:val="both"/>
              <w:rPr>
                <w:sz w:val="20"/>
                <w:lang w:val="fr-CA"/>
              </w:rPr>
            </w:pPr>
          </w:p>
        </w:tc>
      </w:tr>
      <w:tr w:rsidR="00341D04" w:rsidRPr="008C0899" w:rsidTr="00A144CA">
        <w:tc>
          <w:tcPr>
            <w:tcW w:w="5000" w:type="pct"/>
            <w:gridSpan w:val="4"/>
          </w:tcPr>
          <w:p w:rsidR="00341D04" w:rsidRPr="006B4B3E" w:rsidRDefault="00341D04" w:rsidP="006B4B3E">
            <w:pPr>
              <w:jc w:val="both"/>
              <w:rPr>
                <w:sz w:val="20"/>
                <w:lang w:val="fr-CA"/>
              </w:rPr>
            </w:pPr>
            <w:r w:rsidRPr="006B4B3E">
              <w:rPr>
                <w:sz w:val="20"/>
                <w:lang w:val="fr-CA"/>
              </w:rPr>
              <w:t>Les demandeurs individuels sont d’anciens employés de l’intimée, GEA Refrigeration Canada Inc. (« GEA »). Ils ont constitué une entreprise concurrente, FPS Food Process Solutions Corporation (« FPS »). GEA a intenté une poursuite contre les anciens employés et FPS, au motif qu’ils auraient utilisé ses renseignements confidentiels pour concevoir les congélateurs FPS. La juge de première instance a statué en faveur de GEA. Elle a conclu qu’à la connaissance de FPS, les demandeurs individuels ont utilisé de façon abusive les dessins techniques et d’autres renseignements confidentiels de GEA afin de concevoir des produits faisant concurrence à ceux de GEA. Selon elle, en raison des abus de confiance, FPS a tiré des profits en offrant des produits sur le marché beaucoup plus tôt que si elle avait légitimement conçu ses congélateurs. Elle a accordé des dommages-intérêts de plus de 7 millions de dollars, calculés en fonction de la restitution des profits sur une période d’environ quatre ans, débutant lorsque le premier congélateur FPS a été vendu. La Cour d’appel a rejeté l’appel interjeté par FPS. Ce faisant, elle a confirmé la date de début de la période d’effet de tremplin, mais a conclu que c’était lorsque FPS avait commencé la commercialisation de ses congélateurs. La Cour d’appel a aussi conclu que la juge de première instance n’avait pas commis d’erreur dans son estimation de la durée de la période de restitution des profits, qui était de quatre ans.</w:t>
            </w:r>
          </w:p>
          <w:p w:rsidR="00341D04" w:rsidRPr="006B4B3E" w:rsidRDefault="00341D04" w:rsidP="006B4B3E">
            <w:pPr>
              <w:jc w:val="both"/>
              <w:rPr>
                <w:sz w:val="20"/>
                <w:lang w:val="fr-CA"/>
              </w:rPr>
            </w:pPr>
          </w:p>
        </w:tc>
      </w:tr>
      <w:tr w:rsidR="00341D04" w:rsidRPr="008C0899" w:rsidTr="00A144CA">
        <w:tc>
          <w:tcPr>
            <w:tcW w:w="2427" w:type="pct"/>
            <w:gridSpan w:val="2"/>
          </w:tcPr>
          <w:p w:rsidR="00341D04" w:rsidRPr="006B4B3E" w:rsidRDefault="00341D04" w:rsidP="006B4B3E">
            <w:pPr>
              <w:jc w:val="both"/>
              <w:rPr>
                <w:sz w:val="20"/>
                <w:lang w:val="fr-CA"/>
              </w:rPr>
            </w:pPr>
            <w:r w:rsidRPr="006B4B3E">
              <w:rPr>
                <w:sz w:val="20"/>
                <w:lang w:val="fr-CA"/>
              </w:rPr>
              <w:t>8 janvier 2018</w:t>
            </w:r>
          </w:p>
          <w:p w:rsidR="00341D04" w:rsidRPr="006B4B3E" w:rsidRDefault="00341D04" w:rsidP="006B4B3E">
            <w:pPr>
              <w:jc w:val="both"/>
              <w:rPr>
                <w:sz w:val="20"/>
                <w:lang w:val="fr-CA"/>
              </w:rPr>
            </w:pPr>
            <w:r w:rsidRPr="006B4B3E">
              <w:rPr>
                <w:sz w:val="20"/>
                <w:lang w:val="fr-CA"/>
              </w:rPr>
              <w:t>Cour suprême de la Colombie</w:t>
            </w:r>
            <w:r w:rsidRPr="006B4B3E">
              <w:rPr>
                <w:sz w:val="20"/>
                <w:lang w:val="fr-CA"/>
              </w:rPr>
              <w:noBreakHyphen/>
              <w:t>Britannique</w:t>
            </w:r>
          </w:p>
          <w:p w:rsidR="00341D04" w:rsidRPr="006B4B3E" w:rsidRDefault="00341D04" w:rsidP="006B4B3E">
            <w:pPr>
              <w:jc w:val="both"/>
              <w:rPr>
                <w:sz w:val="20"/>
                <w:lang w:val="fr-CA"/>
              </w:rPr>
            </w:pPr>
            <w:r w:rsidRPr="006B4B3E">
              <w:rPr>
                <w:sz w:val="20"/>
                <w:lang w:val="fr-CA"/>
              </w:rPr>
              <w:t>(Juge Ballance)</w:t>
            </w:r>
          </w:p>
          <w:p w:rsidR="00341D04" w:rsidRPr="006B4B3E" w:rsidRDefault="00341D04" w:rsidP="006B4B3E">
            <w:pPr>
              <w:jc w:val="both"/>
              <w:rPr>
                <w:sz w:val="20"/>
                <w:lang w:val="fr-CA"/>
              </w:rPr>
            </w:pPr>
            <w:r w:rsidRPr="006B4B3E">
              <w:rPr>
                <w:sz w:val="20"/>
                <w:lang w:val="fr-CA"/>
              </w:rPr>
              <w:t xml:space="preserve">2018 BCSC 23 (jugement sous scellés) </w:t>
            </w:r>
          </w:p>
          <w:p w:rsidR="00341D04" w:rsidRPr="006B4B3E" w:rsidRDefault="00341D04" w:rsidP="006B4B3E">
            <w:pPr>
              <w:jc w:val="both"/>
              <w:rPr>
                <w:sz w:val="20"/>
                <w:lang w:val="fr-CA"/>
              </w:rPr>
            </w:pP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Demandeurs tenus responsables d’abus de confiance et devant restituer les profits</w:t>
            </w:r>
          </w:p>
          <w:p w:rsidR="00341D04" w:rsidRPr="006B4B3E" w:rsidRDefault="00341D04" w:rsidP="006B4B3E">
            <w:pPr>
              <w:jc w:val="both"/>
              <w:rPr>
                <w:sz w:val="20"/>
                <w:lang w:val="fr-CA"/>
              </w:rPr>
            </w:pPr>
          </w:p>
        </w:tc>
      </w:tr>
      <w:tr w:rsidR="00341D04" w:rsidRPr="006B4B3E" w:rsidTr="00A144CA">
        <w:tc>
          <w:tcPr>
            <w:tcW w:w="2427" w:type="pct"/>
            <w:gridSpan w:val="2"/>
          </w:tcPr>
          <w:p w:rsidR="00341D04" w:rsidRPr="006B4B3E" w:rsidRDefault="00341D04" w:rsidP="006B4B3E">
            <w:pPr>
              <w:jc w:val="both"/>
              <w:rPr>
                <w:sz w:val="20"/>
                <w:lang w:val="fr-CA"/>
              </w:rPr>
            </w:pPr>
            <w:r w:rsidRPr="006B4B3E">
              <w:rPr>
                <w:sz w:val="20"/>
                <w:lang w:val="fr-CA"/>
              </w:rPr>
              <w:t>14 décembre 2020</w:t>
            </w:r>
          </w:p>
          <w:p w:rsidR="00341D04" w:rsidRPr="006B4B3E" w:rsidRDefault="00341D04" w:rsidP="006B4B3E">
            <w:pPr>
              <w:jc w:val="both"/>
              <w:rPr>
                <w:sz w:val="20"/>
                <w:lang w:val="fr-CA"/>
              </w:rPr>
            </w:pPr>
            <w:r w:rsidRPr="006B4B3E">
              <w:rPr>
                <w:sz w:val="20"/>
                <w:lang w:val="fr-CA"/>
              </w:rPr>
              <w:t>Cour d’appel de la Colombie</w:t>
            </w:r>
            <w:r w:rsidRPr="006B4B3E">
              <w:rPr>
                <w:sz w:val="20"/>
                <w:lang w:val="fr-CA"/>
              </w:rPr>
              <w:noBreakHyphen/>
              <w:t xml:space="preserve">Britannique </w:t>
            </w:r>
          </w:p>
          <w:p w:rsidR="00341D04" w:rsidRPr="006B4B3E" w:rsidRDefault="00341D04" w:rsidP="006B4B3E">
            <w:pPr>
              <w:jc w:val="both"/>
              <w:rPr>
                <w:sz w:val="20"/>
                <w:lang w:val="fr-CA"/>
              </w:rPr>
            </w:pPr>
            <w:r w:rsidRPr="006B4B3E">
              <w:rPr>
                <w:sz w:val="20"/>
                <w:lang w:val="fr-CA"/>
              </w:rPr>
              <w:t>(Vancouver)</w:t>
            </w:r>
          </w:p>
          <w:p w:rsidR="00341D04" w:rsidRPr="006B4B3E" w:rsidRDefault="00341D04" w:rsidP="006B4B3E">
            <w:pPr>
              <w:jc w:val="both"/>
              <w:rPr>
                <w:sz w:val="20"/>
                <w:lang w:val="fr-CA"/>
              </w:rPr>
            </w:pPr>
            <w:r w:rsidRPr="006B4B3E">
              <w:rPr>
                <w:sz w:val="20"/>
                <w:lang w:val="fr-CA"/>
              </w:rPr>
              <w:t>(Juges Groberman, Fitch et Hunter)</w:t>
            </w:r>
          </w:p>
          <w:p w:rsidR="00341D04" w:rsidRPr="006B4B3E" w:rsidRDefault="008C0899" w:rsidP="006B4B3E">
            <w:pPr>
              <w:jc w:val="both"/>
              <w:rPr>
                <w:sz w:val="20"/>
                <w:lang w:val="fr-CA"/>
              </w:rPr>
            </w:pPr>
            <w:hyperlink r:id="rId22" w:history="1">
              <w:r w:rsidR="00341D04" w:rsidRPr="006B4B3E">
                <w:rPr>
                  <w:rStyle w:val="Hyperlink"/>
                  <w:sz w:val="20"/>
                  <w:lang w:val="fr-CA"/>
                </w:rPr>
                <w:t>2020 BCCA 361</w:t>
              </w:r>
            </w:hyperlink>
            <w:r w:rsidR="00341D04" w:rsidRPr="006B4B3E">
              <w:rPr>
                <w:rStyle w:val="Hyperlink"/>
                <w:sz w:val="20"/>
                <w:lang w:val="fr-CA"/>
              </w:rPr>
              <w:t xml:space="preserve"> </w:t>
            </w:r>
            <w:r w:rsidR="00341D04" w:rsidRPr="006B4B3E">
              <w:rPr>
                <w:sz w:val="20"/>
                <w:lang w:val="fr-CA"/>
              </w:rPr>
              <w:t>(Dossier : CA45068)</w:t>
            </w:r>
          </w:p>
          <w:p w:rsidR="00341D04" w:rsidRPr="006B4B3E" w:rsidRDefault="00341D04" w:rsidP="006B4B3E">
            <w:pPr>
              <w:jc w:val="both"/>
              <w:rPr>
                <w:sz w:val="20"/>
                <w:lang w:val="fr-CA"/>
              </w:rPr>
            </w:pP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Appel rejeté</w:t>
            </w:r>
          </w:p>
          <w:p w:rsidR="00341D04" w:rsidRPr="006B4B3E" w:rsidRDefault="00341D04" w:rsidP="006B4B3E">
            <w:pPr>
              <w:jc w:val="both"/>
              <w:rPr>
                <w:sz w:val="20"/>
                <w:lang w:val="fr-CA"/>
              </w:rPr>
            </w:pPr>
          </w:p>
        </w:tc>
      </w:tr>
      <w:tr w:rsidR="00341D04" w:rsidRPr="006B4B3E" w:rsidTr="00A144CA">
        <w:tc>
          <w:tcPr>
            <w:tcW w:w="2427" w:type="pct"/>
            <w:gridSpan w:val="2"/>
          </w:tcPr>
          <w:p w:rsidR="00341D04" w:rsidRPr="006B4B3E" w:rsidRDefault="00341D04" w:rsidP="006B4B3E">
            <w:pPr>
              <w:jc w:val="both"/>
              <w:rPr>
                <w:sz w:val="20"/>
                <w:lang w:val="fr-CA"/>
              </w:rPr>
            </w:pPr>
            <w:r w:rsidRPr="006B4B3E">
              <w:rPr>
                <w:sz w:val="20"/>
                <w:lang w:val="fr-CA"/>
              </w:rPr>
              <w:t>11 février 2021</w:t>
            </w:r>
          </w:p>
          <w:p w:rsidR="00341D04" w:rsidRPr="006B4B3E" w:rsidRDefault="00341D04" w:rsidP="006B4B3E">
            <w:pPr>
              <w:jc w:val="both"/>
              <w:rPr>
                <w:sz w:val="20"/>
                <w:lang w:val="fr-CA"/>
              </w:rPr>
            </w:pPr>
            <w:r w:rsidRPr="006B4B3E">
              <w:rPr>
                <w:sz w:val="20"/>
                <w:lang w:val="fr-CA"/>
              </w:rPr>
              <w:t>Cour suprême du Canada</w:t>
            </w: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Demande d’autorisation d’appel déposée</w:t>
            </w:r>
          </w:p>
          <w:p w:rsidR="00341D04" w:rsidRPr="006B4B3E" w:rsidRDefault="00341D04" w:rsidP="006B4B3E">
            <w:pPr>
              <w:jc w:val="both"/>
              <w:rPr>
                <w:sz w:val="20"/>
                <w:lang w:val="fr-CA"/>
              </w:rPr>
            </w:pPr>
          </w:p>
        </w:tc>
      </w:tr>
    </w:tbl>
    <w:p w:rsidR="00341D04" w:rsidRPr="006B4B3E" w:rsidRDefault="00341D04" w:rsidP="006B4B3E">
      <w:pPr>
        <w:jc w:val="both"/>
        <w:rPr>
          <w:sz w:val="20"/>
          <w:lang w:val="fr-CA"/>
        </w:rPr>
      </w:pPr>
    </w:p>
    <w:p w:rsidR="00DF2FFE" w:rsidRPr="006B4B3E" w:rsidRDefault="008C0899" w:rsidP="006B4B3E">
      <w:pPr>
        <w:widowControl w:val="0"/>
        <w:jc w:val="both"/>
        <w:rPr>
          <w:sz w:val="20"/>
          <w:lang w:val="fr-CA"/>
        </w:rPr>
      </w:pPr>
      <w:r>
        <w:rPr>
          <w:sz w:val="20"/>
        </w:rPr>
        <w:pict>
          <v:rect id="_x0000_i1034" style="width:2in;height:1pt" o:hrpct="0" o:hralign="center" o:hrstd="t" o:hrnoshade="t" o:hr="t" fillcolor="black [3213]" stroked="f"/>
        </w:pict>
      </w:r>
    </w:p>
    <w:p w:rsidR="00341D04" w:rsidRPr="006B4B3E" w:rsidRDefault="00341D04" w:rsidP="006B4B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B50" w:rsidRPr="006B4B3E" w:rsidTr="00A144CA">
        <w:tc>
          <w:tcPr>
            <w:tcW w:w="543" w:type="pct"/>
          </w:tcPr>
          <w:p w:rsidR="00130B50" w:rsidRPr="006B4B3E" w:rsidRDefault="00130B50" w:rsidP="006B4B3E">
            <w:pPr>
              <w:jc w:val="both"/>
              <w:rPr>
                <w:sz w:val="20"/>
              </w:rPr>
            </w:pPr>
            <w:r w:rsidRPr="006B4B3E">
              <w:rPr>
                <w:rStyle w:val="SCCFileNumberChar"/>
                <w:sz w:val="20"/>
                <w:szCs w:val="20"/>
              </w:rPr>
              <w:t>39641</w:t>
            </w:r>
          </w:p>
        </w:tc>
        <w:tc>
          <w:tcPr>
            <w:tcW w:w="4457" w:type="pct"/>
            <w:gridSpan w:val="3"/>
          </w:tcPr>
          <w:p w:rsidR="00130B50" w:rsidRPr="006B4B3E" w:rsidRDefault="00130B50" w:rsidP="006B4B3E">
            <w:pPr>
              <w:pStyle w:val="SCCLsocParty"/>
              <w:jc w:val="both"/>
              <w:rPr>
                <w:b/>
                <w:sz w:val="20"/>
                <w:szCs w:val="20"/>
                <w:lang w:val="en-US"/>
              </w:rPr>
            </w:pPr>
            <w:r w:rsidRPr="006B4B3E">
              <w:rPr>
                <w:b/>
                <w:sz w:val="20"/>
                <w:szCs w:val="20"/>
                <w:lang w:val="en-US"/>
              </w:rPr>
              <w:t>Jason Windebank v. Her Majesty the Queen</w:t>
            </w:r>
          </w:p>
          <w:p w:rsidR="00130B50" w:rsidRPr="006B4B3E" w:rsidRDefault="00130B50" w:rsidP="006B4B3E">
            <w:pPr>
              <w:jc w:val="both"/>
              <w:rPr>
                <w:sz w:val="20"/>
              </w:rPr>
            </w:pPr>
            <w:r w:rsidRPr="006B4B3E">
              <w:rPr>
                <w:sz w:val="20"/>
              </w:rPr>
              <w:t>(Ont.) (Criminal) (By Leave)</w:t>
            </w:r>
          </w:p>
        </w:tc>
      </w:tr>
      <w:tr w:rsidR="00130B50" w:rsidRPr="006B4B3E" w:rsidTr="00A144CA">
        <w:tc>
          <w:tcPr>
            <w:tcW w:w="5000" w:type="pct"/>
            <w:gridSpan w:val="4"/>
          </w:tcPr>
          <w:p w:rsidR="00130B50" w:rsidRPr="006B4B3E" w:rsidRDefault="00130B50" w:rsidP="006B4B3E">
            <w:pPr>
              <w:jc w:val="both"/>
              <w:rPr>
                <w:sz w:val="20"/>
              </w:rPr>
            </w:pPr>
            <w:r w:rsidRPr="006B4B3E">
              <w:rPr>
                <w:sz w:val="20"/>
              </w:rPr>
              <w:t xml:space="preserve">Criminal law — Preliminary inquiry — Legislation — Interpretation — Accused asserting right to preliminary hearing because Crown seeking Dangerous Offender designation which could potentially extend his period of incarceration beyond fourteen year threshold — Whether the entitlement to a preliminary inquiry under s. 535 of the </w:t>
            </w:r>
            <w:r w:rsidRPr="006B4B3E">
              <w:rPr>
                <w:i/>
                <w:sz w:val="20"/>
              </w:rPr>
              <w:t>Criminal Code</w:t>
            </w:r>
            <w:r w:rsidRPr="006B4B3E">
              <w:rPr>
                <w:sz w:val="20"/>
              </w:rPr>
              <w:t xml:space="preserve"> is determined by reference to the actual penal jeopardy faced by the accused</w:t>
            </w:r>
          </w:p>
        </w:tc>
      </w:tr>
      <w:tr w:rsidR="00130B50" w:rsidRPr="006B4B3E" w:rsidTr="00A144CA">
        <w:tc>
          <w:tcPr>
            <w:tcW w:w="5000" w:type="pct"/>
            <w:gridSpan w:val="4"/>
          </w:tcPr>
          <w:p w:rsidR="00130B50" w:rsidRPr="006B4B3E" w:rsidRDefault="00130B50" w:rsidP="006B4B3E">
            <w:pPr>
              <w:jc w:val="both"/>
              <w:rPr>
                <w:sz w:val="20"/>
              </w:rPr>
            </w:pPr>
          </w:p>
        </w:tc>
      </w:tr>
      <w:tr w:rsidR="00130B50" w:rsidRPr="006B4B3E" w:rsidTr="00A144CA">
        <w:tc>
          <w:tcPr>
            <w:tcW w:w="5000" w:type="pct"/>
            <w:gridSpan w:val="4"/>
          </w:tcPr>
          <w:p w:rsidR="00130B50" w:rsidRPr="006B4B3E" w:rsidRDefault="00130B50" w:rsidP="006B4B3E">
            <w:pPr>
              <w:jc w:val="both"/>
              <w:rPr>
                <w:sz w:val="20"/>
              </w:rPr>
            </w:pPr>
            <w:r w:rsidRPr="006B4B3E">
              <w:rPr>
                <w:sz w:val="20"/>
              </w:rPr>
              <w:t xml:space="preserve">The applicant was charged with one count of assault causing bodily harm under s. 267(b) of the </w:t>
            </w:r>
            <w:r w:rsidRPr="006B4B3E">
              <w:rPr>
                <w:i/>
                <w:sz w:val="20"/>
              </w:rPr>
              <w:t>Criminal Code</w:t>
            </w:r>
            <w:r w:rsidRPr="006B4B3E">
              <w:rPr>
                <w:sz w:val="20"/>
              </w:rPr>
              <w:t xml:space="preserve"> and one count of assault by choking under s. 267(c). The maximum sentence upon conviction for those offences, if the Crown proceeded by indictment, was ten years. Pursuant to s. 535 of the </w:t>
            </w:r>
            <w:r w:rsidRPr="006B4B3E">
              <w:rPr>
                <w:i/>
                <w:sz w:val="20"/>
              </w:rPr>
              <w:t>Code</w:t>
            </w:r>
            <w:r w:rsidRPr="006B4B3E">
              <w:rPr>
                <w:sz w:val="20"/>
              </w:rPr>
              <w:t xml:space="preserve">, an accused’s entitlement to a preliminary hearing was limited to those offences carrying a maximum sentence of fourteen years or more. The Crown put Mr. Windebank on notice prior to trial that if convicted, the Crown intended to bring an application for an assessment under s. 752.1 of the </w:t>
            </w:r>
            <w:r w:rsidRPr="006B4B3E">
              <w:rPr>
                <w:i/>
                <w:sz w:val="20"/>
              </w:rPr>
              <w:t>Code</w:t>
            </w:r>
            <w:r w:rsidRPr="006B4B3E">
              <w:rPr>
                <w:sz w:val="20"/>
              </w:rPr>
              <w:t>, the first step in the process of an application to have an offender designated as a Dangerous Offender (“DO”). If the Crown was successful on such an application, the sentence for Mr. Windebank could exceed fourteen years.</w:t>
            </w:r>
          </w:p>
          <w:p w:rsidR="00130B50" w:rsidRPr="006B4B3E" w:rsidRDefault="00130B50" w:rsidP="006B4B3E">
            <w:pPr>
              <w:jc w:val="both"/>
              <w:rPr>
                <w:sz w:val="20"/>
              </w:rPr>
            </w:pPr>
          </w:p>
          <w:p w:rsidR="00130B50" w:rsidRPr="006B4B3E" w:rsidRDefault="00130B50" w:rsidP="006B4B3E">
            <w:pPr>
              <w:jc w:val="both"/>
              <w:rPr>
                <w:sz w:val="20"/>
              </w:rPr>
            </w:pPr>
            <w:r w:rsidRPr="006B4B3E">
              <w:rPr>
                <w:sz w:val="20"/>
              </w:rPr>
              <w:t>Mr. Windebank gave formal notice that he elected to have a preliminary inquiry on the date fixed for trial on the basis that he was at risk of being subject to an indeterminate sentence, well in excess of fourteen years, if he was convicted and the Crown was successful in having him designated a DO. The Crown submitted that the trial, and not a preliminary inquiry, should proceed on the date scheduled.  The application judge held that Mr. Windebank was entitled to the preliminary inquiry in the circumstances of the case. The Crown’s application for judicial review of that decision was dismissed. The Crown’s appeal was granted. Mr. Windebank was not entitled to a preliminary inquiry.</w:t>
            </w:r>
          </w:p>
          <w:p w:rsidR="00130B50" w:rsidRPr="006B4B3E" w:rsidRDefault="00130B50" w:rsidP="006B4B3E">
            <w:pPr>
              <w:jc w:val="both"/>
              <w:rPr>
                <w:sz w:val="20"/>
              </w:rPr>
            </w:pPr>
          </w:p>
        </w:tc>
      </w:tr>
      <w:tr w:rsidR="00130B50" w:rsidRPr="006B4B3E" w:rsidTr="00A144CA">
        <w:tc>
          <w:tcPr>
            <w:tcW w:w="2427" w:type="pct"/>
            <w:gridSpan w:val="2"/>
          </w:tcPr>
          <w:p w:rsidR="00130B50" w:rsidRPr="006B4B3E" w:rsidRDefault="00130B50" w:rsidP="006B4B3E">
            <w:pPr>
              <w:jc w:val="both"/>
              <w:rPr>
                <w:sz w:val="20"/>
              </w:rPr>
            </w:pPr>
            <w:r w:rsidRPr="006B4B3E">
              <w:rPr>
                <w:sz w:val="20"/>
              </w:rPr>
              <w:t>November 20, 2020</w:t>
            </w:r>
          </w:p>
          <w:p w:rsidR="00130B50" w:rsidRPr="006B4B3E" w:rsidRDefault="00130B50" w:rsidP="006B4B3E">
            <w:pPr>
              <w:jc w:val="both"/>
              <w:rPr>
                <w:sz w:val="20"/>
              </w:rPr>
            </w:pPr>
            <w:r w:rsidRPr="006B4B3E">
              <w:rPr>
                <w:sz w:val="20"/>
              </w:rPr>
              <w:t>Ontario Superior Court of Justice</w:t>
            </w:r>
          </w:p>
          <w:p w:rsidR="00130B50" w:rsidRPr="006B4B3E" w:rsidRDefault="00130B50" w:rsidP="006B4B3E">
            <w:pPr>
              <w:jc w:val="both"/>
              <w:rPr>
                <w:sz w:val="20"/>
              </w:rPr>
            </w:pPr>
            <w:r w:rsidRPr="006B4B3E">
              <w:rPr>
                <w:sz w:val="20"/>
              </w:rPr>
              <w:t>(Bhabha J.)</w:t>
            </w:r>
          </w:p>
          <w:p w:rsidR="00130B50" w:rsidRPr="006B4B3E" w:rsidRDefault="00130B50" w:rsidP="006B4B3E">
            <w:pPr>
              <w:jc w:val="both"/>
              <w:rPr>
                <w:sz w:val="20"/>
              </w:rPr>
            </w:pPr>
            <w:r w:rsidRPr="006B4B3E">
              <w:rPr>
                <w:sz w:val="20"/>
              </w:rPr>
              <w:t>Unreported</w:t>
            </w:r>
          </w:p>
          <w:p w:rsidR="00130B50" w:rsidRPr="006B4B3E" w:rsidRDefault="00130B50" w:rsidP="006B4B3E">
            <w:pPr>
              <w:jc w:val="both"/>
              <w:rPr>
                <w:sz w:val="20"/>
              </w:rPr>
            </w:pPr>
          </w:p>
        </w:tc>
        <w:tc>
          <w:tcPr>
            <w:tcW w:w="243" w:type="pct"/>
          </w:tcPr>
          <w:p w:rsidR="00130B50" w:rsidRPr="006B4B3E" w:rsidRDefault="00130B50" w:rsidP="006B4B3E">
            <w:pPr>
              <w:jc w:val="both"/>
              <w:rPr>
                <w:sz w:val="20"/>
              </w:rPr>
            </w:pPr>
          </w:p>
        </w:tc>
        <w:tc>
          <w:tcPr>
            <w:tcW w:w="2330" w:type="pct"/>
          </w:tcPr>
          <w:p w:rsidR="00130B50" w:rsidRPr="006B4B3E" w:rsidRDefault="00130B50" w:rsidP="006B4B3E">
            <w:pPr>
              <w:jc w:val="both"/>
              <w:rPr>
                <w:sz w:val="20"/>
              </w:rPr>
            </w:pPr>
            <w:r w:rsidRPr="006B4B3E">
              <w:rPr>
                <w:sz w:val="20"/>
              </w:rPr>
              <w:t>Court ruling applicant entitled to preliminary inquiry</w:t>
            </w:r>
          </w:p>
          <w:p w:rsidR="00130B50" w:rsidRPr="006B4B3E" w:rsidRDefault="00130B50" w:rsidP="006B4B3E">
            <w:pPr>
              <w:jc w:val="both"/>
              <w:rPr>
                <w:sz w:val="20"/>
              </w:rPr>
            </w:pPr>
          </w:p>
        </w:tc>
      </w:tr>
      <w:tr w:rsidR="00130B50" w:rsidRPr="006B4B3E" w:rsidTr="00A144CA">
        <w:tc>
          <w:tcPr>
            <w:tcW w:w="2427" w:type="pct"/>
            <w:gridSpan w:val="2"/>
          </w:tcPr>
          <w:p w:rsidR="00130B50" w:rsidRPr="006B4B3E" w:rsidRDefault="00130B50" w:rsidP="006B4B3E">
            <w:pPr>
              <w:jc w:val="both"/>
              <w:rPr>
                <w:sz w:val="20"/>
              </w:rPr>
            </w:pPr>
            <w:r w:rsidRPr="006B4B3E">
              <w:rPr>
                <w:sz w:val="20"/>
              </w:rPr>
              <w:t>November 27, 2020</w:t>
            </w:r>
          </w:p>
          <w:p w:rsidR="00130B50" w:rsidRPr="006B4B3E" w:rsidRDefault="00130B50" w:rsidP="006B4B3E">
            <w:pPr>
              <w:jc w:val="both"/>
              <w:rPr>
                <w:sz w:val="20"/>
              </w:rPr>
            </w:pPr>
            <w:r w:rsidRPr="006B4B3E">
              <w:rPr>
                <w:sz w:val="20"/>
              </w:rPr>
              <w:t>Ontario Superior Court of Justice</w:t>
            </w:r>
          </w:p>
          <w:p w:rsidR="00130B50" w:rsidRPr="006B4B3E" w:rsidRDefault="00130B50" w:rsidP="006B4B3E">
            <w:pPr>
              <w:jc w:val="both"/>
              <w:rPr>
                <w:sz w:val="20"/>
              </w:rPr>
            </w:pPr>
            <w:r w:rsidRPr="006B4B3E">
              <w:rPr>
                <w:sz w:val="20"/>
              </w:rPr>
              <w:t>(Quigley J.)</w:t>
            </w:r>
          </w:p>
          <w:p w:rsidR="00130B50" w:rsidRPr="006B4B3E" w:rsidRDefault="008C0899" w:rsidP="006B4B3E">
            <w:pPr>
              <w:jc w:val="both"/>
              <w:rPr>
                <w:sz w:val="20"/>
              </w:rPr>
            </w:pPr>
            <w:hyperlink r:id="rId23" w:history="1">
              <w:r w:rsidR="00130B50" w:rsidRPr="006B4B3E">
                <w:rPr>
                  <w:rStyle w:val="Hyperlink"/>
                  <w:sz w:val="20"/>
                </w:rPr>
                <w:t>2020 ONSC 8107</w:t>
              </w:r>
            </w:hyperlink>
          </w:p>
          <w:p w:rsidR="00130B50" w:rsidRPr="006B4B3E" w:rsidRDefault="00130B50" w:rsidP="006B4B3E">
            <w:pPr>
              <w:jc w:val="both"/>
              <w:rPr>
                <w:sz w:val="20"/>
              </w:rPr>
            </w:pPr>
          </w:p>
        </w:tc>
        <w:tc>
          <w:tcPr>
            <w:tcW w:w="243" w:type="pct"/>
          </w:tcPr>
          <w:p w:rsidR="00130B50" w:rsidRPr="006B4B3E" w:rsidRDefault="00130B50" w:rsidP="006B4B3E">
            <w:pPr>
              <w:jc w:val="both"/>
              <w:rPr>
                <w:sz w:val="20"/>
              </w:rPr>
            </w:pPr>
          </w:p>
        </w:tc>
        <w:tc>
          <w:tcPr>
            <w:tcW w:w="2330" w:type="pct"/>
          </w:tcPr>
          <w:p w:rsidR="00130B50" w:rsidRPr="006B4B3E" w:rsidRDefault="00130B50" w:rsidP="006B4B3E">
            <w:pPr>
              <w:jc w:val="both"/>
              <w:rPr>
                <w:sz w:val="20"/>
              </w:rPr>
            </w:pPr>
            <w:r w:rsidRPr="006B4B3E">
              <w:rPr>
                <w:sz w:val="20"/>
              </w:rPr>
              <w:t xml:space="preserve">Crown application for judicial review and orders in the nature of </w:t>
            </w:r>
            <w:r w:rsidRPr="006B4B3E">
              <w:rPr>
                <w:i/>
                <w:sz w:val="20"/>
              </w:rPr>
              <w:t>certiorari</w:t>
            </w:r>
            <w:r w:rsidRPr="006B4B3E">
              <w:rPr>
                <w:sz w:val="20"/>
              </w:rPr>
              <w:t xml:space="preserve"> with mandamus and prohibition in aid dismissed</w:t>
            </w:r>
          </w:p>
          <w:p w:rsidR="00130B50" w:rsidRPr="006B4B3E" w:rsidRDefault="00130B50" w:rsidP="006B4B3E">
            <w:pPr>
              <w:jc w:val="both"/>
              <w:rPr>
                <w:sz w:val="20"/>
              </w:rPr>
            </w:pPr>
          </w:p>
        </w:tc>
      </w:tr>
      <w:tr w:rsidR="00130B50" w:rsidRPr="006B4B3E" w:rsidTr="00A144CA">
        <w:tc>
          <w:tcPr>
            <w:tcW w:w="2427" w:type="pct"/>
            <w:gridSpan w:val="2"/>
          </w:tcPr>
          <w:p w:rsidR="00130B50" w:rsidRPr="006B4B3E" w:rsidRDefault="00130B50" w:rsidP="006B4B3E">
            <w:pPr>
              <w:jc w:val="both"/>
              <w:rPr>
                <w:sz w:val="20"/>
              </w:rPr>
            </w:pPr>
            <w:r w:rsidRPr="006B4B3E">
              <w:rPr>
                <w:sz w:val="20"/>
              </w:rPr>
              <w:t>March 12, 2021</w:t>
            </w:r>
          </w:p>
          <w:p w:rsidR="00130B50" w:rsidRPr="006B4B3E" w:rsidRDefault="00130B50" w:rsidP="006B4B3E">
            <w:pPr>
              <w:jc w:val="both"/>
              <w:rPr>
                <w:sz w:val="20"/>
              </w:rPr>
            </w:pPr>
            <w:r w:rsidRPr="006B4B3E">
              <w:rPr>
                <w:sz w:val="20"/>
              </w:rPr>
              <w:t>Court of Appeal for Ontario</w:t>
            </w:r>
          </w:p>
          <w:p w:rsidR="00130B50" w:rsidRPr="006B4B3E" w:rsidRDefault="00130B50" w:rsidP="006B4B3E">
            <w:pPr>
              <w:jc w:val="both"/>
              <w:rPr>
                <w:sz w:val="20"/>
              </w:rPr>
            </w:pPr>
            <w:r w:rsidRPr="006B4B3E">
              <w:rPr>
                <w:sz w:val="20"/>
              </w:rPr>
              <w:t>(MacPherson, Gillese and Nordheimer JJ.A.)</w:t>
            </w:r>
          </w:p>
          <w:p w:rsidR="00130B50" w:rsidRPr="006B4B3E" w:rsidRDefault="008C0899" w:rsidP="006B4B3E">
            <w:pPr>
              <w:jc w:val="both"/>
              <w:rPr>
                <w:sz w:val="20"/>
              </w:rPr>
            </w:pPr>
            <w:hyperlink r:id="rId24" w:history="1">
              <w:r w:rsidR="00130B50" w:rsidRPr="006B4B3E">
                <w:rPr>
                  <w:rStyle w:val="Hyperlink"/>
                  <w:sz w:val="20"/>
                </w:rPr>
                <w:t>2021 ONCA 157</w:t>
              </w:r>
            </w:hyperlink>
          </w:p>
          <w:p w:rsidR="00130B50" w:rsidRPr="006B4B3E" w:rsidRDefault="00130B50" w:rsidP="006B4B3E">
            <w:pPr>
              <w:jc w:val="both"/>
              <w:rPr>
                <w:sz w:val="20"/>
              </w:rPr>
            </w:pPr>
          </w:p>
        </w:tc>
        <w:tc>
          <w:tcPr>
            <w:tcW w:w="243" w:type="pct"/>
          </w:tcPr>
          <w:p w:rsidR="00130B50" w:rsidRPr="006B4B3E" w:rsidRDefault="00130B50" w:rsidP="006B4B3E">
            <w:pPr>
              <w:jc w:val="both"/>
              <w:rPr>
                <w:sz w:val="20"/>
              </w:rPr>
            </w:pPr>
          </w:p>
        </w:tc>
        <w:tc>
          <w:tcPr>
            <w:tcW w:w="2330" w:type="pct"/>
          </w:tcPr>
          <w:p w:rsidR="00130B50" w:rsidRPr="006B4B3E" w:rsidRDefault="00130B50" w:rsidP="006B4B3E">
            <w:pPr>
              <w:jc w:val="both"/>
              <w:rPr>
                <w:sz w:val="20"/>
              </w:rPr>
            </w:pPr>
            <w:r w:rsidRPr="006B4B3E">
              <w:rPr>
                <w:sz w:val="20"/>
              </w:rPr>
              <w:t>Crown’s appeal allowed; Applicant not entitled to preliminary hearing</w:t>
            </w:r>
          </w:p>
          <w:p w:rsidR="00130B50" w:rsidRPr="006B4B3E" w:rsidRDefault="00130B50" w:rsidP="006B4B3E">
            <w:pPr>
              <w:jc w:val="both"/>
              <w:rPr>
                <w:sz w:val="20"/>
              </w:rPr>
            </w:pPr>
          </w:p>
          <w:p w:rsidR="00130B50" w:rsidRPr="006B4B3E" w:rsidRDefault="00130B50" w:rsidP="006B4B3E">
            <w:pPr>
              <w:jc w:val="both"/>
              <w:rPr>
                <w:sz w:val="20"/>
              </w:rPr>
            </w:pPr>
          </w:p>
        </w:tc>
      </w:tr>
      <w:tr w:rsidR="00130B50" w:rsidRPr="006B4B3E" w:rsidTr="00A144CA">
        <w:tc>
          <w:tcPr>
            <w:tcW w:w="2427" w:type="pct"/>
            <w:gridSpan w:val="2"/>
          </w:tcPr>
          <w:p w:rsidR="00130B50" w:rsidRPr="006B4B3E" w:rsidRDefault="00130B50" w:rsidP="006B4B3E">
            <w:pPr>
              <w:jc w:val="both"/>
              <w:rPr>
                <w:sz w:val="20"/>
              </w:rPr>
            </w:pPr>
            <w:r w:rsidRPr="006B4B3E">
              <w:rPr>
                <w:sz w:val="20"/>
              </w:rPr>
              <w:t>April 22, 2021</w:t>
            </w:r>
          </w:p>
          <w:p w:rsidR="00130B50" w:rsidRPr="006B4B3E" w:rsidRDefault="00130B50" w:rsidP="006B4B3E">
            <w:pPr>
              <w:jc w:val="both"/>
              <w:rPr>
                <w:sz w:val="20"/>
              </w:rPr>
            </w:pPr>
            <w:r w:rsidRPr="006B4B3E">
              <w:rPr>
                <w:sz w:val="20"/>
              </w:rPr>
              <w:t>Supreme Court of Canada</w:t>
            </w:r>
          </w:p>
        </w:tc>
        <w:tc>
          <w:tcPr>
            <w:tcW w:w="243" w:type="pct"/>
          </w:tcPr>
          <w:p w:rsidR="00130B50" w:rsidRPr="006B4B3E" w:rsidRDefault="00130B50" w:rsidP="006B4B3E">
            <w:pPr>
              <w:jc w:val="both"/>
              <w:rPr>
                <w:sz w:val="20"/>
              </w:rPr>
            </w:pPr>
          </w:p>
        </w:tc>
        <w:tc>
          <w:tcPr>
            <w:tcW w:w="2330" w:type="pct"/>
          </w:tcPr>
          <w:p w:rsidR="00130B50" w:rsidRPr="006B4B3E" w:rsidRDefault="00130B50" w:rsidP="006B4B3E">
            <w:pPr>
              <w:jc w:val="both"/>
              <w:rPr>
                <w:sz w:val="20"/>
              </w:rPr>
            </w:pPr>
            <w:r w:rsidRPr="006B4B3E">
              <w:rPr>
                <w:sz w:val="20"/>
              </w:rPr>
              <w:t>Application for leave to appeal filed</w:t>
            </w:r>
          </w:p>
          <w:p w:rsidR="00130B50" w:rsidRPr="006B4B3E" w:rsidRDefault="00130B50" w:rsidP="006B4B3E">
            <w:pPr>
              <w:jc w:val="both"/>
              <w:rPr>
                <w:sz w:val="20"/>
              </w:rPr>
            </w:pPr>
          </w:p>
        </w:tc>
      </w:tr>
    </w:tbl>
    <w:p w:rsidR="00130B50" w:rsidRPr="006B4B3E" w:rsidRDefault="00130B50" w:rsidP="006B4B3E">
      <w:pPr>
        <w:jc w:val="both"/>
        <w:rPr>
          <w:sz w:val="20"/>
        </w:rPr>
      </w:pPr>
    </w:p>
    <w:p w:rsidR="00130B50" w:rsidRPr="006B4B3E" w:rsidRDefault="008C0899" w:rsidP="006B4B3E">
      <w:pPr>
        <w:jc w:val="both"/>
        <w:rPr>
          <w:sz w:val="20"/>
        </w:rPr>
      </w:pPr>
      <w:r>
        <w:rPr>
          <w:sz w:val="20"/>
        </w:rPr>
        <w:pict>
          <v:rect id="_x0000_i1035" style="width:2in;height:1pt" o:hrpct="0" o:hralign="center" o:hrstd="t" o:hrnoshade="t" o:hr="t" fillcolor="black [3213]" stroked="f"/>
        </w:pict>
      </w:r>
    </w:p>
    <w:p w:rsidR="00130B50" w:rsidRPr="006B4B3E" w:rsidRDefault="00130B50" w:rsidP="006B4B3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0B50" w:rsidRPr="006B4B3E" w:rsidTr="00A144CA">
        <w:tc>
          <w:tcPr>
            <w:tcW w:w="543" w:type="pct"/>
          </w:tcPr>
          <w:p w:rsidR="00130B50" w:rsidRPr="006B4B3E" w:rsidRDefault="00130B50" w:rsidP="006B4B3E">
            <w:pPr>
              <w:jc w:val="both"/>
              <w:rPr>
                <w:sz w:val="20"/>
                <w:lang w:val="fr-CA"/>
              </w:rPr>
            </w:pPr>
            <w:r w:rsidRPr="006B4B3E">
              <w:rPr>
                <w:rStyle w:val="SCCFileNumberChar"/>
                <w:sz w:val="20"/>
                <w:szCs w:val="20"/>
                <w:lang w:val="fr-CA"/>
              </w:rPr>
              <w:t>39641</w:t>
            </w:r>
          </w:p>
        </w:tc>
        <w:tc>
          <w:tcPr>
            <w:tcW w:w="4457" w:type="pct"/>
            <w:gridSpan w:val="3"/>
          </w:tcPr>
          <w:p w:rsidR="00130B50" w:rsidRPr="006B4B3E" w:rsidRDefault="00130B50" w:rsidP="006B4B3E">
            <w:pPr>
              <w:pStyle w:val="SCCLsocParty"/>
              <w:jc w:val="both"/>
              <w:rPr>
                <w:b/>
                <w:sz w:val="20"/>
                <w:szCs w:val="20"/>
              </w:rPr>
            </w:pPr>
            <w:r w:rsidRPr="006B4B3E">
              <w:rPr>
                <w:b/>
                <w:sz w:val="20"/>
                <w:szCs w:val="20"/>
              </w:rPr>
              <w:t>Jason Windebank c. Sa Majesté la Reine</w:t>
            </w:r>
          </w:p>
          <w:p w:rsidR="00130B50" w:rsidRPr="006B4B3E" w:rsidRDefault="00130B50" w:rsidP="006B4B3E">
            <w:pPr>
              <w:jc w:val="both"/>
              <w:rPr>
                <w:sz w:val="20"/>
                <w:lang w:val="fr-CA"/>
              </w:rPr>
            </w:pPr>
            <w:r w:rsidRPr="006B4B3E">
              <w:rPr>
                <w:sz w:val="20"/>
                <w:lang w:val="fr-CA"/>
              </w:rPr>
              <w:t>(Ont.) (Criminelle) (Sur autorisation)</w:t>
            </w:r>
          </w:p>
        </w:tc>
      </w:tr>
      <w:tr w:rsidR="00130B50" w:rsidRPr="008C0899" w:rsidTr="00A144CA">
        <w:tc>
          <w:tcPr>
            <w:tcW w:w="5000" w:type="pct"/>
            <w:gridSpan w:val="4"/>
          </w:tcPr>
          <w:p w:rsidR="00130B50" w:rsidRPr="006B4B3E" w:rsidRDefault="00130B50" w:rsidP="006B4B3E">
            <w:pPr>
              <w:jc w:val="both"/>
              <w:rPr>
                <w:sz w:val="20"/>
                <w:lang w:val="fr-CA"/>
              </w:rPr>
            </w:pPr>
            <w:r w:rsidRPr="006B4B3E">
              <w:rPr>
                <w:sz w:val="20"/>
                <w:lang w:val="fr-CA"/>
              </w:rPr>
              <w:t xml:space="preserve">Droit criminel — Enquête préliminaire — Législation — Interprétation — L’accusé invoque son droit à une enquête préliminaire puisque le ministère public réclame une déclaration de délinquant dangereux à son égard qui pourrait potentiellement étendre sa période d’emprisonnement au-delà du seuil de quatorze ans — Le droit à une enquête préliminaire en vertu de l’art. 535 du </w:t>
            </w:r>
            <w:r w:rsidRPr="006B4B3E">
              <w:rPr>
                <w:i/>
                <w:sz w:val="20"/>
                <w:lang w:val="fr-CA"/>
              </w:rPr>
              <w:t>Code criminel</w:t>
            </w:r>
            <w:r w:rsidRPr="006B4B3E">
              <w:rPr>
                <w:sz w:val="20"/>
                <w:lang w:val="fr-CA"/>
              </w:rPr>
              <w:t xml:space="preserve"> est</w:t>
            </w:r>
            <w:r w:rsidRPr="006B4B3E">
              <w:rPr>
                <w:sz w:val="20"/>
                <w:lang w:val="fr-CA"/>
              </w:rPr>
              <w:noBreakHyphen/>
              <w:t>il établi en fonction des véritables sanctions criminelles auxquelles fait face l’accusé?</w:t>
            </w:r>
          </w:p>
        </w:tc>
      </w:tr>
      <w:tr w:rsidR="00130B50" w:rsidRPr="008C0899" w:rsidTr="00A144CA">
        <w:tc>
          <w:tcPr>
            <w:tcW w:w="5000" w:type="pct"/>
            <w:gridSpan w:val="4"/>
          </w:tcPr>
          <w:p w:rsidR="00130B50" w:rsidRPr="006B4B3E" w:rsidRDefault="00130B50" w:rsidP="006B4B3E">
            <w:pPr>
              <w:jc w:val="both"/>
              <w:rPr>
                <w:sz w:val="20"/>
                <w:lang w:val="fr-CA"/>
              </w:rPr>
            </w:pPr>
          </w:p>
        </w:tc>
      </w:tr>
      <w:tr w:rsidR="00130B50" w:rsidRPr="008C0899" w:rsidTr="00A144CA">
        <w:tc>
          <w:tcPr>
            <w:tcW w:w="5000" w:type="pct"/>
            <w:gridSpan w:val="4"/>
          </w:tcPr>
          <w:p w:rsidR="00130B50" w:rsidRPr="006B4B3E" w:rsidRDefault="00130B50" w:rsidP="006B4B3E">
            <w:pPr>
              <w:jc w:val="both"/>
              <w:rPr>
                <w:sz w:val="20"/>
                <w:lang w:val="fr-CA"/>
              </w:rPr>
            </w:pPr>
            <w:r w:rsidRPr="006B4B3E">
              <w:rPr>
                <w:sz w:val="20"/>
                <w:lang w:val="fr-CA"/>
              </w:rPr>
              <w:t>Le demandeur a été accusé d’un chef de voies de fait ayant causé des lésions corporelles en vertu de l’al. 267</w:t>
            </w:r>
            <w:r w:rsidRPr="006B4B3E">
              <w:rPr>
                <w:i/>
                <w:sz w:val="20"/>
                <w:lang w:val="fr-CA"/>
              </w:rPr>
              <w:t>b</w:t>
            </w:r>
            <w:r w:rsidRPr="006B4B3E">
              <w:rPr>
                <w:sz w:val="20"/>
                <w:lang w:val="fr-CA"/>
              </w:rPr>
              <w:t xml:space="preserve">) du </w:t>
            </w:r>
            <w:r w:rsidRPr="006B4B3E">
              <w:rPr>
                <w:i/>
                <w:sz w:val="20"/>
                <w:lang w:val="fr-CA"/>
              </w:rPr>
              <w:t xml:space="preserve">Code criminel </w:t>
            </w:r>
            <w:r w:rsidRPr="006B4B3E">
              <w:rPr>
                <w:sz w:val="20"/>
                <w:lang w:val="fr-CA"/>
              </w:rPr>
              <w:t>et d’un chef de voies de fait par étouffement en vertu de l’al. 267</w:t>
            </w:r>
            <w:r w:rsidRPr="006B4B3E">
              <w:rPr>
                <w:i/>
                <w:sz w:val="20"/>
                <w:lang w:val="fr-CA"/>
              </w:rPr>
              <w:t>c</w:t>
            </w:r>
            <w:r w:rsidRPr="006B4B3E">
              <w:rPr>
                <w:sz w:val="20"/>
                <w:lang w:val="fr-CA"/>
              </w:rPr>
              <w:t xml:space="preserve">). S’il était déclaré coupable de ces infractions, la peine minimale serait de dix ans si le ministère public décidait de procéder par voie d’acte d’accusation. Conformément à l’art. 535 du </w:t>
            </w:r>
            <w:r w:rsidRPr="006B4B3E">
              <w:rPr>
                <w:i/>
                <w:sz w:val="20"/>
                <w:lang w:val="fr-CA"/>
              </w:rPr>
              <w:t>Code criminel</w:t>
            </w:r>
            <w:r w:rsidRPr="006B4B3E">
              <w:rPr>
                <w:sz w:val="20"/>
                <w:lang w:val="fr-CA"/>
              </w:rPr>
              <w:t xml:space="preserve">, le droit d’un accusé à une enquête préliminaire était réservé aux infractions punissables d’une peine maximale d’au moins quatorze ans. Le ministère public a avisé M. Windebank avant le procès que, s’il était déclaré coupable, le ministère public avait l’intention de présenter une demande d’évaluation en vertu de l’art. 752.1 du </w:t>
            </w:r>
            <w:r w:rsidRPr="006B4B3E">
              <w:rPr>
                <w:i/>
                <w:sz w:val="20"/>
                <w:lang w:val="fr-CA"/>
              </w:rPr>
              <w:t>Code criminel</w:t>
            </w:r>
            <w:r w:rsidRPr="006B4B3E">
              <w:rPr>
                <w:sz w:val="20"/>
                <w:lang w:val="fr-CA"/>
              </w:rPr>
              <w:t>, soit la première étape de la procédure de demande en vue de le déclarer comme étant un délinquant dangereux (« DD »). Si la demande du ministère public était accueillie, la peine de M. Windebank pourrait dépasser quatorze ans.</w:t>
            </w:r>
          </w:p>
          <w:p w:rsidR="00130B50" w:rsidRPr="006B4B3E" w:rsidRDefault="00130B50" w:rsidP="006B4B3E">
            <w:pPr>
              <w:jc w:val="both"/>
              <w:rPr>
                <w:sz w:val="20"/>
                <w:lang w:val="fr-CA"/>
              </w:rPr>
            </w:pPr>
          </w:p>
          <w:p w:rsidR="00130B50" w:rsidRPr="006B4B3E" w:rsidRDefault="00130B50" w:rsidP="006B4B3E">
            <w:pPr>
              <w:jc w:val="both"/>
              <w:rPr>
                <w:sz w:val="20"/>
                <w:lang w:val="fr-CA"/>
              </w:rPr>
            </w:pPr>
            <w:r w:rsidRPr="006B4B3E">
              <w:rPr>
                <w:sz w:val="20"/>
                <w:lang w:val="fr-CA"/>
              </w:rPr>
              <w:t>M. Windebank a formellement avisé le ministère public de son choix de procéder à l’enquête préliminaire à la date qui avait été fixée pour le procès au motif qu’il risquait de se voir imposer une peine pour une période indéterminée pouvant être bien supérieure à quatorze ans, s’il était déclaré coupable et que la demande du ministère publie en vue de le désigner comme étant un DD était accueillie. Le ministère public a fait valoir que le procès, et non l’enquête préliminaire, devait avoir lieu à la date fixée. La juge saisie de la demande a conclu que M. Windebank avait droit à l’enquête préliminaire eu égard aux circonstances de l’affaire. La demande de contrôle judiciaire de cette décision présentée par le ministère public a été rejetée. L’appel du ministère public a été accueilli. M. Windebank n’a pas eu droit à une enquête préliminaire.</w:t>
            </w:r>
          </w:p>
          <w:p w:rsidR="00130B50" w:rsidRPr="006B4B3E" w:rsidRDefault="00130B50" w:rsidP="006B4B3E">
            <w:pPr>
              <w:jc w:val="both"/>
              <w:rPr>
                <w:sz w:val="20"/>
                <w:lang w:val="fr-CA"/>
              </w:rPr>
            </w:pPr>
          </w:p>
        </w:tc>
      </w:tr>
      <w:tr w:rsidR="00130B50" w:rsidRPr="008C0899" w:rsidTr="00A144CA">
        <w:tc>
          <w:tcPr>
            <w:tcW w:w="2427" w:type="pct"/>
            <w:gridSpan w:val="2"/>
          </w:tcPr>
          <w:p w:rsidR="00130B50" w:rsidRPr="006B4B3E" w:rsidRDefault="00130B50" w:rsidP="006B4B3E">
            <w:pPr>
              <w:jc w:val="both"/>
              <w:rPr>
                <w:sz w:val="20"/>
                <w:lang w:val="fr-CA"/>
              </w:rPr>
            </w:pPr>
            <w:r w:rsidRPr="006B4B3E">
              <w:rPr>
                <w:sz w:val="20"/>
                <w:lang w:val="fr-CA"/>
              </w:rPr>
              <w:t>20 novembre 2020</w:t>
            </w:r>
          </w:p>
          <w:p w:rsidR="00130B50" w:rsidRPr="006B4B3E" w:rsidRDefault="00130B50" w:rsidP="006B4B3E">
            <w:pPr>
              <w:jc w:val="both"/>
              <w:rPr>
                <w:sz w:val="20"/>
                <w:lang w:val="fr-CA"/>
              </w:rPr>
            </w:pPr>
            <w:r w:rsidRPr="006B4B3E">
              <w:rPr>
                <w:sz w:val="20"/>
                <w:lang w:val="fr-CA"/>
              </w:rPr>
              <w:t xml:space="preserve">Cour supérieure de justice de l’Ontario </w:t>
            </w:r>
          </w:p>
          <w:p w:rsidR="00130B50" w:rsidRPr="006B4B3E" w:rsidRDefault="00130B50" w:rsidP="006B4B3E">
            <w:pPr>
              <w:jc w:val="both"/>
              <w:rPr>
                <w:sz w:val="20"/>
                <w:lang w:val="fr-CA"/>
              </w:rPr>
            </w:pPr>
            <w:r w:rsidRPr="006B4B3E">
              <w:rPr>
                <w:sz w:val="20"/>
                <w:lang w:val="fr-CA"/>
              </w:rPr>
              <w:t>(juge Bhabha)</w:t>
            </w:r>
          </w:p>
          <w:p w:rsidR="00130B50" w:rsidRPr="006B4B3E" w:rsidRDefault="00130B50" w:rsidP="006B4B3E">
            <w:pPr>
              <w:jc w:val="both"/>
              <w:rPr>
                <w:sz w:val="20"/>
                <w:lang w:val="fr-CA"/>
              </w:rPr>
            </w:pPr>
            <w:r w:rsidRPr="006B4B3E">
              <w:rPr>
                <w:sz w:val="20"/>
                <w:lang w:val="fr-CA"/>
              </w:rPr>
              <w:t>Non publié</w:t>
            </w:r>
          </w:p>
          <w:p w:rsidR="00130B50" w:rsidRPr="006B4B3E" w:rsidRDefault="00130B50" w:rsidP="006B4B3E">
            <w:pPr>
              <w:jc w:val="both"/>
              <w:rPr>
                <w:sz w:val="20"/>
                <w:lang w:val="fr-CA"/>
              </w:rPr>
            </w:pPr>
          </w:p>
        </w:tc>
        <w:tc>
          <w:tcPr>
            <w:tcW w:w="243" w:type="pct"/>
          </w:tcPr>
          <w:p w:rsidR="00130B50" w:rsidRPr="006B4B3E" w:rsidRDefault="00130B50" w:rsidP="006B4B3E">
            <w:pPr>
              <w:jc w:val="both"/>
              <w:rPr>
                <w:sz w:val="20"/>
                <w:lang w:val="fr-CA"/>
              </w:rPr>
            </w:pPr>
          </w:p>
        </w:tc>
        <w:tc>
          <w:tcPr>
            <w:tcW w:w="2330" w:type="pct"/>
          </w:tcPr>
          <w:p w:rsidR="00130B50" w:rsidRPr="006B4B3E" w:rsidRDefault="00130B50" w:rsidP="006B4B3E">
            <w:pPr>
              <w:jc w:val="both"/>
              <w:rPr>
                <w:sz w:val="20"/>
                <w:lang w:val="fr-CA"/>
              </w:rPr>
            </w:pPr>
            <w:r w:rsidRPr="006B4B3E">
              <w:rPr>
                <w:sz w:val="20"/>
                <w:lang w:val="fr-CA"/>
              </w:rPr>
              <w:t>La Cour supérieure a statué que le demandeur avait droit à une enquête préliminaire.</w:t>
            </w:r>
          </w:p>
          <w:p w:rsidR="00130B50" w:rsidRPr="006B4B3E" w:rsidRDefault="00130B50" w:rsidP="006B4B3E">
            <w:pPr>
              <w:jc w:val="both"/>
              <w:rPr>
                <w:sz w:val="20"/>
                <w:lang w:val="fr-CA"/>
              </w:rPr>
            </w:pPr>
          </w:p>
        </w:tc>
      </w:tr>
      <w:tr w:rsidR="00130B50" w:rsidRPr="008C0899" w:rsidTr="00A144CA">
        <w:tc>
          <w:tcPr>
            <w:tcW w:w="2427" w:type="pct"/>
            <w:gridSpan w:val="2"/>
          </w:tcPr>
          <w:p w:rsidR="00130B50" w:rsidRPr="006B4B3E" w:rsidRDefault="00130B50" w:rsidP="006B4B3E">
            <w:pPr>
              <w:jc w:val="both"/>
              <w:rPr>
                <w:sz w:val="20"/>
                <w:lang w:val="fr-CA"/>
              </w:rPr>
            </w:pPr>
            <w:r w:rsidRPr="006B4B3E">
              <w:rPr>
                <w:sz w:val="20"/>
                <w:lang w:val="fr-CA"/>
              </w:rPr>
              <w:t>27 novembre 2020</w:t>
            </w:r>
          </w:p>
          <w:p w:rsidR="00130B50" w:rsidRPr="006B4B3E" w:rsidRDefault="00130B50" w:rsidP="006B4B3E">
            <w:pPr>
              <w:jc w:val="both"/>
              <w:rPr>
                <w:sz w:val="20"/>
                <w:lang w:val="fr-CA"/>
              </w:rPr>
            </w:pPr>
            <w:r w:rsidRPr="006B4B3E">
              <w:rPr>
                <w:sz w:val="20"/>
                <w:lang w:val="fr-CA"/>
              </w:rPr>
              <w:t xml:space="preserve">Cour supérieure de justice de l’Ontario </w:t>
            </w:r>
          </w:p>
          <w:p w:rsidR="00130B50" w:rsidRPr="006B4B3E" w:rsidRDefault="00130B50" w:rsidP="006B4B3E">
            <w:pPr>
              <w:jc w:val="both"/>
              <w:rPr>
                <w:sz w:val="20"/>
                <w:lang w:val="fr-CA"/>
              </w:rPr>
            </w:pPr>
            <w:r w:rsidRPr="006B4B3E">
              <w:rPr>
                <w:sz w:val="20"/>
                <w:lang w:val="fr-CA"/>
              </w:rPr>
              <w:t>(juge Quigley)</w:t>
            </w:r>
          </w:p>
          <w:p w:rsidR="00130B50" w:rsidRPr="006B4B3E" w:rsidRDefault="008C0899" w:rsidP="006B4B3E">
            <w:pPr>
              <w:jc w:val="both"/>
              <w:rPr>
                <w:sz w:val="20"/>
                <w:lang w:val="fr-CA"/>
              </w:rPr>
            </w:pPr>
            <w:hyperlink r:id="rId25" w:history="1">
              <w:r w:rsidR="00130B50" w:rsidRPr="006B4B3E">
                <w:rPr>
                  <w:rStyle w:val="Hyperlink"/>
                  <w:sz w:val="20"/>
                  <w:lang w:val="fr-CA"/>
                </w:rPr>
                <w:t>2020 ONSC 8107</w:t>
              </w:r>
            </w:hyperlink>
          </w:p>
          <w:p w:rsidR="00130B50" w:rsidRPr="006B4B3E" w:rsidRDefault="00130B50" w:rsidP="006B4B3E">
            <w:pPr>
              <w:jc w:val="both"/>
              <w:rPr>
                <w:sz w:val="20"/>
                <w:lang w:val="fr-CA"/>
              </w:rPr>
            </w:pPr>
          </w:p>
        </w:tc>
        <w:tc>
          <w:tcPr>
            <w:tcW w:w="243" w:type="pct"/>
          </w:tcPr>
          <w:p w:rsidR="00130B50" w:rsidRPr="006B4B3E" w:rsidRDefault="00130B50" w:rsidP="006B4B3E">
            <w:pPr>
              <w:jc w:val="both"/>
              <w:rPr>
                <w:sz w:val="20"/>
                <w:lang w:val="fr-CA"/>
              </w:rPr>
            </w:pPr>
          </w:p>
        </w:tc>
        <w:tc>
          <w:tcPr>
            <w:tcW w:w="2330" w:type="pct"/>
          </w:tcPr>
          <w:p w:rsidR="00130B50" w:rsidRPr="006B4B3E" w:rsidRDefault="00130B50" w:rsidP="006B4B3E">
            <w:pPr>
              <w:jc w:val="both"/>
              <w:rPr>
                <w:sz w:val="20"/>
                <w:lang w:val="fr-CA"/>
              </w:rPr>
            </w:pPr>
            <w:r w:rsidRPr="006B4B3E">
              <w:rPr>
                <w:sz w:val="20"/>
                <w:lang w:val="fr-CA"/>
              </w:rPr>
              <w:t xml:space="preserve">La demande de contrôle judiciaire et d’ordonnances de la nature d’un </w:t>
            </w:r>
            <w:r w:rsidRPr="006B4B3E">
              <w:rPr>
                <w:i/>
                <w:sz w:val="20"/>
                <w:lang w:val="fr-CA"/>
              </w:rPr>
              <w:t>certiorari</w:t>
            </w:r>
            <w:r w:rsidRPr="006B4B3E">
              <w:rPr>
                <w:sz w:val="20"/>
                <w:lang w:val="fr-CA"/>
              </w:rPr>
              <w:t xml:space="preserve"> assorti d’un bref de mandamus et d’un bref de prohibition visant à annuler l’enquête préliminaire présentée par le ministère public est rejetée.</w:t>
            </w:r>
          </w:p>
          <w:p w:rsidR="00130B50" w:rsidRPr="006B4B3E" w:rsidRDefault="00130B50" w:rsidP="006B4B3E">
            <w:pPr>
              <w:jc w:val="both"/>
              <w:rPr>
                <w:sz w:val="20"/>
                <w:lang w:val="fr-CA"/>
              </w:rPr>
            </w:pPr>
          </w:p>
        </w:tc>
      </w:tr>
      <w:tr w:rsidR="00130B50" w:rsidRPr="008C0899" w:rsidTr="00A144CA">
        <w:tc>
          <w:tcPr>
            <w:tcW w:w="2427" w:type="pct"/>
            <w:gridSpan w:val="2"/>
          </w:tcPr>
          <w:p w:rsidR="00130B50" w:rsidRPr="006B4B3E" w:rsidRDefault="00130B50" w:rsidP="006B4B3E">
            <w:pPr>
              <w:jc w:val="both"/>
              <w:rPr>
                <w:sz w:val="20"/>
                <w:lang w:val="fr-CA"/>
              </w:rPr>
            </w:pPr>
            <w:r w:rsidRPr="006B4B3E">
              <w:rPr>
                <w:sz w:val="20"/>
                <w:lang w:val="fr-CA"/>
              </w:rPr>
              <w:t>12 mars 2021</w:t>
            </w:r>
          </w:p>
          <w:p w:rsidR="00130B50" w:rsidRPr="006B4B3E" w:rsidRDefault="00130B50" w:rsidP="006B4B3E">
            <w:pPr>
              <w:jc w:val="both"/>
              <w:rPr>
                <w:sz w:val="20"/>
                <w:lang w:val="fr-CA"/>
              </w:rPr>
            </w:pPr>
            <w:r w:rsidRPr="006B4B3E">
              <w:rPr>
                <w:sz w:val="20"/>
                <w:lang w:val="fr-CA"/>
              </w:rPr>
              <w:t>Cour d’appel de l’Ontario</w:t>
            </w:r>
          </w:p>
          <w:p w:rsidR="00130B50" w:rsidRPr="006B4B3E" w:rsidRDefault="00130B50" w:rsidP="006B4B3E">
            <w:pPr>
              <w:jc w:val="both"/>
              <w:rPr>
                <w:sz w:val="20"/>
                <w:lang w:val="fr-CA"/>
              </w:rPr>
            </w:pPr>
            <w:r w:rsidRPr="006B4B3E">
              <w:rPr>
                <w:sz w:val="20"/>
                <w:lang w:val="fr-CA"/>
              </w:rPr>
              <w:t>(juges MacPherson, Gillese et Nordheimer)</w:t>
            </w:r>
          </w:p>
          <w:p w:rsidR="00130B50" w:rsidRPr="006B4B3E" w:rsidRDefault="008C0899" w:rsidP="006B4B3E">
            <w:pPr>
              <w:jc w:val="both"/>
              <w:rPr>
                <w:sz w:val="20"/>
                <w:lang w:val="fr-CA"/>
              </w:rPr>
            </w:pPr>
            <w:hyperlink r:id="rId26" w:history="1">
              <w:r w:rsidR="00130B50" w:rsidRPr="006B4B3E">
                <w:rPr>
                  <w:rStyle w:val="Hyperlink"/>
                  <w:sz w:val="20"/>
                  <w:lang w:val="fr-CA"/>
                </w:rPr>
                <w:t>2021 ONCA 157</w:t>
              </w:r>
            </w:hyperlink>
          </w:p>
          <w:p w:rsidR="00130B50" w:rsidRPr="006B4B3E" w:rsidRDefault="00130B50" w:rsidP="006B4B3E">
            <w:pPr>
              <w:jc w:val="both"/>
              <w:rPr>
                <w:sz w:val="20"/>
                <w:lang w:val="fr-CA"/>
              </w:rPr>
            </w:pPr>
          </w:p>
        </w:tc>
        <w:tc>
          <w:tcPr>
            <w:tcW w:w="243" w:type="pct"/>
          </w:tcPr>
          <w:p w:rsidR="00130B50" w:rsidRPr="006B4B3E" w:rsidRDefault="00130B50" w:rsidP="006B4B3E">
            <w:pPr>
              <w:jc w:val="both"/>
              <w:rPr>
                <w:sz w:val="20"/>
                <w:lang w:val="fr-CA"/>
              </w:rPr>
            </w:pPr>
          </w:p>
        </w:tc>
        <w:tc>
          <w:tcPr>
            <w:tcW w:w="2330" w:type="pct"/>
          </w:tcPr>
          <w:p w:rsidR="00130B50" w:rsidRPr="006B4B3E" w:rsidRDefault="00130B50" w:rsidP="006B4B3E">
            <w:pPr>
              <w:jc w:val="both"/>
              <w:rPr>
                <w:sz w:val="20"/>
                <w:lang w:val="fr-CA"/>
              </w:rPr>
            </w:pPr>
            <w:r w:rsidRPr="006B4B3E">
              <w:rPr>
                <w:sz w:val="20"/>
                <w:lang w:val="fr-CA"/>
              </w:rPr>
              <w:t>L’appel du ministère public est accueilli; le demandeur n’a pas droit à une enquête préliminaire.</w:t>
            </w:r>
          </w:p>
          <w:p w:rsidR="00130B50" w:rsidRPr="006B4B3E" w:rsidRDefault="00130B50" w:rsidP="006B4B3E">
            <w:pPr>
              <w:jc w:val="both"/>
              <w:rPr>
                <w:sz w:val="20"/>
                <w:lang w:val="fr-CA"/>
              </w:rPr>
            </w:pPr>
          </w:p>
          <w:p w:rsidR="00130B50" w:rsidRPr="006B4B3E" w:rsidRDefault="00130B50" w:rsidP="006B4B3E">
            <w:pPr>
              <w:jc w:val="both"/>
              <w:rPr>
                <w:sz w:val="20"/>
                <w:lang w:val="fr-CA"/>
              </w:rPr>
            </w:pPr>
          </w:p>
        </w:tc>
      </w:tr>
      <w:tr w:rsidR="00130B50" w:rsidRPr="008C0899" w:rsidTr="00A144CA">
        <w:tc>
          <w:tcPr>
            <w:tcW w:w="2427" w:type="pct"/>
            <w:gridSpan w:val="2"/>
          </w:tcPr>
          <w:p w:rsidR="00130B50" w:rsidRPr="006B4B3E" w:rsidRDefault="00130B50" w:rsidP="006B4B3E">
            <w:pPr>
              <w:jc w:val="both"/>
              <w:rPr>
                <w:sz w:val="20"/>
                <w:lang w:val="fr-CA"/>
              </w:rPr>
            </w:pPr>
            <w:r w:rsidRPr="006B4B3E">
              <w:rPr>
                <w:sz w:val="20"/>
                <w:lang w:val="fr-CA"/>
              </w:rPr>
              <w:t>22 avril 2021</w:t>
            </w:r>
          </w:p>
          <w:p w:rsidR="00130B50" w:rsidRPr="006B4B3E" w:rsidRDefault="00130B50" w:rsidP="006B4B3E">
            <w:pPr>
              <w:jc w:val="both"/>
              <w:rPr>
                <w:sz w:val="20"/>
                <w:lang w:val="fr-CA"/>
              </w:rPr>
            </w:pPr>
            <w:r w:rsidRPr="006B4B3E">
              <w:rPr>
                <w:sz w:val="20"/>
                <w:lang w:val="fr-CA"/>
              </w:rPr>
              <w:t>Cour suprême du Canada</w:t>
            </w:r>
          </w:p>
        </w:tc>
        <w:tc>
          <w:tcPr>
            <w:tcW w:w="243" w:type="pct"/>
          </w:tcPr>
          <w:p w:rsidR="00130B50" w:rsidRPr="006B4B3E" w:rsidRDefault="00130B50" w:rsidP="006B4B3E">
            <w:pPr>
              <w:jc w:val="both"/>
              <w:rPr>
                <w:sz w:val="20"/>
                <w:lang w:val="fr-CA"/>
              </w:rPr>
            </w:pPr>
          </w:p>
        </w:tc>
        <w:tc>
          <w:tcPr>
            <w:tcW w:w="2330" w:type="pct"/>
          </w:tcPr>
          <w:p w:rsidR="00130B50" w:rsidRPr="006B4B3E" w:rsidRDefault="00130B50" w:rsidP="006B4B3E">
            <w:pPr>
              <w:jc w:val="both"/>
              <w:rPr>
                <w:sz w:val="20"/>
                <w:lang w:val="fr-CA"/>
              </w:rPr>
            </w:pPr>
            <w:r w:rsidRPr="006B4B3E">
              <w:rPr>
                <w:sz w:val="20"/>
                <w:lang w:val="fr-CA"/>
              </w:rPr>
              <w:t>La demande d’autorisation d’appel est présentée.</w:t>
            </w:r>
          </w:p>
          <w:p w:rsidR="00130B50" w:rsidRPr="006B4B3E" w:rsidRDefault="00130B50" w:rsidP="006B4B3E">
            <w:pPr>
              <w:jc w:val="both"/>
              <w:rPr>
                <w:sz w:val="20"/>
                <w:lang w:val="fr-CA"/>
              </w:rPr>
            </w:pPr>
          </w:p>
        </w:tc>
      </w:tr>
    </w:tbl>
    <w:p w:rsidR="00DF2FFE" w:rsidRPr="006B4B3E" w:rsidRDefault="00DF2FFE" w:rsidP="006B4B3E">
      <w:pPr>
        <w:widowControl w:val="0"/>
        <w:jc w:val="both"/>
        <w:rPr>
          <w:sz w:val="20"/>
          <w:lang w:val="fr-CA"/>
        </w:rPr>
      </w:pPr>
    </w:p>
    <w:p w:rsidR="00DF2FFE" w:rsidRPr="006B4B3E" w:rsidRDefault="008C0899" w:rsidP="006B4B3E">
      <w:pPr>
        <w:widowControl w:val="0"/>
        <w:jc w:val="both"/>
        <w:rPr>
          <w:sz w:val="20"/>
          <w:lang w:val="fr-CA"/>
        </w:rPr>
      </w:pPr>
      <w:r>
        <w:rPr>
          <w:sz w:val="20"/>
        </w:rPr>
        <w:pict>
          <v:rect id="_x0000_i1036" style="width:2in;height:1pt" o:hrpct="0" o:hralign="center" o:hrstd="t" o:hrnoshade="t" o:hr="t" fillcolor="black [3213]" stroked="f"/>
        </w:pict>
      </w:r>
    </w:p>
    <w:p w:rsidR="00DF2FFE" w:rsidRPr="006B4B3E" w:rsidRDefault="00DF2FFE" w:rsidP="006B4B3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6B4B3E" w:rsidTr="00A144CA">
        <w:tc>
          <w:tcPr>
            <w:tcW w:w="543" w:type="pct"/>
          </w:tcPr>
          <w:p w:rsidR="00341D04" w:rsidRPr="006B4B3E" w:rsidRDefault="00341D04" w:rsidP="006B4B3E">
            <w:pPr>
              <w:jc w:val="both"/>
              <w:rPr>
                <w:sz w:val="20"/>
              </w:rPr>
            </w:pPr>
            <w:r w:rsidRPr="006B4B3E">
              <w:rPr>
                <w:rStyle w:val="SCCFileNumberChar"/>
                <w:sz w:val="20"/>
                <w:szCs w:val="20"/>
              </w:rPr>
              <w:t>39648</w:t>
            </w:r>
          </w:p>
        </w:tc>
        <w:tc>
          <w:tcPr>
            <w:tcW w:w="4457" w:type="pct"/>
            <w:gridSpan w:val="3"/>
          </w:tcPr>
          <w:p w:rsidR="00341D04" w:rsidRPr="006B4B3E" w:rsidRDefault="00341D04" w:rsidP="006B4B3E">
            <w:pPr>
              <w:pStyle w:val="SCCLsocParty"/>
              <w:jc w:val="both"/>
              <w:rPr>
                <w:b/>
                <w:sz w:val="20"/>
                <w:szCs w:val="20"/>
                <w:lang w:val="en-US"/>
              </w:rPr>
            </w:pPr>
            <w:r w:rsidRPr="006B4B3E">
              <w:rPr>
                <w:b/>
                <w:sz w:val="20"/>
                <w:szCs w:val="20"/>
                <w:lang w:val="en-US"/>
              </w:rPr>
              <w:t>Michael Joseph Jerace v. Her Majesty the Queen</w:t>
            </w:r>
          </w:p>
          <w:p w:rsidR="00341D04" w:rsidRPr="006B4B3E" w:rsidRDefault="00341D04" w:rsidP="006B4B3E">
            <w:pPr>
              <w:jc w:val="both"/>
              <w:rPr>
                <w:sz w:val="20"/>
              </w:rPr>
            </w:pPr>
            <w:r w:rsidRPr="006B4B3E">
              <w:rPr>
                <w:sz w:val="20"/>
              </w:rPr>
              <w:t>(B.C.) (Criminal) (By Leave)</w:t>
            </w:r>
          </w:p>
        </w:tc>
      </w:tr>
      <w:tr w:rsidR="00341D04" w:rsidRPr="006B4B3E" w:rsidTr="00A144CA">
        <w:tc>
          <w:tcPr>
            <w:tcW w:w="5000" w:type="pct"/>
            <w:gridSpan w:val="4"/>
          </w:tcPr>
          <w:p w:rsidR="00341D04" w:rsidRPr="006B4B3E" w:rsidRDefault="00341D04" w:rsidP="006B4B3E">
            <w:pPr>
              <w:pStyle w:val="SCCBanSummary"/>
              <w:rPr>
                <w:sz w:val="20"/>
                <w:szCs w:val="20"/>
              </w:rPr>
            </w:pPr>
            <w:r w:rsidRPr="006B4B3E">
              <w:rPr>
                <w:sz w:val="20"/>
                <w:szCs w:val="20"/>
              </w:rPr>
              <w:t>(Publication ban in case) (Sealing order)</w:t>
            </w:r>
          </w:p>
          <w:p w:rsidR="00341D04" w:rsidRPr="006B4B3E" w:rsidRDefault="00341D04" w:rsidP="006B4B3E">
            <w:pPr>
              <w:jc w:val="both"/>
              <w:rPr>
                <w:sz w:val="20"/>
              </w:rPr>
            </w:pPr>
          </w:p>
        </w:tc>
      </w:tr>
      <w:tr w:rsidR="00341D04" w:rsidRPr="006B4B3E" w:rsidTr="00A144CA">
        <w:tc>
          <w:tcPr>
            <w:tcW w:w="5000" w:type="pct"/>
            <w:gridSpan w:val="4"/>
          </w:tcPr>
          <w:p w:rsidR="00341D04" w:rsidRPr="006B4B3E" w:rsidRDefault="00341D04" w:rsidP="006B4B3E">
            <w:pPr>
              <w:jc w:val="both"/>
              <w:rPr>
                <w:sz w:val="20"/>
              </w:rPr>
            </w:pPr>
            <w:r w:rsidRPr="006B4B3E">
              <w:rPr>
                <w:sz w:val="20"/>
              </w:rPr>
              <w:t xml:space="preserve">Criminal law – Offences – Elements of Offence – Does the accused’s failure to show he took “all reasonable steps” required under s. 150.1(4) of the </w:t>
            </w:r>
            <w:r w:rsidRPr="006B4B3E">
              <w:rPr>
                <w:i/>
                <w:sz w:val="20"/>
              </w:rPr>
              <w:t>Criminal Code</w:t>
            </w:r>
            <w:r w:rsidRPr="006B4B3E">
              <w:rPr>
                <w:sz w:val="20"/>
              </w:rPr>
              <w:t xml:space="preserve"> to ascertain that the victim of a sexual assault or sexual touching was over the age of 16 provide a basis for a conviction for sexual assault or sexual touching of a minor under ss. 271 and 151 of the </w:t>
            </w:r>
            <w:r w:rsidRPr="006B4B3E">
              <w:rPr>
                <w:i/>
                <w:sz w:val="20"/>
              </w:rPr>
              <w:t>Criminal Code</w:t>
            </w:r>
            <w:r w:rsidRPr="006B4B3E">
              <w:rPr>
                <w:sz w:val="20"/>
              </w:rPr>
              <w:t>, or must the Crown also prove beyond a reasonable doubt that the accused knew the other person was under the age of 16?</w:t>
            </w:r>
          </w:p>
          <w:p w:rsidR="00341D04" w:rsidRPr="006B4B3E" w:rsidRDefault="00341D04" w:rsidP="006B4B3E">
            <w:pPr>
              <w:jc w:val="both"/>
              <w:rPr>
                <w:sz w:val="20"/>
              </w:rPr>
            </w:pPr>
          </w:p>
        </w:tc>
      </w:tr>
      <w:tr w:rsidR="00341D04" w:rsidRPr="006B4B3E" w:rsidTr="00A144CA">
        <w:tc>
          <w:tcPr>
            <w:tcW w:w="5000" w:type="pct"/>
            <w:gridSpan w:val="4"/>
          </w:tcPr>
          <w:p w:rsidR="00341D04" w:rsidRPr="006B4B3E" w:rsidRDefault="00341D04" w:rsidP="006B4B3E">
            <w:pPr>
              <w:jc w:val="both"/>
              <w:rPr>
                <w:sz w:val="20"/>
              </w:rPr>
            </w:pPr>
            <w:r w:rsidRPr="006B4B3E">
              <w:rPr>
                <w:color w:val="000000"/>
                <w:sz w:val="20"/>
              </w:rPr>
              <w:t>The allegation at trial was that the applicant had sexual intercourse with the complainant when she was 14 years old and living with her father. The applicant’s main defence at trial was: having taken all reasonable steps to ascertain the complainant’s age, he honestly believed her to be at least 16 years old when the sexual activity took place.</w:t>
            </w:r>
            <w:r w:rsidRPr="006B4B3E">
              <w:rPr>
                <w:sz w:val="20"/>
                <w:lang w:val="en"/>
              </w:rPr>
              <w:t xml:space="preserve"> The applicant was found guilty by a jury of sexual assault and sexual interference. The conviction appeal was dismissed.</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t>December 4, 2013</w:t>
            </w:r>
          </w:p>
          <w:p w:rsidR="00341D04" w:rsidRPr="006B4B3E" w:rsidRDefault="00341D04" w:rsidP="006B4B3E">
            <w:pPr>
              <w:jc w:val="both"/>
              <w:rPr>
                <w:sz w:val="20"/>
              </w:rPr>
            </w:pPr>
            <w:r w:rsidRPr="006B4B3E">
              <w:rPr>
                <w:sz w:val="20"/>
              </w:rPr>
              <w:t>Supreme Court of British Columbia</w:t>
            </w:r>
          </w:p>
          <w:p w:rsidR="00341D04" w:rsidRPr="006B4B3E" w:rsidRDefault="00341D04" w:rsidP="006B4B3E">
            <w:pPr>
              <w:jc w:val="both"/>
              <w:rPr>
                <w:sz w:val="20"/>
              </w:rPr>
            </w:pPr>
            <w:r w:rsidRPr="006B4B3E">
              <w:rPr>
                <w:sz w:val="20"/>
              </w:rPr>
              <w:t>(Harvey J.)</w:t>
            </w:r>
          </w:p>
          <w:p w:rsidR="00341D04" w:rsidRPr="006B4B3E" w:rsidRDefault="00341D04" w:rsidP="006B4B3E">
            <w:pPr>
              <w:jc w:val="both"/>
              <w:rPr>
                <w:sz w:val="20"/>
              </w:rPr>
            </w:pPr>
            <w:r w:rsidRPr="006B4B3E">
              <w:rPr>
                <w:sz w:val="20"/>
              </w:rPr>
              <w:t>(unreported)</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Convictions entered: sexual interference and sexual assault</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t>March 3, 2021</w:t>
            </w:r>
          </w:p>
          <w:p w:rsidR="00341D04" w:rsidRPr="006B4B3E" w:rsidRDefault="00341D04" w:rsidP="006B4B3E">
            <w:pPr>
              <w:jc w:val="both"/>
              <w:rPr>
                <w:sz w:val="20"/>
              </w:rPr>
            </w:pPr>
            <w:r w:rsidRPr="006B4B3E">
              <w:rPr>
                <w:sz w:val="20"/>
              </w:rPr>
              <w:t xml:space="preserve">Court of Appeal for British Columbia </w:t>
            </w:r>
          </w:p>
          <w:p w:rsidR="00341D04" w:rsidRPr="006B4B3E" w:rsidRDefault="00341D04" w:rsidP="006B4B3E">
            <w:pPr>
              <w:jc w:val="both"/>
              <w:rPr>
                <w:sz w:val="20"/>
              </w:rPr>
            </w:pPr>
            <w:r w:rsidRPr="006B4B3E">
              <w:rPr>
                <w:sz w:val="20"/>
              </w:rPr>
              <w:t>(Vancouver)</w:t>
            </w:r>
          </w:p>
          <w:p w:rsidR="00341D04" w:rsidRPr="006B4B3E" w:rsidRDefault="00341D04" w:rsidP="006B4B3E">
            <w:pPr>
              <w:jc w:val="both"/>
              <w:rPr>
                <w:sz w:val="20"/>
              </w:rPr>
            </w:pPr>
            <w:r w:rsidRPr="006B4B3E">
              <w:rPr>
                <w:sz w:val="20"/>
              </w:rPr>
              <w:t>(Fenlon, Hunter and Butler JJ.A.)</w:t>
            </w:r>
          </w:p>
          <w:p w:rsidR="00341D04" w:rsidRPr="006B4B3E" w:rsidRDefault="008C0899" w:rsidP="006B4B3E">
            <w:pPr>
              <w:jc w:val="both"/>
              <w:rPr>
                <w:sz w:val="20"/>
              </w:rPr>
            </w:pPr>
            <w:hyperlink r:id="rId27" w:history="1">
              <w:r w:rsidR="00341D04" w:rsidRPr="006B4B3E">
                <w:rPr>
                  <w:rStyle w:val="Hyperlink"/>
                  <w:sz w:val="20"/>
                </w:rPr>
                <w:t>2021 BCCA 94</w:t>
              </w:r>
            </w:hyperlink>
            <w:r w:rsidR="00341D04" w:rsidRPr="006B4B3E">
              <w:rPr>
                <w:sz w:val="20"/>
              </w:rPr>
              <w:t>; CA43763</w:t>
            </w:r>
          </w:p>
          <w:p w:rsidR="00341D04" w:rsidRPr="006B4B3E" w:rsidRDefault="00341D04" w:rsidP="006B4B3E">
            <w:pPr>
              <w:jc w:val="both"/>
              <w:rPr>
                <w:sz w:val="20"/>
              </w:rPr>
            </w:pP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Appeal dismissed</w:t>
            </w:r>
          </w:p>
          <w:p w:rsidR="00341D04" w:rsidRPr="006B4B3E" w:rsidRDefault="00341D04" w:rsidP="006B4B3E">
            <w:pPr>
              <w:jc w:val="both"/>
              <w:rPr>
                <w:sz w:val="20"/>
              </w:rPr>
            </w:pPr>
          </w:p>
        </w:tc>
      </w:tr>
      <w:tr w:rsidR="00341D04" w:rsidRPr="006B4B3E" w:rsidTr="00A144CA">
        <w:tc>
          <w:tcPr>
            <w:tcW w:w="2427" w:type="pct"/>
            <w:gridSpan w:val="2"/>
          </w:tcPr>
          <w:p w:rsidR="00341D04" w:rsidRPr="006B4B3E" w:rsidRDefault="00341D04" w:rsidP="006B4B3E">
            <w:pPr>
              <w:jc w:val="both"/>
              <w:rPr>
                <w:sz w:val="20"/>
              </w:rPr>
            </w:pPr>
            <w:r w:rsidRPr="006B4B3E">
              <w:rPr>
                <w:sz w:val="20"/>
              </w:rPr>
              <w:t>April 30, 2021</w:t>
            </w:r>
          </w:p>
          <w:p w:rsidR="00341D04" w:rsidRPr="006B4B3E" w:rsidRDefault="00341D04" w:rsidP="006B4B3E">
            <w:pPr>
              <w:jc w:val="both"/>
              <w:rPr>
                <w:sz w:val="20"/>
              </w:rPr>
            </w:pPr>
            <w:r w:rsidRPr="006B4B3E">
              <w:rPr>
                <w:sz w:val="20"/>
              </w:rPr>
              <w:t>Supreme Court of Canada</w:t>
            </w:r>
          </w:p>
        </w:tc>
        <w:tc>
          <w:tcPr>
            <w:tcW w:w="243" w:type="pct"/>
          </w:tcPr>
          <w:p w:rsidR="00341D04" w:rsidRPr="006B4B3E" w:rsidRDefault="00341D04" w:rsidP="006B4B3E">
            <w:pPr>
              <w:jc w:val="both"/>
              <w:rPr>
                <w:sz w:val="20"/>
              </w:rPr>
            </w:pPr>
          </w:p>
        </w:tc>
        <w:tc>
          <w:tcPr>
            <w:tcW w:w="2330" w:type="pct"/>
          </w:tcPr>
          <w:p w:rsidR="00341D04" w:rsidRPr="006B4B3E" w:rsidRDefault="00341D04" w:rsidP="006B4B3E">
            <w:pPr>
              <w:jc w:val="both"/>
              <w:rPr>
                <w:sz w:val="20"/>
              </w:rPr>
            </w:pPr>
            <w:r w:rsidRPr="006B4B3E">
              <w:rPr>
                <w:sz w:val="20"/>
              </w:rPr>
              <w:t>Application for leave to appeal filed</w:t>
            </w:r>
          </w:p>
          <w:p w:rsidR="00341D04" w:rsidRPr="006B4B3E" w:rsidRDefault="00341D04" w:rsidP="006B4B3E">
            <w:pPr>
              <w:jc w:val="both"/>
              <w:rPr>
                <w:sz w:val="20"/>
              </w:rPr>
            </w:pPr>
          </w:p>
        </w:tc>
      </w:tr>
    </w:tbl>
    <w:p w:rsidR="00341D04" w:rsidRPr="006B4B3E" w:rsidRDefault="00341D04" w:rsidP="006B4B3E">
      <w:pPr>
        <w:jc w:val="both"/>
        <w:rPr>
          <w:sz w:val="20"/>
        </w:rPr>
      </w:pPr>
    </w:p>
    <w:p w:rsidR="00341D04" w:rsidRPr="006B4B3E" w:rsidRDefault="008C0899" w:rsidP="006B4B3E">
      <w:pPr>
        <w:jc w:val="both"/>
        <w:rPr>
          <w:sz w:val="20"/>
        </w:rPr>
      </w:pPr>
      <w:r>
        <w:rPr>
          <w:sz w:val="20"/>
        </w:rPr>
        <w:pict>
          <v:rect id="_x0000_i1037" style="width:2in;height:1pt" o:hrpct="0" o:hralign="center" o:hrstd="t" o:hrnoshade="t" o:hr="t" fillcolor="black [3213]" stroked="f"/>
        </w:pict>
      </w:r>
    </w:p>
    <w:p w:rsidR="00341D04" w:rsidRPr="006B4B3E" w:rsidRDefault="00341D04" w:rsidP="006B4B3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1D04" w:rsidRPr="008C0899" w:rsidTr="00A144CA">
        <w:tc>
          <w:tcPr>
            <w:tcW w:w="543" w:type="pct"/>
          </w:tcPr>
          <w:p w:rsidR="00341D04" w:rsidRPr="006B4B3E" w:rsidRDefault="00341D04" w:rsidP="006B4B3E">
            <w:pPr>
              <w:jc w:val="both"/>
              <w:rPr>
                <w:sz w:val="20"/>
                <w:lang w:val="fr-CA"/>
              </w:rPr>
            </w:pPr>
            <w:r w:rsidRPr="006B4B3E">
              <w:rPr>
                <w:rStyle w:val="SCCFileNumberChar"/>
                <w:sz w:val="20"/>
                <w:szCs w:val="20"/>
                <w:lang w:val="fr-CA"/>
              </w:rPr>
              <w:t>39648</w:t>
            </w:r>
          </w:p>
        </w:tc>
        <w:tc>
          <w:tcPr>
            <w:tcW w:w="4457" w:type="pct"/>
            <w:gridSpan w:val="3"/>
          </w:tcPr>
          <w:p w:rsidR="00341D04" w:rsidRPr="006B4B3E" w:rsidRDefault="00341D04" w:rsidP="006B4B3E">
            <w:pPr>
              <w:pStyle w:val="SCCLsocParty"/>
              <w:jc w:val="both"/>
              <w:rPr>
                <w:b/>
                <w:sz w:val="20"/>
                <w:szCs w:val="20"/>
              </w:rPr>
            </w:pPr>
            <w:r w:rsidRPr="006B4B3E">
              <w:rPr>
                <w:b/>
                <w:sz w:val="20"/>
                <w:szCs w:val="20"/>
              </w:rPr>
              <w:t>Michael Joseph Jerace c. Sa Majesté la Reine</w:t>
            </w:r>
          </w:p>
          <w:p w:rsidR="00341D04" w:rsidRPr="006B4B3E" w:rsidRDefault="00341D04" w:rsidP="006B4B3E">
            <w:pPr>
              <w:jc w:val="both"/>
              <w:rPr>
                <w:sz w:val="20"/>
                <w:lang w:val="fr-CA"/>
              </w:rPr>
            </w:pPr>
            <w:r w:rsidRPr="006B4B3E">
              <w:rPr>
                <w:sz w:val="20"/>
                <w:lang w:val="fr-CA"/>
              </w:rPr>
              <w:t>(C.-B.) (Criminelle) (Sur autorisation)</w:t>
            </w:r>
          </w:p>
        </w:tc>
      </w:tr>
      <w:tr w:rsidR="00341D04" w:rsidRPr="008C0899" w:rsidTr="00A144CA">
        <w:tc>
          <w:tcPr>
            <w:tcW w:w="5000" w:type="pct"/>
            <w:gridSpan w:val="4"/>
          </w:tcPr>
          <w:p w:rsidR="00341D04" w:rsidRPr="006B4B3E" w:rsidRDefault="00341D04" w:rsidP="006B4B3E">
            <w:pPr>
              <w:pStyle w:val="SCCBanSummary"/>
              <w:rPr>
                <w:sz w:val="20"/>
                <w:szCs w:val="20"/>
                <w:lang w:val="fr-CA"/>
              </w:rPr>
            </w:pPr>
            <w:r w:rsidRPr="006B4B3E">
              <w:rPr>
                <w:sz w:val="20"/>
                <w:szCs w:val="20"/>
                <w:lang w:val="fr-CA"/>
              </w:rPr>
              <w:t>(Ordonnance de non</w:t>
            </w:r>
            <w:r w:rsidRPr="006B4B3E">
              <w:rPr>
                <w:sz w:val="20"/>
                <w:szCs w:val="20"/>
                <w:lang w:val="fr-CA"/>
              </w:rPr>
              <w:noBreakHyphen/>
              <w:t>publication dans le dossier) (Ordonnance de mise sous scellés)</w:t>
            </w:r>
          </w:p>
          <w:p w:rsidR="00341D04" w:rsidRPr="006B4B3E" w:rsidRDefault="00341D04" w:rsidP="006B4B3E">
            <w:pPr>
              <w:jc w:val="both"/>
              <w:rPr>
                <w:sz w:val="20"/>
                <w:lang w:val="fr-CA"/>
              </w:rPr>
            </w:pPr>
          </w:p>
        </w:tc>
      </w:tr>
      <w:tr w:rsidR="00341D04" w:rsidRPr="008C0899" w:rsidTr="00A144CA">
        <w:tc>
          <w:tcPr>
            <w:tcW w:w="5000" w:type="pct"/>
            <w:gridSpan w:val="4"/>
          </w:tcPr>
          <w:p w:rsidR="00341D04" w:rsidRPr="006B4B3E" w:rsidRDefault="00341D04" w:rsidP="006B4B3E">
            <w:pPr>
              <w:jc w:val="both"/>
              <w:rPr>
                <w:sz w:val="20"/>
                <w:lang w:val="fr-CA"/>
              </w:rPr>
            </w:pPr>
            <w:r w:rsidRPr="006B4B3E">
              <w:rPr>
                <w:sz w:val="20"/>
                <w:lang w:val="fr-CA"/>
              </w:rPr>
              <w:t xml:space="preserve">Droit criminel — Infractions — Éléments de l’infraction — Le défaut de l’accusé de prouver qu’il a pris « toutes les mesures raisonnables » qu’exige le par. 150.1(4) du </w:t>
            </w:r>
            <w:r w:rsidRPr="006B4B3E">
              <w:rPr>
                <w:i/>
                <w:sz w:val="20"/>
                <w:lang w:val="fr-CA"/>
              </w:rPr>
              <w:t>Code criminel</w:t>
            </w:r>
            <w:r w:rsidRPr="006B4B3E">
              <w:rPr>
                <w:sz w:val="20"/>
                <w:lang w:val="fr-CA"/>
              </w:rPr>
              <w:t xml:space="preserve"> pour s’assurer que la victime d’une agression sexuelle ou de contacts sexuels était âgée de plus de 16 ans peut-il servir de fondement à une déclaration de culpabilité pour agression sexuelle ou contacts sexuels sur un mineur au titre des </w:t>
            </w:r>
            <w:proofErr w:type="gramStart"/>
            <w:r w:rsidRPr="006B4B3E">
              <w:rPr>
                <w:sz w:val="20"/>
                <w:lang w:val="fr-CA"/>
              </w:rPr>
              <w:t>art</w:t>
            </w:r>
            <w:proofErr w:type="gramEnd"/>
            <w:r w:rsidRPr="006B4B3E">
              <w:rPr>
                <w:sz w:val="20"/>
                <w:lang w:val="fr-CA"/>
              </w:rPr>
              <w:t xml:space="preserve">. 271 et 151 du </w:t>
            </w:r>
            <w:r w:rsidRPr="006B4B3E">
              <w:rPr>
                <w:i/>
                <w:sz w:val="20"/>
                <w:lang w:val="fr-CA"/>
              </w:rPr>
              <w:t>Code criminel</w:t>
            </w:r>
            <w:r w:rsidRPr="006B4B3E">
              <w:rPr>
                <w:sz w:val="20"/>
                <w:lang w:val="fr-CA"/>
              </w:rPr>
              <w:t>, ou la Couronne doit</w:t>
            </w:r>
            <w:r w:rsidRPr="006B4B3E">
              <w:rPr>
                <w:sz w:val="20"/>
                <w:lang w:val="fr-CA"/>
              </w:rPr>
              <w:noBreakHyphen/>
              <w:t xml:space="preserve">elle également </w:t>
            </w:r>
            <w:proofErr w:type="gramStart"/>
            <w:r w:rsidRPr="006B4B3E">
              <w:rPr>
                <w:sz w:val="20"/>
                <w:lang w:val="fr-CA"/>
              </w:rPr>
              <w:t>prouver</w:t>
            </w:r>
            <w:proofErr w:type="gramEnd"/>
            <w:r w:rsidRPr="006B4B3E">
              <w:rPr>
                <w:sz w:val="20"/>
                <w:lang w:val="fr-CA"/>
              </w:rPr>
              <w:t xml:space="preserve"> hors de tout doute raisonnable que l’accusé savait que l’autre personne était âgée de moins de 16 ans?</w:t>
            </w:r>
          </w:p>
          <w:p w:rsidR="00341D04" w:rsidRPr="006B4B3E" w:rsidRDefault="00341D04" w:rsidP="006B4B3E">
            <w:pPr>
              <w:jc w:val="both"/>
              <w:rPr>
                <w:sz w:val="20"/>
                <w:lang w:val="fr-CA"/>
              </w:rPr>
            </w:pPr>
          </w:p>
        </w:tc>
      </w:tr>
      <w:tr w:rsidR="00341D04" w:rsidRPr="008C0899" w:rsidTr="00A144CA">
        <w:tc>
          <w:tcPr>
            <w:tcW w:w="5000" w:type="pct"/>
            <w:gridSpan w:val="4"/>
          </w:tcPr>
          <w:p w:rsidR="00341D04" w:rsidRPr="006B4B3E" w:rsidRDefault="00341D04" w:rsidP="006B4B3E">
            <w:pPr>
              <w:jc w:val="both"/>
              <w:rPr>
                <w:color w:val="000000"/>
                <w:sz w:val="20"/>
                <w:lang w:val="fr-CA"/>
              </w:rPr>
            </w:pPr>
            <w:r w:rsidRPr="006B4B3E">
              <w:rPr>
                <w:color w:val="000000"/>
                <w:sz w:val="20"/>
                <w:lang w:val="fr-CA"/>
              </w:rPr>
              <w:t>Au procès, l’allégation était que le demandeur avait eu une relation sexuelle avec la plaignante alors qu’elle avait 14 ans et qu’elle vivait avec son père. Le principal moyen de défense du demandeur au procès était le suivant : puisqu’il avait pris toutes les mesures raisonnables pour s’assurer de l’âge de la plaignante, il croyait sincèrement qu’elle était âgée d’au moins 16 ans au moment où l’activité sexuelle a eu lieu. Un jury a déclaré le demandeur coupable d’agression sexuelle et de contacts sexuels. L’appel formé contre la déclaration de culpabilité a été rejeté.</w:t>
            </w:r>
          </w:p>
          <w:p w:rsidR="00341D04" w:rsidRPr="006B4B3E" w:rsidRDefault="00341D04" w:rsidP="006B4B3E">
            <w:pPr>
              <w:jc w:val="both"/>
              <w:rPr>
                <w:sz w:val="20"/>
                <w:lang w:val="fr-CA"/>
              </w:rPr>
            </w:pPr>
          </w:p>
        </w:tc>
      </w:tr>
      <w:tr w:rsidR="00341D04" w:rsidRPr="008C0899" w:rsidTr="00A144CA">
        <w:tc>
          <w:tcPr>
            <w:tcW w:w="2427" w:type="pct"/>
            <w:gridSpan w:val="2"/>
          </w:tcPr>
          <w:p w:rsidR="00341D04" w:rsidRPr="006B4B3E" w:rsidRDefault="00341D04" w:rsidP="006B4B3E">
            <w:pPr>
              <w:jc w:val="both"/>
              <w:rPr>
                <w:sz w:val="20"/>
                <w:lang w:val="fr-CA"/>
              </w:rPr>
            </w:pPr>
            <w:r w:rsidRPr="006B4B3E">
              <w:rPr>
                <w:sz w:val="20"/>
                <w:lang w:val="fr-CA"/>
              </w:rPr>
              <w:t>4 décembre 2013</w:t>
            </w:r>
          </w:p>
          <w:p w:rsidR="00341D04" w:rsidRPr="006B4B3E" w:rsidRDefault="00341D04" w:rsidP="006B4B3E">
            <w:pPr>
              <w:jc w:val="both"/>
              <w:rPr>
                <w:sz w:val="20"/>
                <w:lang w:val="fr-CA"/>
              </w:rPr>
            </w:pPr>
            <w:r w:rsidRPr="006B4B3E">
              <w:rPr>
                <w:sz w:val="20"/>
                <w:lang w:val="fr-CA"/>
              </w:rPr>
              <w:t>Cour suprême de la Colombie</w:t>
            </w:r>
            <w:r w:rsidRPr="006B4B3E">
              <w:rPr>
                <w:sz w:val="20"/>
                <w:lang w:val="fr-CA"/>
              </w:rPr>
              <w:noBreakHyphen/>
              <w:t>Britannique</w:t>
            </w:r>
          </w:p>
          <w:p w:rsidR="00341D04" w:rsidRPr="006B4B3E" w:rsidRDefault="00341D04" w:rsidP="006B4B3E">
            <w:pPr>
              <w:jc w:val="both"/>
              <w:rPr>
                <w:sz w:val="20"/>
                <w:lang w:val="fr-CA"/>
              </w:rPr>
            </w:pPr>
            <w:r w:rsidRPr="006B4B3E">
              <w:rPr>
                <w:sz w:val="20"/>
                <w:lang w:val="fr-CA"/>
              </w:rPr>
              <w:t>(Juge Harvey)</w:t>
            </w:r>
          </w:p>
          <w:p w:rsidR="00341D04" w:rsidRPr="006B4B3E" w:rsidRDefault="00341D04" w:rsidP="006B4B3E">
            <w:pPr>
              <w:jc w:val="both"/>
              <w:rPr>
                <w:sz w:val="20"/>
                <w:lang w:val="fr-CA"/>
              </w:rPr>
            </w:pPr>
            <w:r w:rsidRPr="006B4B3E">
              <w:rPr>
                <w:sz w:val="20"/>
                <w:lang w:val="fr-CA"/>
              </w:rPr>
              <w:t>(non publié)</w:t>
            </w:r>
          </w:p>
          <w:p w:rsidR="00341D04" w:rsidRPr="006B4B3E" w:rsidRDefault="00341D04" w:rsidP="006B4B3E">
            <w:pPr>
              <w:jc w:val="both"/>
              <w:rPr>
                <w:sz w:val="20"/>
                <w:lang w:val="fr-CA"/>
              </w:rPr>
            </w:pP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Prononcé des déclarations de culpabilité : contacts sexuels et agression sexuelle</w:t>
            </w:r>
          </w:p>
          <w:p w:rsidR="00341D04" w:rsidRPr="006B4B3E" w:rsidRDefault="00341D04" w:rsidP="006B4B3E">
            <w:pPr>
              <w:jc w:val="both"/>
              <w:rPr>
                <w:sz w:val="20"/>
                <w:lang w:val="fr-CA"/>
              </w:rPr>
            </w:pPr>
          </w:p>
        </w:tc>
      </w:tr>
      <w:tr w:rsidR="00341D04" w:rsidRPr="006B4B3E" w:rsidTr="00A144CA">
        <w:tc>
          <w:tcPr>
            <w:tcW w:w="2427" w:type="pct"/>
            <w:gridSpan w:val="2"/>
          </w:tcPr>
          <w:p w:rsidR="00341D04" w:rsidRPr="006B4B3E" w:rsidRDefault="00341D04" w:rsidP="006B4B3E">
            <w:pPr>
              <w:jc w:val="both"/>
              <w:rPr>
                <w:sz w:val="20"/>
                <w:lang w:val="fr-CA"/>
              </w:rPr>
            </w:pPr>
            <w:r w:rsidRPr="006B4B3E">
              <w:rPr>
                <w:sz w:val="20"/>
                <w:lang w:val="fr-CA"/>
              </w:rPr>
              <w:t>3 mars 2021</w:t>
            </w:r>
          </w:p>
          <w:p w:rsidR="00341D04" w:rsidRPr="006B4B3E" w:rsidRDefault="00341D04" w:rsidP="006B4B3E">
            <w:pPr>
              <w:jc w:val="both"/>
              <w:rPr>
                <w:sz w:val="20"/>
                <w:lang w:val="fr-CA"/>
              </w:rPr>
            </w:pPr>
            <w:r w:rsidRPr="006B4B3E">
              <w:rPr>
                <w:sz w:val="20"/>
                <w:lang w:val="fr-CA"/>
              </w:rPr>
              <w:t>Cour d’appel de la Colombie</w:t>
            </w:r>
            <w:r w:rsidRPr="006B4B3E">
              <w:rPr>
                <w:sz w:val="20"/>
                <w:lang w:val="fr-CA"/>
              </w:rPr>
              <w:noBreakHyphen/>
              <w:t xml:space="preserve">Britannique </w:t>
            </w:r>
          </w:p>
          <w:p w:rsidR="00341D04" w:rsidRPr="006B4B3E" w:rsidRDefault="00341D04" w:rsidP="006B4B3E">
            <w:pPr>
              <w:jc w:val="both"/>
              <w:rPr>
                <w:sz w:val="20"/>
                <w:lang w:val="fr-CA"/>
              </w:rPr>
            </w:pPr>
            <w:r w:rsidRPr="006B4B3E">
              <w:rPr>
                <w:sz w:val="20"/>
                <w:lang w:val="fr-CA"/>
              </w:rPr>
              <w:t>(Vancouver)</w:t>
            </w:r>
          </w:p>
          <w:p w:rsidR="00341D04" w:rsidRPr="006B4B3E" w:rsidRDefault="00341D04" w:rsidP="006B4B3E">
            <w:pPr>
              <w:jc w:val="both"/>
              <w:rPr>
                <w:sz w:val="20"/>
                <w:lang w:val="fr-CA"/>
              </w:rPr>
            </w:pPr>
            <w:r w:rsidRPr="006B4B3E">
              <w:rPr>
                <w:sz w:val="20"/>
                <w:lang w:val="fr-CA"/>
              </w:rPr>
              <w:t>(Juges Fenlon, Hunter et Butler)</w:t>
            </w:r>
          </w:p>
          <w:p w:rsidR="00341D04" w:rsidRPr="006B4B3E" w:rsidRDefault="008C0899" w:rsidP="006B4B3E">
            <w:pPr>
              <w:jc w:val="both"/>
              <w:rPr>
                <w:sz w:val="20"/>
                <w:lang w:val="fr-CA"/>
              </w:rPr>
            </w:pPr>
            <w:hyperlink r:id="rId28" w:history="1">
              <w:r w:rsidR="00341D04" w:rsidRPr="006B4B3E">
                <w:rPr>
                  <w:rStyle w:val="Hyperlink"/>
                  <w:sz w:val="20"/>
                  <w:lang w:val="fr-CA"/>
                </w:rPr>
                <w:t>2021 BCCA 94</w:t>
              </w:r>
            </w:hyperlink>
            <w:r w:rsidR="00341D04" w:rsidRPr="006B4B3E">
              <w:rPr>
                <w:sz w:val="20"/>
                <w:lang w:val="fr-CA"/>
              </w:rPr>
              <w:t>; CA43763</w:t>
            </w:r>
          </w:p>
          <w:p w:rsidR="00341D04" w:rsidRPr="006B4B3E" w:rsidRDefault="00341D04" w:rsidP="006B4B3E">
            <w:pPr>
              <w:jc w:val="both"/>
              <w:rPr>
                <w:sz w:val="20"/>
                <w:lang w:val="fr-CA"/>
              </w:rPr>
            </w:pP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Rejet de l’appel</w:t>
            </w:r>
          </w:p>
          <w:p w:rsidR="00341D04" w:rsidRPr="006B4B3E" w:rsidRDefault="00341D04" w:rsidP="006B4B3E">
            <w:pPr>
              <w:jc w:val="both"/>
              <w:rPr>
                <w:sz w:val="20"/>
                <w:lang w:val="fr-CA"/>
              </w:rPr>
            </w:pPr>
          </w:p>
        </w:tc>
      </w:tr>
      <w:tr w:rsidR="00341D04" w:rsidRPr="008C0899" w:rsidTr="00A144CA">
        <w:tc>
          <w:tcPr>
            <w:tcW w:w="2427" w:type="pct"/>
            <w:gridSpan w:val="2"/>
          </w:tcPr>
          <w:p w:rsidR="00341D04" w:rsidRPr="006B4B3E" w:rsidRDefault="00341D04" w:rsidP="006B4B3E">
            <w:pPr>
              <w:jc w:val="both"/>
              <w:rPr>
                <w:sz w:val="20"/>
                <w:lang w:val="fr-CA"/>
              </w:rPr>
            </w:pPr>
            <w:r w:rsidRPr="006B4B3E">
              <w:rPr>
                <w:sz w:val="20"/>
                <w:lang w:val="fr-CA"/>
              </w:rPr>
              <w:t>30 avril 2021</w:t>
            </w:r>
          </w:p>
          <w:p w:rsidR="00341D04" w:rsidRPr="006B4B3E" w:rsidRDefault="00341D04" w:rsidP="006B4B3E">
            <w:pPr>
              <w:jc w:val="both"/>
              <w:rPr>
                <w:sz w:val="20"/>
                <w:lang w:val="fr-CA"/>
              </w:rPr>
            </w:pPr>
            <w:r w:rsidRPr="006B4B3E">
              <w:rPr>
                <w:sz w:val="20"/>
                <w:lang w:val="fr-CA"/>
              </w:rPr>
              <w:t>Cour suprême du Canada</w:t>
            </w:r>
          </w:p>
        </w:tc>
        <w:tc>
          <w:tcPr>
            <w:tcW w:w="243" w:type="pct"/>
          </w:tcPr>
          <w:p w:rsidR="00341D04" w:rsidRPr="006B4B3E" w:rsidRDefault="00341D04" w:rsidP="006B4B3E">
            <w:pPr>
              <w:jc w:val="both"/>
              <w:rPr>
                <w:sz w:val="20"/>
                <w:lang w:val="fr-CA"/>
              </w:rPr>
            </w:pPr>
          </w:p>
        </w:tc>
        <w:tc>
          <w:tcPr>
            <w:tcW w:w="2330" w:type="pct"/>
          </w:tcPr>
          <w:p w:rsidR="00341D04" w:rsidRPr="006B4B3E" w:rsidRDefault="00341D04" w:rsidP="006B4B3E">
            <w:pPr>
              <w:jc w:val="both"/>
              <w:rPr>
                <w:sz w:val="20"/>
                <w:lang w:val="fr-CA"/>
              </w:rPr>
            </w:pPr>
            <w:r w:rsidRPr="006B4B3E">
              <w:rPr>
                <w:sz w:val="20"/>
                <w:lang w:val="fr-CA"/>
              </w:rPr>
              <w:t>Dépôt de la demande d’autorisation d’appel</w:t>
            </w:r>
          </w:p>
          <w:p w:rsidR="00341D04" w:rsidRPr="006B4B3E" w:rsidRDefault="00341D04" w:rsidP="006B4B3E">
            <w:pPr>
              <w:jc w:val="both"/>
              <w:rPr>
                <w:sz w:val="20"/>
                <w:lang w:val="fr-CA"/>
              </w:rPr>
            </w:pPr>
          </w:p>
        </w:tc>
      </w:tr>
    </w:tbl>
    <w:p w:rsidR="00DF2FFE" w:rsidRPr="006B4B3E" w:rsidRDefault="00DF2FFE" w:rsidP="006B4B3E">
      <w:pPr>
        <w:widowControl w:val="0"/>
        <w:jc w:val="both"/>
        <w:rPr>
          <w:sz w:val="20"/>
          <w:lang w:val="fr-CA"/>
        </w:rPr>
      </w:pPr>
    </w:p>
    <w:p w:rsidR="008C3C00" w:rsidRPr="006B4B3E" w:rsidRDefault="008C0899" w:rsidP="006B4B3E">
      <w:pPr>
        <w:widowControl w:val="0"/>
        <w:jc w:val="both"/>
        <w:rPr>
          <w:sz w:val="20"/>
        </w:rPr>
      </w:pPr>
      <w:r>
        <w:rPr>
          <w:sz w:val="20"/>
        </w:rPr>
        <w:pict>
          <v:rect id="_x0000_i1038" style="width:2in;height:1pt" o:hrpct="0" o:hralign="center" o:hrstd="t" o:hrnoshade="t" o:hr="t" fillcolor="black [3213]" stroked="f"/>
        </w:pict>
      </w:r>
    </w:p>
    <w:p w:rsidR="008C3C00" w:rsidRPr="006B4B3E" w:rsidRDefault="008C3C00" w:rsidP="006B4B3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09D0" w:rsidRPr="006B4B3E" w:rsidTr="00A144CA">
        <w:tc>
          <w:tcPr>
            <w:tcW w:w="543" w:type="pct"/>
          </w:tcPr>
          <w:p w:rsidR="001F09D0" w:rsidRPr="006B4B3E" w:rsidRDefault="001F09D0" w:rsidP="006B4B3E">
            <w:pPr>
              <w:jc w:val="both"/>
              <w:rPr>
                <w:sz w:val="20"/>
                <w:lang w:val="en-CA"/>
              </w:rPr>
            </w:pPr>
            <w:r w:rsidRPr="006B4B3E">
              <w:rPr>
                <w:rStyle w:val="SCCFileNumberChar"/>
                <w:sz w:val="20"/>
                <w:szCs w:val="20"/>
              </w:rPr>
              <w:t>39606</w:t>
            </w:r>
          </w:p>
        </w:tc>
        <w:tc>
          <w:tcPr>
            <w:tcW w:w="4457" w:type="pct"/>
            <w:gridSpan w:val="3"/>
          </w:tcPr>
          <w:p w:rsidR="001F09D0" w:rsidRPr="006B4B3E" w:rsidRDefault="001F09D0" w:rsidP="006B4B3E">
            <w:pPr>
              <w:pStyle w:val="SCCLsocParty"/>
              <w:jc w:val="both"/>
              <w:rPr>
                <w:b/>
                <w:sz w:val="20"/>
                <w:szCs w:val="20"/>
              </w:rPr>
            </w:pPr>
            <w:r w:rsidRPr="006B4B3E">
              <w:rPr>
                <w:b/>
                <w:sz w:val="20"/>
                <w:szCs w:val="20"/>
              </w:rPr>
              <w:t>Jean</w:t>
            </w:r>
            <w:r w:rsidR="00C56D88">
              <w:rPr>
                <w:b/>
                <w:sz w:val="20"/>
                <w:szCs w:val="20"/>
              </w:rPr>
              <w:t>-</w:t>
            </w:r>
            <w:r w:rsidRPr="006B4B3E">
              <w:rPr>
                <w:b/>
                <w:sz w:val="20"/>
                <w:szCs w:val="20"/>
              </w:rPr>
              <w:t>Paul Braun v. Conseil de la magistrature du Québec</w:t>
            </w:r>
          </w:p>
          <w:p w:rsidR="001F09D0" w:rsidRPr="006B4B3E" w:rsidRDefault="001F09D0" w:rsidP="006B4B3E">
            <w:pPr>
              <w:jc w:val="both"/>
              <w:rPr>
                <w:sz w:val="20"/>
                <w:lang w:val="en-CA"/>
              </w:rPr>
            </w:pPr>
            <w:r w:rsidRPr="006B4B3E">
              <w:rPr>
                <w:sz w:val="20"/>
                <w:lang w:val="en-CA"/>
              </w:rPr>
              <w:t>(Que.) (Civil) (By Leave)</w:t>
            </w:r>
          </w:p>
        </w:tc>
      </w:tr>
      <w:tr w:rsidR="001F09D0" w:rsidRPr="006B4B3E" w:rsidTr="00A144CA">
        <w:tc>
          <w:tcPr>
            <w:tcW w:w="5000" w:type="pct"/>
            <w:gridSpan w:val="4"/>
          </w:tcPr>
          <w:p w:rsidR="001F09D0" w:rsidRPr="006B4B3E" w:rsidRDefault="001F09D0" w:rsidP="006B4B3E">
            <w:pPr>
              <w:pStyle w:val="SCCBanSummary"/>
              <w:rPr>
                <w:sz w:val="20"/>
                <w:szCs w:val="20"/>
              </w:rPr>
            </w:pPr>
            <w:r w:rsidRPr="006B4B3E">
              <w:rPr>
                <w:sz w:val="20"/>
                <w:szCs w:val="20"/>
              </w:rPr>
              <w:t>(Publication Ban in Case)</w:t>
            </w:r>
          </w:p>
          <w:p w:rsidR="001F09D0" w:rsidRPr="006B4B3E" w:rsidRDefault="001F09D0" w:rsidP="006B4B3E">
            <w:pPr>
              <w:jc w:val="both"/>
              <w:rPr>
                <w:sz w:val="20"/>
                <w:lang w:val="en-CA"/>
              </w:rPr>
            </w:pPr>
          </w:p>
          <w:p w:rsidR="001F09D0" w:rsidRPr="006B4B3E" w:rsidRDefault="008C0899" w:rsidP="006B4B3E">
            <w:pPr>
              <w:jc w:val="both"/>
              <w:rPr>
                <w:sz w:val="20"/>
                <w:lang w:val="en-CA"/>
              </w:rPr>
            </w:pPr>
            <w:proofErr w:type="gramStart"/>
            <w:r w:rsidRPr="008C0899">
              <w:rPr>
                <w:sz w:val="20"/>
                <w:lang w:val="en-CA"/>
              </w:rPr>
              <w:t>Courts — Judges — Judicial ethics — Judicial council ⸺ Judicial review ⸺ Standard for breach of ethics in case where judge relies on prohibited myth in context of trial for sexual assault — Whether procedural fairness requires that judge be given notice that council is considering reprimanding judge for relying on myth or stereotype about sexual assault — Whether judge’s observation concerning victim’s physical appearance can constitute breach of ethics where it is useful to resolution of issue.</w:t>
            </w:r>
            <w:proofErr w:type="gramEnd"/>
          </w:p>
        </w:tc>
      </w:tr>
      <w:tr w:rsidR="001F09D0" w:rsidRPr="006B4B3E" w:rsidTr="00A144CA">
        <w:tc>
          <w:tcPr>
            <w:tcW w:w="5000" w:type="pct"/>
            <w:gridSpan w:val="4"/>
          </w:tcPr>
          <w:p w:rsidR="001F09D0" w:rsidRPr="006B4B3E" w:rsidRDefault="001F09D0" w:rsidP="006B4B3E">
            <w:pPr>
              <w:jc w:val="both"/>
              <w:rPr>
                <w:sz w:val="20"/>
                <w:lang w:val="en-CA"/>
              </w:rPr>
            </w:pPr>
          </w:p>
        </w:tc>
      </w:tr>
      <w:tr w:rsidR="001F09D0" w:rsidRPr="006B4B3E" w:rsidTr="00A144CA">
        <w:tc>
          <w:tcPr>
            <w:tcW w:w="5000" w:type="pct"/>
            <w:gridSpan w:val="4"/>
          </w:tcPr>
          <w:p w:rsidR="001F09D0" w:rsidRDefault="008C0899" w:rsidP="006B4B3E">
            <w:pPr>
              <w:jc w:val="both"/>
              <w:rPr>
                <w:sz w:val="20"/>
                <w:lang w:val="en-CA"/>
              </w:rPr>
            </w:pPr>
            <w:r w:rsidRPr="008C0899">
              <w:rPr>
                <w:sz w:val="20"/>
                <w:lang w:val="en-CA"/>
              </w:rPr>
              <w:t xml:space="preserve">The respondent, the Conseil de la magistrature, received numerous public complaints and a complaint from Quebec’s Minister of Justice against the applicant, Judge Braun, because of comments he made about a victim of sexual assault while presiding over a criminal trial in 2017. In </w:t>
            </w:r>
            <w:proofErr w:type="gramStart"/>
            <w:r w:rsidRPr="008C0899">
              <w:rPr>
                <w:sz w:val="20"/>
                <w:lang w:val="en-CA"/>
              </w:rPr>
              <w:t>ge</w:t>
            </w:r>
            <w:bookmarkStart w:id="0" w:name="_GoBack"/>
            <w:bookmarkEnd w:id="0"/>
            <w:r w:rsidRPr="008C0899">
              <w:rPr>
                <w:sz w:val="20"/>
                <w:lang w:val="en-CA"/>
              </w:rPr>
              <w:t>neral</w:t>
            </w:r>
            <w:proofErr w:type="gramEnd"/>
            <w:r w:rsidRPr="008C0899">
              <w:rPr>
                <w:sz w:val="20"/>
                <w:lang w:val="en-CA"/>
              </w:rPr>
              <w:t xml:space="preserve"> terms, the comments concerned the victim’s appearance and personality and her attitude toward the accused’s behaviour. Following a hearing, a committee of inquiry considering the complaints found that Judge Braun had indeed breached his ethical obligations, particularly his duty to perform the duties of his office with integrity and honour and his duty to act in a reserved manner. The committee recommended that the Conseil de la magistrature issue a reprimand. Judge Braun applied to the Superior Court for judicial review of the committee’s decision. The Superior Court dismissed the application for judicial review, and the Court of Appeal denied leave to appeal.</w:t>
            </w:r>
          </w:p>
          <w:p w:rsidR="008C0899" w:rsidRPr="006B4B3E" w:rsidRDefault="008C0899" w:rsidP="006B4B3E">
            <w:pPr>
              <w:jc w:val="both"/>
              <w:rPr>
                <w:sz w:val="20"/>
                <w:lang w:val="en-CA"/>
              </w:rPr>
            </w:pPr>
          </w:p>
        </w:tc>
      </w:tr>
      <w:tr w:rsidR="001F09D0" w:rsidRPr="006B4B3E" w:rsidTr="00A144CA">
        <w:tc>
          <w:tcPr>
            <w:tcW w:w="2427" w:type="pct"/>
            <w:gridSpan w:val="2"/>
          </w:tcPr>
          <w:p w:rsidR="001F09D0" w:rsidRPr="006B4B3E" w:rsidRDefault="001F09D0" w:rsidP="006B4B3E">
            <w:pPr>
              <w:jc w:val="both"/>
              <w:rPr>
                <w:sz w:val="20"/>
                <w:lang w:val="en-CA"/>
              </w:rPr>
            </w:pPr>
            <w:r w:rsidRPr="006B4B3E">
              <w:rPr>
                <w:sz w:val="20"/>
                <w:lang w:val="en-CA"/>
              </w:rPr>
              <w:t>October 9, 2020</w:t>
            </w:r>
          </w:p>
          <w:p w:rsidR="001F09D0" w:rsidRPr="006B4B3E" w:rsidRDefault="001F09D0" w:rsidP="006B4B3E">
            <w:pPr>
              <w:jc w:val="both"/>
              <w:rPr>
                <w:sz w:val="20"/>
                <w:lang w:val="en-CA"/>
              </w:rPr>
            </w:pPr>
            <w:r w:rsidRPr="006B4B3E">
              <w:rPr>
                <w:sz w:val="20"/>
                <w:lang w:val="en-CA"/>
              </w:rPr>
              <w:t>Quebec Superior Court</w:t>
            </w:r>
          </w:p>
          <w:p w:rsidR="001F09D0" w:rsidRPr="006B4B3E" w:rsidRDefault="001F09D0" w:rsidP="006B4B3E">
            <w:pPr>
              <w:jc w:val="both"/>
              <w:rPr>
                <w:sz w:val="20"/>
                <w:lang w:val="en-CA"/>
              </w:rPr>
            </w:pPr>
            <w:r w:rsidRPr="006B4B3E">
              <w:rPr>
                <w:sz w:val="20"/>
                <w:lang w:val="en-CA"/>
              </w:rPr>
              <w:t>(Lacoste J.)</w:t>
            </w:r>
          </w:p>
          <w:p w:rsidR="001F09D0" w:rsidRPr="006B4B3E" w:rsidRDefault="008C0899" w:rsidP="006B4B3E">
            <w:pPr>
              <w:jc w:val="both"/>
              <w:rPr>
                <w:sz w:val="20"/>
                <w:lang w:val="en-CA"/>
              </w:rPr>
            </w:pPr>
            <w:hyperlink r:id="rId29" w:history="1">
              <w:r w:rsidR="001F09D0" w:rsidRPr="006B4B3E">
                <w:rPr>
                  <w:rStyle w:val="Hyperlink"/>
                  <w:sz w:val="20"/>
                  <w:lang w:val="en-CA"/>
                </w:rPr>
                <w:t>2020 QCCS 2028</w:t>
              </w:r>
            </w:hyperlink>
            <w:r w:rsidR="001F09D0" w:rsidRPr="006B4B3E">
              <w:rPr>
                <w:sz w:val="20"/>
                <w:lang w:val="en-CA"/>
              </w:rPr>
              <w:t xml:space="preserve"> </w:t>
            </w:r>
          </w:p>
          <w:p w:rsidR="001F09D0" w:rsidRPr="006B4B3E" w:rsidRDefault="001F09D0" w:rsidP="006B4B3E">
            <w:pPr>
              <w:jc w:val="both"/>
              <w:rPr>
                <w:sz w:val="20"/>
                <w:lang w:val="en-CA"/>
              </w:rPr>
            </w:pPr>
          </w:p>
        </w:tc>
        <w:tc>
          <w:tcPr>
            <w:tcW w:w="243" w:type="pct"/>
          </w:tcPr>
          <w:p w:rsidR="001F09D0" w:rsidRPr="006B4B3E" w:rsidRDefault="001F09D0" w:rsidP="006B4B3E">
            <w:pPr>
              <w:jc w:val="both"/>
              <w:rPr>
                <w:sz w:val="20"/>
                <w:lang w:val="en-CA"/>
              </w:rPr>
            </w:pPr>
          </w:p>
        </w:tc>
        <w:tc>
          <w:tcPr>
            <w:tcW w:w="2330" w:type="pct"/>
          </w:tcPr>
          <w:p w:rsidR="001F09D0" w:rsidRPr="006B4B3E" w:rsidRDefault="001F09D0" w:rsidP="006B4B3E">
            <w:pPr>
              <w:jc w:val="both"/>
              <w:rPr>
                <w:sz w:val="20"/>
                <w:lang w:val="en-CA"/>
              </w:rPr>
            </w:pPr>
            <w:r w:rsidRPr="006B4B3E">
              <w:rPr>
                <w:sz w:val="20"/>
                <w:lang w:val="en-CA"/>
              </w:rPr>
              <w:t>Application for judicial review dismissed</w:t>
            </w:r>
          </w:p>
          <w:p w:rsidR="001F09D0" w:rsidRPr="006B4B3E" w:rsidRDefault="001F09D0" w:rsidP="006B4B3E">
            <w:pPr>
              <w:jc w:val="both"/>
              <w:rPr>
                <w:sz w:val="20"/>
                <w:lang w:val="en-CA"/>
              </w:rPr>
            </w:pPr>
          </w:p>
        </w:tc>
      </w:tr>
      <w:tr w:rsidR="001F09D0" w:rsidRPr="006B4B3E" w:rsidTr="00A144CA">
        <w:tc>
          <w:tcPr>
            <w:tcW w:w="2427" w:type="pct"/>
            <w:gridSpan w:val="2"/>
          </w:tcPr>
          <w:p w:rsidR="001F09D0" w:rsidRPr="006B4B3E" w:rsidRDefault="001F09D0" w:rsidP="006B4B3E">
            <w:pPr>
              <w:jc w:val="both"/>
              <w:rPr>
                <w:sz w:val="20"/>
                <w:lang w:val="en-CA"/>
              </w:rPr>
            </w:pPr>
            <w:r w:rsidRPr="006B4B3E">
              <w:rPr>
                <w:sz w:val="20"/>
                <w:lang w:val="en-CA"/>
              </w:rPr>
              <w:t>January 15, 2021</w:t>
            </w:r>
          </w:p>
          <w:p w:rsidR="001F09D0" w:rsidRPr="006B4B3E" w:rsidRDefault="001F09D0" w:rsidP="006B4B3E">
            <w:pPr>
              <w:jc w:val="both"/>
              <w:rPr>
                <w:sz w:val="20"/>
                <w:lang w:val="en-CA"/>
              </w:rPr>
            </w:pPr>
            <w:r w:rsidRPr="006B4B3E">
              <w:rPr>
                <w:sz w:val="20"/>
                <w:lang w:val="en-CA"/>
              </w:rPr>
              <w:t>Quebec Court of Appeal (Montréal)</w:t>
            </w:r>
          </w:p>
          <w:p w:rsidR="001F09D0" w:rsidRPr="006B4B3E" w:rsidRDefault="001F09D0" w:rsidP="006B4B3E">
            <w:pPr>
              <w:jc w:val="both"/>
              <w:rPr>
                <w:sz w:val="20"/>
                <w:lang w:val="en-CA"/>
              </w:rPr>
            </w:pPr>
            <w:r w:rsidRPr="006B4B3E">
              <w:rPr>
                <w:sz w:val="20"/>
                <w:lang w:val="en-CA"/>
              </w:rPr>
              <w:t>(Baudouin J.A.)</w:t>
            </w:r>
          </w:p>
          <w:p w:rsidR="001F09D0" w:rsidRPr="006B4B3E" w:rsidRDefault="008C0899" w:rsidP="006B4B3E">
            <w:pPr>
              <w:jc w:val="both"/>
              <w:rPr>
                <w:sz w:val="20"/>
                <w:lang w:val="en-CA"/>
              </w:rPr>
            </w:pPr>
            <w:hyperlink r:id="rId30" w:history="1">
              <w:r w:rsidR="001F09D0" w:rsidRPr="006B4B3E">
                <w:rPr>
                  <w:rStyle w:val="Hyperlink"/>
                  <w:sz w:val="20"/>
                  <w:lang w:val="en-CA"/>
                </w:rPr>
                <w:t>2021 QCCA 55</w:t>
              </w:r>
            </w:hyperlink>
          </w:p>
          <w:p w:rsidR="001F09D0" w:rsidRPr="006B4B3E" w:rsidRDefault="001F09D0" w:rsidP="006B4B3E">
            <w:pPr>
              <w:jc w:val="both"/>
              <w:rPr>
                <w:sz w:val="20"/>
                <w:lang w:val="en-CA"/>
              </w:rPr>
            </w:pPr>
          </w:p>
        </w:tc>
        <w:tc>
          <w:tcPr>
            <w:tcW w:w="243" w:type="pct"/>
          </w:tcPr>
          <w:p w:rsidR="001F09D0" w:rsidRPr="006B4B3E" w:rsidRDefault="001F09D0" w:rsidP="006B4B3E">
            <w:pPr>
              <w:jc w:val="both"/>
              <w:rPr>
                <w:sz w:val="20"/>
                <w:lang w:val="en-CA"/>
              </w:rPr>
            </w:pPr>
          </w:p>
        </w:tc>
        <w:tc>
          <w:tcPr>
            <w:tcW w:w="2330" w:type="pct"/>
          </w:tcPr>
          <w:p w:rsidR="001F09D0" w:rsidRPr="006B4B3E" w:rsidRDefault="001F09D0" w:rsidP="006B4B3E">
            <w:pPr>
              <w:jc w:val="both"/>
              <w:rPr>
                <w:sz w:val="20"/>
                <w:lang w:val="en-CA"/>
              </w:rPr>
            </w:pPr>
            <w:r w:rsidRPr="006B4B3E">
              <w:rPr>
                <w:sz w:val="20"/>
                <w:lang w:val="en-CA"/>
              </w:rPr>
              <w:t>Leave to appeal denied</w:t>
            </w:r>
          </w:p>
          <w:p w:rsidR="001F09D0" w:rsidRPr="006B4B3E" w:rsidRDefault="001F09D0" w:rsidP="006B4B3E">
            <w:pPr>
              <w:jc w:val="both"/>
              <w:rPr>
                <w:sz w:val="20"/>
                <w:lang w:val="en-CA"/>
              </w:rPr>
            </w:pPr>
          </w:p>
        </w:tc>
      </w:tr>
      <w:tr w:rsidR="001F09D0" w:rsidRPr="006B4B3E" w:rsidTr="00A144CA">
        <w:tc>
          <w:tcPr>
            <w:tcW w:w="2427" w:type="pct"/>
            <w:gridSpan w:val="2"/>
          </w:tcPr>
          <w:p w:rsidR="001F09D0" w:rsidRPr="006B4B3E" w:rsidRDefault="001F09D0" w:rsidP="006B4B3E">
            <w:pPr>
              <w:jc w:val="both"/>
              <w:rPr>
                <w:sz w:val="20"/>
                <w:lang w:val="en-CA"/>
              </w:rPr>
            </w:pPr>
            <w:r w:rsidRPr="006B4B3E">
              <w:rPr>
                <w:sz w:val="20"/>
                <w:lang w:val="en-CA"/>
              </w:rPr>
              <w:t>March 16, 2021</w:t>
            </w:r>
          </w:p>
          <w:p w:rsidR="001F09D0" w:rsidRPr="006B4B3E" w:rsidRDefault="001F09D0" w:rsidP="006B4B3E">
            <w:pPr>
              <w:jc w:val="both"/>
              <w:rPr>
                <w:sz w:val="20"/>
                <w:lang w:val="en-CA"/>
              </w:rPr>
            </w:pPr>
            <w:r w:rsidRPr="006B4B3E">
              <w:rPr>
                <w:sz w:val="20"/>
                <w:lang w:val="en-CA"/>
              </w:rPr>
              <w:t>Supreme Court of Canada</w:t>
            </w:r>
          </w:p>
        </w:tc>
        <w:tc>
          <w:tcPr>
            <w:tcW w:w="243" w:type="pct"/>
          </w:tcPr>
          <w:p w:rsidR="001F09D0" w:rsidRPr="006B4B3E" w:rsidRDefault="001F09D0" w:rsidP="006B4B3E">
            <w:pPr>
              <w:jc w:val="both"/>
              <w:rPr>
                <w:sz w:val="20"/>
                <w:lang w:val="en-CA"/>
              </w:rPr>
            </w:pPr>
          </w:p>
        </w:tc>
        <w:tc>
          <w:tcPr>
            <w:tcW w:w="2330" w:type="pct"/>
          </w:tcPr>
          <w:p w:rsidR="001F09D0" w:rsidRPr="006B4B3E" w:rsidRDefault="001F09D0" w:rsidP="006B4B3E">
            <w:pPr>
              <w:jc w:val="both"/>
              <w:rPr>
                <w:sz w:val="20"/>
                <w:lang w:val="en-CA"/>
              </w:rPr>
            </w:pPr>
            <w:r w:rsidRPr="006B4B3E">
              <w:rPr>
                <w:sz w:val="20"/>
                <w:lang w:val="en-CA"/>
              </w:rPr>
              <w:t>Application for leave to appeal filed</w:t>
            </w:r>
          </w:p>
          <w:p w:rsidR="001F09D0" w:rsidRPr="006B4B3E" w:rsidRDefault="001F09D0" w:rsidP="006B4B3E">
            <w:pPr>
              <w:jc w:val="both"/>
              <w:rPr>
                <w:sz w:val="20"/>
                <w:lang w:val="en-CA"/>
              </w:rPr>
            </w:pPr>
          </w:p>
        </w:tc>
      </w:tr>
    </w:tbl>
    <w:p w:rsidR="001F09D0" w:rsidRPr="006B4B3E" w:rsidRDefault="001F09D0" w:rsidP="006B4B3E">
      <w:pPr>
        <w:jc w:val="both"/>
        <w:rPr>
          <w:sz w:val="20"/>
          <w:lang w:val="en-CA"/>
        </w:rPr>
      </w:pPr>
    </w:p>
    <w:p w:rsidR="001F09D0" w:rsidRPr="006B4B3E" w:rsidRDefault="008C0899" w:rsidP="006B4B3E">
      <w:pPr>
        <w:jc w:val="both"/>
        <w:rPr>
          <w:sz w:val="20"/>
          <w:lang w:val="en-CA"/>
        </w:rPr>
      </w:pPr>
      <w:r>
        <w:rPr>
          <w:sz w:val="20"/>
        </w:rPr>
        <w:pict>
          <v:rect id="_x0000_i1039" style="width:2in;height:1pt" o:hrpct="0" o:hralign="center" o:hrstd="t" o:hrnoshade="t" o:hr="t" fillcolor="black [3213]" stroked="f"/>
        </w:pict>
      </w:r>
    </w:p>
    <w:p w:rsidR="001F09D0" w:rsidRPr="006B4B3E" w:rsidRDefault="001F09D0" w:rsidP="006B4B3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09D0" w:rsidRPr="006B4B3E" w:rsidTr="00A144CA">
        <w:tc>
          <w:tcPr>
            <w:tcW w:w="543" w:type="pct"/>
          </w:tcPr>
          <w:p w:rsidR="001F09D0" w:rsidRPr="006B4B3E" w:rsidRDefault="001F09D0" w:rsidP="006B4B3E">
            <w:pPr>
              <w:jc w:val="both"/>
              <w:rPr>
                <w:sz w:val="20"/>
              </w:rPr>
            </w:pPr>
            <w:r w:rsidRPr="006B4B3E">
              <w:rPr>
                <w:rStyle w:val="SCCFileNumberChar"/>
                <w:sz w:val="20"/>
                <w:szCs w:val="20"/>
              </w:rPr>
              <w:t>39606</w:t>
            </w:r>
          </w:p>
        </w:tc>
        <w:tc>
          <w:tcPr>
            <w:tcW w:w="4457" w:type="pct"/>
            <w:gridSpan w:val="3"/>
          </w:tcPr>
          <w:p w:rsidR="001F09D0" w:rsidRPr="006B4B3E" w:rsidRDefault="001F09D0" w:rsidP="006B4B3E">
            <w:pPr>
              <w:pStyle w:val="SCCLsocParty"/>
              <w:jc w:val="both"/>
              <w:rPr>
                <w:b/>
                <w:sz w:val="20"/>
                <w:szCs w:val="20"/>
              </w:rPr>
            </w:pPr>
            <w:r w:rsidRPr="006B4B3E">
              <w:rPr>
                <w:b/>
                <w:sz w:val="20"/>
                <w:szCs w:val="20"/>
              </w:rPr>
              <w:t>Jean</w:t>
            </w:r>
            <w:r w:rsidR="00C56D88">
              <w:rPr>
                <w:b/>
                <w:sz w:val="20"/>
                <w:szCs w:val="20"/>
              </w:rPr>
              <w:t>-</w:t>
            </w:r>
            <w:r w:rsidRPr="006B4B3E">
              <w:rPr>
                <w:b/>
                <w:sz w:val="20"/>
                <w:szCs w:val="20"/>
              </w:rPr>
              <w:t>Paul Braun c. Conseil de la magistrature du Québec</w:t>
            </w:r>
          </w:p>
          <w:p w:rsidR="001F09D0" w:rsidRPr="006B4B3E" w:rsidRDefault="001F09D0" w:rsidP="006B4B3E">
            <w:pPr>
              <w:jc w:val="both"/>
              <w:rPr>
                <w:sz w:val="20"/>
              </w:rPr>
            </w:pPr>
            <w:r w:rsidRPr="006B4B3E">
              <w:rPr>
                <w:sz w:val="20"/>
              </w:rPr>
              <w:t>(Qc) (Civile) (Autorisation)</w:t>
            </w:r>
          </w:p>
        </w:tc>
      </w:tr>
      <w:tr w:rsidR="001F09D0" w:rsidRPr="008C0899" w:rsidTr="00A144CA">
        <w:tc>
          <w:tcPr>
            <w:tcW w:w="5000" w:type="pct"/>
            <w:gridSpan w:val="4"/>
          </w:tcPr>
          <w:p w:rsidR="001F09D0" w:rsidRPr="006B4B3E" w:rsidRDefault="001F09D0" w:rsidP="006B4B3E">
            <w:pPr>
              <w:pStyle w:val="SCCBanSummary"/>
              <w:rPr>
                <w:sz w:val="20"/>
                <w:szCs w:val="20"/>
                <w:lang w:val="fr-CA"/>
              </w:rPr>
            </w:pPr>
            <w:r w:rsidRPr="006B4B3E">
              <w:rPr>
                <w:sz w:val="20"/>
                <w:szCs w:val="20"/>
                <w:lang w:val="fr-CA"/>
              </w:rPr>
              <w:t>(Ordonnance de non-publication dans le dossier)</w:t>
            </w:r>
          </w:p>
          <w:p w:rsidR="001F09D0" w:rsidRPr="006B4B3E" w:rsidRDefault="001F09D0" w:rsidP="006B4B3E">
            <w:pPr>
              <w:jc w:val="both"/>
              <w:rPr>
                <w:sz w:val="20"/>
                <w:lang w:val="fr-CA"/>
              </w:rPr>
            </w:pPr>
          </w:p>
          <w:p w:rsidR="001F09D0" w:rsidRPr="006B4B3E" w:rsidRDefault="001F09D0" w:rsidP="006B4B3E">
            <w:pPr>
              <w:jc w:val="both"/>
              <w:rPr>
                <w:sz w:val="20"/>
                <w:lang w:val="fr-CA"/>
              </w:rPr>
            </w:pPr>
            <w:r w:rsidRPr="006B4B3E">
              <w:rPr>
                <w:sz w:val="20"/>
                <w:lang w:val="fr-CA"/>
              </w:rPr>
              <w:t xml:space="preserve">Tribunaux — Juges — Déontologie judiciaire — Conseil de la magistrature </w:t>
            </w:r>
            <w:r w:rsidRPr="006B4B3E">
              <w:rPr>
                <w:sz w:val="20"/>
              </w:rPr>
              <w:t>⸺</w:t>
            </w:r>
            <w:r w:rsidRPr="006B4B3E">
              <w:rPr>
                <w:sz w:val="20"/>
                <w:lang w:val="fr-CA"/>
              </w:rPr>
              <w:t xml:space="preserve"> Contrôle judiciaire </w:t>
            </w:r>
            <w:r w:rsidRPr="006B4B3E">
              <w:rPr>
                <w:sz w:val="20"/>
              </w:rPr>
              <w:t>⸺</w:t>
            </w:r>
            <w:r w:rsidRPr="006B4B3E">
              <w:rPr>
                <w:sz w:val="20"/>
                <w:lang w:val="fr-CA"/>
              </w:rPr>
              <w:t xml:space="preserve"> Quelle est la norme de la faute déontologique dans le cas où un juge a recours à un mythe prohibé dans le contexte d’un procès en matière d’agression sexuelle? — L’équité procédurale commande-t-elle qu’un juge soit avisé que le Conseil envisage de le blâmer pour avoir eu recours à un mythe ou un stéréotype en matière d’agression sexuelle? — L’observation d’un juge sur l’apparence physique d’une victime peut-elle constituer une violation déontologique lorsqu’il s’agit d’un élément utile à la résolution d’une question en litige?</w:t>
            </w:r>
          </w:p>
        </w:tc>
      </w:tr>
      <w:tr w:rsidR="001F09D0" w:rsidRPr="008C0899" w:rsidTr="00A144CA">
        <w:tc>
          <w:tcPr>
            <w:tcW w:w="5000" w:type="pct"/>
            <w:gridSpan w:val="4"/>
          </w:tcPr>
          <w:p w:rsidR="001F09D0" w:rsidRPr="006B4B3E" w:rsidRDefault="001F09D0" w:rsidP="006B4B3E">
            <w:pPr>
              <w:jc w:val="both"/>
              <w:rPr>
                <w:sz w:val="20"/>
                <w:lang w:val="fr-CA"/>
              </w:rPr>
            </w:pPr>
          </w:p>
        </w:tc>
      </w:tr>
      <w:tr w:rsidR="001F09D0" w:rsidRPr="008C0899" w:rsidTr="00A144CA">
        <w:tc>
          <w:tcPr>
            <w:tcW w:w="5000" w:type="pct"/>
            <w:gridSpan w:val="4"/>
          </w:tcPr>
          <w:p w:rsidR="001F09D0" w:rsidRPr="006B4B3E" w:rsidRDefault="001F09D0" w:rsidP="006B4B3E">
            <w:pPr>
              <w:jc w:val="both"/>
              <w:rPr>
                <w:sz w:val="20"/>
                <w:lang w:val="fr-CA"/>
              </w:rPr>
            </w:pPr>
            <w:r w:rsidRPr="006B4B3E">
              <w:rPr>
                <w:sz w:val="20"/>
                <w:lang w:val="fr-CA"/>
              </w:rPr>
              <w:t>L’intimé, le Conseil de la magistrature a reçu de nombreuses plaintes du public et une plainte de la ministre de la Justice du Québec déposées à l’endroit du demandeur, le juge Braun, pour des propos qu’il a tenus à l’égard d’une victime d’agression sexuelle alors qu’il présidait, en 2017, à un procès criminel. Dans leur généralité, ces propos sont relatifs à l’apparence et à la personnalité de la victime ainsi qu’à son attitude face au comportement de l’accusé. Après audition, un Comité d’enquête saisi des plaintes a conclu que le juge Braun a effectivement manqué à ses obligations déontologiques et particulièrement à son devoir de remplir son rôle avec intégrité et honneur, ainsi qu’à son devoir de réserve. Le Comité a recommandé au Conseil de la magistrature l’imposition d’une réprimande. Le juge Braun a déposé une demande de contrôle judiciaire en Cour supérieure de cette décision du Comité. La Cour supérieure a rejeté la demande de contrôle judiciaire et la Cour d’appel a rejeté la permission d’en appeler.</w:t>
            </w:r>
          </w:p>
          <w:p w:rsidR="001F09D0" w:rsidRPr="006B4B3E" w:rsidRDefault="001F09D0" w:rsidP="006B4B3E">
            <w:pPr>
              <w:jc w:val="both"/>
              <w:rPr>
                <w:sz w:val="20"/>
                <w:lang w:val="fr-CA"/>
              </w:rPr>
            </w:pPr>
          </w:p>
        </w:tc>
      </w:tr>
      <w:tr w:rsidR="001F09D0" w:rsidRPr="008C0899" w:rsidTr="00A144CA">
        <w:tc>
          <w:tcPr>
            <w:tcW w:w="2427" w:type="pct"/>
            <w:gridSpan w:val="2"/>
          </w:tcPr>
          <w:p w:rsidR="001F09D0" w:rsidRPr="006B4B3E" w:rsidRDefault="001F09D0" w:rsidP="006B4B3E">
            <w:pPr>
              <w:jc w:val="both"/>
              <w:rPr>
                <w:sz w:val="20"/>
                <w:lang w:val="fr-CA"/>
              </w:rPr>
            </w:pPr>
            <w:r w:rsidRPr="006B4B3E">
              <w:rPr>
                <w:sz w:val="20"/>
                <w:lang w:val="fr-CA"/>
              </w:rPr>
              <w:t>Le 9 octobre 2020</w:t>
            </w:r>
          </w:p>
          <w:p w:rsidR="001F09D0" w:rsidRPr="006B4B3E" w:rsidRDefault="001F09D0" w:rsidP="006B4B3E">
            <w:pPr>
              <w:jc w:val="both"/>
              <w:rPr>
                <w:sz w:val="20"/>
                <w:lang w:val="fr-CA"/>
              </w:rPr>
            </w:pPr>
            <w:r w:rsidRPr="006B4B3E">
              <w:rPr>
                <w:sz w:val="20"/>
                <w:lang w:val="fr-CA"/>
              </w:rPr>
              <w:t>Cour supérieure du Québec</w:t>
            </w:r>
          </w:p>
          <w:p w:rsidR="001F09D0" w:rsidRPr="006B4B3E" w:rsidRDefault="001F09D0" w:rsidP="006B4B3E">
            <w:pPr>
              <w:jc w:val="both"/>
              <w:rPr>
                <w:sz w:val="20"/>
              </w:rPr>
            </w:pPr>
            <w:r w:rsidRPr="006B4B3E">
              <w:rPr>
                <w:sz w:val="20"/>
              </w:rPr>
              <w:t>(Le juge Lacoste)</w:t>
            </w:r>
          </w:p>
          <w:p w:rsidR="001F09D0" w:rsidRPr="006B4B3E" w:rsidRDefault="008C0899" w:rsidP="006B4B3E">
            <w:pPr>
              <w:jc w:val="both"/>
              <w:rPr>
                <w:sz w:val="20"/>
              </w:rPr>
            </w:pPr>
            <w:hyperlink r:id="rId31" w:history="1">
              <w:r w:rsidR="001F09D0" w:rsidRPr="006B4B3E">
                <w:rPr>
                  <w:rStyle w:val="Hyperlink"/>
                  <w:sz w:val="20"/>
                </w:rPr>
                <w:t>2020 QCCS 2028</w:t>
              </w:r>
            </w:hyperlink>
            <w:r w:rsidR="001F09D0" w:rsidRPr="006B4B3E">
              <w:rPr>
                <w:sz w:val="20"/>
              </w:rPr>
              <w:t xml:space="preserve"> </w:t>
            </w:r>
          </w:p>
          <w:p w:rsidR="001F09D0" w:rsidRPr="006B4B3E" w:rsidRDefault="001F09D0" w:rsidP="006B4B3E">
            <w:pPr>
              <w:jc w:val="both"/>
              <w:rPr>
                <w:sz w:val="20"/>
              </w:rPr>
            </w:pPr>
          </w:p>
        </w:tc>
        <w:tc>
          <w:tcPr>
            <w:tcW w:w="243" w:type="pct"/>
          </w:tcPr>
          <w:p w:rsidR="001F09D0" w:rsidRPr="006B4B3E" w:rsidRDefault="001F09D0" w:rsidP="006B4B3E">
            <w:pPr>
              <w:jc w:val="both"/>
              <w:rPr>
                <w:sz w:val="20"/>
              </w:rPr>
            </w:pPr>
          </w:p>
        </w:tc>
        <w:tc>
          <w:tcPr>
            <w:tcW w:w="2330" w:type="pct"/>
          </w:tcPr>
          <w:p w:rsidR="001F09D0" w:rsidRPr="006B4B3E" w:rsidRDefault="001F09D0" w:rsidP="006B4B3E">
            <w:pPr>
              <w:jc w:val="both"/>
              <w:rPr>
                <w:sz w:val="20"/>
                <w:lang w:val="fr-CA"/>
              </w:rPr>
            </w:pPr>
            <w:r w:rsidRPr="006B4B3E">
              <w:rPr>
                <w:sz w:val="20"/>
                <w:lang w:val="fr-CA"/>
              </w:rPr>
              <w:t>Demande de contrôle judiciaire rejetée.</w:t>
            </w:r>
          </w:p>
          <w:p w:rsidR="001F09D0" w:rsidRPr="006B4B3E" w:rsidRDefault="001F09D0" w:rsidP="006B4B3E">
            <w:pPr>
              <w:jc w:val="both"/>
              <w:rPr>
                <w:sz w:val="20"/>
                <w:lang w:val="fr-CA"/>
              </w:rPr>
            </w:pPr>
          </w:p>
        </w:tc>
      </w:tr>
      <w:tr w:rsidR="001F09D0" w:rsidRPr="006B4B3E" w:rsidTr="00A144CA">
        <w:tc>
          <w:tcPr>
            <w:tcW w:w="2427" w:type="pct"/>
            <w:gridSpan w:val="2"/>
          </w:tcPr>
          <w:p w:rsidR="001F09D0" w:rsidRPr="006B4B3E" w:rsidRDefault="001F09D0" w:rsidP="006B4B3E">
            <w:pPr>
              <w:jc w:val="both"/>
              <w:rPr>
                <w:sz w:val="20"/>
                <w:lang w:val="fr-CA"/>
              </w:rPr>
            </w:pPr>
            <w:r w:rsidRPr="006B4B3E">
              <w:rPr>
                <w:sz w:val="20"/>
                <w:lang w:val="fr-CA"/>
              </w:rPr>
              <w:t>Le 15 janvier 2021</w:t>
            </w:r>
          </w:p>
          <w:p w:rsidR="001F09D0" w:rsidRPr="006B4B3E" w:rsidRDefault="001F09D0" w:rsidP="006B4B3E">
            <w:pPr>
              <w:jc w:val="both"/>
              <w:rPr>
                <w:sz w:val="20"/>
                <w:lang w:val="fr-CA"/>
              </w:rPr>
            </w:pPr>
            <w:r w:rsidRPr="006B4B3E">
              <w:rPr>
                <w:sz w:val="20"/>
                <w:lang w:val="fr-CA"/>
              </w:rPr>
              <w:t>Cour d’appel du Québec (Montréal)</w:t>
            </w:r>
          </w:p>
          <w:p w:rsidR="001F09D0" w:rsidRPr="006B4B3E" w:rsidRDefault="001F09D0" w:rsidP="006B4B3E">
            <w:pPr>
              <w:jc w:val="both"/>
              <w:rPr>
                <w:sz w:val="20"/>
              </w:rPr>
            </w:pPr>
            <w:r w:rsidRPr="006B4B3E">
              <w:rPr>
                <w:sz w:val="20"/>
              </w:rPr>
              <w:t>(La juge Baudouin)</w:t>
            </w:r>
          </w:p>
          <w:p w:rsidR="001F09D0" w:rsidRPr="006B4B3E" w:rsidRDefault="008C0899" w:rsidP="006B4B3E">
            <w:pPr>
              <w:jc w:val="both"/>
              <w:rPr>
                <w:sz w:val="20"/>
              </w:rPr>
            </w:pPr>
            <w:hyperlink r:id="rId32" w:history="1">
              <w:r w:rsidR="001F09D0" w:rsidRPr="006B4B3E">
                <w:rPr>
                  <w:rStyle w:val="Hyperlink"/>
                  <w:sz w:val="20"/>
                </w:rPr>
                <w:t>2021 QCCA 55</w:t>
              </w:r>
            </w:hyperlink>
          </w:p>
          <w:p w:rsidR="001F09D0" w:rsidRPr="006B4B3E" w:rsidRDefault="001F09D0" w:rsidP="006B4B3E">
            <w:pPr>
              <w:jc w:val="both"/>
              <w:rPr>
                <w:sz w:val="20"/>
              </w:rPr>
            </w:pPr>
          </w:p>
        </w:tc>
        <w:tc>
          <w:tcPr>
            <w:tcW w:w="243" w:type="pct"/>
          </w:tcPr>
          <w:p w:rsidR="001F09D0" w:rsidRPr="006B4B3E" w:rsidRDefault="001F09D0" w:rsidP="006B4B3E">
            <w:pPr>
              <w:jc w:val="both"/>
              <w:rPr>
                <w:sz w:val="20"/>
              </w:rPr>
            </w:pPr>
          </w:p>
        </w:tc>
        <w:tc>
          <w:tcPr>
            <w:tcW w:w="2330" w:type="pct"/>
          </w:tcPr>
          <w:p w:rsidR="001F09D0" w:rsidRPr="006B4B3E" w:rsidRDefault="001F09D0" w:rsidP="006B4B3E">
            <w:pPr>
              <w:jc w:val="both"/>
              <w:rPr>
                <w:sz w:val="20"/>
              </w:rPr>
            </w:pPr>
            <w:r w:rsidRPr="006B4B3E">
              <w:rPr>
                <w:sz w:val="20"/>
              </w:rPr>
              <w:t>Permission d’appeler rejetée.</w:t>
            </w:r>
          </w:p>
          <w:p w:rsidR="001F09D0" w:rsidRPr="006B4B3E" w:rsidRDefault="001F09D0" w:rsidP="006B4B3E">
            <w:pPr>
              <w:jc w:val="both"/>
              <w:rPr>
                <w:sz w:val="20"/>
              </w:rPr>
            </w:pPr>
          </w:p>
        </w:tc>
      </w:tr>
      <w:tr w:rsidR="001F09D0" w:rsidRPr="006B4B3E" w:rsidTr="00A144CA">
        <w:tc>
          <w:tcPr>
            <w:tcW w:w="2427" w:type="pct"/>
            <w:gridSpan w:val="2"/>
          </w:tcPr>
          <w:p w:rsidR="001F09D0" w:rsidRPr="006B4B3E" w:rsidRDefault="001F09D0" w:rsidP="006B4B3E">
            <w:pPr>
              <w:jc w:val="both"/>
              <w:rPr>
                <w:sz w:val="20"/>
                <w:lang w:val="fr-CA"/>
              </w:rPr>
            </w:pPr>
            <w:r w:rsidRPr="006B4B3E">
              <w:rPr>
                <w:sz w:val="20"/>
                <w:lang w:val="fr-CA"/>
              </w:rPr>
              <w:t>Le 16 mars 2021</w:t>
            </w:r>
          </w:p>
          <w:p w:rsidR="001F09D0" w:rsidRPr="006B4B3E" w:rsidRDefault="001F09D0" w:rsidP="006B4B3E">
            <w:pPr>
              <w:jc w:val="both"/>
              <w:rPr>
                <w:sz w:val="20"/>
                <w:lang w:val="fr-CA"/>
              </w:rPr>
            </w:pPr>
            <w:r w:rsidRPr="006B4B3E">
              <w:rPr>
                <w:sz w:val="20"/>
                <w:lang w:val="fr-CA"/>
              </w:rPr>
              <w:t>Cour suprême du Canada</w:t>
            </w:r>
          </w:p>
        </w:tc>
        <w:tc>
          <w:tcPr>
            <w:tcW w:w="243" w:type="pct"/>
          </w:tcPr>
          <w:p w:rsidR="001F09D0" w:rsidRPr="006B4B3E" w:rsidRDefault="001F09D0" w:rsidP="006B4B3E">
            <w:pPr>
              <w:jc w:val="both"/>
              <w:rPr>
                <w:sz w:val="20"/>
                <w:lang w:val="fr-CA"/>
              </w:rPr>
            </w:pPr>
          </w:p>
        </w:tc>
        <w:tc>
          <w:tcPr>
            <w:tcW w:w="2330" w:type="pct"/>
          </w:tcPr>
          <w:p w:rsidR="001F09D0" w:rsidRPr="006B4B3E" w:rsidRDefault="001F09D0" w:rsidP="006B4B3E">
            <w:pPr>
              <w:jc w:val="both"/>
              <w:rPr>
                <w:sz w:val="20"/>
              </w:rPr>
            </w:pPr>
            <w:r w:rsidRPr="006B4B3E">
              <w:rPr>
                <w:sz w:val="20"/>
              </w:rPr>
              <w:t>Demande d’autorisation d’appel déposée</w:t>
            </w:r>
          </w:p>
          <w:p w:rsidR="001F09D0" w:rsidRPr="006B4B3E" w:rsidRDefault="001F09D0" w:rsidP="006B4B3E">
            <w:pPr>
              <w:jc w:val="both"/>
              <w:rPr>
                <w:sz w:val="20"/>
              </w:rPr>
            </w:pPr>
          </w:p>
        </w:tc>
      </w:tr>
    </w:tbl>
    <w:p w:rsidR="001F09D0" w:rsidRPr="006B4B3E" w:rsidRDefault="001F09D0" w:rsidP="006B4B3E">
      <w:pPr>
        <w:widowControl w:val="0"/>
        <w:jc w:val="both"/>
        <w:rPr>
          <w:sz w:val="20"/>
        </w:rPr>
      </w:pPr>
    </w:p>
    <w:p w:rsidR="001F09D0" w:rsidRPr="006B4B3E" w:rsidRDefault="008C0899" w:rsidP="006B4B3E">
      <w:pPr>
        <w:widowControl w:val="0"/>
        <w:jc w:val="both"/>
        <w:rPr>
          <w:sz w:val="20"/>
        </w:rPr>
      </w:pPr>
      <w:r>
        <w:rPr>
          <w:sz w:val="20"/>
        </w:rPr>
        <w:pict>
          <v:rect id="_x0000_i1040" style="width:2in;height:1pt" o:hrpct="0" o:hralign="center" o:hrstd="t" o:hrnoshade="t" o:hr="t" fillcolor="black [3213]" stroked="f"/>
        </w:pict>
      </w:r>
    </w:p>
    <w:p w:rsidR="001F09D0" w:rsidRPr="006B4B3E" w:rsidRDefault="001F09D0" w:rsidP="006B4B3E">
      <w:pPr>
        <w:widowControl w:val="0"/>
        <w:jc w:val="both"/>
        <w:rPr>
          <w:sz w:val="20"/>
        </w:rPr>
      </w:pPr>
    </w:p>
    <w:p w:rsidR="005C7161" w:rsidRPr="006B4B3E" w:rsidRDefault="005C7161" w:rsidP="006B4B3E">
      <w:pPr>
        <w:ind w:left="142" w:hanging="142"/>
        <w:jc w:val="both"/>
        <w:rPr>
          <w:sz w:val="20"/>
        </w:rPr>
      </w:pPr>
    </w:p>
    <w:p w:rsidR="00FD3FA0" w:rsidRPr="006B4B3E" w:rsidRDefault="00FD3FA0" w:rsidP="006B4B3E">
      <w:pPr>
        <w:ind w:left="142" w:hanging="142"/>
        <w:jc w:val="both"/>
        <w:rPr>
          <w:sz w:val="20"/>
        </w:rPr>
      </w:pPr>
    </w:p>
    <w:p w:rsidR="00D3344A" w:rsidRPr="006B4B3E" w:rsidRDefault="00D3344A" w:rsidP="006B4B3E">
      <w:pPr>
        <w:widowControl w:val="0"/>
        <w:outlineLvl w:val="0"/>
      </w:pPr>
      <w:r w:rsidRPr="006B4B3E">
        <w:t xml:space="preserve">Supreme Court of Canada / Cour suprême du </w:t>
      </w:r>
      <w:proofErr w:type="gramStart"/>
      <w:r w:rsidRPr="006B4B3E">
        <w:t>Canad</w:t>
      </w:r>
      <w:r w:rsidR="00EE289F" w:rsidRPr="006B4B3E">
        <w:t>a</w:t>
      </w:r>
      <w:r w:rsidRPr="006B4B3E">
        <w:t xml:space="preserve"> :</w:t>
      </w:r>
      <w:proofErr w:type="gramEnd"/>
    </w:p>
    <w:p w:rsidR="00D3344A" w:rsidRPr="006B4B3E" w:rsidRDefault="008C0899" w:rsidP="006B4B3E">
      <w:pPr>
        <w:widowControl w:val="0"/>
        <w:outlineLvl w:val="0"/>
        <w:rPr>
          <w:u w:val="single"/>
        </w:rPr>
      </w:pPr>
      <w:hyperlink r:id="rId33" w:history="1">
        <w:r w:rsidR="009B7391" w:rsidRPr="006B4B3E">
          <w:rPr>
            <w:rStyle w:val="Hyperlink"/>
          </w:rPr>
          <w:t>comments-commentaires@scc-csc.ca</w:t>
        </w:r>
      </w:hyperlink>
    </w:p>
    <w:p w:rsidR="00D3344A" w:rsidRPr="006B4B3E" w:rsidRDefault="0065588C" w:rsidP="006B4B3E">
      <w:pPr>
        <w:widowControl w:val="0"/>
        <w:outlineLvl w:val="0"/>
      </w:pPr>
      <w:r w:rsidRPr="006B4B3E">
        <w:t>613-</w:t>
      </w:r>
      <w:r w:rsidR="00D3344A" w:rsidRPr="006B4B3E">
        <w:t>995-4330</w:t>
      </w:r>
    </w:p>
    <w:p w:rsidR="00497B5E" w:rsidRPr="006B4B3E" w:rsidRDefault="00497B5E" w:rsidP="006B4B3E">
      <w:pPr>
        <w:widowControl w:val="0"/>
        <w:rPr>
          <w:sz w:val="20"/>
        </w:rPr>
      </w:pPr>
    </w:p>
    <w:p w:rsidR="00F6251B" w:rsidRPr="006E558B" w:rsidRDefault="003F43E6" w:rsidP="006B4B3E">
      <w:pPr>
        <w:pStyle w:val="Footer"/>
        <w:jc w:val="center"/>
      </w:pPr>
      <w:r w:rsidRPr="006B4B3E">
        <w:t>- 30 -</w:t>
      </w:r>
    </w:p>
    <w:sectPr w:rsidR="00F6251B" w:rsidRPr="006E558B" w:rsidSect="00E62F93">
      <w:headerReference w:type="even" r:id="rId34"/>
      <w:headerReference w:type="default" r:id="rId35"/>
      <w:footerReference w:type="even" r:id="rId36"/>
      <w:footerReference w:type="default" r:id="rId37"/>
      <w:headerReference w:type="first" r:id="rId38"/>
      <w:footerReference w:type="first" r:id="rId3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60" w:rsidRDefault="00141360" w:rsidP="0034178A">
      <w:r>
        <w:separator/>
      </w:r>
    </w:p>
  </w:endnote>
  <w:endnote w:type="continuationSeparator" w:id="0">
    <w:p w:rsidR="00141360" w:rsidRDefault="0014136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60" w:rsidRDefault="00141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60" w:rsidRPr="009F77F0" w:rsidRDefault="0014136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60" w:rsidRDefault="00141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60" w:rsidRDefault="00141360" w:rsidP="0034178A">
      <w:r>
        <w:separator/>
      </w:r>
    </w:p>
  </w:footnote>
  <w:footnote w:type="continuationSeparator" w:id="0">
    <w:p w:rsidR="00141360" w:rsidRDefault="0014136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60" w:rsidRDefault="00141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60" w:rsidRDefault="00141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60" w:rsidRDefault="00141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794BA2"/>
    <w:multiLevelType w:val="hybridMultilevel"/>
    <w:tmpl w:val="79CE422E"/>
    <w:lvl w:ilvl="0" w:tplc="46AEE1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F6A37"/>
    <w:multiLevelType w:val="hybridMultilevel"/>
    <w:tmpl w:val="F40AE7B8"/>
    <w:lvl w:ilvl="0" w:tplc="25E8B3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67F2"/>
    <w:multiLevelType w:val="hybridMultilevel"/>
    <w:tmpl w:val="134A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F705C"/>
    <w:multiLevelType w:val="hybridMultilevel"/>
    <w:tmpl w:val="DEDA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6"/>
  </w:num>
  <w:num w:numId="3">
    <w:abstractNumId w:val="13"/>
  </w:num>
  <w:num w:numId="4">
    <w:abstractNumId w:val="33"/>
  </w:num>
  <w:num w:numId="5">
    <w:abstractNumId w:val="45"/>
  </w:num>
  <w:num w:numId="6">
    <w:abstractNumId w:val="32"/>
  </w:num>
  <w:num w:numId="7">
    <w:abstractNumId w:val="36"/>
  </w:num>
  <w:num w:numId="8">
    <w:abstractNumId w:val="21"/>
  </w:num>
  <w:num w:numId="9">
    <w:abstractNumId w:val="2"/>
  </w:num>
  <w:num w:numId="10">
    <w:abstractNumId w:val="42"/>
  </w:num>
  <w:num w:numId="11">
    <w:abstractNumId w:val="28"/>
  </w:num>
  <w:num w:numId="12">
    <w:abstractNumId w:val="26"/>
  </w:num>
  <w:num w:numId="13">
    <w:abstractNumId w:val="25"/>
  </w:num>
  <w:num w:numId="14">
    <w:abstractNumId w:val="46"/>
  </w:num>
  <w:num w:numId="15">
    <w:abstractNumId w:val="34"/>
  </w:num>
  <w:num w:numId="16">
    <w:abstractNumId w:val="6"/>
  </w:num>
  <w:num w:numId="17">
    <w:abstractNumId w:val="11"/>
  </w:num>
  <w:num w:numId="18">
    <w:abstractNumId w:val="40"/>
  </w:num>
  <w:num w:numId="19">
    <w:abstractNumId w:val="44"/>
  </w:num>
  <w:num w:numId="20">
    <w:abstractNumId w:val="39"/>
  </w:num>
  <w:num w:numId="21">
    <w:abstractNumId w:val="15"/>
  </w:num>
  <w:num w:numId="22">
    <w:abstractNumId w:val="18"/>
  </w:num>
  <w:num w:numId="23">
    <w:abstractNumId w:val="30"/>
  </w:num>
  <w:num w:numId="24">
    <w:abstractNumId w:val="1"/>
  </w:num>
  <w:num w:numId="25">
    <w:abstractNumId w:val="12"/>
  </w:num>
  <w:num w:numId="26">
    <w:abstractNumId w:val="7"/>
  </w:num>
  <w:num w:numId="27">
    <w:abstractNumId w:val="8"/>
  </w:num>
  <w:num w:numId="28">
    <w:abstractNumId w:val="22"/>
  </w:num>
  <w:num w:numId="29">
    <w:abstractNumId w:val="19"/>
  </w:num>
  <w:num w:numId="30">
    <w:abstractNumId w:val="4"/>
  </w:num>
  <w:num w:numId="31">
    <w:abstractNumId w:val="3"/>
  </w:num>
  <w:num w:numId="32">
    <w:abstractNumId w:val="5"/>
  </w:num>
  <w:num w:numId="33">
    <w:abstractNumId w:val="9"/>
  </w:num>
  <w:num w:numId="34">
    <w:abstractNumId w:val="38"/>
  </w:num>
  <w:num w:numId="35">
    <w:abstractNumId w:val="29"/>
  </w:num>
  <w:num w:numId="36">
    <w:abstractNumId w:val="20"/>
  </w:num>
  <w:num w:numId="37">
    <w:abstractNumId w:val="37"/>
  </w:num>
  <w:num w:numId="38">
    <w:abstractNumId w:val="14"/>
  </w:num>
  <w:num w:numId="39">
    <w:abstractNumId w:val="0"/>
  </w:num>
  <w:num w:numId="40">
    <w:abstractNumId w:val="35"/>
  </w:num>
  <w:num w:numId="41">
    <w:abstractNumId w:val="10"/>
  </w:num>
  <w:num w:numId="42">
    <w:abstractNumId w:val="23"/>
  </w:num>
  <w:num w:numId="43">
    <w:abstractNumId w:val="27"/>
  </w:num>
  <w:num w:numId="44">
    <w:abstractNumId w:val="41"/>
  </w:num>
  <w:num w:numId="45">
    <w:abstractNumId w:val="17"/>
  </w:num>
  <w:num w:numId="4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1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0B50"/>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36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9D0"/>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1D04"/>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43F1"/>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6FE"/>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4B3E"/>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5FD2"/>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899"/>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DAA"/>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4C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5E6D"/>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803"/>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6D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162"/>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43"/>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20" TargetMode="External"/><Relationship Id="rId13" Type="http://schemas.openxmlformats.org/officeDocument/2006/relationships/hyperlink" Target="https://www.scc-csc.ca/case-dossier/info/sum-som-eng.aspx?cas=39648" TargetMode="External"/><Relationship Id="rId18" Type="http://schemas.openxmlformats.org/officeDocument/2006/relationships/hyperlink" Target="https://www.canlii.org/fr/qc/qcca/doc/2020/2020qcca1770/2020qcca1770.pdf" TargetMode="External"/><Relationship Id="rId26" Type="http://schemas.openxmlformats.org/officeDocument/2006/relationships/hyperlink" Target="https://canlii.ca/t/jdpd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anlii.org/en/bc/bcca/doc/2020/2020bcca361/2020bcca361.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39641" TargetMode="External"/><Relationship Id="rId17" Type="http://schemas.openxmlformats.org/officeDocument/2006/relationships/hyperlink" Target="https://www.canlii.org/fr/qc/qccs/doc/2020/2020qccs1447/2020qccs1447.pdf" TargetMode="External"/><Relationship Id="rId25" Type="http://schemas.openxmlformats.org/officeDocument/2006/relationships/hyperlink" Target="https://canlii.ca/t/jcbvh"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nlii.ca/t/jcbr1" TargetMode="External"/><Relationship Id="rId20" Type="http://schemas.openxmlformats.org/officeDocument/2006/relationships/hyperlink" Target="https://www.canlii.org/fr/qc/qcca/doc/2020/2020qcca1770/2020qcca1770.pdf" TargetMode="External"/><Relationship Id="rId29" Type="http://schemas.openxmlformats.org/officeDocument/2006/relationships/hyperlink" Target="https://www.canlii.org/fr/qc/qccs/doc/2020/2020qccs2028/2020qccs2028.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19" TargetMode="External"/><Relationship Id="rId24" Type="http://schemas.openxmlformats.org/officeDocument/2006/relationships/hyperlink" Target="https://canlii.ca/t/jdpdt" TargetMode="External"/><Relationship Id="rId32" Type="http://schemas.openxmlformats.org/officeDocument/2006/relationships/hyperlink" Target="https://www.canlii.org/fr/qc/qcca/doc/2021/2021qcca55/2021qcca55.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cbr1" TargetMode="External"/><Relationship Id="rId23" Type="http://schemas.openxmlformats.org/officeDocument/2006/relationships/hyperlink" Target="https://canlii.ca/t/jcbvh" TargetMode="External"/><Relationship Id="rId28" Type="http://schemas.openxmlformats.org/officeDocument/2006/relationships/hyperlink" Target="https://canlii.ca/t/jdj4c" TargetMode="External"/><Relationship Id="rId36" Type="http://schemas.openxmlformats.org/officeDocument/2006/relationships/footer" Target="footer1.xml"/><Relationship Id="rId10" Type="http://schemas.openxmlformats.org/officeDocument/2006/relationships/hyperlink" Target="https://www.scc-csc.ca/case-dossier/info/sum-som-fra.aspx?cas=39581" TargetMode="External"/><Relationship Id="rId19" Type="http://schemas.openxmlformats.org/officeDocument/2006/relationships/hyperlink" Target="https://www.canlii.org/fr/qc/qccs/doc/2020/2020qccs1447/2020qccs1447.pdf" TargetMode="External"/><Relationship Id="rId31" Type="http://schemas.openxmlformats.org/officeDocument/2006/relationships/hyperlink" Target="https://www.canlii.org/fr/qc/qccs/doc/2020/2020qccs2028/2020qccs2028.pdf" TargetMode="External"/><Relationship Id="rId4" Type="http://schemas.openxmlformats.org/officeDocument/2006/relationships/settings" Target="settings.xml"/><Relationship Id="rId9" Type="http://schemas.openxmlformats.org/officeDocument/2006/relationships/hyperlink" Target="https://www.scc-csc.ca/case-dossier/info/sum-som-eng.aspx?cas=39538" TargetMode="External"/><Relationship Id="rId14" Type="http://schemas.openxmlformats.org/officeDocument/2006/relationships/hyperlink" Target="https://www.scc-csc.ca/case-dossier/info/sum-som-fra.aspx?cas=39606" TargetMode="External"/><Relationship Id="rId22" Type="http://schemas.openxmlformats.org/officeDocument/2006/relationships/hyperlink" Target="https://www.canlii.org/en/bc/bcca/doc/2020/2020bcca361/2020bcca361.html" TargetMode="External"/><Relationship Id="rId27" Type="http://schemas.openxmlformats.org/officeDocument/2006/relationships/hyperlink" Target="https://canlii.ca/t/jdj4c" TargetMode="External"/><Relationship Id="rId30" Type="http://schemas.openxmlformats.org/officeDocument/2006/relationships/hyperlink" Target="https://www.canlii.org/fr/qc/qcca/doc/2021/2021qcca55/2021qcca55.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9347-4A26-4046-8C9F-C4A2D130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35849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2021-09-02T15:54:00Z</dcterms:modified>
</cp:coreProperties>
</file>