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2314E" w:rsidRDefault="002A192B" w:rsidP="002A192B">
      <w:pPr>
        <w:pStyle w:val="Header"/>
        <w:jc w:val="center"/>
        <w:rPr>
          <w:b/>
          <w:sz w:val="32"/>
        </w:rPr>
      </w:pPr>
      <w:r w:rsidRPr="0062314E">
        <w:rPr>
          <w:b/>
          <w:sz w:val="32"/>
        </w:rPr>
        <w:t>Supreme Court of Canada / Cour suprême du Canada</w:t>
      </w:r>
    </w:p>
    <w:p w:rsidR="002A192B" w:rsidRPr="0062314E" w:rsidRDefault="002A192B" w:rsidP="002A192B">
      <w:pPr>
        <w:widowControl w:val="0"/>
        <w:rPr>
          <w:i/>
        </w:rPr>
      </w:pPr>
    </w:p>
    <w:p w:rsidR="002A192B" w:rsidRPr="0062314E" w:rsidRDefault="002A192B" w:rsidP="002A192B">
      <w:pPr>
        <w:widowControl w:val="0"/>
        <w:rPr>
          <w:i/>
        </w:rPr>
      </w:pPr>
    </w:p>
    <w:p w:rsidR="001C4415" w:rsidRPr="0062314E" w:rsidRDefault="001C4415" w:rsidP="001C4415">
      <w:pPr>
        <w:widowControl w:val="0"/>
        <w:rPr>
          <w:i/>
          <w:sz w:val="20"/>
        </w:rPr>
      </w:pPr>
      <w:r w:rsidRPr="0062314E">
        <w:rPr>
          <w:i/>
          <w:sz w:val="20"/>
        </w:rPr>
        <w:t>(</w:t>
      </w:r>
      <w:r w:rsidR="003C50BF" w:rsidRPr="0062314E">
        <w:rPr>
          <w:i/>
          <w:sz w:val="20"/>
        </w:rPr>
        <w:t>Le</w:t>
      </w:r>
      <w:r w:rsidRPr="0062314E">
        <w:rPr>
          <w:i/>
          <w:sz w:val="20"/>
        </w:rPr>
        <w:t xml:space="preserve"> français suit)</w:t>
      </w:r>
    </w:p>
    <w:p w:rsidR="001C4415" w:rsidRPr="0062314E" w:rsidRDefault="001C4415" w:rsidP="001C4415">
      <w:pPr>
        <w:widowControl w:val="0"/>
      </w:pPr>
    </w:p>
    <w:p w:rsidR="001C4415" w:rsidRPr="0062314E" w:rsidRDefault="000347C1" w:rsidP="00214729">
      <w:pPr>
        <w:widowControl w:val="0"/>
        <w:jc w:val="center"/>
        <w:rPr>
          <w:b/>
        </w:rPr>
      </w:pPr>
      <w:r w:rsidRPr="0062314E">
        <w:fldChar w:fldCharType="begin"/>
      </w:r>
      <w:r w:rsidR="00FA7412" w:rsidRPr="0062314E">
        <w:instrText xml:space="preserve"> SEQ CHAPTER \h \r 1</w:instrText>
      </w:r>
      <w:r w:rsidRPr="0062314E">
        <w:fldChar w:fldCharType="end"/>
      </w:r>
      <w:r w:rsidR="00455BB9" w:rsidRPr="0062314E">
        <w:rPr>
          <w:b/>
        </w:rPr>
        <w:t>JUDGMENT</w:t>
      </w:r>
      <w:r w:rsidR="00FA7412" w:rsidRPr="0062314E">
        <w:rPr>
          <w:b/>
        </w:rPr>
        <w:t xml:space="preserve"> TO BE RENDERED IN APPEA</w:t>
      </w:r>
      <w:r w:rsidR="00CC2799" w:rsidRPr="0062314E">
        <w:rPr>
          <w:b/>
        </w:rPr>
        <w:t>L</w:t>
      </w:r>
    </w:p>
    <w:p w:rsidR="005A7C1B" w:rsidRPr="0062314E" w:rsidRDefault="005A7C1B" w:rsidP="005A7C1B">
      <w:pPr>
        <w:widowControl w:val="0"/>
      </w:pPr>
    </w:p>
    <w:p w:rsidR="00EC79B0" w:rsidRPr="0062314E" w:rsidRDefault="00DA6670" w:rsidP="00EC79B0">
      <w:pPr>
        <w:widowControl w:val="0"/>
      </w:pPr>
      <w:r w:rsidRPr="0062314E">
        <w:rPr>
          <w:b/>
        </w:rPr>
        <w:t>Octo</w:t>
      </w:r>
      <w:r w:rsidR="00924785" w:rsidRPr="0062314E">
        <w:rPr>
          <w:b/>
        </w:rPr>
        <w:t>ber</w:t>
      </w:r>
      <w:r w:rsidR="00C86395" w:rsidRPr="0062314E">
        <w:rPr>
          <w:b/>
        </w:rPr>
        <w:t xml:space="preserve"> </w:t>
      </w:r>
      <w:r w:rsidR="00177D4A" w:rsidRPr="0062314E">
        <w:rPr>
          <w:b/>
        </w:rPr>
        <w:t>1</w:t>
      </w:r>
      <w:r w:rsidR="0049661A" w:rsidRPr="0062314E">
        <w:rPr>
          <w:b/>
        </w:rPr>
        <w:t>8</w:t>
      </w:r>
      <w:r w:rsidR="00EC79B0" w:rsidRPr="0062314E">
        <w:rPr>
          <w:b/>
        </w:rPr>
        <w:t>, 2</w:t>
      </w:r>
      <w:r w:rsidR="00E6600C" w:rsidRPr="0062314E">
        <w:rPr>
          <w:b/>
        </w:rPr>
        <w:t>0</w:t>
      </w:r>
      <w:r w:rsidR="009544E9" w:rsidRPr="0062314E">
        <w:rPr>
          <w:b/>
        </w:rPr>
        <w:t>2</w:t>
      </w:r>
      <w:r w:rsidR="00964827" w:rsidRPr="0062314E">
        <w:rPr>
          <w:b/>
        </w:rPr>
        <w:t>1</w:t>
      </w:r>
    </w:p>
    <w:p w:rsidR="00EC79B0" w:rsidRPr="0062314E" w:rsidRDefault="00EC79B0" w:rsidP="00EC79B0">
      <w:pPr>
        <w:widowControl w:val="0"/>
        <w:rPr>
          <w:b/>
        </w:rPr>
      </w:pPr>
      <w:r w:rsidRPr="0062314E">
        <w:rPr>
          <w:b/>
        </w:rPr>
        <w:t>For immediate release</w:t>
      </w:r>
    </w:p>
    <w:p w:rsidR="00EC79B0" w:rsidRPr="0062314E" w:rsidRDefault="00EC79B0" w:rsidP="00EC79B0">
      <w:pPr>
        <w:widowControl w:val="0"/>
      </w:pPr>
    </w:p>
    <w:p w:rsidR="00EC79B0" w:rsidRPr="0062314E" w:rsidRDefault="00EC79B0" w:rsidP="00EC79B0">
      <w:pPr>
        <w:widowControl w:val="0"/>
        <w:rPr>
          <w:lang w:val="fr-CA"/>
        </w:rPr>
      </w:pPr>
      <w:r w:rsidRPr="0062314E">
        <w:rPr>
          <w:b/>
        </w:rPr>
        <w:t>OTTAWA</w:t>
      </w:r>
      <w:r w:rsidRPr="0062314E">
        <w:t xml:space="preserve"> – The Supreme Court of Canad</w:t>
      </w:r>
      <w:r w:rsidR="00455BB9" w:rsidRPr="0062314E">
        <w:t>a announced today that judgment</w:t>
      </w:r>
      <w:r w:rsidRPr="0062314E">
        <w:t xml:space="preserve"> in the following appeal will be delivered at 9:45 a.m. E</w:t>
      </w:r>
      <w:r w:rsidR="00A51565" w:rsidRPr="0062314E">
        <w:t>D</w:t>
      </w:r>
      <w:r w:rsidR="00DC6C1E" w:rsidRPr="0062314E">
        <w:t>T</w:t>
      </w:r>
      <w:r w:rsidR="00D74667" w:rsidRPr="0062314E">
        <w:t xml:space="preserve"> on</w:t>
      </w:r>
      <w:r w:rsidR="00DC6C1E" w:rsidRPr="0062314E">
        <w:t xml:space="preserve"> </w:t>
      </w:r>
      <w:r w:rsidR="00FB61C0" w:rsidRPr="0062314E">
        <w:t>Fri</w:t>
      </w:r>
      <w:r w:rsidR="00F531CE" w:rsidRPr="0062314E">
        <w:t>day</w:t>
      </w:r>
      <w:r w:rsidR="000A7900" w:rsidRPr="0062314E">
        <w:t xml:space="preserve">, </w:t>
      </w:r>
      <w:r w:rsidR="00E64E14" w:rsidRPr="0062314E">
        <w:t>Octo</w:t>
      </w:r>
      <w:r w:rsidR="00924785" w:rsidRPr="0062314E">
        <w:t>ber</w:t>
      </w:r>
      <w:r w:rsidR="004E605A" w:rsidRPr="0062314E">
        <w:t xml:space="preserve"> </w:t>
      </w:r>
      <w:r w:rsidR="00177D4A" w:rsidRPr="0062314E">
        <w:t>22</w:t>
      </w:r>
      <w:r w:rsidR="00E63199" w:rsidRPr="0062314E">
        <w:t>, 2</w:t>
      </w:r>
      <w:r w:rsidR="0086609D" w:rsidRPr="0062314E">
        <w:t>0</w:t>
      </w:r>
      <w:r w:rsidR="009544E9" w:rsidRPr="0062314E">
        <w:t>2</w:t>
      </w:r>
      <w:r w:rsidR="00964827" w:rsidRPr="0062314E">
        <w:t>1</w:t>
      </w:r>
      <w:r w:rsidR="00455BB9" w:rsidRPr="0062314E">
        <w:t xml:space="preserve">. </w:t>
      </w:r>
      <w:r w:rsidR="00455BB9" w:rsidRPr="0062314E">
        <w:rPr>
          <w:lang w:val="fr-CA"/>
        </w:rPr>
        <w:t>This</w:t>
      </w:r>
      <w:r w:rsidRPr="0062314E">
        <w:rPr>
          <w:lang w:val="fr-CA"/>
        </w:rPr>
        <w:t xml:space="preserve"> list is subject to change.</w:t>
      </w:r>
    </w:p>
    <w:p w:rsidR="001F76DD" w:rsidRPr="0062314E" w:rsidRDefault="001F76DD" w:rsidP="001C4415">
      <w:pPr>
        <w:widowControl w:val="0"/>
        <w:rPr>
          <w:szCs w:val="24"/>
          <w:lang w:val="fr-CA"/>
        </w:rPr>
      </w:pPr>
    </w:p>
    <w:p w:rsidR="001C4415" w:rsidRPr="0062314E" w:rsidRDefault="001C4415" w:rsidP="001C4415">
      <w:pPr>
        <w:widowControl w:val="0"/>
        <w:rPr>
          <w:lang w:val="fr-CA"/>
        </w:rPr>
      </w:pPr>
    </w:p>
    <w:p w:rsidR="001335A1" w:rsidRPr="0062314E" w:rsidRDefault="001335A1" w:rsidP="001335A1">
      <w:pPr>
        <w:widowControl w:val="0"/>
        <w:jc w:val="center"/>
        <w:rPr>
          <w:b/>
          <w:lang w:val="fr-CA"/>
        </w:rPr>
      </w:pPr>
      <w:r w:rsidRPr="0062314E">
        <w:rPr>
          <w:b/>
          <w:lang w:val="fr-CA"/>
        </w:rPr>
        <w:t>PROCHAIN JUGEMENT</w:t>
      </w:r>
      <w:r w:rsidR="00455BB9" w:rsidRPr="0062314E">
        <w:rPr>
          <w:b/>
          <w:lang w:val="fr-CA"/>
        </w:rPr>
        <w:t xml:space="preserve"> SUR APPEL</w:t>
      </w:r>
    </w:p>
    <w:p w:rsidR="001335A1" w:rsidRPr="0062314E" w:rsidRDefault="001335A1" w:rsidP="001335A1">
      <w:pPr>
        <w:widowControl w:val="0"/>
        <w:rPr>
          <w:lang w:val="fr-CA"/>
        </w:rPr>
      </w:pPr>
    </w:p>
    <w:p w:rsidR="00EC79B0" w:rsidRPr="0062314E" w:rsidRDefault="00EC79B0" w:rsidP="00EC79B0">
      <w:pPr>
        <w:widowControl w:val="0"/>
        <w:rPr>
          <w:lang w:val="fr-CA"/>
        </w:rPr>
      </w:pPr>
      <w:r w:rsidRPr="0062314E">
        <w:rPr>
          <w:b/>
          <w:lang w:val="fr-CA"/>
        </w:rPr>
        <w:t xml:space="preserve">Le </w:t>
      </w:r>
      <w:r w:rsidR="00177D4A" w:rsidRPr="0062314E">
        <w:rPr>
          <w:b/>
          <w:lang w:val="fr-CA"/>
        </w:rPr>
        <w:t>18</w:t>
      </w:r>
      <w:r w:rsidR="00FA5450" w:rsidRPr="0062314E">
        <w:rPr>
          <w:b/>
          <w:lang w:val="fr-CA"/>
        </w:rPr>
        <w:t xml:space="preserve"> </w:t>
      </w:r>
      <w:r w:rsidR="00DA6670" w:rsidRPr="0062314E">
        <w:rPr>
          <w:b/>
          <w:lang w:val="fr-CA"/>
        </w:rPr>
        <w:t>octo</w:t>
      </w:r>
      <w:r w:rsidR="00924785" w:rsidRPr="0062314E">
        <w:rPr>
          <w:b/>
          <w:lang w:val="fr-CA"/>
        </w:rPr>
        <w:t>bre</w:t>
      </w:r>
      <w:r w:rsidR="00C86395" w:rsidRPr="0062314E">
        <w:rPr>
          <w:b/>
          <w:lang w:val="fr-CA"/>
        </w:rPr>
        <w:t xml:space="preserve"> </w:t>
      </w:r>
      <w:r w:rsidR="0086609D" w:rsidRPr="0062314E">
        <w:rPr>
          <w:b/>
          <w:lang w:val="fr-CA"/>
        </w:rPr>
        <w:t>20</w:t>
      </w:r>
      <w:r w:rsidR="009544E9" w:rsidRPr="0062314E">
        <w:rPr>
          <w:b/>
          <w:lang w:val="fr-CA"/>
        </w:rPr>
        <w:t>2</w:t>
      </w:r>
      <w:r w:rsidR="00964827" w:rsidRPr="0062314E">
        <w:rPr>
          <w:b/>
          <w:lang w:val="fr-CA"/>
        </w:rPr>
        <w:t>1</w:t>
      </w:r>
    </w:p>
    <w:p w:rsidR="00EC79B0" w:rsidRPr="0062314E" w:rsidRDefault="00EC79B0" w:rsidP="00EC79B0">
      <w:pPr>
        <w:widowControl w:val="0"/>
        <w:rPr>
          <w:b/>
          <w:lang w:val="fr-CA"/>
        </w:rPr>
      </w:pPr>
      <w:r w:rsidRPr="0062314E">
        <w:rPr>
          <w:b/>
          <w:lang w:val="fr-CA"/>
        </w:rPr>
        <w:t>Pour diffusion immédiate</w:t>
      </w:r>
    </w:p>
    <w:p w:rsidR="00EC79B0" w:rsidRPr="0062314E" w:rsidRDefault="00EC79B0" w:rsidP="00EC79B0">
      <w:pPr>
        <w:widowControl w:val="0"/>
        <w:rPr>
          <w:lang w:val="fr-CA"/>
        </w:rPr>
      </w:pPr>
    </w:p>
    <w:p w:rsidR="00EC79B0" w:rsidRPr="0062314E" w:rsidRDefault="00EC79B0" w:rsidP="00EC79B0">
      <w:pPr>
        <w:widowControl w:val="0"/>
        <w:rPr>
          <w:lang w:val="fr-CA"/>
        </w:rPr>
      </w:pPr>
      <w:r w:rsidRPr="0062314E">
        <w:rPr>
          <w:b/>
          <w:lang w:val="fr-CA"/>
        </w:rPr>
        <w:t>OTTAWA</w:t>
      </w:r>
      <w:r w:rsidRPr="0062314E">
        <w:rPr>
          <w:lang w:val="fr-CA"/>
        </w:rPr>
        <w:t xml:space="preserve"> – La Cour suprême du Canada annonce que jugement ser</w:t>
      </w:r>
      <w:r w:rsidR="00C86395" w:rsidRPr="0062314E">
        <w:rPr>
          <w:lang w:val="fr-CA"/>
        </w:rPr>
        <w:t>a</w:t>
      </w:r>
      <w:r w:rsidRPr="0062314E">
        <w:rPr>
          <w:lang w:val="fr-CA"/>
        </w:rPr>
        <w:t xml:space="preserve"> rendu dans </w:t>
      </w:r>
      <w:r w:rsidR="001F1643" w:rsidRPr="0062314E">
        <w:rPr>
          <w:lang w:val="fr-CA"/>
        </w:rPr>
        <w:t>l</w:t>
      </w:r>
      <w:r w:rsidR="00C86395" w:rsidRPr="0062314E">
        <w:rPr>
          <w:lang w:val="fr-CA"/>
        </w:rPr>
        <w:t>’</w:t>
      </w:r>
      <w:r w:rsidR="00A51565" w:rsidRPr="0062314E">
        <w:rPr>
          <w:lang w:val="fr-CA"/>
        </w:rPr>
        <w:t xml:space="preserve">appel </w:t>
      </w:r>
      <w:r w:rsidRPr="0062314E">
        <w:rPr>
          <w:lang w:val="fr-CA"/>
        </w:rPr>
        <w:t xml:space="preserve">suivant le </w:t>
      </w:r>
      <w:r w:rsidR="00FB61C0" w:rsidRPr="0062314E">
        <w:rPr>
          <w:lang w:val="fr-CA"/>
        </w:rPr>
        <w:t>vendre</w:t>
      </w:r>
      <w:r w:rsidR="00831D1B" w:rsidRPr="0062314E">
        <w:rPr>
          <w:lang w:val="fr-CA"/>
        </w:rPr>
        <w:t>d</w:t>
      </w:r>
      <w:r w:rsidR="00945121" w:rsidRPr="0062314E">
        <w:rPr>
          <w:lang w:val="fr-CA"/>
        </w:rPr>
        <w:t>i</w:t>
      </w:r>
      <w:r w:rsidR="007C1648" w:rsidRPr="0062314E">
        <w:rPr>
          <w:lang w:val="fr-CA"/>
        </w:rPr>
        <w:t xml:space="preserve"> </w:t>
      </w:r>
      <w:r w:rsidR="00177D4A" w:rsidRPr="0062314E">
        <w:rPr>
          <w:lang w:val="fr-CA"/>
        </w:rPr>
        <w:t>22</w:t>
      </w:r>
      <w:r w:rsidR="00E64E14" w:rsidRPr="0062314E">
        <w:rPr>
          <w:lang w:val="fr-CA"/>
        </w:rPr>
        <w:t xml:space="preserve"> octobre</w:t>
      </w:r>
      <w:r w:rsidR="00282563" w:rsidRPr="0062314E">
        <w:rPr>
          <w:lang w:val="fr-CA"/>
        </w:rPr>
        <w:t xml:space="preserve"> </w:t>
      </w:r>
      <w:r w:rsidRPr="0062314E">
        <w:rPr>
          <w:lang w:val="fr-CA"/>
        </w:rPr>
        <w:t>20</w:t>
      </w:r>
      <w:r w:rsidR="009544E9" w:rsidRPr="0062314E">
        <w:rPr>
          <w:lang w:val="fr-CA"/>
        </w:rPr>
        <w:t>2</w:t>
      </w:r>
      <w:r w:rsidR="00964827" w:rsidRPr="0062314E">
        <w:rPr>
          <w:lang w:val="fr-CA"/>
        </w:rPr>
        <w:t>1</w:t>
      </w:r>
      <w:r w:rsidRPr="0062314E">
        <w:rPr>
          <w:lang w:val="fr-CA"/>
        </w:rPr>
        <w:t>, à 9 h 45 H</w:t>
      </w:r>
      <w:r w:rsidR="00A51565" w:rsidRPr="0062314E">
        <w:rPr>
          <w:lang w:val="fr-CA"/>
        </w:rPr>
        <w:t>A</w:t>
      </w:r>
      <w:r w:rsidRPr="0062314E">
        <w:rPr>
          <w:lang w:val="fr-CA"/>
        </w:rPr>
        <w:t>E. Cette liste est sujette à modifications.</w:t>
      </w:r>
    </w:p>
    <w:p w:rsidR="001F76DD" w:rsidRPr="0062314E" w:rsidRDefault="001F76DD" w:rsidP="00E92006">
      <w:pPr>
        <w:widowControl w:val="0"/>
        <w:jc w:val="both"/>
        <w:rPr>
          <w:szCs w:val="24"/>
          <w:lang w:val="fr-CA"/>
        </w:rPr>
      </w:pPr>
    </w:p>
    <w:p w:rsidR="00EF4622" w:rsidRPr="0062314E" w:rsidRDefault="0062314E" w:rsidP="00E92006">
      <w:pPr>
        <w:widowControl w:val="0"/>
        <w:jc w:val="both"/>
        <w:rPr>
          <w:szCs w:val="24"/>
          <w:lang w:val="fr-CA"/>
        </w:rPr>
      </w:pPr>
      <w:r w:rsidRPr="0062314E">
        <w:rPr>
          <w:sz w:val="20"/>
        </w:rPr>
        <w:pict>
          <v:rect id="_x0000_i1025" style="width:2in;height:1pt" o:hrpct="0" o:hralign="center" o:hrstd="t" o:hrnoshade="t" o:hr="t" fillcolor="black [3213]" stroked="f"/>
        </w:pict>
      </w:r>
    </w:p>
    <w:p w:rsidR="001335A1" w:rsidRPr="0062314E" w:rsidRDefault="001335A1" w:rsidP="001335A1">
      <w:pPr>
        <w:widowControl w:val="0"/>
        <w:rPr>
          <w:szCs w:val="24"/>
          <w:lang w:val="fr-CA"/>
        </w:rPr>
      </w:pPr>
    </w:p>
    <w:p w:rsidR="00772636" w:rsidRPr="0062314E" w:rsidRDefault="00AA3931" w:rsidP="00772636">
      <w:pPr>
        <w:jc w:val="both"/>
        <w:rPr>
          <w:szCs w:val="24"/>
        </w:rPr>
      </w:pPr>
      <w:r w:rsidRPr="0062314E">
        <w:rPr>
          <w:i/>
          <w:szCs w:val="24"/>
        </w:rPr>
        <w:t>Northern Regional Health Authority v. Linda Horrocks, et al.</w:t>
      </w:r>
      <w:r w:rsidR="004C6206" w:rsidRPr="0062314E">
        <w:rPr>
          <w:i/>
          <w:szCs w:val="24"/>
        </w:rPr>
        <w:t xml:space="preserve"> </w:t>
      </w:r>
      <w:r w:rsidR="00772636" w:rsidRPr="0062314E">
        <w:rPr>
          <w:szCs w:val="24"/>
        </w:rPr>
        <w:t>(</w:t>
      </w:r>
      <w:r w:rsidRPr="0062314E">
        <w:rPr>
          <w:szCs w:val="24"/>
        </w:rPr>
        <w:t>Man.</w:t>
      </w:r>
      <w:r w:rsidR="00772636" w:rsidRPr="0062314E">
        <w:rPr>
          <w:szCs w:val="24"/>
        </w:rPr>
        <w:t xml:space="preserve">) </w:t>
      </w:r>
      <w:r w:rsidR="00772636" w:rsidRPr="0062314E">
        <w:t>(</w:t>
      </w:r>
      <w:hyperlink r:id="rId7" w:history="1">
        <w:r w:rsidR="00772636" w:rsidRPr="0062314E">
          <w:rPr>
            <w:rStyle w:val="Hyperlink"/>
          </w:rPr>
          <w:t>3</w:t>
        </w:r>
        <w:r w:rsidRPr="0062314E">
          <w:rPr>
            <w:rStyle w:val="Hyperlink"/>
          </w:rPr>
          <w:t>787</w:t>
        </w:r>
        <w:r w:rsidR="0049661A" w:rsidRPr="0062314E">
          <w:rPr>
            <w:rStyle w:val="Hyperlink"/>
          </w:rPr>
          <w:t>8</w:t>
        </w:r>
      </w:hyperlink>
      <w:r w:rsidR="00772636" w:rsidRPr="0062314E">
        <w:t>)</w:t>
      </w:r>
    </w:p>
    <w:p w:rsidR="009F18D7" w:rsidRPr="0062314E" w:rsidRDefault="009F18D7" w:rsidP="00340C6D">
      <w:pPr>
        <w:jc w:val="both"/>
        <w:rPr>
          <w:sz w:val="20"/>
        </w:rPr>
      </w:pPr>
    </w:p>
    <w:p w:rsidR="004938E8" w:rsidRPr="0062314E" w:rsidRDefault="004938E8" w:rsidP="00340C6D">
      <w:pPr>
        <w:jc w:val="both"/>
        <w:rPr>
          <w:sz w:val="20"/>
        </w:rPr>
      </w:pPr>
    </w:p>
    <w:p w:rsidR="00AA3931" w:rsidRPr="0062314E" w:rsidRDefault="00AA3931" w:rsidP="002E0B7A">
      <w:pPr>
        <w:pStyle w:val="SCCLsocParty"/>
        <w:ind w:left="720" w:hanging="720"/>
        <w:rPr>
          <w:b/>
          <w:i w:val="0"/>
          <w:sz w:val="20"/>
          <w:szCs w:val="20"/>
          <w:lang w:val="en-US"/>
        </w:rPr>
      </w:pPr>
      <w:r w:rsidRPr="0062314E">
        <w:rPr>
          <w:b/>
          <w:i w:val="0"/>
          <w:sz w:val="20"/>
          <w:szCs w:val="20"/>
        </w:rPr>
        <w:fldChar w:fldCharType="begin"/>
      </w:r>
      <w:r w:rsidRPr="0062314E">
        <w:rPr>
          <w:b/>
          <w:i w:val="0"/>
          <w:sz w:val="20"/>
          <w:szCs w:val="20"/>
          <w:lang w:val="en-US"/>
        </w:rPr>
        <w:instrText xml:space="preserve"> SEQ CHAPTER \h \r 1</w:instrText>
      </w:r>
      <w:r w:rsidRPr="0062314E">
        <w:rPr>
          <w:b/>
          <w:i w:val="0"/>
          <w:sz w:val="20"/>
          <w:szCs w:val="20"/>
        </w:rPr>
        <w:fldChar w:fldCharType="end"/>
      </w:r>
      <w:r w:rsidRPr="0062314E">
        <w:rPr>
          <w:b/>
          <w:i w:val="0"/>
          <w:sz w:val="20"/>
          <w:szCs w:val="20"/>
          <w:lang w:val="en-US"/>
        </w:rPr>
        <w:t>37878</w:t>
      </w:r>
      <w:r w:rsidRPr="0062314E">
        <w:rPr>
          <w:b/>
          <w:i w:val="0"/>
          <w:sz w:val="20"/>
          <w:szCs w:val="20"/>
          <w:lang w:val="en-US"/>
        </w:rPr>
        <w:tab/>
      </w:r>
      <w:r w:rsidRPr="0062314E">
        <w:rPr>
          <w:b/>
          <w:sz w:val="20"/>
          <w:szCs w:val="20"/>
          <w:lang w:val="en-US"/>
        </w:rPr>
        <w:t>Northern Regional Health Authority v. Linda Horrocks and Manitoba Human Rights Commission</w:t>
      </w:r>
    </w:p>
    <w:p w:rsidR="00AA3931" w:rsidRPr="0062314E" w:rsidRDefault="00AA3931" w:rsidP="00AA3931">
      <w:pPr>
        <w:pStyle w:val="SCCLsocParty"/>
        <w:ind w:left="720"/>
        <w:rPr>
          <w:i w:val="0"/>
          <w:sz w:val="20"/>
          <w:szCs w:val="20"/>
          <w:lang w:val="en-US"/>
        </w:rPr>
      </w:pPr>
      <w:r w:rsidRPr="0062314E">
        <w:rPr>
          <w:i w:val="0"/>
          <w:sz w:val="20"/>
          <w:szCs w:val="20"/>
          <w:lang w:val="en-US"/>
        </w:rPr>
        <w:t>(Manitoba) (Civil) (By leave)</w:t>
      </w:r>
      <w:bookmarkStart w:id="0" w:name="QuickMark_1"/>
      <w:bookmarkEnd w:id="0"/>
    </w:p>
    <w:p w:rsidR="00AA3931" w:rsidRPr="0062314E" w:rsidRDefault="00AA3931">
      <w:pPr>
        <w:widowControl w:val="0"/>
        <w:jc w:val="both"/>
        <w:rPr>
          <w:sz w:val="20"/>
          <w:lang w:val="en-CA"/>
        </w:rPr>
      </w:pPr>
    </w:p>
    <w:p w:rsidR="00AA3931" w:rsidRPr="0062314E" w:rsidRDefault="00AA3931" w:rsidP="002E0B7A">
      <w:pPr>
        <w:jc w:val="both"/>
        <w:rPr>
          <w:sz w:val="20"/>
        </w:rPr>
      </w:pPr>
      <w:r w:rsidRPr="0062314E">
        <w:rPr>
          <w:sz w:val="20"/>
        </w:rPr>
        <w:t>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standard of appellate review, as between levels of court sitting in review of decision of administrative tribunal? - How are the jurisdictional lines between potentially competing specialized tribunals to be drawn? - If jurisdiction over a dispute is exclusive, can any jurisdiction transcend it?</w:t>
      </w:r>
    </w:p>
    <w:p w:rsidR="00AA3931" w:rsidRPr="0062314E" w:rsidRDefault="00AA3931">
      <w:pPr>
        <w:widowControl w:val="0"/>
        <w:jc w:val="both"/>
        <w:rPr>
          <w:sz w:val="20"/>
        </w:rPr>
      </w:pPr>
    </w:p>
    <w:p w:rsidR="00AA3931" w:rsidRPr="0062314E" w:rsidRDefault="00AA3931" w:rsidP="002E0B7A">
      <w:pPr>
        <w:jc w:val="both"/>
        <w:rPr>
          <w:sz w:val="20"/>
          <w:lang w:val="en"/>
        </w:rPr>
      </w:pPr>
      <w:r w:rsidRPr="0062314E">
        <w:rPr>
          <w:sz w:val="20"/>
          <w:lang w:val="en"/>
        </w:rPr>
        <w:t xml:space="preserve">Ms. Horrocks was a unionized healthcare aide with </w:t>
      </w:r>
      <w:r w:rsidRPr="0062314E">
        <w:rPr>
          <w:sz w:val="20"/>
        </w:rPr>
        <w:t>Northern Regional Health Authority</w:t>
      </w:r>
      <w:r w:rsidRPr="0062314E">
        <w:rPr>
          <w:sz w:val="20"/>
          <w:lang w:val="en"/>
        </w:rPr>
        <w:t xml:space="preserve">’s (“NRHA”) personal care home in Flin Flon, Manitoba. She was subject to a collective agreement that forbade discrimination based on “physical or mental disability”, which was also a statutorily protected characteristic under the </w:t>
      </w:r>
      <w:r w:rsidRPr="0062314E">
        <w:rPr>
          <w:i/>
          <w:sz w:val="20"/>
          <w:lang w:val="en"/>
        </w:rPr>
        <w:t>Human Rights</w:t>
      </w:r>
      <w:r w:rsidRPr="0062314E">
        <w:rPr>
          <w:sz w:val="20"/>
          <w:lang w:val="en"/>
        </w:rPr>
        <w:t xml:space="preserve"> </w:t>
      </w:r>
      <w:hyperlink r:id="rId8" w:history="1">
        <w:r w:rsidRPr="0062314E">
          <w:rPr>
            <w:i/>
            <w:iCs/>
            <w:sz w:val="20"/>
            <w:lang w:val="en"/>
          </w:rPr>
          <w:t>Code</w:t>
        </w:r>
      </w:hyperlink>
      <w:r w:rsidRPr="0062314E">
        <w:rPr>
          <w:iCs/>
          <w:sz w:val="20"/>
          <w:lang w:val="en"/>
        </w:rPr>
        <w:t>, C.C.S.M. c. H.175.</w:t>
      </w:r>
      <w:r w:rsidRPr="0062314E">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9" w:history="1">
        <w:r w:rsidRPr="0062314E">
          <w:rPr>
            <w:i/>
            <w:iCs/>
            <w:sz w:val="20"/>
            <w:lang w:val="en"/>
          </w:rPr>
          <w:t>Code</w:t>
        </w:r>
      </w:hyperlink>
      <w:r w:rsidRPr="0062314E">
        <w:rPr>
          <w:sz w:val="20"/>
          <w:lang w:val="en"/>
        </w:rPr>
        <w:t xml:space="preserve">.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Horrocks’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62314E">
        <w:rPr>
          <w:i/>
          <w:sz w:val="20"/>
          <w:lang w:val="en"/>
        </w:rPr>
        <w:t>Code</w:t>
      </w:r>
      <w:r w:rsidRPr="0062314E">
        <w:rPr>
          <w:sz w:val="20"/>
          <w:lang w:val="en"/>
        </w:rPr>
        <w:t>.</w:t>
      </w:r>
    </w:p>
    <w:p w:rsidR="00AA3931" w:rsidRPr="0062314E" w:rsidRDefault="00AA3931" w:rsidP="002E0B7A">
      <w:pPr>
        <w:widowControl w:val="0"/>
        <w:jc w:val="both"/>
        <w:rPr>
          <w:sz w:val="20"/>
          <w:lang w:val="en"/>
        </w:rPr>
      </w:pPr>
    </w:p>
    <w:p w:rsidR="00AA3931" w:rsidRPr="0062314E" w:rsidRDefault="00AA3931" w:rsidP="002E0B7A">
      <w:pPr>
        <w:widowControl w:val="0"/>
        <w:jc w:val="both"/>
        <w:rPr>
          <w:sz w:val="20"/>
          <w:lang w:val="en"/>
        </w:rPr>
      </w:pPr>
      <w:r w:rsidRPr="0062314E">
        <w:rPr>
          <w:sz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w:t>
      </w:r>
      <w:r w:rsidRPr="0062314E">
        <w:rPr>
          <w:sz w:val="20"/>
          <w:lang w:val="en"/>
        </w:rPr>
        <w:lastRenderedPageBreak/>
        <w:t xml:space="preserve">The Chief Adjudicator disagreed and went on to determine that the NRHA had violated the discrimination provisions of the </w:t>
      </w:r>
      <w:hyperlink r:id="rId10" w:history="1">
        <w:r w:rsidRPr="0062314E">
          <w:rPr>
            <w:i/>
            <w:iCs/>
            <w:sz w:val="20"/>
            <w:lang w:val="en"/>
          </w:rPr>
          <w:t>Code</w:t>
        </w:r>
      </w:hyperlink>
      <w:r w:rsidRPr="0062314E">
        <w:rPr>
          <w:sz w:val="20"/>
          <w:lang w:val="en"/>
        </w:rPr>
        <w:t xml:space="preserve"> on the basis of Ms. Horrocks’ alcohol dependency disability during her employment. Her jurisdiction decision was set aside on judicial review. The reviewing judge concluded that the essential character of the dispute was whether there was just cause to terminate Ms. Horrocks’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p w:rsidR="00AA3931" w:rsidRPr="0062314E" w:rsidRDefault="00AA3931" w:rsidP="002E0B7A">
      <w:pPr>
        <w:widowControl w:val="0"/>
        <w:jc w:val="both"/>
        <w:rPr>
          <w:sz w:val="20"/>
          <w:lang w:val="en"/>
        </w:rPr>
      </w:pPr>
    </w:p>
    <w:p w:rsidR="00AA3931" w:rsidRPr="0062314E" w:rsidRDefault="0062314E" w:rsidP="002E0B7A">
      <w:pPr>
        <w:widowControl w:val="0"/>
        <w:jc w:val="both"/>
        <w:rPr>
          <w:sz w:val="20"/>
          <w:lang w:val="en"/>
        </w:rPr>
      </w:pPr>
      <w:r w:rsidRPr="0062314E">
        <w:rPr>
          <w:sz w:val="20"/>
        </w:rPr>
        <w:pict>
          <v:rect id="_x0000_i1026" style="width:2in;height:1pt" o:hrpct="0" o:hralign="center" o:hrstd="t" o:hrnoshade="t" o:hr="t" fillcolor="black [3213]" stroked="f"/>
        </w:pict>
      </w:r>
    </w:p>
    <w:p w:rsidR="00AA3931" w:rsidRPr="0062314E" w:rsidRDefault="00AA3931" w:rsidP="002E0B7A">
      <w:pPr>
        <w:widowControl w:val="0"/>
        <w:jc w:val="both"/>
        <w:rPr>
          <w:sz w:val="20"/>
          <w:lang w:val="en"/>
        </w:rPr>
      </w:pPr>
    </w:p>
    <w:p w:rsidR="00AA3931" w:rsidRPr="0062314E" w:rsidRDefault="00AA3931" w:rsidP="00954D8D">
      <w:pPr>
        <w:pStyle w:val="SCCLsocParty"/>
        <w:ind w:left="720" w:hanging="720"/>
        <w:rPr>
          <w:b/>
          <w:i w:val="0"/>
          <w:sz w:val="20"/>
          <w:szCs w:val="20"/>
        </w:rPr>
      </w:pPr>
      <w:r w:rsidRPr="0062314E">
        <w:rPr>
          <w:b/>
          <w:i w:val="0"/>
          <w:sz w:val="20"/>
          <w:szCs w:val="20"/>
        </w:rPr>
        <w:fldChar w:fldCharType="begin"/>
      </w:r>
      <w:r w:rsidRPr="0062314E">
        <w:rPr>
          <w:b/>
          <w:i w:val="0"/>
          <w:sz w:val="20"/>
          <w:szCs w:val="20"/>
        </w:rPr>
        <w:instrText xml:space="preserve"> SEQ CHAPTER \h \r 1</w:instrText>
      </w:r>
      <w:r w:rsidRPr="0062314E">
        <w:rPr>
          <w:b/>
          <w:i w:val="0"/>
          <w:sz w:val="20"/>
          <w:szCs w:val="20"/>
        </w:rPr>
        <w:fldChar w:fldCharType="end"/>
      </w:r>
      <w:r w:rsidRPr="0062314E">
        <w:rPr>
          <w:b/>
          <w:i w:val="0"/>
          <w:sz w:val="20"/>
          <w:szCs w:val="20"/>
        </w:rPr>
        <w:t>37878</w:t>
      </w:r>
      <w:r w:rsidRPr="0062314E">
        <w:rPr>
          <w:b/>
          <w:i w:val="0"/>
          <w:sz w:val="20"/>
          <w:szCs w:val="20"/>
        </w:rPr>
        <w:tab/>
      </w:r>
      <w:r w:rsidRPr="0062314E">
        <w:rPr>
          <w:b/>
          <w:sz w:val="20"/>
          <w:szCs w:val="20"/>
        </w:rPr>
        <w:t>Northern Regional Health Authority c. Linda Horrocks et Commission des droits de la personne du Manitoba</w:t>
      </w:r>
    </w:p>
    <w:p w:rsidR="00AA3931" w:rsidRPr="0062314E" w:rsidRDefault="00AA3931" w:rsidP="00AA3931">
      <w:pPr>
        <w:pStyle w:val="SCCLsocParty"/>
        <w:ind w:left="720"/>
        <w:rPr>
          <w:i w:val="0"/>
          <w:sz w:val="20"/>
          <w:szCs w:val="20"/>
        </w:rPr>
      </w:pPr>
      <w:r w:rsidRPr="0062314E">
        <w:rPr>
          <w:i w:val="0"/>
          <w:sz w:val="20"/>
          <w:szCs w:val="20"/>
        </w:rPr>
        <w:t>(Manitoba) (Civile) (Autorisation)</w:t>
      </w:r>
    </w:p>
    <w:p w:rsidR="00AA3931" w:rsidRPr="0062314E" w:rsidRDefault="00AA3931">
      <w:pPr>
        <w:widowControl w:val="0"/>
        <w:jc w:val="both"/>
        <w:rPr>
          <w:sz w:val="20"/>
          <w:lang w:val="fr-CA"/>
        </w:rPr>
      </w:pPr>
    </w:p>
    <w:p w:rsidR="00AA3931" w:rsidRPr="0062314E" w:rsidRDefault="00AA3931" w:rsidP="002E0B7A">
      <w:pPr>
        <w:jc w:val="both"/>
        <w:rPr>
          <w:sz w:val="20"/>
          <w:lang w:val="fr-CA"/>
        </w:rPr>
      </w:pPr>
      <w:r w:rsidRPr="0062314E">
        <w:rPr>
          <w:sz w:val="20"/>
          <w:lang w:val="fr-CA"/>
        </w:rPr>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Comment convient-il de délimiter les compétences respectives de tribunaux administratifs spécialisés éventuellement concurrents? - Si la compétence à l’égard d’un différend est exclusive, une autre compétence peut-elle la transcender?</w:t>
      </w:r>
    </w:p>
    <w:p w:rsidR="00AA3931" w:rsidRPr="0062314E" w:rsidRDefault="00AA3931">
      <w:pPr>
        <w:widowControl w:val="0"/>
        <w:jc w:val="both"/>
        <w:rPr>
          <w:sz w:val="20"/>
          <w:lang w:val="fr-CA"/>
        </w:rPr>
      </w:pPr>
    </w:p>
    <w:p w:rsidR="00AA3931" w:rsidRPr="0062314E" w:rsidRDefault="00AA3931" w:rsidP="002E0B7A">
      <w:pPr>
        <w:jc w:val="both"/>
        <w:rPr>
          <w:sz w:val="20"/>
          <w:lang w:val="fr-CA"/>
        </w:rPr>
      </w:pPr>
      <w:r w:rsidRPr="0062314E">
        <w:rPr>
          <w:sz w:val="20"/>
          <w:lang w:val="fr-CA"/>
        </w:rPr>
        <w:t>Madame Horrocks était aide-soignante syndiquée au foyer de soins personnels de la Northern Regional Health Authority (« NRHA ») à Flin Flon (Manitoba). Elle était régie par une convention collective qui interdisait toute discrimination fondée sur [</w:t>
      </w:r>
      <w:r w:rsidRPr="0062314E">
        <w:rPr>
          <w:smallCaps/>
          <w:sz w:val="20"/>
          <w:lang w:val="fr-CA"/>
        </w:rPr>
        <w:t>traduction</w:t>
      </w:r>
      <w:r w:rsidRPr="0062314E">
        <w:rPr>
          <w:sz w:val="20"/>
          <w:lang w:val="fr-CA"/>
        </w:rPr>
        <w:t xml:space="preserve">] « les incapacités physiques ou mentales », c’est-à-dire une caractéristique également protégée par le </w:t>
      </w:r>
      <w:r w:rsidRPr="0062314E">
        <w:rPr>
          <w:i/>
          <w:sz w:val="20"/>
          <w:lang w:val="fr-CA"/>
        </w:rPr>
        <w:t>Code des droits de la personne</w:t>
      </w:r>
      <w:r w:rsidRPr="0062314E">
        <w:rPr>
          <w:iCs/>
          <w:sz w:val="20"/>
          <w:lang w:val="fr-CA"/>
        </w:rPr>
        <w:t>, CPLM ch. H.175.</w:t>
      </w:r>
      <w:r w:rsidRPr="0062314E">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r w:rsidRPr="0062314E">
        <w:rPr>
          <w:rStyle w:val="Hyperlink"/>
          <w:rFonts w:eastAsia="Calibri"/>
          <w:i/>
          <w:iCs/>
          <w:color w:val="auto"/>
          <w:sz w:val="20"/>
          <w:u w:val="none"/>
          <w:lang w:val="fr-CA"/>
        </w:rPr>
        <w:t>Code</w:t>
      </w:r>
      <w:r w:rsidRPr="0062314E">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62314E">
        <w:rPr>
          <w:i/>
          <w:sz w:val="20"/>
          <w:lang w:val="fr-CA"/>
        </w:rPr>
        <w:t>Code</w:t>
      </w:r>
      <w:r w:rsidRPr="0062314E">
        <w:rPr>
          <w:sz w:val="20"/>
          <w:lang w:val="fr-CA"/>
        </w:rPr>
        <w:t>.</w:t>
      </w:r>
    </w:p>
    <w:p w:rsidR="00AA3931" w:rsidRPr="0062314E" w:rsidRDefault="00AA3931" w:rsidP="002E0B7A">
      <w:pPr>
        <w:widowControl w:val="0"/>
        <w:jc w:val="both"/>
        <w:rPr>
          <w:sz w:val="20"/>
          <w:lang w:val="fr-CA"/>
        </w:rPr>
      </w:pPr>
    </w:p>
    <w:p w:rsidR="00AA3931" w:rsidRPr="0062314E" w:rsidRDefault="00AA3931" w:rsidP="002E0B7A">
      <w:pPr>
        <w:widowControl w:val="0"/>
        <w:jc w:val="both"/>
        <w:rPr>
          <w:sz w:val="20"/>
          <w:lang w:val="fr-CA"/>
        </w:rPr>
      </w:pPr>
      <w:r w:rsidRPr="0062314E">
        <w:rPr>
          <w:sz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r w:rsidRPr="0062314E">
        <w:rPr>
          <w:rFonts w:eastAsia="Calibri"/>
          <w:i/>
          <w:sz w:val="20"/>
          <w:lang w:val="fr-CA"/>
        </w:rPr>
        <w:t>Code</w:t>
      </w:r>
      <w:r w:rsidRPr="0062314E">
        <w:rPr>
          <w:sz w:val="20"/>
          <w:lang w:val="fr-CA"/>
        </w:rPr>
        <w:t xml:space="preserve"> en matière de discrimination sur le fondement de l’incapacité de Mme Horrocks, à savoir la dépendance à l’alcool, pendant son emploi. Sa décision portant sur la compétence a été annulée lors d’un contrôle judiciaire. Le juge de révision a conclu que l’essentiel du litige était la question de savoir s’il existait un motif valable pour congédier Mme Horrocks,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E64E14" w:rsidRPr="0062314E" w:rsidRDefault="00E64E14" w:rsidP="00E64E14">
      <w:pPr>
        <w:jc w:val="both"/>
        <w:rPr>
          <w:sz w:val="20"/>
          <w:lang w:val="fr-CA"/>
        </w:rPr>
      </w:pPr>
    </w:p>
    <w:p w:rsidR="00E64E14" w:rsidRPr="0062314E" w:rsidRDefault="0062314E" w:rsidP="00E64E14">
      <w:pPr>
        <w:jc w:val="both"/>
        <w:rPr>
          <w:sz w:val="20"/>
          <w:lang w:val="fr-CA"/>
        </w:rPr>
      </w:pPr>
      <w:r w:rsidRPr="0062314E">
        <w:rPr>
          <w:sz w:val="20"/>
        </w:rPr>
        <w:pict>
          <v:rect id="_x0000_i1027" style="width:2in;height:1pt" o:hrpct="0" o:hralign="center" o:hrstd="t" o:hrnoshade="t" o:hr="t" fillcolor="black [3213]" stroked="f"/>
        </w:pict>
      </w:r>
    </w:p>
    <w:p w:rsidR="007C40A3" w:rsidRPr="0062314E" w:rsidRDefault="007C40A3" w:rsidP="00340C6D">
      <w:pPr>
        <w:jc w:val="both"/>
        <w:rPr>
          <w:sz w:val="20"/>
          <w:lang w:val="fr-CA"/>
        </w:rPr>
      </w:pPr>
    </w:p>
    <w:p w:rsidR="00A51565" w:rsidRPr="0062314E" w:rsidRDefault="00A51565" w:rsidP="00340C6D">
      <w:pPr>
        <w:jc w:val="both"/>
        <w:rPr>
          <w:sz w:val="20"/>
        </w:rPr>
      </w:pPr>
    </w:p>
    <w:p w:rsidR="00072A63" w:rsidRPr="0062314E" w:rsidRDefault="00072A63" w:rsidP="00EC79B0">
      <w:pPr>
        <w:jc w:val="both"/>
        <w:rPr>
          <w:sz w:val="20"/>
          <w:lang w:val="fr-CA"/>
        </w:rPr>
      </w:pPr>
    </w:p>
    <w:p w:rsidR="001C4415" w:rsidRPr="0062314E" w:rsidRDefault="001C4415" w:rsidP="001C4415">
      <w:pPr>
        <w:widowControl w:val="0"/>
        <w:outlineLvl w:val="0"/>
      </w:pPr>
      <w:r w:rsidRPr="0062314E">
        <w:t xml:space="preserve">Supreme Court of Canada / Cour suprême du </w:t>
      </w:r>
      <w:proofErr w:type="gramStart"/>
      <w:r w:rsidRPr="0062314E">
        <w:t>Canada :</w:t>
      </w:r>
      <w:proofErr w:type="gramEnd"/>
      <w:r w:rsidRPr="0062314E">
        <w:t xml:space="preserve"> </w:t>
      </w:r>
    </w:p>
    <w:p w:rsidR="001C4415" w:rsidRPr="0062314E" w:rsidRDefault="0062314E" w:rsidP="001C4415">
      <w:pPr>
        <w:widowControl w:val="0"/>
        <w:outlineLvl w:val="0"/>
      </w:pPr>
      <w:hyperlink r:id="rId11" w:history="1">
        <w:r w:rsidR="001C4415" w:rsidRPr="0062314E">
          <w:rPr>
            <w:rStyle w:val="Hyperlink"/>
          </w:rPr>
          <w:t>comments-commentaires@scc-csc.ca</w:t>
        </w:r>
      </w:hyperlink>
    </w:p>
    <w:p w:rsidR="001C4415" w:rsidRPr="0062314E" w:rsidRDefault="001C4415" w:rsidP="001C4415">
      <w:pPr>
        <w:widowControl w:val="0"/>
        <w:outlineLvl w:val="0"/>
      </w:pPr>
      <w:r w:rsidRPr="0062314E">
        <w:t>(613) 995-4330</w:t>
      </w:r>
    </w:p>
    <w:p w:rsidR="001C4415" w:rsidRPr="0062314E" w:rsidRDefault="001C4415" w:rsidP="001C4415">
      <w:pPr>
        <w:widowControl w:val="0"/>
        <w:rPr>
          <w:sz w:val="20"/>
        </w:rPr>
      </w:pPr>
    </w:p>
    <w:p w:rsidR="0036476C" w:rsidRPr="00A8502B" w:rsidRDefault="001C4415" w:rsidP="0036476C">
      <w:pPr>
        <w:pStyle w:val="Footer"/>
        <w:jc w:val="center"/>
        <w:rPr>
          <w:lang w:val="fr-CA"/>
        </w:rPr>
      </w:pPr>
      <w:r w:rsidRPr="0062314E">
        <w:rPr>
          <w:lang w:val="fr-CA"/>
        </w:rPr>
        <w:t xml:space="preserve">- 30 </w:t>
      </w:r>
      <w:r w:rsidR="003C1B6E" w:rsidRPr="0062314E">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314E"/>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mb/laws/stat/ccsm-c-h175/latest/ccsm-c-h175.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787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lii.org/en/mb/laws/stat/ccsm-c-h175/latest/ccsm-c-h17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lii.org/en/mb/laws/stat/ccsm-c-h175/latest/ccsm-c-h17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2021-10-18T12:56:00Z</dcterms:modified>
</cp:coreProperties>
</file>