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9E07D0" w:rsidRDefault="000E391F" w:rsidP="000E391F">
      <w:pPr>
        <w:pStyle w:val="Header"/>
        <w:jc w:val="center"/>
        <w:rPr>
          <w:b/>
          <w:sz w:val="32"/>
        </w:rPr>
      </w:pPr>
      <w:r w:rsidRPr="009E07D0">
        <w:rPr>
          <w:b/>
          <w:sz w:val="32"/>
        </w:rPr>
        <w:t>Supreme Court of Canada / Cour suprême du Canada</w:t>
      </w:r>
    </w:p>
    <w:p w:rsidR="000E391F" w:rsidRPr="009E07D0" w:rsidRDefault="000E391F" w:rsidP="000E391F">
      <w:pPr>
        <w:widowControl w:val="0"/>
      </w:pPr>
    </w:p>
    <w:p w:rsidR="000E391F" w:rsidRPr="009E07D0" w:rsidRDefault="000E391F" w:rsidP="000E391F">
      <w:pPr>
        <w:widowControl w:val="0"/>
        <w:rPr>
          <w:i/>
        </w:rPr>
      </w:pPr>
    </w:p>
    <w:p w:rsidR="006F2579" w:rsidRPr="009E07D0" w:rsidRDefault="006F2579" w:rsidP="006F2579">
      <w:pPr>
        <w:widowControl w:val="0"/>
        <w:rPr>
          <w:i/>
          <w:sz w:val="20"/>
        </w:rPr>
      </w:pPr>
      <w:r w:rsidRPr="009E07D0">
        <w:rPr>
          <w:i/>
          <w:sz w:val="20"/>
        </w:rPr>
        <w:t>(</w:t>
      </w:r>
      <w:r w:rsidR="003240B6" w:rsidRPr="009E07D0">
        <w:rPr>
          <w:i/>
          <w:sz w:val="20"/>
        </w:rPr>
        <w:t>L</w:t>
      </w:r>
      <w:r w:rsidRPr="009E07D0">
        <w:rPr>
          <w:i/>
          <w:sz w:val="20"/>
        </w:rPr>
        <w:t>e français suit)</w:t>
      </w:r>
    </w:p>
    <w:p w:rsidR="006F2579" w:rsidRPr="009E07D0" w:rsidRDefault="006F2579" w:rsidP="006F2579">
      <w:pPr>
        <w:widowControl w:val="0"/>
      </w:pPr>
    </w:p>
    <w:p w:rsidR="006F2579" w:rsidRPr="009E07D0" w:rsidRDefault="00B07908" w:rsidP="006F2579">
      <w:pPr>
        <w:widowControl w:val="0"/>
        <w:jc w:val="center"/>
        <w:rPr>
          <w:b/>
        </w:rPr>
      </w:pPr>
      <w:r w:rsidRPr="009E07D0">
        <w:fldChar w:fldCharType="begin"/>
      </w:r>
      <w:r w:rsidR="006F2579" w:rsidRPr="009E07D0">
        <w:instrText xml:space="preserve"> SEQ CHAPTER \h \r 1</w:instrText>
      </w:r>
      <w:r w:rsidRPr="009E07D0">
        <w:fldChar w:fldCharType="end"/>
      </w:r>
      <w:r w:rsidR="006F2579" w:rsidRPr="009E07D0">
        <w:rPr>
          <w:b/>
        </w:rPr>
        <w:t>JUDGMENT TO B</w:t>
      </w:r>
      <w:r w:rsidR="00001846" w:rsidRPr="009E07D0">
        <w:rPr>
          <w:b/>
        </w:rPr>
        <w:t>E RENDERED IN LE</w:t>
      </w:r>
      <w:r w:rsidR="00A0288A" w:rsidRPr="009E07D0">
        <w:rPr>
          <w:b/>
        </w:rPr>
        <w:t>A</w:t>
      </w:r>
      <w:r w:rsidR="00001846" w:rsidRPr="009E07D0">
        <w:rPr>
          <w:b/>
        </w:rPr>
        <w:t>VE APPLICATION</w:t>
      </w:r>
    </w:p>
    <w:p w:rsidR="006F2579" w:rsidRPr="009E07D0" w:rsidRDefault="006F2579" w:rsidP="006F2579">
      <w:pPr>
        <w:widowControl w:val="0"/>
      </w:pPr>
    </w:p>
    <w:p w:rsidR="006F2579" w:rsidRPr="009E07D0" w:rsidRDefault="00F45DCD" w:rsidP="006F2579">
      <w:pPr>
        <w:widowControl w:val="0"/>
      </w:pPr>
      <w:r w:rsidRPr="009E07D0">
        <w:rPr>
          <w:b/>
        </w:rPr>
        <w:t>Octo</w:t>
      </w:r>
      <w:r w:rsidR="00777ECC" w:rsidRPr="009E07D0">
        <w:rPr>
          <w:b/>
        </w:rPr>
        <w:t>ber</w:t>
      </w:r>
      <w:r w:rsidR="00A15B66" w:rsidRPr="009E07D0">
        <w:rPr>
          <w:b/>
        </w:rPr>
        <w:t xml:space="preserve"> </w:t>
      </w:r>
      <w:r w:rsidR="00F579B7" w:rsidRPr="009E07D0">
        <w:rPr>
          <w:b/>
        </w:rPr>
        <w:t>25</w:t>
      </w:r>
      <w:r w:rsidR="004441C7" w:rsidRPr="009E07D0">
        <w:rPr>
          <w:b/>
        </w:rPr>
        <w:t>,</w:t>
      </w:r>
      <w:r w:rsidR="006F2579" w:rsidRPr="009E07D0">
        <w:rPr>
          <w:b/>
        </w:rPr>
        <w:t xml:space="preserve"> </w:t>
      </w:r>
      <w:r w:rsidR="0054689F" w:rsidRPr="009E07D0">
        <w:rPr>
          <w:b/>
        </w:rPr>
        <w:t>20</w:t>
      </w:r>
      <w:r w:rsidR="00526754" w:rsidRPr="009E07D0">
        <w:rPr>
          <w:b/>
        </w:rPr>
        <w:t>2</w:t>
      </w:r>
      <w:r w:rsidR="0068416C" w:rsidRPr="009E07D0">
        <w:rPr>
          <w:b/>
        </w:rPr>
        <w:t>1</w:t>
      </w:r>
    </w:p>
    <w:p w:rsidR="006F2579" w:rsidRPr="009E07D0" w:rsidRDefault="00674F39" w:rsidP="006F2579">
      <w:pPr>
        <w:widowControl w:val="0"/>
        <w:rPr>
          <w:b/>
        </w:rPr>
      </w:pPr>
      <w:r w:rsidRPr="009E07D0">
        <w:rPr>
          <w:b/>
        </w:rPr>
        <w:t>For immediate release</w:t>
      </w:r>
    </w:p>
    <w:p w:rsidR="006F2579" w:rsidRPr="009E07D0" w:rsidRDefault="006F2579" w:rsidP="006F2579">
      <w:pPr>
        <w:widowControl w:val="0"/>
      </w:pPr>
    </w:p>
    <w:p w:rsidR="006F2579" w:rsidRPr="009E07D0" w:rsidRDefault="006F2579" w:rsidP="006F2579">
      <w:pPr>
        <w:widowControl w:val="0"/>
        <w:rPr>
          <w:lang w:val="fr-CA"/>
        </w:rPr>
      </w:pPr>
      <w:r w:rsidRPr="009E07D0">
        <w:rPr>
          <w:b/>
        </w:rPr>
        <w:t>OTTAWA</w:t>
      </w:r>
      <w:r w:rsidRPr="009E07D0">
        <w:t xml:space="preserve"> – The Supreme Court of Canad</w:t>
      </w:r>
      <w:r w:rsidR="006246E4" w:rsidRPr="009E07D0">
        <w:t>a</w:t>
      </w:r>
      <w:r w:rsidRPr="009E07D0">
        <w:t xml:space="preserve"> announced today that judgment in the following </w:t>
      </w:r>
      <w:r w:rsidR="00DB6199" w:rsidRPr="009E07D0">
        <w:t xml:space="preserve">leave application </w:t>
      </w:r>
      <w:r w:rsidRPr="009E07D0">
        <w:t xml:space="preserve">will be delivered at 9:45 a.m. </w:t>
      </w:r>
      <w:r w:rsidR="00E05816" w:rsidRPr="009E07D0">
        <w:t>E</w:t>
      </w:r>
      <w:r w:rsidR="0098345D" w:rsidRPr="009E07D0">
        <w:t>D</w:t>
      </w:r>
      <w:r w:rsidR="00E05816" w:rsidRPr="009E07D0">
        <w:t>T</w:t>
      </w:r>
      <w:r w:rsidRPr="009E07D0">
        <w:t xml:space="preserve"> on </w:t>
      </w:r>
      <w:r w:rsidR="00C833AB" w:rsidRPr="009E07D0">
        <w:t>Thurs</w:t>
      </w:r>
      <w:r w:rsidR="00680A85" w:rsidRPr="009E07D0">
        <w:t>day</w:t>
      </w:r>
      <w:r w:rsidRPr="009E07D0">
        <w:t xml:space="preserve">, </w:t>
      </w:r>
      <w:r w:rsidR="00F45DCD" w:rsidRPr="009E07D0">
        <w:t>October</w:t>
      </w:r>
      <w:r w:rsidR="00455912" w:rsidRPr="009E07D0">
        <w:t xml:space="preserve"> </w:t>
      </w:r>
      <w:r w:rsidR="00C6069D" w:rsidRPr="009E07D0">
        <w:t>2</w:t>
      </w:r>
      <w:r w:rsidR="00F579B7" w:rsidRPr="009E07D0">
        <w:t>8</w:t>
      </w:r>
      <w:r w:rsidR="007E112F" w:rsidRPr="009E07D0">
        <w:t>,</w:t>
      </w:r>
      <w:r w:rsidR="002F38D7" w:rsidRPr="009E07D0">
        <w:t xml:space="preserve"> </w:t>
      </w:r>
      <w:r w:rsidR="006648D1" w:rsidRPr="009E07D0">
        <w:t>20</w:t>
      </w:r>
      <w:r w:rsidR="00526754" w:rsidRPr="009E07D0">
        <w:t>2</w:t>
      </w:r>
      <w:r w:rsidR="00DD65CF" w:rsidRPr="009E07D0">
        <w:t>1</w:t>
      </w:r>
      <w:r w:rsidRPr="009E07D0">
        <w:t xml:space="preserve">. </w:t>
      </w:r>
      <w:r w:rsidRPr="009E07D0">
        <w:rPr>
          <w:lang w:val="fr-CA"/>
        </w:rPr>
        <w:t>This list is subject to chang</w:t>
      </w:r>
      <w:r w:rsidR="00192F7F" w:rsidRPr="009E07D0">
        <w:rPr>
          <w:lang w:val="fr-CA"/>
        </w:rPr>
        <w:t>e</w:t>
      </w:r>
      <w:r w:rsidRPr="009E07D0">
        <w:rPr>
          <w:lang w:val="fr-CA"/>
        </w:rPr>
        <w:t>.</w:t>
      </w:r>
    </w:p>
    <w:p w:rsidR="00FF5AA4" w:rsidRPr="009E07D0" w:rsidRDefault="00FF5AA4" w:rsidP="006F2579">
      <w:pPr>
        <w:widowControl w:val="0"/>
        <w:rPr>
          <w:lang w:val="fr-CA"/>
        </w:rPr>
      </w:pPr>
    </w:p>
    <w:p w:rsidR="00B43418" w:rsidRPr="009E07D0" w:rsidRDefault="00B43418" w:rsidP="006F2579">
      <w:pPr>
        <w:widowControl w:val="0"/>
        <w:rPr>
          <w:lang w:val="fr-CA"/>
        </w:rPr>
      </w:pPr>
    </w:p>
    <w:p w:rsidR="006F2579" w:rsidRPr="009E07D0" w:rsidRDefault="006F2579" w:rsidP="006F2579">
      <w:pPr>
        <w:widowControl w:val="0"/>
        <w:jc w:val="center"/>
        <w:rPr>
          <w:lang w:val="fr-CA"/>
        </w:rPr>
      </w:pPr>
      <w:r w:rsidRPr="009E07D0">
        <w:rPr>
          <w:b/>
          <w:lang w:val="fr-CA"/>
        </w:rPr>
        <w:t>PROCHAIN JUGEMENT</w:t>
      </w:r>
      <w:r w:rsidR="00001846" w:rsidRPr="009E07D0">
        <w:rPr>
          <w:b/>
          <w:lang w:val="fr-CA"/>
        </w:rPr>
        <w:t xml:space="preserve"> SUR DEMANDE</w:t>
      </w:r>
      <w:r w:rsidRPr="009E07D0">
        <w:rPr>
          <w:b/>
          <w:lang w:val="fr-CA"/>
        </w:rPr>
        <w:t xml:space="preserve"> D’AUTORISATION</w:t>
      </w:r>
    </w:p>
    <w:p w:rsidR="006F2579" w:rsidRPr="009E07D0" w:rsidRDefault="006F2579" w:rsidP="006F2579">
      <w:pPr>
        <w:widowControl w:val="0"/>
        <w:rPr>
          <w:lang w:val="fr-CA"/>
        </w:rPr>
      </w:pPr>
    </w:p>
    <w:p w:rsidR="006F2579" w:rsidRPr="009E07D0" w:rsidRDefault="006F2579" w:rsidP="006F2579">
      <w:pPr>
        <w:widowControl w:val="0"/>
        <w:rPr>
          <w:lang w:val="fr-CA"/>
        </w:rPr>
      </w:pPr>
      <w:r w:rsidRPr="009E07D0">
        <w:rPr>
          <w:b/>
          <w:lang w:val="fr-CA"/>
        </w:rPr>
        <w:t>Le</w:t>
      </w:r>
      <w:r w:rsidR="00957A76" w:rsidRPr="009E07D0">
        <w:rPr>
          <w:b/>
          <w:lang w:val="fr-CA"/>
        </w:rPr>
        <w:t xml:space="preserve"> </w:t>
      </w:r>
      <w:r w:rsidR="00F579B7" w:rsidRPr="009E07D0">
        <w:rPr>
          <w:b/>
          <w:lang w:val="fr-CA"/>
        </w:rPr>
        <w:t>25</w:t>
      </w:r>
      <w:r w:rsidR="00825246" w:rsidRPr="009E07D0">
        <w:rPr>
          <w:b/>
          <w:lang w:val="fr-CA"/>
        </w:rPr>
        <w:t xml:space="preserve"> </w:t>
      </w:r>
      <w:r w:rsidR="00F45DCD" w:rsidRPr="009E07D0">
        <w:rPr>
          <w:b/>
          <w:lang w:val="fr-CA"/>
        </w:rPr>
        <w:t>octo</w:t>
      </w:r>
      <w:r w:rsidR="00777ECC" w:rsidRPr="009E07D0">
        <w:rPr>
          <w:b/>
          <w:lang w:val="fr-CA"/>
        </w:rPr>
        <w:t>bre</w:t>
      </w:r>
      <w:r w:rsidR="00A151D1" w:rsidRPr="009E07D0">
        <w:rPr>
          <w:b/>
          <w:lang w:val="fr-CA"/>
        </w:rPr>
        <w:t xml:space="preserve"> 20</w:t>
      </w:r>
      <w:r w:rsidR="00526754" w:rsidRPr="009E07D0">
        <w:rPr>
          <w:b/>
          <w:lang w:val="fr-CA"/>
        </w:rPr>
        <w:t>2</w:t>
      </w:r>
      <w:r w:rsidR="0068416C" w:rsidRPr="009E07D0">
        <w:rPr>
          <w:b/>
          <w:lang w:val="fr-CA"/>
        </w:rPr>
        <w:t>1</w:t>
      </w:r>
    </w:p>
    <w:p w:rsidR="006F2579" w:rsidRPr="009E07D0" w:rsidRDefault="006F2579" w:rsidP="006F2579">
      <w:pPr>
        <w:widowControl w:val="0"/>
        <w:rPr>
          <w:b/>
          <w:lang w:val="fr-CA"/>
        </w:rPr>
      </w:pPr>
      <w:r w:rsidRPr="009E07D0">
        <w:rPr>
          <w:b/>
          <w:lang w:val="fr-CA"/>
        </w:rPr>
        <w:t>Pour diffusion immédiate</w:t>
      </w:r>
    </w:p>
    <w:p w:rsidR="006F2579" w:rsidRPr="009E07D0" w:rsidRDefault="006F2579" w:rsidP="006F2579">
      <w:pPr>
        <w:widowControl w:val="0"/>
        <w:rPr>
          <w:lang w:val="fr-CA"/>
        </w:rPr>
      </w:pPr>
      <w:bookmarkStart w:id="0" w:name="_GoBack"/>
      <w:bookmarkEnd w:id="0"/>
    </w:p>
    <w:p w:rsidR="006F2579" w:rsidRPr="009E07D0" w:rsidRDefault="006F2579" w:rsidP="006F2579">
      <w:pPr>
        <w:widowControl w:val="0"/>
        <w:rPr>
          <w:lang w:val="fr-CA"/>
        </w:rPr>
      </w:pPr>
      <w:r w:rsidRPr="009E07D0">
        <w:rPr>
          <w:b/>
          <w:lang w:val="fr-CA"/>
        </w:rPr>
        <w:t>OTTAWA</w:t>
      </w:r>
      <w:r w:rsidRPr="009E07D0">
        <w:rPr>
          <w:lang w:val="fr-CA"/>
        </w:rPr>
        <w:t xml:space="preserve"> – La Cour suprême du Canada annonce que jugement ser</w:t>
      </w:r>
      <w:r w:rsidR="004259F9" w:rsidRPr="009E07D0">
        <w:rPr>
          <w:lang w:val="fr-CA"/>
        </w:rPr>
        <w:t>a</w:t>
      </w:r>
      <w:r w:rsidRPr="009E07D0">
        <w:rPr>
          <w:lang w:val="fr-CA"/>
        </w:rPr>
        <w:t xml:space="preserve"> rendu dans </w:t>
      </w:r>
      <w:r w:rsidR="00F579B7" w:rsidRPr="009E07D0">
        <w:rPr>
          <w:lang w:val="fr-CA"/>
        </w:rPr>
        <w:t>la</w:t>
      </w:r>
      <w:r w:rsidRPr="009E07D0">
        <w:rPr>
          <w:lang w:val="fr-CA"/>
        </w:rPr>
        <w:t xml:space="preserve"> demande d</w:t>
      </w:r>
      <w:r w:rsidR="00001846" w:rsidRPr="009E07D0">
        <w:rPr>
          <w:lang w:val="fr-CA"/>
        </w:rPr>
        <w:t>’autorisation suivante</w:t>
      </w:r>
      <w:r w:rsidRPr="009E07D0">
        <w:rPr>
          <w:lang w:val="fr-CA"/>
        </w:rPr>
        <w:t xml:space="preserve"> le </w:t>
      </w:r>
      <w:r w:rsidR="00C833AB" w:rsidRPr="009E07D0">
        <w:rPr>
          <w:lang w:val="fr-CA"/>
        </w:rPr>
        <w:t>jeu</w:t>
      </w:r>
      <w:r w:rsidR="00680A85" w:rsidRPr="009E07D0">
        <w:rPr>
          <w:lang w:val="fr-CA"/>
        </w:rPr>
        <w:t>di</w:t>
      </w:r>
      <w:r w:rsidRPr="009E07D0">
        <w:rPr>
          <w:lang w:val="fr-CA"/>
        </w:rPr>
        <w:t xml:space="preserve"> </w:t>
      </w:r>
      <w:r w:rsidR="00C6069D" w:rsidRPr="009E07D0">
        <w:rPr>
          <w:lang w:val="fr-CA"/>
        </w:rPr>
        <w:t>2</w:t>
      </w:r>
      <w:r w:rsidR="00F579B7" w:rsidRPr="009E07D0">
        <w:rPr>
          <w:lang w:val="fr-CA"/>
        </w:rPr>
        <w:t>8</w:t>
      </w:r>
      <w:r w:rsidR="009E0BD3" w:rsidRPr="009E07D0">
        <w:rPr>
          <w:lang w:val="fr-CA"/>
        </w:rPr>
        <w:t xml:space="preserve"> </w:t>
      </w:r>
      <w:r w:rsidR="00F45DCD" w:rsidRPr="009E07D0">
        <w:rPr>
          <w:lang w:val="fr-CA"/>
        </w:rPr>
        <w:t>octo</w:t>
      </w:r>
      <w:r w:rsidR="00777ECC" w:rsidRPr="009E07D0">
        <w:rPr>
          <w:lang w:val="fr-CA"/>
        </w:rPr>
        <w:t>bre</w:t>
      </w:r>
      <w:r w:rsidR="00694391" w:rsidRPr="009E07D0">
        <w:rPr>
          <w:lang w:val="fr-CA"/>
        </w:rPr>
        <w:t xml:space="preserve"> 2</w:t>
      </w:r>
      <w:r w:rsidR="006648D1" w:rsidRPr="009E07D0">
        <w:rPr>
          <w:lang w:val="fr-CA"/>
        </w:rPr>
        <w:t>0</w:t>
      </w:r>
      <w:r w:rsidR="00526754" w:rsidRPr="009E07D0">
        <w:rPr>
          <w:lang w:val="fr-CA"/>
        </w:rPr>
        <w:t>2</w:t>
      </w:r>
      <w:r w:rsidR="0068416C" w:rsidRPr="009E07D0">
        <w:rPr>
          <w:lang w:val="fr-CA"/>
        </w:rPr>
        <w:t>1</w:t>
      </w:r>
      <w:r w:rsidRPr="009E07D0">
        <w:rPr>
          <w:lang w:val="fr-CA"/>
        </w:rPr>
        <w:t xml:space="preserve">, à 9 h 45 </w:t>
      </w:r>
      <w:r w:rsidR="000627A2" w:rsidRPr="009E07D0">
        <w:rPr>
          <w:lang w:val="fr-CA"/>
        </w:rPr>
        <w:t>H</w:t>
      </w:r>
      <w:r w:rsidR="0098345D" w:rsidRPr="009E07D0">
        <w:rPr>
          <w:lang w:val="fr-CA"/>
        </w:rPr>
        <w:t>A</w:t>
      </w:r>
      <w:r w:rsidRPr="009E07D0">
        <w:rPr>
          <w:lang w:val="fr-CA"/>
        </w:rPr>
        <w:t>E. Cette liste est sujette à modification</w:t>
      </w:r>
      <w:r w:rsidR="00130ADB" w:rsidRPr="009E07D0">
        <w:rPr>
          <w:lang w:val="fr-CA"/>
        </w:rPr>
        <w:t>s</w:t>
      </w:r>
      <w:r w:rsidRPr="009E07D0">
        <w:rPr>
          <w:lang w:val="fr-CA"/>
        </w:rPr>
        <w:t>.</w:t>
      </w:r>
    </w:p>
    <w:p w:rsidR="0080556B" w:rsidRPr="009E07D0" w:rsidRDefault="0080556B" w:rsidP="005F2A78">
      <w:pPr>
        <w:widowControl w:val="0"/>
        <w:tabs>
          <w:tab w:val="left" w:pos="3840"/>
        </w:tabs>
        <w:jc w:val="both"/>
        <w:rPr>
          <w:sz w:val="20"/>
          <w:lang w:val="fr-CA"/>
        </w:rPr>
      </w:pPr>
    </w:p>
    <w:p w:rsidR="00867C61" w:rsidRPr="009E07D0" w:rsidRDefault="009E07D0" w:rsidP="009B14F4">
      <w:pPr>
        <w:widowControl w:val="0"/>
        <w:jc w:val="both"/>
        <w:rPr>
          <w:sz w:val="20"/>
        </w:rPr>
      </w:pPr>
      <w:r w:rsidRPr="009E07D0">
        <w:rPr>
          <w:sz w:val="20"/>
        </w:rPr>
        <w:pict>
          <v:rect id="_x0000_i1025" style="width:2in;height:1pt" o:hrpct="0" o:hralign="center" o:hrstd="t" o:hrnoshade="t" o:hr="t" fillcolor="black [3213]" stroked="f"/>
        </w:pict>
      </w:r>
    </w:p>
    <w:p w:rsidR="004A6E51" w:rsidRPr="009E07D0" w:rsidRDefault="004A6E51" w:rsidP="00777ECC">
      <w:pPr>
        <w:ind w:left="357" w:hanging="357"/>
        <w:rPr>
          <w:sz w:val="20"/>
          <w:lang w:val="fr-CA"/>
        </w:rPr>
      </w:pPr>
    </w:p>
    <w:p w:rsidR="00F579B7" w:rsidRPr="009E07D0" w:rsidRDefault="00F579B7" w:rsidP="00F579B7">
      <w:pPr>
        <w:pStyle w:val="ListParagraph"/>
        <w:numPr>
          <w:ilvl w:val="0"/>
          <w:numId w:val="6"/>
        </w:numPr>
        <w:tabs>
          <w:tab w:val="num" w:pos="378"/>
        </w:tabs>
        <w:ind w:left="357" w:hanging="357"/>
        <w:rPr>
          <w:sz w:val="20"/>
        </w:rPr>
      </w:pPr>
      <w:r w:rsidRPr="009E07D0">
        <w:rPr>
          <w:i/>
          <w:sz w:val="20"/>
          <w:lang w:val="en-CA"/>
        </w:rPr>
        <w:t xml:space="preserve">Robert Cannon v. Court of Queen's Bench for Saskatchewan, et al. </w:t>
      </w:r>
      <w:r w:rsidRPr="009E07D0">
        <w:rPr>
          <w:sz w:val="20"/>
          <w:lang w:val="en-CA"/>
        </w:rPr>
        <w:t xml:space="preserve">(Sask.) (Civil) (By Leave) </w:t>
      </w:r>
      <w:r w:rsidRPr="009E07D0">
        <w:rPr>
          <w:rFonts w:eastAsia="Calibri"/>
          <w:sz w:val="20"/>
          <w:lang w:val="en-CA"/>
        </w:rPr>
        <w:t>(</w:t>
      </w:r>
      <w:hyperlink r:id="rId8" w:history="1">
        <w:r w:rsidRPr="009E07D0">
          <w:rPr>
            <w:rStyle w:val="Hyperlink"/>
            <w:rFonts w:eastAsia="Calibri"/>
            <w:sz w:val="20"/>
            <w:szCs w:val="20"/>
            <w:lang w:val="en-CA"/>
          </w:rPr>
          <w:t>39759</w:t>
        </w:r>
      </w:hyperlink>
      <w:r w:rsidRPr="009E07D0">
        <w:rPr>
          <w:rFonts w:eastAsia="Calibri"/>
          <w:sz w:val="20"/>
          <w:lang w:val="en-CA"/>
        </w:rPr>
        <w:t>)</w:t>
      </w:r>
    </w:p>
    <w:p w:rsidR="003100F2" w:rsidRPr="009E07D0" w:rsidRDefault="003100F2" w:rsidP="000A7017">
      <w:pPr>
        <w:rPr>
          <w:sz w:val="20"/>
        </w:rPr>
      </w:pPr>
    </w:p>
    <w:p w:rsidR="0057402C" w:rsidRPr="009E07D0" w:rsidRDefault="009E07D0" w:rsidP="009B14F4">
      <w:pPr>
        <w:widowControl w:val="0"/>
        <w:jc w:val="both"/>
        <w:rPr>
          <w:sz w:val="20"/>
        </w:rPr>
      </w:pPr>
      <w:r w:rsidRPr="009E07D0">
        <w:rPr>
          <w:sz w:val="20"/>
        </w:rPr>
        <w:pict>
          <v:rect id="_x0000_i1026" style="width:2in;height:1pt" o:hrpct="0" o:hralign="center" o:hrstd="t" o:hrnoshade="t" o:hr="t" fillcolor="black [3213]" stroked="f"/>
        </w:pict>
      </w:r>
    </w:p>
    <w:p w:rsidR="00F45DCD" w:rsidRPr="009E07D0" w:rsidRDefault="00F45DCD"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79B7" w:rsidRPr="009E07D0" w:rsidTr="00E95A6A">
        <w:tc>
          <w:tcPr>
            <w:tcW w:w="543" w:type="pct"/>
          </w:tcPr>
          <w:p w:rsidR="00F579B7" w:rsidRPr="009E07D0" w:rsidRDefault="00F579B7" w:rsidP="00F579B7">
            <w:pPr>
              <w:jc w:val="both"/>
              <w:rPr>
                <w:sz w:val="20"/>
              </w:rPr>
            </w:pPr>
            <w:r w:rsidRPr="009E07D0">
              <w:rPr>
                <w:rStyle w:val="SCCFileNumberChar"/>
                <w:sz w:val="20"/>
                <w:szCs w:val="20"/>
              </w:rPr>
              <w:t>39759</w:t>
            </w:r>
          </w:p>
        </w:tc>
        <w:tc>
          <w:tcPr>
            <w:tcW w:w="4457" w:type="pct"/>
            <w:gridSpan w:val="3"/>
          </w:tcPr>
          <w:p w:rsidR="00F579B7" w:rsidRPr="009E07D0" w:rsidRDefault="00F579B7" w:rsidP="00F579B7">
            <w:pPr>
              <w:pStyle w:val="SCCLsocParty"/>
              <w:jc w:val="both"/>
              <w:rPr>
                <w:b/>
                <w:sz w:val="20"/>
                <w:szCs w:val="20"/>
                <w:lang w:val="en-US"/>
              </w:rPr>
            </w:pPr>
            <w:r w:rsidRPr="009E07D0">
              <w:rPr>
                <w:b/>
                <w:sz w:val="20"/>
                <w:szCs w:val="20"/>
                <w:lang w:val="en-US"/>
              </w:rPr>
              <w:t>Robert Cannon v. Court of Queen's Bench for Saskatchewan, Honourable J.W. Elson, Kathleen Christopherson, Glen Metivier, Provincial Court of Saskatchewan, Honourable Judge M. Pelletier, Battlefords Seventh-Day Adventist Church, James Kwon, Gary Lund, Ciprian Bolah, Manitoba-Saskatchewan Conference, Michael Collins, Saskatchewan Health Authority, Rebecca Soy, Public Health Authority, Ken Startup, Battleford Union Hospital, Reginald Cawood, Saskatchewan Hospital, Tonya Browarny, Matrix Law Group, Patricia J. Meiklejohn, Cliff A. Holm, Association of Professional Engineers and Geoscientists of Saskatchewan, Robert H. McDonald, Royal Canadian Mounted Police, Constable Burton Roy, Constable Cartier, Chantelle Thompson, Jennifer Schmidt, Mark Clements, Chad Gartner, Brad Appel, Ian McArthur, Bryce Bohun, Kathy Irwin, Jason Panchyshyn, Cary Ransome, OWZW Lawyers LLP, Virgil A. Thomson, Kimberley Richardson</w:t>
            </w:r>
          </w:p>
          <w:p w:rsidR="00F579B7" w:rsidRPr="009E07D0" w:rsidRDefault="00F579B7" w:rsidP="00F579B7">
            <w:pPr>
              <w:jc w:val="both"/>
              <w:rPr>
                <w:sz w:val="20"/>
              </w:rPr>
            </w:pPr>
            <w:r w:rsidRPr="009E07D0">
              <w:rPr>
                <w:sz w:val="20"/>
              </w:rPr>
              <w:t>(Sask.) (Civil) (By Leave)</w:t>
            </w:r>
          </w:p>
        </w:tc>
      </w:tr>
      <w:tr w:rsidR="00F579B7" w:rsidRPr="009E07D0" w:rsidTr="00E95A6A">
        <w:tc>
          <w:tcPr>
            <w:tcW w:w="5000" w:type="pct"/>
            <w:gridSpan w:val="4"/>
          </w:tcPr>
          <w:p w:rsidR="00F579B7" w:rsidRPr="009E07D0" w:rsidRDefault="00F579B7" w:rsidP="00F579B7">
            <w:pPr>
              <w:jc w:val="both"/>
              <w:rPr>
                <w:sz w:val="20"/>
              </w:rPr>
            </w:pPr>
            <w:r w:rsidRPr="009E07D0">
              <w:rPr>
                <w:sz w:val="20"/>
              </w:rPr>
              <w:t xml:space="preserve">Constitutional law — </w:t>
            </w:r>
            <w:r w:rsidRPr="009E07D0">
              <w:rPr>
                <w:i/>
                <w:sz w:val="20"/>
              </w:rPr>
              <w:t>Charter of Rights</w:t>
            </w:r>
            <w:r w:rsidRPr="009E07D0">
              <w:rPr>
                <w:sz w:val="20"/>
              </w:rPr>
              <w:t>,</w:t>
            </w:r>
            <w:r w:rsidRPr="009E07D0">
              <w:rPr>
                <w:i/>
                <w:sz w:val="20"/>
              </w:rPr>
              <w:t xml:space="preserve"> </w:t>
            </w:r>
            <w:r w:rsidRPr="009E07D0">
              <w:rPr>
                <w:sz w:val="20"/>
              </w:rPr>
              <w:t xml:space="preserve">s. 10(c) — </w:t>
            </w:r>
            <w:r w:rsidRPr="009E07D0">
              <w:rPr>
                <w:i/>
                <w:sz w:val="20"/>
              </w:rPr>
              <w:t>Habeas corpus</w:t>
            </w:r>
            <w:r w:rsidRPr="009E07D0">
              <w:rPr>
                <w:sz w:val="20"/>
              </w:rPr>
              <w:t xml:space="preserve"> — Saskatchewan Court of Queen’s Bench dismissing an application for a writ of </w:t>
            </w:r>
            <w:r w:rsidRPr="009E07D0">
              <w:rPr>
                <w:i/>
                <w:sz w:val="20"/>
              </w:rPr>
              <w:t>habeas corpus</w:t>
            </w:r>
            <w:r w:rsidRPr="009E07D0">
              <w:rPr>
                <w:sz w:val="20"/>
              </w:rPr>
              <w:t xml:space="preserve"> for alleged detention of the applicant’s friend, the friend’s daughters, and one other — Whether the Court of Appeal for Saskatchewan acted in bad faith — Whether the courts erred in dismissing the application for </w:t>
            </w:r>
            <w:r w:rsidRPr="009E07D0">
              <w:rPr>
                <w:i/>
                <w:sz w:val="20"/>
              </w:rPr>
              <w:t>habeas corpus</w:t>
            </w:r>
            <w:r w:rsidRPr="009E07D0">
              <w:rPr>
                <w:sz w:val="20"/>
              </w:rPr>
              <w:t xml:space="preserve"> — Whether the Court of Appeal erred in using its discretion not to admit fresh evidence of conspiracy — Whether the Court of Appeal erred in using its discretion not to hear the constitutional question.</w:t>
            </w:r>
          </w:p>
          <w:p w:rsidR="00F579B7" w:rsidRPr="009E07D0" w:rsidRDefault="00F579B7" w:rsidP="00F579B7">
            <w:pPr>
              <w:jc w:val="both"/>
              <w:rPr>
                <w:sz w:val="20"/>
              </w:rPr>
            </w:pPr>
          </w:p>
        </w:tc>
      </w:tr>
      <w:tr w:rsidR="00F579B7" w:rsidRPr="009E07D0" w:rsidTr="00E95A6A">
        <w:tc>
          <w:tcPr>
            <w:tcW w:w="5000" w:type="pct"/>
            <w:gridSpan w:val="4"/>
          </w:tcPr>
          <w:p w:rsidR="00F579B7" w:rsidRPr="009E07D0" w:rsidRDefault="00F579B7" w:rsidP="00F579B7">
            <w:pPr>
              <w:jc w:val="both"/>
              <w:rPr>
                <w:sz w:val="20"/>
              </w:rPr>
            </w:pPr>
            <w:r w:rsidRPr="009E07D0">
              <w:rPr>
                <w:sz w:val="20"/>
              </w:rPr>
              <w:t xml:space="preserve">The applicant brought an application for </w:t>
            </w:r>
            <w:r w:rsidRPr="009E07D0">
              <w:rPr>
                <w:i/>
                <w:sz w:val="20"/>
              </w:rPr>
              <w:t>habeas corpus</w:t>
            </w:r>
            <w:r w:rsidRPr="009E07D0">
              <w:rPr>
                <w:sz w:val="20"/>
              </w:rPr>
              <w:t xml:space="preserve"> in relation to the allegedly wrongful detention of his business associates R and R’s adult daughter K, R’s younger daughter and one other person. He included various claims against a large number of respondents. The Saskatchewan Court of Queen’s Bench dismissed his application to dispense with service to the respondents. Although service had not been made, the chambers judge went on to dismiss the applicant’s application for </w:t>
            </w:r>
            <w:r w:rsidRPr="009E07D0">
              <w:rPr>
                <w:i/>
                <w:sz w:val="20"/>
              </w:rPr>
              <w:t>habeas corpus</w:t>
            </w:r>
            <w:r w:rsidRPr="009E07D0">
              <w:rPr>
                <w:sz w:val="20"/>
              </w:rPr>
              <w:t xml:space="preserve"> on the bases that it had not been properly served; the applicant lacked </w:t>
            </w:r>
            <w:r w:rsidRPr="009E07D0">
              <w:rPr>
                <w:sz w:val="20"/>
              </w:rPr>
              <w:lastRenderedPageBreak/>
              <w:t xml:space="preserve">standing; the relief sought was beyond the scope of </w:t>
            </w:r>
            <w:r w:rsidRPr="009E07D0">
              <w:rPr>
                <w:i/>
                <w:sz w:val="20"/>
              </w:rPr>
              <w:t>habeas corpus</w:t>
            </w:r>
            <w:r w:rsidRPr="009E07D0">
              <w:rPr>
                <w:sz w:val="20"/>
              </w:rPr>
              <w:t xml:space="preserve">; the criteria for </w:t>
            </w:r>
            <w:r w:rsidRPr="009E07D0">
              <w:rPr>
                <w:i/>
                <w:sz w:val="20"/>
              </w:rPr>
              <w:t>habeas corpus</w:t>
            </w:r>
            <w:r w:rsidRPr="009E07D0">
              <w:rPr>
                <w:sz w:val="20"/>
              </w:rPr>
              <w:t xml:space="preserve"> had not been met and the application was moot; and the evidence did not establish any of the four individuals had had an unlawful deprivation of their liberty. An appeal to the Court of Appeal for Saskatchewan was dismissed.</w:t>
            </w:r>
          </w:p>
          <w:p w:rsidR="00F579B7" w:rsidRPr="009E07D0" w:rsidRDefault="00F579B7" w:rsidP="00F579B7">
            <w:pPr>
              <w:jc w:val="both"/>
              <w:rPr>
                <w:sz w:val="20"/>
              </w:rPr>
            </w:pPr>
          </w:p>
        </w:tc>
      </w:tr>
      <w:tr w:rsidR="00F579B7" w:rsidRPr="009E07D0" w:rsidTr="00E95A6A">
        <w:tc>
          <w:tcPr>
            <w:tcW w:w="2427" w:type="pct"/>
            <w:gridSpan w:val="2"/>
          </w:tcPr>
          <w:p w:rsidR="00F579B7" w:rsidRPr="009E07D0" w:rsidRDefault="00F579B7" w:rsidP="00F579B7">
            <w:pPr>
              <w:jc w:val="both"/>
              <w:rPr>
                <w:sz w:val="20"/>
              </w:rPr>
            </w:pPr>
            <w:r w:rsidRPr="009E07D0">
              <w:rPr>
                <w:sz w:val="20"/>
              </w:rPr>
              <w:lastRenderedPageBreak/>
              <w:t>September 10, 2020</w:t>
            </w:r>
          </w:p>
          <w:p w:rsidR="00F579B7" w:rsidRPr="009E07D0" w:rsidRDefault="00F579B7" w:rsidP="00F579B7">
            <w:pPr>
              <w:jc w:val="both"/>
              <w:rPr>
                <w:sz w:val="20"/>
              </w:rPr>
            </w:pPr>
            <w:r w:rsidRPr="009E07D0">
              <w:rPr>
                <w:sz w:val="20"/>
              </w:rPr>
              <w:t>Court of Queen’s Bench of Saskatchewan</w:t>
            </w:r>
          </w:p>
          <w:p w:rsidR="00F579B7" w:rsidRPr="009E07D0" w:rsidRDefault="00F579B7" w:rsidP="00F579B7">
            <w:pPr>
              <w:jc w:val="both"/>
              <w:rPr>
                <w:sz w:val="20"/>
              </w:rPr>
            </w:pPr>
            <w:r w:rsidRPr="009E07D0">
              <w:rPr>
                <w:sz w:val="20"/>
              </w:rPr>
              <w:t>(Crooks J.)</w:t>
            </w:r>
          </w:p>
          <w:p w:rsidR="00F579B7" w:rsidRPr="009E07D0" w:rsidRDefault="00F579B7" w:rsidP="00F579B7">
            <w:pPr>
              <w:jc w:val="both"/>
              <w:rPr>
                <w:sz w:val="20"/>
              </w:rPr>
            </w:pPr>
            <w:r w:rsidRPr="009E07D0">
              <w:rPr>
                <w:sz w:val="20"/>
              </w:rPr>
              <w:t>QBG 921 of 2020 (Orally in Chambers)</w:t>
            </w:r>
          </w:p>
          <w:p w:rsidR="00F579B7" w:rsidRPr="009E07D0" w:rsidRDefault="00F579B7" w:rsidP="00F579B7">
            <w:pPr>
              <w:jc w:val="both"/>
              <w:rPr>
                <w:sz w:val="20"/>
              </w:rPr>
            </w:pPr>
          </w:p>
        </w:tc>
        <w:tc>
          <w:tcPr>
            <w:tcW w:w="243" w:type="pct"/>
          </w:tcPr>
          <w:p w:rsidR="00F579B7" w:rsidRPr="009E07D0" w:rsidRDefault="00F579B7" w:rsidP="00F579B7">
            <w:pPr>
              <w:jc w:val="both"/>
              <w:rPr>
                <w:sz w:val="20"/>
              </w:rPr>
            </w:pPr>
          </w:p>
        </w:tc>
        <w:tc>
          <w:tcPr>
            <w:tcW w:w="2330" w:type="pct"/>
          </w:tcPr>
          <w:p w:rsidR="00F579B7" w:rsidRPr="009E07D0" w:rsidRDefault="00F579B7" w:rsidP="00F579B7">
            <w:pPr>
              <w:jc w:val="both"/>
              <w:rPr>
                <w:sz w:val="20"/>
              </w:rPr>
            </w:pPr>
            <w:r w:rsidRPr="009E07D0">
              <w:rPr>
                <w:sz w:val="20"/>
              </w:rPr>
              <w:t xml:space="preserve">Application to dispense with service dismissed; application for </w:t>
            </w:r>
            <w:r w:rsidRPr="009E07D0">
              <w:rPr>
                <w:i/>
                <w:sz w:val="20"/>
              </w:rPr>
              <w:t>habeas corpus</w:t>
            </w:r>
            <w:r w:rsidRPr="009E07D0">
              <w:rPr>
                <w:sz w:val="20"/>
              </w:rPr>
              <w:t xml:space="preserve"> dismissed.</w:t>
            </w:r>
          </w:p>
          <w:p w:rsidR="00F579B7" w:rsidRPr="009E07D0" w:rsidRDefault="00F579B7" w:rsidP="00F579B7">
            <w:pPr>
              <w:jc w:val="both"/>
              <w:rPr>
                <w:sz w:val="20"/>
              </w:rPr>
            </w:pPr>
          </w:p>
        </w:tc>
      </w:tr>
      <w:tr w:rsidR="00F579B7" w:rsidRPr="009E07D0" w:rsidTr="00E95A6A">
        <w:tc>
          <w:tcPr>
            <w:tcW w:w="2427" w:type="pct"/>
            <w:gridSpan w:val="2"/>
          </w:tcPr>
          <w:p w:rsidR="00F579B7" w:rsidRPr="009E07D0" w:rsidRDefault="00F579B7" w:rsidP="00F579B7">
            <w:pPr>
              <w:jc w:val="both"/>
              <w:rPr>
                <w:sz w:val="20"/>
              </w:rPr>
            </w:pPr>
            <w:r w:rsidRPr="009E07D0">
              <w:rPr>
                <w:sz w:val="20"/>
              </w:rPr>
              <w:t>May 18, 2021</w:t>
            </w:r>
          </w:p>
          <w:p w:rsidR="00F579B7" w:rsidRPr="009E07D0" w:rsidRDefault="00F579B7" w:rsidP="00F579B7">
            <w:pPr>
              <w:jc w:val="both"/>
              <w:rPr>
                <w:sz w:val="20"/>
              </w:rPr>
            </w:pPr>
            <w:r w:rsidRPr="009E07D0">
              <w:rPr>
                <w:sz w:val="20"/>
              </w:rPr>
              <w:t>Court of Appeal for Saskatchewan</w:t>
            </w:r>
          </w:p>
          <w:p w:rsidR="00F579B7" w:rsidRPr="009E07D0" w:rsidRDefault="00F579B7" w:rsidP="00F579B7">
            <w:pPr>
              <w:jc w:val="both"/>
              <w:rPr>
                <w:sz w:val="20"/>
              </w:rPr>
            </w:pPr>
            <w:r w:rsidRPr="009E07D0">
              <w:rPr>
                <w:sz w:val="20"/>
              </w:rPr>
              <w:t>(Jackson, Ryan</w:t>
            </w:r>
            <w:r w:rsidRPr="009E07D0">
              <w:rPr>
                <w:sz w:val="20"/>
              </w:rPr>
              <w:noBreakHyphen/>
              <w:t>Froslie and Barrington</w:t>
            </w:r>
            <w:r w:rsidRPr="009E07D0">
              <w:rPr>
                <w:sz w:val="20"/>
              </w:rPr>
              <w:noBreakHyphen/>
              <w:t>Foote JJ.A.)</w:t>
            </w:r>
          </w:p>
          <w:p w:rsidR="00F579B7" w:rsidRPr="009E07D0" w:rsidRDefault="009E07D0" w:rsidP="00F579B7">
            <w:pPr>
              <w:jc w:val="both"/>
              <w:rPr>
                <w:sz w:val="20"/>
              </w:rPr>
            </w:pPr>
            <w:hyperlink r:id="rId9" w:history="1">
              <w:r w:rsidR="00F579B7" w:rsidRPr="009E07D0">
                <w:rPr>
                  <w:rStyle w:val="Hyperlink"/>
                  <w:sz w:val="20"/>
                </w:rPr>
                <w:t>2021 SKCA 77</w:t>
              </w:r>
            </w:hyperlink>
            <w:r w:rsidR="00F579B7" w:rsidRPr="009E07D0">
              <w:rPr>
                <w:rStyle w:val="Hyperlink"/>
                <w:sz w:val="20"/>
              </w:rPr>
              <w:t xml:space="preserve">; </w:t>
            </w:r>
            <w:r w:rsidR="00F579B7" w:rsidRPr="009E07D0">
              <w:rPr>
                <w:sz w:val="20"/>
              </w:rPr>
              <w:t>CACV3708</w:t>
            </w:r>
          </w:p>
          <w:p w:rsidR="00F579B7" w:rsidRPr="009E07D0" w:rsidRDefault="00F579B7" w:rsidP="00F579B7">
            <w:pPr>
              <w:jc w:val="both"/>
              <w:rPr>
                <w:sz w:val="20"/>
              </w:rPr>
            </w:pPr>
          </w:p>
        </w:tc>
        <w:tc>
          <w:tcPr>
            <w:tcW w:w="243" w:type="pct"/>
          </w:tcPr>
          <w:p w:rsidR="00F579B7" w:rsidRPr="009E07D0" w:rsidRDefault="00F579B7" w:rsidP="00F579B7">
            <w:pPr>
              <w:jc w:val="both"/>
              <w:rPr>
                <w:sz w:val="20"/>
              </w:rPr>
            </w:pPr>
          </w:p>
        </w:tc>
        <w:tc>
          <w:tcPr>
            <w:tcW w:w="2330" w:type="pct"/>
          </w:tcPr>
          <w:p w:rsidR="00F579B7" w:rsidRPr="009E07D0" w:rsidRDefault="00F579B7" w:rsidP="00F579B7">
            <w:pPr>
              <w:jc w:val="both"/>
              <w:rPr>
                <w:sz w:val="20"/>
              </w:rPr>
            </w:pPr>
            <w:r w:rsidRPr="009E07D0">
              <w:rPr>
                <w:sz w:val="20"/>
              </w:rPr>
              <w:t>Appeal dismissed.</w:t>
            </w:r>
          </w:p>
          <w:p w:rsidR="00F579B7" w:rsidRPr="009E07D0" w:rsidRDefault="00F579B7" w:rsidP="00F579B7">
            <w:pPr>
              <w:jc w:val="both"/>
              <w:rPr>
                <w:sz w:val="20"/>
              </w:rPr>
            </w:pPr>
          </w:p>
        </w:tc>
      </w:tr>
      <w:tr w:rsidR="00F579B7" w:rsidRPr="009E07D0" w:rsidTr="00E95A6A">
        <w:tc>
          <w:tcPr>
            <w:tcW w:w="2427" w:type="pct"/>
            <w:gridSpan w:val="2"/>
          </w:tcPr>
          <w:p w:rsidR="00F579B7" w:rsidRPr="009E07D0" w:rsidRDefault="00F579B7" w:rsidP="00F579B7">
            <w:pPr>
              <w:jc w:val="both"/>
              <w:rPr>
                <w:sz w:val="20"/>
              </w:rPr>
            </w:pPr>
            <w:r w:rsidRPr="009E07D0">
              <w:rPr>
                <w:sz w:val="20"/>
              </w:rPr>
              <w:t>June 21, 2021</w:t>
            </w:r>
          </w:p>
          <w:p w:rsidR="00F579B7" w:rsidRPr="009E07D0" w:rsidRDefault="00F579B7" w:rsidP="00F579B7">
            <w:pPr>
              <w:jc w:val="both"/>
              <w:rPr>
                <w:sz w:val="20"/>
              </w:rPr>
            </w:pPr>
            <w:r w:rsidRPr="009E07D0">
              <w:rPr>
                <w:sz w:val="20"/>
              </w:rPr>
              <w:t>Supreme Court of Canada</w:t>
            </w:r>
          </w:p>
        </w:tc>
        <w:tc>
          <w:tcPr>
            <w:tcW w:w="243" w:type="pct"/>
          </w:tcPr>
          <w:p w:rsidR="00F579B7" w:rsidRPr="009E07D0" w:rsidRDefault="00F579B7" w:rsidP="00F579B7">
            <w:pPr>
              <w:jc w:val="both"/>
              <w:rPr>
                <w:sz w:val="20"/>
              </w:rPr>
            </w:pPr>
          </w:p>
        </w:tc>
        <w:tc>
          <w:tcPr>
            <w:tcW w:w="2330" w:type="pct"/>
          </w:tcPr>
          <w:p w:rsidR="00F579B7" w:rsidRPr="009E07D0" w:rsidRDefault="00F579B7" w:rsidP="00F579B7">
            <w:pPr>
              <w:jc w:val="both"/>
              <w:rPr>
                <w:sz w:val="20"/>
              </w:rPr>
            </w:pPr>
            <w:r w:rsidRPr="009E07D0">
              <w:rPr>
                <w:sz w:val="20"/>
              </w:rPr>
              <w:t>Application for leave to appeal filed.</w:t>
            </w:r>
          </w:p>
        </w:tc>
      </w:tr>
    </w:tbl>
    <w:p w:rsidR="00F579B7" w:rsidRPr="009E07D0" w:rsidRDefault="00F579B7" w:rsidP="00F579B7">
      <w:pPr>
        <w:jc w:val="both"/>
        <w:rPr>
          <w:sz w:val="20"/>
        </w:rPr>
      </w:pPr>
    </w:p>
    <w:p w:rsidR="00F579B7" w:rsidRPr="009E07D0" w:rsidRDefault="009E07D0" w:rsidP="00F579B7">
      <w:pPr>
        <w:jc w:val="both"/>
        <w:rPr>
          <w:sz w:val="20"/>
        </w:rPr>
      </w:pPr>
      <w:r w:rsidRPr="009E07D0">
        <w:rPr>
          <w:sz w:val="20"/>
        </w:rPr>
        <w:pict>
          <v:rect id="_x0000_i1027" style="width:2in;height:1pt" o:hrpct="0" o:hralign="center" o:hrstd="t" o:hrnoshade="t" o:hr="t" fillcolor="black [3213]" stroked="f"/>
        </w:pict>
      </w:r>
    </w:p>
    <w:p w:rsidR="00F579B7" w:rsidRPr="009E07D0" w:rsidRDefault="00F579B7" w:rsidP="00F579B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79B7" w:rsidRPr="009E07D0" w:rsidTr="00E95A6A">
        <w:tc>
          <w:tcPr>
            <w:tcW w:w="543" w:type="pct"/>
          </w:tcPr>
          <w:p w:rsidR="00F579B7" w:rsidRPr="009E07D0" w:rsidRDefault="00F579B7" w:rsidP="00F579B7">
            <w:pPr>
              <w:jc w:val="both"/>
              <w:rPr>
                <w:sz w:val="20"/>
              </w:rPr>
            </w:pPr>
            <w:r w:rsidRPr="009E07D0">
              <w:rPr>
                <w:rStyle w:val="SCCFileNumberChar"/>
                <w:sz w:val="20"/>
                <w:szCs w:val="20"/>
              </w:rPr>
              <w:t>39759</w:t>
            </w:r>
          </w:p>
        </w:tc>
        <w:tc>
          <w:tcPr>
            <w:tcW w:w="4457" w:type="pct"/>
            <w:gridSpan w:val="3"/>
          </w:tcPr>
          <w:p w:rsidR="00F579B7" w:rsidRPr="009E07D0" w:rsidRDefault="00F579B7" w:rsidP="00F579B7">
            <w:pPr>
              <w:pStyle w:val="SCCLsocParty"/>
              <w:jc w:val="both"/>
              <w:rPr>
                <w:b/>
                <w:sz w:val="20"/>
                <w:szCs w:val="20"/>
                <w:lang w:val="en-CA"/>
              </w:rPr>
            </w:pPr>
            <w:r w:rsidRPr="009E07D0">
              <w:rPr>
                <w:b/>
                <w:sz w:val="20"/>
                <w:szCs w:val="20"/>
                <w:lang w:val="en-CA"/>
              </w:rPr>
              <w:t>Robert Cannon c. Cour du Banc de la Reine de la Saskatchewan, l’honorable J.W. Elson, Kathleen Christopherson, Glen Metivier, Cour provinciale de la Saskatchewan, l’honorable juge M. Pelletier, Battlefords Seventh-Day Adventist Church, James Kwon, Gary Lund, Ciprian Bolah, Manitoba-Saskatchewan Conference, Michael Collins, Saskatchewan Health Authority, Rebecca Soy, Public Health Authority, Ken Startup, Battleford Union Hospital, Reginald Cawood, Saskatchewan Hospital, Tonya Browarny, Matrix Law Group, Patricia J. Meiklejohn, Cliff A. Holm, Association of Professional Engineers and Geoscientists of Saskatchewan, Robert H. McDonald, Gendarmerie royale du Canada, gendarme Burton Roy, gendarme Cartier, Chantelle Thompson, Jennifer Schmidt, Mark Clements, Chad Gartner, Brad Appel, Ian McArthur, Bryce Bohun, Kathy Irwin, Jason Panchyshyn, Cary Ransome, OWZW Lawyers LLP, Virgil A. Thomson, Kimberley Richardson</w:t>
            </w:r>
          </w:p>
          <w:p w:rsidR="00F579B7" w:rsidRPr="009E07D0" w:rsidRDefault="00F579B7" w:rsidP="00F579B7">
            <w:pPr>
              <w:jc w:val="both"/>
              <w:rPr>
                <w:sz w:val="20"/>
              </w:rPr>
            </w:pPr>
            <w:r w:rsidRPr="009E07D0">
              <w:rPr>
                <w:sz w:val="20"/>
              </w:rPr>
              <w:t>(Sask.) (Civile) (Autorisation)</w:t>
            </w:r>
          </w:p>
        </w:tc>
      </w:tr>
      <w:tr w:rsidR="00F579B7" w:rsidRPr="009E07D0" w:rsidTr="00E95A6A">
        <w:tc>
          <w:tcPr>
            <w:tcW w:w="5000" w:type="pct"/>
            <w:gridSpan w:val="4"/>
          </w:tcPr>
          <w:p w:rsidR="00F579B7" w:rsidRPr="009E07D0" w:rsidRDefault="00F579B7" w:rsidP="00F579B7">
            <w:pPr>
              <w:jc w:val="both"/>
              <w:rPr>
                <w:sz w:val="20"/>
                <w:lang w:val="fr-CA"/>
              </w:rPr>
            </w:pPr>
            <w:r w:rsidRPr="009E07D0">
              <w:rPr>
                <w:sz w:val="20"/>
                <w:lang w:val="fr-CA"/>
              </w:rPr>
              <w:t xml:space="preserve">Droit constitutionnel — </w:t>
            </w:r>
            <w:r w:rsidRPr="009E07D0">
              <w:rPr>
                <w:i/>
                <w:sz w:val="20"/>
                <w:lang w:val="fr-CA"/>
              </w:rPr>
              <w:t>Charte des droits</w:t>
            </w:r>
            <w:r w:rsidRPr="009E07D0">
              <w:rPr>
                <w:sz w:val="20"/>
                <w:lang w:val="fr-CA"/>
              </w:rPr>
              <w:t>,</w:t>
            </w:r>
            <w:r w:rsidRPr="009E07D0">
              <w:rPr>
                <w:i/>
                <w:sz w:val="20"/>
                <w:lang w:val="fr-CA"/>
              </w:rPr>
              <w:t xml:space="preserve"> </w:t>
            </w:r>
            <w:r w:rsidRPr="009E07D0">
              <w:rPr>
                <w:sz w:val="20"/>
                <w:lang w:val="fr-CA"/>
              </w:rPr>
              <w:t xml:space="preserve">al. 10c) — </w:t>
            </w:r>
            <w:r w:rsidRPr="009E07D0">
              <w:rPr>
                <w:i/>
                <w:sz w:val="20"/>
                <w:lang w:val="fr-CA"/>
              </w:rPr>
              <w:t>Habeas corpus</w:t>
            </w:r>
            <w:r w:rsidRPr="009E07D0">
              <w:rPr>
                <w:sz w:val="20"/>
                <w:lang w:val="fr-CA"/>
              </w:rPr>
              <w:t xml:space="preserve"> — La Cour du Banc de la Reine de la Saskatchewan a rejeté une demande de bref d’</w:t>
            </w:r>
            <w:r w:rsidRPr="009E07D0">
              <w:rPr>
                <w:i/>
                <w:iCs/>
                <w:sz w:val="20"/>
                <w:lang w:val="fr-CA"/>
              </w:rPr>
              <w:t xml:space="preserve">habeas corpus </w:t>
            </w:r>
            <w:r w:rsidRPr="009E07D0">
              <w:rPr>
                <w:sz w:val="20"/>
                <w:lang w:val="fr-CA"/>
              </w:rPr>
              <w:t>pour la détention présumée de l’ami du demandeur, des filles de l’ami et d’une autre personne — La Cour d’appel de la Saskatchewan a</w:t>
            </w:r>
            <w:r w:rsidRPr="009E07D0">
              <w:rPr>
                <w:sz w:val="20"/>
                <w:lang w:val="fr-CA"/>
              </w:rPr>
              <w:noBreakHyphen/>
              <w:t>t</w:t>
            </w:r>
            <w:r w:rsidRPr="009E07D0">
              <w:rPr>
                <w:sz w:val="20"/>
                <w:lang w:val="fr-CA"/>
              </w:rPr>
              <w:noBreakHyphen/>
              <w:t>elle agi de mauvaise foi? — Les tribunaux ont</w:t>
            </w:r>
            <w:r w:rsidRPr="009E07D0">
              <w:rPr>
                <w:sz w:val="20"/>
                <w:lang w:val="fr-CA"/>
              </w:rPr>
              <w:noBreakHyphen/>
              <w:t>ils commis une erreur en rejetant la demande d’</w:t>
            </w:r>
            <w:r w:rsidRPr="009E07D0">
              <w:rPr>
                <w:i/>
                <w:sz w:val="20"/>
                <w:lang w:val="fr-CA"/>
              </w:rPr>
              <w:t>habeas corpus?</w:t>
            </w:r>
            <w:r w:rsidRPr="009E07D0">
              <w:rPr>
                <w:sz w:val="20"/>
                <w:lang w:val="fr-CA"/>
              </w:rPr>
              <w:t xml:space="preserve"> — La Cour d’appel a</w:t>
            </w:r>
            <w:r w:rsidRPr="009E07D0">
              <w:rPr>
                <w:sz w:val="20"/>
                <w:lang w:val="fr-CA"/>
              </w:rPr>
              <w:noBreakHyphen/>
              <w:t>t</w:t>
            </w:r>
            <w:r w:rsidRPr="009E07D0">
              <w:rPr>
                <w:sz w:val="20"/>
                <w:lang w:val="fr-CA"/>
              </w:rPr>
              <w:noBreakHyphen/>
              <w:t>elle commis une erreur en exerçant son pouvoir discrétionnaire de ne pas admettre de nouvelles preuves de complot? — La Cour d’appel a</w:t>
            </w:r>
            <w:r w:rsidRPr="009E07D0">
              <w:rPr>
                <w:sz w:val="20"/>
                <w:lang w:val="fr-CA"/>
              </w:rPr>
              <w:noBreakHyphen/>
              <w:t>t</w:t>
            </w:r>
            <w:r w:rsidRPr="009E07D0">
              <w:rPr>
                <w:sz w:val="20"/>
                <w:lang w:val="fr-CA"/>
              </w:rPr>
              <w:noBreakHyphen/>
              <w:t>elle commis une erreur en exerçant son pouvoir discrétionnaire de ne pas entendre la question constitutionnelle?</w:t>
            </w:r>
          </w:p>
          <w:p w:rsidR="00F579B7" w:rsidRPr="009E07D0" w:rsidRDefault="00F579B7" w:rsidP="00F579B7">
            <w:pPr>
              <w:jc w:val="both"/>
              <w:rPr>
                <w:sz w:val="20"/>
                <w:lang w:val="fr-CA"/>
              </w:rPr>
            </w:pPr>
          </w:p>
        </w:tc>
      </w:tr>
      <w:tr w:rsidR="00F579B7" w:rsidRPr="009E07D0" w:rsidTr="00E95A6A">
        <w:tc>
          <w:tcPr>
            <w:tcW w:w="5000" w:type="pct"/>
            <w:gridSpan w:val="4"/>
          </w:tcPr>
          <w:p w:rsidR="00F579B7" w:rsidRPr="009E07D0" w:rsidRDefault="00F579B7" w:rsidP="00F579B7">
            <w:pPr>
              <w:jc w:val="both"/>
              <w:rPr>
                <w:sz w:val="20"/>
                <w:lang w:val="fr-CA"/>
              </w:rPr>
            </w:pPr>
            <w:r w:rsidRPr="009E07D0">
              <w:rPr>
                <w:sz w:val="20"/>
                <w:lang w:val="fr-CA"/>
              </w:rPr>
              <w:t>Le demandeur a présenté une demande d'</w:t>
            </w:r>
            <w:r w:rsidRPr="009E07D0">
              <w:rPr>
                <w:i/>
                <w:sz w:val="20"/>
                <w:lang w:val="fr-CA"/>
              </w:rPr>
              <w:t>habeas corpus</w:t>
            </w:r>
            <w:r w:rsidRPr="009E07D0">
              <w:rPr>
                <w:sz w:val="20"/>
                <w:lang w:val="fr-CA"/>
              </w:rPr>
              <w:t xml:space="preserve"> en lien avec la détention prétendument abusive de son associé, R et la fille adulte de R, K, la fille cadette de R et une autre personne. Il a porté diverses allégations contre un grand nombre d’intimés. La Cour du Banc de la Reine de la Saskatchewan a rejeté sa demande de dispense de signification aux intimés. Bien que la signification n’ait pas été faite, le juge en cabinet a rejeté la demande d’</w:t>
            </w:r>
            <w:r w:rsidRPr="009E07D0">
              <w:rPr>
                <w:i/>
                <w:sz w:val="20"/>
                <w:lang w:val="fr-CA"/>
              </w:rPr>
              <w:t>habeas corpus</w:t>
            </w:r>
            <w:r w:rsidRPr="009E07D0">
              <w:rPr>
                <w:sz w:val="20"/>
                <w:lang w:val="fr-CA"/>
              </w:rPr>
              <w:t xml:space="preserve"> du demandeur au motif qu’elle n’avait pas été correctement signifiée, que le demandeur n’avait pas qualité pour agir, que la réparation demandée dépassait la portée de l’</w:t>
            </w:r>
            <w:r w:rsidRPr="009E07D0">
              <w:rPr>
                <w:i/>
                <w:iCs/>
                <w:sz w:val="20"/>
                <w:lang w:val="fr-CA"/>
              </w:rPr>
              <w:t>habeas corpus</w:t>
            </w:r>
            <w:r w:rsidRPr="009E07D0">
              <w:rPr>
                <w:sz w:val="20"/>
                <w:lang w:val="fr-CA"/>
              </w:rPr>
              <w:t>, que les critères de l’</w:t>
            </w:r>
            <w:r w:rsidRPr="009E07D0">
              <w:rPr>
                <w:i/>
                <w:sz w:val="20"/>
                <w:lang w:val="fr-CA"/>
              </w:rPr>
              <w:t>habeas corpus</w:t>
            </w:r>
            <w:r w:rsidRPr="009E07D0">
              <w:rPr>
                <w:sz w:val="20"/>
                <w:lang w:val="fr-CA"/>
              </w:rPr>
              <w:t xml:space="preserve"> n’étaient pas remplis et que la demande était théorique, et que les éléments de preuve n’établissaient pas qu’une ou l’autre des quatre personnes avait été illégalement privée de sa liberté. Un appel à la Cour d'appel de la Saskatchewan a été rejeté.</w:t>
            </w:r>
          </w:p>
          <w:p w:rsidR="00F579B7" w:rsidRPr="009E07D0" w:rsidRDefault="00F579B7" w:rsidP="00F579B7">
            <w:pPr>
              <w:jc w:val="both"/>
              <w:rPr>
                <w:sz w:val="20"/>
                <w:lang w:val="fr-CA"/>
              </w:rPr>
            </w:pPr>
          </w:p>
        </w:tc>
      </w:tr>
      <w:tr w:rsidR="00F579B7" w:rsidRPr="009E07D0" w:rsidTr="00E95A6A">
        <w:tc>
          <w:tcPr>
            <w:tcW w:w="2427" w:type="pct"/>
            <w:gridSpan w:val="2"/>
          </w:tcPr>
          <w:p w:rsidR="00F579B7" w:rsidRPr="009E07D0" w:rsidRDefault="00F579B7" w:rsidP="00F579B7">
            <w:pPr>
              <w:jc w:val="both"/>
              <w:rPr>
                <w:sz w:val="20"/>
                <w:lang w:val="fr-CA"/>
              </w:rPr>
            </w:pPr>
            <w:r w:rsidRPr="009E07D0">
              <w:rPr>
                <w:sz w:val="20"/>
                <w:lang w:val="fr-CA"/>
              </w:rPr>
              <w:t>10 septembre 2020</w:t>
            </w:r>
          </w:p>
          <w:p w:rsidR="00F579B7" w:rsidRPr="009E07D0" w:rsidRDefault="00F579B7" w:rsidP="00F579B7">
            <w:pPr>
              <w:jc w:val="both"/>
              <w:rPr>
                <w:sz w:val="20"/>
                <w:lang w:val="fr-CA"/>
              </w:rPr>
            </w:pPr>
            <w:r w:rsidRPr="009E07D0">
              <w:rPr>
                <w:sz w:val="20"/>
                <w:lang w:val="fr-CA"/>
              </w:rPr>
              <w:t>Cour du Banc de la Reine de la Saskatchewan</w:t>
            </w:r>
          </w:p>
          <w:p w:rsidR="00F579B7" w:rsidRPr="009E07D0" w:rsidRDefault="00F579B7" w:rsidP="00F579B7">
            <w:pPr>
              <w:jc w:val="both"/>
              <w:rPr>
                <w:sz w:val="20"/>
                <w:lang w:val="fr-CA"/>
              </w:rPr>
            </w:pPr>
            <w:r w:rsidRPr="009E07D0">
              <w:rPr>
                <w:sz w:val="20"/>
                <w:lang w:val="fr-CA"/>
              </w:rPr>
              <w:t>(Juge Crooks)</w:t>
            </w:r>
          </w:p>
          <w:p w:rsidR="00F579B7" w:rsidRPr="009E07D0" w:rsidRDefault="00F579B7" w:rsidP="00F579B7">
            <w:pPr>
              <w:jc w:val="both"/>
              <w:rPr>
                <w:sz w:val="20"/>
                <w:lang w:val="fr-CA"/>
              </w:rPr>
            </w:pPr>
            <w:r w:rsidRPr="009E07D0">
              <w:rPr>
                <w:sz w:val="20"/>
                <w:lang w:val="fr-CA"/>
              </w:rPr>
              <w:t>QBG 921 de 2020 (oralement en cabinet)</w:t>
            </w:r>
          </w:p>
          <w:p w:rsidR="00F579B7" w:rsidRPr="009E07D0" w:rsidRDefault="00F579B7" w:rsidP="00F579B7">
            <w:pPr>
              <w:jc w:val="both"/>
              <w:rPr>
                <w:sz w:val="20"/>
                <w:lang w:val="fr-CA"/>
              </w:rPr>
            </w:pPr>
          </w:p>
        </w:tc>
        <w:tc>
          <w:tcPr>
            <w:tcW w:w="243" w:type="pct"/>
          </w:tcPr>
          <w:p w:rsidR="00F579B7" w:rsidRPr="009E07D0" w:rsidRDefault="00F579B7" w:rsidP="00F579B7">
            <w:pPr>
              <w:jc w:val="both"/>
              <w:rPr>
                <w:sz w:val="20"/>
                <w:lang w:val="fr-CA"/>
              </w:rPr>
            </w:pPr>
          </w:p>
        </w:tc>
        <w:tc>
          <w:tcPr>
            <w:tcW w:w="2330" w:type="pct"/>
          </w:tcPr>
          <w:p w:rsidR="00F579B7" w:rsidRPr="009E07D0" w:rsidRDefault="00F579B7" w:rsidP="00F579B7">
            <w:pPr>
              <w:jc w:val="both"/>
              <w:rPr>
                <w:sz w:val="20"/>
                <w:lang w:val="fr-CA"/>
              </w:rPr>
            </w:pPr>
            <w:r w:rsidRPr="009E07D0">
              <w:rPr>
                <w:sz w:val="20"/>
                <w:lang w:val="fr-CA"/>
              </w:rPr>
              <w:t>Rejet de la demande de dispense de signification; rejet de la demande d'</w:t>
            </w:r>
            <w:r w:rsidRPr="009E07D0">
              <w:rPr>
                <w:i/>
                <w:sz w:val="20"/>
                <w:lang w:val="fr-CA"/>
              </w:rPr>
              <w:t>habeas corpus</w:t>
            </w:r>
            <w:r w:rsidRPr="009E07D0">
              <w:rPr>
                <w:sz w:val="20"/>
                <w:lang w:val="fr-CA"/>
              </w:rPr>
              <w:t>.</w:t>
            </w:r>
          </w:p>
          <w:p w:rsidR="00F579B7" w:rsidRPr="009E07D0" w:rsidRDefault="00F579B7" w:rsidP="00F579B7">
            <w:pPr>
              <w:jc w:val="both"/>
              <w:rPr>
                <w:sz w:val="20"/>
                <w:lang w:val="fr-CA"/>
              </w:rPr>
            </w:pPr>
          </w:p>
        </w:tc>
      </w:tr>
      <w:tr w:rsidR="00F579B7" w:rsidRPr="009E07D0" w:rsidTr="00E95A6A">
        <w:tc>
          <w:tcPr>
            <w:tcW w:w="2427" w:type="pct"/>
            <w:gridSpan w:val="2"/>
          </w:tcPr>
          <w:p w:rsidR="00F579B7" w:rsidRPr="009E07D0" w:rsidRDefault="00F579B7" w:rsidP="00F579B7">
            <w:pPr>
              <w:jc w:val="both"/>
              <w:rPr>
                <w:sz w:val="20"/>
                <w:lang w:val="fr-CA"/>
              </w:rPr>
            </w:pPr>
            <w:r w:rsidRPr="009E07D0">
              <w:rPr>
                <w:sz w:val="20"/>
                <w:lang w:val="fr-CA"/>
              </w:rPr>
              <w:t>18 mai 2021</w:t>
            </w:r>
          </w:p>
          <w:p w:rsidR="00F579B7" w:rsidRPr="009E07D0" w:rsidRDefault="00F579B7" w:rsidP="00F579B7">
            <w:pPr>
              <w:jc w:val="both"/>
              <w:rPr>
                <w:sz w:val="20"/>
                <w:lang w:val="fr-CA"/>
              </w:rPr>
            </w:pPr>
            <w:r w:rsidRPr="009E07D0">
              <w:rPr>
                <w:sz w:val="20"/>
                <w:lang w:val="fr-CA"/>
              </w:rPr>
              <w:t>Cour d'appel de la Saskatchewan</w:t>
            </w:r>
          </w:p>
          <w:p w:rsidR="00F579B7" w:rsidRPr="009E07D0" w:rsidRDefault="00F579B7" w:rsidP="00F579B7">
            <w:pPr>
              <w:jc w:val="both"/>
              <w:rPr>
                <w:sz w:val="20"/>
                <w:lang w:val="fr-CA"/>
              </w:rPr>
            </w:pPr>
            <w:r w:rsidRPr="009E07D0">
              <w:rPr>
                <w:sz w:val="20"/>
                <w:lang w:val="fr-CA"/>
              </w:rPr>
              <w:lastRenderedPageBreak/>
              <w:t>(Juges Jackson, Ryan</w:t>
            </w:r>
            <w:r w:rsidRPr="009E07D0">
              <w:rPr>
                <w:sz w:val="20"/>
                <w:lang w:val="fr-CA"/>
              </w:rPr>
              <w:noBreakHyphen/>
              <w:t>Froslie et Barrington</w:t>
            </w:r>
            <w:r w:rsidRPr="009E07D0">
              <w:rPr>
                <w:sz w:val="20"/>
                <w:lang w:val="fr-CA"/>
              </w:rPr>
              <w:noBreakHyphen/>
              <w:t>Foote)</w:t>
            </w:r>
          </w:p>
          <w:p w:rsidR="00F579B7" w:rsidRPr="009E07D0" w:rsidRDefault="009E07D0" w:rsidP="00F579B7">
            <w:pPr>
              <w:jc w:val="both"/>
              <w:rPr>
                <w:sz w:val="20"/>
              </w:rPr>
            </w:pPr>
            <w:hyperlink r:id="rId10" w:history="1">
              <w:r w:rsidR="00F579B7" w:rsidRPr="009E07D0">
                <w:rPr>
                  <w:rStyle w:val="Hyperlink"/>
                  <w:sz w:val="20"/>
                </w:rPr>
                <w:t>2021 SKCA 77</w:t>
              </w:r>
            </w:hyperlink>
            <w:r w:rsidR="00F579B7" w:rsidRPr="009E07D0">
              <w:rPr>
                <w:rStyle w:val="Hyperlink"/>
                <w:sz w:val="20"/>
              </w:rPr>
              <w:t xml:space="preserve">; </w:t>
            </w:r>
            <w:r w:rsidR="00F579B7" w:rsidRPr="009E07D0">
              <w:rPr>
                <w:sz w:val="20"/>
              </w:rPr>
              <w:t>CACV3708</w:t>
            </w:r>
          </w:p>
          <w:p w:rsidR="00F579B7" w:rsidRPr="009E07D0" w:rsidRDefault="00F579B7" w:rsidP="00F579B7">
            <w:pPr>
              <w:jc w:val="both"/>
              <w:rPr>
                <w:sz w:val="20"/>
              </w:rPr>
            </w:pPr>
          </w:p>
        </w:tc>
        <w:tc>
          <w:tcPr>
            <w:tcW w:w="243" w:type="pct"/>
          </w:tcPr>
          <w:p w:rsidR="00F579B7" w:rsidRPr="009E07D0" w:rsidRDefault="00F579B7" w:rsidP="00F579B7">
            <w:pPr>
              <w:jc w:val="both"/>
              <w:rPr>
                <w:sz w:val="20"/>
              </w:rPr>
            </w:pPr>
          </w:p>
        </w:tc>
        <w:tc>
          <w:tcPr>
            <w:tcW w:w="2330" w:type="pct"/>
          </w:tcPr>
          <w:p w:rsidR="00F579B7" w:rsidRPr="009E07D0" w:rsidRDefault="00F579B7" w:rsidP="00F579B7">
            <w:pPr>
              <w:jc w:val="both"/>
              <w:rPr>
                <w:sz w:val="20"/>
              </w:rPr>
            </w:pPr>
            <w:r w:rsidRPr="009E07D0">
              <w:rPr>
                <w:sz w:val="20"/>
              </w:rPr>
              <w:t>Rejet de l’appel.</w:t>
            </w:r>
          </w:p>
          <w:p w:rsidR="00F579B7" w:rsidRPr="009E07D0" w:rsidRDefault="00F579B7" w:rsidP="00F579B7">
            <w:pPr>
              <w:jc w:val="both"/>
              <w:rPr>
                <w:sz w:val="20"/>
              </w:rPr>
            </w:pPr>
          </w:p>
        </w:tc>
      </w:tr>
      <w:tr w:rsidR="00F579B7" w:rsidRPr="009E07D0" w:rsidTr="00E95A6A">
        <w:tc>
          <w:tcPr>
            <w:tcW w:w="2427" w:type="pct"/>
            <w:gridSpan w:val="2"/>
          </w:tcPr>
          <w:p w:rsidR="00F579B7" w:rsidRPr="009E07D0" w:rsidRDefault="00F579B7" w:rsidP="00F579B7">
            <w:pPr>
              <w:jc w:val="both"/>
              <w:rPr>
                <w:sz w:val="20"/>
                <w:lang w:val="fr-CA"/>
              </w:rPr>
            </w:pPr>
            <w:r w:rsidRPr="009E07D0">
              <w:rPr>
                <w:sz w:val="20"/>
                <w:lang w:val="fr-CA"/>
              </w:rPr>
              <w:t>21 juin 2021</w:t>
            </w:r>
          </w:p>
          <w:p w:rsidR="00F579B7" w:rsidRPr="009E07D0" w:rsidRDefault="00F579B7" w:rsidP="00F579B7">
            <w:pPr>
              <w:jc w:val="both"/>
              <w:rPr>
                <w:sz w:val="20"/>
                <w:lang w:val="fr-CA"/>
              </w:rPr>
            </w:pPr>
            <w:r w:rsidRPr="009E07D0">
              <w:rPr>
                <w:sz w:val="20"/>
                <w:lang w:val="fr-CA"/>
              </w:rPr>
              <w:t>Cour suprême du Canada</w:t>
            </w:r>
          </w:p>
        </w:tc>
        <w:tc>
          <w:tcPr>
            <w:tcW w:w="243" w:type="pct"/>
          </w:tcPr>
          <w:p w:rsidR="00F579B7" w:rsidRPr="009E07D0" w:rsidRDefault="00F579B7" w:rsidP="00F579B7">
            <w:pPr>
              <w:jc w:val="both"/>
              <w:rPr>
                <w:sz w:val="20"/>
                <w:lang w:val="fr-CA"/>
              </w:rPr>
            </w:pPr>
          </w:p>
        </w:tc>
        <w:tc>
          <w:tcPr>
            <w:tcW w:w="2330" w:type="pct"/>
          </w:tcPr>
          <w:p w:rsidR="00F579B7" w:rsidRPr="009E07D0" w:rsidRDefault="00F579B7" w:rsidP="00F579B7">
            <w:pPr>
              <w:jc w:val="both"/>
              <w:rPr>
                <w:sz w:val="20"/>
                <w:lang w:val="fr-CA"/>
              </w:rPr>
            </w:pPr>
            <w:r w:rsidRPr="009E07D0">
              <w:rPr>
                <w:sz w:val="20"/>
                <w:lang w:val="fr-CA"/>
              </w:rPr>
              <w:t>Dépôt de la demande d'autorisation d'appel.</w:t>
            </w:r>
          </w:p>
        </w:tc>
      </w:tr>
    </w:tbl>
    <w:p w:rsidR="00777ECC" w:rsidRPr="009E07D0" w:rsidRDefault="00777ECC" w:rsidP="00350651">
      <w:pPr>
        <w:widowControl w:val="0"/>
        <w:tabs>
          <w:tab w:val="left" w:pos="3840"/>
        </w:tabs>
        <w:jc w:val="both"/>
        <w:rPr>
          <w:sz w:val="20"/>
          <w:lang w:val="fr-CA"/>
        </w:rPr>
      </w:pPr>
    </w:p>
    <w:p w:rsidR="005A7B6B" w:rsidRPr="009E07D0" w:rsidRDefault="009E07D0" w:rsidP="00350651">
      <w:pPr>
        <w:widowControl w:val="0"/>
        <w:jc w:val="both"/>
        <w:rPr>
          <w:sz w:val="20"/>
        </w:rPr>
      </w:pPr>
      <w:r w:rsidRPr="009E07D0">
        <w:rPr>
          <w:sz w:val="20"/>
        </w:rPr>
        <w:pict>
          <v:rect id="_x0000_i1028" style="width:2in;height:1pt" o:hrpct="0" o:hralign="center" o:hrstd="t" o:hrnoshade="t" o:hr="t" fillcolor="black [3213]" stroked="f"/>
        </w:pict>
      </w:r>
    </w:p>
    <w:p w:rsidR="00FD3FA0" w:rsidRPr="009E07D0" w:rsidRDefault="00FD3FA0" w:rsidP="00350651">
      <w:pPr>
        <w:ind w:left="142" w:hanging="142"/>
        <w:jc w:val="both"/>
        <w:rPr>
          <w:sz w:val="20"/>
        </w:rPr>
      </w:pPr>
    </w:p>
    <w:p w:rsidR="008F2F11" w:rsidRPr="009E07D0" w:rsidRDefault="008F2F11" w:rsidP="00350651">
      <w:pPr>
        <w:ind w:left="142" w:hanging="142"/>
        <w:jc w:val="both"/>
        <w:rPr>
          <w:sz w:val="20"/>
        </w:rPr>
      </w:pPr>
    </w:p>
    <w:p w:rsidR="008F2F11" w:rsidRPr="009E07D0" w:rsidRDefault="008F2F11" w:rsidP="00350651">
      <w:pPr>
        <w:ind w:left="142" w:hanging="142"/>
        <w:jc w:val="both"/>
        <w:rPr>
          <w:sz w:val="20"/>
        </w:rPr>
      </w:pPr>
    </w:p>
    <w:p w:rsidR="00D3344A" w:rsidRPr="009E07D0" w:rsidRDefault="00D3344A" w:rsidP="00D3344A">
      <w:pPr>
        <w:widowControl w:val="0"/>
        <w:outlineLvl w:val="0"/>
      </w:pPr>
      <w:r w:rsidRPr="009E07D0">
        <w:t xml:space="preserve">Supreme Court of Canada / Cour suprême du </w:t>
      </w:r>
      <w:proofErr w:type="gramStart"/>
      <w:r w:rsidRPr="009E07D0">
        <w:t>Canad</w:t>
      </w:r>
      <w:r w:rsidR="00EE289F" w:rsidRPr="009E07D0">
        <w:t>a</w:t>
      </w:r>
      <w:r w:rsidRPr="009E07D0">
        <w:t xml:space="preserve"> :</w:t>
      </w:r>
      <w:proofErr w:type="gramEnd"/>
    </w:p>
    <w:p w:rsidR="00D3344A" w:rsidRPr="009E07D0" w:rsidRDefault="009E07D0" w:rsidP="00D3344A">
      <w:pPr>
        <w:widowControl w:val="0"/>
        <w:outlineLvl w:val="0"/>
        <w:rPr>
          <w:u w:val="single"/>
        </w:rPr>
      </w:pPr>
      <w:hyperlink r:id="rId11" w:history="1">
        <w:r w:rsidR="009B7391" w:rsidRPr="009E07D0">
          <w:rPr>
            <w:rStyle w:val="Hyperlink"/>
          </w:rPr>
          <w:t>comments-commentaires@scc-csc.ca</w:t>
        </w:r>
      </w:hyperlink>
    </w:p>
    <w:p w:rsidR="00D3344A" w:rsidRPr="009E07D0" w:rsidRDefault="0065588C" w:rsidP="00D3344A">
      <w:pPr>
        <w:widowControl w:val="0"/>
        <w:outlineLvl w:val="0"/>
      </w:pPr>
      <w:r w:rsidRPr="009E07D0">
        <w:t>613-</w:t>
      </w:r>
      <w:r w:rsidR="00D3344A" w:rsidRPr="009E07D0">
        <w:t>995-4330</w:t>
      </w:r>
    </w:p>
    <w:p w:rsidR="00497B5E" w:rsidRPr="009E07D0" w:rsidRDefault="00497B5E" w:rsidP="00497B5E">
      <w:pPr>
        <w:widowControl w:val="0"/>
        <w:rPr>
          <w:sz w:val="20"/>
        </w:rPr>
      </w:pPr>
    </w:p>
    <w:p w:rsidR="00F6251B" w:rsidRPr="006E558B" w:rsidRDefault="003F43E6" w:rsidP="00F6251B">
      <w:pPr>
        <w:pStyle w:val="Footer"/>
        <w:jc w:val="center"/>
      </w:pPr>
      <w:r w:rsidRPr="009E07D0">
        <w:t>- 30 -</w:t>
      </w:r>
    </w:p>
    <w:sectPr w:rsidR="00F6251B" w:rsidRPr="006E558B" w:rsidSect="00E62F9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10" w:rsidRDefault="00FE1F10" w:rsidP="0034178A">
      <w:r>
        <w:separator/>
      </w:r>
    </w:p>
  </w:endnote>
  <w:endnote w:type="continuationSeparator" w:id="0">
    <w:p w:rsidR="00FE1F10" w:rsidRDefault="00FE1F1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Pr="009F77F0" w:rsidRDefault="00FE1F1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10" w:rsidRDefault="00FE1F10" w:rsidP="0034178A">
      <w:r>
        <w:separator/>
      </w:r>
    </w:p>
  </w:footnote>
  <w:footnote w:type="continuationSeparator" w:id="0">
    <w:p w:rsidR="00FE1F10" w:rsidRDefault="00FE1F1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26CE"/>
    <w:multiLevelType w:val="hybridMultilevel"/>
    <w:tmpl w:val="D182F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3"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3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1EA3"/>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7D0"/>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964"/>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B7"/>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5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lii.org/en/sk/skca/doc/2021/2021skca77/2021skca77.html?autocompleteStr=2021%20SKCA%2077&amp;autocompletePo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lii.org/en/sk/skca/doc/2021/2021skca77/2021skca77.html?autocompleteStr=2021%20SKCA%2077&amp;autocompletePos=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1E43-DE7E-4600-8070-6AA3983F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2021-10-25T12:09:00Z</dcterms:modified>
</cp:coreProperties>
</file>