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C40A6D" w:rsidRDefault="001C4415" w:rsidP="001C4415">
      <w:pPr>
        <w:pStyle w:val="Header"/>
        <w:jc w:val="center"/>
        <w:rPr>
          <w:b/>
          <w:sz w:val="32"/>
        </w:rPr>
      </w:pPr>
      <w:r w:rsidRPr="00C40A6D">
        <w:rPr>
          <w:b/>
          <w:sz w:val="32"/>
        </w:rPr>
        <w:t>Supreme Court of Canada / Cour suprême du Canada</w:t>
      </w:r>
    </w:p>
    <w:p w:rsidR="001C4415" w:rsidRPr="00C40A6D" w:rsidRDefault="001C4415" w:rsidP="001C4415">
      <w:pPr>
        <w:widowControl w:val="0"/>
        <w:rPr>
          <w:i/>
        </w:rPr>
      </w:pPr>
    </w:p>
    <w:p w:rsidR="001C4415" w:rsidRPr="00C40A6D" w:rsidRDefault="001C4415" w:rsidP="001C4415">
      <w:pPr>
        <w:widowControl w:val="0"/>
        <w:rPr>
          <w:i/>
        </w:rPr>
      </w:pPr>
    </w:p>
    <w:p w:rsidR="001C4415" w:rsidRPr="00C40A6D" w:rsidRDefault="001C4415" w:rsidP="001C4415">
      <w:pPr>
        <w:widowControl w:val="0"/>
        <w:rPr>
          <w:i/>
        </w:rPr>
      </w:pPr>
      <w:r w:rsidRPr="00C40A6D">
        <w:rPr>
          <w:i/>
        </w:rPr>
        <w:t>(le français suit)</w:t>
      </w:r>
    </w:p>
    <w:p w:rsidR="001C4415" w:rsidRPr="00C40A6D" w:rsidRDefault="001C4415" w:rsidP="001C4415">
      <w:pPr>
        <w:widowControl w:val="0"/>
      </w:pPr>
    </w:p>
    <w:p w:rsidR="001C4415" w:rsidRPr="00C40A6D" w:rsidRDefault="000347C1" w:rsidP="00214729">
      <w:pPr>
        <w:widowControl w:val="0"/>
        <w:jc w:val="center"/>
        <w:rPr>
          <w:b/>
        </w:rPr>
      </w:pPr>
      <w:r w:rsidRPr="00C40A6D">
        <w:fldChar w:fldCharType="begin"/>
      </w:r>
      <w:r w:rsidR="00FA7412" w:rsidRPr="00C40A6D">
        <w:instrText xml:space="preserve"> SEQ CHAPTER \h \r 1</w:instrText>
      </w:r>
      <w:r w:rsidRPr="00C40A6D">
        <w:fldChar w:fldCharType="end"/>
      </w:r>
      <w:r w:rsidR="006545ED" w:rsidRPr="00C40A6D">
        <w:rPr>
          <w:b/>
        </w:rPr>
        <w:t>REASONS FOR J</w:t>
      </w:r>
      <w:r w:rsidR="00455BB9" w:rsidRPr="00C40A6D">
        <w:rPr>
          <w:b/>
        </w:rPr>
        <w:t>UDGMENT</w:t>
      </w:r>
      <w:r w:rsidR="00FA7412" w:rsidRPr="00C40A6D">
        <w:rPr>
          <w:b/>
        </w:rPr>
        <w:t xml:space="preserve"> TO BE RENDERED IN APPEA</w:t>
      </w:r>
      <w:r w:rsidR="00342E49" w:rsidRPr="00C40A6D">
        <w:rPr>
          <w:b/>
        </w:rPr>
        <w:t>L</w:t>
      </w:r>
    </w:p>
    <w:p w:rsidR="005A7C1B" w:rsidRPr="00C40A6D" w:rsidRDefault="005A7C1B" w:rsidP="005A7C1B">
      <w:pPr>
        <w:widowControl w:val="0"/>
      </w:pPr>
    </w:p>
    <w:p w:rsidR="00EC79B0" w:rsidRPr="00C40A6D" w:rsidRDefault="00B1627A" w:rsidP="00EC79B0">
      <w:pPr>
        <w:widowControl w:val="0"/>
        <w:rPr>
          <w:b/>
        </w:rPr>
      </w:pPr>
      <w:r w:rsidRPr="00C40A6D">
        <w:rPr>
          <w:b/>
        </w:rPr>
        <w:t>April</w:t>
      </w:r>
      <w:r w:rsidR="00C86395" w:rsidRPr="00C40A6D">
        <w:rPr>
          <w:b/>
        </w:rPr>
        <w:t xml:space="preserve"> </w:t>
      </w:r>
      <w:r w:rsidR="009C7B0C" w:rsidRPr="00C40A6D">
        <w:rPr>
          <w:b/>
        </w:rPr>
        <w:t>1</w:t>
      </w:r>
      <w:r w:rsidR="00C40A6D" w:rsidRPr="00C40A6D">
        <w:rPr>
          <w:b/>
        </w:rPr>
        <w:t>4</w:t>
      </w:r>
      <w:r w:rsidR="00EC79B0" w:rsidRPr="00C40A6D">
        <w:rPr>
          <w:b/>
        </w:rPr>
        <w:t>, 20</w:t>
      </w:r>
      <w:r w:rsidR="00690520" w:rsidRPr="00C40A6D">
        <w:rPr>
          <w:b/>
        </w:rPr>
        <w:t>2</w:t>
      </w:r>
      <w:r w:rsidRPr="00C40A6D">
        <w:rPr>
          <w:b/>
        </w:rPr>
        <w:t>2</w:t>
      </w:r>
    </w:p>
    <w:p w:rsidR="00EC79B0" w:rsidRPr="00C40A6D" w:rsidRDefault="00EC79B0" w:rsidP="00EC79B0">
      <w:pPr>
        <w:widowControl w:val="0"/>
        <w:rPr>
          <w:b/>
        </w:rPr>
      </w:pPr>
      <w:r w:rsidRPr="00C40A6D">
        <w:rPr>
          <w:b/>
        </w:rPr>
        <w:t>For immediate release</w:t>
      </w:r>
    </w:p>
    <w:p w:rsidR="00EC79B0" w:rsidRPr="00C40A6D" w:rsidRDefault="00EC79B0" w:rsidP="00EC79B0">
      <w:pPr>
        <w:widowControl w:val="0"/>
      </w:pPr>
    </w:p>
    <w:p w:rsidR="00EC79B0" w:rsidRPr="00C40A6D" w:rsidRDefault="00EC79B0" w:rsidP="00EC79B0">
      <w:pPr>
        <w:widowControl w:val="0"/>
        <w:rPr>
          <w:lang w:val="fr-CA"/>
        </w:rPr>
      </w:pPr>
      <w:r w:rsidRPr="00C40A6D">
        <w:rPr>
          <w:b/>
        </w:rPr>
        <w:t>OTTAWA</w:t>
      </w:r>
      <w:r w:rsidRPr="00C40A6D">
        <w:t xml:space="preserve"> –</w:t>
      </w:r>
      <w:r w:rsidR="00C73BB2" w:rsidRPr="00C40A6D">
        <w:t xml:space="preserve"> On </w:t>
      </w:r>
      <w:r w:rsidR="00B1627A" w:rsidRPr="00C40A6D">
        <w:t>November</w:t>
      </w:r>
      <w:r w:rsidR="00C73BB2" w:rsidRPr="00C40A6D">
        <w:t xml:space="preserve"> </w:t>
      </w:r>
      <w:r w:rsidR="00B1627A" w:rsidRPr="00C40A6D">
        <w:t>10</w:t>
      </w:r>
      <w:r w:rsidR="00C73BB2" w:rsidRPr="00C40A6D">
        <w:t>, 20</w:t>
      </w:r>
      <w:r w:rsidR="002674CC" w:rsidRPr="00C40A6D">
        <w:t>2</w:t>
      </w:r>
      <w:r w:rsidR="00B1627A" w:rsidRPr="00C40A6D">
        <w:t>1</w:t>
      </w:r>
      <w:r w:rsidR="00C73BB2" w:rsidRPr="00C40A6D">
        <w:t xml:space="preserve">, the Supreme Court of Canada </w:t>
      </w:r>
      <w:r w:rsidR="00782B59" w:rsidRPr="00C40A6D">
        <w:t>allowed</w:t>
      </w:r>
      <w:r w:rsidR="00C73BB2" w:rsidRPr="00C40A6D">
        <w:t xml:space="preserve"> the appeal</w:t>
      </w:r>
      <w:r w:rsidR="00AE3866" w:rsidRPr="00C40A6D">
        <w:t xml:space="preserve">, </w:t>
      </w:r>
      <w:r w:rsidR="00C73BB2" w:rsidRPr="00C40A6D">
        <w:t>with reasons to follow in the following appeal. The reasons for judgment will be delivered at 9:45 a.m. E</w:t>
      </w:r>
      <w:r w:rsidR="00AE3866" w:rsidRPr="00C40A6D">
        <w:t>D</w:t>
      </w:r>
      <w:r w:rsidR="00C73BB2" w:rsidRPr="00C40A6D">
        <w:t xml:space="preserve">T on </w:t>
      </w:r>
      <w:r w:rsidR="009C7B0C" w:rsidRPr="00C40A6D">
        <w:t>Friday</w:t>
      </w:r>
      <w:r w:rsidR="00C73BB2" w:rsidRPr="00C40A6D">
        <w:t xml:space="preserve">, </w:t>
      </w:r>
      <w:r w:rsidR="00B1627A" w:rsidRPr="00C40A6D">
        <w:t>April</w:t>
      </w:r>
      <w:r w:rsidR="00C73BB2" w:rsidRPr="00C40A6D">
        <w:t xml:space="preserve"> </w:t>
      </w:r>
      <w:r w:rsidR="00AE3866" w:rsidRPr="00C40A6D">
        <w:t>2</w:t>
      </w:r>
      <w:r w:rsidR="00B1627A" w:rsidRPr="00C40A6D">
        <w:t>2</w:t>
      </w:r>
      <w:r w:rsidR="00C73BB2" w:rsidRPr="00C40A6D">
        <w:t>, 20</w:t>
      </w:r>
      <w:r w:rsidR="00690520" w:rsidRPr="00C40A6D">
        <w:t>2</w:t>
      </w:r>
      <w:r w:rsidR="00B1627A" w:rsidRPr="00C40A6D">
        <w:t>2</w:t>
      </w:r>
      <w:r w:rsidR="00C73BB2" w:rsidRPr="00C40A6D">
        <w:t xml:space="preserve">. </w:t>
      </w:r>
      <w:r w:rsidR="00C73BB2" w:rsidRPr="00C40A6D">
        <w:rPr>
          <w:lang w:val="fr-CA"/>
        </w:rPr>
        <w:t>T</w:t>
      </w:r>
      <w:r w:rsidR="00455BB9" w:rsidRPr="00C40A6D">
        <w:rPr>
          <w:lang w:val="fr-CA"/>
        </w:rPr>
        <w:t>his</w:t>
      </w:r>
      <w:r w:rsidRPr="00C40A6D">
        <w:rPr>
          <w:lang w:val="fr-CA"/>
        </w:rPr>
        <w:t xml:space="preserve"> list is subject to change.</w:t>
      </w:r>
    </w:p>
    <w:p w:rsidR="001C4415" w:rsidRPr="00C40A6D" w:rsidRDefault="001C4415" w:rsidP="001C4415">
      <w:pPr>
        <w:widowControl w:val="0"/>
        <w:rPr>
          <w:lang w:val="fr-CA"/>
        </w:rPr>
      </w:pPr>
    </w:p>
    <w:p w:rsidR="00AB491A" w:rsidRPr="00C40A6D" w:rsidRDefault="00AB491A" w:rsidP="001C4415">
      <w:pPr>
        <w:widowControl w:val="0"/>
        <w:rPr>
          <w:lang w:val="fr-CA"/>
        </w:rPr>
      </w:pPr>
    </w:p>
    <w:p w:rsidR="001335A1" w:rsidRPr="00C40A6D" w:rsidRDefault="001335A1" w:rsidP="001335A1">
      <w:pPr>
        <w:widowControl w:val="0"/>
        <w:jc w:val="center"/>
        <w:rPr>
          <w:b/>
          <w:lang w:val="fr-CA"/>
        </w:rPr>
      </w:pPr>
      <w:r w:rsidRPr="00C40A6D">
        <w:rPr>
          <w:b/>
          <w:lang w:val="fr-CA"/>
        </w:rPr>
        <w:t>PROCHAIN</w:t>
      </w:r>
      <w:r w:rsidR="006545ED" w:rsidRPr="00C40A6D">
        <w:rPr>
          <w:b/>
          <w:lang w:val="fr-CA"/>
        </w:rPr>
        <w:t>S MOTIFS DE</w:t>
      </w:r>
      <w:r w:rsidRPr="00C40A6D">
        <w:rPr>
          <w:b/>
          <w:lang w:val="fr-CA"/>
        </w:rPr>
        <w:t xml:space="preserve"> JUGEMENT</w:t>
      </w:r>
      <w:r w:rsidR="00455BB9" w:rsidRPr="00C40A6D">
        <w:rPr>
          <w:b/>
          <w:lang w:val="fr-CA"/>
        </w:rPr>
        <w:t xml:space="preserve"> SUR APPEL</w:t>
      </w:r>
    </w:p>
    <w:p w:rsidR="001335A1" w:rsidRPr="00C40A6D" w:rsidRDefault="001335A1" w:rsidP="001335A1">
      <w:pPr>
        <w:widowControl w:val="0"/>
        <w:rPr>
          <w:lang w:val="fr-CA"/>
        </w:rPr>
      </w:pPr>
    </w:p>
    <w:p w:rsidR="00EC79B0" w:rsidRPr="00C40A6D" w:rsidRDefault="00EC79B0" w:rsidP="00EC79B0">
      <w:pPr>
        <w:widowControl w:val="0"/>
        <w:rPr>
          <w:b/>
          <w:lang w:val="fr-CA"/>
        </w:rPr>
      </w:pPr>
      <w:r w:rsidRPr="00C40A6D">
        <w:rPr>
          <w:b/>
          <w:lang w:val="fr-CA"/>
        </w:rPr>
        <w:t xml:space="preserve">Le </w:t>
      </w:r>
      <w:r w:rsidR="009C7B0C" w:rsidRPr="00C40A6D">
        <w:rPr>
          <w:b/>
          <w:lang w:val="fr-CA"/>
        </w:rPr>
        <w:t>1</w:t>
      </w:r>
      <w:r w:rsidR="00C40A6D" w:rsidRPr="00C40A6D">
        <w:rPr>
          <w:b/>
          <w:lang w:val="fr-CA"/>
        </w:rPr>
        <w:t>4</w:t>
      </w:r>
      <w:r w:rsidR="002674CC" w:rsidRPr="00C40A6D">
        <w:rPr>
          <w:b/>
          <w:lang w:val="fr-CA"/>
        </w:rPr>
        <w:t xml:space="preserve"> </w:t>
      </w:r>
      <w:r w:rsidR="00B1627A" w:rsidRPr="00C40A6D">
        <w:rPr>
          <w:b/>
          <w:lang w:val="fr-CA"/>
        </w:rPr>
        <w:t xml:space="preserve">avril </w:t>
      </w:r>
      <w:r w:rsidR="0086609D" w:rsidRPr="00C40A6D">
        <w:rPr>
          <w:b/>
          <w:lang w:val="fr-CA"/>
        </w:rPr>
        <w:t>20</w:t>
      </w:r>
      <w:r w:rsidR="00690520" w:rsidRPr="00C40A6D">
        <w:rPr>
          <w:b/>
          <w:lang w:val="fr-CA"/>
        </w:rPr>
        <w:t>2</w:t>
      </w:r>
      <w:r w:rsidR="00B1627A" w:rsidRPr="00C40A6D">
        <w:rPr>
          <w:b/>
          <w:lang w:val="fr-CA"/>
        </w:rPr>
        <w:t>2</w:t>
      </w:r>
    </w:p>
    <w:p w:rsidR="00EC79B0" w:rsidRPr="00C40A6D" w:rsidRDefault="00EC79B0" w:rsidP="00EC79B0">
      <w:pPr>
        <w:widowControl w:val="0"/>
        <w:rPr>
          <w:b/>
          <w:lang w:val="fr-CA"/>
        </w:rPr>
      </w:pPr>
      <w:r w:rsidRPr="00C40A6D">
        <w:rPr>
          <w:b/>
          <w:lang w:val="fr-CA"/>
        </w:rPr>
        <w:t>Pour diffusion immédiate</w:t>
      </w:r>
    </w:p>
    <w:p w:rsidR="00EC79B0" w:rsidRPr="00C40A6D" w:rsidRDefault="00EC79B0" w:rsidP="00EC79B0">
      <w:pPr>
        <w:widowControl w:val="0"/>
        <w:rPr>
          <w:lang w:val="fr-CA"/>
        </w:rPr>
      </w:pPr>
    </w:p>
    <w:p w:rsidR="00EC79B0" w:rsidRPr="00C40A6D" w:rsidRDefault="00EC79B0" w:rsidP="00EC79B0">
      <w:pPr>
        <w:widowControl w:val="0"/>
        <w:rPr>
          <w:lang w:val="fr-CA"/>
        </w:rPr>
      </w:pPr>
      <w:r w:rsidRPr="00C40A6D">
        <w:rPr>
          <w:b/>
          <w:lang w:val="fr-CA"/>
        </w:rPr>
        <w:t>OTTAWA</w:t>
      </w:r>
      <w:r w:rsidR="00C73BB2" w:rsidRPr="00C40A6D">
        <w:rPr>
          <w:lang w:val="fr-CA"/>
        </w:rPr>
        <w:t xml:space="preserve"> – Le </w:t>
      </w:r>
      <w:r w:rsidR="00B1627A" w:rsidRPr="00C40A6D">
        <w:rPr>
          <w:lang w:val="fr-CA"/>
        </w:rPr>
        <w:t>10</w:t>
      </w:r>
      <w:r w:rsidR="00C73BB2" w:rsidRPr="00C40A6D">
        <w:rPr>
          <w:lang w:val="fr-CA"/>
        </w:rPr>
        <w:t xml:space="preserve"> </w:t>
      </w:r>
      <w:r w:rsidR="00B1627A" w:rsidRPr="00C40A6D">
        <w:rPr>
          <w:lang w:val="fr-CA"/>
        </w:rPr>
        <w:t>novembre</w:t>
      </w:r>
      <w:r w:rsidR="00C73BB2" w:rsidRPr="00C40A6D">
        <w:rPr>
          <w:lang w:val="fr-CA"/>
        </w:rPr>
        <w:t xml:space="preserve"> 20</w:t>
      </w:r>
      <w:r w:rsidR="002674CC" w:rsidRPr="00C40A6D">
        <w:rPr>
          <w:lang w:val="fr-CA"/>
        </w:rPr>
        <w:t>2</w:t>
      </w:r>
      <w:r w:rsidR="00B1627A" w:rsidRPr="00C40A6D">
        <w:rPr>
          <w:lang w:val="fr-CA"/>
        </w:rPr>
        <w:t>1</w:t>
      </w:r>
      <w:r w:rsidR="00C73BB2" w:rsidRPr="00C40A6D">
        <w:rPr>
          <w:lang w:val="fr-CA"/>
        </w:rPr>
        <w:t xml:space="preserve">, la Cour suprême du Canada a </w:t>
      </w:r>
      <w:r w:rsidR="00782B59" w:rsidRPr="00C40A6D">
        <w:rPr>
          <w:lang w:val="fr-CA"/>
        </w:rPr>
        <w:t xml:space="preserve">accueilli </w:t>
      </w:r>
      <w:r w:rsidR="00C73BB2" w:rsidRPr="00C40A6D">
        <w:rPr>
          <w:lang w:val="fr-CA"/>
        </w:rPr>
        <w:t>l</w:t>
      </w:r>
      <w:r w:rsidR="00A463BE" w:rsidRPr="00C40A6D">
        <w:rPr>
          <w:lang w:val="fr-CA"/>
        </w:rPr>
        <w:t>’</w:t>
      </w:r>
      <w:r w:rsidR="00C73BB2" w:rsidRPr="00C40A6D">
        <w:rPr>
          <w:lang w:val="fr-CA"/>
        </w:rPr>
        <w:t>appel</w:t>
      </w:r>
      <w:r w:rsidR="00AE3866" w:rsidRPr="00C40A6D">
        <w:rPr>
          <w:lang w:val="fr-CA"/>
        </w:rPr>
        <w:t xml:space="preserve">, </w:t>
      </w:r>
      <w:r w:rsidR="00DB5074" w:rsidRPr="00C40A6D">
        <w:rPr>
          <w:lang w:val="fr-CA"/>
        </w:rPr>
        <w:t>avec</w:t>
      </w:r>
      <w:r w:rsidR="00C73BB2" w:rsidRPr="00C40A6D">
        <w:rPr>
          <w:lang w:val="fr-CA"/>
        </w:rPr>
        <w:t xml:space="preserve"> motifs à suivre </w:t>
      </w:r>
      <w:r w:rsidR="00C73BB2" w:rsidRPr="00C40A6D">
        <w:rPr>
          <w:szCs w:val="24"/>
          <w:lang w:val="fr-CA"/>
        </w:rPr>
        <w:t>dans</w:t>
      </w:r>
      <w:r w:rsidR="001A02D9" w:rsidRPr="00C40A6D">
        <w:rPr>
          <w:szCs w:val="24"/>
          <w:lang w:val="fr-CA"/>
        </w:rPr>
        <w:t xml:space="preserve"> l</w:t>
      </w:r>
      <w:r w:rsidR="00A463BE" w:rsidRPr="00C40A6D">
        <w:rPr>
          <w:szCs w:val="24"/>
          <w:lang w:val="fr-CA"/>
        </w:rPr>
        <w:t>’</w:t>
      </w:r>
      <w:r w:rsidR="00C73BB2" w:rsidRPr="00C40A6D">
        <w:rPr>
          <w:szCs w:val="24"/>
          <w:lang w:val="fr-CA"/>
        </w:rPr>
        <w:t>appel</w:t>
      </w:r>
      <w:r w:rsidR="00C73BB2" w:rsidRPr="00C40A6D">
        <w:rPr>
          <w:lang w:val="fr-CA"/>
        </w:rPr>
        <w:t xml:space="preserve"> suivant. Ses motifs</w:t>
      </w:r>
      <w:r w:rsidR="006F57A6" w:rsidRPr="00C40A6D">
        <w:rPr>
          <w:lang w:val="fr-CA"/>
        </w:rPr>
        <w:t xml:space="preserve"> de jugement seront déposés le </w:t>
      </w:r>
      <w:r w:rsidR="009C7B0C" w:rsidRPr="00C40A6D">
        <w:rPr>
          <w:lang w:val="fr-CA"/>
        </w:rPr>
        <w:t>v</w:t>
      </w:r>
      <w:r w:rsidR="006F57A6" w:rsidRPr="00C40A6D">
        <w:rPr>
          <w:lang w:val="fr-CA"/>
        </w:rPr>
        <w:t>e</w:t>
      </w:r>
      <w:r w:rsidR="009C7B0C" w:rsidRPr="00C40A6D">
        <w:rPr>
          <w:lang w:val="fr-CA"/>
        </w:rPr>
        <w:t>ndre</w:t>
      </w:r>
      <w:r w:rsidR="006F57A6" w:rsidRPr="00C40A6D">
        <w:rPr>
          <w:lang w:val="fr-CA"/>
        </w:rPr>
        <w:t>di</w:t>
      </w:r>
      <w:r w:rsidR="00C73BB2" w:rsidRPr="00C40A6D">
        <w:rPr>
          <w:lang w:val="fr-CA"/>
        </w:rPr>
        <w:t xml:space="preserve"> </w:t>
      </w:r>
      <w:r w:rsidR="00AE3866" w:rsidRPr="00C40A6D">
        <w:rPr>
          <w:lang w:val="fr-CA"/>
        </w:rPr>
        <w:t>2</w:t>
      </w:r>
      <w:r w:rsidR="00B1627A" w:rsidRPr="00C40A6D">
        <w:rPr>
          <w:lang w:val="fr-CA"/>
        </w:rPr>
        <w:t>2</w:t>
      </w:r>
      <w:r w:rsidR="00C73BB2" w:rsidRPr="00C40A6D">
        <w:rPr>
          <w:lang w:val="fr-CA"/>
        </w:rPr>
        <w:t xml:space="preserve"> </w:t>
      </w:r>
      <w:r w:rsidR="00B1627A" w:rsidRPr="00C40A6D">
        <w:rPr>
          <w:lang w:val="fr-CA"/>
        </w:rPr>
        <w:t>avril</w:t>
      </w:r>
      <w:r w:rsidR="00C73BB2" w:rsidRPr="00C40A6D">
        <w:rPr>
          <w:lang w:val="fr-CA"/>
        </w:rPr>
        <w:t xml:space="preserve"> 20</w:t>
      </w:r>
      <w:r w:rsidR="00690520" w:rsidRPr="00C40A6D">
        <w:rPr>
          <w:lang w:val="fr-CA"/>
        </w:rPr>
        <w:t>2</w:t>
      </w:r>
      <w:r w:rsidR="00B1627A" w:rsidRPr="00C40A6D">
        <w:rPr>
          <w:lang w:val="fr-CA"/>
        </w:rPr>
        <w:t>2</w:t>
      </w:r>
      <w:r w:rsidR="00C73BB2" w:rsidRPr="00C40A6D">
        <w:rPr>
          <w:lang w:val="fr-CA"/>
        </w:rPr>
        <w:t>, à 9 h 45 H</w:t>
      </w:r>
      <w:r w:rsidR="00AE3866" w:rsidRPr="00C40A6D">
        <w:rPr>
          <w:lang w:val="fr-CA"/>
        </w:rPr>
        <w:t>A</w:t>
      </w:r>
      <w:r w:rsidR="00C73BB2" w:rsidRPr="00C40A6D">
        <w:rPr>
          <w:lang w:val="fr-CA"/>
        </w:rPr>
        <w:t xml:space="preserve">E. </w:t>
      </w:r>
      <w:r w:rsidRPr="00C40A6D">
        <w:rPr>
          <w:lang w:val="fr-CA"/>
        </w:rPr>
        <w:t>Cette liste est sujette à modifications.</w:t>
      </w:r>
    </w:p>
    <w:p w:rsidR="001335A1" w:rsidRPr="00C40A6D" w:rsidRDefault="001335A1" w:rsidP="001335A1">
      <w:pPr>
        <w:widowControl w:val="0"/>
        <w:rPr>
          <w:szCs w:val="24"/>
          <w:lang w:val="fr-CA"/>
        </w:rPr>
      </w:pPr>
    </w:p>
    <w:p w:rsidR="0043481E" w:rsidRPr="00C40A6D" w:rsidRDefault="00C40A6D" w:rsidP="001335A1">
      <w:pPr>
        <w:widowControl w:val="0"/>
        <w:rPr>
          <w:szCs w:val="24"/>
          <w:lang w:val="fr-CA"/>
        </w:rPr>
      </w:pPr>
      <w:r w:rsidRPr="00C40A6D">
        <w:rPr>
          <w:sz w:val="20"/>
        </w:rPr>
        <w:pict>
          <v:rect id="_x0000_i1025" style="width:2in;height:1pt" o:hrpct="0" o:hralign="center" o:hrstd="t" o:hrnoshade="t" o:hr="t" fillcolor="black [3213]" stroked="f"/>
        </w:pict>
      </w:r>
    </w:p>
    <w:p w:rsidR="001335A1" w:rsidRPr="00C40A6D" w:rsidRDefault="001335A1" w:rsidP="001335A1">
      <w:pPr>
        <w:widowControl w:val="0"/>
        <w:rPr>
          <w:szCs w:val="24"/>
          <w:lang w:val="fr-CA"/>
        </w:rPr>
      </w:pPr>
    </w:p>
    <w:p w:rsidR="002674CC" w:rsidRPr="00C40A6D" w:rsidRDefault="00B1627A" w:rsidP="002674CC">
      <w:pPr>
        <w:widowControl w:val="0"/>
        <w:rPr>
          <w:szCs w:val="24"/>
          <w:lang w:val="fr-CA"/>
        </w:rPr>
      </w:pPr>
      <w:r w:rsidRPr="00C40A6D">
        <w:rPr>
          <w:i/>
          <w:iCs/>
          <w:szCs w:val="24"/>
          <w:lang w:val="fr-CA"/>
        </w:rPr>
        <w:t xml:space="preserve">Sa Majesté la Reine c. J.D. </w:t>
      </w:r>
      <w:r w:rsidR="002674CC" w:rsidRPr="00C40A6D">
        <w:rPr>
          <w:szCs w:val="24"/>
          <w:lang w:val="fr-CA"/>
        </w:rPr>
        <w:t>(</w:t>
      </w:r>
      <w:r w:rsidRPr="00C40A6D">
        <w:rPr>
          <w:szCs w:val="24"/>
          <w:lang w:val="fr-CA"/>
        </w:rPr>
        <w:t>Qc</w:t>
      </w:r>
      <w:r w:rsidR="002674CC" w:rsidRPr="00C40A6D">
        <w:rPr>
          <w:szCs w:val="24"/>
          <w:lang w:val="fr-CA"/>
        </w:rPr>
        <w:t>) (</w:t>
      </w:r>
      <w:hyperlink r:id="rId7" w:history="1">
        <w:r w:rsidR="002674CC" w:rsidRPr="00C40A6D">
          <w:rPr>
            <w:rStyle w:val="Hyperlink"/>
            <w:szCs w:val="24"/>
            <w:lang w:val="fr-CA"/>
          </w:rPr>
          <w:t>3</w:t>
        </w:r>
        <w:r w:rsidR="00AE3866" w:rsidRPr="00C40A6D">
          <w:rPr>
            <w:rStyle w:val="Hyperlink"/>
            <w:szCs w:val="24"/>
            <w:lang w:val="fr-CA"/>
          </w:rPr>
          <w:t>9</w:t>
        </w:r>
        <w:r w:rsidRPr="00C40A6D">
          <w:rPr>
            <w:rStyle w:val="Hyperlink"/>
            <w:szCs w:val="24"/>
            <w:lang w:val="fr-CA"/>
          </w:rPr>
          <w:t>37</w:t>
        </w:r>
        <w:r w:rsidR="00AE3866" w:rsidRPr="00C40A6D">
          <w:rPr>
            <w:rStyle w:val="Hyperlink"/>
            <w:szCs w:val="24"/>
            <w:lang w:val="fr-CA"/>
          </w:rPr>
          <w:t>0</w:t>
        </w:r>
      </w:hyperlink>
      <w:r w:rsidR="002674CC" w:rsidRPr="00C40A6D">
        <w:rPr>
          <w:szCs w:val="24"/>
          <w:lang w:val="fr-CA"/>
        </w:rPr>
        <w:t>)</w:t>
      </w:r>
    </w:p>
    <w:p w:rsidR="002674CC" w:rsidRPr="00C40A6D" w:rsidRDefault="002674CC" w:rsidP="00340C6D">
      <w:pPr>
        <w:jc w:val="both"/>
        <w:rPr>
          <w:sz w:val="20"/>
          <w:lang w:val="fr-CA"/>
        </w:rPr>
      </w:pPr>
    </w:p>
    <w:p w:rsidR="00B1627A" w:rsidRPr="00C40A6D" w:rsidRDefault="00B1627A" w:rsidP="00340C6D">
      <w:pPr>
        <w:jc w:val="both"/>
        <w:rPr>
          <w:sz w:val="20"/>
          <w:lang w:val="fr-CA"/>
        </w:rPr>
      </w:pPr>
    </w:p>
    <w:p w:rsidR="00B1627A" w:rsidRPr="00C40A6D" w:rsidRDefault="00B1627A" w:rsidP="00B1627A">
      <w:pPr>
        <w:pStyle w:val="SCCLsocParty"/>
        <w:rPr>
          <w:b/>
          <w:i w:val="0"/>
          <w:sz w:val="20"/>
          <w:szCs w:val="20"/>
          <w:lang w:val="en-CA"/>
        </w:rPr>
      </w:pPr>
      <w:r w:rsidRPr="00C40A6D">
        <w:rPr>
          <w:rStyle w:val="SCCFileNumberChar"/>
          <w:i w:val="0"/>
          <w:sz w:val="20"/>
          <w:szCs w:val="20"/>
        </w:rPr>
        <w:t>39370</w:t>
      </w:r>
      <w:r w:rsidRPr="00C40A6D">
        <w:rPr>
          <w:rStyle w:val="SCCFileNumberChar"/>
          <w:i w:val="0"/>
          <w:sz w:val="20"/>
          <w:szCs w:val="20"/>
        </w:rPr>
        <w:tab/>
      </w:r>
      <w:r w:rsidRPr="00C40A6D">
        <w:rPr>
          <w:b/>
          <w:sz w:val="20"/>
          <w:szCs w:val="20"/>
          <w:lang w:val="en-CA"/>
        </w:rPr>
        <w:t>Her Majesty the Queen v. J.D.</w:t>
      </w:r>
    </w:p>
    <w:p w:rsidR="00B1627A" w:rsidRPr="00C40A6D" w:rsidRDefault="00B1627A" w:rsidP="00B1627A">
      <w:pPr>
        <w:ind w:left="360" w:firstLine="360"/>
        <w:jc w:val="both"/>
        <w:rPr>
          <w:sz w:val="20"/>
        </w:rPr>
      </w:pPr>
      <w:r w:rsidRPr="00C40A6D">
        <w:rPr>
          <w:sz w:val="20"/>
          <w:lang w:val="en-CA"/>
        </w:rPr>
        <w:t>(Que.) (Criminal) (By Leave)</w:t>
      </w:r>
    </w:p>
    <w:p w:rsidR="00B1627A" w:rsidRPr="00C40A6D" w:rsidRDefault="00B1627A" w:rsidP="00B1627A">
      <w:pPr>
        <w:pStyle w:val="SCCBanSummary"/>
        <w:rPr>
          <w:sz w:val="20"/>
          <w:szCs w:val="20"/>
        </w:rPr>
      </w:pPr>
    </w:p>
    <w:p w:rsidR="00B1627A" w:rsidRPr="00C40A6D" w:rsidRDefault="00B1627A" w:rsidP="00B1627A">
      <w:pPr>
        <w:pStyle w:val="SCCBanSummary"/>
        <w:rPr>
          <w:sz w:val="20"/>
          <w:szCs w:val="20"/>
        </w:rPr>
      </w:pPr>
      <w:r w:rsidRPr="00C40A6D">
        <w:rPr>
          <w:sz w:val="20"/>
          <w:szCs w:val="20"/>
        </w:rPr>
        <w:t>(Publication ban on party)</w:t>
      </w:r>
    </w:p>
    <w:p w:rsidR="00B1627A" w:rsidRPr="00C40A6D" w:rsidRDefault="00B1627A" w:rsidP="00B1627A">
      <w:pPr>
        <w:jc w:val="both"/>
        <w:rPr>
          <w:sz w:val="20"/>
          <w:lang w:val="en-CA"/>
        </w:rPr>
      </w:pPr>
    </w:p>
    <w:p w:rsidR="00B1627A" w:rsidRPr="00C40A6D" w:rsidRDefault="00B1627A" w:rsidP="00B1627A">
      <w:pPr>
        <w:jc w:val="both"/>
        <w:rPr>
          <w:sz w:val="20"/>
        </w:rPr>
      </w:pPr>
      <w:r w:rsidRPr="00C40A6D">
        <w:rPr>
          <w:sz w:val="20"/>
          <w:lang w:val="en-CA"/>
        </w:rPr>
        <w:t xml:space="preserve">Criminal law - Trial - Continuation of proceedings - Evidence - Parties agreeing to have transcript of testimony given at first trial filed before new judge - Whether Court of Appeal erred in interpreting and applying s. 669.2 of </w:t>
      </w:r>
      <w:r w:rsidRPr="00C40A6D">
        <w:rPr>
          <w:i/>
          <w:sz w:val="20"/>
          <w:lang w:val="en-CA"/>
        </w:rPr>
        <w:t>Criminal Code</w:t>
      </w:r>
      <w:r w:rsidRPr="00C40A6D">
        <w:rPr>
          <w:sz w:val="20"/>
          <w:lang w:val="en-CA"/>
        </w:rPr>
        <w:t xml:space="preserve"> by imposing test unknown to law in order to assess value of consent of accused to filing in second trial of transcript of testimony given previously - </w:t>
      </w:r>
      <w:r w:rsidRPr="00C40A6D">
        <w:rPr>
          <w:i/>
          <w:sz w:val="20"/>
          <w:lang w:val="en-CA"/>
        </w:rPr>
        <w:t>Criminal Code</w:t>
      </w:r>
      <w:r w:rsidRPr="00C40A6D">
        <w:rPr>
          <w:sz w:val="20"/>
          <w:lang w:val="en-CA"/>
        </w:rPr>
        <w:t>, R.S.C. 1985, c. C</w:t>
      </w:r>
      <w:r w:rsidRPr="00C40A6D">
        <w:rPr>
          <w:sz w:val="20"/>
          <w:lang w:val="en-CA"/>
        </w:rPr>
        <w:noBreakHyphen/>
        <w:t>46, s. 669.2.</w:t>
      </w:r>
    </w:p>
    <w:p w:rsidR="002674CC" w:rsidRPr="00C40A6D" w:rsidRDefault="002674CC" w:rsidP="00340C6D">
      <w:pPr>
        <w:jc w:val="both"/>
        <w:rPr>
          <w:sz w:val="20"/>
        </w:rPr>
      </w:pPr>
    </w:p>
    <w:p w:rsidR="00B1627A" w:rsidRPr="00C40A6D" w:rsidRDefault="00B1627A" w:rsidP="00B1627A">
      <w:pPr>
        <w:jc w:val="both"/>
        <w:rPr>
          <w:sz w:val="20"/>
          <w:lang w:val="en-CA"/>
        </w:rPr>
      </w:pPr>
      <w:r w:rsidRPr="00C40A6D">
        <w:rPr>
          <w:sz w:val="20"/>
          <w:lang w:val="en-CA"/>
        </w:rPr>
        <w:t xml:space="preserve">The respondent was charged in 2012 with 18 sexual offences committed against minors, including his children C.D. and S.D., between 1979 and 1993. The trial began before a first judge of the Court of Québec. Complainant C.D. testified for two days. The first judge then fell sick, and the case was transferred to a new judge under s. 669.2 of the </w:t>
      </w:r>
      <w:r w:rsidRPr="00C40A6D">
        <w:rPr>
          <w:i/>
          <w:sz w:val="20"/>
          <w:lang w:val="en-CA"/>
        </w:rPr>
        <w:t>Criminal Code</w:t>
      </w:r>
      <w:r w:rsidRPr="00C40A6D">
        <w:rPr>
          <w:sz w:val="20"/>
          <w:lang w:val="en-CA"/>
        </w:rPr>
        <w:t>, R.S.C. 1985, c. C</w:t>
      </w:r>
      <w:r w:rsidRPr="00C40A6D">
        <w:rPr>
          <w:sz w:val="20"/>
          <w:lang w:val="en-CA"/>
        </w:rPr>
        <w:noBreakHyphen/>
        <w:t xml:space="preserve">46. The parties agreed that the transcripts of the two days of C.D.’s testimony would be given to the new judge. The new judge convicted the respondent on nine counts, ordered a conditional stay of proceedings on two counts and acquitted the respondent on seven other counts. The respondent was sentenced to a total of 70 months’ imprisonment. </w:t>
      </w:r>
    </w:p>
    <w:p w:rsidR="00B1627A" w:rsidRPr="00C40A6D" w:rsidRDefault="00B1627A" w:rsidP="00B1627A">
      <w:pPr>
        <w:jc w:val="both"/>
        <w:rPr>
          <w:sz w:val="20"/>
          <w:lang w:val="en-CA"/>
        </w:rPr>
      </w:pPr>
    </w:p>
    <w:p w:rsidR="00B1627A" w:rsidRPr="00C40A6D" w:rsidRDefault="00B1627A" w:rsidP="00B1627A">
      <w:pPr>
        <w:jc w:val="both"/>
        <w:rPr>
          <w:sz w:val="20"/>
        </w:rPr>
      </w:pPr>
      <w:r w:rsidRPr="00C40A6D">
        <w:rPr>
          <w:sz w:val="20"/>
          <w:lang w:val="en-CA"/>
        </w:rPr>
        <w:t xml:space="preserve">The respondent appealed against the convictions and applied for leave to appeal the sentence. The Court of Appeal allowed the appeal on one of the five issues that had been raised. In its view, the trial judge, who had continued the trial commenced before another judge under s. 669.2(3) Cr.C., should not have accepted that C.D.’s testimony be filed without ensuring that the consent of the respondent was free, informed and unequivocal and that the filing of C.D.’s testimony would not affect the fairness of the trial. The Court of Appeal therefore ordered a new trial on the counts with respect to complainants C.D. and S.D. (seven of the nine counts for which the respondent had been convicted at </w:t>
      </w:r>
      <w:r w:rsidRPr="00C40A6D">
        <w:rPr>
          <w:sz w:val="20"/>
          <w:lang w:val="en-CA"/>
        </w:rPr>
        <w:lastRenderedPageBreak/>
        <w:t>trial). The Court of Appeal granted the motion for leave to appeal the sentences, set aside the sentences on the counts relating to complainants C.D. and S.D. and affirmed the sentence on the other counts.</w:t>
      </w:r>
    </w:p>
    <w:p w:rsidR="00B1627A" w:rsidRPr="00C40A6D" w:rsidRDefault="00B1627A" w:rsidP="00340C6D">
      <w:pPr>
        <w:jc w:val="both"/>
        <w:rPr>
          <w:sz w:val="20"/>
        </w:rPr>
      </w:pPr>
    </w:p>
    <w:p w:rsidR="00B1627A" w:rsidRPr="00C40A6D" w:rsidRDefault="00C40A6D" w:rsidP="00340C6D">
      <w:pPr>
        <w:jc w:val="both"/>
        <w:rPr>
          <w:sz w:val="20"/>
        </w:rPr>
      </w:pPr>
      <w:r w:rsidRPr="00C40A6D">
        <w:rPr>
          <w:sz w:val="20"/>
        </w:rPr>
        <w:pict>
          <v:rect id="_x0000_i1026" style="width:2in;height:1pt" o:hrpct="0" o:hralign="center" o:hrstd="t" o:hrnoshade="t" o:hr="t" fillcolor="black [3213]" stroked="f"/>
        </w:pict>
      </w:r>
    </w:p>
    <w:p w:rsidR="00B1627A" w:rsidRPr="00C40A6D" w:rsidRDefault="00B1627A" w:rsidP="00B1627A">
      <w:pPr>
        <w:jc w:val="both"/>
        <w:rPr>
          <w:sz w:val="20"/>
          <w:lang w:val="en-CA"/>
        </w:rPr>
      </w:pPr>
    </w:p>
    <w:bookmarkStart w:id="0" w:name="1"/>
    <w:bookmarkEnd w:id="0"/>
    <w:p w:rsidR="00B1627A" w:rsidRPr="00C40A6D" w:rsidRDefault="00B1627A" w:rsidP="00B1627A">
      <w:pPr>
        <w:pStyle w:val="SCCLsocParty"/>
        <w:rPr>
          <w:b/>
          <w:i w:val="0"/>
          <w:sz w:val="20"/>
          <w:szCs w:val="20"/>
        </w:rPr>
      </w:pPr>
      <w:r w:rsidRPr="00C40A6D">
        <w:rPr>
          <w:b/>
          <w:i w:val="0"/>
          <w:sz w:val="20"/>
          <w:szCs w:val="20"/>
        </w:rPr>
        <w:fldChar w:fldCharType="begin"/>
      </w:r>
      <w:r w:rsidRPr="00C40A6D">
        <w:rPr>
          <w:b/>
          <w:i w:val="0"/>
          <w:sz w:val="20"/>
          <w:szCs w:val="20"/>
        </w:rPr>
        <w:instrText xml:space="preserve"> SEQ CHAPTER \h \r 1</w:instrText>
      </w:r>
      <w:r w:rsidRPr="00C40A6D">
        <w:rPr>
          <w:b/>
          <w:i w:val="0"/>
          <w:sz w:val="20"/>
          <w:szCs w:val="20"/>
        </w:rPr>
        <w:fldChar w:fldCharType="end"/>
      </w:r>
      <w:r w:rsidRPr="00C40A6D">
        <w:rPr>
          <w:b/>
          <w:i w:val="0"/>
          <w:sz w:val="20"/>
          <w:szCs w:val="20"/>
        </w:rPr>
        <w:t>39370</w:t>
      </w:r>
      <w:r w:rsidRPr="00C40A6D">
        <w:rPr>
          <w:b/>
          <w:i w:val="0"/>
          <w:sz w:val="20"/>
          <w:szCs w:val="20"/>
        </w:rPr>
        <w:tab/>
      </w:r>
      <w:r w:rsidRPr="00C40A6D">
        <w:rPr>
          <w:b/>
          <w:sz w:val="20"/>
          <w:szCs w:val="20"/>
        </w:rPr>
        <w:t>Sa Majesté la Reine c. J.D.</w:t>
      </w:r>
    </w:p>
    <w:p w:rsidR="00B1627A" w:rsidRPr="00C40A6D" w:rsidRDefault="00B1627A" w:rsidP="00B1627A">
      <w:pPr>
        <w:widowControl w:val="0"/>
        <w:ind w:left="360" w:firstLine="360"/>
        <w:jc w:val="both"/>
        <w:rPr>
          <w:sz w:val="20"/>
          <w:lang w:val="fr-CA"/>
        </w:rPr>
      </w:pPr>
      <w:r w:rsidRPr="00C40A6D">
        <w:rPr>
          <w:sz w:val="20"/>
          <w:lang w:val="fr-CA"/>
        </w:rPr>
        <w:t>(Qc) (Criminelle) (Autorisation)</w:t>
      </w:r>
    </w:p>
    <w:p w:rsidR="00B1627A" w:rsidRPr="00C40A6D" w:rsidRDefault="00B1627A" w:rsidP="00B1627A">
      <w:pPr>
        <w:pStyle w:val="SCCBanSummary"/>
        <w:rPr>
          <w:sz w:val="20"/>
          <w:szCs w:val="20"/>
          <w:lang w:val="fr-CA"/>
        </w:rPr>
      </w:pPr>
    </w:p>
    <w:p w:rsidR="00B1627A" w:rsidRPr="00C40A6D" w:rsidRDefault="00B1627A" w:rsidP="00B1627A">
      <w:pPr>
        <w:pStyle w:val="SCCBanSummary"/>
        <w:rPr>
          <w:sz w:val="20"/>
          <w:szCs w:val="20"/>
          <w:lang w:val="fr-CA"/>
        </w:rPr>
      </w:pPr>
      <w:r w:rsidRPr="00C40A6D">
        <w:rPr>
          <w:sz w:val="20"/>
          <w:szCs w:val="20"/>
          <w:lang w:val="fr-CA"/>
        </w:rPr>
        <w:t>(Ordonnance de non-publication visant une partie)</w:t>
      </w:r>
    </w:p>
    <w:p w:rsidR="00B1627A" w:rsidRPr="00C40A6D" w:rsidRDefault="00B1627A" w:rsidP="00B1627A">
      <w:pPr>
        <w:jc w:val="both"/>
        <w:rPr>
          <w:sz w:val="20"/>
          <w:lang w:val="fr-CA"/>
        </w:rPr>
      </w:pPr>
    </w:p>
    <w:p w:rsidR="00B1627A" w:rsidRPr="00C40A6D" w:rsidRDefault="00B1627A" w:rsidP="00B1627A">
      <w:pPr>
        <w:jc w:val="both"/>
        <w:rPr>
          <w:sz w:val="20"/>
          <w:lang w:val="fr-CA"/>
        </w:rPr>
      </w:pPr>
      <w:r w:rsidRPr="00C40A6D">
        <w:rPr>
          <w:sz w:val="20"/>
          <w:lang w:val="fr-CA"/>
        </w:rPr>
        <w:t xml:space="preserve">Droit criminel - Procès - Continuation des procédures - Preuve - Parties consentant à ce que la transcription de témoignages rendus dans un premier procès soit déposée devant un nouveau juge - La Cour d’appel se méprend-elle dans son interprétation et son application de l’art. 669.2 </w:t>
      </w:r>
      <w:proofErr w:type="gramStart"/>
      <w:r w:rsidRPr="00C40A6D">
        <w:rPr>
          <w:sz w:val="20"/>
          <w:lang w:val="fr-CA"/>
        </w:rPr>
        <w:t>du</w:t>
      </w:r>
      <w:proofErr w:type="gramEnd"/>
      <w:r w:rsidRPr="00C40A6D">
        <w:rPr>
          <w:sz w:val="20"/>
          <w:lang w:val="fr-CA"/>
        </w:rPr>
        <w:t xml:space="preserve"> </w:t>
      </w:r>
      <w:r w:rsidRPr="00C40A6D">
        <w:rPr>
          <w:i/>
          <w:sz w:val="20"/>
          <w:lang w:val="fr-CA"/>
        </w:rPr>
        <w:t>Code criminel</w:t>
      </w:r>
      <w:r w:rsidRPr="00C40A6D">
        <w:rPr>
          <w:sz w:val="20"/>
          <w:lang w:val="fr-CA"/>
        </w:rPr>
        <w:t xml:space="preserve"> en imposant un test non prévu à la loi afin d’évaluer la valeur du consentement donné par l’accusé pour procéder par le dépôt de la transcription des témoignages rendus antérieurement dans le cadre d’un second procès? - </w:t>
      </w:r>
      <w:r w:rsidRPr="00C40A6D">
        <w:rPr>
          <w:i/>
          <w:sz w:val="20"/>
          <w:lang w:val="fr-CA"/>
        </w:rPr>
        <w:t>Code criminel</w:t>
      </w:r>
      <w:r w:rsidRPr="00C40A6D">
        <w:rPr>
          <w:sz w:val="20"/>
          <w:lang w:val="fr-CA"/>
        </w:rPr>
        <w:t>, L.R.C. 1985, c. C</w:t>
      </w:r>
      <w:r w:rsidRPr="00C40A6D">
        <w:rPr>
          <w:sz w:val="20"/>
          <w:lang w:val="fr-CA"/>
        </w:rPr>
        <w:noBreakHyphen/>
        <w:t>46, art. 669.2.</w:t>
      </w:r>
    </w:p>
    <w:p w:rsidR="00B1627A" w:rsidRPr="00C40A6D" w:rsidRDefault="00B1627A" w:rsidP="00B1627A">
      <w:pPr>
        <w:widowControl w:val="0"/>
        <w:jc w:val="both"/>
        <w:rPr>
          <w:sz w:val="20"/>
          <w:lang w:val="fr-CA"/>
        </w:rPr>
      </w:pPr>
    </w:p>
    <w:p w:rsidR="00B1627A" w:rsidRPr="00C40A6D" w:rsidRDefault="00B1627A" w:rsidP="00B1627A">
      <w:pPr>
        <w:widowControl w:val="0"/>
        <w:jc w:val="both"/>
        <w:rPr>
          <w:sz w:val="20"/>
          <w:lang w:val="fr-CA"/>
        </w:rPr>
      </w:pPr>
      <w:r w:rsidRPr="00C40A6D">
        <w:rPr>
          <w:sz w:val="20"/>
          <w:lang w:val="fr-CA"/>
        </w:rPr>
        <w:t xml:space="preserve">L’intimé est accusé en 2012 de 18 chefs d’accusation pour des infractions de nature sexuelle commises à l’endroit de mineurs entre 1979 et 1993, dont ses enfants C.D. et S.D. Le procès débute devant un premier juge de la Cour du Québec. La plaignante C.D. témoigne au cours de deux jours. Par la suite, le premier juge tombe malade et le dossier est remis à un nouveau juge, en vertu de l’art. 669.2 </w:t>
      </w:r>
      <w:proofErr w:type="gramStart"/>
      <w:r w:rsidRPr="00C40A6D">
        <w:rPr>
          <w:sz w:val="20"/>
          <w:lang w:val="fr-CA"/>
        </w:rPr>
        <w:t>du</w:t>
      </w:r>
      <w:proofErr w:type="gramEnd"/>
      <w:r w:rsidRPr="00C40A6D">
        <w:rPr>
          <w:sz w:val="20"/>
          <w:lang w:val="fr-CA"/>
        </w:rPr>
        <w:t xml:space="preserve"> </w:t>
      </w:r>
      <w:r w:rsidRPr="00C40A6D">
        <w:rPr>
          <w:i/>
          <w:sz w:val="20"/>
          <w:lang w:val="fr-CA"/>
        </w:rPr>
        <w:t>Code criminel</w:t>
      </w:r>
      <w:r w:rsidRPr="00C40A6D">
        <w:rPr>
          <w:sz w:val="20"/>
          <w:lang w:val="fr-CA"/>
        </w:rPr>
        <w:t xml:space="preserve">, L.R.C. 1985, c. C-46. Les parties conviennent que les transcriptions des deux jours de témoignage de C.D. seront remises au nouveau juge. Le nouveau juge déclare l’intimé coupable de 9 chefs d’accusation, prononce un arrêt conditionnel des procédures sur deux chefs et acquitte l’intimé de 7 autres chefs. L’intimé est condamné à une peine totale de 70 mois d’emprisonnement. </w:t>
      </w:r>
    </w:p>
    <w:p w:rsidR="00B1627A" w:rsidRPr="00C40A6D" w:rsidRDefault="00B1627A" w:rsidP="00B1627A">
      <w:pPr>
        <w:widowControl w:val="0"/>
        <w:jc w:val="both"/>
        <w:rPr>
          <w:sz w:val="20"/>
          <w:lang w:val="fr-CA"/>
        </w:rPr>
      </w:pPr>
    </w:p>
    <w:p w:rsidR="00B1627A" w:rsidRPr="00C40A6D" w:rsidRDefault="00B1627A" w:rsidP="00B1627A">
      <w:pPr>
        <w:widowControl w:val="0"/>
        <w:jc w:val="both"/>
        <w:rPr>
          <w:sz w:val="20"/>
          <w:lang w:val="fr-CA"/>
        </w:rPr>
      </w:pPr>
      <w:r w:rsidRPr="00C40A6D">
        <w:rPr>
          <w:sz w:val="20"/>
          <w:lang w:val="fr-CA"/>
        </w:rPr>
        <w:t>L’intimé se pourvoit contre les déclarations de culpabilité et demande la permission d’appeler de la peine. La Cour d’appel accueille l’appel sur la base d’une des cinq questions en litige soulevées. Elle est d’avis que le juge de première instance, qui a continué le procès commencé devant un autre juge en vertu de l’art. 669.2(3) C.cr., n’aurait pas dû accepter que le témoignage de C.D. soit versé au dossier, sans s’assurer que le consentement de l’intimé était libre, éclairé et non équivoque et que le versement du témoignage de C.D. ne porterait pas atteinte à l’équité du procès. La Cour d’appel ordonne alors la tenue d’un nouveau procès en ce qui concerne les chefs d’accusation relatifs aux plaignants C.D. et S.D. (7 des 9 chefs dont l’intimé a été trouvé coupable en première instance). Quant à la peine, la Cour d’appel accueille la requête pour permission d’en appeler de la peine, annule les peines liées aux chefs d’accusation relatifs aux plaignants C.D. et S.D. et confirme la peine sur les autres chefs.</w:t>
      </w:r>
    </w:p>
    <w:p w:rsidR="00AE3866" w:rsidRPr="00C40A6D" w:rsidRDefault="00AE3866" w:rsidP="00BC39C5">
      <w:pPr>
        <w:widowControl w:val="0"/>
        <w:jc w:val="both"/>
        <w:rPr>
          <w:sz w:val="20"/>
          <w:lang w:val="fr-CA"/>
        </w:rPr>
      </w:pPr>
    </w:p>
    <w:p w:rsidR="00AE3866" w:rsidRPr="00C40A6D" w:rsidRDefault="00C40A6D" w:rsidP="00340C6D">
      <w:pPr>
        <w:jc w:val="both"/>
        <w:rPr>
          <w:sz w:val="20"/>
          <w:lang w:val="fr-CA"/>
        </w:rPr>
      </w:pPr>
      <w:r w:rsidRPr="00C40A6D">
        <w:rPr>
          <w:sz w:val="20"/>
        </w:rPr>
        <w:pict>
          <v:rect id="_x0000_i1027" style="width:2in;height:1pt" o:hrpct="0" o:hralign="center" o:hrstd="t" o:hrnoshade="t" o:hr="t" fillcolor="black [3213]" stroked="f"/>
        </w:pict>
      </w:r>
    </w:p>
    <w:p w:rsidR="00782B59" w:rsidRPr="00C40A6D" w:rsidRDefault="00782B59" w:rsidP="00340C6D">
      <w:pPr>
        <w:jc w:val="both"/>
        <w:rPr>
          <w:szCs w:val="24"/>
          <w:lang w:val="fr-CA"/>
        </w:rPr>
      </w:pPr>
    </w:p>
    <w:p w:rsidR="00ED67FB" w:rsidRPr="00C40A6D" w:rsidRDefault="00ED67FB" w:rsidP="00340C6D">
      <w:pPr>
        <w:jc w:val="both"/>
        <w:rPr>
          <w:szCs w:val="24"/>
          <w:lang w:val="fr-CA"/>
        </w:rPr>
      </w:pPr>
    </w:p>
    <w:p w:rsidR="00072A63" w:rsidRPr="00C40A6D" w:rsidRDefault="00072A63" w:rsidP="00EC79B0">
      <w:pPr>
        <w:jc w:val="both"/>
        <w:rPr>
          <w:szCs w:val="24"/>
          <w:lang w:val="fr-CA"/>
        </w:rPr>
      </w:pPr>
    </w:p>
    <w:p w:rsidR="001C4415" w:rsidRPr="00C40A6D" w:rsidRDefault="001C4415" w:rsidP="001C4415">
      <w:pPr>
        <w:widowControl w:val="0"/>
        <w:outlineLvl w:val="0"/>
      </w:pPr>
      <w:r w:rsidRPr="00C40A6D">
        <w:t xml:space="preserve">Supreme Court of Canada / Cour suprême du </w:t>
      </w:r>
      <w:proofErr w:type="gramStart"/>
      <w:r w:rsidRPr="00C40A6D">
        <w:t>Canada :</w:t>
      </w:r>
      <w:proofErr w:type="gramEnd"/>
      <w:r w:rsidRPr="00C40A6D">
        <w:t xml:space="preserve"> </w:t>
      </w:r>
    </w:p>
    <w:p w:rsidR="001C4415" w:rsidRPr="00C40A6D" w:rsidRDefault="00C40A6D" w:rsidP="001C4415">
      <w:pPr>
        <w:widowControl w:val="0"/>
        <w:outlineLvl w:val="0"/>
      </w:pPr>
      <w:hyperlink r:id="rId8" w:history="1">
        <w:r w:rsidR="001C4415" w:rsidRPr="00C40A6D">
          <w:rPr>
            <w:rStyle w:val="Hyperlink"/>
          </w:rPr>
          <w:t>comments-commentaires@scc-csc.ca</w:t>
        </w:r>
      </w:hyperlink>
    </w:p>
    <w:p w:rsidR="001C4415" w:rsidRPr="00C40A6D" w:rsidRDefault="001C4415" w:rsidP="001C4415">
      <w:pPr>
        <w:widowControl w:val="0"/>
        <w:outlineLvl w:val="0"/>
      </w:pPr>
      <w:r w:rsidRPr="00C40A6D">
        <w:t>(613) 995-4330</w:t>
      </w:r>
    </w:p>
    <w:p w:rsidR="001C4415" w:rsidRPr="00C40A6D" w:rsidRDefault="001C4415" w:rsidP="001C4415">
      <w:pPr>
        <w:widowControl w:val="0"/>
        <w:rPr>
          <w:sz w:val="20"/>
        </w:rPr>
      </w:pPr>
    </w:p>
    <w:p w:rsidR="0036476C" w:rsidRPr="00A8502B" w:rsidRDefault="001C4415" w:rsidP="0036476C">
      <w:pPr>
        <w:pStyle w:val="Footer"/>
        <w:jc w:val="center"/>
        <w:rPr>
          <w:lang w:val="fr-CA"/>
        </w:rPr>
      </w:pPr>
      <w:r w:rsidRPr="00C40A6D">
        <w:rPr>
          <w:lang w:val="fr-CA"/>
        </w:rPr>
        <w:t xml:space="preserve">- 30 </w:t>
      </w:r>
      <w:r w:rsidR="003C1B6E" w:rsidRPr="00C40A6D">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627A"/>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0A6D"/>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937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2022-04-14T15:15:00Z</dcterms:modified>
</cp:coreProperties>
</file>