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E70565" w:rsidRDefault="000E391F" w:rsidP="000E391F">
      <w:pPr>
        <w:pStyle w:val="Header"/>
        <w:jc w:val="center"/>
        <w:rPr>
          <w:b/>
          <w:sz w:val="32"/>
        </w:rPr>
      </w:pPr>
      <w:r w:rsidRPr="00E70565">
        <w:rPr>
          <w:b/>
          <w:sz w:val="32"/>
        </w:rPr>
        <w:t>Supreme Court of Canada / Cour suprême du Canada</w:t>
      </w:r>
    </w:p>
    <w:p w:rsidR="000E391F" w:rsidRPr="00E70565" w:rsidRDefault="000E391F" w:rsidP="000E391F">
      <w:pPr>
        <w:widowControl w:val="0"/>
        <w:rPr>
          <w:i/>
        </w:rPr>
      </w:pPr>
    </w:p>
    <w:p w:rsidR="000E391F" w:rsidRPr="00E70565" w:rsidRDefault="000E391F" w:rsidP="000E391F">
      <w:pPr>
        <w:widowControl w:val="0"/>
        <w:rPr>
          <w:i/>
        </w:rPr>
      </w:pPr>
    </w:p>
    <w:p w:rsidR="006F2579" w:rsidRPr="00E70565" w:rsidRDefault="006F2579" w:rsidP="006F2579">
      <w:pPr>
        <w:widowControl w:val="0"/>
        <w:rPr>
          <w:i/>
          <w:sz w:val="20"/>
        </w:rPr>
      </w:pPr>
      <w:r w:rsidRPr="00E70565">
        <w:rPr>
          <w:i/>
          <w:sz w:val="20"/>
        </w:rPr>
        <w:t>(</w:t>
      </w:r>
      <w:r w:rsidR="003240B6" w:rsidRPr="00E70565">
        <w:rPr>
          <w:i/>
          <w:sz w:val="20"/>
        </w:rPr>
        <w:t>L</w:t>
      </w:r>
      <w:r w:rsidRPr="00E70565">
        <w:rPr>
          <w:i/>
          <w:sz w:val="20"/>
        </w:rPr>
        <w:t>e français suit)</w:t>
      </w:r>
    </w:p>
    <w:p w:rsidR="006F2579" w:rsidRPr="00E70565" w:rsidRDefault="006F2579" w:rsidP="006F2579">
      <w:pPr>
        <w:widowControl w:val="0"/>
      </w:pPr>
    </w:p>
    <w:p w:rsidR="006F2579" w:rsidRPr="00E70565" w:rsidRDefault="00B07908" w:rsidP="006F2579">
      <w:pPr>
        <w:widowControl w:val="0"/>
        <w:jc w:val="center"/>
        <w:rPr>
          <w:b/>
        </w:rPr>
      </w:pPr>
      <w:r w:rsidRPr="00E70565">
        <w:fldChar w:fldCharType="begin"/>
      </w:r>
      <w:r w:rsidR="006F2579" w:rsidRPr="00E70565">
        <w:instrText xml:space="preserve"> SEQ CHAPTER \h \r 1</w:instrText>
      </w:r>
      <w:r w:rsidRPr="00E70565">
        <w:fldChar w:fldCharType="end"/>
      </w:r>
      <w:r w:rsidR="006F2579" w:rsidRPr="00E70565">
        <w:rPr>
          <w:b/>
        </w:rPr>
        <w:t>JUDGMENT</w:t>
      </w:r>
      <w:r w:rsidR="00B17AAC" w:rsidRPr="00E70565">
        <w:rPr>
          <w:b/>
        </w:rPr>
        <w:t>S</w:t>
      </w:r>
      <w:r w:rsidR="006F2579" w:rsidRPr="00E70565">
        <w:rPr>
          <w:b/>
        </w:rPr>
        <w:t xml:space="preserve"> TO B</w:t>
      </w:r>
      <w:r w:rsidR="00001846" w:rsidRPr="00E70565">
        <w:rPr>
          <w:b/>
        </w:rPr>
        <w:t xml:space="preserve">E RENDERED </w:t>
      </w:r>
      <w:r w:rsidR="004472D9" w:rsidRPr="00E70565">
        <w:rPr>
          <w:b/>
        </w:rPr>
        <w:t>O</w:t>
      </w:r>
      <w:r w:rsidR="00001846" w:rsidRPr="00E70565">
        <w:rPr>
          <w:b/>
        </w:rPr>
        <w:t>N LE</w:t>
      </w:r>
      <w:r w:rsidR="00A0288A" w:rsidRPr="00E70565">
        <w:rPr>
          <w:b/>
        </w:rPr>
        <w:t>A</w:t>
      </w:r>
      <w:r w:rsidR="00001846" w:rsidRPr="00E70565">
        <w:rPr>
          <w:b/>
        </w:rPr>
        <w:t>VE APPLICATION</w:t>
      </w:r>
      <w:r w:rsidR="00E94FDF" w:rsidRPr="00E70565">
        <w:rPr>
          <w:b/>
        </w:rPr>
        <w:t>S</w:t>
      </w:r>
    </w:p>
    <w:p w:rsidR="006F2579" w:rsidRPr="00E70565" w:rsidRDefault="006F2579" w:rsidP="006F2579">
      <w:pPr>
        <w:widowControl w:val="0"/>
      </w:pPr>
    </w:p>
    <w:p w:rsidR="006F2579" w:rsidRPr="00E70565" w:rsidRDefault="00526754" w:rsidP="006F2579">
      <w:pPr>
        <w:widowControl w:val="0"/>
      </w:pPr>
      <w:r w:rsidRPr="00E70565">
        <w:rPr>
          <w:b/>
        </w:rPr>
        <w:t>January</w:t>
      </w:r>
      <w:r w:rsidR="00A15B66" w:rsidRPr="00E70565">
        <w:rPr>
          <w:b/>
        </w:rPr>
        <w:t xml:space="preserve"> </w:t>
      </w:r>
      <w:r w:rsidR="00D61DDC" w:rsidRPr="00E70565">
        <w:rPr>
          <w:b/>
        </w:rPr>
        <w:t>15</w:t>
      </w:r>
      <w:r w:rsidR="004441C7" w:rsidRPr="00E70565">
        <w:rPr>
          <w:b/>
        </w:rPr>
        <w:t>,</w:t>
      </w:r>
      <w:r w:rsidR="006F2579" w:rsidRPr="00E70565">
        <w:rPr>
          <w:b/>
        </w:rPr>
        <w:t xml:space="preserve"> </w:t>
      </w:r>
      <w:r w:rsidR="0054689F" w:rsidRPr="00E70565">
        <w:rPr>
          <w:b/>
        </w:rPr>
        <w:t>20</w:t>
      </w:r>
      <w:r w:rsidRPr="00E70565">
        <w:rPr>
          <w:b/>
        </w:rPr>
        <w:t>2</w:t>
      </w:r>
      <w:r w:rsidR="00ED252B" w:rsidRPr="00E70565">
        <w:rPr>
          <w:b/>
        </w:rPr>
        <w:t>4</w:t>
      </w:r>
    </w:p>
    <w:p w:rsidR="006F2579" w:rsidRPr="00E70565" w:rsidRDefault="006F2579" w:rsidP="006F2579">
      <w:pPr>
        <w:widowControl w:val="0"/>
      </w:pPr>
    </w:p>
    <w:p w:rsidR="00FF5AA4" w:rsidRPr="00E70565" w:rsidRDefault="006F2579" w:rsidP="006F2579">
      <w:pPr>
        <w:widowControl w:val="0"/>
      </w:pPr>
      <w:r w:rsidRPr="00E70565">
        <w:rPr>
          <w:b/>
        </w:rPr>
        <w:t>OTTAWA</w:t>
      </w:r>
      <w:r w:rsidRPr="00E70565">
        <w:t xml:space="preserve"> – </w:t>
      </w:r>
      <w:r w:rsidR="004E5780" w:rsidRPr="00E70565">
        <w:t xml:space="preserve">The Supreme Court of Canada will decide the following leave applications </w:t>
      </w:r>
      <w:r w:rsidR="001C3C2F" w:rsidRPr="00E70565">
        <w:t>at 9:45 </w:t>
      </w:r>
      <w:r w:rsidR="004E5780" w:rsidRPr="00E70565">
        <w:t>a.m. ET on Thursday, January 1</w:t>
      </w:r>
      <w:r w:rsidR="00D61DDC" w:rsidRPr="00E70565">
        <w:t>8</w:t>
      </w:r>
      <w:r w:rsidR="004E5780" w:rsidRPr="00E70565">
        <w:t>, 202</w:t>
      </w:r>
      <w:r w:rsidR="00ED252B" w:rsidRPr="00E70565">
        <w:t>4</w:t>
      </w:r>
      <w:r w:rsidR="004E5780" w:rsidRPr="00E70565">
        <w:t>. This list might change.</w:t>
      </w:r>
    </w:p>
    <w:p w:rsidR="00B97537" w:rsidRPr="00E70565" w:rsidRDefault="00B97537" w:rsidP="00B97537">
      <w:pPr>
        <w:widowControl w:val="0"/>
        <w:jc w:val="both"/>
        <w:rPr>
          <w:sz w:val="20"/>
        </w:rPr>
      </w:pPr>
    </w:p>
    <w:p w:rsidR="00ED252B" w:rsidRPr="00E70565" w:rsidRDefault="00ED252B" w:rsidP="00956326">
      <w:pPr>
        <w:widowControl w:val="0"/>
        <w:rPr>
          <w:sz w:val="20"/>
        </w:rPr>
      </w:pPr>
    </w:p>
    <w:p w:rsidR="00956326" w:rsidRPr="00E70565" w:rsidRDefault="00956326" w:rsidP="00EA1222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  <w:szCs w:val="20"/>
        </w:rPr>
      </w:pPr>
      <w:r w:rsidRPr="00E70565">
        <w:rPr>
          <w:i/>
          <w:sz w:val="20"/>
          <w:szCs w:val="20"/>
        </w:rPr>
        <w:t>Nicholas Villeneuve v. His Majesty the King</w:t>
      </w:r>
      <w:r w:rsidRPr="00E70565">
        <w:rPr>
          <w:sz w:val="20"/>
          <w:szCs w:val="20"/>
        </w:rPr>
        <w:t xml:space="preserve"> (N.L.) (Criminal) (By Leave)</w:t>
      </w:r>
      <w:r w:rsidRPr="00E70565">
        <w:rPr>
          <w:sz w:val="20"/>
        </w:rPr>
        <w:t xml:space="preserve"> (</w:t>
      </w:r>
      <w:hyperlink r:id="rId8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0841</w:t>
        </w:r>
      </w:hyperlink>
      <w:r w:rsidRPr="00E70565">
        <w:rPr>
          <w:sz w:val="20"/>
        </w:rPr>
        <w:t>)</w:t>
      </w:r>
    </w:p>
    <w:p w:rsidR="00956326" w:rsidRPr="00E70565" w:rsidRDefault="00956326" w:rsidP="00EA1222">
      <w:pPr>
        <w:ind w:left="357" w:hanging="357"/>
        <w:rPr>
          <w:sz w:val="20"/>
          <w:lang w:eastAsia="en-CA"/>
        </w:rPr>
      </w:pPr>
    </w:p>
    <w:p w:rsidR="00956326" w:rsidRPr="00E70565" w:rsidRDefault="00956326" w:rsidP="00EA1222">
      <w:pPr>
        <w:pStyle w:val="ListParagraph"/>
        <w:numPr>
          <w:ilvl w:val="0"/>
          <w:numId w:val="20"/>
        </w:numPr>
        <w:ind w:left="357" w:hanging="357"/>
        <w:contextualSpacing w:val="0"/>
        <w:rPr>
          <w:i/>
          <w:sz w:val="20"/>
        </w:rPr>
      </w:pPr>
      <w:r w:rsidRPr="00E70565">
        <w:rPr>
          <w:i/>
          <w:sz w:val="20"/>
        </w:rPr>
        <w:t xml:space="preserve">Jim Neilas, Chad Martin, </w:t>
      </w:r>
      <w:r w:rsidR="003C7CAF" w:rsidRPr="00E70565">
        <w:rPr>
          <w:i/>
          <w:sz w:val="20"/>
        </w:rPr>
        <w:t>et al.</w:t>
      </w:r>
      <w:r w:rsidRPr="00E70565">
        <w:rPr>
          <w:i/>
          <w:sz w:val="20"/>
        </w:rPr>
        <w:t xml:space="preserve"> v. Maureen Ferraro</w:t>
      </w:r>
      <w:r w:rsidR="003C7CAF" w:rsidRPr="00E70565">
        <w:rPr>
          <w:i/>
          <w:sz w:val="20"/>
        </w:rPr>
        <w:t>, et al.</w:t>
      </w:r>
      <w:r w:rsidRPr="00E70565">
        <w:rPr>
          <w:sz w:val="20"/>
        </w:rPr>
        <w:t xml:space="preserve"> (Ont.) (Civil) (By Leave)</w:t>
      </w:r>
      <w:r w:rsidRPr="00E70565">
        <w:rPr>
          <w:sz w:val="20"/>
          <w:lang w:eastAsia="en-CA"/>
        </w:rPr>
        <w:t xml:space="preserve"> </w:t>
      </w:r>
      <w:r w:rsidRPr="00E70565">
        <w:rPr>
          <w:sz w:val="20"/>
        </w:rPr>
        <w:t>(</w:t>
      </w:r>
      <w:hyperlink r:id="rId9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0811</w:t>
        </w:r>
      </w:hyperlink>
      <w:r w:rsidRPr="00E70565">
        <w:rPr>
          <w:sz w:val="20"/>
        </w:rPr>
        <w:t>)</w:t>
      </w:r>
    </w:p>
    <w:p w:rsidR="00956326" w:rsidRPr="00E70565" w:rsidRDefault="00956326" w:rsidP="00EA1222">
      <w:pPr>
        <w:ind w:left="357" w:hanging="357"/>
        <w:rPr>
          <w:sz w:val="20"/>
          <w:lang w:eastAsia="en-CA"/>
        </w:rPr>
      </w:pPr>
    </w:p>
    <w:p w:rsidR="00956326" w:rsidRPr="00E70565" w:rsidRDefault="00956326" w:rsidP="00EA1222">
      <w:pPr>
        <w:pStyle w:val="ListParagraph"/>
        <w:numPr>
          <w:ilvl w:val="0"/>
          <w:numId w:val="20"/>
        </w:numPr>
        <w:ind w:left="357" w:hanging="357"/>
        <w:contextualSpacing w:val="0"/>
        <w:rPr>
          <w:i/>
          <w:sz w:val="20"/>
          <w:szCs w:val="20"/>
        </w:rPr>
      </w:pPr>
      <w:r w:rsidRPr="00E70565">
        <w:rPr>
          <w:i/>
          <w:sz w:val="20"/>
          <w:szCs w:val="20"/>
        </w:rPr>
        <w:t>Martin Green v. University of Winnipeg</w:t>
      </w:r>
      <w:r w:rsidRPr="00E70565">
        <w:rPr>
          <w:sz w:val="20"/>
          <w:szCs w:val="20"/>
        </w:rPr>
        <w:t xml:space="preserve"> (Man.) (Civil) (By Leave)</w:t>
      </w:r>
      <w:r w:rsidRPr="00E70565">
        <w:rPr>
          <w:sz w:val="20"/>
        </w:rPr>
        <w:t xml:space="preserve"> (</w:t>
      </w:r>
      <w:hyperlink r:id="rId10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0942</w:t>
        </w:r>
      </w:hyperlink>
      <w:r w:rsidRPr="00E70565">
        <w:rPr>
          <w:sz w:val="20"/>
        </w:rPr>
        <w:t>)</w:t>
      </w:r>
    </w:p>
    <w:p w:rsidR="00956326" w:rsidRPr="00E70565" w:rsidRDefault="00956326" w:rsidP="00EA1222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956326" w:rsidRPr="00E70565" w:rsidRDefault="00956326" w:rsidP="00EA1222">
      <w:pPr>
        <w:pStyle w:val="ListParagraph"/>
        <w:numPr>
          <w:ilvl w:val="0"/>
          <w:numId w:val="20"/>
        </w:numPr>
        <w:ind w:left="357" w:hanging="357"/>
        <w:contextualSpacing w:val="0"/>
        <w:rPr>
          <w:i/>
          <w:sz w:val="20"/>
          <w:szCs w:val="20"/>
          <w:lang w:val="en-CA"/>
        </w:rPr>
      </w:pPr>
      <w:r w:rsidRPr="00E70565">
        <w:rPr>
          <w:i/>
          <w:sz w:val="20"/>
          <w:szCs w:val="20"/>
          <w:lang w:val="en-CA"/>
        </w:rPr>
        <w:t xml:space="preserve">Tibor Uhrik v. Antonietta Terrigno </w:t>
      </w:r>
      <w:r w:rsidRPr="00E70565">
        <w:rPr>
          <w:sz w:val="20"/>
          <w:szCs w:val="20"/>
          <w:lang w:val="en-CA"/>
        </w:rPr>
        <w:t xml:space="preserve">(Alta.) (Civil) (By Leave) </w:t>
      </w:r>
      <w:r w:rsidRPr="00E70565">
        <w:rPr>
          <w:sz w:val="20"/>
        </w:rPr>
        <w:t>(</w:t>
      </w:r>
      <w:hyperlink r:id="rId11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0648</w:t>
        </w:r>
      </w:hyperlink>
      <w:r w:rsidRPr="00E70565">
        <w:rPr>
          <w:sz w:val="20"/>
        </w:rPr>
        <w:t>)</w:t>
      </w:r>
    </w:p>
    <w:p w:rsidR="00956326" w:rsidRPr="00E70565" w:rsidRDefault="00956326" w:rsidP="00EA1222">
      <w:pPr>
        <w:pStyle w:val="ListParagraph"/>
        <w:ind w:left="357" w:hanging="357"/>
        <w:contextualSpacing w:val="0"/>
        <w:rPr>
          <w:i/>
          <w:sz w:val="20"/>
          <w:szCs w:val="20"/>
          <w:lang w:val="en-CA"/>
        </w:rPr>
      </w:pPr>
    </w:p>
    <w:p w:rsidR="00956326" w:rsidRPr="00E70565" w:rsidRDefault="00956326" w:rsidP="00EA1222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  <w:szCs w:val="20"/>
          <w:lang w:eastAsia="en-CA"/>
        </w:rPr>
      </w:pPr>
      <w:r w:rsidRPr="00E70565">
        <w:rPr>
          <w:i/>
          <w:sz w:val="20"/>
          <w:szCs w:val="20"/>
          <w:lang w:val="en-CA"/>
        </w:rPr>
        <w:t xml:space="preserve">Norman Klassen v. Canadian National Railway Company </w:t>
      </w:r>
      <w:r w:rsidRPr="00E70565">
        <w:rPr>
          <w:sz w:val="20"/>
          <w:szCs w:val="20"/>
          <w:lang w:val="en-CA"/>
        </w:rPr>
        <w:t>(Alta.) (Civil) (By</w:t>
      </w:r>
      <w:r w:rsidR="003C5899" w:rsidRPr="00E70565">
        <w:rPr>
          <w:sz w:val="20"/>
          <w:szCs w:val="20"/>
          <w:lang w:val="en-CA"/>
        </w:rPr>
        <w:t xml:space="preserve"> </w:t>
      </w:r>
      <w:r w:rsidRPr="00E70565">
        <w:rPr>
          <w:sz w:val="20"/>
          <w:szCs w:val="20"/>
          <w:lang w:val="en-CA"/>
        </w:rPr>
        <w:t xml:space="preserve">Leave) </w:t>
      </w:r>
      <w:r w:rsidRPr="00E70565">
        <w:rPr>
          <w:sz w:val="20"/>
        </w:rPr>
        <w:t>(</w:t>
      </w:r>
      <w:hyperlink r:id="rId12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0836</w:t>
        </w:r>
      </w:hyperlink>
      <w:r w:rsidRPr="00E70565">
        <w:rPr>
          <w:sz w:val="20"/>
        </w:rPr>
        <w:t>)</w:t>
      </w:r>
    </w:p>
    <w:p w:rsidR="00D61DDC" w:rsidRPr="00E70565" w:rsidRDefault="00D61DDC" w:rsidP="00EA1222">
      <w:pPr>
        <w:widowControl w:val="0"/>
        <w:ind w:left="357" w:hanging="357"/>
        <w:rPr>
          <w:sz w:val="20"/>
        </w:rPr>
      </w:pPr>
    </w:p>
    <w:p w:rsidR="00956326" w:rsidRPr="00E70565" w:rsidRDefault="00956326" w:rsidP="00EA1222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</w:rPr>
      </w:pPr>
      <w:r w:rsidRPr="00E70565">
        <w:rPr>
          <w:i/>
          <w:sz w:val="20"/>
          <w:szCs w:val="20"/>
        </w:rPr>
        <w:t>GlycoBioSciences Inc. v. Herrero and Associates</w:t>
      </w:r>
      <w:r w:rsidRPr="00E70565">
        <w:rPr>
          <w:sz w:val="20"/>
          <w:szCs w:val="20"/>
        </w:rPr>
        <w:t xml:space="preserve"> (Ont.) (Civil) (By Leave) </w:t>
      </w:r>
      <w:r w:rsidRPr="00E70565">
        <w:rPr>
          <w:sz w:val="20"/>
        </w:rPr>
        <w:t>(</w:t>
      </w:r>
      <w:hyperlink r:id="rId13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0813</w:t>
        </w:r>
      </w:hyperlink>
      <w:r w:rsidRPr="00E70565">
        <w:rPr>
          <w:sz w:val="20"/>
        </w:rPr>
        <w:t>)</w:t>
      </w:r>
    </w:p>
    <w:p w:rsidR="00956326" w:rsidRPr="00E70565" w:rsidRDefault="00956326" w:rsidP="00EA1222">
      <w:pPr>
        <w:ind w:left="357" w:hanging="357"/>
        <w:rPr>
          <w:sz w:val="20"/>
          <w:lang w:val="en-CA"/>
        </w:rPr>
      </w:pPr>
    </w:p>
    <w:p w:rsidR="00956326" w:rsidRPr="00E70565" w:rsidRDefault="00956326" w:rsidP="00EA1222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</w:rPr>
      </w:pPr>
      <w:r w:rsidRPr="00E70565">
        <w:rPr>
          <w:i/>
          <w:sz w:val="20"/>
          <w:szCs w:val="20"/>
        </w:rPr>
        <w:t xml:space="preserve">Satinder Paul Singh Dhillon, </w:t>
      </w:r>
      <w:r w:rsidR="003041D8" w:rsidRPr="00E70565">
        <w:rPr>
          <w:i/>
          <w:sz w:val="20"/>
          <w:szCs w:val="20"/>
        </w:rPr>
        <w:t>et al.</w:t>
      </w:r>
      <w:r w:rsidRPr="00E70565">
        <w:rPr>
          <w:i/>
          <w:sz w:val="20"/>
          <w:szCs w:val="20"/>
        </w:rPr>
        <w:t xml:space="preserve"> v. Michael Vincent Morancie Robertson, </w:t>
      </w:r>
      <w:r w:rsidR="003041D8" w:rsidRPr="00E70565">
        <w:rPr>
          <w:i/>
          <w:sz w:val="20"/>
          <w:szCs w:val="20"/>
        </w:rPr>
        <w:t>et al.</w:t>
      </w:r>
      <w:r w:rsidRPr="00E70565">
        <w:rPr>
          <w:sz w:val="20"/>
          <w:szCs w:val="20"/>
        </w:rPr>
        <w:t xml:space="preserve"> (B.C.) (Civil) (By Leave) </w:t>
      </w:r>
      <w:r w:rsidRPr="00E70565">
        <w:rPr>
          <w:sz w:val="20"/>
        </w:rPr>
        <w:t>(</w:t>
      </w:r>
      <w:hyperlink r:id="rId14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0819</w:t>
        </w:r>
      </w:hyperlink>
      <w:r w:rsidRPr="00E70565">
        <w:rPr>
          <w:sz w:val="20"/>
        </w:rPr>
        <w:t>)</w:t>
      </w:r>
    </w:p>
    <w:p w:rsidR="00B97537" w:rsidRPr="00E70565" w:rsidRDefault="00B97537" w:rsidP="006F2579">
      <w:pPr>
        <w:widowControl w:val="0"/>
        <w:rPr>
          <w:szCs w:val="24"/>
          <w:lang w:val="fr-CA"/>
        </w:rPr>
      </w:pPr>
    </w:p>
    <w:p w:rsidR="008361E5" w:rsidRPr="00E70565" w:rsidRDefault="008361E5" w:rsidP="006F2579">
      <w:pPr>
        <w:widowControl w:val="0"/>
        <w:rPr>
          <w:szCs w:val="24"/>
        </w:rPr>
      </w:pPr>
    </w:p>
    <w:p w:rsidR="00B97537" w:rsidRPr="00E70565" w:rsidRDefault="00494458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E70565" w:rsidRDefault="00B43418" w:rsidP="006F2579">
      <w:pPr>
        <w:widowControl w:val="0"/>
        <w:rPr>
          <w:szCs w:val="24"/>
          <w:lang w:val="fr-CA"/>
        </w:rPr>
      </w:pPr>
    </w:p>
    <w:p w:rsidR="008361E5" w:rsidRPr="00E70565" w:rsidRDefault="008361E5" w:rsidP="006F2579">
      <w:pPr>
        <w:widowControl w:val="0"/>
        <w:rPr>
          <w:szCs w:val="24"/>
          <w:lang w:val="fr-CA"/>
        </w:rPr>
      </w:pPr>
    </w:p>
    <w:p w:rsidR="006F2579" w:rsidRPr="00E70565" w:rsidRDefault="006F2579" w:rsidP="006F2579">
      <w:pPr>
        <w:widowControl w:val="0"/>
        <w:jc w:val="center"/>
        <w:rPr>
          <w:lang w:val="fr-CA"/>
        </w:rPr>
      </w:pPr>
      <w:r w:rsidRPr="00E70565">
        <w:rPr>
          <w:b/>
          <w:lang w:val="fr-CA"/>
        </w:rPr>
        <w:t>PROCHAIN</w:t>
      </w:r>
      <w:r w:rsidR="00B17AAC" w:rsidRPr="00E70565">
        <w:rPr>
          <w:b/>
          <w:lang w:val="fr-CA"/>
        </w:rPr>
        <w:t>S</w:t>
      </w:r>
      <w:r w:rsidRPr="00E70565">
        <w:rPr>
          <w:b/>
          <w:lang w:val="fr-CA"/>
        </w:rPr>
        <w:t xml:space="preserve"> JUGEMENT</w:t>
      </w:r>
      <w:r w:rsidR="00B17AAC" w:rsidRPr="00E70565">
        <w:rPr>
          <w:b/>
          <w:lang w:val="fr-CA"/>
        </w:rPr>
        <w:t>S</w:t>
      </w:r>
      <w:r w:rsidR="00001846" w:rsidRPr="00E70565">
        <w:rPr>
          <w:b/>
          <w:lang w:val="fr-CA"/>
        </w:rPr>
        <w:t xml:space="preserve"> SUR DEMANDE</w:t>
      </w:r>
      <w:r w:rsidR="00B17AAC" w:rsidRPr="00E70565">
        <w:rPr>
          <w:b/>
          <w:lang w:val="fr-CA"/>
        </w:rPr>
        <w:t>S</w:t>
      </w:r>
      <w:r w:rsidRPr="00E70565">
        <w:rPr>
          <w:b/>
          <w:lang w:val="fr-CA"/>
        </w:rPr>
        <w:t xml:space="preserve"> D’AUTORISATION</w:t>
      </w:r>
    </w:p>
    <w:p w:rsidR="006F2579" w:rsidRPr="00E70565" w:rsidRDefault="006F2579" w:rsidP="006F2579">
      <w:pPr>
        <w:widowControl w:val="0"/>
        <w:rPr>
          <w:lang w:val="fr-CA"/>
        </w:rPr>
      </w:pPr>
    </w:p>
    <w:p w:rsidR="006F2579" w:rsidRPr="00E70565" w:rsidRDefault="006F2579" w:rsidP="006F2579">
      <w:pPr>
        <w:widowControl w:val="0"/>
        <w:rPr>
          <w:lang w:val="fr-CA"/>
        </w:rPr>
      </w:pPr>
      <w:r w:rsidRPr="00E70565">
        <w:rPr>
          <w:b/>
          <w:lang w:val="fr-CA"/>
        </w:rPr>
        <w:t>Le</w:t>
      </w:r>
      <w:r w:rsidR="00957A76" w:rsidRPr="00E70565">
        <w:rPr>
          <w:b/>
          <w:lang w:val="fr-CA"/>
        </w:rPr>
        <w:t xml:space="preserve"> </w:t>
      </w:r>
      <w:r w:rsidR="00D61DDC" w:rsidRPr="00E70565">
        <w:rPr>
          <w:b/>
          <w:lang w:val="fr-CA"/>
        </w:rPr>
        <w:t>15</w:t>
      </w:r>
      <w:r w:rsidR="00A15B66" w:rsidRPr="00E70565">
        <w:rPr>
          <w:b/>
          <w:lang w:val="fr-CA"/>
        </w:rPr>
        <w:t xml:space="preserve"> </w:t>
      </w:r>
      <w:r w:rsidR="00526754" w:rsidRPr="00E70565">
        <w:rPr>
          <w:b/>
          <w:lang w:val="fr-CA"/>
        </w:rPr>
        <w:t>janvier</w:t>
      </w:r>
      <w:r w:rsidR="00A151D1" w:rsidRPr="00E70565">
        <w:rPr>
          <w:b/>
          <w:lang w:val="fr-CA"/>
        </w:rPr>
        <w:t xml:space="preserve"> 20</w:t>
      </w:r>
      <w:r w:rsidR="00526754" w:rsidRPr="00E70565">
        <w:rPr>
          <w:b/>
          <w:lang w:val="fr-CA"/>
        </w:rPr>
        <w:t>2</w:t>
      </w:r>
      <w:r w:rsidR="00ED252B" w:rsidRPr="00E70565">
        <w:rPr>
          <w:b/>
          <w:lang w:val="fr-CA"/>
        </w:rPr>
        <w:t>4</w:t>
      </w:r>
    </w:p>
    <w:p w:rsidR="006F2579" w:rsidRPr="00E70565" w:rsidRDefault="006F2579" w:rsidP="006F2579">
      <w:pPr>
        <w:widowControl w:val="0"/>
        <w:rPr>
          <w:lang w:val="fr-CA"/>
        </w:rPr>
      </w:pPr>
    </w:p>
    <w:p w:rsidR="00091C56" w:rsidRPr="00E70565" w:rsidRDefault="006F2579" w:rsidP="006F2579">
      <w:pPr>
        <w:widowControl w:val="0"/>
        <w:rPr>
          <w:szCs w:val="24"/>
          <w:lang w:val="fr-CA"/>
        </w:rPr>
      </w:pPr>
      <w:r w:rsidRPr="00E70565">
        <w:rPr>
          <w:b/>
          <w:lang w:val="fr-CA"/>
        </w:rPr>
        <w:t>OTTAWA</w:t>
      </w:r>
      <w:r w:rsidRPr="00E70565">
        <w:rPr>
          <w:lang w:val="fr-CA"/>
        </w:rPr>
        <w:t xml:space="preserve"> – </w:t>
      </w:r>
      <w:r w:rsidR="004E5780" w:rsidRPr="00E70565">
        <w:rPr>
          <w:lang w:val="fr-CA"/>
        </w:rPr>
        <w:t>La Cour suprême du Canada se prononcera sur les demandes d’autorisation suivantes le jeudi 1</w:t>
      </w:r>
      <w:r w:rsidR="00D61DDC" w:rsidRPr="00E70565">
        <w:rPr>
          <w:lang w:val="fr-CA"/>
        </w:rPr>
        <w:t>8</w:t>
      </w:r>
      <w:r w:rsidR="004E5780" w:rsidRPr="00E70565">
        <w:rPr>
          <w:lang w:val="fr-CA"/>
        </w:rPr>
        <w:t xml:space="preserve"> janvier 202</w:t>
      </w:r>
      <w:r w:rsidR="00ED252B" w:rsidRPr="00E70565">
        <w:rPr>
          <w:lang w:val="fr-CA"/>
        </w:rPr>
        <w:t>4</w:t>
      </w:r>
      <w:r w:rsidR="004E5780" w:rsidRPr="00E70565">
        <w:rPr>
          <w:lang w:val="fr-CA"/>
        </w:rPr>
        <w:t>, à 9 h 45 HE. Cette liste pourrait changer.</w:t>
      </w:r>
    </w:p>
    <w:p w:rsidR="001838E0" w:rsidRPr="00E70565" w:rsidRDefault="001838E0" w:rsidP="009B14F4">
      <w:pPr>
        <w:widowControl w:val="0"/>
        <w:jc w:val="both"/>
        <w:rPr>
          <w:sz w:val="20"/>
          <w:lang w:val="fr-CA"/>
        </w:rPr>
      </w:pPr>
    </w:p>
    <w:p w:rsidR="00ED252B" w:rsidRPr="00E70565" w:rsidRDefault="00ED252B" w:rsidP="009B14F4">
      <w:pPr>
        <w:widowControl w:val="0"/>
        <w:jc w:val="both"/>
        <w:rPr>
          <w:sz w:val="20"/>
          <w:lang w:val="fr-CA"/>
        </w:rPr>
      </w:pPr>
    </w:p>
    <w:p w:rsidR="0078790C" w:rsidRPr="00E70565" w:rsidRDefault="0078790C" w:rsidP="0078790C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  <w:szCs w:val="20"/>
        </w:rPr>
      </w:pPr>
      <w:r w:rsidRPr="00E70565">
        <w:rPr>
          <w:i/>
          <w:sz w:val="20"/>
          <w:szCs w:val="20"/>
        </w:rPr>
        <w:t xml:space="preserve">Nicholas Villeneuve </w:t>
      </w:r>
      <w:r w:rsidR="000F4A98" w:rsidRPr="00E70565">
        <w:rPr>
          <w:i/>
          <w:sz w:val="20"/>
          <w:szCs w:val="20"/>
        </w:rPr>
        <w:t>c</w:t>
      </w:r>
      <w:r w:rsidRPr="00E70565">
        <w:rPr>
          <w:i/>
          <w:sz w:val="20"/>
          <w:szCs w:val="20"/>
        </w:rPr>
        <w:t xml:space="preserve">. </w:t>
      </w:r>
      <w:r w:rsidR="00763FFE">
        <w:rPr>
          <w:i/>
          <w:sz w:val="20"/>
          <w:szCs w:val="20"/>
        </w:rPr>
        <w:t>Sa</w:t>
      </w:r>
      <w:r w:rsidRPr="00E70565">
        <w:rPr>
          <w:i/>
          <w:sz w:val="20"/>
          <w:szCs w:val="20"/>
        </w:rPr>
        <w:t xml:space="preserve"> Majest</w:t>
      </w:r>
      <w:r w:rsidR="00763FFE">
        <w:rPr>
          <w:i/>
          <w:sz w:val="20"/>
          <w:szCs w:val="20"/>
        </w:rPr>
        <w:t>é</w:t>
      </w:r>
      <w:r w:rsidRPr="00E70565">
        <w:rPr>
          <w:i/>
          <w:sz w:val="20"/>
          <w:szCs w:val="20"/>
        </w:rPr>
        <w:t xml:space="preserve"> </w:t>
      </w:r>
      <w:r w:rsidR="00763FFE">
        <w:rPr>
          <w:i/>
          <w:sz w:val="20"/>
          <w:szCs w:val="20"/>
        </w:rPr>
        <w:t>le</w:t>
      </w:r>
      <w:r w:rsidRPr="00E70565">
        <w:rPr>
          <w:i/>
          <w:sz w:val="20"/>
          <w:szCs w:val="20"/>
        </w:rPr>
        <w:t xml:space="preserve"> </w:t>
      </w:r>
      <w:r w:rsidR="00763FFE">
        <w:rPr>
          <w:i/>
          <w:sz w:val="20"/>
          <w:szCs w:val="20"/>
        </w:rPr>
        <w:t>Roi</w:t>
      </w:r>
      <w:r w:rsidRPr="00E70565">
        <w:rPr>
          <w:sz w:val="20"/>
          <w:szCs w:val="20"/>
        </w:rPr>
        <w:t xml:space="preserve"> (</w:t>
      </w:r>
      <w:r w:rsidR="00583F30" w:rsidRPr="00E70565">
        <w:rPr>
          <w:sz w:val="20"/>
          <w:szCs w:val="20"/>
        </w:rPr>
        <w:t>T.-</w:t>
      </w:r>
      <w:r w:rsidRPr="00E70565">
        <w:rPr>
          <w:sz w:val="20"/>
          <w:szCs w:val="20"/>
        </w:rPr>
        <w:t>N.</w:t>
      </w:r>
      <w:r w:rsidR="00583F30" w:rsidRPr="00E70565">
        <w:rPr>
          <w:sz w:val="20"/>
          <w:szCs w:val="20"/>
        </w:rPr>
        <w:t>-</w:t>
      </w:r>
      <w:r w:rsidRPr="00E70565">
        <w:rPr>
          <w:sz w:val="20"/>
          <w:szCs w:val="20"/>
        </w:rPr>
        <w:t>L.) (Crimin</w:t>
      </w:r>
      <w:r w:rsidR="00583F30" w:rsidRPr="00E70565">
        <w:rPr>
          <w:sz w:val="20"/>
          <w:szCs w:val="20"/>
        </w:rPr>
        <w:t>elle</w:t>
      </w:r>
      <w:r w:rsidRPr="00E70565">
        <w:rPr>
          <w:sz w:val="20"/>
          <w:szCs w:val="20"/>
        </w:rPr>
        <w:t>) (</w:t>
      </w:r>
      <w:r w:rsidR="00583F30" w:rsidRPr="00E70565">
        <w:rPr>
          <w:sz w:val="20"/>
          <w:szCs w:val="20"/>
        </w:rPr>
        <w:t>Autorisation</w:t>
      </w:r>
      <w:r w:rsidRPr="00E70565">
        <w:rPr>
          <w:sz w:val="20"/>
          <w:szCs w:val="20"/>
        </w:rPr>
        <w:t>)</w:t>
      </w:r>
      <w:r w:rsidRPr="00E70565">
        <w:rPr>
          <w:sz w:val="20"/>
        </w:rPr>
        <w:t xml:space="preserve"> (</w:t>
      </w:r>
      <w:hyperlink r:id="rId15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0841</w:t>
        </w:r>
      </w:hyperlink>
      <w:r w:rsidRPr="00E70565">
        <w:rPr>
          <w:sz w:val="20"/>
        </w:rPr>
        <w:t>)</w:t>
      </w:r>
    </w:p>
    <w:p w:rsidR="0078790C" w:rsidRPr="00E70565" w:rsidRDefault="0078790C" w:rsidP="0078790C">
      <w:pPr>
        <w:ind w:left="357" w:hanging="357"/>
        <w:rPr>
          <w:sz w:val="20"/>
          <w:lang w:eastAsia="en-CA"/>
        </w:rPr>
      </w:pPr>
    </w:p>
    <w:p w:rsidR="0078790C" w:rsidRPr="00E70565" w:rsidRDefault="0078790C" w:rsidP="0078790C">
      <w:pPr>
        <w:pStyle w:val="ListParagraph"/>
        <w:numPr>
          <w:ilvl w:val="0"/>
          <w:numId w:val="21"/>
        </w:numPr>
        <w:ind w:left="357" w:hanging="357"/>
        <w:contextualSpacing w:val="0"/>
        <w:rPr>
          <w:i/>
          <w:sz w:val="20"/>
        </w:rPr>
      </w:pPr>
      <w:r w:rsidRPr="00E70565">
        <w:rPr>
          <w:i/>
          <w:sz w:val="20"/>
        </w:rPr>
        <w:t xml:space="preserve">Jim Neilas, Chad Martin, et al. </w:t>
      </w:r>
      <w:r w:rsidR="000F4A98" w:rsidRPr="00E70565">
        <w:rPr>
          <w:i/>
          <w:sz w:val="20"/>
        </w:rPr>
        <w:t>c</w:t>
      </w:r>
      <w:r w:rsidRPr="00E70565">
        <w:rPr>
          <w:i/>
          <w:sz w:val="20"/>
        </w:rPr>
        <w:t>. Maureen Ferraro, et al.</w:t>
      </w:r>
      <w:r w:rsidRPr="00E70565">
        <w:rPr>
          <w:sz w:val="20"/>
        </w:rPr>
        <w:t xml:space="preserve"> (Ont.) (Civil</w:t>
      </w:r>
      <w:r w:rsidR="00583F30" w:rsidRPr="00E70565">
        <w:rPr>
          <w:sz w:val="20"/>
        </w:rPr>
        <w:t>e</w:t>
      </w:r>
      <w:r w:rsidRPr="00E70565">
        <w:rPr>
          <w:sz w:val="20"/>
        </w:rPr>
        <w:t>) (</w:t>
      </w:r>
      <w:r w:rsidR="00583F30" w:rsidRPr="00E70565">
        <w:rPr>
          <w:sz w:val="20"/>
        </w:rPr>
        <w:t>Autorisation</w:t>
      </w:r>
      <w:r w:rsidRPr="00E70565">
        <w:rPr>
          <w:sz w:val="20"/>
        </w:rPr>
        <w:t>)</w:t>
      </w:r>
      <w:r w:rsidRPr="00E70565">
        <w:rPr>
          <w:sz w:val="20"/>
          <w:lang w:eastAsia="en-CA"/>
        </w:rPr>
        <w:t xml:space="preserve"> </w:t>
      </w:r>
      <w:r w:rsidRPr="00E70565">
        <w:rPr>
          <w:sz w:val="20"/>
        </w:rPr>
        <w:t>(</w:t>
      </w:r>
      <w:hyperlink r:id="rId16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0811</w:t>
        </w:r>
      </w:hyperlink>
      <w:r w:rsidRPr="00E70565">
        <w:rPr>
          <w:sz w:val="20"/>
        </w:rPr>
        <w:t>)</w:t>
      </w:r>
    </w:p>
    <w:p w:rsidR="0078790C" w:rsidRPr="00E70565" w:rsidRDefault="0078790C" w:rsidP="0078790C">
      <w:pPr>
        <w:ind w:left="357" w:hanging="357"/>
        <w:rPr>
          <w:sz w:val="20"/>
          <w:lang w:eastAsia="en-CA"/>
        </w:rPr>
      </w:pPr>
    </w:p>
    <w:p w:rsidR="0078790C" w:rsidRPr="00E70565" w:rsidRDefault="0078790C" w:rsidP="0078790C">
      <w:pPr>
        <w:pStyle w:val="ListParagraph"/>
        <w:numPr>
          <w:ilvl w:val="0"/>
          <w:numId w:val="21"/>
        </w:numPr>
        <w:ind w:left="357" w:hanging="357"/>
        <w:contextualSpacing w:val="0"/>
        <w:rPr>
          <w:i/>
          <w:sz w:val="20"/>
          <w:szCs w:val="20"/>
        </w:rPr>
      </w:pPr>
      <w:r w:rsidRPr="00E70565">
        <w:rPr>
          <w:i/>
          <w:sz w:val="20"/>
          <w:szCs w:val="20"/>
        </w:rPr>
        <w:t xml:space="preserve">Martin Green </w:t>
      </w:r>
      <w:r w:rsidR="000F4A98" w:rsidRPr="00E70565">
        <w:rPr>
          <w:i/>
          <w:sz w:val="20"/>
          <w:szCs w:val="20"/>
        </w:rPr>
        <w:t>c</w:t>
      </w:r>
      <w:r w:rsidRPr="00E70565">
        <w:rPr>
          <w:i/>
          <w:sz w:val="20"/>
          <w:szCs w:val="20"/>
        </w:rPr>
        <w:t>. University of Winnipeg</w:t>
      </w:r>
      <w:r w:rsidRPr="00E70565">
        <w:rPr>
          <w:sz w:val="20"/>
          <w:szCs w:val="20"/>
        </w:rPr>
        <w:t xml:space="preserve"> (Man.) (Civil</w:t>
      </w:r>
      <w:r w:rsidR="00583F30" w:rsidRPr="00E70565">
        <w:rPr>
          <w:sz w:val="20"/>
          <w:szCs w:val="20"/>
        </w:rPr>
        <w:t>e</w:t>
      </w:r>
      <w:r w:rsidRPr="00E70565">
        <w:rPr>
          <w:sz w:val="20"/>
          <w:szCs w:val="20"/>
        </w:rPr>
        <w:t>) (</w:t>
      </w:r>
      <w:r w:rsidR="00583F30" w:rsidRPr="00E70565">
        <w:rPr>
          <w:sz w:val="20"/>
          <w:szCs w:val="20"/>
        </w:rPr>
        <w:t>Autorisation</w:t>
      </w:r>
      <w:r w:rsidRPr="00E70565">
        <w:rPr>
          <w:sz w:val="20"/>
          <w:szCs w:val="20"/>
        </w:rPr>
        <w:t>)</w:t>
      </w:r>
      <w:r w:rsidRPr="00E70565">
        <w:rPr>
          <w:sz w:val="20"/>
        </w:rPr>
        <w:t xml:space="preserve"> (</w:t>
      </w:r>
      <w:hyperlink r:id="rId17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0942</w:t>
        </w:r>
      </w:hyperlink>
      <w:r w:rsidRPr="00E70565">
        <w:rPr>
          <w:sz w:val="20"/>
        </w:rPr>
        <w:t>)</w:t>
      </w:r>
    </w:p>
    <w:p w:rsidR="0078790C" w:rsidRPr="00E70565" w:rsidRDefault="0078790C" w:rsidP="0078790C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78790C" w:rsidRPr="00E70565" w:rsidRDefault="0078790C" w:rsidP="0078790C">
      <w:pPr>
        <w:pStyle w:val="ListParagraph"/>
        <w:numPr>
          <w:ilvl w:val="0"/>
          <w:numId w:val="21"/>
        </w:numPr>
        <w:ind w:left="357" w:hanging="357"/>
        <w:contextualSpacing w:val="0"/>
        <w:rPr>
          <w:i/>
          <w:sz w:val="20"/>
          <w:szCs w:val="20"/>
          <w:lang w:val="en-CA"/>
        </w:rPr>
      </w:pPr>
      <w:r w:rsidRPr="00E70565">
        <w:rPr>
          <w:i/>
          <w:sz w:val="20"/>
          <w:szCs w:val="20"/>
          <w:lang w:val="en-CA"/>
        </w:rPr>
        <w:t xml:space="preserve">Tibor Uhrik </w:t>
      </w:r>
      <w:r w:rsidR="000F4A98" w:rsidRPr="00E70565">
        <w:rPr>
          <w:i/>
          <w:sz w:val="20"/>
          <w:szCs w:val="20"/>
          <w:lang w:val="en-CA"/>
        </w:rPr>
        <w:t>c</w:t>
      </w:r>
      <w:r w:rsidRPr="00E70565">
        <w:rPr>
          <w:i/>
          <w:sz w:val="20"/>
          <w:szCs w:val="20"/>
          <w:lang w:val="en-CA"/>
        </w:rPr>
        <w:t xml:space="preserve">. Antonietta Terrigno </w:t>
      </w:r>
      <w:r w:rsidRPr="00E70565">
        <w:rPr>
          <w:sz w:val="20"/>
          <w:szCs w:val="20"/>
          <w:lang w:val="en-CA"/>
        </w:rPr>
        <w:t>(Al</w:t>
      </w:r>
      <w:r w:rsidR="00583F30" w:rsidRPr="00E70565">
        <w:rPr>
          <w:sz w:val="20"/>
          <w:szCs w:val="20"/>
          <w:lang w:val="en-CA"/>
        </w:rPr>
        <w:t>b</w:t>
      </w:r>
      <w:r w:rsidRPr="00E70565">
        <w:rPr>
          <w:sz w:val="20"/>
          <w:szCs w:val="20"/>
          <w:lang w:val="en-CA"/>
        </w:rPr>
        <w:t>.) (Civil</w:t>
      </w:r>
      <w:r w:rsidR="00583F30" w:rsidRPr="00E70565">
        <w:rPr>
          <w:sz w:val="20"/>
          <w:szCs w:val="20"/>
          <w:lang w:val="en-CA"/>
        </w:rPr>
        <w:t>e</w:t>
      </w:r>
      <w:r w:rsidRPr="00E70565">
        <w:rPr>
          <w:sz w:val="20"/>
          <w:szCs w:val="20"/>
          <w:lang w:val="en-CA"/>
        </w:rPr>
        <w:t>) (</w:t>
      </w:r>
      <w:r w:rsidR="00583F30" w:rsidRPr="00E70565">
        <w:rPr>
          <w:sz w:val="20"/>
          <w:szCs w:val="20"/>
          <w:lang w:val="en-CA"/>
        </w:rPr>
        <w:t>Autorisation</w:t>
      </w:r>
      <w:r w:rsidRPr="00E70565">
        <w:rPr>
          <w:sz w:val="20"/>
          <w:szCs w:val="20"/>
          <w:lang w:val="en-CA"/>
        </w:rPr>
        <w:t xml:space="preserve">) </w:t>
      </w:r>
      <w:r w:rsidRPr="00E70565">
        <w:rPr>
          <w:sz w:val="20"/>
        </w:rPr>
        <w:t>(</w:t>
      </w:r>
      <w:hyperlink r:id="rId18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0648</w:t>
        </w:r>
      </w:hyperlink>
      <w:r w:rsidRPr="00E70565">
        <w:rPr>
          <w:sz w:val="20"/>
        </w:rPr>
        <w:t>)</w:t>
      </w:r>
    </w:p>
    <w:p w:rsidR="0078790C" w:rsidRPr="00E70565" w:rsidRDefault="0078790C" w:rsidP="0078790C">
      <w:pPr>
        <w:pStyle w:val="ListParagraph"/>
        <w:ind w:left="357" w:hanging="357"/>
        <w:contextualSpacing w:val="0"/>
        <w:rPr>
          <w:i/>
          <w:sz w:val="20"/>
          <w:szCs w:val="20"/>
          <w:lang w:val="en-CA"/>
        </w:rPr>
      </w:pPr>
    </w:p>
    <w:p w:rsidR="0078790C" w:rsidRPr="00E70565" w:rsidRDefault="0078790C" w:rsidP="00494458">
      <w:pPr>
        <w:pStyle w:val="ListParagraph"/>
        <w:numPr>
          <w:ilvl w:val="0"/>
          <w:numId w:val="21"/>
        </w:numPr>
        <w:ind w:left="357" w:hanging="357"/>
        <w:contextualSpacing w:val="0"/>
        <w:rPr>
          <w:sz w:val="20"/>
          <w:szCs w:val="20"/>
          <w:lang w:eastAsia="en-CA"/>
        </w:rPr>
      </w:pPr>
      <w:r w:rsidRPr="00E70565">
        <w:rPr>
          <w:i/>
          <w:sz w:val="20"/>
          <w:szCs w:val="20"/>
          <w:lang w:val="en-CA"/>
        </w:rPr>
        <w:t xml:space="preserve">Norman Klassen </w:t>
      </w:r>
      <w:r w:rsidR="000F4A98" w:rsidRPr="00E70565">
        <w:rPr>
          <w:i/>
          <w:sz w:val="20"/>
          <w:szCs w:val="20"/>
          <w:lang w:val="en-CA"/>
        </w:rPr>
        <w:t>c</w:t>
      </w:r>
      <w:r w:rsidRPr="00E70565">
        <w:rPr>
          <w:i/>
          <w:sz w:val="20"/>
          <w:szCs w:val="20"/>
          <w:lang w:val="en-CA"/>
        </w:rPr>
        <w:t xml:space="preserve">. </w:t>
      </w:r>
      <w:r w:rsidR="00494458" w:rsidRPr="00494458">
        <w:rPr>
          <w:i/>
          <w:sz w:val="20"/>
          <w:szCs w:val="20"/>
          <w:lang w:val="en-CA"/>
        </w:rPr>
        <w:t xml:space="preserve">La Compagnie des chemins de fer nationaux du Canada </w:t>
      </w:r>
      <w:r w:rsidRPr="00E70565">
        <w:rPr>
          <w:sz w:val="20"/>
          <w:szCs w:val="20"/>
          <w:lang w:val="en-CA"/>
        </w:rPr>
        <w:t>(Al</w:t>
      </w:r>
      <w:r w:rsidR="000F4A98" w:rsidRPr="00E70565">
        <w:rPr>
          <w:sz w:val="20"/>
          <w:szCs w:val="20"/>
          <w:lang w:val="en-CA"/>
        </w:rPr>
        <w:t>b</w:t>
      </w:r>
      <w:r w:rsidRPr="00E70565">
        <w:rPr>
          <w:sz w:val="20"/>
          <w:szCs w:val="20"/>
          <w:lang w:val="en-CA"/>
        </w:rPr>
        <w:t>.) (Civil</w:t>
      </w:r>
      <w:r w:rsidR="000F4A98" w:rsidRPr="00E70565">
        <w:rPr>
          <w:sz w:val="20"/>
          <w:szCs w:val="20"/>
          <w:lang w:val="en-CA"/>
        </w:rPr>
        <w:t>e)</w:t>
      </w:r>
      <w:r w:rsidRPr="00E70565">
        <w:rPr>
          <w:sz w:val="20"/>
          <w:szCs w:val="20"/>
          <w:lang w:val="en-CA"/>
        </w:rPr>
        <w:t xml:space="preserve"> (</w:t>
      </w:r>
      <w:r w:rsidR="000F4A98" w:rsidRPr="00E70565">
        <w:rPr>
          <w:sz w:val="20"/>
          <w:szCs w:val="20"/>
          <w:lang w:val="en-CA"/>
        </w:rPr>
        <w:t>Autorisation</w:t>
      </w:r>
      <w:r w:rsidRPr="00E70565">
        <w:rPr>
          <w:sz w:val="20"/>
          <w:szCs w:val="20"/>
          <w:lang w:val="en-CA"/>
        </w:rPr>
        <w:t xml:space="preserve">) </w:t>
      </w:r>
      <w:r w:rsidRPr="00E70565">
        <w:rPr>
          <w:sz w:val="20"/>
        </w:rPr>
        <w:t>(</w:t>
      </w:r>
      <w:hyperlink r:id="rId19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0836</w:t>
        </w:r>
      </w:hyperlink>
      <w:r w:rsidRPr="00E70565">
        <w:rPr>
          <w:sz w:val="20"/>
        </w:rPr>
        <w:t>)</w:t>
      </w:r>
      <w:bookmarkStart w:id="0" w:name="_GoBack"/>
      <w:bookmarkEnd w:id="0"/>
    </w:p>
    <w:p w:rsidR="0078790C" w:rsidRPr="00E70565" w:rsidRDefault="0078790C" w:rsidP="0078790C">
      <w:pPr>
        <w:widowControl w:val="0"/>
        <w:ind w:left="357" w:hanging="357"/>
        <w:rPr>
          <w:sz w:val="20"/>
        </w:rPr>
      </w:pPr>
    </w:p>
    <w:p w:rsidR="0078790C" w:rsidRPr="00E70565" w:rsidRDefault="0078790C" w:rsidP="0078790C">
      <w:pPr>
        <w:pStyle w:val="SCCLsocParty"/>
        <w:numPr>
          <w:ilvl w:val="0"/>
          <w:numId w:val="21"/>
        </w:numPr>
        <w:ind w:left="357" w:hanging="357"/>
        <w:jc w:val="left"/>
        <w:rPr>
          <w:i/>
          <w:sz w:val="20"/>
          <w:szCs w:val="20"/>
        </w:rPr>
      </w:pPr>
      <w:r w:rsidRPr="00E70565">
        <w:rPr>
          <w:i/>
          <w:sz w:val="20"/>
          <w:szCs w:val="20"/>
        </w:rPr>
        <w:t xml:space="preserve">GlycoBioSciences Inc. </w:t>
      </w:r>
      <w:r w:rsidR="000F4A98" w:rsidRPr="00E70565">
        <w:rPr>
          <w:i/>
          <w:sz w:val="20"/>
          <w:szCs w:val="20"/>
        </w:rPr>
        <w:t>c</w:t>
      </w:r>
      <w:r w:rsidRPr="00E70565">
        <w:rPr>
          <w:i/>
          <w:sz w:val="20"/>
          <w:szCs w:val="20"/>
        </w:rPr>
        <w:t>. Herrero and Associates</w:t>
      </w:r>
      <w:r w:rsidRPr="00E70565">
        <w:rPr>
          <w:sz w:val="20"/>
          <w:szCs w:val="20"/>
        </w:rPr>
        <w:t xml:space="preserve"> (Ont.) (Civil</w:t>
      </w:r>
      <w:r w:rsidR="000F4A98" w:rsidRPr="00E70565">
        <w:rPr>
          <w:sz w:val="20"/>
          <w:szCs w:val="20"/>
        </w:rPr>
        <w:t>e</w:t>
      </w:r>
      <w:r w:rsidRPr="00E70565">
        <w:rPr>
          <w:sz w:val="20"/>
          <w:szCs w:val="20"/>
        </w:rPr>
        <w:t>) (</w:t>
      </w:r>
      <w:r w:rsidR="000F4A98" w:rsidRPr="00E70565">
        <w:rPr>
          <w:sz w:val="20"/>
          <w:szCs w:val="20"/>
        </w:rPr>
        <w:t>Autorisation</w:t>
      </w:r>
      <w:r w:rsidRPr="00E70565">
        <w:rPr>
          <w:sz w:val="20"/>
          <w:szCs w:val="20"/>
        </w:rPr>
        <w:t xml:space="preserve">) </w:t>
      </w:r>
      <w:r w:rsidRPr="00E70565">
        <w:rPr>
          <w:sz w:val="20"/>
        </w:rPr>
        <w:t>(</w:t>
      </w:r>
      <w:hyperlink r:id="rId20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0813</w:t>
        </w:r>
      </w:hyperlink>
      <w:r w:rsidRPr="00E70565">
        <w:rPr>
          <w:sz w:val="20"/>
        </w:rPr>
        <w:t>)</w:t>
      </w:r>
    </w:p>
    <w:p w:rsidR="0078790C" w:rsidRPr="00E70565" w:rsidRDefault="0078790C" w:rsidP="0078790C">
      <w:pPr>
        <w:ind w:left="357" w:hanging="357"/>
        <w:rPr>
          <w:sz w:val="20"/>
          <w:lang w:val="en-CA"/>
        </w:rPr>
      </w:pPr>
    </w:p>
    <w:p w:rsidR="0078790C" w:rsidRPr="00E70565" w:rsidRDefault="0078790C" w:rsidP="0078790C">
      <w:pPr>
        <w:pStyle w:val="SCCLsocParty"/>
        <w:numPr>
          <w:ilvl w:val="0"/>
          <w:numId w:val="21"/>
        </w:numPr>
        <w:ind w:left="357" w:hanging="357"/>
        <w:jc w:val="left"/>
        <w:rPr>
          <w:i/>
          <w:sz w:val="20"/>
          <w:szCs w:val="20"/>
        </w:rPr>
      </w:pPr>
      <w:r w:rsidRPr="00E70565">
        <w:rPr>
          <w:i/>
          <w:sz w:val="20"/>
          <w:szCs w:val="20"/>
        </w:rPr>
        <w:t xml:space="preserve">Satinder Paul Singh Dhillon, et al. </w:t>
      </w:r>
      <w:r w:rsidR="000F4A98" w:rsidRPr="00E70565">
        <w:rPr>
          <w:i/>
          <w:sz w:val="20"/>
          <w:szCs w:val="20"/>
        </w:rPr>
        <w:t>c</w:t>
      </w:r>
      <w:r w:rsidRPr="00E70565">
        <w:rPr>
          <w:i/>
          <w:sz w:val="20"/>
          <w:szCs w:val="20"/>
        </w:rPr>
        <w:t>. Michael Vincent Morancie Robertson, et al.</w:t>
      </w:r>
      <w:r w:rsidRPr="00E70565">
        <w:rPr>
          <w:sz w:val="20"/>
          <w:szCs w:val="20"/>
        </w:rPr>
        <w:t xml:space="preserve"> (</w:t>
      </w:r>
      <w:r w:rsidR="000F4A98" w:rsidRPr="00E70565">
        <w:rPr>
          <w:sz w:val="20"/>
          <w:szCs w:val="20"/>
        </w:rPr>
        <w:t>C</w:t>
      </w:r>
      <w:r w:rsidRPr="00E70565">
        <w:rPr>
          <w:sz w:val="20"/>
          <w:szCs w:val="20"/>
        </w:rPr>
        <w:t>.</w:t>
      </w:r>
      <w:r w:rsidR="000F4A98" w:rsidRPr="00E70565">
        <w:rPr>
          <w:sz w:val="20"/>
          <w:szCs w:val="20"/>
        </w:rPr>
        <w:t>-B</w:t>
      </w:r>
      <w:r w:rsidRPr="00E70565">
        <w:rPr>
          <w:sz w:val="20"/>
          <w:szCs w:val="20"/>
        </w:rPr>
        <w:t>.) (Civil</w:t>
      </w:r>
      <w:r w:rsidR="000F4A98" w:rsidRPr="00E70565">
        <w:rPr>
          <w:sz w:val="20"/>
          <w:szCs w:val="20"/>
        </w:rPr>
        <w:t>e</w:t>
      </w:r>
      <w:r w:rsidRPr="00E70565">
        <w:rPr>
          <w:sz w:val="20"/>
          <w:szCs w:val="20"/>
        </w:rPr>
        <w:t>) (</w:t>
      </w:r>
      <w:r w:rsidR="000F4A98" w:rsidRPr="00E70565">
        <w:rPr>
          <w:sz w:val="20"/>
          <w:szCs w:val="20"/>
        </w:rPr>
        <w:t>Autorisation</w:t>
      </w:r>
      <w:r w:rsidRPr="00E70565">
        <w:rPr>
          <w:sz w:val="20"/>
          <w:szCs w:val="20"/>
        </w:rPr>
        <w:t xml:space="preserve">) </w:t>
      </w:r>
      <w:r w:rsidRPr="00E70565">
        <w:rPr>
          <w:sz w:val="20"/>
        </w:rPr>
        <w:t>(</w:t>
      </w:r>
      <w:hyperlink r:id="rId21" w:history="1">
        <w:r w:rsidRPr="00E70565">
          <w:rPr>
            <w:rStyle w:val="Hyperlink"/>
            <w:sz w:val="20"/>
            <w:szCs w:val="20"/>
          </w:rPr>
          <w:t>4</w:t>
        </w:r>
        <w:r w:rsidRPr="00E70565">
          <w:rPr>
            <w:rStyle w:val="Hyperlink"/>
            <w:sz w:val="20"/>
          </w:rPr>
          <w:t>0819</w:t>
        </w:r>
      </w:hyperlink>
      <w:r w:rsidRPr="00E70565">
        <w:rPr>
          <w:sz w:val="20"/>
        </w:rPr>
        <w:t>)</w:t>
      </w:r>
    </w:p>
    <w:p w:rsidR="00ED252B" w:rsidRPr="00E70565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E70565" w:rsidRDefault="00494458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E70565" w:rsidRDefault="005C7161" w:rsidP="006A22CA">
      <w:pPr>
        <w:ind w:left="142" w:hanging="142"/>
        <w:jc w:val="both"/>
        <w:rPr>
          <w:sz w:val="20"/>
        </w:rPr>
      </w:pPr>
    </w:p>
    <w:p w:rsidR="008361E5" w:rsidRPr="00E70565" w:rsidRDefault="008361E5" w:rsidP="006A22CA">
      <w:pPr>
        <w:ind w:left="142" w:hanging="142"/>
        <w:jc w:val="both"/>
        <w:rPr>
          <w:sz w:val="20"/>
        </w:rPr>
      </w:pPr>
    </w:p>
    <w:p w:rsidR="007216F1" w:rsidRPr="00E70565" w:rsidRDefault="007216F1" w:rsidP="006A22CA">
      <w:pPr>
        <w:ind w:left="142" w:hanging="142"/>
        <w:jc w:val="both"/>
        <w:rPr>
          <w:sz w:val="20"/>
        </w:rPr>
      </w:pPr>
    </w:p>
    <w:p w:rsidR="008361E5" w:rsidRPr="00E70565" w:rsidRDefault="008361E5" w:rsidP="008361E5">
      <w:pPr>
        <w:widowControl w:val="0"/>
        <w:outlineLvl w:val="0"/>
      </w:pPr>
      <w:r w:rsidRPr="00E70565">
        <w:t xml:space="preserve">Supreme Court of Canada / Cour suprême du </w:t>
      </w:r>
      <w:proofErr w:type="gramStart"/>
      <w:r w:rsidRPr="00E70565">
        <w:t>Canada :</w:t>
      </w:r>
      <w:proofErr w:type="gramEnd"/>
    </w:p>
    <w:p w:rsidR="006436AA" w:rsidRPr="00E70565" w:rsidRDefault="00494458" w:rsidP="006436AA">
      <w:pPr>
        <w:widowControl w:val="0"/>
        <w:outlineLvl w:val="0"/>
      </w:pPr>
      <w:hyperlink r:id="rId22" w:history="1">
        <w:r w:rsidR="006436AA" w:rsidRPr="00E70565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E70565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7"/>
  </w:num>
  <w:num w:numId="5">
    <w:abstractNumId w:val="2"/>
  </w:num>
  <w:num w:numId="6">
    <w:abstractNumId w:val="18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0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  <w:num w:numId="17">
    <w:abstractNumId w:val="16"/>
  </w:num>
  <w:num w:numId="18">
    <w:abstractNumId w:val="14"/>
  </w:num>
  <w:num w:numId="19">
    <w:abstractNumId w:val="4"/>
  </w:num>
  <w:num w:numId="20">
    <w:abstractNumId w:val="13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1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41" TargetMode="External"/><Relationship Id="rId13" Type="http://schemas.openxmlformats.org/officeDocument/2006/relationships/hyperlink" Target="https://www.scc-csc.ca/case-dossier/info/sum-som-eng.aspx?cas=40813" TargetMode="External"/><Relationship Id="rId18" Type="http://schemas.openxmlformats.org/officeDocument/2006/relationships/hyperlink" Target="https://www.scc-csc.ca/case-dossier/info/sum-som-fra.aspx?cas=40648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8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836" TargetMode="External"/><Relationship Id="rId17" Type="http://schemas.openxmlformats.org/officeDocument/2006/relationships/hyperlink" Target="https://www.scc-csc.ca/case-dossier/info/sum-som-fra.aspx?cas=409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811" TargetMode="External"/><Relationship Id="rId20" Type="http://schemas.openxmlformats.org/officeDocument/2006/relationships/hyperlink" Target="https://www.scc-csc.ca/case-dossier/info/sum-som-fra.aspx?cas=408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648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84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cc-csc.ca/case-dossier/info/sum-som-eng.aspx?cas=40942" TargetMode="External"/><Relationship Id="rId19" Type="http://schemas.openxmlformats.org/officeDocument/2006/relationships/hyperlink" Target="https://www.scc-csc.ca/case-dossier/info/sum-som-fra.aspx?cas=40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11" TargetMode="External"/><Relationship Id="rId14" Type="http://schemas.openxmlformats.org/officeDocument/2006/relationships/hyperlink" Target="https://www.scc-csc.ca/case-dossier/info/sum-som-eng.aspx?cas=40819" TargetMode="External"/><Relationship Id="rId22" Type="http://schemas.openxmlformats.org/officeDocument/2006/relationships/hyperlink" Target="mailto:Registry-greffe@scc-csc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D392-F852-4A55-828B-AFC3B4C7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3142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2024-01-16T14:05:00Z</dcterms:modified>
</cp:coreProperties>
</file>