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37766" w:rsidRDefault="002A192B" w:rsidP="002A192B">
      <w:pPr>
        <w:pStyle w:val="Header"/>
        <w:jc w:val="center"/>
        <w:rPr>
          <w:b/>
          <w:sz w:val="32"/>
        </w:rPr>
      </w:pPr>
      <w:r w:rsidRPr="00437766">
        <w:rPr>
          <w:b/>
          <w:sz w:val="32"/>
        </w:rPr>
        <w:t>Supreme Court of Canada / Cour suprême du Canada</w:t>
      </w:r>
    </w:p>
    <w:p w:rsidR="002A192B" w:rsidRPr="00437766" w:rsidRDefault="002A192B" w:rsidP="002A192B">
      <w:pPr>
        <w:widowControl w:val="0"/>
        <w:rPr>
          <w:i/>
        </w:rPr>
      </w:pPr>
    </w:p>
    <w:p w:rsidR="002A192B" w:rsidRPr="00437766" w:rsidRDefault="002A192B" w:rsidP="002A192B">
      <w:pPr>
        <w:widowControl w:val="0"/>
        <w:rPr>
          <w:i/>
        </w:rPr>
      </w:pPr>
    </w:p>
    <w:p w:rsidR="001C4415" w:rsidRPr="00437766" w:rsidRDefault="001C4415" w:rsidP="001C4415">
      <w:pPr>
        <w:widowControl w:val="0"/>
        <w:rPr>
          <w:i/>
          <w:sz w:val="20"/>
        </w:rPr>
      </w:pPr>
      <w:r w:rsidRPr="00437766">
        <w:rPr>
          <w:i/>
          <w:sz w:val="20"/>
        </w:rPr>
        <w:t>(</w:t>
      </w:r>
      <w:r w:rsidR="003C50BF" w:rsidRPr="00437766">
        <w:rPr>
          <w:i/>
          <w:sz w:val="20"/>
        </w:rPr>
        <w:t>Le</w:t>
      </w:r>
      <w:r w:rsidRPr="00437766">
        <w:rPr>
          <w:i/>
          <w:sz w:val="20"/>
        </w:rPr>
        <w:t xml:space="preserve"> français suit)</w:t>
      </w:r>
    </w:p>
    <w:p w:rsidR="001C4415" w:rsidRPr="00437766" w:rsidRDefault="001C4415" w:rsidP="001C4415">
      <w:pPr>
        <w:widowControl w:val="0"/>
      </w:pPr>
    </w:p>
    <w:p w:rsidR="001C4415" w:rsidRPr="00437766" w:rsidRDefault="000347C1" w:rsidP="00214729">
      <w:pPr>
        <w:widowControl w:val="0"/>
        <w:jc w:val="center"/>
        <w:rPr>
          <w:b/>
        </w:rPr>
      </w:pPr>
      <w:r w:rsidRPr="00437766">
        <w:fldChar w:fldCharType="begin"/>
      </w:r>
      <w:r w:rsidR="00FA7412" w:rsidRPr="00437766">
        <w:instrText xml:space="preserve"> SEQ CHAPTER \h \r 1</w:instrText>
      </w:r>
      <w:r w:rsidRPr="00437766">
        <w:fldChar w:fldCharType="end"/>
      </w:r>
      <w:r w:rsidR="00455BB9" w:rsidRPr="00437766">
        <w:rPr>
          <w:b/>
        </w:rPr>
        <w:t>JUDGMENT</w:t>
      </w:r>
      <w:r w:rsidR="00FA7412" w:rsidRPr="00437766">
        <w:rPr>
          <w:b/>
        </w:rPr>
        <w:t xml:space="preserve"> TO BE RENDERED </w:t>
      </w:r>
      <w:r w:rsidR="00E43F22" w:rsidRPr="00437766">
        <w:rPr>
          <w:b/>
        </w:rPr>
        <w:t>O</w:t>
      </w:r>
      <w:r w:rsidR="00FA7412" w:rsidRPr="00437766">
        <w:rPr>
          <w:b/>
        </w:rPr>
        <w:t>N APPEA</w:t>
      </w:r>
      <w:r w:rsidR="00CC2799" w:rsidRPr="00437766">
        <w:rPr>
          <w:b/>
        </w:rPr>
        <w:t>L</w:t>
      </w:r>
    </w:p>
    <w:p w:rsidR="005A7C1B" w:rsidRPr="00437766" w:rsidRDefault="005A7C1B" w:rsidP="005A7C1B">
      <w:pPr>
        <w:widowControl w:val="0"/>
      </w:pPr>
    </w:p>
    <w:p w:rsidR="00EC79B0" w:rsidRPr="00437766" w:rsidRDefault="0007592D" w:rsidP="00EC79B0">
      <w:pPr>
        <w:widowControl w:val="0"/>
      </w:pPr>
      <w:r w:rsidRPr="00437766">
        <w:rPr>
          <w:b/>
        </w:rPr>
        <w:t>February</w:t>
      </w:r>
      <w:r w:rsidR="00C86395" w:rsidRPr="00437766">
        <w:rPr>
          <w:b/>
        </w:rPr>
        <w:t xml:space="preserve"> </w:t>
      </w:r>
      <w:r w:rsidR="009F4BF8" w:rsidRPr="00437766">
        <w:rPr>
          <w:b/>
        </w:rPr>
        <w:t>2</w:t>
      </w:r>
      <w:r w:rsidR="00EC79B0" w:rsidRPr="00437766">
        <w:rPr>
          <w:b/>
        </w:rPr>
        <w:t>, 2</w:t>
      </w:r>
      <w:r w:rsidR="00E6600C" w:rsidRPr="00437766">
        <w:rPr>
          <w:b/>
        </w:rPr>
        <w:t>0</w:t>
      </w:r>
      <w:r w:rsidR="009544E9" w:rsidRPr="00437766">
        <w:rPr>
          <w:b/>
        </w:rPr>
        <w:t>2</w:t>
      </w:r>
      <w:r w:rsidR="00DF5260" w:rsidRPr="00437766">
        <w:rPr>
          <w:b/>
        </w:rPr>
        <w:t>4</w:t>
      </w:r>
    </w:p>
    <w:p w:rsidR="00EC79B0" w:rsidRPr="00437766" w:rsidRDefault="00EC79B0" w:rsidP="00EC79B0">
      <w:pPr>
        <w:widowControl w:val="0"/>
      </w:pPr>
    </w:p>
    <w:p w:rsidR="00EC79B0" w:rsidRPr="00437766" w:rsidRDefault="00EC79B0" w:rsidP="00EC79B0">
      <w:pPr>
        <w:widowControl w:val="0"/>
      </w:pPr>
      <w:r w:rsidRPr="00437766">
        <w:rPr>
          <w:b/>
        </w:rPr>
        <w:t>OTTAWA</w:t>
      </w:r>
      <w:r w:rsidRPr="00437766">
        <w:t xml:space="preserve"> – </w:t>
      </w:r>
      <w:r w:rsidR="0095505F" w:rsidRPr="00437766">
        <w:t xml:space="preserve">The Supreme Court of Canada will deliver its judgment on the following appeal at 9:45 a.m. ET on Friday, </w:t>
      </w:r>
      <w:r w:rsidR="009366C1" w:rsidRPr="00437766">
        <w:t>Februa</w:t>
      </w:r>
      <w:r w:rsidR="00DF5260" w:rsidRPr="00437766">
        <w:t>ry</w:t>
      </w:r>
      <w:r w:rsidR="0095505F" w:rsidRPr="00437766">
        <w:t xml:space="preserve"> </w:t>
      </w:r>
      <w:r w:rsidR="0007592D" w:rsidRPr="00437766">
        <w:t>9</w:t>
      </w:r>
      <w:r w:rsidR="0095505F" w:rsidRPr="00437766">
        <w:t>, 202</w:t>
      </w:r>
      <w:r w:rsidR="00DF5260" w:rsidRPr="00437766">
        <w:t>4</w:t>
      </w:r>
      <w:r w:rsidR="0095505F" w:rsidRPr="00437766">
        <w:t>.</w:t>
      </w:r>
    </w:p>
    <w:p w:rsidR="004A0109" w:rsidRPr="00437766" w:rsidRDefault="004A0109" w:rsidP="001C4415">
      <w:pPr>
        <w:widowControl w:val="0"/>
        <w:rPr>
          <w:szCs w:val="24"/>
        </w:rPr>
      </w:pPr>
    </w:p>
    <w:p w:rsidR="004A0109" w:rsidRPr="00437766" w:rsidRDefault="004A0109" w:rsidP="001C4415">
      <w:pPr>
        <w:widowControl w:val="0"/>
        <w:rPr>
          <w:szCs w:val="24"/>
        </w:rPr>
      </w:pPr>
    </w:p>
    <w:p w:rsidR="00A63AD0" w:rsidRPr="00437766" w:rsidRDefault="00CD3D01" w:rsidP="00A63AD0">
      <w:pPr>
        <w:jc w:val="both"/>
        <w:rPr>
          <w:szCs w:val="24"/>
          <w:lang w:val="fr-CA"/>
        </w:rPr>
      </w:pPr>
      <w:r w:rsidRPr="00437766">
        <w:rPr>
          <w:i/>
          <w:szCs w:val="24"/>
          <w:lang w:val="fr-CA"/>
        </w:rPr>
        <w:t xml:space="preserve">Attorney General of Québec, et al. </w:t>
      </w:r>
      <w:proofErr w:type="gramStart"/>
      <w:r w:rsidRPr="00437766">
        <w:rPr>
          <w:i/>
          <w:szCs w:val="24"/>
          <w:lang w:val="fr-CA"/>
        </w:rPr>
        <w:t>v</w:t>
      </w:r>
      <w:proofErr w:type="gramEnd"/>
      <w:r w:rsidRPr="00437766">
        <w:rPr>
          <w:i/>
          <w:szCs w:val="24"/>
          <w:lang w:val="fr-CA"/>
        </w:rPr>
        <w:t>. Attorney General of Canada, et al.</w:t>
      </w:r>
      <w:r w:rsidR="000C3CE9" w:rsidRPr="00437766">
        <w:rPr>
          <w:i/>
          <w:szCs w:val="24"/>
          <w:lang w:val="fr-CA"/>
        </w:rPr>
        <w:t xml:space="preserve"> </w:t>
      </w:r>
      <w:r w:rsidR="00A63AD0" w:rsidRPr="00437766">
        <w:rPr>
          <w:szCs w:val="24"/>
          <w:lang w:val="fr-CA"/>
        </w:rPr>
        <w:t>(</w:t>
      </w:r>
      <w:r w:rsidR="008B47CB" w:rsidRPr="00437766">
        <w:rPr>
          <w:szCs w:val="24"/>
          <w:lang w:val="fr-CA"/>
        </w:rPr>
        <w:t>Que</w:t>
      </w:r>
      <w:r w:rsidR="000C3CE9" w:rsidRPr="00437766">
        <w:rPr>
          <w:szCs w:val="24"/>
          <w:lang w:val="fr-CA"/>
        </w:rPr>
        <w:t>.</w:t>
      </w:r>
      <w:r w:rsidR="00A63AD0" w:rsidRPr="00437766">
        <w:rPr>
          <w:szCs w:val="24"/>
          <w:lang w:val="fr-CA"/>
        </w:rPr>
        <w:t>) (</w:t>
      </w:r>
      <w:hyperlink r:id="rId7" w:history="1">
        <w:r w:rsidR="000C3CE9" w:rsidRPr="00437766">
          <w:rPr>
            <w:rStyle w:val="Hyperlink"/>
            <w:szCs w:val="24"/>
            <w:lang w:val="fr-CA"/>
          </w:rPr>
          <w:t>400</w:t>
        </w:r>
        <w:r w:rsidR="008B47CB" w:rsidRPr="00437766">
          <w:rPr>
            <w:rStyle w:val="Hyperlink"/>
            <w:szCs w:val="24"/>
            <w:lang w:val="fr-CA"/>
          </w:rPr>
          <w:t>61</w:t>
        </w:r>
      </w:hyperlink>
      <w:r w:rsidR="00A63AD0" w:rsidRPr="00437766">
        <w:rPr>
          <w:szCs w:val="24"/>
          <w:lang w:val="fr-CA"/>
        </w:rPr>
        <w:t>)</w:t>
      </w:r>
    </w:p>
    <w:p w:rsidR="00A63AD0" w:rsidRPr="00437766" w:rsidRDefault="00A63AD0" w:rsidP="00A63AD0">
      <w:pPr>
        <w:jc w:val="both"/>
        <w:rPr>
          <w:sz w:val="20"/>
          <w:lang w:val="fr-CA"/>
        </w:rPr>
      </w:pPr>
    </w:p>
    <w:p w:rsidR="00275149" w:rsidRPr="00437766" w:rsidRDefault="00275149" w:rsidP="00435386">
      <w:pPr>
        <w:widowControl w:val="0"/>
        <w:tabs>
          <w:tab w:val="left" w:pos="720"/>
        </w:tabs>
        <w:ind w:left="2160" w:hanging="2160"/>
        <w:jc w:val="both"/>
        <w:rPr>
          <w:b/>
          <w:i/>
          <w:sz w:val="20"/>
          <w:lang w:val="en-CA"/>
        </w:rPr>
      </w:pPr>
      <w:r w:rsidRPr="00437766">
        <w:rPr>
          <w:b/>
          <w:sz w:val="20"/>
          <w:lang w:val="en-CA"/>
        </w:rPr>
        <w:t>40061</w:t>
      </w:r>
      <w:r w:rsidRPr="00437766">
        <w:rPr>
          <w:sz w:val="20"/>
          <w:lang w:val="en-CA"/>
        </w:rPr>
        <w:fldChar w:fldCharType="begin"/>
      </w:r>
      <w:r w:rsidRPr="00437766">
        <w:rPr>
          <w:sz w:val="20"/>
          <w:lang w:val="en-CA"/>
        </w:rPr>
        <w:instrText xml:space="preserve"> SEQ CHAPTER \h \r 1</w:instrText>
      </w:r>
      <w:r w:rsidRPr="00437766">
        <w:rPr>
          <w:sz w:val="20"/>
          <w:lang w:val="en-CA"/>
        </w:rPr>
        <w:fldChar w:fldCharType="end"/>
      </w:r>
      <w:r w:rsidRPr="00437766">
        <w:rPr>
          <w:sz w:val="20"/>
          <w:lang w:val="en-CA"/>
        </w:rPr>
        <w:tab/>
      </w:r>
      <w:r w:rsidRPr="00437766">
        <w:rPr>
          <w:b/>
          <w:i/>
          <w:sz w:val="20"/>
          <w:lang w:val="en-CA"/>
        </w:rPr>
        <w:t>Attorney General of Quebec v. Attorney General of Canada</w:t>
      </w:r>
      <w:r w:rsidR="00513E54" w:rsidRPr="00437766">
        <w:rPr>
          <w:b/>
          <w:i/>
          <w:sz w:val="20"/>
          <w:lang w:val="en-CA"/>
        </w:rPr>
        <w:t>,</w:t>
      </w:r>
      <w:r w:rsidRPr="00437766">
        <w:rPr>
          <w:b/>
          <w:i/>
          <w:sz w:val="20"/>
          <w:lang w:val="en-CA"/>
        </w:rPr>
        <w:t xml:space="preserve"> et al. </w:t>
      </w:r>
    </w:p>
    <w:p w:rsidR="00275149" w:rsidRPr="00437766" w:rsidRDefault="00275149" w:rsidP="00435386">
      <w:pPr>
        <w:widowControl w:val="0"/>
        <w:tabs>
          <w:tab w:val="left" w:pos="720"/>
        </w:tabs>
        <w:ind w:left="2160" w:hanging="2160"/>
        <w:jc w:val="both"/>
        <w:rPr>
          <w:sz w:val="20"/>
          <w:lang w:val="en-CA"/>
        </w:rPr>
      </w:pPr>
      <w:r w:rsidRPr="00437766">
        <w:rPr>
          <w:b/>
          <w:sz w:val="20"/>
          <w:lang w:val="en-CA"/>
        </w:rPr>
        <w:tab/>
      </w:r>
      <w:r w:rsidRPr="00437766">
        <w:rPr>
          <w:sz w:val="20"/>
          <w:lang w:val="en-CA"/>
        </w:rPr>
        <w:t>(Quebec) (Civil) (As of Right)</w:t>
      </w:r>
    </w:p>
    <w:p w:rsidR="00275149" w:rsidRPr="00437766" w:rsidRDefault="00275149">
      <w:pPr>
        <w:widowControl w:val="0"/>
        <w:jc w:val="both"/>
        <w:rPr>
          <w:sz w:val="20"/>
          <w:lang w:val="en-CA"/>
        </w:rPr>
      </w:pPr>
    </w:p>
    <w:p w:rsidR="00275149" w:rsidRPr="00437766" w:rsidRDefault="00275149" w:rsidP="001D6C7A">
      <w:pPr>
        <w:widowControl w:val="0"/>
        <w:jc w:val="both"/>
        <w:rPr>
          <w:sz w:val="20"/>
          <w:lang w:val="en-CA"/>
        </w:rPr>
      </w:pPr>
      <w:r w:rsidRPr="00437766">
        <w:rPr>
          <w:sz w:val="20"/>
          <w:lang w:val="en-CA"/>
        </w:rPr>
        <w:t>Constitutional law — Division of powers — Pith and substance — Aboriginal peoples — Aboriginal rights — Self</w:t>
      </w:r>
      <w:r w:rsidRPr="00437766">
        <w:rPr>
          <w:sz w:val="20"/>
          <w:lang w:val="en-CA"/>
        </w:rPr>
        <w:noBreakHyphen/>
        <w:t xml:space="preserve">government — Child and family services — Whether </w:t>
      </w:r>
      <w:r w:rsidRPr="00437766">
        <w:rPr>
          <w:i/>
          <w:sz w:val="20"/>
          <w:lang w:val="en-CA"/>
        </w:rPr>
        <w:t>An Act respecting First Nations, Inuit and Métis children, youth and families</w:t>
      </w:r>
      <w:r w:rsidRPr="00437766">
        <w:rPr>
          <w:sz w:val="20"/>
          <w:lang w:val="en-CA"/>
        </w:rPr>
        <w:t xml:space="preserve">, S.C. 2019, c. 24, is </w:t>
      </w:r>
      <w:r w:rsidRPr="00437766">
        <w:rPr>
          <w:i/>
          <w:sz w:val="20"/>
          <w:lang w:val="en-CA"/>
        </w:rPr>
        <w:t>ultra vires</w:t>
      </w:r>
      <w:r w:rsidRPr="00437766">
        <w:rPr>
          <w:sz w:val="20"/>
          <w:lang w:val="en-CA"/>
        </w:rPr>
        <w:t xml:space="preserve"> Parliament of Canada under Constitution of Canada — </w:t>
      </w:r>
      <w:r w:rsidRPr="00437766">
        <w:rPr>
          <w:i/>
          <w:sz w:val="20"/>
          <w:lang w:val="en-CA"/>
        </w:rPr>
        <w:t>Constitution Act, 1867</w:t>
      </w:r>
      <w:r w:rsidRPr="00437766">
        <w:rPr>
          <w:sz w:val="20"/>
          <w:lang w:val="en-CA"/>
        </w:rPr>
        <w:t xml:space="preserve">, s. 91(24) — </w:t>
      </w:r>
      <w:r w:rsidRPr="00437766">
        <w:rPr>
          <w:i/>
          <w:sz w:val="20"/>
          <w:lang w:val="en-CA"/>
        </w:rPr>
        <w:t>Constitution Act, 1982</w:t>
      </w:r>
      <w:r w:rsidRPr="00437766">
        <w:rPr>
          <w:sz w:val="20"/>
          <w:lang w:val="en-CA"/>
        </w:rPr>
        <w:t>, s. 35.</w:t>
      </w:r>
    </w:p>
    <w:p w:rsidR="00275149" w:rsidRPr="00437766" w:rsidRDefault="00275149">
      <w:pPr>
        <w:widowControl w:val="0"/>
        <w:jc w:val="both"/>
        <w:rPr>
          <w:sz w:val="20"/>
          <w:lang w:val="en-CA"/>
        </w:rPr>
      </w:pPr>
    </w:p>
    <w:p w:rsidR="00275149" w:rsidRPr="00437766" w:rsidRDefault="00275149">
      <w:pPr>
        <w:widowControl w:val="0"/>
        <w:jc w:val="both"/>
        <w:rPr>
          <w:sz w:val="20"/>
          <w:lang w:val="en-CA"/>
        </w:rPr>
      </w:pPr>
      <w:r w:rsidRPr="00437766">
        <w:rPr>
          <w:sz w:val="20"/>
          <w:lang w:val="en-CA"/>
        </w:rPr>
        <w:t>By Order in Council 1288</w:t>
      </w:r>
      <w:r w:rsidRPr="00437766">
        <w:rPr>
          <w:sz w:val="20"/>
          <w:lang w:val="en-CA"/>
        </w:rPr>
        <w:noBreakHyphen/>
        <w:t>2019 of December 18, 2019, the Quebec government submitted the following question to the Quebec Court of Appeal:</w:t>
      </w:r>
    </w:p>
    <w:p w:rsidR="00275149" w:rsidRPr="00437766" w:rsidRDefault="00275149">
      <w:pPr>
        <w:widowControl w:val="0"/>
        <w:jc w:val="both"/>
        <w:rPr>
          <w:sz w:val="20"/>
          <w:lang w:val="en-CA"/>
        </w:rPr>
      </w:pPr>
    </w:p>
    <w:p w:rsidR="00275149" w:rsidRPr="00437766" w:rsidRDefault="00275149" w:rsidP="005505A0">
      <w:pPr>
        <w:widowControl w:val="0"/>
        <w:ind w:left="360"/>
        <w:jc w:val="both"/>
        <w:rPr>
          <w:sz w:val="20"/>
          <w:lang w:val="en-CA"/>
        </w:rPr>
      </w:pPr>
      <w:r w:rsidRPr="00437766">
        <w:rPr>
          <w:sz w:val="20"/>
          <w:lang w:val="en-CA"/>
        </w:rPr>
        <w:t xml:space="preserve">Is </w:t>
      </w:r>
      <w:r w:rsidRPr="00437766">
        <w:rPr>
          <w:i/>
          <w:sz w:val="20"/>
          <w:lang w:val="en-CA"/>
        </w:rPr>
        <w:t>An Act respecting First Nations, Inuit and Métis children, youth and families</w:t>
      </w:r>
      <w:r w:rsidRPr="00437766">
        <w:rPr>
          <w:sz w:val="20"/>
          <w:lang w:val="en-CA"/>
        </w:rPr>
        <w:t xml:space="preserve">, S.C. 2019, c. 24, </w:t>
      </w:r>
      <w:r w:rsidRPr="00437766">
        <w:rPr>
          <w:i/>
          <w:sz w:val="20"/>
          <w:lang w:val="en-CA"/>
        </w:rPr>
        <w:t>ultra vires</w:t>
      </w:r>
      <w:r w:rsidRPr="00437766">
        <w:rPr>
          <w:sz w:val="20"/>
          <w:lang w:val="en-CA"/>
        </w:rPr>
        <w:t xml:space="preserve"> the Parliament of Canada under the Constitution of Canada?</w:t>
      </w:r>
    </w:p>
    <w:p w:rsidR="00275149" w:rsidRPr="00437766" w:rsidRDefault="00275149" w:rsidP="00D400BF">
      <w:pPr>
        <w:widowControl w:val="0"/>
        <w:jc w:val="both"/>
        <w:rPr>
          <w:sz w:val="20"/>
          <w:lang w:val="en-CA"/>
        </w:rPr>
      </w:pPr>
    </w:p>
    <w:p w:rsidR="00275149" w:rsidRPr="00437766" w:rsidRDefault="00275149" w:rsidP="005823D0">
      <w:pPr>
        <w:widowControl w:val="0"/>
        <w:jc w:val="both"/>
        <w:rPr>
          <w:sz w:val="20"/>
          <w:lang w:val="en-CA"/>
        </w:rPr>
      </w:pPr>
      <w:r w:rsidRPr="00437766">
        <w:rPr>
          <w:sz w:val="20"/>
          <w:lang w:val="en-CA"/>
        </w:rPr>
        <w:t>The Court of Appeal answered that the Act, which came into force on January 1, 2020, is constitutional, except for ss. 21 and 22(3), which are not. It found that the pith and substance of the Act is to ensure the well</w:t>
      </w:r>
      <w:r w:rsidRPr="00437766">
        <w:rPr>
          <w:sz w:val="20"/>
          <w:lang w:val="en-CA"/>
        </w:rPr>
        <w:noBreakHyphen/>
        <w:t>being of Indigenous children by fostering culturally appropriate services that will reduce their over</w:t>
      </w:r>
      <w:r w:rsidRPr="00437766">
        <w:rPr>
          <w:sz w:val="20"/>
          <w:lang w:val="en-CA"/>
        </w:rPr>
        <w:noBreakHyphen/>
        <w:t>representation in provincial child welfare systems. The well</w:t>
      </w:r>
      <w:r w:rsidRPr="00437766">
        <w:rPr>
          <w:sz w:val="20"/>
          <w:lang w:val="en-CA"/>
        </w:rPr>
        <w:noBreakHyphen/>
        <w:t xml:space="preserve">being of Indigenous persons is part of the essence of the federal head of power set out in s. 91(24) of the </w:t>
      </w:r>
      <w:r w:rsidRPr="00437766">
        <w:rPr>
          <w:i/>
          <w:sz w:val="20"/>
          <w:lang w:val="en-CA"/>
        </w:rPr>
        <w:t>Constitution Act, 1867</w:t>
      </w:r>
      <w:r w:rsidRPr="00437766">
        <w:rPr>
          <w:sz w:val="20"/>
          <w:lang w:val="en-CA"/>
        </w:rPr>
        <w:t>, and the national principles stated in general terms in the Act are compatible with Quebec’s child welfare legislation. The Court of Appeal also held that the right of self</w:t>
      </w:r>
      <w:r w:rsidRPr="00437766">
        <w:rPr>
          <w:sz w:val="20"/>
          <w:lang w:val="en-CA"/>
        </w:rPr>
        <w:noBreakHyphen/>
        <w:t xml:space="preserve">government in relation to child and family services falls within s. 35 of the </w:t>
      </w:r>
      <w:r w:rsidRPr="00437766">
        <w:rPr>
          <w:i/>
          <w:sz w:val="20"/>
          <w:lang w:val="en-CA"/>
        </w:rPr>
        <w:t>Constitution Act, 1982</w:t>
      </w:r>
      <w:r w:rsidRPr="00437766">
        <w:rPr>
          <w:sz w:val="20"/>
          <w:lang w:val="en-CA"/>
        </w:rPr>
        <w:t xml:space="preserve">. Examining the framework established by the Act for circumscribing the exercise of this generic Aboriginal right, the court found that the aim of s. 21 is to make the doctrine of federal paramountcy applicable to Indigenous laws. Because this alters the fundamental architecture of the Constitution, s. 21 is </w:t>
      </w:r>
      <w:r w:rsidRPr="00437766">
        <w:rPr>
          <w:i/>
          <w:sz w:val="20"/>
          <w:lang w:val="en-CA"/>
        </w:rPr>
        <w:t>ultra vires</w:t>
      </w:r>
      <w:r w:rsidRPr="00437766">
        <w:rPr>
          <w:sz w:val="20"/>
          <w:lang w:val="en-CA"/>
        </w:rPr>
        <w:t xml:space="preserve">. The same is true of s. 22(3), which provides that Indigenous laws prevail over any conflicting or inconsistent provisions of provincial legislation. Section 91(24) of the </w:t>
      </w:r>
      <w:r w:rsidRPr="00437766">
        <w:rPr>
          <w:i/>
          <w:sz w:val="20"/>
          <w:lang w:val="en-CA"/>
        </w:rPr>
        <w:t>Constitution Act, 1867</w:t>
      </w:r>
      <w:r w:rsidRPr="00437766">
        <w:rPr>
          <w:sz w:val="20"/>
          <w:lang w:val="en-CA"/>
        </w:rPr>
        <w:t xml:space="preserve"> does not authorize Parliament to give absolute priority to an Aboriginal right.</w:t>
      </w:r>
    </w:p>
    <w:p w:rsidR="00A97E61" w:rsidRPr="00437766" w:rsidRDefault="00A97E61" w:rsidP="001C4415">
      <w:pPr>
        <w:widowControl w:val="0"/>
        <w:rPr>
          <w:szCs w:val="24"/>
        </w:rPr>
      </w:pPr>
    </w:p>
    <w:p w:rsidR="006009E0" w:rsidRPr="00437766" w:rsidRDefault="006009E0" w:rsidP="001C4415">
      <w:pPr>
        <w:widowControl w:val="0"/>
        <w:rPr>
          <w:szCs w:val="24"/>
        </w:rPr>
      </w:pPr>
    </w:p>
    <w:p w:rsidR="00A97E61" w:rsidRPr="00437766" w:rsidRDefault="00437766" w:rsidP="001C4415">
      <w:pPr>
        <w:widowControl w:val="0"/>
        <w:rPr>
          <w:szCs w:val="24"/>
          <w:lang w:val="fr-CA"/>
        </w:rPr>
      </w:pPr>
      <w:r w:rsidRPr="00437766">
        <w:rPr>
          <w:sz w:val="18"/>
          <w:szCs w:val="18"/>
        </w:rPr>
        <w:pict>
          <v:rect id="_x0000_i1025" style="width:272.25pt;height:1.5pt" o:hrpct="0" o:hralign="center" o:hrstd="t" o:hrnoshade="t" o:hr="t" fillcolor="black [3213]" stroked="f"/>
        </w:pict>
      </w:r>
    </w:p>
    <w:p w:rsidR="00A97E61" w:rsidRPr="00437766" w:rsidRDefault="00A97E61" w:rsidP="001C4415">
      <w:pPr>
        <w:widowControl w:val="0"/>
        <w:rPr>
          <w:szCs w:val="24"/>
          <w:lang w:val="fr-CA"/>
        </w:rPr>
      </w:pPr>
    </w:p>
    <w:p w:rsidR="001C4415" w:rsidRPr="00437766" w:rsidRDefault="001C4415" w:rsidP="001C4415">
      <w:pPr>
        <w:widowControl w:val="0"/>
        <w:rPr>
          <w:lang w:val="fr-CA"/>
        </w:rPr>
      </w:pPr>
    </w:p>
    <w:p w:rsidR="001335A1" w:rsidRPr="00437766" w:rsidRDefault="001335A1" w:rsidP="001335A1">
      <w:pPr>
        <w:widowControl w:val="0"/>
        <w:jc w:val="center"/>
        <w:rPr>
          <w:b/>
          <w:lang w:val="fr-CA"/>
        </w:rPr>
      </w:pPr>
      <w:r w:rsidRPr="00437766">
        <w:rPr>
          <w:b/>
          <w:lang w:val="fr-CA"/>
        </w:rPr>
        <w:t>PROCHAIN JUGEMENT</w:t>
      </w:r>
      <w:r w:rsidR="00455BB9" w:rsidRPr="00437766">
        <w:rPr>
          <w:b/>
          <w:lang w:val="fr-CA"/>
        </w:rPr>
        <w:t xml:space="preserve"> SUR APPEL</w:t>
      </w:r>
    </w:p>
    <w:p w:rsidR="001335A1" w:rsidRPr="00437766" w:rsidRDefault="001335A1" w:rsidP="001335A1">
      <w:pPr>
        <w:widowControl w:val="0"/>
        <w:rPr>
          <w:lang w:val="fr-CA"/>
        </w:rPr>
      </w:pPr>
    </w:p>
    <w:p w:rsidR="00EC79B0" w:rsidRPr="00437766" w:rsidRDefault="00EC79B0" w:rsidP="00EC79B0">
      <w:pPr>
        <w:widowControl w:val="0"/>
        <w:rPr>
          <w:lang w:val="fr-CA"/>
        </w:rPr>
      </w:pPr>
      <w:r w:rsidRPr="00437766">
        <w:rPr>
          <w:b/>
          <w:lang w:val="fr-CA"/>
        </w:rPr>
        <w:t xml:space="preserve">Le </w:t>
      </w:r>
      <w:r w:rsidR="009F4BF8" w:rsidRPr="00437766">
        <w:rPr>
          <w:b/>
          <w:lang w:val="fr-CA"/>
        </w:rPr>
        <w:t>2</w:t>
      </w:r>
      <w:r w:rsidR="00DF5260" w:rsidRPr="00437766">
        <w:rPr>
          <w:b/>
          <w:lang w:val="fr-CA"/>
        </w:rPr>
        <w:t xml:space="preserve"> </w:t>
      </w:r>
      <w:r w:rsidR="0007592D" w:rsidRPr="00437766">
        <w:rPr>
          <w:b/>
          <w:lang w:val="fr-CA"/>
        </w:rPr>
        <w:t>févr</w:t>
      </w:r>
      <w:r w:rsidR="00DF5260" w:rsidRPr="00437766">
        <w:rPr>
          <w:b/>
          <w:lang w:val="fr-CA"/>
        </w:rPr>
        <w:t>ier</w:t>
      </w:r>
      <w:r w:rsidR="00C86395" w:rsidRPr="00437766">
        <w:rPr>
          <w:b/>
          <w:lang w:val="fr-CA"/>
        </w:rPr>
        <w:t xml:space="preserve"> </w:t>
      </w:r>
      <w:r w:rsidR="0086609D" w:rsidRPr="00437766">
        <w:rPr>
          <w:b/>
          <w:lang w:val="fr-CA"/>
        </w:rPr>
        <w:t>20</w:t>
      </w:r>
      <w:r w:rsidR="009544E9" w:rsidRPr="00437766">
        <w:rPr>
          <w:b/>
          <w:lang w:val="fr-CA"/>
        </w:rPr>
        <w:t>2</w:t>
      </w:r>
      <w:r w:rsidR="00DF5260" w:rsidRPr="00437766">
        <w:rPr>
          <w:b/>
          <w:lang w:val="fr-CA"/>
        </w:rPr>
        <w:t>4</w:t>
      </w:r>
    </w:p>
    <w:p w:rsidR="00EC79B0" w:rsidRPr="00437766" w:rsidRDefault="00EC79B0" w:rsidP="00EC79B0">
      <w:pPr>
        <w:widowControl w:val="0"/>
        <w:rPr>
          <w:lang w:val="fr-CA"/>
        </w:rPr>
      </w:pPr>
    </w:p>
    <w:p w:rsidR="00EC79B0" w:rsidRPr="00437766" w:rsidRDefault="00EC79B0" w:rsidP="00EC79B0">
      <w:pPr>
        <w:widowControl w:val="0"/>
        <w:rPr>
          <w:lang w:val="fr-CA"/>
        </w:rPr>
      </w:pPr>
      <w:r w:rsidRPr="00437766">
        <w:rPr>
          <w:b/>
          <w:lang w:val="fr-CA"/>
        </w:rPr>
        <w:t>OTTAWA</w:t>
      </w:r>
      <w:r w:rsidRPr="00437766">
        <w:rPr>
          <w:lang w:val="fr-CA"/>
        </w:rPr>
        <w:t xml:space="preserve"> – </w:t>
      </w:r>
      <w:r w:rsidR="0095505F" w:rsidRPr="00437766">
        <w:rPr>
          <w:lang w:val="fr-CA"/>
        </w:rPr>
        <w:t>La Cour suprême du Canada rendra jugement dans l</w:t>
      </w:r>
      <w:r w:rsidR="0097593C" w:rsidRPr="00437766">
        <w:rPr>
          <w:lang w:val="fr-CA"/>
        </w:rPr>
        <w:t>’</w:t>
      </w:r>
      <w:r w:rsidR="0095505F" w:rsidRPr="00437766">
        <w:rPr>
          <w:lang w:val="fr-CA"/>
        </w:rPr>
        <w:t xml:space="preserve">appel suivant le vendredi </w:t>
      </w:r>
      <w:r w:rsidR="0007592D" w:rsidRPr="00437766">
        <w:rPr>
          <w:lang w:val="fr-CA"/>
        </w:rPr>
        <w:t>9</w:t>
      </w:r>
      <w:r w:rsidR="00234EA1" w:rsidRPr="00437766">
        <w:rPr>
          <w:lang w:val="fr-CA"/>
        </w:rPr>
        <w:t xml:space="preserve"> </w:t>
      </w:r>
      <w:r w:rsidR="009366C1" w:rsidRPr="00437766">
        <w:rPr>
          <w:lang w:val="fr-CA"/>
        </w:rPr>
        <w:t>fé</w:t>
      </w:r>
      <w:r w:rsidR="00DF5260" w:rsidRPr="00437766">
        <w:rPr>
          <w:lang w:val="fr-CA"/>
        </w:rPr>
        <w:t>v</w:t>
      </w:r>
      <w:r w:rsidR="009366C1" w:rsidRPr="00437766">
        <w:rPr>
          <w:lang w:val="fr-CA"/>
        </w:rPr>
        <w:t>r</w:t>
      </w:r>
      <w:r w:rsidR="00DF5260" w:rsidRPr="00437766">
        <w:rPr>
          <w:lang w:val="fr-CA"/>
        </w:rPr>
        <w:t>ier</w:t>
      </w:r>
      <w:r w:rsidR="0095505F" w:rsidRPr="00437766">
        <w:rPr>
          <w:lang w:val="fr-CA"/>
        </w:rPr>
        <w:t xml:space="preserve"> 202</w:t>
      </w:r>
      <w:r w:rsidR="00DF5260" w:rsidRPr="00437766">
        <w:rPr>
          <w:lang w:val="fr-CA"/>
        </w:rPr>
        <w:t>4</w:t>
      </w:r>
      <w:r w:rsidR="0095505F" w:rsidRPr="00437766">
        <w:rPr>
          <w:lang w:val="fr-CA"/>
        </w:rPr>
        <w:t>, à 9 h 45 HE.</w:t>
      </w:r>
    </w:p>
    <w:p w:rsidR="001F76DD" w:rsidRPr="00437766" w:rsidRDefault="001F76DD" w:rsidP="00E92006">
      <w:pPr>
        <w:widowControl w:val="0"/>
        <w:jc w:val="both"/>
        <w:rPr>
          <w:szCs w:val="24"/>
          <w:lang w:val="fr-CA"/>
        </w:rPr>
      </w:pPr>
    </w:p>
    <w:p w:rsidR="004A0109" w:rsidRPr="00437766" w:rsidRDefault="004A0109" w:rsidP="00E92006">
      <w:pPr>
        <w:widowControl w:val="0"/>
        <w:jc w:val="both"/>
        <w:rPr>
          <w:szCs w:val="24"/>
          <w:lang w:val="fr-CA"/>
        </w:rPr>
      </w:pPr>
    </w:p>
    <w:p w:rsidR="00CD1374" w:rsidRPr="00437766" w:rsidRDefault="003A0D78" w:rsidP="00CD1374">
      <w:pPr>
        <w:jc w:val="both"/>
        <w:rPr>
          <w:szCs w:val="24"/>
          <w:lang w:val="fr-CA"/>
        </w:rPr>
      </w:pPr>
      <w:r w:rsidRPr="00437766">
        <w:rPr>
          <w:i/>
          <w:szCs w:val="24"/>
          <w:lang w:val="fr-CA"/>
        </w:rPr>
        <w:lastRenderedPageBreak/>
        <w:t xml:space="preserve">Procureur général du Québec, et al. </w:t>
      </w:r>
      <w:proofErr w:type="gramStart"/>
      <w:r w:rsidRPr="00437766">
        <w:rPr>
          <w:i/>
          <w:szCs w:val="24"/>
          <w:lang w:val="fr-CA"/>
        </w:rPr>
        <w:t>c</w:t>
      </w:r>
      <w:proofErr w:type="gramEnd"/>
      <w:r w:rsidRPr="00437766">
        <w:rPr>
          <w:i/>
          <w:szCs w:val="24"/>
          <w:lang w:val="fr-CA"/>
        </w:rPr>
        <w:t xml:space="preserve">. Procureur général du Canada, et al. </w:t>
      </w:r>
      <w:r w:rsidR="00CD1374" w:rsidRPr="00437766">
        <w:rPr>
          <w:szCs w:val="24"/>
          <w:lang w:val="fr-CA"/>
        </w:rPr>
        <w:t>(</w:t>
      </w:r>
      <w:r w:rsidRPr="00437766">
        <w:rPr>
          <w:szCs w:val="24"/>
          <w:lang w:val="fr-CA"/>
        </w:rPr>
        <w:t>Qc</w:t>
      </w:r>
      <w:r w:rsidR="00CD1374" w:rsidRPr="00437766">
        <w:rPr>
          <w:szCs w:val="24"/>
          <w:lang w:val="fr-CA"/>
        </w:rPr>
        <w:t>) (</w:t>
      </w:r>
      <w:hyperlink r:id="rId8" w:history="1">
        <w:r w:rsidR="000C3CE9" w:rsidRPr="00437766">
          <w:rPr>
            <w:rStyle w:val="Hyperlink"/>
            <w:szCs w:val="24"/>
            <w:lang w:val="fr-CA"/>
          </w:rPr>
          <w:t>400</w:t>
        </w:r>
        <w:r w:rsidRPr="00437766">
          <w:rPr>
            <w:rStyle w:val="Hyperlink"/>
            <w:szCs w:val="24"/>
            <w:lang w:val="fr-CA"/>
          </w:rPr>
          <w:t>61</w:t>
        </w:r>
      </w:hyperlink>
      <w:r w:rsidR="00CD1374" w:rsidRPr="00437766">
        <w:rPr>
          <w:szCs w:val="24"/>
          <w:lang w:val="fr-CA"/>
        </w:rPr>
        <w:t>)</w:t>
      </w:r>
    </w:p>
    <w:p w:rsidR="00CD1374" w:rsidRPr="00437766" w:rsidRDefault="00CD1374" w:rsidP="00CD1374">
      <w:pPr>
        <w:jc w:val="both"/>
        <w:rPr>
          <w:sz w:val="20"/>
          <w:lang w:val="fr-CA"/>
        </w:rPr>
      </w:pPr>
    </w:p>
    <w:p w:rsidR="00275149" w:rsidRPr="00437766" w:rsidRDefault="00275149" w:rsidP="00F7376E">
      <w:pPr>
        <w:widowControl w:val="0"/>
        <w:tabs>
          <w:tab w:val="left" w:pos="720"/>
        </w:tabs>
        <w:ind w:left="2160" w:hanging="2160"/>
        <w:jc w:val="both"/>
        <w:rPr>
          <w:b/>
          <w:i/>
          <w:sz w:val="20"/>
          <w:lang w:val="fr-CA"/>
        </w:rPr>
      </w:pPr>
      <w:bookmarkStart w:id="0" w:name="1"/>
      <w:bookmarkEnd w:id="0"/>
      <w:r w:rsidRPr="00437766">
        <w:rPr>
          <w:b/>
          <w:sz w:val="20"/>
          <w:lang w:val="fr-CA"/>
        </w:rPr>
        <w:t>40061</w:t>
      </w:r>
      <w:r w:rsidRPr="00437766">
        <w:rPr>
          <w:sz w:val="20"/>
          <w:lang w:val="fr-CA"/>
        </w:rPr>
        <w:fldChar w:fldCharType="begin"/>
      </w:r>
      <w:r w:rsidRPr="00437766">
        <w:rPr>
          <w:sz w:val="20"/>
          <w:lang w:val="fr-CA"/>
        </w:rPr>
        <w:instrText xml:space="preserve"> SEQ CHAPTER \h \r 1</w:instrText>
      </w:r>
      <w:r w:rsidRPr="00437766">
        <w:rPr>
          <w:sz w:val="20"/>
        </w:rPr>
        <w:fldChar w:fldCharType="end"/>
      </w:r>
      <w:r w:rsidRPr="00437766">
        <w:rPr>
          <w:sz w:val="20"/>
          <w:lang w:val="fr-CA"/>
        </w:rPr>
        <w:tab/>
      </w:r>
      <w:bookmarkStart w:id="1" w:name="3"/>
      <w:bookmarkEnd w:id="1"/>
      <w:r w:rsidRPr="00437766">
        <w:rPr>
          <w:b/>
          <w:i/>
          <w:sz w:val="20"/>
          <w:lang w:val="fr-CA"/>
        </w:rPr>
        <w:t>Procureur général du Québec c. Procureur général du Canada</w:t>
      </w:r>
      <w:r w:rsidR="00513E54" w:rsidRPr="00437766">
        <w:rPr>
          <w:b/>
          <w:i/>
          <w:sz w:val="20"/>
          <w:lang w:val="fr-CA"/>
        </w:rPr>
        <w:t>,</w:t>
      </w:r>
      <w:r w:rsidRPr="00437766">
        <w:rPr>
          <w:b/>
          <w:i/>
          <w:sz w:val="20"/>
          <w:lang w:val="fr-CA"/>
        </w:rPr>
        <w:t xml:space="preserve"> et al. </w:t>
      </w:r>
    </w:p>
    <w:p w:rsidR="00275149" w:rsidRPr="00437766" w:rsidRDefault="00275149" w:rsidP="00F7376E">
      <w:pPr>
        <w:widowControl w:val="0"/>
        <w:tabs>
          <w:tab w:val="left" w:pos="720"/>
        </w:tabs>
        <w:ind w:left="2160" w:hanging="2160"/>
        <w:jc w:val="both"/>
        <w:rPr>
          <w:sz w:val="20"/>
          <w:lang w:val="fr-CA"/>
        </w:rPr>
      </w:pPr>
      <w:r w:rsidRPr="00437766">
        <w:rPr>
          <w:b/>
          <w:sz w:val="20"/>
          <w:lang w:val="fr-CA"/>
        </w:rPr>
        <w:tab/>
      </w:r>
      <w:r w:rsidRPr="00437766">
        <w:rPr>
          <w:sz w:val="20"/>
          <w:lang w:val="fr-CA"/>
        </w:rPr>
        <w:t>(Québec) (Civile) (De plein droit)</w:t>
      </w:r>
    </w:p>
    <w:p w:rsidR="00275149" w:rsidRPr="00437766" w:rsidRDefault="00275149">
      <w:pPr>
        <w:widowControl w:val="0"/>
        <w:jc w:val="both"/>
        <w:rPr>
          <w:sz w:val="20"/>
          <w:lang w:val="fr-CA"/>
        </w:rPr>
      </w:pPr>
    </w:p>
    <w:p w:rsidR="00275149" w:rsidRPr="00437766" w:rsidRDefault="00275149">
      <w:pPr>
        <w:widowControl w:val="0"/>
        <w:jc w:val="both"/>
        <w:rPr>
          <w:sz w:val="20"/>
          <w:lang w:val="fr-CA"/>
        </w:rPr>
      </w:pPr>
      <w:r w:rsidRPr="00437766">
        <w:rPr>
          <w:sz w:val="20"/>
          <w:lang w:val="fr-CA"/>
        </w:rPr>
        <w:t xml:space="preserve">Droit constitutionnel — Partage des compétences — Caractère véritable — Peuples autochtones — Droits ancestraux — Autonomie gouvernementale — Services à l’enfance et aux familles — La </w:t>
      </w:r>
      <w:r w:rsidRPr="00437766">
        <w:rPr>
          <w:i/>
          <w:sz w:val="20"/>
          <w:lang w:val="fr-CA"/>
        </w:rPr>
        <w:t>Loi concernant les enfants, les jeunes et les familles des Premières nations, des Inuits et des Métis</w:t>
      </w:r>
      <w:r w:rsidRPr="00437766">
        <w:rPr>
          <w:sz w:val="20"/>
          <w:lang w:val="fr-CA"/>
        </w:rPr>
        <w:t>, L.C. 2019, c. 24, est</w:t>
      </w:r>
      <w:r w:rsidRPr="00437766">
        <w:rPr>
          <w:sz w:val="20"/>
          <w:lang w:val="fr-CA"/>
        </w:rPr>
        <w:noBreakHyphen/>
        <w:t xml:space="preserve">elle ultra vires de la compétence du Parlement du Canada en vertu de la Constitution du Canada? — </w:t>
      </w:r>
      <w:r w:rsidRPr="00437766">
        <w:rPr>
          <w:i/>
          <w:sz w:val="20"/>
          <w:lang w:val="fr-CA"/>
        </w:rPr>
        <w:t>Loi constitutionnelle de 1867</w:t>
      </w:r>
      <w:r w:rsidRPr="00437766">
        <w:rPr>
          <w:sz w:val="20"/>
          <w:lang w:val="fr-CA"/>
        </w:rPr>
        <w:t xml:space="preserve">, art. 91(24) — </w:t>
      </w:r>
      <w:r w:rsidRPr="00437766">
        <w:rPr>
          <w:i/>
          <w:sz w:val="20"/>
          <w:lang w:val="fr-CA"/>
        </w:rPr>
        <w:t>Loi constitutionnelle de 1982</w:t>
      </w:r>
      <w:r w:rsidRPr="00437766">
        <w:rPr>
          <w:sz w:val="20"/>
          <w:lang w:val="fr-CA"/>
        </w:rPr>
        <w:t>, art. 35.</w:t>
      </w:r>
    </w:p>
    <w:p w:rsidR="00275149" w:rsidRPr="00437766" w:rsidRDefault="00275149">
      <w:pPr>
        <w:widowControl w:val="0"/>
        <w:jc w:val="both"/>
        <w:rPr>
          <w:sz w:val="20"/>
          <w:lang w:val="fr-CA"/>
        </w:rPr>
      </w:pPr>
    </w:p>
    <w:p w:rsidR="00275149" w:rsidRPr="00437766" w:rsidRDefault="00275149">
      <w:pPr>
        <w:widowControl w:val="0"/>
        <w:jc w:val="both"/>
        <w:rPr>
          <w:sz w:val="20"/>
          <w:lang w:val="fr-CA"/>
        </w:rPr>
      </w:pPr>
      <w:r w:rsidRPr="00437766">
        <w:rPr>
          <w:sz w:val="20"/>
          <w:lang w:val="fr-CA"/>
        </w:rPr>
        <w:t>Par le décret n</w:t>
      </w:r>
      <w:r w:rsidRPr="00437766">
        <w:rPr>
          <w:sz w:val="20"/>
          <w:vertAlign w:val="superscript"/>
          <w:lang w:val="fr-CA"/>
        </w:rPr>
        <w:t>o</w:t>
      </w:r>
      <w:r w:rsidRPr="00437766">
        <w:rPr>
          <w:sz w:val="20"/>
          <w:lang w:val="fr-CA"/>
        </w:rPr>
        <w:t> 1288</w:t>
      </w:r>
      <w:r w:rsidRPr="00437766">
        <w:rPr>
          <w:sz w:val="20"/>
          <w:lang w:val="fr-CA"/>
        </w:rPr>
        <w:noBreakHyphen/>
        <w:t>2019 du 18 décembre 2019, le gouvernement du Québec soumet la question suivante à la Cour d’appel du Québec :</w:t>
      </w:r>
    </w:p>
    <w:p w:rsidR="00275149" w:rsidRPr="00437766" w:rsidRDefault="00275149">
      <w:pPr>
        <w:widowControl w:val="0"/>
        <w:jc w:val="both"/>
        <w:rPr>
          <w:sz w:val="20"/>
          <w:lang w:val="fr-CA"/>
        </w:rPr>
      </w:pPr>
    </w:p>
    <w:p w:rsidR="00275149" w:rsidRPr="00437766" w:rsidRDefault="00275149" w:rsidP="005505A0">
      <w:pPr>
        <w:widowControl w:val="0"/>
        <w:ind w:left="360"/>
        <w:jc w:val="both"/>
        <w:rPr>
          <w:sz w:val="20"/>
          <w:lang w:val="fr-CA"/>
        </w:rPr>
      </w:pPr>
      <w:r w:rsidRPr="00437766">
        <w:rPr>
          <w:sz w:val="20"/>
          <w:lang w:val="fr-CA"/>
        </w:rPr>
        <w:t xml:space="preserve">La </w:t>
      </w:r>
      <w:r w:rsidRPr="00437766">
        <w:rPr>
          <w:i/>
          <w:sz w:val="20"/>
          <w:lang w:val="fr-CA"/>
        </w:rPr>
        <w:t>Loi concernant les enfants, les jeunes et les familles des Premières nations, des Inuits et des Métis</w:t>
      </w:r>
      <w:r w:rsidRPr="00437766">
        <w:rPr>
          <w:sz w:val="20"/>
          <w:lang w:val="fr-CA"/>
        </w:rPr>
        <w:t>, L.C. 2019, c. 24, est</w:t>
      </w:r>
      <w:r w:rsidRPr="00437766">
        <w:rPr>
          <w:sz w:val="20"/>
          <w:lang w:val="fr-CA"/>
        </w:rPr>
        <w:noBreakHyphen/>
        <w:t xml:space="preserve">elle </w:t>
      </w:r>
      <w:r w:rsidRPr="00437766">
        <w:rPr>
          <w:i/>
          <w:sz w:val="20"/>
          <w:lang w:val="fr-CA"/>
        </w:rPr>
        <w:t>ultra vires</w:t>
      </w:r>
      <w:r w:rsidRPr="00437766">
        <w:rPr>
          <w:sz w:val="20"/>
          <w:lang w:val="fr-CA"/>
        </w:rPr>
        <w:t xml:space="preserve"> de la compétence du Parlement du Canada en vertu de la Constitution du Canada?</w:t>
      </w:r>
    </w:p>
    <w:p w:rsidR="00275149" w:rsidRPr="00437766" w:rsidRDefault="00275149" w:rsidP="00D400BF">
      <w:pPr>
        <w:widowControl w:val="0"/>
        <w:jc w:val="both"/>
        <w:rPr>
          <w:sz w:val="20"/>
          <w:lang w:val="fr-CA"/>
        </w:rPr>
      </w:pPr>
    </w:p>
    <w:p w:rsidR="00275149" w:rsidRPr="00437766" w:rsidRDefault="00275149">
      <w:pPr>
        <w:widowControl w:val="0"/>
        <w:jc w:val="both"/>
        <w:rPr>
          <w:sz w:val="20"/>
          <w:lang w:val="fr-CA"/>
        </w:rPr>
      </w:pPr>
      <w:r w:rsidRPr="00437766">
        <w:rPr>
          <w:sz w:val="20"/>
          <w:lang w:val="fr-CA"/>
        </w:rPr>
        <w:t>La Cour d’appel répond que la Loi,</w:t>
      </w:r>
      <w:r w:rsidRPr="00437766">
        <w:rPr>
          <w:i/>
          <w:sz w:val="20"/>
          <w:lang w:val="fr-CA"/>
        </w:rPr>
        <w:t xml:space="preserve"> </w:t>
      </w:r>
      <w:r w:rsidRPr="00437766">
        <w:rPr>
          <w:sz w:val="20"/>
          <w:lang w:val="fr-CA"/>
        </w:rPr>
        <w:t>entrée en vigueur le 1</w:t>
      </w:r>
      <w:r w:rsidRPr="00437766">
        <w:rPr>
          <w:sz w:val="20"/>
          <w:vertAlign w:val="superscript"/>
          <w:lang w:val="fr-CA"/>
        </w:rPr>
        <w:t>er</w:t>
      </w:r>
      <w:r w:rsidRPr="00437766">
        <w:rPr>
          <w:sz w:val="20"/>
          <w:lang w:val="fr-CA"/>
        </w:rPr>
        <w:t xml:space="preserve"> janvier 2020, est constitutionnelle, sauf pour l’art. 21 et le par. 22(3) qui ne le sont pas. Elle retient que le caractère véritable de la Loi est d’assurer le bien</w:t>
      </w:r>
      <w:r w:rsidRPr="00437766">
        <w:rPr>
          <w:sz w:val="20"/>
          <w:lang w:val="fr-CA"/>
        </w:rPr>
        <w:noBreakHyphen/>
        <w:t>être des enfants autochtones en favorisant les services qui sont culturellement adaptés et qui remédieront à leur surreprésentation dans les réseaux provinciaux de protection de l’enfance. Le bien</w:t>
      </w:r>
      <w:r w:rsidRPr="00437766">
        <w:rPr>
          <w:sz w:val="20"/>
          <w:lang w:val="fr-CA"/>
        </w:rPr>
        <w:noBreakHyphen/>
        <w:t xml:space="preserve">être des Autochtones relève de l’essence de la compétence fédérale prévue au par. 91(24) de la </w:t>
      </w:r>
      <w:r w:rsidRPr="00437766">
        <w:rPr>
          <w:i/>
          <w:sz w:val="20"/>
          <w:lang w:val="fr-CA"/>
        </w:rPr>
        <w:t>Loi constitutionnelle de 1867</w:t>
      </w:r>
      <w:r w:rsidRPr="00437766">
        <w:rPr>
          <w:sz w:val="20"/>
          <w:lang w:val="fr-CA"/>
        </w:rPr>
        <w:t xml:space="preserve"> et les principes nationaux formulés en termes généraux dans la Loi sont compatibles avec la législation québécoise sur la protection de l’enfance. La cour conclut également que le droit à l’autonomie gouvernementale en matière de services à l’enfance et aux familles est visé par l’art. 35 de la </w:t>
      </w:r>
      <w:r w:rsidRPr="00437766">
        <w:rPr>
          <w:i/>
          <w:sz w:val="20"/>
          <w:lang w:val="fr-CA"/>
        </w:rPr>
        <w:t>Loi constitutionnelle de 1982</w:t>
      </w:r>
      <w:r w:rsidRPr="00437766">
        <w:rPr>
          <w:sz w:val="20"/>
          <w:lang w:val="fr-CA"/>
        </w:rPr>
        <w:t xml:space="preserve">. </w:t>
      </w:r>
      <w:proofErr w:type="gramStart"/>
      <w:r w:rsidRPr="00437766">
        <w:rPr>
          <w:sz w:val="20"/>
          <w:lang w:val="fr-CA"/>
        </w:rPr>
        <w:t>En</w:t>
      </w:r>
      <w:proofErr w:type="gramEnd"/>
      <w:r w:rsidRPr="00437766">
        <w:rPr>
          <w:sz w:val="20"/>
          <w:lang w:val="fr-CA"/>
        </w:rPr>
        <w:t xml:space="preserve"> examinant le cadre établi par la Loi pour circonscrire l’exercice de ce droit ancestral générique, la cour retient que l’art. 21 a pour but de rendre la doctrine de la prépondérance fédérale applicable à un texte législatif autochtone, modifiant ainsi l’architecture fondamentale de la Constitution, ce qui rend la disposition </w:t>
      </w:r>
      <w:r w:rsidRPr="00437766">
        <w:rPr>
          <w:i/>
          <w:sz w:val="20"/>
          <w:lang w:val="fr-CA"/>
        </w:rPr>
        <w:t>ultra vires</w:t>
      </w:r>
      <w:r w:rsidRPr="00437766">
        <w:rPr>
          <w:sz w:val="20"/>
          <w:lang w:val="fr-CA"/>
        </w:rPr>
        <w:t xml:space="preserve">. Il en est de même pour le par. 22(3), qui </w:t>
      </w:r>
      <w:proofErr w:type="gramStart"/>
      <w:r w:rsidRPr="00437766">
        <w:rPr>
          <w:sz w:val="20"/>
          <w:lang w:val="fr-CA"/>
        </w:rPr>
        <w:t>prévoit</w:t>
      </w:r>
      <w:proofErr w:type="gramEnd"/>
      <w:r w:rsidRPr="00437766">
        <w:rPr>
          <w:sz w:val="20"/>
          <w:lang w:val="fr-CA"/>
        </w:rPr>
        <w:t xml:space="preserve"> que les textes législatifs autochtones l’emportent sur toute disposition incompatible d’une loi provinciale. Le paragraphe 91(24) de la </w:t>
      </w:r>
      <w:r w:rsidRPr="00437766">
        <w:rPr>
          <w:i/>
          <w:sz w:val="20"/>
          <w:lang w:val="fr-CA"/>
        </w:rPr>
        <w:t>Loi constitutionnelle de 1867</w:t>
      </w:r>
      <w:r w:rsidRPr="00437766">
        <w:rPr>
          <w:sz w:val="20"/>
          <w:lang w:val="fr-CA"/>
        </w:rPr>
        <w:t xml:space="preserve"> n’autorise pas le Parlement à conférer une priorité absolue à un droit ancestral.</w:t>
      </w:r>
    </w:p>
    <w:p w:rsidR="00CD14BB" w:rsidRPr="00437766" w:rsidRDefault="00CD14BB" w:rsidP="00CD14BB">
      <w:pPr>
        <w:pStyle w:val="aparanumbering1"/>
        <w:shd w:val="clear" w:color="auto" w:fill="FFFFFF"/>
        <w:spacing w:before="0" w:after="0"/>
        <w:ind w:left="0"/>
        <w:rPr>
          <w:rFonts w:ascii="Times New Roman" w:hAnsi="Times New Roman" w:cs="Times New Roman"/>
          <w:sz w:val="20"/>
          <w:szCs w:val="20"/>
          <w:lang w:val="fr-CA"/>
        </w:rPr>
      </w:pPr>
      <w:bookmarkStart w:id="2" w:name="QuickMark_1"/>
      <w:bookmarkEnd w:id="2"/>
    </w:p>
    <w:p w:rsidR="00EF4622" w:rsidRPr="00437766" w:rsidRDefault="00437766" w:rsidP="00CD14BB">
      <w:pPr>
        <w:pStyle w:val="aparanumbering1"/>
        <w:shd w:val="clear" w:color="auto" w:fill="FFFFFF"/>
        <w:spacing w:before="0" w:after="0"/>
        <w:ind w:left="0"/>
        <w:rPr>
          <w:rFonts w:ascii="Times New Roman" w:hAnsi="Times New Roman" w:cs="Times New Roman"/>
          <w:sz w:val="20"/>
          <w:szCs w:val="20"/>
          <w:lang w:val="fr-CA"/>
        </w:rPr>
      </w:pPr>
      <w:r w:rsidRPr="00437766">
        <w:rPr>
          <w:sz w:val="20"/>
        </w:rPr>
        <w:pict>
          <v:rect id="_x0000_i1026" style="width:2in;height:1pt" o:hrpct="0" o:hralign="center" o:hrstd="t" o:hrnoshade="t" o:hr="t" fillcolor="black [3213]" stroked="f"/>
        </w:pict>
      </w:r>
    </w:p>
    <w:p w:rsidR="00E92006" w:rsidRPr="00437766" w:rsidRDefault="00E92006" w:rsidP="00340C6D">
      <w:pPr>
        <w:jc w:val="both"/>
        <w:rPr>
          <w:sz w:val="20"/>
          <w:lang w:val="fr-CA"/>
        </w:rPr>
      </w:pPr>
    </w:p>
    <w:p w:rsidR="00E92006" w:rsidRPr="00437766" w:rsidRDefault="00E92006" w:rsidP="00340C6D">
      <w:pPr>
        <w:jc w:val="both"/>
        <w:rPr>
          <w:sz w:val="20"/>
          <w:lang w:val="fr-CA"/>
        </w:rPr>
      </w:pPr>
    </w:p>
    <w:p w:rsidR="00072A63" w:rsidRPr="00437766" w:rsidRDefault="00072A63" w:rsidP="00EC79B0">
      <w:pPr>
        <w:jc w:val="both"/>
        <w:rPr>
          <w:sz w:val="20"/>
          <w:lang w:val="fr-CA"/>
        </w:rPr>
      </w:pPr>
    </w:p>
    <w:p w:rsidR="001C4415" w:rsidRPr="00437766" w:rsidRDefault="001C4415" w:rsidP="001C4415">
      <w:pPr>
        <w:widowControl w:val="0"/>
        <w:outlineLvl w:val="0"/>
      </w:pPr>
      <w:r w:rsidRPr="00437766">
        <w:t xml:space="preserve">Supreme Court of Canada / Cour suprême du </w:t>
      </w:r>
      <w:proofErr w:type="gramStart"/>
      <w:r w:rsidRPr="00437766">
        <w:t>Canada :</w:t>
      </w:r>
      <w:proofErr w:type="gramEnd"/>
      <w:r w:rsidRPr="00437766">
        <w:t xml:space="preserve"> </w:t>
      </w:r>
    </w:p>
    <w:p w:rsidR="004F410B" w:rsidRPr="00437766" w:rsidRDefault="00437766" w:rsidP="004F410B">
      <w:pPr>
        <w:widowControl w:val="0"/>
        <w:outlineLvl w:val="0"/>
      </w:pPr>
      <w:hyperlink r:id="rId9" w:history="1">
        <w:r w:rsidR="004F410B" w:rsidRPr="00437766">
          <w:rPr>
            <w:rStyle w:val="Hyperlink"/>
          </w:rPr>
          <w:t>Registry-greffe@scc-csc.ca</w:t>
        </w:r>
      </w:hyperlink>
    </w:p>
    <w:p w:rsidR="001C4415" w:rsidRDefault="004F410B" w:rsidP="004F410B">
      <w:pPr>
        <w:widowControl w:val="0"/>
        <w:outlineLvl w:val="0"/>
      </w:pPr>
      <w:r w:rsidRPr="00437766">
        <w:t>1-844-365-9662</w:t>
      </w:r>
      <w:bookmarkStart w:id="3" w:name="_GoBack"/>
      <w:bookmarkEnd w:id="3"/>
    </w:p>
    <w:p w:rsidR="00DF5260" w:rsidRDefault="00DF5260" w:rsidP="004F410B">
      <w:pPr>
        <w:widowControl w:val="0"/>
        <w:outlineLvl w:val="0"/>
      </w:pPr>
    </w:p>
    <w:p w:rsidR="00DF5260" w:rsidRPr="00614699" w:rsidRDefault="00DF5260" w:rsidP="004F410B">
      <w:pPr>
        <w:widowControl w:val="0"/>
        <w:outlineLvl w:val="0"/>
      </w:pPr>
    </w:p>
    <w:sectPr w:rsidR="00DF5260"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0317"/>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7592D"/>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3CE9"/>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4EA1"/>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5149"/>
    <w:rsid w:val="002768F6"/>
    <w:rsid w:val="002769EB"/>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0D78"/>
    <w:rsid w:val="003A1FB4"/>
    <w:rsid w:val="003A2267"/>
    <w:rsid w:val="003B038F"/>
    <w:rsid w:val="003B10C6"/>
    <w:rsid w:val="003B199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466C"/>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377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09"/>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3E54"/>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0691"/>
    <w:rsid w:val="005F3B17"/>
    <w:rsid w:val="005F6821"/>
    <w:rsid w:val="005F6E1A"/>
    <w:rsid w:val="006004E2"/>
    <w:rsid w:val="006009E0"/>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5A22"/>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4241"/>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47CB"/>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07E9E"/>
    <w:rsid w:val="00911071"/>
    <w:rsid w:val="00916404"/>
    <w:rsid w:val="00916B9F"/>
    <w:rsid w:val="009202FD"/>
    <w:rsid w:val="00921102"/>
    <w:rsid w:val="009214B3"/>
    <w:rsid w:val="0092264F"/>
    <w:rsid w:val="009234CE"/>
    <w:rsid w:val="009246D2"/>
    <w:rsid w:val="00925384"/>
    <w:rsid w:val="00931A3C"/>
    <w:rsid w:val="0093468B"/>
    <w:rsid w:val="00935D33"/>
    <w:rsid w:val="009366C1"/>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93C"/>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A4E"/>
    <w:rsid w:val="009D30BC"/>
    <w:rsid w:val="009E15E2"/>
    <w:rsid w:val="009E23BF"/>
    <w:rsid w:val="009E24E3"/>
    <w:rsid w:val="009E2BF3"/>
    <w:rsid w:val="009E2D9A"/>
    <w:rsid w:val="009E478A"/>
    <w:rsid w:val="009E6E2B"/>
    <w:rsid w:val="009E7F8F"/>
    <w:rsid w:val="009F18D7"/>
    <w:rsid w:val="009F1E2B"/>
    <w:rsid w:val="009F4BF8"/>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647"/>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38AF"/>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27B3"/>
    <w:rsid w:val="00B84353"/>
    <w:rsid w:val="00B87097"/>
    <w:rsid w:val="00B87662"/>
    <w:rsid w:val="00B90B28"/>
    <w:rsid w:val="00B92053"/>
    <w:rsid w:val="00BA5D3E"/>
    <w:rsid w:val="00BA60B3"/>
    <w:rsid w:val="00BB4305"/>
    <w:rsid w:val="00BB4CC8"/>
    <w:rsid w:val="00BB5F43"/>
    <w:rsid w:val="00BC097C"/>
    <w:rsid w:val="00BC100C"/>
    <w:rsid w:val="00BC3F8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EA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3D01"/>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00BF"/>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260"/>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358C"/>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5D65"/>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1C1A"/>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 w:type="paragraph" w:styleId="ListParagraph">
    <w:name w:val="List Paragraph"/>
    <w:basedOn w:val="Normal"/>
    <w:uiPriority w:val="34"/>
    <w:qFormat/>
    <w:rsid w:val="00864241"/>
    <w:pPr>
      <w:ind w:left="720"/>
      <w:contextualSpacing/>
    </w:pPr>
    <w:rPr>
      <w:lang w:eastAsia="en-CA"/>
    </w:rPr>
  </w:style>
  <w:style w:type="paragraph" w:customStyle="1" w:styleId="SCCLsocOtherPartySeparator">
    <w:name w:val="SCC.Lsoc.OtherPartySeparator"/>
    <w:basedOn w:val="Normal"/>
    <w:next w:val="Normal"/>
    <w:link w:val="SCCLsocOtherPartySeparatorChar"/>
    <w:rsid w:val="00B238AF"/>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B238AF"/>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B238A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238AF"/>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0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06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4809</Characters>
  <Application>Microsoft Office Word</Application>
  <DocSecurity>0</DocSecurity>
  <Lines>184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2024-02-02T17:11:00Z</dcterms:modified>
</cp:coreProperties>
</file>