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7E056E" w:rsidP="00214729">
      <w:pPr>
        <w:widowControl w:val="0"/>
        <w:jc w:val="center"/>
        <w:rPr>
          <w:b/>
        </w:rPr>
      </w:pPr>
      <w:r>
        <w:fldChar w:fldCharType="begin"/>
      </w:r>
      <w:r w:rsidR="00FA7412">
        <w:instrText xml:space="preserve"> SEQ CHAPTER \h \r 1</w:instrText>
      </w:r>
      <w:r>
        <w:fldChar w:fldCharType="end"/>
      </w:r>
      <w:r w:rsidR="00455BB9">
        <w:rPr>
          <w:b/>
        </w:rPr>
        <w:t>JUDGMENT</w:t>
      </w:r>
      <w:r w:rsidR="00FA7412">
        <w:rPr>
          <w:b/>
        </w:rPr>
        <w:t xml:space="preserve"> TO BE RENDERED IN APPEAL</w:t>
      </w:r>
    </w:p>
    <w:p w:rsidR="005A7C1B" w:rsidRDefault="005A7C1B" w:rsidP="005A7C1B">
      <w:pPr>
        <w:widowControl w:val="0"/>
        <w:rPr>
          <w:b/>
        </w:rPr>
      </w:pPr>
    </w:p>
    <w:p w:rsidR="00EC79B0" w:rsidRPr="00497B5E" w:rsidRDefault="00235A05" w:rsidP="00EC79B0">
      <w:pPr>
        <w:widowControl w:val="0"/>
        <w:rPr>
          <w:b/>
        </w:rPr>
      </w:pPr>
      <w:r>
        <w:rPr>
          <w:b/>
        </w:rPr>
        <w:t xml:space="preserve">June </w:t>
      </w:r>
      <w:r w:rsidR="001B6B63">
        <w:rPr>
          <w:b/>
        </w:rPr>
        <w:t>22</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482048"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w:t>
      </w:r>
      <w:r w:rsidR="00A80C95">
        <w:t xml:space="preserve"> </w:t>
      </w:r>
      <w:r>
        <w:t>will be delivered at 9:45 a.m. E</w:t>
      </w:r>
      <w:r w:rsidR="00E63199">
        <w:t>D</w:t>
      </w:r>
      <w:r w:rsidR="00DC6C1E">
        <w:t>T</w:t>
      </w:r>
      <w:r w:rsidR="00D74667">
        <w:t xml:space="preserve"> on</w:t>
      </w:r>
      <w:r w:rsidR="00DC6C1E">
        <w:t xml:space="preserve"> </w:t>
      </w:r>
      <w:r w:rsidR="001B6B63">
        <w:t>Thurs</w:t>
      </w:r>
      <w:r w:rsidR="00164196">
        <w:t>day</w:t>
      </w:r>
      <w:r w:rsidR="007E79BD">
        <w:t xml:space="preserve">, </w:t>
      </w:r>
      <w:r w:rsidR="00235A05">
        <w:t xml:space="preserve">June </w:t>
      </w:r>
      <w:r w:rsidR="001B6B63">
        <w:t>25</w:t>
      </w:r>
      <w:r w:rsidR="007E79BD">
        <w:t>,</w:t>
      </w:r>
      <w:r w:rsidR="00E63199">
        <w:t xml:space="preserve"> 2</w:t>
      </w:r>
      <w:r w:rsidR="0086609D">
        <w:t>015</w:t>
      </w:r>
      <w:r w:rsidR="00455BB9">
        <w:t xml:space="preserve">.  </w:t>
      </w:r>
      <w:r w:rsidR="00455BB9" w:rsidRPr="00482048">
        <w:rPr>
          <w:lang w:val="fr-CA"/>
        </w:rPr>
        <w:t>This</w:t>
      </w:r>
      <w:r w:rsidRPr="00482048">
        <w:rPr>
          <w:lang w:val="fr-CA"/>
        </w:rPr>
        <w:t xml:space="preserve"> list is subject to change.</w:t>
      </w:r>
    </w:p>
    <w:p w:rsidR="001C4415" w:rsidRPr="00482048" w:rsidRDefault="001C4415" w:rsidP="001C4415">
      <w:pPr>
        <w:widowControl w:val="0"/>
        <w:rPr>
          <w:lang w:val="fr-CA"/>
        </w:rPr>
      </w:pPr>
    </w:p>
    <w:p w:rsidR="001C4415" w:rsidRPr="00482048" w:rsidRDefault="001C4415" w:rsidP="001C4415">
      <w:pPr>
        <w:widowControl w:val="0"/>
        <w:rPr>
          <w:lang w:val="fr-CA"/>
        </w:rPr>
      </w:pPr>
    </w:p>
    <w:p w:rsidR="001335A1" w:rsidRDefault="001335A1" w:rsidP="001335A1">
      <w:pPr>
        <w:widowControl w:val="0"/>
        <w:jc w:val="center"/>
        <w:rPr>
          <w:b/>
          <w:lang w:val="fr-CA"/>
        </w:rPr>
      </w:pPr>
      <w:r w:rsidRPr="00E2187E">
        <w:rPr>
          <w:b/>
          <w:lang w:val="fr-CA"/>
        </w:rPr>
        <w:t>PROCHAIN JUGEMENT</w:t>
      </w:r>
      <w:r w:rsidR="00455BB9">
        <w:rPr>
          <w:b/>
          <w:lang w:val="fr-CA"/>
        </w:rPr>
        <w:t xml:space="preserve"> SUR APPEL</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1B6B63">
        <w:rPr>
          <w:b/>
          <w:lang w:val="fr-CA"/>
        </w:rPr>
        <w:t>22</w:t>
      </w:r>
      <w:r w:rsidR="00235A05">
        <w:rPr>
          <w:b/>
          <w:lang w:val="fr-CA"/>
        </w:rPr>
        <w:t xml:space="preserve"> juin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A80C95">
        <w:rPr>
          <w:lang w:val="fr-CA"/>
        </w:rPr>
        <w:t>’</w:t>
      </w:r>
      <w:r>
        <w:rPr>
          <w:lang w:val="fr-CA"/>
        </w:rPr>
        <w:t>appel suivant</w:t>
      </w:r>
      <w:r w:rsidRPr="00E2187E">
        <w:rPr>
          <w:lang w:val="fr-CA"/>
        </w:rPr>
        <w:t xml:space="preserve"> </w:t>
      </w:r>
      <w:r w:rsidR="00C56239">
        <w:rPr>
          <w:lang w:val="fr-CA"/>
        </w:rPr>
        <w:t xml:space="preserve">le </w:t>
      </w:r>
      <w:r w:rsidR="001B6B63">
        <w:rPr>
          <w:lang w:val="fr-CA"/>
        </w:rPr>
        <w:t>jeu</w:t>
      </w:r>
      <w:r w:rsidR="00203F40">
        <w:rPr>
          <w:lang w:val="fr-CA"/>
        </w:rPr>
        <w:t>di</w:t>
      </w:r>
      <w:r w:rsidR="002001C7">
        <w:rPr>
          <w:lang w:val="fr-CA"/>
        </w:rPr>
        <w:t xml:space="preserve"> </w:t>
      </w:r>
      <w:r w:rsidR="001B6B63">
        <w:rPr>
          <w:lang w:val="fr-CA"/>
        </w:rPr>
        <w:t>25</w:t>
      </w:r>
      <w:r w:rsidR="00235A05">
        <w:rPr>
          <w:lang w:val="fr-CA"/>
        </w:rPr>
        <w:t xml:space="preserve"> juin</w:t>
      </w:r>
      <w:r w:rsidR="00C56239">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E63199">
        <w:rPr>
          <w:lang w:val="fr-CA"/>
        </w:rPr>
        <w:t>A</w:t>
      </w:r>
      <w:r>
        <w:rPr>
          <w:lang w:val="fr-CA"/>
        </w:rPr>
        <w:t>E.  C</w:t>
      </w:r>
      <w:r w:rsidRPr="00E2187E">
        <w:rPr>
          <w:lang w:val="fr-CA"/>
        </w:rPr>
        <w:t>ette liste est</w:t>
      </w:r>
      <w:r>
        <w:rPr>
          <w:lang w:val="fr-CA"/>
        </w:rPr>
        <w:t xml:space="preserve"> sujette </w:t>
      </w:r>
      <w:r w:rsidRPr="00E2187E">
        <w:rPr>
          <w:lang w:val="fr-CA"/>
        </w:rPr>
        <w:t>à modifications.</w:t>
      </w:r>
    </w:p>
    <w:p w:rsidR="001335A1" w:rsidRPr="001D0423" w:rsidRDefault="001335A1" w:rsidP="001335A1">
      <w:pPr>
        <w:widowControl w:val="0"/>
        <w:outlineLvl w:val="0"/>
        <w:rPr>
          <w:szCs w:val="24"/>
          <w:lang w:val="fr-CA"/>
        </w:rPr>
      </w:pPr>
    </w:p>
    <w:p w:rsidR="001335A1" w:rsidRDefault="00482048" w:rsidP="001335A1">
      <w:pPr>
        <w:widowControl w:val="0"/>
        <w:rPr>
          <w:sz w:val="20"/>
          <w:lang w:val="fr-CA"/>
        </w:rPr>
      </w:pPr>
      <w:r>
        <w:rPr>
          <w:noProof/>
          <w:sz w:val="20"/>
        </w:rPr>
        <w:pict>
          <v:shapetype id="_x0000_t32" coordsize="21600,21600" o:spt="32" o:oned="t" path="m,l21600,21600e" filled="f">
            <v:path arrowok="t" fillok="f" o:connecttype="none"/>
            <o:lock v:ext="edit" shapetype="t"/>
          </v:shapetype>
          <v:shape id="_x0000_s1031" type="#_x0000_t32" style="position:absolute;margin-left:0;margin-top:7.25pt;width:246.95pt;height:0;z-index:251657728;mso-position-horizontal:center;mso-position-horizontal-relative:margin" o:connectortype="straight">
            <w10:wrap anchorx="margin"/>
          </v:shape>
        </w:pict>
      </w:r>
    </w:p>
    <w:p w:rsidR="00072A63" w:rsidRPr="001A4436" w:rsidRDefault="00072A63" w:rsidP="00CF1ED7">
      <w:pPr>
        <w:jc w:val="both"/>
        <w:rPr>
          <w:szCs w:val="24"/>
          <w:lang w:val="fr-CA"/>
        </w:rPr>
      </w:pPr>
    </w:p>
    <w:p w:rsidR="00E674FF" w:rsidRDefault="00E674FF" w:rsidP="00E674FF">
      <w:pPr>
        <w:rPr>
          <w:lang w:val="fr-CA"/>
        </w:rPr>
      </w:pPr>
      <w:r>
        <w:rPr>
          <w:i/>
          <w:lang w:val="fr-CA"/>
        </w:rPr>
        <w:t>Société en commandite Place Mullins et autre c.</w:t>
      </w:r>
      <w:r>
        <w:rPr>
          <w:lang w:val="fr-CA"/>
        </w:rPr>
        <w:t xml:space="preserve"> </w:t>
      </w:r>
      <w:r>
        <w:rPr>
          <w:i/>
          <w:lang w:val="fr-CA"/>
        </w:rPr>
        <w:t xml:space="preserve">Services immobiliers Diane Bisson </w:t>
      </w:r>
      <w:proofErr w:type="spellStart"/>
      <w:r>
        <w:rPr>
          <w:i/>
          <w:lang w:val="fr-CA"/>
        </w:rPr>
        <w:t>inc.</w:t>
      </w:r>
      <w:proofErr w:type="spellEnd"/>
      <w:r>
        <w:rPr>
          <w:lang w:val="fr-CA"/>
        </w:rPr>
        <w:t xml:space="preserve"> (</w:t>
      </w:r>
      <w:proofErr w:type="spellStart"/>
      <w:r>
        <w:rPr>
          <w:lang w:val="fr-CA"/>
        </w:rPr>
        <w:t>Qc</w:t>
      </w:r>
      <w:proofErr w:type="spellEnd"/>
      <w:r>
        <w:rPr>
          <w:lang w:val="fr-CA"/>
        </w:rPr>
        <w:t>) (</w:t>
      </w:r>
      <w:r w:rsidR="00482048">
        <w:fldChar w:fldCharType="begin"/>
      </w:r>
      <w:r w:rsidR="00482048" w:rsidRPr="00482048">
        <w:rPr>
          <w:lang w:val="fr-CA"/>
        </w:rPr>
        <w:instrText xml:space="preserve"> HYPERLINK "http://www.scc-csc.ca</w:instrText>
      </w:r>
      <w:r w:rsidR="00482048" w:rsidRPr="00482048">
        <w:rPr>
          <w:lang w:val="fr-CA"/>
        </w:rPr>
        <w:instrText xml:space="preserve">/case-dossier/info/sum-som-fra.aspx?cas=35461" </w:instrText>
      </w:r>
      <w:r w:rsidR="00482048">
        <w:fldChar w:fldCharType="separate"/>
      </w:r>
      <w:r w:rsidRPr="00E674FF">
        <w:rPr>
          <w:rStyle w:val="Hyperlink"/>
          <w:lang w:val="fr-CA"/>
        </w:rPr>
        <w:t>35461</w:t>
      </w:r>
      <w:r w:rsidR="00482048">
        <w:rPr>
          <w:rStyle w:val="Hyperlink"/>
          <w:lang w:val="fr-CA"/>
        </w:rPr>
        <w:fldChar w:fldCharType="end"/>
      </w:r>
      <w:r>
        <w:rPr>
          <w:lang w:val="fr-CA"/>
        </w:rPr>
        <w:t>)</w:t>
      </w:r>
    </w:p>
    <w:p w:rsidR="00E674FF" w:rsidRPr="00C24BCB" w:rsidRDefault="00E674FF" w:rsidP="00EC79B0">
      <w:pPr>
        <w:jc w:val="both"/>
        <w:rPr>
          <w:sz w:val="20"/>
          <w:lang w:val="fr-CA"/>
        </w:rPr>
      </w:pPr>
    </w:p>
    <w:p w:rsidR="00E674FF" w:rsidRPr="00C24BCB" w:rsidRDefault="00E674FF" w:rsidP="00EC79B0">
      <w:pPr>
        <w:jc w:val="both"/>
        <w:rPr>
          <w:sz w:val="20"/>
          <w:lang w:val="fr-CA"/>
        </w:rPr>
      </w:pPr>
    </w:p>
    <w:bookmarkStart w:id="1" w:name="1"/>
    <w:bookmarkStart w:id="2" w:name="QuickMark_1"/>
    <w:bookmarkEnd w:id="1"/>
    <w:bookmarkEnd w:id="2"/>
    <w:p w:rsidR="00C24BCB" w:rsidRPr="00C24BCB" w:rsidRDefault="00C24BCB" w:rsidP="00C24BCB">
      <w:pPr>
        <w:widowControl w:val="0"/>
        <w:ind w:left="720" w:hanging="720"/>
        <w:jc w:val="both"/>
        <w:rPr>
          <w:b/>
          <w:i/>
          <w:sz w:val="20"/>
          <w:lang w:val="fr-CA"/>
        </w:rPr>
      </w:pPr>
      <w:r w:rsidRPr="00C24BCB">
        <w:rPr>
          <w:b/>
          <w:sz w:val="20"/>
          <w:lang w:val="en-CA"/>
        </w:rPr>
        <w:fldChar w:fldCharType="begin"/>
      </w:r>
      <w:r w:rsidRPr="00C24BCB">
        <w:rPr>
          <w:b/>
          <w:sz w:val="20"/>
          <w:lang w:val="fr-CA"/>
        </w:rPr>
        <w:instrText xml:space="preserve"> SEQ CHAPTER \h \r 1</w:instrText>
      </w:r>
      <w:r w:rsidRPr="00C24BCB">
        <w:rPr>
          <w:b/>
          <w:sz w:val="20"/>
          <w:lang w:val="en-CA"/>
        </w:rPr>
        <w:fldChar w:fldCharType="end"/>
      </w:r>
      <w:r w:rsidRPr="00C24BCB">
        <w:rPr>
          <w:b/>
          <w:sz w:val="20"/>
          <w:lang w:val="fr-CA"/>
        </w:rPr>
        <w:t>35461</w:t>
      </w:r>
      <w:r w:rsidRPr="00C24BCB">
        <w:rPr>
          <w:sz w:val="20"/>
          <w:lang w:val="fr-CA"/>
        </w:rPr>
        <w:tab/>
      </w:r>
      <w:bookmarkStart w:id="3" w:name="3"/>
      <w:bookmarkEnd w:id="3"/>
      <w:r w:rsidRPr="00C24BCB">
        <w:rPr>
          <w:b/>
          <w:i/>
          <w:sz w:val="20"/>
          <w:lang w:val="fr-CA"/>
        </w:rPr>
        <w:t xml:space="preserve">Société en commandite Place Mullins and 139612 Canada </w:t>
      </w:r>
      <w:proofErr w:type="spellStart"/>
      <w:r w:rsidRPr="00C24BCB">
        <w:rPr>
          <w:b/>
          <w:i/>
          <w:sz w:val="20"/>
          <w:lang w:val="fr-CA"/>
        </w:rPr>
        <w:t>inc.</w:t>
      </w:r>
      <w:proofErr w:type="spellEnd"/>
      <w:r w:rsidRPr="00C24BCB">
        <w:rPr>
          <w:b/>
          <w:i/>
          <w:sz w:val="20"/>
          <w:lang w:val="fr-CA"/>
        </w:rPr>
        <w:t xml:space="preserve"> v. Services immobiliers Diane Bisson </w:t>
      </w:r>
      <w:proofErr w:type="spellStart"/>
      <w:r w:rsidRPr="00C24BCB">
        <w:rPr>
          <w:b/>
          <w:i/>
          <w:sz w:val="20"/>
          <w:lang w:val="fr-CA"/>
        </w:rPr>
        <w:t>inc.</w:t>
      </w:r>
      <w:proofErr w:type="spellEnd"/>
    </w:p>
    <w:p w:rsidR="00C24BCB" w:rsidRPr="00C24BCB" w:rsidRDefault="00C24BCB" w:rsidP="00C24BCB">
      <w:pPr>
        <w:widowControl w:val="0"/>
        <w:ind w:left="2160" w:hanging="2160"/>
        <w:jc w:val="both"/>
        <w:rPr>
          <w:sz w:val="20"/>
          <w:lang w:val="fr-CA"/>
        </w:rPr>
      </w:pPr>
    </w:p>
    <w:p w:rsidR="00C24BCB" w:rsidRPr="00C24BCB" w:rsidRDefault="00C24BCB" w:rsidP="00C24BCB">
      <w:pPr>
        <w:widowControl w:val="0"/>
        <w:jc w:val="both"/>
        <w:rPr>
          <w:sz w:val="20"/>
          <w:lang w:val="en-CA"/>
        </w:rPr>
      </w:pPr>
      <w:r w:rsidRPr="00C24BCB">
        <w:rPr>
          <w:sz w:val="20"/>
          <w:lang w:val="en-CA"/>
        </w:rPr>
        <w:t>Sale - Conditional promises to purchase - Real estate brokers and agents - Remuneration - Whether promise to purchase followed by signing of act of sale - Whether Place Mullins voluntarily prevented free performance of contract of sale - Whether broker entitled to commission - If so, risks and consequences for public.</w:t>
      </w:r>
    </w:p>
    <w:p w:rsidR="00C24BCB" w:rsidRPr="00C24BCB" w:rsidRDefault="00C24BCB" w:rsidP="00C24BCB">
      <w:pPr>
        <w:widowControl w:val="0"/>
        <w:jc w:val="both"/>
        <w:rPr>
          <w:sz w:val="20"/>
          <w:lang w:val="en-CA"/>
        </w:rPr>
      </w:pPr>
    </w:p>
    <w:p w:rsidR="00C24BCB" w:rsidRPr="00C24BCB" w:rsidRDefault="00C24BCB" w:rsidP="00C24BCB">
      <w:pPr>
        <w:widowControl w:val="0"/>
        <w:jc w:val="both"/>
        <w:rPr>
          <w:sz w:val="20"/>
          <w:lang w:val="en-CA"/>
        </w:rPr>
      </w:pPr>
      <w:r w:rsidRPr="00C24BCB">
        <w:rPr>
          <w:sz w:val="20"/>
          <w:lang w:val="en-CA"/>
        </w:rPr>
        <w:t xml:space="preserve">The appellant Place Mullins signed an exclusive brokerage contract with the respondent broker under which the latter was given a mandate to sell an immovable in Montréal. The brokerage contract provided, </w:t>
      </w:r>
      <w:r w:rsidRPr="00C24BCB">
        <w:rPr>
          <w:i/>
          <w:sz w:val="20"/>
          <w:lang w:val="en-CA"/>
        </w:rPr>
        <w:t>inter alia</w:t>
      </w:r>
      <w:r w:rsidRPr="00C24BCB">
        <w:rPr>
          <w:sz w:val="20"/>
          <w:lang w:val="en-CA"/>
        </w:rPr>
        <w:t>, that the broker would be entitled to a commission if [</w:t>
      </w:r>
      <w:r w:rsidRPr="00C24BCB">
        <w:rPr>
          <w:smallCaps/>
          <w:sz w:val="20"/>
          <w:lang w:val="en-CA"/>
        </w:rPr>
        <w:t>translation</w:t>
      </w:r>
      <w:r w:rsidRPr="00C24BCB">
        <w:rPr>
          <w:sz w:val="20"/>
          <w:lang w:val="en-CA"/>
        </w:rPr>
        <w:t>] “an agreement to sell the immovable is concluded during the term of the contract”. The broker obtained a promise to purchase that was conditional on the inspection being satisfactory to the promisor-purchaser, and that offer was accepted by Place Mullins. Following the inspection, which revealed that the property was contaminated by oil, the promisor-purchaser sent Place Mullins a letter reiterating his intention to purchase the immovable on the terms and conditions of the initial promise to purchase, on condition that Place Mullins have the property decontaminated. Place Mullins refused, the sale never took place and Place Mullins therefore refused to pay the broker a commission. As a result, the broker filed a motion to institute proceedings for the recovery of money against Place Mullins. The Superior Court dismissed the action. A majority of the Court of Appeal reversed that decision.</w:t>
      </w:r>
    </w:p>
    <w:p w:rsidR="00C24BCB" w:rsidRPr="00C24BCB" w:rsidRDefault="00C24BCB" w:rsidP="00C24BCB">
      <w:pPr>
        <w:widowControl w:val="0"/>
        <w:jc w:val="both"/>
        <w:rPr>
          <w:sz w:val="20"/>
          <w:lang w:val="en-CA"/>
        </w:rPr>
      </w:pPr>
    </w:p>
    <w:p w:rsidR="00C24BCB" w:rsidRPr="00C24BCB" w:rsidRDefault="00C24BCB" w:rsidP="00C24BCB">
      <w:pPr>
        <w:widowControl w:val="0"/>
        <w:jc w:val="both"/>
        <w:rPr>
          <w:sz w:val="20"/>
          <w:lang w:val="en-CA"/>
        </w:rPr>
      </w:pPr>
    </w:p>
    <w:p w:rsidR="00C24BCB" w:rsidRPr="00C24BCB" w:rsidRDefault="00C24BCB" w:rsidP="00C24BCB">
      <w:pPr>
        <w:widowControl w:val="0"/>
        <w:jc w:val="both"/>
        <w:rPr>
          <w:sz w:val="20"/>
          <w:lang w:val="en-CA"/>
        </w:rPr>
      </w:pPr>
      <w:r w:rsidRPr="00C24BCB">
        <w:rPr>
          <w:sz w:val="20"/>
          <w:lang w:val="en-CA"/>
        </w:rPr>
        <w:t>Origin of the case:</w:t>
      </w:r>
      <w:r w:rsidRPr="00C24BCB">
        <w:rPr>
          <w:sz w:val="20"/>
          <w:lang w:val="en-CA"/>
        </w:rPr>
        <w:tab/>
      </w:r>
      <w:r w:rsidRPr="00C24BCB">
        <w:rPr>
          <w:sz w:val="20"/>
          <w:lang w:val="en-CA"/>
        </w:rPr>
        <w:tab/>
      </w:r>
      <w:r>
        <w:rPr>
          <w:sz w:val="20"/>
          <w:lang w:val="en-CA"/>
        </w:rPr>
        <w:tab/>
      </w:r>
      <w:r w:rsidRPr="00C24BCB">
        <w:rPr>
          <w:sz w:val="20"/>
          <w:lang w:val="en-CA"/>
        </w:rPr>
        <w:tab/>
      </w:r>
      <w:bookmarkStart w:id="4" w:name="4"/>
      <w:bookmarkEnd w:id="4"/>
      <w:r w:rsidRPr="00C24BCB">
        <w:rPr>
          <w:sz w:val="20"/>
          <w:lang w:val="en-CA"/>
        </w:rPr>
        <w:t>Quebec</w:t>
      </w:r>
    </w:p>
    <w:p w:rsidR="00C24BCB" w:rsidRPr="00C24BCB" w:rsidRDefault="00C24BCB" w:rsidP="00C24BCB">
      <w:pPr>
        <w:widowControl w:val="0"/>
        <w:jc w:val="both"/>
        <w:rPr>
          <w:sz w:val="20"/>
          <w:lang w:val="en-CA"/>
        </w:rPr>
      </w:pPr>
    </w:p>
    <w:p w:rsidR="00C24BCB" w:rsidRPr="00C24BCB" w:rsidRDefault="00C24BCB" w:rsidP="00C24BCB">
      <w:pPr>
        <w:widowControl w:val="0"/>
        <w:jc w:val="both"/>
        <w:rPr>
          <w:sz w:val="20"/>
          <w:lang w:val="en-CA"/>
        </w:rPr>
      </w:pPr>
      <w:r w:rsidRPr="00C24BCB">
        <w:rPr>
          <w:sz w:val="20"/>
          <w:lang w:val="en-CA"/>
        </w:rPr>
        <w:t>File No.:</w:t>
      </w:r>
      <w:r w:rsidRPr="00C24BCB">
        <w:rPr>
          <w:sz w:val="20"/>
          <w:lang w:val="en-CA"/>
        </w:rPr>
        <w:tab/>
      </w:r>
      <w:r w:rsidRPr="00C24BCB">
        <w:rPr>
          <w:sz w:val="20"/>
          <w:lang w:val="en-CA"/>
        </w:rPr>
        <w:tab/>
      </w:r>
      <w:r w:rsidRPr="00C24BCB">
        <w:rPr>
          <w:sz w:val="20"/>
          <w:lang w:val="en-CA"/>
        </w:rPr>
        <w:tab/>
      </w:r>
      <w:r>
        <w:rPr>
          <w:sz w:val="20"/>
          <w:lang w:val="en-CA"/>
        </w:rPr>
        <w:tab/>
      </w:r>
      <w:r>
        <w:rPr>
          <w:sz w:val="20"/>
          <w:lang w:val="en-CA"/>
        </w:rPr>
        <w:tab/>
      </w:r>
      <w:r>
        <w:rPr>
          <w:sz w:val="20"/>
          <w:lang w:val="en-CA"/>
        </w:rPr>
        <w:tab/>
      </w:r>
      <w:r w:rsidRPr="00C24BCB">
        <w:rPr>
          <w:sz w:val="20"/>
          <w:lang w:val="en-CA"/>
        </w:rPr>
        <w:tab/>
      </w:r>
      <w:bookmarkStart w:id="5" w:name="2"/>
      <w:bookmarkEnd w:id="5"/>
      <w:r w:rsidRPr="00C24BCB">
        <w:rPr>
          <w:sz w:val="20"/>
          <w:lang w:val="en-CA"/>
        </w:rPr>
        <w:t>35461</w:t>
      </w:r>
    </w:p>
    <w:p w:rsidR="00C24BCB" w:rsidRPr="00C24BCB" w:rsidRDefault="00C24BCB" w:rsidP="00C24BCB">
      <w:pPr>
        <w:widowControl w:val="0"/>
        <w:jc w:val="both"/>
        <w:rPr>
          <w:sz w:val="20"/>
          <w:lang w:val="en-CA"/>
        </w:rPr>
      </w:pPr>
    </w:p>
    <w:p w:rsidR="00C24BCB" w:rsidRPr="00C24BCB" w:rsidRDefault="00C24BCB" w:rsidP="00C24BCB">
      <w:pPr>
        <w:widowControl w:val="0"/>
        <w:jc w:val="both"/>
        <w:rPr>
          <w:sz w:val="20"/>
          <w:lang w:val="en-CA"/>
        </w:rPr>
      </w:pPr>
      <w:r w:rsidRPr="00C24BCB">
        <w:rPr>
          <w:sz w:val="20"/>
          <w:lang w:val="en-CA"/>
        </w:rPr>
        <w:lastRenderedPageBreak/>
        <w:t>Judgment of the Court of Appeal:</w:t>
      </w:r>
      <w:r w:rsidRPr="00C24BCB">
        <w:rPr>
          <w:sz w:val="20"/>
          <w:lang w:val="en-CA"/>
        </w:rPr>
        <w:tab/>
        <w:t>May</w:t>
      </w:r>
      <w:bookmarkStart w:id="6" w:name="5"/>
      <w:bookmarkEnd w:id="6"/>
      <w:r w:rsidRPr="00C24BCB">
        <w:rPr>
          <w:sz w:val="20"/>
          <w:lang w:val="en-CA"/>
        </w:rPr>
        <w:t> 10, 2013</w:t>
      </w:r>
    </w:p>
    <w:p w:rsidR="00C24BCB" w:rsidRPr="00C24BCB" w:rsidRDefault="00C24BCB" w:rsidP="00C24BCB">
      <w:pPr>
        <w:widowControl w:val="0"/>
        <w:jc w:val="both"/>
        <w:rPr>
          <w:sz w:val="20"/>
          <w:lang w:val="en-CA"/>
        </w:rPr>
      </w:pPr>
    </w:p>
    <w:p w:rsidR="00C24BCB" w:rsidRPr="00C24BCB" w:rsidRDefault="00C24BCB" w:rsidP="00C24BCB">
      <w:pPr>
        <w:widowControl w:val="0"/>
        <w:jc w:val="both"/>
        <w:rPr>
          <w:sz w:val="20"/>
          <w:lang w:val="en-CA"/>
        </w:rPr>
      </w:pPr>
      <w:r w:rsidRPr="00C24BCB">
        <w:rPr>
          <w:sz w:val="20"/>
          <w:lang w:val="en-CA"/>
        </w:rPr>
        <w:t>Counsel:</w:t>
      </w:r>
      <w:r w:rsidRPr="00C24BCB">
        <w:rPr>
          <w:sz w:val="20"/>
          <w:lang w:val="en-CA"/>
        </w:rPr>
        <w:tab/>
      </w:r>
      <w:r w:rsidRPr="00C24BCB">
        <w:rPr>
          <w:sz w:val="20"/>
          <w:lang w:val="en-CA"/>
        </w:rPr>
        <w:tab/>
      </w:r>
      <w:r w:rsidRPr="00C24BCB">
        <w:rPr>
          <w:sz w:val="20"/>
          <w:lang w:val="en-CA"/>
        </w:rPr>
        <w:tab/>
      </w:r>
      <w:r>
        <w:rPr>
          <w:sz w:val="20"/>
          <w:lang w:val="en-CA"/>
        </w:rPr>
        <w:tab/>
      </w:r>
      <w:r>
        <w:rPr>
          <w:sz w:val="20"/>
          <w:lang w:val="en-CA"/>
        </w:rPr>
        <w:tab/>
      </w:r>
      <w:r>
        <w:rPr>
          <w:sz w:val="20"/>
          <w:lang w:val="en-CA"/>
        </w:rPr>
        <w:tab/>
      </w:r>
      <w:r w:rsidRPr="00C24BCB">
        <w:rPr>
          <w:sz w:val="20"/>
          <w:lang w:val="en-CA"/>
        </w:rPr>
        <w:tab/>
      </w:r>
      <w:bookmarkStart w:id="7" w:name="6"/>
      <w:bookmarkEnd w:id="7"/>
      <w:r w:rsidRPr="00C24BCB">
        <w:rPr>
          <w:sz w:val="20"/>
          <w:lang w:val="en-CA"/>
        </w:rPr>
        <w:t>Gabriel Di Genova for the appellants</w:t>
      </w:r>
    </w:p>
    <w:p w:rsidR="00C24BCB" w:rsidRPr="00482048" w:rsidRDefault="00C24BCB" w:rsidP="00C24BCB">
      <w:pPr>
        <w:widowControl w:val="0"/>
        <w:jc w:val="both"/>
        <w:rPr>
          <w:sz w:val="20"/>
          <w:lang w:val="fr-CA"/>
        </w:rPr>
      </w:pPr>
      <w:r w:rsidRPr="00C24BCB">
        <w:rPr>
          <w:sz w:val="20"/>
          <w:lang w:val="en-CA"/>
        </w:rPr>
        <w:tab/>
      </w:r>
      <w:r w:rsidRPr="00C24BCB">
        <w:rPr>
          <w:sz w:val="20"/>
          <w:lang w:val="en-CA"/>
        </w:rPr>
        <w:tab/>
      </w:r>
      <w:r w:rsidRPr="00C24BCB">
        <w:rPr>
          <w:sz w:val="20"/>
          <w:lang w:val="en-CA"/>
        </w:rPr>
        <w:tab/>
      </w:r>
      <w:r w:rsidRPr="00C24BCB">
        <w:rPr>
          <w:sz w:val="20"/>
          <w:lang w:val="en-CA"/>
        </w:rPr>
        <w:tab/>
      </w:r>
      <w:r>
        <w:rPr>
          <w:sz w:val="20"/>
          <w:lang w:val="en-CA"/>
        </w:rPr>
        <w:tab/>
      </w:r>
      <w:r>
        <w:rPr>
          <w:sz w:val="20"/>
          <w:lang w:val="en-CA"/>
        </w:rPr>
        <w:tab/>
      </w:r>
      <w:r>
        <w:rPr>
          <w:sz w:val="20"/>
          <w:lang w:val="en-CA"/>
        </w:rPr>
        <w:tab/>
      </w:r>
      <w:r w:rsidRPr="00C24BCB">
        <w:rPr>
          <w:sz w:val="20"/>
          <w:lang w:val="en-CA"/>
        </w:rPr>
        <w:tab/>
      </w:r>
      <w:bookmarkStart w:id="8" w:name="7"/>
      <w:bookmarkEnd w:id="8"/>
      <w:r w:rsidRPr="00482048">
        <w:rPr>
          <w:sz w:val="20"/>
          <w:lang w:val="fr-CA"/>
        </w:rPr>
        <w:t>Pierre-G. Champagne for the respondent</w:t>
      </w:r>
    </w:p>
    <w:p w:rsidR="00C24BCB" w:rsidRPr="00C24BCB" w:rsidRDefault="00C24BCB" w:rsidP="00EC79B0">
      <w:pPr>
        <w:jc w:val="both"/>
        <w:rPr>
          <w:sz w:val="20"/>
          <w:lang w:val="fr-CA"/>
        </w:rPr>
      </w:pPr>
    </w:p>
    <w:p w:rsidR="00C24BCB" w:rsidRPr="00C24BCB" w:rsidRDefault="00C24BCB" w:rsidP="00EC79B0">
      <w:pPr>
        <w:jc w:val="both"/>
        <w:rPr>
          <w:sz w:val="20"/>
          <w:lang w:val="fr-CA"/>
        </w:rPr>
      </w:pPr>
    </w:p>
    <w:p w:rsidR="00C24BCB" w:rsidRPr="00C24BCB" w:rsidRDefault="00C24BCB" w:rsidP="00C24BCB">
      <w:pPr>
        <w:widowControl w:val="0"/>
        <w:ind w:left="720" w:hanging="720"/>
        <w:jc w:val="both"/>
        <w:rPr>
          <w:b/>
          <w:i/>
          <w:sz w:val="20"/>
          <w:lang w:val="fr-CA"/>
        </w:rPr>
      </w:pPr>
      <w:r w:rsidRPr="00C24BCB">
        <w:rPr>
          <w:b/>
          <w:sz w:val="20"/>
          <w:lang w:val="fr-CA"/>
        </w:rPr>
        <w:fldChar w:fldCharType="begin"/>
      </w:r>
      <w:r w:rsidRPr="00C24BCB">
        <w:rPr>
          <w:b/>
          <w:sz w:val="20"/>
          <w:lang w:val="fr-CA"/>
        </w:rPr>
        <w:instrText xml:space="preserve"> SEQ CHAPTER \h \r 1</w:instrText>
      </w:r>
      <w:r w:rsidRPr="00C24BCB">
        <w:rPr>
          <w:b/>
          <w:sz w:val="20"/>
        </w:rPr>
        <w:fldChar w:fldCharType="end"/>
      </w:r>
      <w:r w:rsidRPr="00C24BCB">
        <w:rPr>
          <w:b/>
          <w:sz w:val="20"/>
          <w:lang w:val="fr-CA"/>
        </w:rPr>
        <w:t>35461</w:t>
      </w:r>
      <w:r w:rsidRPr="00C24BCB">
        <w:rPr>
          <w:sz w:val="20"/>
          <w:lang w:val="fr-CA"/>
        </w:rPr>
        <w:tab/>
      </w:r>
      <w:r w:rsidRPr="00C24BCB">
        <w:rPr>
          <w:b/>
          <w:i/>
          <w:sz w:val="20"/>
          <w:lang w:val="fr-CA"/>
        </w:rPr>
        <w:t xml:space="preserve">Société en commandite Place Mullins et 139612 Canada </w:t>
      </w:r>
      <w:proofErr w:type="spellStart"/>
      <w:r w:rsidRPr="00C24BCB">
        <w:rPr>
          <w:b/>
          <w:i/>
          <w:sz w:val="20"/>
          <w:lang w:val="fr-CA"/>
        </w:rPr>
        <w:t>inc.</w:t>
      </w:r>
      <w:proofErr w:type="spellEnd"/>
      <w:r w:rsidRPr="00C24BCB">
        <w:rPr>
          <w:b/>
          <w:i/>
          <w:sz w:val="20"/>
          <w:lang w:val="fr-CA"/>
        </w:rPr>
        <w:t xml:space="preserve"> c. Services immobiliers Diane Bisson </w:t>
      </w:r>
      <w:proofErr w:type="spellStart"/>
      <w:r w:rsidRPr="00C24BCB">
        <w:rPr>
          <w:b/>
          <w:i/>
          <w:sz w:val="20"/>
          <w:lang w:val="fr-CA"/>
        </w:rPr>
        <w:t>inc.</w:t>
      </w:r>
      <w:proofErr w:type="spellEnd"/>
    </w:p>
    <w:p w:rsidR="00C24BCB" w:rsidRPr="00C24BCB" w:rsidRDefault="00C24BCB" w:rsidP="00C24BCB">
      <w:pPr>
        <w:widowControl w:val="0"/>
        <w:ind w:left="2160" w:hanging="2160"/>
        <w:jc w:val="both"/>
        <w:rPr>
          <w:sz w:val="20"/>
          <w:lang w:val="fr-CA"/>
        </w:rPr>
      </w:pPr>
    </w:p>
    <w:p w:rsidR="00C24BCB" w:rsidRPr="00C24BCB" w:rsidRDefault="00C24BCB" w:rsidP="00C24BCB">
      <w:pPr>
        <w:widowControl w:val="0"/>
        <w:jc w:val="both"/>
        <w:rPr>
          <w:sz w:val="20"/>
          <w:lang w:val="fr-CA"/>
        </w:rPr>
      </w:pPr>
      <w:r w:rsidRPr="00C24BCB">
        <w:rPr>
          <w:sz w:val="20"/>
          <w:lang w:val="fr-CA"/>
        </w:rPr>
        <w:t>Vente - Promesses d’achat conditionnelles - Courtiers et agents immobiliers - Rétribution - Y a-t-il eu signature d’un acte de vente suite à la promesse d’achat? - Place Mullins a-t-elle volontairement empêché la libre exécution du contrat de vente? - La courtière a-t-elle droit à sa commission? - Dans l’affirmative, quels seraient les risques et conséquences pour le public?</w:t>
      </w:r>
    </w:p>
    <w:p w:rsidR="00C24BCB" w:rsidRPr="00C24BCB" w:rsidRDefault="00C24BCB" w:rsidP="00C24BCB">
      <w:pPr>
        <w:widowControl w:val="0"/>
        <w:jc w:val="both"/>
        <w:rPr>
          <w:sz w:val="20"/>
          <w:lang w:val="fr-CA"/>
        </w:rPr>
      </w:pPr>
    </w:p>
    <w:p w:rsidR="00C24BCB" w:rsidRPr="00C24BCB" w:rsidRDefault="00C24BCB" w:rsidP="00C24BCB">
      <w:pPr>
        <w:widowControl w:val="0"/>
        <w:jc w:val="both"/>
        <w:rPr>
          <w:sz w:val="20"/>
          <w:lang w:val="fr-CA"/>
        </w:rPr>
      </w:pPr>
      <w:r w:rsidRPr="00C24BCB">
        <w:rPr>
          <w:sz w:val="20"/>
          <w:lang w:val="fr-CA"/>
        </w:rPr>
        <w:t>L’appelante Place Mullins signe un contrat de courtage exclusif avec l’intimée, courtière, confiant à cette dernière le mandat de vendre un immeuble à Montréal. Ce contrat de courtage prévoit, entre autres, que la courtière aura droit à sa commission lorsqu’une « entente visant à vendre l’immeuble est conclue pendant la durée du contrat ». La courtière obtient une promesse d’achat conditionnelle à ce que l’inspection soit à la satisfaction du promettant-acheteur et cette offre est acceptée par Place Mullins. Suite à l’inspection, qui révèle la présence d’une contamination par hydrocarbures, le promettant-acheteur envoie une lettre à Place Mullins réitérant son intention d’acheter l’immeuble aux termes et conditions de la promesse d’achat initiale mais à condition que Place Mullins procède à la décontamination de l’immeuble. Place Mullins refuse et la vente envisagée n’a jamais lieu. En conséquence, Place Mullins refuse de payer la commission à la courtière. Cette dernière dépose donc une requête introductive d’instance en recouvrement de deniers contre Place Mullins. La Cour supérieure rejette l’action. La Cour d’appel, à la majorité, renverse cette décision.</w:t>
      </w:r>
    </w:p>
    <w:p w:rsidR="00C24BCB" w:rsidRPr="00C24BCB" w:rsidRDefault="00C24BCB" w:rsidP="00C24BCB">
      <w:pPr>
        <w:widowControl w:val="0"/>
        <w:jc w:val="both"/>
        <w:rPr>
          <w:sz w:val="20"/>
          <w:lang w:val="fr-CA"/>
        </w:rPr>
      </w:pPr>
    </w:p>
    <w:p w:rsidR="00C24BCB" w:rsidRPr="00C24BCB" w:rsidRDefault="00C24BCB" w:rsidP="00C24BCB">
      <w:pPr>
        <w:widowControl w:val="0"/>
        <w:jc w:val="both"/>
        <w:rPr>
          <w:sz w:val="20"/>
          <w:lang w:val="fr-CA"/>
        </w:rPr>
      </w:pPr>
    </w:p>
    <w:p w:rsidR="00C24BCB" w:rsidRPr="00C24BCB" w:rsidRDefault="00C24BCB" w:rsidP="00C24BCB">
      <w:pPr>
        <w:widowControl w:val="0"/>
        <w:jc w:val="both"/>
        <w:rPr>
          <w:sz w:val="20"/>
          <w:lang w:val="fr-CA"/>
        </w:rPr>
      </w:pPr>
      <w:r w:rsidRPr="00C24BCB">
        <w:rPr>
          <w:sz w:val="20"/>
          <w:lang w:val="fr-CA"/>
        </w:rPr>
        <w:t>Origine:</w:t>
      </w:r>
      <w:r w:rsidRPr="00C24BCB">
        <w:rPr>
          <w:sz w:val="20"/>
          <w:lang w:val="fr-CA"/>
        </w:rPr>
        <w:tab/>
      </w:r>
      <w:r w:rsidRPr="00C24BCB">
        <w:rPr>
          <w:sz w:val="20"/>
          <w:lang w:val="fr-CA"/>
        </w:rPr>
        <w:tab/>
      </w:r>
      <w:r w:rsidRPr="00C24BCB">
        <w:rPr>
          <w:sz w:val="20"/>
          <w:lang w:val="fr-CA"/>
        </w:rPr>
        <w:tab/>
      </w:r>
      <w:r w:rsidRPr="00C24BCB">
        <w:rPr>
          <w:sz w:val="20"/>
          <w:lang w:val="fr-CA"/>
        </w:rPr>
        <w:tab/>
      </w:r>
      <w:r>
        <w:rPr>
          <w:sz w:val="20"/>
          <w:lang w:val="fr-CA"/>
        </w:rPr>
        <w:tab/>
      </w:r>
      <w:r>
        <w:rPr>
          <w:sz w:val="20"/>
          <w:lang w:val="fr-CA"/>
        </w:rPr>
        <w:tab/>
      </w:r>
      <w:r w:rsidRPr="00C24BCB">
        <w:rPr>
          <w:sz w:val="20"/>
          <w:lang w:val="fr-CA"/>
        </w:rPr>
        <w:t>Québec</w:t>
      </w:r>
    </w:p>
    <w:p w:rsidR="00C24BCB" w:rsidRPr="00C24BCB" w:rsidRDefault="00C24BCB" w:rsidP="00C24BCB">
      <w:pPr>
        <w:widowControl w:val="0"/>
        <w:jc w:val="both"/>
        <w:rPr>
          <w:sz w:val="20"/>
          <w:lang w:val="fr-CA"/>
        </w:rPr>
      </w:pPr>
    </w:p>
    <w:p w:rsidR="00C24BCB" w:rsidRPr="00C24BCB" w:rsidRDefault="00C24BCB" w:rsidP="00C24BCB">
      <w:pPr>
        <w:widowControl w:val="0"/>
        <w:jc w:val="both"/>
        <w:rPr>
          <w:sz w:val="20"/>
          <w:lang w:val="fr-CA"/>
        </w:rPr>
      </w:pPr>
      <w:r w:rsidRPr="00C24BCB">
        <w:rPr>
          <w:sz w:val="20"/>
          <w:lang w:val="fr-CA"/>
        </w:rPr>
        <w:t>N</w:t>
      </w:r>
      <w:r w:rsidRPr="00C24BCB">
        <w:rPr>
          <w:sz w:val="20"/>
          <w:vertAlign w:val="superscript"/>
          <w:lang w:val="fr-CA"/>
        </w:rPr>
        <w:t>o</w:t>
      </w:r>
      <w:r w:rsidRPr="00C24BCB">
        <w:rPr>
          <w:sz w:val="20"/>
          <w:lang w:val="fr-CA"/>
        </w:rPr>
        <w:t xml:space="preserve"> du greffe:</w:t>
      </w:r>
      <w:r w:rsidRPr="00C24BCB">
        <w:rPr>
          <w:sz w:val="20"/>
          <w:lang w:val="fr-CA"/>
        </w:rPr>
        <w:tab/>
      </w:r>
      <w:r w:rsidRPr="00C24BCB">
        <w:rPr>
          <w:sz w:val="20"/>
          <w:lang w:val="fr-CA"/>
        </w:rPr>
        <w:tab/>
      </w:r>
      <w:r w:rsidRPr="00C24BCB">
        <w:rPr>
          <w:sz w:val="20"/>
          <w:lang w:val="fr-CA"/>
        </w:rPr>
        <w:tab/>
      </w:r>
      <w:r>
        <w:rPr>
          <w:sz w:val="20"/>
          <w:lang w:val="fr-CA"/>
        </w:rPr>
        <w:tab/>
      </w:r>
      <w:r w:rsidRPr="00C24BCB">
        <w:rPr>
          <w:sz w:val="20"/>
          <w:lang w:val="fr-CA"/>
        </w:rPr>
        <w:tab/>
        <w:t>35461</w:t>
      </w:r>
    </w:p>
    <w:p w:rsidR="00C24BCB" w:rsidRPr="00C24BCB" w:rsidRDefault="00C24BCB" w:rsidP="00C24BCB">
      <w:pPr>
        <w:widowControl w:val="0"/>
        <w:jc w:val="both"/>
        <w:rPr>
          <w:sz w:val="20"/>
          <w:lang w:val="fr-CA"/>
        </w:rPr>
      </w:pPr>
    </w:p>
    <w:p w:rsidR="00C24BCB" w:rsidRPr="00C24BCB" w:rsidRDefault="00C24BCB" w:rsidP="00C24BCB">
      <w:pPr>
        <w:widowControl w:val="0"/>
        <w:jc w:val="both"/>
        <w:rPr>
          <w:sz w:val="20"/>
          <w:lang w:val="fr-CA"/>
        </w:rPr>
      </w:pPr>
      <w:r w:rsidRPr="00C24BCB">
        <w:rPr>
          <w:sz w:val="20"/>
          <w:lang w:val="fr-CA"/>
        </w:rPr>
        <w:t>Arrêt de la Cour d’appel:</w:t>
      </w:r>
      <w:r w:rsidRPr="00C24BCB">
        <w:rPr>
          <w:sz w:val="20"/>
          <w:lang w:val="fr-CA"/>
        </w:rPr>
        <w:tab/>
      </w:r>
      <w:r w:rsidRPr="00C24BCB">
        <w:rPr>
          <w:sz w:val="20"/>
          <w:lang w:val="fr-CA"/>
        </w:rPr>
        <w:tab/>
        <w:t>le 10 mai 2013</w:t>
      </w:r>
    </w:p>
    <w:p w:rsidR="00C24BCB" w:rsidRPr="00C24BCB" w:rsidRDefault="00C24BCB" w:rsidP="00C24BCB">
      <w:pPr>
        <w:widowControl w:val="0"/>
        <w:jc w:val="both"/>
        <w:rPr>
          <w:sz w:val="20"/>
          <w:lang w:val="fr-CA"/>
        </w:rPr>
      </w:pPr>
    </w:p>
    <w:p w:rsidR="00C24BCB" w:rsidRPr="00C24BCB" w:rsidRDefault="00C24BCB" w:rsidP="00C24BCB">
      <w:pPr>
        <w:widowControl w:val="0"/>
        <w:jc w:val="both"/>
        <w:rPr>
          <w:sz w:val="20"/>
          <w:lang w:val="fr-CA"/>
        </w:rPr>
      </w:pPr>
      <w:r w:rsidRPr="00C24BCB">
        <w:rPr>
          <w:sz w:val="20"/>
          <w:lang w:val="fr-CA"/>
        </w:rPr>
        <w:t>Avocats:</w:t>
      </w:r>
      <w:r w:rsidRPr="00C24BCB">
        <w:rPr>
          <w:sz w:val="20"/>
          <w:lang w:val="fr-CA"/>
        </w:rPr>
        <w:tab/>
      </w:r>
      <w:r w:rsidRPr="00C24BCB">
        <w:rPr>
          <w:sz w:val="20"/>
          <w:lang w:val="fr-CA"/>
        </w:rPr>
        <w:tab/>
      </w:r>
      <w:r w:rsidRPr="00C24BCB">
        <w:rPr>
          <w:sz w:val="20"/>
          <w:lang w:val="fr-CA"/>
        </w:rPr>
        <w:tab/>
      </w:r>
      <w:r w:rsidRPr="00C24BCB">
        <w:rPr>
          <w:sz w:val="20"/>
          <w:lang w:val="fr-CA"/>
        </w:rPr>
        <w:tab/>
      </w:r>
      <w:r>
        <w:rPr>
          <w:sz w:val="20"/>
          <w:lang w:val="fr-CA"/>
        </w:rPr>
        <w:tab/>
      </w:r>
      <w:r>
        <w:rPr>
          <w:sz w:val="20"/>
          <w:lang w:val="fr-CA"/>
        </w:rPr>
        <w:tab/>
      </w:r>
      <w:r w:rsidRPr="00C24BCB">
        <w:rPr>
          <w:sz w:val="20"/>
          <w:lang w:val="fr-CA"/>
        </w:rPr>
        <w:t>Gabriel Di Genova pour les appelantes</w:t>
      </w:r>
    </w:p>
    <w:p w:rsidR="00C24BCB" w:rsidRPr="00C24BCB" w:rsidRDefault="00C24BCB" w:rsidP="00C24BCB">
      <w:pPr>
        <w:widowControl w:val="0"/>
        <w:jc w:val="both"/>
        <w:rPr>
          <w:sz w:val="20"/>
          <w:lang w:val="fr-CA"/>
        </w:rPr>
      </w:pPr>
      <w:r w:rsidRPr="00C24BCB">
        <w:rPr>
          <w:sz w:val="20"/>
          <w:lang w:val="fr-CA"/>
        </w:rPr>
        <w:tab/>
      </w:r>
      <w:r w:rsidRPr="00C24BCB">
        <w:rPr>
          <w:sz w:val="20"/>
          <w:lang w:val="fr-CA"/>
        </w:rPr>
        <w:tab/>
      </w:r>
      <w:r w:rsidRPr="00C24BCB">
        <w:rPr>
          <w:sz w:val="20"/>
          <w:lang w:val="fr-CA"/>
        </w:rPr>
        <w:tab/>
      </w:r>
      <w:r w:rsidRPr="00C24BCB">
        <w:rPr>
          <w:sz w:val="20"/>
          <w:lang w:val="fr-CA"/>
        </w:rPr>
        <w:tab/>
      </w:r>
      <w:r>
        <w:rPr>
          <w:sz w:val="20"/>
          <w:lang w:val="fr-CA"/>
        </w:rPr>
        <w:tab/>
      </w:r>
      <w:r>
        <w:rPr>
          <w:sz w:val="20"/>
          <w:lang w:val="fr-CA"/>
        </w:rPr>
        <w:tab/>
      </w:r>
      <w:r w:rsidRPr="00C24BCB">
        <w:rPr>
          <w:sz w:val="20"/>
          <w:lang w:val="fr-CA"/>
        </w:rPr>
        <w:tab/>
        <w:t>Pierre-G. Champagne pour l’intimée</w:t>
      </w:r>
    </w:p>
    <w:p w:rsidR="00C24BCB" w:rsidRPr="00C24BCB" w:rsidRDefault="00C24BCB" w:rsidP="00EC79B0">
      <w:pPr>
        <w:jc w:val="both"/>
        <w:rPr>
          <w:sz w:val="20"/>
          <w:lang w:val="fr-CA"/>
        </w:rPr>
      </w:pPr>
    </w:p>
    <w:p w:rsidR="00C24BCB" w:rsidRPr="00C24BCB" w:rsidRDefault="00C24BCB" w:rsidP="00EC79B0">
      <w:pPr>
        <w:jc w:val="both"/>
        <w:rPr>
          <w:sz w:val="20"/>
          <w:lang w:val="fr-CA"/>
        </w:rPr>
      </w:pPr>
    </w:p>
    <w:p w:rsidR="00C24BCB" w:rsidRPr="00203F40" w:rsidRDefault="00C24BCB" w:rsidP="00EC79B0">
      <w:pPr>
        <w:jc w:val="both"/>
        <w:rPr>
          <w:szCs w:val="24"/>
          <w:lang w:val="fr-CA"/>
        </w:rPr>
      </w:pPr>
    </w:p>
    <w:p w:rsidR="00CF1ED7" w:rsidRPr="00203F40" w:rsidRDefault="00CF1ED7" w:rsidP="00EC79B0">
      <w:pPr>
        <w:jc w:val="both"/>
        <w:rPr>
          <w:szCs w:val="24"/>
          <w:lang w:val="fr-CA"/>
        </w:rPr>
      </w:pPr>
    </w:p>
    <w:p w:rsidR="001C4415" w:rsidRPr="00E674FF" w:rsidRDefault="001C4415" w:rsidP="001C4415">
      <w:pPr>
        <w:widowControl w:val="0"/>
        <w:outlineLvl w:val="0"/>
        <w:rPr>
          <w:lang w:val="fr-CA"/>
        </w:rPr>
      </w:pPr>
      <w:proofErr w:type="spellStart"/>
      <w:r w:rsidRPr="00E674FF">
        <w:rPr>
          <w:lang w:val="fr-CA"/>
        </w:rPr>
        <w:t>Supreme</w:t>
      </w:r>
      <w:proofErr w:type="spellEnd"/>
      <w:r w:rsidRPr="00E674FF">
        <w:rPr>
          <w:lang w:val="fr-CA"/>
        </w:rPr>
        <w:t xml:space="preserve"> Court of Canada / Cour suprême du Canada : </w:t>
      </w:r>
    </w:p>
    <w:p w:rsidR="001C4415" w:rsidRPr="00A83C7E" w:rsidRDefault="00482048" w:rsidP="001C4415">
      <w:pPr>
        <w:widowControl w:val="0"/>
        <w:outlineLvl w:val="0"/>
        <w:rPr>
          <w:color w:val="0000FF"/>
          <w:u w:val="single"/>
        </w:rPr>
      </w:pPr>
      <w:hyperlink r:id="rId7" w:history="1">
        <w:r w:rsidR="001C4415" w:rsidRPr="00E674FF">
          <w:rPr>
            <w:rStyle w:val="Hyperlink"/>
            <w:lang w:val="fr-CA"/>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237916">
        <w:t>-</w:t>
      </w:r>
      <w:r w:rsidR="0036476C" w:rsidRPr="0036476C">
        <w:t xml:space="preserve"> </w:t>
      </w:r>
    </w:p>
    <w:sectPr w:rsidR="0036476C"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CB" w:rsidRDefault="00C24BCB">
      <w:r>
        <w:separator/>
      </w:r>
    </w:p>
  </w:endnote>
  <w:endnote w:type="continuationSeparator" w:id="0">
    <w:p w:rsidR="00C24BCB" w:rsidRDefault="00C2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CB" w:rsidRDefault="00C24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CB" w:rsidRDefault="00C24BCB">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CB" w:rsidRDefault="00C24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CB" w:rsidRDefault="00C24BCB">
      <w:r>
        <w:separator/>
      </w:r>
    </w:p>
  </w:footnote>
  <w:footnote w:type="continuationSeparator" w:id="0">
    <w:p w:rsidR="00C24BCB" w:rsidRDefault="00C24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CB" w:rsidRDefault="00C24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CB" w:rsidRDefault="00C24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CB" w:rsidRDefault="00C24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B8086C"/>
    <w:rsid w:val="000100BA"/>
    <w:rsid w:val="00010D78"/>
    <w:rsid w:val="0001212E"/>
    <w:rsid w:val="0001605B"/>
    <w:rsid w:val="0002161B"/>
    <w:rsid w:val="00021901"/>
    <w:rsid w:val="00035555"/>
    <w:rsid w:val="00035B99"/>
    <w:rsid w:val="0003611D"/>
    <w:rsid w:val="0003620E"/>
    <w:rsid w:val="00042B21"/>
    <w:rsid w:val="000446D3"/>
    <w:rsid w:val="000454BF"/>
    <w:rsid w:val="00060140"/>
    <w:rsid w:val="00060B39"/>
    <w:rsid w:val="00061A14"/>
    <w:rsid w:val="00072A63"/>
    <w:rsid w:val="0008116D"/>
    <w:rsid w:val="000855FD"/>
    <w:rsid w:val="0009615F"/>
    <w:rsid w:val="000A33B2"/>
    <w:rsid w:val="000A401F"/>
    <w:rsid w:val="000B0E38"/>
    <w:rsid w:val="000B216A"/>
    <w:rsid w:val="000C1225"/>
    <w:rsid w:val="000C1820"/>
    <w:rsid w:val="000C466B"/>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35A1"/>
    <w:rsid w:val="001364D9"/>
    <w:rsid w:val="0013792F"/>
    <w:rsid w:val="001439C6"/>
    <w:rsid w:val="001448DF"/>
    <w:rsid w:val="00145925"/>
    <w:rsid w:val="001476BD"/>
    <w:rsid w:val="00150BC6"/>
    <w:rsid w:val="001563FF"/>
    <w:rsid w:val="00164196"/>
    <w:rsid w:val="001642A1"/>
    <w:rsid w:val="00165E2A"/>
    <w:rsid w:val="00167E17"/>
    <w:rsid w:val="001710E4"/>
    <w:rsid w:val="001714EA"/>
    <w:rsid w:val="00172FC0"/>
    <w:rsid w:val="0017395A"/>
    <w:rsid w:val="00175566"/>
    <w:rsid w:val="00177C9B"/>
    <w:rsid w:val="001801D4"/>
    <w:rsid w:val="0018124A"/>
    <w:rsid w:val="001847AC"/>
    <w:rsid w:val="00191F98"/>
    <w:rsid w:val="001936BC"/>
    <w:rsid w:val="00194B53"/>
    <w:rsid w:val="001A1632"/>
    <w:rsid w:val="001A24F4"/>
    <w:rsid w:val="001A29BA"/>
    <w:rsid w:val="001A4436"/>
    <w:rsid w:val="001A4A73"/>
    <w:rsid w:val="001B092D"/>
    <w:rsid w:val="001B0D7E"/>
    <w:rsid w:val="001B4934"/>
    <w:rsid w:val="001B599A"/>
    <w:rsid w:val="001B6B63"/>
    <w:rsid w:val="001B71AA"/>
    <w:rsid w:val="001C0462"/>
    <w:rsid w:val="001C187A"/>
    <w:rsid w:val="001C3E08"/>
    <w:rsid w:val="001C4415"/>
    <w:rsid w:val="001C6FEC"/>
    <w:rsid w:val="001D3579"/>
    <w:rsid w:val="001E4A60"/>
    <w:rsid w:val="001E5E23"/>
    <w:rsid w:val="001E70CD"/>
    <w:rsid w:val="001F27D7"/>
    <w:rsid w:val="001F57C9"/>
    <w:rsid w:val="001F7F62"/>
    <w:rsid w:val="002001C7"/>
    <w:rsid w:val="002029F5"/>
    <w:rsid w:val="00203F40"/>
    <w:rsid w:val="00205278"/>
    <w:rsid w:val="00207AAB"/>
    <w:rsid w:val="00207BC4"/>
    <w:rsid w:val="00211F62"/>
    <w:rsid w:val="00214729"/>
    <w:rsid w:val="002160B0"/>
    <w:rsid w:val="00221703"/>
    <w:rsid w:val="00226AE8"/>
    <w:rsid w:val="00234B46"/>
    <w:rsid w:val="00235A05"/>
    <w:rsid w:val="00237916"/>
    <w:rsid w:val="002404C4"/>
    <w:rsid w:val="00241C35"/>
    <w:rsid w:val="00241F69"/>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630C"/>
    <w:rsid w:val="00290F21"/>
    <w:rsid w:val="00291F84"/>
    <w:rsid w:val="00296461"/>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112E4"/>
    <w:rsid w:val="00311F53"/>
    <w:rsid w:val="00317C58"/>
    <w:rsid w:val="00321B31"/>
    <w:rsid w:val="00324B83"/>
    <w:rsid w:val="003255C3"/>
    <w:rsid w:val="00334E40"/>
    <w:rsid w:val="00337D5F"/>
    <w:rsid w:val="00346F0D"/>
    <w:rsid w:val="00350C6A"/>
    <w:rsid w:val="00350CE0"/>
    <w:rsid w:val="00353AB0"/>
    <w:rsid w:val="00362484"/>
    <w:rsid w:val="0036476C"/>
    <w:rsid w:val="0037261F"/>
    <w:rsid w:val="00374148"/>
    <w:rsid w:val="0037569E"/>
    <w:rsid w:val="00380CC3"/>
    <w:rsid w:val="003835A6"/>
    <w:rsid w:val="00387EA2"/>
    <w:rsid w:val="0039248C"/>
    <w:rsid w:val="003932EE"/>
    <w:rsid w:val="00393419"/>
    <w:rsid w:val="003959D2"/>
    <w:rsid w:val="0039607F"/>
    <w:rsid w:val="003A1FB4"/>
    <w:rsid w:val="003A2267"/>
    <w:rsid w:val="003B2784"/>
    <w:rsid w:val="003B3AD5"/>
    <w:rsid w:val="003B4E7E"/>
    <w:rsid w:val="003C381F"/>
    <w:rsid w:val="003D4D2A"/>
    <w:rsid w:val="003D74E7"/>
    <w:rsid w:val="003E0326"/>
    <w:rsid w:val="003E1BBF"/>
    <w:rsid w:val="003E222C"/>
    <w:rsid w:val="003E5C8D"/>
    <w:rsid w:val="003F127B"/>
    <w:rsid w:val="003F2710"/>
    <w:rsid w:val="003F7920"/>
    <w:rsid w:val="004005FE"/>
    <w:rsid w:val="004016BB"/>
    <w:rsid w:val="00405F0F"/>
    <w:rsid w:val="004115B2"/>
    <w:rsid w:val="0041533E"/>
    <w:rsid w:val="00421CC7"/>
    <w:rsid w:val="0042330C"/>
    <w:rsid w:val="0042470F"/>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7AE4"/>
    <w:rsid w:val="00482048"/>
    <w:rsid w:val="004824D8"/>
    <w:rsid w:val="0048671C"/>
    <w:rsid w:val="0048741E"/>
    <w:rsid w:val="00491284"/>
    <w:rsid w:val="00491C71"/>
    <w:rsid w:val="004927D1"/>
    <w:rsid w:val="004A40E1"/>
    <w:rsid w:val="004A56AC"/>
    <w:rsid w:val="004A6F06"/>
    <w:rsid w:val="004B4821"/>
    <w:rsid w:val="004B6E20"/>
    <w:rsid w:val="004B6F3A"/>
    <w:rsid w:val="004D4322"/>
    <w:rsid w:val="004D465A"/>
    <w:rsid w:val="004D488A"/>
    <w:rsid w:val="004E5455"/>
    <w:rsid w:val="004F0A44"/>
    <w:rsid w:val="004F215A"/>
    <w:rsid w:val="004F2854"/>
    <w:rsid w:val="004F3FB9"/>
    <w:rsid w:val="00504582"/>
    <w:rsid w:val="0051130D"/>
    <w:rsid w:val="0051320D"/>
    <w:rsid w:val="00520A3C"/>
    <w:rsid w:val="00525362"/>
    <w:rsid w:val="00525B8E"/>
    <w:rsid w:val="00531567"/>
    <w:rsid w:val="00535691"/>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6C38"/>
    <w:rsid w:val="005A7C1B"/>
    <w:rsid w:val="005B10FA"/>
    <w:rsid w:val="005B342F"/>
    <w:rsid w:val="005B4F58"/>
    <w:rsid w:val="005B7E1A"/>
    <w:rsid w:val="005C571B"/>
    <w:rsid w:val="005C7767"/>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B4B4E"/>
    <w:rsid w:val="006B5529"/>
    <w:rsid w:val="006C4A8F"/>
    <w:rsid w:val="006C7633"/>
    <w:rsid w:val="006D2284"/>
    <w:rsid w:val="006D2DF8"/>
    <w:rsid w:val="006E1781"/>
    <w:rsid w:val="006E3A6A"/>
    <w:rsid w:val="006E6156"/>
    <w:rsid w:val="006E7CC3"/>
    <w:rsid w:val="006E7FD1"/>
    <w:rsid w:val="006F1899"/>
    <w:rsid w:val="006F1A6D"/>
    <w:rsid w:val="006F202E"/>
    <w:rsid w:val="006F36A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056E"/>
    <w:rsid w:val="007E79BD"/>
    <w:rsid w:val="007E7DF1"/>
    <w:rsid w:val="007F29FE"/>
    <w:rsid w:val="00800066"/>
    <w:rsid w:val="00807EAE"/>
    <w:rsid w:val="00811E14"/>
    <w:rsid w:val="00815E69"/>
    <w:rsid w:val="008203B9"/>
    <w:rsid w:val="00820A00"/>
    <w:rsid w:val="008227A7"/>
    <w:rsid w:val="0083044B"/>
    <w:rsid w:val="008313A9"/>
    <w:rsid w:val="00831AFC"/>
    <w:rsid w:val="00841CE8"/>
    <w:rsid w:val="00842CA6"/>
    <w:rsid w:val="00843914"/>
    <w:rsid w:val="00844A0C"/>
    <w:rsid w:val="00845B97"/>
    <w:rsid w:val="00851B24"/>
    <w:rsid w:val="00857775"/>
    <w:rsid w:val="00861E1D"/>
    <w:rsid w:val="0086609D"/>
    <w:rsid w:val="008709FF"/>
    <w:rsid w:val="008716D8"/>
    <w:rsid w:val="00875923"/>
    <w:rsid w:val="008766B1"/>
    <w:rsid w:val="00893647"/>
    <w:rsid w:val="008B305D"/>
    <w:rsid w:val="008B5FA3"/>
    <w:rsid w:val="008B5FDB"/>
    <w:rsid w:val="008B6308"/>
    <w:rsid w:val="008C5D03"/>
    <w:rsid w:val="008D2829"/>
    <w:rsid w:val="008D2930"/>
    <w:rsid w:val="008D3DE1"/>
    <w:rsid w:val="008D557C"/>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21D0"/>
    <w:rsid w:val="00945199"/>
    <w:rsid w:val="00946EC7"/>
    <w:rsid w:val="00955BCE"/>
    <w:rsid w:val="009603A2"/>
    <w:rsid w:val="00962301"/>
    <w:rsid w:val="00972F05"/>
    <w:rsid w:val="00975F1B"/>
    <w:rsid w:val="0097705F"/>
    <w:rsid w:val="009773EE"/>
    <w:rsid w:val="009813C5"/>
    <w:rsid w:val="009907CD"/>
    <w:rsid w:val="0099092D"/>
    <w:rsid w:val="009927A8"/>
    <w:rsid w:val="00992E03"/>
    <w:rsid w:val="00993EF1"/>
    <w:rsid w:val="00995BAC"/>
    <w:rsid w:val="009A229C"/>
    <w:rsid w:val="009A7F40"/>
    <w:rsid w:val="009A7FCE"/>
    <w:rsid w:val="009B06DD"/>
    <w:rsid w:val="009B72F4"/>
    <w:rsid w:val="009C2A17"/>
    <w:rsid w:val="009C643F"/>
    <w:rsid w:val="009C7B71"/>
    <w:rsid w:val="009D109B"/>
    <w:rsid w:val="009D30BC"/>
    <w:rsid w:val="009E23BF"/>
    <w:rsid w:val="009E478A"/>
    <w:rsid w:val="009E6E2B"/>
    <w:rsid w:val="009E7F8F"/>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3056"/>
    <w:rsid w:val="00A64DFD"/>
    <w:rsid w:val="00A709E8"/>
    <w:rsid w:val="00A80C95"/>
    <w:rsid w:val="00A86D9C"/>
    <w:rsid w:val="00A9462E"/>
    <w:rsid w:val="00A96F68"/>
    <w:rsid w:val="00AA3B3C"/>
    <w:rsid w:val="00AB4EFD"/>
    <w:rsid w:val="00AB6E49"/>
    <w:rsid w:val="00AB76F5"/>
    <w:rsid w:val="00AC1EBB"/>
    <w:rsid w:val="00AC29C3"/>
    <w:rsid w:val="00AC4C6F"/>
    <w:rsid w:val="00AD28E3"/>
    <w:rsid w:val="00AE57A4"/>
    <w:rsid w:val="00AE77AE"/>
    <w:rsid w:val="00AF232B"/>
    <w:rsid w:val="00AF291D"/>
    <w:rsid w:val="00AF51A0"/>
    <w:rsid w:val="00AF5D67"/>
    <w:rsid w:val="00AF7C2C"/>
    <w:rsid w:val="00B00765"/>
    <w:rsid w:val="00B0252F"/>
    <w:rsid w:val="00B02858"/>
    <w:rsid w:val="00B10539"/>
    <w:rsid w:val="00B10F2E"/>
    <w:rsid w:val="00B11D20"/>
    <w:rsid w:val="00B11D74"/>
    <w:rsid w:val="00B15276"/>
    <w:rsid w:val="00B17303"/>
    <w:rsid w:val="00B26A2D"/>
    <w:rsid w:val="00B3375B"/>
    <w:rsid w:val="00B348B0"/>
    <w:rsid w:val="00B435C2"/>
    <w:rsid w:val="00B46448"/>
    <w:rsid w:val="00B46917"/>
    <w:rsid w:val="00B50803"/>
    <w:rsid w:val="00B622BC"/>
    <w:rsid w:val="00B67B8C"/>
    <w:rsid w:val="00B7734D"/>
    <w:rsid w:val="00B80672"/>
    <w:rsid w:val="00B8086C"/>
    <w:rsid w:val="00B809D3"/>
    <w:rsid w:val="00B80A40"/>
    <w:rsid w:val="00B90B28"/>
    <w:rsid w:val="00B92053"/>
    <w:rsid w:val="00BA5D3E"/>
    <w:rsid w:val="00BB4305"/>
    <w:rsid w:val="00BB4CC8"/>
    <w:rsid w:val="00BB5F43"/>
    <w:rsid w:val="00BB676C"/>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4BCB"/>
    <w:rsid w:val="00C26855"/>
    <w:rsid w:val="00C26ED7"/>
    <w:rsid w:val="00C343BF"/>
    <w:rsid w:val="00C34DBC"/>
    <w:rsid w:val="00C3754A"/>
    <w:rsid w:val="00C500F2"/>
    <w:rsid w:val="00C51144"/>
    <w:rsid w:val="00C54C7F"/>
    <w:rsid w:val="00C56239"/>
    <w:rsid w:val="00C56B06"/>
    <w:rsid w:val="00C724D2"/>
    <w:rsid w:val="00C7692E"/>
    <w:rsid w:val="00C76C3D"/>
    <w:rsid w:val="00C77D60"/>
    <w:rsid w:val="00C80CEE"/>
    <w:rsid w:val="00C86E79"/>
    <w:rsid w:val="00C92D07"/>
    <w:rsid w:val="00C9499A"/>
    <w:rsid w:val="00C96187"/>
    <w:rsid w:val="00C96700"/>
    <w:rsid w:val="00CA0D0B"/>
    <w:rsid w:val="00CA3243"/>
    <w:rsid w:val="00CA425B"/>
    <w:rsid w:val="00CA4B10"/>
    <w:rsid w:val="00CB05B1"/>
    <w:rsid w:val="00CB0F26"/>
    <w:rsid w:val="00CB3AE2"/>
    <w:rsid w:val="00CB3FBB"/>
    <w:rsid w:val="00CB5906"/>
    <w:rsid w:val="00CB65F1"/>
    <w:rsid w:val="00CC1869"/>
    <w:rsid w:val="00CC2CF7"/>
    <w:rsid w:val="00CD2A1C"/>
    <w:rsid w:val="00CD2EFD"/>
    <w:rsid w:val="00CD4BC4"/>
    <w:rsid w:val="00CD75D2"/>
    <w:rsid w:val="00CD77BC"/>
    <w:rsid w:val="00CE7729"/>
    <w:rsid w:val="00CF1ED7"/>
    <w:rsid w:val="00D00632"/>
    <w:rsid w:val="00D01F37"/>
    <w:rsid w:val="00D03A26"/>
    <w:rsid w:val="00D05D59"/>
    <w:rsid w:val="00D17D39"/>
    <w:rsid w:val="00D17D8F"/>
    <w:rsid w:val="00D22031"/>
    <w:rsid w:val="00D303D6"/>
    <w:rsid w:val="00D32687"/>
    <w:rsid w:val="00D3314A"/>
    <w:rsid w:val="00D362A2"/>
    <w:rsid w:val="00D37B27"/>
    <w:rsid w:val="00D424D2"/>
    <w:rsid w:val="00D47FA4"/>
    <w:rsid w:val="00D51791"/>
    <w:rsid w:val="00D5468E"/>
    <w:rsid w:val="00D61701"/>
    <w:rsid w:val="00D63A7D"/>
    <w:rsid w:val="00D641AC"/>
    <w:rsid w:val="00D64BC8"/>
    <w:rsid w:val="00D65268"/>
    <w:rsid w:val="00D70C1C"/>
    <w:rsid w:val="00D710A9"/>
    <w:rsid w:val="00D74667"/>
    <w:rsid w:val="00D75346"/>
    <w:rsid w:val="00D75A2B"/>
    <w:rsid w:val="00D77E31"/>
    <w:rsid w:val="00D8474E"/>
    <w:rsid w:val="00D86814"/>
    <w:rsid w:val="00D918E3"/>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674FF"/>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447F"/>
    <w:rsid w:val="00EF778F"/>
    <w:rsid w:val="00EF7999"/>
    <w:rsid w:val="00F006DA"/>
    <w:rsid w:val="00F020DF"/>
    <w:rsid w:val="00F05B65"/>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86DFC"/>
    <w:rsid w:val="00F950E6"/>
    <w:rsid w:val="00F960F5"/>
    <w:rsid w:val="00F97939"/>
    <w:rsid w:val="00FA3210"/>
    <w:rsid w:val="00FA62A2"/>
    <w:rsid w:val="00FA7412"/>
    <w:rsid w:val="00FB0F59"/>
    <w:rsid w:val="00FB3BF9"/>
    <w:rsid w:val="00FB55B6"/>
    <w:rsid w:val="00FB5B7E"/>
    <w:rsid w:val="00FB709E"/>
    <w:rsid w:val="00FC57AE"/>
    <w:rsid w:val="00FC6C27"/>
    <w:rsid w:val="00FD7940"/>
    <w:rsid w:val="00FE3585"/>
    <w:rsid w:val="00FF330A"/>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AA3B3C"/>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LsocPrefix">
    <w:name w:val="SCC.Lsoc.Prefix"/>
    <w:basedOn w:val="Normal"/>
    <w:next w:val="Normal"/>
    <w:link w:val="SCCLsocPrefixChar"/>
    <w:rsid w:val="00164196"/>
    <w:rPr>
      <w:rFonts w:eastAsia="Calibri"/>
      <w:b/>
      <w:smallCaps/>
      <w:szCs w:val="24"/>
      <w:lang w:val="en-CA"/>
    </w:rPr>
  </w:style>
  <w:style w:type="character" w:customStyle="1" w:styleId="SCCLsocPrefixChar">
    <w:name w:val="SCC.Lsoc.Prefix Char"/>
    <w:basedOn w:val="DefaultParagraphFont"/>
    <w:link w:val="SCCLsocPrefix"/>
    <w:rsid w:val="00164196"/>
    <w:rPr>
      <w:rFonts w:eastAsia="Calibri" w:cs="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1985085">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2248844">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525904105">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0930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4653</CharactersWithSpaces>
  <SharedDoc>false</SharedDoc>
  <HLinks>
    <vt:vector size="36" baseType="variant">
      <vt:variant>
        <vt:i4>524364</vt:i4>
      </vt:variant>
      <vt:variant>
        <vt:i4>17</vt:i4>
      </vt:variant>
      <vt:variant>
        <vt:i4>0</vt:i4>
      </vt:variant>
      <vt:variant>
        <vt:i4>5</vt:i4>
      </vt:variant>
      <vt:variant>
        <vt:lpwstr>http://www.scc-csc.gc.ca/news-nouv/rel-com/subs-abon-fra.aspx</vt:lpwstr>
      </vt:variant>
      <vt:variant>
        <vt:lpwstr/>
      </vt:variant>
      <vt:variant>
        <vt:i4>852048</vt:i4>
      </vt:variant>
      <vt:variant>
        <vt:i4>14</vt:i4>
      </vt:variant>
      <vt:variant>
        <vt:i4>0</vt:i4>
      </vt:variant>
      <vt:variant>
        <vt:i4>5</vt:i4>
      </vt:variant>
      <vt:variant>
        <vt:lpwstr>http://www.scc-csc.gc.ca/news-nouv/rel-com/subs-abon-eng.aspx</vt:lpwstr>
      </vt:variant>
      <vt:variant>
        <vt:lpwstr/>
      </vt:variant>
      <vt:variant>
        <vt:i4>3080213</vt:i4>
      </vt:variant>
      <vt:variant>
        <vt:i4>11</vt:i4>
      </vt:variant>
      <vt:variant>
        <vt:i4>0</vt:i4>
      </vt:variant>
      <vt:variant>
        <vt:i4>5</vt:i4>
      </vt:variant>
      <vt:variant>
        <vt:lpwstr>mailto:comments-commentaires@scc-csc.ca</vt:lpwstr>
      </vt:variant>
      <vt:variant>
        <vt:lpwstr/>
      </vt:variant>
      <vt:variant>
        <vt:i4>720924</vt:i4>
      </vt:variant>
      <vt:variant>
        <vt:i4>8</vt:i4>
      </vt:variant>
      <vt:variant>
        <vt:i4>0</vt:i4>
      </vt:variant>
      <vt:variant>
        <vt:i4>5</vt:i4>
      </vt:variant>
      <vt:variant>
        <vt:lpwstr>http://www.scc-csc.gc.ca/case-dossier/info/sum-som-fra.aspx?cas=35626</vt:lpwstr>
      </vt:variant>
      <vt:variant>
        <vt:lpwstr/>
      </vt:variant>
      <vt:variant>
        <vt:i4>2359358</vt:i4>
      </vt:variant>
      <vt:variant>
        <vt:i4>5</vt:i4>
      </vt:variant>
      <vt:variant>
        <vt:i4>0</vt:i4>
      </vt:variant>
      <vt:variant>
        <vt:i4>5</vt:i4>
      </vt:variant>
      <vt:variant>
        <vt:lpwstr>http://scc-csc.lexum.com/scc-csc/news/fr/item/4907/index.do</vt:lpwstr>
      </vt:variant>
      <vt:variant>
        <vt:lpwstr/>
      </vt:variant>
      <vt:variant>
        <vt:i4>3670077</vt:i4>
      </vt:variant>
      <vt:variant>
        <vt:i4>2</vt:i4>
      </vt:variant>
      <vt:variant>
        <vt:i4>0</vt:i4>
      </vt:variant>
      <vt:variant>
        <vt:i4>5</vt:i4>
      </vt:variant>
      <vt:variant>
        <vt:lpwstr>http://scc-csc.lexum.com/scc-csc/news/en/item/4907/index.do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2015-06-22T15:40:00Z</dcterms:created>
  <dcterms:modified xsi:type="dcterms:W3CDTF">2015-11-27T16:04:00Z</dcterms:modified>
</cp:coreProperties>
</file>