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8F5389" w:rsidP="00214729">
      <w:pPr>
        <w:widowControl w:val="0"/>
        <w:jc w:val="center"/>
        <w:rPr>
          <w:b/>
        </w:rPr>
      </w:pPr>
      <w:r>
        <w:fldChar w:fldCharType="begin"/>
      </w:r>
      <w:r w:rsidR="00FA7412">
        <w:instrText xml:space="preserve"> SEQ CHAPTER \h \r 1</w:instrText>
      </w:r>
      <w:r>
        <w:fldChar w:fldCharType="end"/>
      </w:r>
      <w:r w:rsidR="00455BB9">
        <w:rPr>
          <w:b/>
        </w:rPr>
        <w:t>JUDGMENT</w:t>
      </w:r>
      <w:r w:rsidR="00FA7412">
        <w:rPr>
          <w:b/>
        </w:rPr>
        <w:t xml:space="preserve"> TO BE RENDERED IN APPEAL</w:t>
      </w:r>
    </w:p>
    <w:p w:rsidR="005A7C1B" w:rsidRDefault="005A7C1B" w:rsidP="005A7C1B">
      <w:pPr>
        <w:widowControl w:val="0"/>
        <w:rPr>
          <w:b/>
        </w:rPr>
      </w:pPr>
    </w:p>
    <w:p w:rsidR="00EC79B0" w:rsidRPr="00497B5E" w:rsidRDefault="00F1258D" w:rsidP="00EC79B0">
      <w:pPr>
        <w:widowControl w:val="0"/>
        <w:rPr>
          <w:b/>
        </w:rPr>
      </w:pPr>
      <w:r>
        <w:rPr>
          <w:b/>
        </w:rPr>
        <w:t>August 28</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B24F5C"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A80C95">
        <w:t xml:space="preserve"> </w:t>
      </w:r>
      <w:r>
        <w:t>will be delivered at 9:45 a.m. E</w:t>
      </w:r>
      <w:r w:rsidR="00E63199">
        <w:t>D</w:t>
      </w:r>
      <w:r w:rsidR="00DC6C1E">
        <w:t>T</w:t>
      </w:r>
      <w:r w:rsidR="00D74667">
        <w:t xml:space="preserve"> on</w:t>
      </w:r>
      <w:r w:rsidR="00DC6C1E">
        <w:t xml:space="preserve"> </w:t>
      </w:r>
      <w:r w:rsidR="00AA67E3">
        <w:t>Fri</w:t>
      </w:r>
      <w:r w:rsidR="00164196">
        <w:t>day</w:t>
      </w:r>
      <w:r w:rsidR="007E79BD">
        <w:t xml:space="preserve">, </w:t>
      </w:r>
      <w:r w:rsidR="00AA67E3">
        <w:t>September 4</w:t>
      </w:r>
      <w:r w:rsidR="007E79BD">
        <w:t>,</w:t>
      </w:r>
      <w:r w:rsidR="00E63199">
        <w:t xml:space="preserve"> 2</w:t>
      </w:r>
      <w:r w:rsidR="0086609D">
        <w:t>015</w:t>
      </w:r>
      <w:r w:rsidR="00455BB9">
        <w:t xml:space="preserve">.  </w:t>
      </w:r>
      <w:r w:rsidR="00455BB9" w:rsidRPr="00B24F5C">
        <w:rPr>
          <w:lang w:val="fr-CA"/>
        </w:rPr>
        <w:t>This</w:t>
      </w:r>
      <w:r w:rsidRPr="00B24F5C">
        <w:rPr>
          <w:lang w:val="fr-CA"/>
        </w:rPr>
        <w:t xml:space="preserve"> list is subject to change.</w:t>
      </w:r>
    </w:p>
    <w:p w:rsidR="001C4415" w:rsidRPr="00B24F5C" w:rsidRDefault="001C4415" w:rsidP="001C4415">
      <w:pPr>
        <w:widowControl w:val="0"/>
        <w:rPr>
          <w:lang w:val="fr-CA"/>
        </w:rPr>
      </w:pPr>
    </w:p>
    <w:p w:rsidR="001C4415" w:rsidRPr="00B24F5C"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 JUGEMENT</w:t>
      </w:r>
      <w:r w:rsidR="00455BB9">
        <w:rPr>
          <w:b/>
          <w:lang w:val="fr-CA"/>
        </w:rPr>
        <w:t xml:space="preserve"> SUR APPEL</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4B1550">
        <w:rPr>
          <w:b/>
          <w:lang w:val="fr-CA"/>
        </w:rPr>
        <w:t>2</w:t>
      </w:r>
      <w:r w:rsidR="00AA67E3">
        <w:rPr>
          <w:b/>
          <w:lang w:val="fr-CA"/>
        </w:rPr>
        <w:t>8 août</w:t>
      </w:r>
      <w:r w:rsidR="00235A05">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A80C95">
        <w:rPr>
          <w:lang w:val="fr-CA"/>
        </w:rPr>
        <w:t>’</w:t>
      </w:r>
      <w:r>
        <w:rPr>
          <w:lang w:val="fr-CA"/>
        </w:rPr>
        <w:t>appel suivant</w:t>
      </w:r>
      <w:r w:rsidRPr="00E2187E">
        <w:rPr>
          <w:lang w:val="fr-CA"/>
        </w:rPr>
        <w:t xml:space="preserve"> </w:t>
      </w:r>
      <w:r w:rsidR="00C56239">
        <w:rPr>
          <w:lang w:val="fr-CA"/>
        </w:rPr>
        <w:t xml:space="preserve">le </w:t>
      </w:r>
      <w:r w:rsidR="00AA67E3">
        <w:rPr>
          <w:lang w:val="fr-CA"/>
        </w:rPr>
        <w:t>vendredi</w:t>
      </w:r>
      <w:r w:rsidR="002001C7">
        <w:rPr>
          <w:lang w:val="fr-CA"/>
        </w:rPr>
        <w:t xml:space="preserve"> </w:t>
      </w:r>
      <w:r w:rsidR="00AA67E3">
        <w:rPr>
          <w:lang w:val="fr-CA"/>
        </w:rPr>
        <w:t>4</w:t>
      </w:r>
      <w:r w:rsidR="00235A05">
        <w:rPr>
          <w:lang w:val="fr-CA"/>
        </w:rPr>
        <w:t xml:space="preserve"> </w:t>
      </w:r>
      <w:r w:rsidR="00AA67E3">
        <w:rPr>
          <w:lang w:val="fr-CA"/>
        </w:rPr>
        <w:t>septembre</w:t>
      </w:r>
      <w:r w:rsidR="00C56239">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F1258D"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2700" r="11430"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D0E6A"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524290" w:rsidRDefault="00524290" w:rsidP="004B1550">
      <w:pPr>
        <w:jc w:val="both"/>
        <w:rPr>
          <w:szCs w:val="24"/>
          <w:lang w:val="fr-CA"/>
        </w:rPr>
      </w:pPr>
    </w:p>
    <w:p w:rsidR="00AA67E3" w:rsidRDefault="00AA67E3" w:rsidP="00AA67E3">
      <w:pPr>
        <w:ind w:left="720" w:hanging="720"/>
        <w:rPr>
          <w:lang w:val="fr-CA"/>
        </w:rPr>
      </w:pPr>
      <w:r>
        <w:rPr>
          <w:i/>
          <w:lang w:val="fr-CA"/>
        </w:rPr>
        <w:t xml:space="preserve">Chevron Corporation et al. v. Daniel Carlos </w:t>
      </w:r>
      <w:proofErr w:type="spellStart"/>
      <w:r>
        <w:rPr>
          <w:i/>
          <w:lang w:val="fr-CA"/>
        </w:rPr>
        <w:t>Lusitande</w:t>
      </w:r>
      <w:proofErr w:type="spellEnd"/>
      <w:r>
        <w:rPr>
          <w:i/>
          <w:lang w:val="fr-CA"/>
        </w:rPr>
        <w:t xml:space="preserve"> </w:t>
      </w:r>
      <w:proofErr w:type="spellStart"/>
      <w:r>
        <w:rPr>
          <w:i/>
          <w:lang w:val="fr-CA"/>
        </w:rPr>
        <w:t>Yaiguaje</w:t>
      </w:r>
      <w:proofErr w:type="spellEnd"/>
      <w:r>
        <w:rPr>
          <w:i/>
          <w:lang w:val="fr-CA"/>
        </w:rPr>
        <w:t xml:space="preserve"> et al.</w:t>
      </w:r>
      <w:r>
        <w:rPr>
          <w:lang w:val="fr-CA"/>
        </w:rPr>
        <w:t xml:space="preserve"> (Ont.) (</w:t>
      </w:r>
      <w:r w:rsidR="00B24F5C">
        <w:fldChar w:fldCharType="begin"/>
      </w:r>
      <w:r w:rsidR="00B24F5C" w:rsidRPr="00B24F5C">
        <w:rPr>
          <w:lang w:val="fr-CA"/>
        </w:rPr>
        <w:instrText xml:space="preserve"> HYPERLINK "http://www.scc-csc.ca</w:instrText>
      </w:r>
      <w:r w:rsidR="00B24F5C" w:rsidRPr="00B24F5C">
        <w:rPr>
          <w:lang w:val="fr-CA"/>
        </w:rPr>
        <w:instrText xml:space="preserve">/case-dossier/info/sum-som-eng.aspx?cas=35682" </w:instrText>
      </w:r>
      <w:r w:rsidR="00B24F5C">
        <w:fldChar w:fldCharType="separate"/>
      </w:r>
      <w:r w:rsidRPr="00AA67E3">
        <w:rPr>
          <w:rStyle w:val="Hyperlink"/>
          <w:lang w:val="fr-CA"/>
        </w:rPr>
        <w:t>35682</w:t>
      </w:r>
      <w:r w:rsidR="00B24F5C">
        <w:rPr>
          <w:rStyle w:val="Hyperlink"/>
          <w:lang w:val="fr-CA"/>
        </w:rPr>
        <w:fldChar w:fldCharType="end"/>
      </w:r>
      <w:r>
        <w:rPr>
          <w:lang w:val="fr-CA"/>
        </w:rPr>
        <w:t>)</w:t>
      </w:r>
    </w:p>
    <w:p w:rsidR="00AA67E3" w:rsidRPr="00A4437B" w:rsidRDefault="00AA67E3" w:rsidP="004B1550">
      <w:pPr>
        <w:jc w:val="both"/>
        <w:rPr>
          <w:sz w:val="20"/>
          <w:lang w:val="fr-CA"/>
        </w:rPr>
      </w:pPr>
    </w:p>
    <w:p w:rsidR="00AA67E3" w:rsidRPr="00A4437B" w:rsidRDefault="00AA67E3" w:rsidP="004B1550">
      <w:pPr>
        <w:jc w:val="both"/>
        <w:rPr>
          <w:sz w:val="20"/>
          <w:lang w:val="fr-CA"/>
        </w:rPr>
      </w:pPr>
    </w:p>
    <w:p w:rsidR="00A4437B" w:rsidRPr="00A4437B" w:rsidRDefault="00A4437B" w:rsidP="00A4437B">
      <w:pPr>
        <w:widowControl w:val="0"/>
        <w:ind w:left="720" w:hanging="720"/>
        <w:jc w:val="both"/>
        <w:rPr>
          <w:sz w:val="20"/>
          <w:lang w:val="fr-CA"/>
        </w:rPr>
      </w:pPr>
      <w:r w:rsidRPr="00A4437B">
        <w:rPr>
          <w:b/>
          <w:sz w:val="20"/>
          <w:lang w:val="en-CA"/>
        </w:rPr>
        <w:fldChar w:fldCharType="begin"/>
      </w:r>
      <w:r w:rsidRPr="00A4437B">
        <w:rPr>
          <w:b/>
          <w:sz w:val="20"/>
          <w:lang w:val="fr-CA"/>
        </w:rPr>
        <w:instrText xml:space="preserve"> SEQ CHAPTER \h \r 1</w:instrText>
      </w:r>
      <w:r w:rsidRPr="00A4437B">
        <w:rPr>
          <w:b/>
          <w:sz w:val="20"/>
        </w:rPr>
        <w:fldChar w:fldCharType="end"/>
      </w:r>
      <w:r w:rsidRPr="00A4437B">
        <w:rPr>
          <w:b/>
          <w:sz w:val="20"/>
          <w:lang w:val="fr-CA"/>
        </w:rPr>
        <w:t>35682</w:t>
      </w:r>
      <w:r w:rsidRPr="00A4437B">
        <w:rPr>
          <w:sz w:val="20"/>
          <w:lang w:val="fr-CA"/>
        </w:rPr>
        <w:tab/>
      </w:r>
      <w:r w:rsidRPr="00A4437B">
        <w:rPr>
          <w:b/>
          <w:i/>
          <w:sz w:val="20"/>
          <w:lang w:val="fr-CA"/>
        </w:rPr>
        <w:t xml:space="preserve">Chevron Corporation et al. v. Daniel Carlos </w:t>
      </w:r>
      <w:proofErr w:type="spellStart"/>
      <w:r w:rsidRPr="00A4437B">
        <w:rPr>
          <w:b/>
          <w:i/>
          <w:sz w:val="20"/>
          <w:lang w:val="fr-CA"/>
        </w:rPr>
        <w:t>Lusitande</w:t>
      </w:r>
      <w:proofErr w:type="spellEnd"/>
      <w:r w:rsidRPr="00A4437B">
        <w:rPr>
          <w:b/>
          <w:i/>
          <w:sz w:val="20"/>
          <w:lang w:val="fr-CA"/>
        </w:rPr>
        <w:t xml:space="preserve"> </w:t>
      </w:r>
      <w:proofErr w:type="spellStart"/>
      <w:r w:rsidRPr="00A4437B">
        <w:rPr>
          <w:b/>
          <w:i/>
          <w:sz w:val="20"/>
          <w:lang w:val="fr-CA"/>
        </w:rPr>
        <w:t>Yaiguaje</w:t>
      </w:r>
      <w:proofErr w:type="spellEnd"/>
      <w:r w:rsidRPr="00A4437B">
        <w:rPr>
          <w:b/>
          <w:i/>
          <w:sz w:val="20"/>
          <w:lang w:val="fr-CA"/>
        </w:rPr>
        <w:t xml:space="preserve"> et al.</w:t>
      </w:r>
    </w:p>
    <w:p w:rsidR="00A4437B" w:rsidRPr="00A4437B" w:rsidRDefault="00A4437B" w:rsidP="00A4437B">
      <w:pPr>
        <w:widowControl w:val="0"/>
        <w:jc w:val="both"/>
        <w:rPr>
          <w:sz w:val="20"/>
          <w:lang w:val="fr-CA"/>
        </w:rPr>
      </w:pPr>
    </w:p>
    <w:p w:rsidR="00A4437B" w:rsidRPr="00A4437B" w:rsidRDefault="00A4437B" w:rsidP="00A4437B">
      <w:pPr>
        <w:widowControl w:val="0"/>
        <w:jc w:val="both"/>
        <w:rPr>
          <w:sz w:val="20"/>
        </w:rPr>
      </w:pPr>
      <w:r w:rsidRPr="00A4437B">
        <w:rPr>
          <w:sz w:val="20"/>
        </w:rPr>
        <w:t>(Sealing order)</w:t>
      </w:r>
    </w:p>
    <w:p w:rsidR="00A4437B" w:rsidRPr="00A4437B" w:rsidRDefault="00A4437B" w:rsidP="00A4437B">
      <w:pPr>
        <w:widowControl w:val="0"/>
        <w:jc w:val="both"/>
        <w:rPr>
          <w:sz w:val="20"/>
        </w:rPr>
      </w:pPr>
    </w:p>
    <w:p w:rsidR="00A4437B" w:rsidRPr="00A4437B" w:rsidRDefault="00A4437B" w:rsidP="00A4437B">
      <w:pPr>
        <w:widowControl w:val="0"/>
        <w:jc w:val="both"/>
        <w:rPr>
          <w:sz w:val="20"/>
        </w:rPr>
      </w:pPr>
      <w:r w:rsidRPr="00A4437B">
        <w:rPr>
          <w:sz w:val="20"/>
        </w:rPr>
        <w:t xml:space="preserve">Private international law - Foreign judgments - Recognition - Enforcement - Proper test to determine whether a provincial superior court has jurisdiction to entertain an action for recognition and enforcement of a foreign judgment - Whether the real and substantial connection test is a universal test for the jurisdiction </w:t>
      </w:r>
      <w:r w:rsidRPr="00A4437B">
        <w:rPr>
          <w:i/>
          <w:sz w:val="20"/>
        </w:rPr>
        <w:t>simpliciter</w:t>
      </w:r>
      <w:r w:rsidRPr="00A4437B">
        <w:rPr>
          <w:sz w:val="20"/>
        </w:rPr>
        <w:t xml:space="preserve"> of the Canadian courts in any action and applies in a recognition and enforcement case - Whether constitutional imperatives preclude any interpretation of provincial legislation or service </w:t>
      </w:r>
      <w:r w:rsidRPr="00A4437B">
        <w:rPr>
          <w:i/>
          <w:sz w:val="20"/>
        </w:rPr>
        <w:t>ex juris</w:t>
      </w:r>
      <w:r w:rsidRPr="00A4437B">
        <w:rPr>
          <w:sz w:val="20"/>
        </w:rPr>
        <w:t xml:space="preserve"> rules as creating automatic or an </w:t>
      </w:r>
      <w:proofErr w:type="spellStart"/>
      <w:r w:rsidRPr="00A4437B">
        <w:rPr>
          <w:sz w:val="20"/>
        </w:rPr>
        <w:t>irrebuttable</w:t>
      </w:r>
      <w:proofErr w:type="spellEnd"/>
      <w:r w:rsidRPr="00A4437B">
        <w:rPr>
          <w:sz w:val="20"/>
        </w:rPr>
        <w:t xml:space="preserve"> presumption of jurisdiction over foreign parties - Whether the doctrine of comity dictates against the assertion of jurisdiction over foreign parties in an action when the adjudication of the issues will be academic, have no practical impact and serve no purpose - Whether a “good arguable case” standard applies to the determination of facts essential to the assertion of jurisdiction over a foreign party - Whether a real and substantial connection with the province is made out on these facts when the sole connection between it and any of the parties of the underlying case is the presence of an indirect Canadian subsidiary of a foreign defendant - Is the presence of assets a pre-requisite to the recognition and enforcement of a foreign judgment - What is the proper test to determine whether a provincial superior court has jurisdiction to recognize and enforce a foreign judgment against a non-party to the foreign judgment not domiciled in the province - Whether carrying on business in the province from an office in the province that bears no relation to the subject matter of the action and having an “economically significant relationship” with the judgment debtor are sufficient for there to be such jurisdiction - To what extent must a court faced with a jurisdictional challenge conduct a threshold examination of the merits of an allegation essential to jurisdiction - If and in what circumstances can a court that does not have jurisdiction to entertain a recognition and enforcement action against the judgment debtor, have jurisdiction for recognition and enforcement of the judgment against a party which was not a party to the original action - Whether, as a matter of jurisdiction </w:t>
      </w:r>
      <w:r w:rsidRPr="00A4437B">
        <w:rPr>
          <w:i/>
          <w:sz w:val="20"/>
        </w:rPr>
        <w:t>simpliciter</w:t>
      </w:r>
      <w:r w:rsidRPr="00A4437B">
        <w:rPr>
          <w:sz w:val="20"/>
        </w:rPr>
        <w:t xml:space="preserve"> over a domestic defendant present in Ontario, the Court must </w:t>
      </w:r>
      <w:r w:rsidRPr="00A4437B">
        <w:rPr>
          <w:sz w:val="20"/>
        </w:rPr>
        <w:lastRenderedPageBreak/>
        <w:t xml:space="preserve">make a determination whether there is a real and substantial connection between the domestic defendant and the subject matter of the action - Whether, as a matter of jurisdiction </w:t>
      </w:r>
      <w:r w:rsidRPr="00A4437B">
        <w:rPr>
          <w:i/>
          <w:sz w:val="20"/>
        </w:rPr>
        <w:t>simpliciter</w:t>
      </w:r>
      <w:r w:rsidRPr="00A4437B">
        <w:rPr>
          <w:sz w:val="20"/>
        </w:rPr>
        <w:t xml:space="preserve">, the Court must determine if the assets of a 100 percent owned subsidiary are </w:t>
      </w:r>
      <w:proofErr w:type="spellStart"/>
      <w:r w:rsidRPr="00A4437B">
        <w:rPr>
          <w:sz w:val="20"/>
        </w:rPr>
        <w:t>exigible</w:t>
      </w:r>
      <w:proofErr w:type="spellEnd"/>
      <w:r w:rsidRPr="00A4437B">
        <w:rPr>
          <w:sz w:val="20"/>
        </w:rPr>
        <w:t xml:space="preserve"> to satisfy the final judgment against the parent.</w:t>
      </w:r>
    </w:p>
    <w:p w:rsidR="00A4437B" w:rsidRPr="00A4437B" w:rsidRDefault="00A4437B" w:rsidP="00A4437B">
      <w:pPr>
        <w:widowControl w:val="0"/>
        <w:jc w:val="both"/>
        <w:rPr>
          <w:sz w:val="20"/>
        </w:rPr>
      </w:pPr>
    </w:p>
    <w:p w:rsidR="00A4437B" w:rsidRPr="00A4437B" w:rsidRDefault="00A4437B" w:rsidP="00A4437B">
      <w:pPr>
        <w:widowControl w:val="0"/>
        <w:jc w:val="both"/>
        <w:rPr>
          <w:sz w:val="20"/>
        </w:rPr>
      </w:pPr>
      <w:r w:rsidRPr="00A4437B">
        <w:rPr>
          <w:sz w:val="20"/>
        </w:rPr>
        <w:t xml:space="preserve">The respondent plaintiffs brought an action in Ecuador against Chevron Corporation for harm caused to their lands and interests by environmental pollution. They seek to have their final judgment of US$9.51 billion in damages recognized and enforced in Ontario against the appellants. The appellants have not </w:t>
      </w:r>
      <w:proofErr w:type="spellStart"/>
      <w:r w:rsidRPr="00A4437B">
        <w:rPr>
          <w:sz w:val="20"/>
        </w:rPr>
        <w:t>attorned</w:t>
      </w:r>
      <w:proofErr w:type="spellEnd"/>
      <w:r w:rsidRPr="00A4437B">
        <w:rPr>
          <w:sz w:val="20"/>
        </w:rPr>
        <w:t xml:space="preserve"> to the jurisdiction and brought motions for orders setting aside service </w:t>
      </w:r>
      <w:r w:rsidRPr="00A4437B">
        <w:rPr>
          <w:i/>
          <w:sz w:val="20"/>
        </w:rPr>
        <w:t>ex juris</w:t>
      </w:r>
      <w:r w:rsidRPr="00A4437B">
        <w:rPr>
          <w:sz w:val="20"/>
        </w:rPr>
        <w:t>, declaring that the court has no jurisdiction, and dismissing or permanently staying the action. The Ontario Superior Court of Justice dismissed the motions to set aside service but granted the motions for a stay of action on the basis that there was no reasonable prospect of recovery since Chevron Corporation held no assets in Ontario.</w:t>
      </w:r>
    </w:p>
    <w:p w:rsidR="00A4437B" w:rsidRPr="00A4437B" w:rsidRDefault="00A4437B" w:rsidP="00A4437B">
      <w:pPr>
        <w:widowControl w:val="0"/>
        <w:jc w:val="both"/>
        <w:rPr>
          <w:sz w:val="20"/>
        </w:rPr>
      </w:pPr>
    </w:p>
    <w:p w:rsidR="00A4437B" w:rsidRPr="00A4437B" w:rsidRDefault="00A4437B" w:rsidP="00A4437B">
      <w:pPr>
        <w:widowControl w:val="0"/>
        <w:jc w:val="both"/>
        <w:rPr>
          <w:sz w:val="20"/>
        </w:rPr>
      </w:pPr>
    </w:p>
    <w:p w:rsidR="00A4437B" w:rsidRPr="00A4437B" w:rsidRDefault="00A4437B" w:rsidP="00A4437B">
      <w:pPr>
        <w:widowControl w:val="0"/>
        <w:jc w:val="both"/>
        <w:rPr>
          <w:sz w:val="20"/>
          <w:lang w:val="en-CA"/>
        </w:rPr>
      </w:pPr>
      <w:r w:rsidRPr="00A4437B">
        <w:rPr>
          <w:sz w:val="20"/>
          <w:lang w:val="en-CA"/>
        </w:rPr>
        <w:t>Origin of the case:</w:t>
      </w:r>
      <w:r>
        <w:rPr>
          <w:sz w:val="20"/>
          <w:lang w:val="en-CA"/>
        </w:rPr>
        <w:tab/>
      </w:r>
      <w:r w:rsidRPr="00A4437B">
        <w:rPr>
          <w:sz w:val="20"/>
          <w:lang w:val="en-CA"/>
        </w:rPr>
        <w:tab/>
      </w:r>
      <w:r w:rsidRPr="00A4437B">
        <w:rPr>
          <w:sz w:val="20"/>
          <w:lang w:val="en-CA"/>
        </w:rPr>
        <w:tab/>
      </w:r>
      <w:r w:rsidRPr="00A4437B">
        <w:rPr>
          <w:sz w:val="20"/>
          <w:lang w:val="en-CA"/>
        </w:rPr>
        <w:tab/>
      </w:r>
      <w:bookmarkStart w:id="1" w:name="4"/>
      <w:bookmarkEnd w:id="1"/>
      <w:r w:rsidRPr="00A4437B">
        <w:rPr>
          <w:sz w:val="20"/>
          <w:lang w:val="en-CA"/>
        </w:rPr>
        <w:t>Ontario</w:t>
      </w:r>
    </w:p>
    <w:p w:rsidR="00A4437B" w:rsidRPr="00A4437B" w:rsidRDefault="00A4437B" w:rsidP="00A4437B">
      <w:pPr>
        <w:widowControl w:val="0"/>
        <w:jc w:val="both"/>
        <w:rPr>
          <w:sz w:val="20"/>
          <w:lang w:val="en-CA"/>
        </w:rPr>
      </w:pPr>
    </w:p>
    <w:p w:rsidR="00A4437B" w:rsidRPr="00A4437B" w:rsidRDefault="00A4437B" w:rsidP="00A4437B">
      <w:pPr>
        <w:widowControl w:val="0"/>
        <w:jc w:val="both"/>
        <w:rPr>
          <w:sz w:val="20"/>
          <w:lang w:val="en-CA"/>
        </w:rPr>
      </w:pPr>
      <w:r w:rsidRPr="00A4437B">
        <w:rPr>
          <w:sz w:val="20"/>
          <w:lang w:val="en-CA"/>
        </w:rPr>
        <w:t>File No.:</w:t>
      </w:r>
      <w:r w:rsidRPr="00A4437B">
        <w:rPr>
          <w:sz w:val="20"/>
          <w:lang w:val="en-CA"/>
        </w:rPr>
        <w:tab/>
      </w:r>
      <w:r w:rsidRPr="00A4437B">
        <w:rPr>
          <w:sz w:val="20"/>
          <w:lang w:val="en-CA"/>
        </w:rPr>
        <w:tab/>
      </w:r>
      <w:r w:rsidRPr="00A4437B">
        <w:rPr>
          <w:sz w:val="20"/>
          <w:lang w:val="en-CA"/>
        </w:rPr>
        <w:tab/>
      </w:r>
      <w:r>
        <w:rPr>
          <w:sz w:val="20"/>
          <w:lang w:val="en-CA"/>
        </w:rPr>
        <w:tab/>
      </w:r>
      <w:r>
        <w:rPr>
          <w:sz w:val="20"/>
          <w:lang w:val="en-CA"/>
        </w:rPr>
        <w:tab/>
      </w:r>
      <w:r>
        <w:rPr>
          <w:sz w:val="20"/>
          <w:lang w:val="en-CA"/>
        </w:rPr>
        <w:tab/>
      </w:r>
      <w:r w:rsidRPr="00A4437B">
        <w:rPr>
          <w:sz w:val="20"/>
          <w:lang w:val="en-CA"/>
        </w:rPr>
        <w:tab/>
      </w:r>
      <w:bookmarkStart w:id="2" w:name="2"/>
      <w:bookmarkEnd w:id="2"/>
      <w:r w:rsidRPr="00A4437B">
        <w:rPr>
          <w:sz w:val="20"/>
          <w:lang w:val="en-CA"/>
        </w:rPr>
        <w:t>35682</w:t>
      </w:r>
    </w:p>
    <w:p w:rsidR="00A4437B" w:rsidRPr="00A4437B" w:rsidRDefault="00A4437B" w:rsidP="00A4437B">
      <w:pPr>
        <w:widowControl w:val="0"/>
        <w:jc w:val="both"/>
        <w:rPr>
          <w:sz w:val="20"/>
          <w:lang w:val="en-CA"/>
        </w:rPr>
      </w:pPr>
    </w:p>
    <w:p w:rsidR="00A4437B" w:rsidRPr="00A4437B" w:rsidRDefault="00A4437B" w:rsidP="00A4437B">
      <w:pPr>
        <w:widowControl w:val="0"/>
        <w:jc w:val="both"/>
        <w:rPr>
          <w:sz w:val="20"/>
          <w:lang w:val="en-CA"/>
        </w:rPr>
      </w:pPr>
      <w:r w:rsidRPr="00A4437B">
        <w:rPr>
          <w:sz w:val="20"/>
          <w:lang w:val="en-CA"/>
        </w:rPr>
        <w:t>Judgment of the Court of Appeal:</w:t>
      </w:r>
      <w:r w:rsidRPr="00A4437B">
        <w:rPr>
          <w:sz w:val="20"/>
          <w:lang w:val="en-CA"/>
        </w:rPr>
        <w:tab/>
      </w:r>
      <w:bookmarkStart w:id="3" w:name="5"/>
      <w:bookmarkEnd w:id="3"/>
      <w:r w:rsidRPr="00A4437B">
        <w:rPr>
          <w:sz w:val="20"/>
          <w:lang w:val="en-CA"/>
        </w:rPr>
        <w:t>December 17, 2013</w:t>
      </w:r>
    </w:p>
    <w:p w:rsidR="00A4437B" w:rsidRPr="00A4437B" w:rsidRDefault="00A4437B" w:rsidP="00A4437B">
      <w:pPr>
        <w:widowControl w:val="0"/>
        <w:jc w:val="both"/>
        <w:rPr>
          <w:sz w:val="20"/>
          <w:lang w:val="en-CA"/>
        </w:rPr>
      </w:pPr>
    </w:p>
    <w:p w:rsidR="00A4437B" w:rsidRPr="00A4437B" w:rsidRDefault="00A4437B" w:rsidP="00A4437B">
      <w:pPr>
        <w:widowControl w:val="0"/>
        <w:jc w:val="both"/>
        <w:rPr>
          <w:sz w:val="20"/>
          <w:lang w:val="en-CA"/>
        </w:rPr>
      </w:pPr>
      <w:r w:rsidRPr="00A4437B">
        <w:rPr>
          <w:sz w:val="20"/>
          <w:lang w:val="en-CA"/>
        </w:rPr>
        <w:t>Counsel:</w:t>
      </w:r>
      <w:r w:rsidRPr="00A4437B">
        <w:rPr>
          <w:sz w:val="20"/>
          <w:lang w:val="en-CA"/>
        </w:rPr>
        <w:tab/>
      </w:r>
      <w:bookmarkStart w:id="4" w:name="6"/>
      <w:bookmarkEnd w:id="4"/>
      <w:r>
        <w:rPr>
          <w:sz w:val="20"/>
          <w:lang w:val="en-CA"/>
        </w:rPr>
        <w:tab/>
      </w:r>
      <w:r>
        <w:rPr>
          <w:sz w:val="20"/>
          <w:lang w:val="en-CA"/>
        </w:rPr>
        <w:tab/>
      </w:r>
      <w:r>
        <w:rPr>
          <w:sz w:val="20"/>
          <w:lang w:val="en-CA"/>
        </w:rPr>
        <w:tab/>
      </w:r>
      <w:r>
        <w:rPr>
          <w:sz w:val="20"/>
          <w:lang w:val="en-CA"/>
        </w:rPr>
        <w:tab/>
      </w:r>
      <w:r>
        <w:rPr>
          <w:sz w:val="20"/>
          <w:lang w:val="en-CA"/>
        </w:rPr>
        <w:tab/>
      </w:r>
      <w:r>
        <w:rPr>
          <w:sz w:val="20"/>
          <w:lang w:val="en-CA"/>
        </w:rPr>
        <w:tab/>
      </w:r>
      <w:r w:rsidRPr="00A4437B">
        <w:rPr>
          <w:sz w:val="20"/>
          <w:lang w:val="en-CA"/>
        </w:rPr>
        <w:t xml:space="preserve">Clarke Hunter, Anne </w:t>
      </w:r>
      <w:proofErr w:type="spellStart"/>
      <w:r w:rsidRPr="00A4437B">
        <w:rPr>
          <w:sz w:val="20"/>
          <w:lang w:val="en-CA"/>
        </w:rPr>
        <w:t>Kirker</w:t>
      </w:r>
      <w:proofErr w:type="spellEnd"/>
      <w:r w:rsidRPr="00A4437B">
        <w:rPr>
          <w:sz w:val="20"/>
          <w:lang w:val="en-CA"/>
        </w:rPr>
        <w:t xml:space="preserve"> and Jung Lee for the Appellant Chevron Corporation</w:t>
      </w:r>
    </w:p>
    <w:p w:rsidR="00A4437B" w:rsidRPr="00A4437B" w:rsidRDefault="00A4437B" w:rsidP="00A4437B">
      <w:pPr>
        <w:widowControl w:val="0"/>
        <w:ind w:left="2880" w:hanging="2880"/>
        <w:jc w:val="both"/>
        <w:rPr>
          <w:sz w:val="20"/>
          <w:lang w:val="en-CA"/>
        </w:rPr>
      </w:pPr>
      <w:r>
        <w:rPr>
          <w:sz w:val="20"/>
          <w:lang w:val="en-CA"/>
        </w:rPr>
        <w:tab/>
      </w:r>
      <w:r w:rsidRPr="00A4437B">
        <w:rPr>
          <w:sz w:val="20"/>
          <w:lang w:val="en-CA"/>
        </w:rPr>
        <w:t xml:space="preserve">Benjamin </w:t>
      </w:r>
      <w:proofErr w:type="spellStart"/>
      <w:r w:rsidRPr="00A4437B">
        <w:rPr>
          <w:sz w:val="20"/>
          <w:lang w:val="en-CA"/>
        </w:rPr>
        <w:t>Zarnett</w:t>
      </w:r>
      <w:proofErr w:type="spellEnd"/>
      <w:r w:rsidRPr="00A4437B">
        <w:rPr>
          <w:sz w:val="20"/>
          <w:lang w:val="en-CA"/>
        </w:rPr>
        <w:t xml:space="preserve">, Suzy Kauffman and Peter </w:t>
      </w:r>
      <w:proofErr w:type="spellStart"/>
      <w:r w:rsidRPr="00A4437B">
        <w:rPr>
          <w:sz w:val="20"/>
          <w:lang w:val="en-CA"/>
        </w:rPr>
        <w:t>Kolla</w:t>
      </w:r>
      <w:proofErr w:type="spellEnd"/>
      <w:r w:rsidRPr="00A4437B">
        <w:rPr>
          <w:sz w:val="20"/>
          <w:lang w:val="en-CA"/>
        </w:rPr>
        <w:t xml:space="preserve"> for the Appellant Chevron Canada Limited</w:t>
      </w:r>
    </w:p>
    <w:p w:rsidR="00A4437B" w:rsidRPr="00A4437B" w:rsidRDefault="00A4437B" w:rsidP="00A4437B">
      <w:pPr>
        <w:widowControl w:val="0"/>
        <w:jc w:val="both"/>
        <w:rPr>
          <w:sz w:val="20"/>
          <w:lang w:val="en-CA"/>
        </w:rPr>
      </w:pPr>
      <w:r>
        <w:rPr>
          <w:sz w:val="20"/>
          <w:lang w:val="en-CA"/>
        </w:rPr>
        <w:tab/>
      </w:r>
      <w:r>
        <w:rPr>
          <w:sz w:val="20"/>
          <w:lang w:val="en-CA"/>
        </w:rPr>
        <w:tab/>
      </w:r>
      <w:r>
        <w:rPr>
          <w:sz w:val="20"/>
          <w:lang w:val="en-CA"/>
        </w:rPr>
        <w:tab/>
      </w:r>
      <w:r w:rsidRPr="00A4437B">
        <w:rPr>
          <w:sz w:val="20"/>
          <w:lang w:val="en-CA"/>
        </w:rPr>
        <w:tab/>
      </w:r>
      <w:r w:rsidRPr="00A4437B">
        <w:rPr>
          <w:sz w:val="20"/>
          <w:lang w:val="en-CA"/>
        </w:rPr>
        <w:tab/>
      </w:r>
      <w:r w:rsidRPr="00A4437B">
        <w:rPr>
          <w:sz w:val="20"/>
          <w:lang w:val="en-CA"/>
        </w:rPr>
        <w:tab/>
      </w:r>
      <w:r w:rsidRPr="00A4437B">
        <w:rPr>
          <w:sz w:val="20"/>
          <w:lang w:val="en-CA"/>
        </w:rPr>
        <w:tab/>
      </w:r>
      <w:r w:rsidRPr="00A4437B">
        <w:rPr>
          <w:sz w:val="20"/>
          <w:lang w:val="en-CA"/>
        </w:rPr>
        <w:tab/>
      </w:r>
      <w:bookmarkStart w:id="5" w:name="7"/>
      <w:bookmarkEnd w:id="5"/>
      <w:r w:rsidRPr="00A4437B">
        <w:rPr>
          <w:sz w:val="20"/>
          <w:lang w:val="en-CA"/>
        </w:rPr>
        <w:t xml:space="preserve">Alan </w:t>
      </w:r>
      <w:proofErr w:type="spellStart"/>
      <w:r w:rsidRPr="00A4437B">
        <w:rPr>
          <w:sz w:val="20"/>
          <w:lang w:val="en-CA"/>
        </w:rPr>
        <w:t>Lenczner</w:t>
      </w:r>
      <w:proofErr w:type="spellEnd"/>
      <w:r w:rsidRPr="00A4437B">
        <w:rPr>
          <w:sz w:val="20"/>
          <w:lang w:val="en-CA"/>
        </w:rPr>
        <w:t xml:space="preserve"> and Brendon Morrison for the Respondents</w:t>
      </w:r>
    </w:p>
    <w:p w:rsidR="00A4437B" w:rsidRPr="00A4437B" w:rsidRDefault="00A4437B" w:rsidP="004B1550">
      <w:pPr>
        <w:jc w:val="both"/>
        <w:rPr>
          <w:sz w:val="20"/>
        </w:rPr>
      </w:pPr>
    </w:p>
    <w:p w:rsidR="00A4437B" w:rsidRPr="00A4437B" w:rsidRDefault="00A4437B" w:rsidP="004B1550">
      <w:pPr>
        <w:jc w:val="both"/>
        <w:rPr>
          <w:sz w:val="20"/>
        </w:rPr>
      </w:pPr>
    </w:p>
    <w:p w:rsidR="00A4437B" w:rsidRPr="00A4437B" w:rsidRDefault="00A4437B" w:rsidP="00A4437B">
      <w:pPr>
        <w:widowControl w:val="0"/>
        <w:ind w:left="720" w:hanging="720"/>
        <w:jc w:val="both"/>
        <w:rPr>
          <w:sz w:val="20"/>
          <w:lang w:val="fr-CA"/>
        </w:rPr>
      </w:pPr>
      <w:bookmarkStart w:id="6" w:name="1"/>
      <w:bookmarkStart w:id="7" w:name="QuickMark_1"/>
      <w:bookmarkEnd w:id="6"/>
      <w:bookmarkEnd w:id="7"/>
      <w:r w:rsidRPr="00A4437B">
        <w:rPr>
          <w:b/>
          <w:sz w:val="20"/>
          <w:lang w:val="fr-CA"/>
        </w:rPr>
        <w:t>35682</w:t>
      </w:r>
      <w:r w:rsidRPr="00A4437B">
        <w:rPr>
          <w:sz w:val="20"/>
          <w:lang w:val="fr-CA"/>
        </w:rPr>
        <w:fldChar w:fldCharType="begin"/>
      </w:r>
      <w:r w:rsidRPr="00A4437B">
        <w:rPr>
          <w:sz w:val="20"/>
          <w:lang w:val="fr-CA"/>
        </w:rPr>
        <w:instrText xml:space="preserve"> SEQ CHAPTER \h \r 1</w:instrText>
      </w:r>
      <w:r w:rsidRPr="00A4437B">
        <w:rPr>
          <w:sz w:val="20"/>
        </w:rPr>
        <w:fldChar w:fldCharType="end"/>
      </w:r>
      <w:r w:rsidRPr="00A4437B">
        <w:rPr>
          <w:sz w:val="20"/>
          <w:lang w:val="fr-CA"/>
        </w:rPr>
        <w:tab/>
      </w:r>
      <w:bookmarkStart w:id="8" w:name="3"/>
      <w:bookmarkEnd w:id="8"/>
      <w:r w:rsidRPr="00A4437B">
        <w:rPr>
          <w:b/>
          <w:i/>
          <w:sz w:val="20"/>
          <w:lang w:val="fr-CA"/>
        </w:rPr>
        <w:t xml:space="preserve">Chevron Corporation et al. v. Daniel Carlos </w:t>
      </w:r>
      <w:proofErr w:type="spellStart"/>
      <w:r w:rsidRPr="00A4437B">
        <w:rPr>
          <w:b/>
          <w:i/>
          <w:sz w:val="20"/>
          <w:lang w:val="fr-CA"/>
        </w:rPr>
        <w:t>Lusitande</w:t>
      </w:r>
      <w:proofErr w:type="spellEnd"/>
      <w:r w:rsidRPr="00A4437B">
        <w:rPr>
          <w:b/>
          <w:i/>
          <w:sz w:val="20"/>
          <w:lang w:val="fr-CA"/>
        </w:rPr>
        <w:t xml:space="preserve"> </w:t>
      </w:r>
      <w:proofErr w:type="spellStart"/>
      <w:r w:rsidRPr="00A4437B">
        <w:rPr>
          <w:b/>
          <w:i/>
          <w:sz w:val="20"/>
          <w:lang w:val="fr-CA"/>
        </w:rPr>
        <w:t>Yaiguaje</w:t>
      </w:r>
      <w:proofErr w:type="spellEnd"/>
      <w:r w:rsidRPr="00A4437B">
        <w:rPr>
          <w:b/>
          <w:i/>
          <w:sz w:val="20"/>
          <w:lang w:val="fr-CA"/>
        </w:rPr>
        <w:t xml:space="preserve"> et al.</w:t>
      </w:r>
    </w:p>
    <w:p w:rsidR="00A4437B" w:rsidRPr="00A4437B" w:rsidRDefault="00A4437B" w:rsidP="00A4437B">
      <w:pPr>
        <w:widowControl w:val="0"/>
        <w:jc w:val="both"/>
        <w:rPr>
          <w:sz w:val="20"/>
          <w:lang w:val="fr-CA"/>
        </w:rPr>
      </w:pPr>
    </w:p>
    <w:p w:rsidR="00A4437B" w:rsidRPr="00A4437B" w:rsidRDefault="00A4437B" w:rsidP="00A4437B">
      <w:pPr>
        <w:widowControl w:val="0"/>
        <w:jc w:val="both"/>
        <w:rPr>
          <w:sz w:val="20"/>
          <w:lang w:val="fr-CA"/>
        </w:rPr>
      </w:pPr>
      <w:r w:rsidRPr="00A4437B">
        <w:rPr>
          <w:sz w:val="20"/>
          <w:lang w:val="fr-CA"/>
        </w:rPr>
        <w:t>(Ordonnance de mise sous scellés)</w:t>
      </w:r>
    </w:p>
    <w:p w:rsidR="00A4437B" w:rsidRPr="00A4437B" w:rsidRDefault="00A4437B" w:rsidP="00A4437B">
      <w:pPr>
        <w:widowControl w:val="0"/>
        <w:jc w:val="both"/>
        <w:rPr>
          <w:sz w:val="20"/>
          <w:lang w:val="fr-CA"/>
        </w:rPr>
      </w:pPr>
    </w:p>
    <w:p w:rsidR="00A4437B" w:rsidRPr="00A4437B" w:rsidRDefault="00A4437B" w:rsidP="00A4437B">
      <w:pPr>
        <w:widowControl w:val="0"/>
        <w:jc w:val="both"/>
        <w:rPr>
          <w:sz w:val="20"/>
          <w:lang w:val="fr-CA"/>
        </w:rPr>
      </w:pPr>
      <w:r w:rsidRPr="00A4437B">
        <w:rPr>
          <w:sz w:val="20"/>
          <w:lang w:val="fr-CA"/>
        </w:rPr>
        <w:t>Droit international privé - Jugements étrangers - Reconnaissance - Exécution - Critère applicable pour déterminer si une cour supérieure provinciale peut connaître d’une action en reconnaissance et exécution du jugement d’un tribunal étranger - Le critère du lien réel et substantiel constitue</w:t>
      </w:r>
      <w:r w:rsidRPr="00A4437B">
        <w:rPr>
          <w:sz w:val="20"/>
          <w:lang w:val="fr-CA"/>
        </w:rPr>
        <w:noBreakHyphen/>
        <w:t>t</w:t>
      </w:r>
      <w:r w:rsidRPr="00A4437B">
        <w:rPr>
          <w:sz w:val="20"/>
          <w:lang w:val="fr-CA"/>
        </w:rPr>
        <w:noBreakHyphen/>
        <w:t>il un critère universel de simple reconnaissance de compétence des tribunaux canadiens dans toute action et s’applique</w:t>
      </w:r>
      <w:r w:rsidRPr="00A4437B">
        <w:rPr>
          <w:sz w:val="20"/>
          <w:lang w:val="fr-CA"/>
        </w:rPr>
        <w:noBreakHyphen/>
        <w:t>t</w:t>
      </w:r>
      <w:r w:rsidRPr="00A4437B">
        <w:rPr>
          <w:sz w:val="20"/>
          <w:lang w:val="fr-CA"/>
        </w:rPr>
        <w:noBreakHyphen/>
        <w:t xml:space="preserve">il dans une affaire portant sur la reconnaissance et l’exécution d’un jugement étranger? - Les impératifs constitutionnels </w:t>
      </w:r>
      <w:proofErr w:type="spellStart"/>
      <w:r w:rsidRPr="00A4437B">
        <w:rPr>
          <w:sz w:val="20"/>
          <w:lang w:val="fr-CA"/>
        </w:rPr>
        <w:t>font</w:t>
      </w:r>
      <w:r w:rsidRPr="00A4437B">
        <w:rPr>
          <w:sz w:val="20"/>
          <w:lang w:val="fr-CA"/>
        </w:rPr>
        <w:noBreakHyphen/>
        <w:t>ils</w:t>
      </w:r>
      <w:proofErr w:type="spellEnd"/>
      <w:r w:rsidRPr="00A4437B">
        <w:rPr>
          <w:sz w:val="20"/>
          <w:lang w:val="fr-CA"/>
        </w:rPr>
        <w:t xml:space="preserve"> obstacle à une interprétation de la législation provinciale ou des règles de signification </w:t>
      </w:r>
      <w:r w:rsidRPr="00A4437B">
        <w:rPr>
          <w:i/>
          <w:sz w:val="20"/>
          <w:lang w:val="fr-CA"/>
        </w:rPr>
        <w:t xml:space="preserve">ex </w:t>
      </w:r>
      <w:proofErr w:type="spellStart"/>
      <w:r w:rsidRPr="00A4437B">
        <w:rPr>
          <w:i/>
          <w:sz w:val="20"/>
          <w:lang w:val="fr-CA"/>
        </w:rPr>
        <w:t>juris</w:t>
      </w:r>
      <w:proofErr w:type="spellEnd"/>
      <w:r w:rsidRPr="00A4437B">
        <w:rPr>
          <w:sz w:val="20"/>
          <w:lang w:val="fr-CA"/>
        </w:rPr>
        <w:t xml:space="preserve"> selon laquelle il y a compétence d’office ou une présomption irréfutable de compétence à l’égard des parties étrangères? - La doctrine de la courtoisie empêche</w:t>
      </w:r>
      <w:r w:rsidRPr="00A4437B">
        <w:rPr>
          <w:sz w:val="20"/>
          <w:lang w:val="fr-CA"/>
        </w:rPr>
        <w:noBreakHyphen/>
        <w:t>t</w:t>
      </w:r>
      <w:r w:rsidRPr="00A4437B">
        <w:rPr>
          <w:sz w:val="20"/>
          <w:lang w:val="fr-CA"/>
        </w:rPr>
        <w:noBreakHyphen/>
        <w:t xml:space="preserve">elle le tribunal de se déclarer compétent à l’égard de parties étrangères dans le cadre d’une action où la décision </w:t>
      </w:r>
      <w:proofErr w:type="spellStart"/>
      <w:r w:rsidRPr="00A4437B">
        <w:rPr>
          <w:sz w:val="20"/>
          <w:lang w:val="fr-CA"/>
        </w:rPr>
        <w:t>revêtera</w:t>
      </w:r>
      <w:proofErr w:type="spellEnd"/>
      <w:r w:rsidRPr="00A4437B">
        <w:rPr>
          <w:sz w:val="20"/>
          <w:lang w:val="fr-CA"/>
        </w:rPr>
        <w:t xml:space="preserve"> un caractère théorique, sera dépourvue d’incidence concrète et ne servira aucune fin? - La norme de la « cause tout à fait défendable » s’applique</w:t>
      </w:r>
      <w:r w:rsidRPr="00A4437B">
        <w:rPr>
          <w:sz w:val="20"/>
          <w:lang w:val="fr-CA"/>
        </w:rPr>
        <w:noBreakHyphen/>
        <w:t>t</w:t>
      </w:r>
      <w:r w:rsidRPr="00A4437B">
        <w:rPr>
          <w:sz w:val="20"/>
          <w:lang w:val="fr-CA"/>
        </w:rPr>
        <w:noBreakHyphen/>
        <w:t>elle à la détermination de faits essentiels à la déclaration de compétence à l’égard d’une partie étrangère? - Un lien réel et substantiel avec la province est</w:t>
      </w:r>
      <w:r w:rsidRPr="00A4437B">
        <w:rPr>
          <w:sz w:val="20"/>
          <w:lang w:val="fr-CA"/>
        </w:rPr>
        <w:noBreakHyphen/>
        <w:t>il établi à la lumière de ces faits si le seul lien entre cette dernière et l’une ou l’autre des parties à l’action intentée dans l’autre ressort est la présence au Canada d’une filiale indirecte d’un défendeur étranger? - La  reconnaissance et l’exécution d’un jugement étranger sont</w:t>
      </w:r>
      <w:r w:rsidRPr="00A4437B">
        <w:rPr>
          <w:sz w:val="20"/>
          <w:lang w:val="fr-CA"/>
        </w:rPr>
        <w:noBreakHyphen/>
        <w:t>elles subordonnées à la présence d’actifs? - Quel est le critère applicable pour déterminer si une cour supérieure provinciale peut reconnaître et exécuter un jugement étranger contre une personne qui n’est pas partie au jugement étranger et qui n’est pas domiciliée dans la province? - Le fait d’avoir un bureau dans la province et d’y faire des affaires sans aucun rapport avec le sujet de l’action et le fait d’entretenir des « rapports économiques importants » avec le débiteur judiciaire suffisent</w:t>
      </w:r>
      <w:r w:rsidRPr="00A4437B">
        <w:rPr>
          <w:sz w:val="20"/>
          <w:lang w:val="fr-CA"/>
        </w:rPr>
        <w:noBreakHyphen/>
        <w:t>ils pour qu’il y ait compétence? - Dans quelle mesure un tribunal saisi d’une contestation quant à la compétence doit</w:t>
      </w:r>
      <w:r w:rsidRPr="00A4437B">
        <w:rPr>
          <w:sz w:val="20"/>
          <w:lang w:val="fr-CA"/>
        </w:rPr>
        <w:noBreakHyphen/>
        <w:t xml:space="preserve">il juger au fond une allégation essentielle pour déterminer la compétence afin de déterminer si elle atteint le seuil nécessaire? - Dans quelles circonstances, s’il y en a, un tribunal ne pouvant connaître d’une action en reconnaissance et exécution contre le débiteur judiciaire </w:t>
      </w:r>
      <w:proofErr w:type="spellStart"/>
      <w:r w:rsidRPr="00A4437B">
        <w:rPr>
          <w:sz w:val="20"/>
          <w:lang w:val="fr-CA"/>
        </w:rPr>
        <w:t>a</w:t>
      </w:r>
      <w:r w:rsidRPr="00A4437B">
        <w:rPr>
          <w:sz w:val="20"/>
          <w:lang w:val="fr-CA"/>
        </w:rPr>
        <w:noBreakHyphen/>
        <w:t>t</w:t>
      </w:r>
      <w:r w:rsidRPr="00A4437B">
        <w:rPr>
          <w:sz w:val="20"/>
          <w:lang w:val="fr-CA"/>
        </w:rPr>
        <w:noBreakHyphen/>
        <w:t>il</w:t>
      </w:r>
      <w:proofErr w:type="spellEnd"/>
      <w:r w:rsidRPr="00A4437B">
        <w:rPr>
          <w:sz w:val="20"/>
          <w:lang w:val="fr-CA"/>
        </w:rPr>
        <w:t xml:space="preserve"> compétence pour reconnaître et exécuter un jugement prononcé contre une partie qui n’était pas partie à l’action initiale? - La Cour </w:t>
      </w:r>
      <w:proofErr w:type="spellStart"/>
      <w:r w:rsidRPr="00A4437B">
        <w:rPr>
          <w:sz w:val="20"/>
          <w:lang w:val="fr-CA"/>
        </w:rPr>
        <w:t>doit</w:t>
      </w:r>
      <w:r w:rsidRPr="00A4437B">
        <w:rPr>
          <w:sz w:val="20"/>
          <w:lang w:val="fr-CA"/>
        </w:rPr>
        <w:noBreakHyphen/>
        <w:t>elle</w:t>
      </w:r>
      <w:proofErr w:type="spellEnd"/>
      <w:r w:rsidRPr="00A4437B">
        <w:rPr>
          <w:sz w:val="20"/>
          <w:lang w:val="fr-CA"/>
        </w:rPr>
        <w:t xml:space="preserve">, en vertu de sa compétence à l’égard d’un défendeur présent en Ontario, déterminer s’il existe un lien réel et substantiel entre le défendeur ontarien et le sujet de l’action? - La Cour </w:t>
      </w:r>
      <w:proofErr w:type="spellStart"/>
      <w:r w:rsidRPr="00A4437B">
        <w:rPr>
          <w:sz w:val="20"/>
          <w:lang w:val="fr-CA"/>
        </w:rPr>
        <w:t>doit</w:t>
      </w:r>
      <w:r w:rsidRPr="00A4437B">
        <w:rPr>
          <w:sz w:val="20"/>
          <w:lang w:val="fr-CA"/>
        </w:rPr>
        <w:noBreakHyphen/>
        <w:t>elle</w:t>
      </w:r>
      <w:proofErr w:type="spellEnd"/>
      <w:r w:rsidRPr="00A4437B">
        <w:rPr>
          <w:sz w:val="20"/>
          <w:lang w:val="fr-CA"/>
        </w:rPr>
        <w:t>, en vertu de sa compétence, déterminer si les actifs d’une filiale en propriété exclusive sont exigibles à l’égard du jugement final prononcé contre la société mère?</w:t>
      </w:r>
    </w:p>
    <w:p w:rsidR="00A4437B" w:rsidRPr="00A4437B" w:rsidRDefault="00A4437B" w:rsidP="00A4437B">
      <w:pPr>
        <w:widowControl w:val="0"/>
        <w:jc w:val="both"/>
        <w:rPr>
          <w:sz w:val="20"/>
          <w:lang w:val="fr-CA"/>
        </w:rPr>
      </w:pPr>
    </w:p>
    <w:p w:rsidR="00A4437B" w:rsidRPr="00A4437B" w:rsidRDefault="00A4437B" w:rsidP="00A4437B">
      <w:pPr>
        <w:widowControl w:val="0"/>
        <w:jc w:val="both"/>
        <w:rPr>
          <w:sz w:val="20"/>
          <w:lang w:val="fr-CA"/>
        </w:rPr>
      </w:pPr>
      <w:r w:rsidRPr="00A4437B">
        <w:rPr>
          <w:sz w:val="20"/>
          <w:lang w:val="fr-CA"/>
        </w:rPr>
        <w:t>Les demandeurs</w:t>
      </w:r>
      <w:r w:rsidRPr="00A4437B">
        <w:rPr>
          <w:sz w:val="20"/>
          <w:lang w:val="fr-CA"/>
        </w:rPr>
        <w:noBreakHyphen/>
        <w:t xml:space="preserve"> intimés ont intenté une action en Équateur contre Chevron Corporation pour préjudice causé à leurs terres et à leurs intérêts par la pollution environnementale.  Ils se pourvoient en reconnaissance et exécution contre les appelants, en Ontario, du jugement final qui leur accorde 9,51 milliards de dollars américains en dommages</w:t>
      </w:r>
      <w:r w:rsidRPr="00A4437B">
        <w:rPr>
          <w:sz w:val="20"/>
          <w:lang w:val="fr-CA"/>
        </w:rPr>
        <w:noBreakHyphen/>
        <w:t xml:space="preserve">intérêts.  Les appelants n’ont pas acquiescé à la compétence et ont présenté des requêtes en vue d’obtenir une ordonnance qui </w:t>
      </w:r>
      <w:r w:rsidRPr="00A4437B">
        <w:rPr>
          <w:sz w:val="20"/>
          <w:lang w:val="fr-CA"/>
        </w:rPr>
        <w:lastRenderedPageBreak/>
        <w:t xml:space="preserve">annulerait la signification </w:t>
      </w:r>
      <w:r w:rsidRPr="00A4437B">
        <w:rPr>
          <w:i/>
          <w:sz w:val="20"/>
          <w:lang w:val="fr-CA"/>
        </w:rPr>
        <w:t xml:space="preserve">ex </w:t>
      </w:r>
      <w:proofErr w:type="spellStart"/>
      <w:r w:rsidRPr="00A4437B">
        <w:rPr>
          <w:i/>
          <w:sz w:val="20"/>
          <w:lang w:val="fr-CA"/>
        </w:rPr>
        <w:t>juris</w:t>
      </w:r>
      <w:proofErr w:type="spellEnd"/>
      <w:r w:rsidRPr="00A4437B">
        <w:rPr>
          <w:sz w:val="20"/>
          <w:lang w:val="fr-CA"/>
        </w:rPr>
        <w:t>, une déclaration d’incompétence de la cour, et le rejet ou le sursis permanent de l’action.  La Cour supérieure de justice de l’Ontario a rejeté les requêtes visant à faire annuler la signification, mais a accueilli les requêtes en sursis de l’action au motif qu’il n’y avait aucune perspective raisonnable de  recouvrement puisque Chevron Corporation ne détenait aucun actif en Ontario..</w:t>
      </w:r>
    </w:p>
    <w:p w:rsidR="00A4437B" w:rsidRPr="00A4437B" w:rsidRDefault="00A4437B" w:rsidP="00A4437B">
      <w:pPr>
        <w:rPr>
          <w:sz w:val="20"/>
          <w:lang w:val="fr-CA"/>
        </w:rPr>
      </w:pPr>
    </w:p>
    <w:p w:rsidR="00A4437B" w:rsidRPr="00A4437B" w:rsidRDefault="00A4437B" w:rsidP="00A4437B">
      <w:pPr>
        <w:rPr>
          <w:sz w:val="20"/>
          <w:lang w:val="fr-CA"/>
        </w:rPr>
      </w:pPr>
    </w:p>
    <w:p w:rsidR="00A4437B" w:rsidRPr="00A4437B" w:rsidRDefault="00A4437B" w:rsidP="00A4437B">
      <w:pPr>
        <w:widowControl w:val="0"/>
        <w:jc w:val="both"/>
        <w:rPr>
          <w:sz w:val="20"/>
          <w:lang w:val="fr-CA"/>
        </w:rPr>
      </w:pPr>
      <w:r w:rsidRPr="00A4437B">
        <w:rPr>
          <w:sz w:val="20"/>
          <w:lang w:val="fr-CA"/>
        </w:rPr>
        <w:t>Origine :</w:t>
      </w:r>
      <w:r w:rsidRPr="00A4437B">
        <w:rPr>
          <w:sz w:val="20"/>
          <w:lang w:val="fr-CA"/>
        </w:rPr>
        <w:tab/>
      </w:r>
      <w:r w:rsidRPr="00A4437B">
        <w:rPr>
          <w:sz w:val="20"/>
          <w:lang w:val="fr-CA"/>
        </w:rPr>
        <w:tab/>
      </w:r>
      <w:r w:rsidRPr="00A4437B">
        <w:rPr>
          <w:sz w:val="20"/>
          <w:lang w:val="fr-CA"/>
        </w:rPr>
        <w:tab/>
      </w:r>
      <w:r>
        <w:rPr>
          <w:sz w:val="20"/>
          <w:lang w:val="fr-CA"/>
        </w:rPr>
        <w:tab/>
      </w:r>
      <w:r>
        <w:rPr>
          <w:sz w:val="20"/>
          <w:lang w:val="fr-CA"/>
        </w:rPr>
        <w:tab/>
      </w:r>
      <w:r w:rsidRPr="00A4437B">
        <w:rPr>
          <w:sz w:val="20"/>
          <w:lang w:val="fr-CA"/>
        </w:rPr>
        <w:tab/>
        <w:t>Ontario</w:t>
      </w:r>
    </w:p>
    <w:p w:rsidR="00A4437B" w:rsidRPr="00A4437B" w:rsidRDefault="00A4437B" w:rsidP="00A4437B">
      <w:pPr>
        <w:rPr>
          <w:sz w:val="20"/>
          <w:lang w:val="fr-CA"/>
        </w:rPr>
      </w:pPr>
    </w:p>
    <w:p w:rsidR="00A4437B" w:rsidRPr="00A4437B" w:rsidRDefault="00A4437B" w:rsidP="00A4437B">
      <w:pPr>
        <w:rPr>
          <w:sz w:val="20"/>
          <w:lang w:val="fr-CA"/>
        </w:rPr>
      </w:pPr>
      <w:r w:rsidRPr="00A4437B">
        <w:rPr>
          <w:sz w:val="20"/>
          <w:lang w:val="fr-CA"/>
        </w:rPr>
        <w:t>No du greffe :</w:t>
      </w:r>
      <w:r w:rsidRPr="00A4437B">
        <w:rPr>
          <w:sz w:val="20"/>
          <w:lang w:val="fr-CA"/>
        </w:rPr>
        <w:tab/>
      </w:r>
      <w:r w:rsidRPr="00A4437B">
        <w:rPr>
          <w:sz w:val="20"/>
          <w:lang w:val="fr-CA"/>
        </w:rPr>
        <w:tab/>
      </w:r>
      <w:r w:rsidRPr="00A4437B">
        <w:rPr>
          <w:sz w:val="20"/>
          <w:lang w:val="fr-CA"/>
        </w:rPr>
        <w:tab/>
      </w:r>
      <w:r w:rsidRPr="00A4437B">
        <w:rPr>
          <w:sz w:val="20"/>
          <w:lang w:val="fr-CA"/>
        </w:rPr>
        <w:tab/>
        <w:t>35682</w:t>
      </w:r>
    </w:p>
    <w:p w:rsidR="00A4437B" w:rsidRPr="00A4437B" w:rsidRDefault="00A4437B" w:rsidP="00A4437B">
      <w:pPr>
        <w:rPr>
          <w:sz w:val="20"/>
          <w:lang w:val="fr-CA"/>
        </w:rPr>
      </w:pPr>
    </w:p>
    <w:p w:rsidR="00A4437B" w:rsidRPr="00A4437B" w:rsidRDefault="00A4437B" w:rsidP="00A4437B">
      <w:pPr>
        <w:rPr>
          <w:sz w:val="20"/>
          <w:lang w:val="fr-CA"/>
        </w:rPr>
      </w:pPr>
      <w:r w:rsidRPr="00A4437B">
        <w:rPr>
          <w:sz w:val="20"/>
          <w:lang w:val="fr-CA"/>
        </w:rPr>
        <w:t>Arrêt de la Cour d’appel :</w:t>
      </w:r>
      <w:r w:rsidRPr="00A4437B">
        <w:rPr>
          <w:sz w:val="20"/>
          <w:lang w:val="fr-CA"/>
        </w:rPr>
        <w:tab/>
      </w:r>
      <w:r w:rsidRPr="00A4437B">
        <w:rPr>
          <w:sz w:val="20"/>
          <w:lang w:val="fr-CA"/>
        </w:rPr>
        <w:tab/>
        <w:t>le 17 décembre 2013</w:t>
      </w:r>
    </w:p>
    <w:p w:rsidR="00A4437B" w:rsidRPr="00A4437B" w:rsidRDefault="00A4437B" w:rsidP="00A4437B">
      <w:pPr>
        <w:rPr>
          <w:sz w:val="20"/>
          <w:lang w:val="fr-CA"/>
        </w:rPr>
      </w:pPr>
    </w:p>
    <w:p w:rsidR="00A4437B" w:rsidRPr="00A4437B" w:rsidRDefault="00A4437B" w:rsidP="00A4437B">
      <w:pPr>
        <w:widowControl w:val="0"/>
        <w:jc w:val="both"/>
        <w:rPr>
          <w:sz w:val="20"/>
          <w:lang w:val="fr-CA"/>
        </w:rPr>
      </w:pPr>
      <w:r w:rsidRPr="00A4437B">
        <w:rPr>
          <w:sz w:val="20"/>
          <w:lang w:val="fr-CA"/>
        </w:rPr>
        <w:t>Avocats :</w:t>
      </w:r>
      <w:r>
        <w:rPr>
          <w:sz w:val="20"/>
          <w:lang w:val="fr-CA"/>
        </w:rPr>
        <w:tab/>
      </w:r>
      <w:r>
        <w:rPr>
          <w:sz w:val="20"/>
          <w:lang w:val="fr-CA"/>
        </w:rPr>
        <w:tab/>
      </w:r>
      <w:r>
        <w:rPr>
          <w:sz w:val="20"/>
          <w:lang w:val="fr-CA"/>
        </w:rPr>
        <w:tab/>
      </w:r>
      <w:r>
        <w:rPr>
          <w:sz w:val="20"/>
          <w:lang w:val="fr-CA"/>
        </w:rPr>
        <w:tab/>
      </w:r>
      <w:r w:rsidRPr="00A4437B">
        <w:rPr>
          <w:sz w:val="20"/>
          <w:lang w:val="fr-CA"/>
        </w:rPr>
        <w:tab/>
        <w:t xml:space="preserve">Clarke Hunter, Anne </w:t>
      </w:r>
      <w:proofErr w:type="spellStart"/>
      <w:r w:rsidRPr="00A4437B">
        <w:rPr>
          <w:sz w:val="20"/>
          <w:lang w:val="fr-CA"/>
        </w:rPr>
        <w:t>Kirker</w:t>
      </w:r>
      <w:proofErr w:type="spellEnd"/>
      <w:r w:rsidRPr="00A4437B">
        <w:rPr>
          <w:sz w:val="20"/>
          <w:lang w:val="fr-CA"/>
        </w:rPr>
        <w:t xml:space="preserve"> et Jung Lee pour l’appelante Chevron Corporation</w:t>
      </w:r>
    </w:p>
    <w:p w:rsidR="00A4437B" w:rsidRPr="00A4437B" w:rsidRDefault="00A4437B" w:rsidP="00A4437B">
      <w:pPr>
        <w:widowControl w:val="0"/>
        <w:ind w:left="2520" w:hanging="2520"/>
        <w:jc w:val="both"/>
        <w:rPr>
          <w:sz w:val="20"/>
          <w:lang w:val="fr-CA"/>
        </w:rPr>
      </w:pPr>
      <w:r>
        <w:rPr>
          <w:sz w:val="20"/>
          <w:lang w:val="fr-CA"/>
        </w:rPr>
        <w:tab/>
      </w:r>
      <w:r w:rsidRPr="00A4437B">
        <w:rPr>
          <w:sz w:val="20"/>
          <w:lang w:val="fr-CA"/>
        </w:rPr>
        <w:t xml:space="preserve">Benjamin </w:t>
      </w:r>
      <w:proofErr w:type="spellStart"/>
      <w:r w:rsidRPr="00A4437B">
        <w:rPr>
          <w:sz w:val="20"/>
          <w:lang w:val="fr-CA"/>
        </w:rPr>
        <w:t>Zarnett</w:t>
      </w:r>
      <w:proofErr w:type="spellEnd"/>
      <w:r w:rsidRPr="00A4437B">
        <w:rPr>
          <w:sz w:val="20"/>
          <w:lang w:val="fr-CA"/>
        </w:rPr>
        <w:t xml:space="preserve">, Suzy </w:t>
      </w:r>
      <w:proofErr w:type="spellStart"/>
      <w:r w:rsidRPr="00A4437B">
        <w:rPr>
          <w:sz w:val="20"/>
          <w:lang w:val="fr-CA"/>
        </w:rPr>
        <w:t>Kauffman</w:t>
      </w:r>
      <w:proofErr w:type="spellEnd"/>
      <w:r w:rsidRPr="00A4437B">
        <w:rPr>
          <w:sz w:val="20"/>
          <w:lang w:val="fr-CA"/>
        </w:rPr>
        <w:t xml:space="preserve"> et Peter </w:t>
      </w:r>
      <w:proofErr w:type="spellStart"/>
      <w:r w:rsidRPr="00A4437B">
        <w:rPr>
          <w:sz w:val="20"/>
          <w:lang w:val="fr-CA"/>
        </w:rPr>
        <w:t>Kolla</w:t>
      </w:r>
      <w:proofErr w:type="spellEnd"/>
      <w:r w:rsidRPr="00A4437B">
        <w:rPr>
          <w:sz w:val="20"/>
          <w:lang w:val="fr-CA"/>
        </w:rPr>
        <w:t xml:space="preserve"> pour l’appelante Chevron Canada Limited</w:t>
      </w:r>
    </w:p>
    <w:p w:rsidR="00A4437B" w:rsidRPr="00A4437B" w:rsidRDefault="00A4437B" w:rsidP="00A4437B">
      <w:pPr>
        <w:widowControl w:val="0"/>
        <w:jc w:val="both"/>
        <w:rPr>
          <w:sz w:val="20"/>
          <w:lang w:val="fr-CA"/>
        </w:rPr>
      </w:pPr>
      <w:r>
        <w:rPr>
          <w:sz w:val="20"/>
          <w:lang w:val="fr-CA"/>
        </w:rPr>
        <w:tab/>
      </w:r>
      <w:r>
        <w:rPr>
          <w:sz w:val="20"/>
          <w:lang w:val="fr-CA"/>
        </w:rPr>
        <w:tab/>
      </w:r>
      <w:r w:rsidRPr="00A4437B">
        <w:rPr>
          <w:sz w:val="20"/>
          <w:lang w:val="fr-CA"/>
        </w:rPr>
        <w:tab/>
      </w:r>
      <w:r w:rsidRPr="00A4437B">
        <w:rPr>
          <w:sz w:val="20"/>
          <w:lang w:val="fr-CA"/>
        </w:rPr>
        <w:tab/>
      </w:r>
      <w:r w:rsidRPr="00A4437B">
        <w:rPr>
          <w:sz w:val="20"/>
          <w:lang w:val="fr-CA"/>
        </w:rPr>
        <w:tab/>
      </w:r>
      <w:r w:rsidRPr="00A4437B">
        <w:rPr>
          <w:sz w:val="20"/>
          <w:lang w:val="fr-CA"/>
        </w:rPr>
        <w:tab/>
      </w:r>
      <w:r w:rsidRPr="00A4437B">
        <w:rPr>
          <w:sz w:val="20"/>
          <w:lang w:val="fr-CA"/>
        </w:rPr>
        <w:tab/>
        <w:t xml:space="preserve">Alan </w:t>
      </w:r>
      <w:proofErr w:type="spellStart"/>
      <w:r w:rsidRPr="00A4437B">
        <w:rPr>
          <w:sz w:val="20"/>
          <w:lang w:val="fr-CA"/>
        </w:rPr>
        <w:t>Lenczner</w:t>
      </w:r>
      <w:proofErr w:type="spellEnd"/>
      <w:r w:rsidRPr="00A4437B">
        <w:rPr>
          <w:sz w:val="20"/>
          <w:lang w:val="fr-CA"/>
        </w:rPr>
        <w:t xml:space="preserve"> et </w:t>
      </w:r>
      <w:proofErr w:type="spellStart"/>
      <w:r w:rsidRPr="00A4437B">
        <w:rPr>
          <w:sz w:val="20"/>
          <w:lang w:val="fr-CA"/>
        </w:rPr>
        <w:t>Brendon</w:t>
      </w:r>
      <w:proofErr w:type="spellEnd"/>
      <w:r w:rsidRPr="00A4437B">
        <w:rPr>
          <w:sz w:val="20"/>
          <w:lang w:val="fr-CA"/>
        </w:rPr>
        <w:t xml:space="preserve"> Morrison pour les intimés</w:t>
      </w:r>
    </w:p>
    <w:p w:rsidR="00A4437B" w:rsidRPr="00A4437B" w:rsidRDefault="00A4437B" w:rsidP="00A4437B">
      <w:pPr>
        <w:jc w:val="both"/>
        <w:rPr>
          <w:sz w:val="20"/>
          <w:lang w:val="fr-CA"/>
        </w:rPr>
      </w:pPr>
    </w:p>
    <w:p w:rsidR="00A4437B" w:rsidRPr="00A4437B" w:rsidRDefault="00A4437B" w:rsidP="004B1550">
      <w:pPr>
        <w:jc w:val="both"/>
        <w:rPr>
          <w:sz w:val="20"/>
          <w:lang w:val="fr-CA"/>
        </w:rPr>
      </w:pPr>
    </w:p>
    <w:p w:rsidR="00CF1ED7" w:rsidRPr="004B1550" w:rsidRDefault="00CF1ED7" w:rsidP="00EC79B0">
      <w:pPr>
        <w:jc w:val="both"/>
        <w:rPr>
          <w:szCs w:val="24"/>
          <w:lang w:val="fr-CA"/>
        </w:rPr>
      </w:pPr>
    </w:p>
    <w:p w:rsidR="001C4415" w:rsidRPr="00524290" w:rsidRDefault="001C4415" w:rsidP="001C4415">
      <w:pPr>
        <w:widowControl w:val="0"/>
        <w:outlineLvl w:val="0"/>
      </w:pPr>
      <w:r w:rsidRPr="00524290">
        <w:t xml:space="preserve">Supreme Court of Canada / Cour </w:t>
      </w:r>
      <w:proofErr w:type="spellStart"/>
      <w:r w:rsidRPr="00524290">
        <w:t>suprême</w:t>
      </w:r>
      <w:proofErr w:type="spellEnd"/>
      <w:r w:rsidRPr="00524290">
        <w:t xml:space="preserve"> du Canada : </w:t>
      </w:r>
    </w:p>
    <w:p w:rsidR="001C4415" w:rsidRPr="00A83C7E" w:rsidRDefault="00B24F5C" w:rsidP="001C4415">
      <w:pPr>
        <w:widowControl w:val="0"/>
        <w:outlineLvl w:val="0"/>
        <w:rPr>
          <w:color w:val="0000FF"/>
          <w:u w:val="single"/>
        </w:rPr>
      </w:pPr>
      <w:hyperlink r:id="rId7" w:history="1">
        <w:r w:rsidR="001C4415" w:rsidRPr="00524290">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A4437B">
        <w:t>-</w:t>
      </w:r>
      <w:r w:rsidR="0036476C" w:rsidRPr="0036476C">
        <w:t xml:space="preserve"> </w:t>
      </w:r>
    </w:p>
    <w:sectPr w:rsidR="0036476C" w:rsidSect="00D362A2">
      <w:headerReference w:type="even" r:id="rId8"/>
      <w:headerReference w:type="default" r:id="rId9"/>
      <w:footerReference w:type="even" r:id="rId10"/>
      <w:footerReference w:type="default" r:id="rId11"/>
      <w:headerReference w:type="first" r:id="rId12"/>
      <w:footerReference w:type="first" r:id="rId13"/>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6" w:rsidRDefault="00842CA6">
      <w:r>
        <w:separator/>
      </w:r>
    </w:p>
  </w:endnote>
  <w:endnote w:type="continuationSeparator" w:id="0">
    <w:p w:rsidR="00842CA6" w:rsidRDefault="008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6" w:rsidRDefault="00842CA6">
      <w:r>
        <w:separator/>
      </w:r>
    </w:p>
  </w:footnote>
  <w:footnote w:type="continuationSeparator" w:id="0">
    <w:p w:rsidR="00842CA6" w:rsidRDefault="0084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3" w:rsidRDefault="0007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9793D"/>
    <w:rsid w:val="000A33B2"/>
    <w:rsid w:val="000A401F"/>
    <w:rsid w:val="000B0E38"/>
    <w:rsid w:val="000B216A"/>
    <w:rsid w:val="000C1225"/>
    <w:rsid w:val="000C1820"/>
    <w:rsid w:val="000C466B"/>
    <w:rsid w:val="000D25C5"/>
    <w:rsid w:val="000D413D"/>
    <w:rsid w:val="000D682D"/>
    <w:rsid w:val="000E1FA5"/>
    <w:rsid w:val="000E33A8"/>
    <w:rsid w:val="000E457A"/>
    <w:rsid w:val="000F2225"/>
    <w:rsid w:val="000F2F73"/>
    <w:rsid w:val="000F5730"/>
    <w:rsid w:val="000F5956"/>
    <w:rsid w:val="000F7714"/>
    <w:rsid w:val="001002A7"/>
    <w:rsid w:val="00103400"/>
    <w:rsid w:val="00105085"/>
    <w:rsid w:val="001065AF"/>
    <w:rsid w:val="00114B52"/>
    <w:rsid w:val="00116CE5"/>
    <w:rsid w:val="001170D1"/>
    <w:rsid w:val="00127E76"/>
    <w:rsid w:val="001335A1"/>
    <w:rsid w:val="001364D9"/>
    <w:rsid w:val="0013792F"/>
    <w:rsid w:val="001439C6"/>
    <w:rsid w:val="001448DF"/>
    <w:rsid w:val="00145925"/>
    <w:rsid w:val="001476BD"/>
    <w:rsid w:val="00150BC6"/>
    <w:rsid w:val="001563FF"/>
    <w:rsid w:val="00164196"/>
    <w:rsid w:val="001642A1"/>
    <w:rsid w:val="00165E2A"/>
    <w:rsid w:val="00167E17"/>
    <w:rsid w:val="001710E4"/>
    <w:rsid w:val="001714EA"/>
    <w:rsid w:val="00172FC0"/>
    <w:rsid w:val="0017395A"/>
    <w:rsid w:val="00175566"/>
    <w:rsid w:val="00177C9B"/>
    <w:rsid w:val="001801D4"/>
    <w:rsid w:val="0018124A"/>
    <w:rsid w:val="001847AC"/>
    <w:rsid w:val="00191F98"/>
    <w:rsid w:val="001936BC"/>
    <w:rsid w:val="00194B53"/>
    <w:rsid w:val="001A1632"/>
    <w:rsid w:val="001A24F4"/>
    <w:rsid w:val="001A29BA"/>
    <w:rsid w:val="001A4436"/>
    <w:rsid w:val="001A4A73"/>
    <w:rsid w:val="001B092D"/>
    <w:rsid w:val="001B0D7E"/>
    <w:rsid w:val="001B4934"/>
    <w:rsid w:val="001B599A"/>
    <w:rsid w:val="001B6B63"/>
    <w:rsid w:val="001B71AA"/>
    <w:rsid w:val="001C0462"/>
    <w:rsid w:val="001C187A"/>
    <w:rsid w:val="001C3E08"/>
    <w:rsid w:val="001C4415"/>
    <w:rsid w:val="001C6FEC"/>
    <w:rsid w:val="001D3579"/>
    <w:rsid w:val="001E4A60"/>
    <w:rsid w:val="001E5E23"/>
    <w:rsid w:val="001E70CD"/>
    <w:rsid w:val="001F27D7"/>
    <w:rsid w:val="001F57C9"/>
    <w:rsid w:val="001F7F62"/>
    <w:rsid w:val="002001C7"/>
    <w:rsid w:val="002029F5"/>
    <w:rsid w:val="00203F40"/>
    <w:rsid w:val="00205278"/>
    <w:rsid w:val="00207AAB"/>
    <w:rsid w:val="00207BC4"/>
    <w:rsid w:val="00211F62"/>
    <w:rsid w:val="00214729"/>
    <w:rsid w:val="002160B0"/>
    <w:rsid w:val="00221703"/>
    <w:rsid w:val="00226AE8"/>
    <w:rsid w:val="00234B46"/>
    <w:rsid w:val="00235A05"/>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6461"/>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112E4"/>
    <w:rsid w:val="00311F53"/>
    <w:rsid w:val="00317C58"/>
    <w:rsid w:val="00321B31"/>
    <w:rsid w:val="00324B83"/>
    <w:rsid w:val="003255C3"/>
    <w:rsid w:val="00334E40"/>
    <w:rsid w:val="00337D5F"/>
    <w:rsid w:val="00346F0D"/>
    <w:rsid w:val="00350C6A"/>
    <w:rsid w:val="00350CE0"/>
    <w:rsid w:val="00353AB0"/>
    <w:rsid w:val="00353ED1"/>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2784"/>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70F"/>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7AE4"/>
    <w:rsid w:val="00475CB4"/>
    <w:rsid w:val="004824D8"/>
    <w:rsid w:val="0048671C"/>
    <w:rsid w:val="0048741E"/>
    <w:rsid w:val="00491284"/>
    <w:rsid w:val="00491C71"/>
    <w:rsid w:val="004927D1"/>
    <w:rsid w:val="004A40E1"/>
    <w:rsid w:val="004A56AC"/>
    <w:rsid w:val="004A6F06"/>
    <w:rsid w:val="004B1550"/>
    <w:rsid w:val="004B4821"/>
    <w:rsid w:val="004B6E20"/>
    <w:rsid w:val="004B6F3A"/>
    <w:rsid w:val="004D4322"/>
    <w:rsid w:val="004D453B"/>
    <w:rsid w:val="004D465A"/>
    <w:rsid w:val="004D488A"/>
    <w:rsid w:val="004E5455"/>
    <w:rsid w:val="004F0A44"/>
    <w:rsid w:val="004F215A"/>
    <w:rsid w:val="004F2854"/>
    <w:rsid w:val="004F3FB9"/>
    <w:rsid w:val="00504582"/>
    <w:rsid w:val="0051130D"/>
    <w:rsid w:val="0051320D"/>
    <w:rsid w:val="00520A3C"/>
    <w:rsid w:val="00524290"/>
    <w:rsid w:val="00525362"/>
    <w:rsid w:val="00525B8E"/>
    <w:rsid w:val="00531567"/>
    <w:rsid w:val="00535691"/>
    <w:rsid w:val="005400BA"/>
    <w:rsid w:val="0054378D"/>
    <w:rsid w:val="005511F1"/>
    <w:rsid w:val="00552278"/>
    <w:rsid w:val="0055520C"/>
    <w:rsid w:val="00560D32"/>
    <w:rsid w:val="00563EF8"/>
    <w:rsid w:val="005717F4"/>
    <w:rsid w:val="00572E24"/>
    <w:rsid w:val="00575FA2"/>
    <w:rsid w:val="00580897"/>
    <w:rsid w:val="00580EBF"/>
    <w:rsid w:val="00591F70"/>
    <w:rsid w:val="005930F7"/>
    <w:rsid w:val="005932DF"/>
    <w:rsid w:val="00595150"/>
    <w:rsid w:val="00595922"/>
    <w:rsid w:val="005A0FB1"/>
    <w:rsid w:val="005A5B16"/>
    <w:rsid w:val="005A5D20"/>
    <w:rsid w:val="005A6C38"/>
    <w:rsid w:val="005A7C1B"/>
    <w:rsid w:val="005B10FA"/>
    <w:rsid w:val="005B342F"/>
    <w:rsid w:val="005B4F58"/>
    <w:rsid w:val="005B7E1A"/>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284"/>
    <w:rsid w:val="006D2DF8"/>
    <w:rsid w:val="006E1781"/>
    <w:rsid w:val="006E3A6A"/>
    <w:rsid w:val="006E6156"/>
    <w:rsid w:val="006E7CC3"/>
    <w:rsid w:val="006E7FD1"/>
    <w:rsid w:val="006F1899"/>
    <w:rsid w:val="006F1A6D"/>
    <w:rsid w:val="006F202E"/>
    <w:rsid w:val="006F36A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056E"/>
    <w:rsid w:val="007E79BD"/>
    <w:rsid w:val="007E7DF1"/>
    <w:rsid w:val="007F29FE"/>
    <w:rsid w:val="00800066"/>
    <w:rsid w:val="00807EAE"/>
    <w:rsid w:val="00811E14"/>
    <w:rsid w:val="00815E69"/>
    <w:rsid w:val="008203B9"/>
    <w:rsid w:val="00820A00"/>
    <w:rsid w:val="008227A7"/>
    <w:rsid w:val="0083044B"/>
    <w:rsid w:val="008313A9"/>
    <w:rsid w:val="00831AFC"/>
    <w:rsid w:val="00841CE8"/>
    <w:rsid w:val="00842CA6"/>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2930"/>
    <w:rsid w:val="008D3DE1"/>
    <w:rsid w:val="008D557C"/>
    <w:rsid w:val="008D6BC4"/>
    <w:rsid w:val="008E5108"/>
    <w:rsid w:val="008E7015"/>
    <w:rsid w:val="008F15CD"/>
    <w:rsid w:val="008F246A"/>
    <w:rsid w:val="008F5389"/>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56312"/>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40"/>
    <w:rsid w:val="009A7FCE"/>
    <w:rsid w:val="009B06DD"/>
    <w:rsid w:val="009B72F4"/>
    <w:rsid w:val="009C2A17"/>
    <w:rsid w:val="009C643F"/>
    <w:rsid w:val="009C7B71"/>
    <w:rsid w:val="009D109B"/>
    <w:rsid w:val="009D30BC"/>
    <w:rsid w:val="009E23BF"/>
    <w:rsid w:val="009E478A"/>
    <w:rsid w:val="009E6E2B"/>
    <w:rsid w:val="009E7F8F"/>
    <w:rsid w:val="009F5F96"/>
    <w:rsid w:val="00A06BFF"/>
    <w:rsid w:val="00A129AE"/>
    <w:rsid w:val="00A12B84"/>
    <w:rsid w:val="00A13112"/>
    <w:rsid w:val="00A17FF7"/>
    <w:rsid w:val="00A20D09"/>
    <w:rsid w:val="00A21A0F"/>
    <w:rsid w:val="00A253E7"/>
    <w:rsid w:val="00A2764E"/>
    <w:rsid w:val="00A40505"/>
    <w:rsid w:val="00A4437B"/>
    <w:rsid w:val="00A45E77"/>
    <w:rsid w:val="00A47417"/>
    <w:rsid w:val="00A52FC3"/>
    <w:rsid w:val="00A539FF"/>
    <w:rsid w:val="00A60F48"/>
    <w:rsid w:val="00A63056"/>
    <w:rsid w:val="00A64DFD"/>
    <w:rsid w:val="00A709E8"/>
    <w:rsid w:val="00A80C95"/>
    <w:rsid w:val="00A86D9C"/>
    <w:rsid w:val="00A9462E"/>
    <w:rsid w:val="00A96F68"/>
    <w:rsid w:val="00AA3B3C"/>
    <w:rsid w:val="00AA67E3"/>
    <w:rsid w:val="00AB4EFD"/>
    <w:rsid w:val="00AB6E49"/>
    <w:rsid w:val="00AB76F5"/>
    <w:rsid w:val="00AC1EBB"/>
    <w:rsid w:val="00AC29C3"/>
    <w:rsid w:val="00AC4C6F"/>
    <w:rsid w:val="00AD28E3"/>
    <w:rsid w:val="00AE57A4"/>
    <w:rsid w:val="00AE77AE"/>
    <w:rsid w:val="00AF232B"/>
    <w:rsid w:val="00AF291D"/>
    <w:rsid w:val="00AF51A0"/>
    <w:rsid w:val="00AF5D67"/>
    <w:rsid w:val="00AF7C2C"/>
    <w:rsid w:val="00B00765"/>
    <w:rsid w:val="00B0252F"/>
    <w:rsid w:val="00B02858"/>
    <w:rsid w:val="00B10539"/>
    <w:rsid w:val="00B10F2E"/>
    <w:rsid w:val="00B11D20"/>
    <w:rsid w:val="00B11D74"/>
    <w:rsid w:val="00B15276"/>
    <w:rsid w:val="00B17303"/>
    <w:rsid w:val="00B24F5C"/>
    <w:rsid w:val="00B26A2D"/>
    <w:rsid w:val="00B3375B"/>
    <w:rsid w:val="00B348B0"/>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B676C"/>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00F2"/>
    <w:rsid w:val="00C51144"/>
    <w:rsid w:val="00C54C7F"/>
    <w:rsid w:val="00C56239"/>
    <w:rsid w:val="00C56B06"/>
    <w:rsid w:val="00C724D2"/>
    <w:rsid w:val="00C7692E"/>
    <w:rsid w:val="00C76C3D"/>
    <w:rsid w:val="00C77D60"/>
    <w:rsid w:val="00C80CEE"/>
    <w:rsid w:val="00C82C3E"/>
    <w:rsid w:val="00C86E79"/>
    <w:rsid w:val="00C92D07"/>
    <w:rsid w:val="00C9499A"/>
    <w:rsid w:val="00C96187"/>
    <w:rsid w:val="00C96700"/>
    <w:rsid w:val="00CA0D0B"/>
    <w:rsid w:val="00CA3243"/>
    <w:rsid w:val="00CA425B"/>
    <w:rsid w:val="00CA4B10"/>
    <w:rsid w:val="00CB05B1"/>
    <w:rsid w:val="00CB0F26"/>
    <w:rsid w:val="00CB3AE2"/>
    <w:rsid w:val="00CB3FBB"/>
    <w:rsid w:val="00CB5906"/>
    <w:rsid w:val="00CB65F1"/>
    <w:rsid w:val="00CC1869"/>
    <w:rsid w:val="00CC2CF7"/>
    <w:rsid w:val="00CD2A1C"/>
    <w:rsid w:val="00CD2EFD"/>
    <w:rsid w:val="00CD4BC4"/>
    <w:rsid w:val="00CD75D2"/>
    <w:rsid w:val="00CD77BC"/>
    <w:rsid w:val="00CE7729"/>
    <w:rsid w:val="00CF1ED7"/>
    <w:rsid w:val="00D00632"/>
    <w:rsid w:val="00D01F37"/>
    <w:rsid w:val="00D03A26"/>
    <w:rsid w:val="00D05D59"/>
    <w:rsid w:val="00D17D39"/>
    <w:rsid w:val="00D17D8F"/>
    <w:rsid w:val="00D22031"/>
    <w:rsid w:val="00D303D6"/>
    <w:rsid w:val="00D32687"/>
    <w:rsid w:val="00D3314A"/>
    <w:rsid w:val="00D362A2"/>
    <w:rsid w:val="00D37B27"/>
    <w:rsid w:val="00D424D2"/>
    <w:rsid w:val="00D47FA4"/>
    <w:rsid w:val="00D51791"/>
    <w:rsid w:val="00D5468E"/>
    <w:rsid w:val="00D61701"/>
    <w:rsid w:val="00D63A7D"/>
    <w:rsid w:val="00D641AC"/>
    <w:rsid w:val="00D64BC8"/>
    <w:rsid w:val="00D65268"/>
    <w:rsid w:val="00D70C1C"/>
    <w:rsid w:val="00D710A9"/>
    <w:rsid w:val="00D74667"/>
    <w:rsid w:val="00D75346"/>
    <w:rsid w:val="00D75A2B"/>
    <w:rsid w:val="00D77E31"/>
    <w:rsid w:val="00D8474E"/>
    <w:rsid w:val="00D86814"/>
    <w:rsid w:val="00D918E3"/>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674FF"/>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962"/>
    <w:rsid w:val="00ED2D18"/>
    <w:rsid w:val="00ED4D5F"/>
    <w:rsid w:val="00ED67B7"/>
    <w:rsid w:val="00EE1079"/>
    <w:rsid w:val="00EE1D6B"/>
    <w:rsid w:val="00EE77E0"/>
    <w:rsid w:val="00EF0BD7"/>
    <w:rsid w:val="00EF447F"/>
    <w:rsid w:val="00EF778F"/>
    <w:rsid w:val="00EF7999"/>
    <w:rsid w:val="00F006DA"/>
    <w:rsid w:val="00F020DF"/>
    <w:rsid w:val="00F05B65"/>
    <w:rsid w:val="00F118D3"/>
    <w:rsid w:val="00F1242C"/>
    <w:rsid w:val="00F1258D"/>
    <w:rsid w:val="00F128C3"/>
    <w:rsid w:val="00F1711D"/>
    <w:rsid w:val="00F223F4"/>
    <w:rsid w:val="00F23EAF"/>
    <w:rsid w:val="00F269BB"/>
    <w:rsid w:val="00F301C0"/>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86DFC"/>
    <w:rsid w:val="00F94ED4"/>
    <w:rsid w:val="00F950E6"/>
    <w:rsid w:val="00F960F5"/>
    <w:rsid w:val="00F97939"/>
    <w:rsid w:val="00FA3210"/>
    <w:rsid w:val="00FA62A2"/>
    <w:rsid w:val="00FA7412"/>
    <w:rsid w:val="00FB0F59"/>
    <w:rsid w:val="00FB3BF9"/>
    <w:rsid w:val="00FB55B6"/>
    <w:rsid w:val="00FB5B7E"/>
    <w:rsid w:val="00FB709E"/>
    <w:rsid w:val="00FC57AE"/>
    <w:rsid w:val="00FC6C27"/>
    <w:rsid w:val="00FD4741"/>
    <w:rsid w:val="00FD7940"/>
    <w:rsid w:val="00FE3585"/>
    <w:rsid w:val="00FF330A"/>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AA3B3C"/>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LsocPrefix">
    <w:name w:val="SCC.Lsoc.Prefix"/>
    <w:basedOn w:val="Normal"/>
    <w:next w:val="Normal"/>
    <w:link w:val="SCCLsocPrefixChar"/>
    <w:rsid w:val="00164196"/>
    <w:rPr>
      <w:rFonts w:eastAsia="Calibri"/>
      <w:b/>
      <w:smallCaps/>
      <w:szCs w:val="24"/>
      <w:lang w:val="en-CA"/>
    </w:rPr>
  </w:style>
  <w:style w:type="character" w:customStyle="1" w:styleId="SCCLsocPrefixChar">
    <w:name w:val="SCC.Lsoc.Prefix Char"/>
    <w:basedOn w:val="DefaultParagraphFont"/>
    <w:link w:val="SCCLsocPrefix"/>
    <w:rsid w:val="00164196"/>
    <w:rPr>
      <w:rFonts w:eastAsia="Calibri" w:cs="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31018865">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208686838">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1985085">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590510386">
      <w:bodyDiv w:val="1"/>
      <w:marLeft w:val="0"/>
      <w:marRight w:val="0"/>
      <w:marTop w:val="0"/>
      <w:marBottom w:val="0"/>
      <w:divBdr>
        <w:top w:val="none" w:sz="0" w:space="0" w:color="auto"/>
        <w:left w:val="none" w:sz="0" w:space="0" w:color="auto"/>
        <w:bottom w:val="none" w:sz="0" w:space="0" w:color="auto"/>
        <w:right w:val="none" w:sz="0" w:space="0" w:color="auto"/>
      </w:divBdr>
    </w:div>
    <w:div w:id="708459005">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2248844">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23903125">
      <w:bodyDiv w:val="1"/>
      <w:marLeft w:val="0"/>
      <w:marRight w:val="0"/>
      <w:marTop w:val="0"/>
      <w:marBottom w:val="0"/>
      <w:divBdr>
        <w:top w:val="none" w:sz="0" w:space="0" w:color="auto"/>
        <w:left w:val="none" w:sz="0" w:space="0" w:color="auto"/>
        <w:bottom w:val="none" w:sz="0" w:space="0" w:color="auto"/>
        <w:right w:val="none" w:sz="0" w:space="0" w:color="auto"/>
      </w:divBdr>
    </w:div>
    <w:div w:id="1247419334">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320228720">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525904105">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0930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9136</CharactersWithSpaces>
  <SharedDoc>false</SharedDoc>
  <HLinks>
    <vt:vector size="36" baseType="variant">
      <vt:variant>
        <vt:i4>524364</vt:i4>
      </vt:variant>
      <vt:variant>
        <vt:i4>17</vt:i4>
      </vt:variant>
      <vt:variant>
        <vt:i4>0</vt:i4>
      </vt:variant>
      <vt:variant>
        <vt:i4>5</vt:i4>
      </vt:variant>
      <vt:variant>
        <vt:lpwstr>http://www.scc-csc.gc.ca/news-nouv/rel-com/subs-abon-fra.aspx</vt:lpwstr>
      </vt:variant>
      <vt:variant>
        <vt:lpwstr/>
      </vt:variant>
      <vt:variant>
        <vt:i4>852048</vt:i4>
      </vt:variant>
      <vt:variant>
        <vt:i4>14</vt:i4>
      </vt:variant>
      <vt:variant>
        <vt:i4>0</vt:i4>
      </vt:variant>
      <vt:variant>
        <vt:i4>5</vt:i4>
      </vt:variant>
      <vt:variant>
        <vt:lpwstr>http://www.scc-csc.gc.ca/news-nouv/rel-com/subs-abon-eng.aspx</vt:lpwstr>
      </vt:variant>
      <vt:variant>
        <vt:lpwstr/>
      </vt:variant>
      <vt:variant>
        <vt:i4>3080213</vt:i4>
      </vt:variant>
      <vt:variant>
        <vt:i4>11</vt:i4>
      </vt:variant>
      <vt:variant>
        <vt:i4>0</vt:i4>
      </vt:variant>
      <vt:variant>
        <vt:i4>5</vt:i4>
      </vt:variant>
      <vt:variant>
        <vt:lpwstr>mailto:comments-commentaires@scc-csc.ca</vt:lpwstr>
      </vt:variant>
      <vt:variant>
        <vt:lpwstr/>
      </vt:variant>
      <vt:variant>
        <vt:i4>720924</vt:i4>
      </vt:variant>
      <vt:variant>
        <vt:i4>8</vt:i4>
      </vt:variant>
      <vt:variant>
        <vt:i4>0</vt:i4>
      </vt:variant>
      <vt:variant>
        <vt:i4>5</vt:i4>
      </vt:variant>
      <vt:variant>
        <vt:lpwstr>http://www.scc-csc.gc.ca/case-dossier/info/sum-som-fra.aspx?cas=35626</vt:lpwstr>
      </vt:variant>
      <vt:variant>
        <vt:lpwstr/>
      </vt:variant>
      <vt:variant>
        <vt:i4>2359358</vt:i4>
      </vt:variant>
      <vt:variant>
        <vt:i4>5</vt:i4>
      </vt:variant>
      <vt:variant>
        <vt:i4>0</vt:i4>
      </vt:variant>
      <vt:variant>
        <vt:i4>5</vt:i4>
      </vt:variant>
      <vt:variant>
        <vt:lpwstr>http://scc-csc.lexum.com/scc-csc/news/fr/item/4907/index.do</vt:lpwstr>
      </vt:variant>
      <vt:variant>
        <vt:lpwstr/>
      </vt:variant>
      <vt:variant>
        <vt:i4>3670077</vt:i4>
      </vt:variant>
      <vt:variant>
        <vt:i4>2</vt:i4>
      </vt:variant>
      <vt:variant>
        <vt:i4>0</vt:i4>
      </vt:variant>
      <vt:variant>
        <vt:i4>5</vt:i4>
      </vt:variant>
      <vt:variant>
        <vt:lpwstr>http://scc-csc.lexum.com/scc-csc/news/en/item/4907/index.do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2015-08-28T14:05:00Z</dcterms:created>
  <dcterms:modified xsi:type="dcterms:W3CDTF">2015-11-27T15:19:00Z</dcterms:modified>
</cp:coreProperties>
</file>