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B6193" w:rsidP="006F2579">
      <w:pPr>
        <w:widowControl w:val="0"/>
        <w:rPr>
          <w:b/>
        </w:rPr>
      </w:pPr>
      <w:r>
        <w:rPr>
          <w:b/>
        </w:rPr>
        <w:t xml:space="preserve">September </w:t>
      </w:r>
      <w:r w:rsidR="005C1453">
        <w:rPr>
          <w:b/>
        </w:rPr>
        <w:t>14</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2E39C6"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E14D31">
        <w:t xml:space="preserve">September </w:t>
      </w:r>
      <w:r w:rsidR="000B6193">
        <w:t>1</w:t>
      </w:r>
      <w:r w:rsidR="005C1453">
        <w:t>7</w:t>
      </w:r>
      <w:r w:rsidR="00960719" w:rsidRPr="004B4D42">
        <w:t>,</w:t>
      </w:r>
      <w:r w:rsidR="002F38D7" w:rsidRPr="004B4D42">
        <w:t xml:space="preserve"> </w:t>
      </w:r>
      <w:r w:rsidR="006648D1" w:rsidRPr="004B4D42">
        <w:t>2015</w:t>
      </w:r>
      <w:r w:rsidRPr="004B4D42">
        <w:t xml:space="preserve">.  </w:t>
      </w:r>
      <w:r w:rsidRPr="002E39C6">
        <w:rPr>
          <w:lang w:val="fr-CA"/>
        </w:rPr>
        <w:t>This list is subject to change.</w:t>
      </w:r>
    </w:p>
    <w:p w:rsidR="00D4457A" w:rsidRPr="002E39C6" w:rsidRDefault="00D4457A" w:rsidP="006F2579">
      <w:pPr>
        <w:widowControl w:val="0"/>
        <w:rPr>
          <w:lang w:val="fr-CA"/>
        </w:rPr>
      </w:pPr>
    </w:p>
    <w:p w:rsidR="00FF5AA4" w:rsidRPr="002E39C6"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5C1453">
        <w:rPr>
          <w:b/>
          <w:lang w:val="fr-CA"/>
        </w:rPr>
        <w:t>14</w:t>
      </w:r>
      <w:r w:rsidR="000B6193">
        <w:rPr>
          <w:b/>
          <w:lang w:val="fr-CA"/>
        </w:rPr>
        <w:t xml:space="preserve"> septembre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0B6193">
        <w:rPr>
          <w:lang w:val="fr-CA"/>
        </w:rPr>
        <w:t>1</w:t>
      </w:r>
      <w:r w:rsidR="005C1453">
        <w:rPr>
          <w:lang w:val="fr-CA"/>
        </w:rPr>
        <w:t>7</w:t>
      </w:r>
      <w:r w:rsidR="00E14D31">
        <w:rPr>
          <w:lang w:val="fr-CA"/>
        </w:rPr>
        <w:t xml:space="preserve"> septembre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5C1453" w:rsidRPr="005C1453" w:rsidRDefault="005C1453" w:rsidP="005C1453">
      <w:pPr>
        <w:pStyle w:val="ListParagraph"/>
        <w:numPr>
          <w:ilvl w:val="0"/>
          <w:numId w:val="2"/>
        </w:numPr>
        <w:ind w:left="360"/>
        <w:rPr>
          <w:sz w:val="20"/>
        </w:rPr>
      </w:pPr>
      <w:proofErr w:type="spellStart"/>
      <w:r w:rsidRPr="005C1453">
        <w:rPr>
          <w:i/>
          <w:sz w:val="20"/>
        </w:rPr>
        <w:t>Tajedin</w:t>
      </w:r>
      <w:proofErr w:type="spellEnd"/>
      <w:r w:rsidRPr="005C1453">
        <w:rPr>
          <w:i/>
          <w:sz w:val="20"/>
        </w:rPr>
        <w:t xml:space="preserve"> </w:t>
      </w:r>
      <w:proofErr w:type="spellStart"/>
      <w:r w:rsidRPr="005C1453">
        <w:rPr>
          <w:i/>
          <w:sz w:val="20"/>
        </w:rPr>
        <w:t>Getahu</w:t>
      </w:r>
      <w:r w:rsidR="002E39C6">
        <w:rPr>
          <w:i/>
          <w:sz w:val="20"/>
        </w:rPr>
        <w:t>n</w:t>
      </w:r>
      <w:proofErr w:type="spellEnd"/>
      <w:r w:rsidRPr="005C1453">
        <w:rPr>
          <w:i/>
          <w:sz w:val="20"/>
        </w:rPr>
        <w:t xml:space="preserve"> v. Blake Moore </w:t>
      </w:r>
      <w:r w:rsidRPr="005C1453">
        <w:rPr>
          <w:sz w:val="20"/>
        </w:rPr>
        <w:t>(Ont.) (Civil) (By Leave) (</w:t>
      </w:r>
      <w:hyperlink r:id="rId8" w:history="1">
        <w:r w:rsidRPr="005C1453">
          <w:rPr>
            <w:rStyle w:val="Hyperlink"/>
            <w:sz w:val="20"/>
          </w:rPr>
          <w:t>36363</w:t>
        </w:r>
      </w:hyperlink>
      <w:r w:rsidRPr="005C1453">
        <w:rPr>
          <w:sz w:val="20"/>
        </w:rPr>
        <w:t>)</w:t>
      </w:r>
    </w:p>
    <w:p w:rsidR="005C1453" w:rsidRPr="005C1453" w:rsidRDefault="005C1453" w:rsidP="005C1453">
      <w:pPr>
        <w:ind w:left="360" w:hanging="360"/>
        <w:rPr>
          <w:i/>
          <w:sz w:val="20"/>
        </w:rPr>
      </w:pPr>
    </w:p>
    <w:p w:rsidR="005C1453" w:rsidRPr="005C1453" w:rsidRDefault="005C1453" w:rsidP="005C1453">
      <w:pPr>
        <w:pStyle w:val="ListParagraph"/>
        <w:numPr>
          <w:ilvl w:val="0"/>
          <w:numId w:val="2"/>
        </w:numPr>
        <w:ind w:left="360"/>
        <w:rPr>
          <w:sz w:val="20"/>
          <w:lang w:val="fr-CA"/>
        </w:rPr>
      </w:pPr>
      <w:r w:rsidRPr="005C1453">
        <w:rPr>
          <w:i/>
          <w:sz w:val="20"/>
          <w:lang w:val="fr-CA"/>
        </w:rPr>
        <w:t>Serge Faucher c. Directeur des poursuites criminelles et pénales</w:t>
      </w:r>
      <w:r>
        <w:rPr>
          <w:sz w:val="20"/>
          <w:lang w:val="fr-CA"/>
        </w:rPr>
        <w:t xml:space="preserve"> </w:t>
      </w:r>
      <w:r w:rsidRPr="005C1453">
        <w:rPr>
          <w:sz w:val="20"/>
          <w:lang w:val="fr-CA"/>
        </w:rPr>
        <w:t>(</w:t>
      </w:r>
      <w:proofErr w:type="spellStart"/>
      <w:r w:rsidRPr="005C1453">
        <w:rPr>
          <w:sz w:val="20"/>
          <w:lang w:val="fr-CA"/>
        </w:rPr>
        <w:t>Qc</w:t>
      </w:r>
      <w:proofErr w:type="spellEnd"/>
      <w:r w:rsidRPr="005C1453">
        <w:rPr>
          <w:sz w:val="20"/>
          <w:lang w:val="fr-CA"/>
        </w:rPr>
        <w:t>) (Criminelle) (Autorisation) (</w:t>
      </w:r>
      <w:hyperlink r:id="rId9" w:history="1">
        <w:r w:rsidRPr="005C1453">
          <w:rPr>
            <w:rStyle w:val="Hyperlink"/>
            <w:sz w:val="20"/>
            <w:lang w:val="fr-CA"/>
          </w:rPr>
          <w:t>36443</w:t>
        </w:r>
      </w:hyperlink>
      <w:r w:rsidRPr="005C1453">
        <w:rPr>
          <w:sz w:val="20"/>
          <w:lang w:val="fr-CA"/>
        </w:rPr>
        <w:t>)</w:t>
      </w:r>
    </w:p>
    <w:p w:rsidR="005C1453" w:rsidRPr="005C1453" w:rsidRDefault="005C1453" w:rsidP="005C1453">
      <w:pPr>
        <w:ind w:left="360" w:hanging="360"/>
        <w:rPr>
          <w:sz w:val="20"/>
          <w:lang w:val="fr-CA"/>
        </w:rPr>
      </w:pPr>
    </w:p>
    <w:p w:rsidR="005C1453" w:rsidRPr="005C1453" w:rsidRDefault="005C1453" w:rsidP="005C1453">
      <w:pPr>
        <w:pStyle w:val="ListParagraph"/>
        <w:numPr>
          <w:ilvl w:val="0"/>
          <w:numId w:val="2"/>
        </w:numPr>
        <w:ind w:left="360"/>
        <w:rPr>
          <w:sz w:val="20"/>
          <w:lang w:val="fr-CA"/>
        </w:rPr>
      </w:pPr>
      <w:r w:rsidRPr="005C1453">
        <w:rPr>
          <w:i/>
          <w:sz w:val="20"/>
          <w:lang w:val="fr-CA"/>
        </w:rPr>
        <w:t xml:space="preserve">Roch </w:t>
      </w:r>
      <w:proofErr w:type="spellStart"/>
      <w:r w:rsidRPr="005C1453">
        <w:rPr>
          <w:i/>
          <w:sz w:val="20"/>
          <w:lang w:val="fr-CA"/>
        </w:rPr>
        <w:t>Guimont</w:t>
      </w:r>
      <w:proofErr w:type="spellEnd"/>
      <w:r w:rsidRPr="005C1453">
        <w:rPr>
          <w:i/>
          <w:sz w:val="20"/>
          <w:lang w:val="fr-CA"/>
        </w:rPr>
        <w:t xml:space="preserve"> c. RNC Média Inc. (CHOI-FM 98,1) et a</w:t>
      </w:r>
      <w:r>
        <w:rPr>
          <w:i/>
          <w:sz w:val="20"/>
          <w:lang w:val="fr-CA"/>
        </w:rPr>
        <w:t>utre</w:t>
      </w:r>
      <w:r w:rsidRPr="005C1453">
        <w:rPr>
          <w:sz w:val="20"/>
          <w:lang w:val="fr-CA"/>
        </w:rPr>
        <w:t xml:space="preserve"> (</w:t>
      </w:r>
      <w:proofErr w:type="spellStart"/>
      <w:r w:rsidRPr="005C1453">
        <w:rPr>
          <w:sz w:val="20"/>
          <w:lang w:val="fr-CA"/>
        </w:rPr>
        <w:t>Qc</w:t>
      </w:r>
      <w:proofErr w:type="spellEnd"/>
      <w:r w:rsidRPr="005C1453">
        <w:rPr>
          <w:sz w:val="20"/>
          <w:lang w:val="fr-CA"/>
        </w:rPr>
        <w:t>) (Civile) (Autorisation) (</w:t>
      </w:r>
      <w:hyperlink r:id="rId10" w:history="1">
        <w:r w:rsidRPr="005C1453">
          <w:rPr>
            <w:rStyle w:val="Hyperlink"/>
            <w:sz w:val="20"/>
            <w:lang w:val="fr-CA"/>
          </w:rPr>
          <w:t>36453</w:t>
        </w:r>
      </w:hyperlink>
      <w:r w:rsidRPr="005C1453">
        <w:rPr>
          <w:sz w:val="20"/>
          <w:lang w:val="fr-CA"/>
        </w:rPr>
        <w:t>)</w:t>
      </w:r>
    </w:p>
    <w:p w:rsidR="005C1453" w:rsidRPr="005C1453" w:rsidRDefault="005C1453" w:rsidP="005C1453">
      <w:pPr>
        <w:ind w:left="360" w:hanging="360"/>
        <w:rPr>
          <w:sz w:val="20"/>
          <w:lang w:val="fr-CA"/>
        </w:rPr>
      </w:pPr>
    </w:p>
    <w:p w:rsidR="005C1453" w:rsidRPr="005C1453" w:rsidRDefault="005C1453" w:rsidP="005C1453">
      <w:pPr>
        <w:pStyle w:val="ListParagraph"/>
        <w:numPr>
          <w:ilvl w:val="0"/>
          <w:numId w:val="2"/>
        </w:numPr>
        <w:ind w:left="360"/>
        <w:rPr>
          <w:sz w:val="20"/>
          <w:lang w:val="en-CA"/>
        </w:rPr>
      </w:pPr>
      <w:r w:rsidRPr="005C1453">
        <w:rPr>
          <w:i/>
          <w:sz w:val="20"/>
          <w:lang w:val="en-CA"/>
        </w:rPr>
        <w:t>Susan Steel v. Coast Capital Savings Credit Union</w:t>
      </w:r>
      <w:r w:rsidRPr="005C1453">
        <w:rPr>
          <w:sz w:val="20"/>
          <w:lang w:val="en-CA"/>
        </w:rPr>
        <w:t xml:space="preserve"> (B.C.) (Civil) (By Leave) (</w:t>
      </w:r>
      <w:hyperlink r:id="rId11" w:history="1">
        <w:r w:rsidRPr="005C1453">
          <w:rPr>
            <w:rStyle w:val="Hyperlink"/>
            <w:sz w:val="20"/>
            <w:lang w:val="en-CA"/>
          </w:rPr>
          <w:t>36434</w:t>
        </w:r>
      </w:hyperlink>
      <w:r w:rsidRPr="005C1453">
        <w:rPr>
          <w:sz w:val="20"/>
          <w:lang w:val="en-CA"/>
        </w:rPr>
        <w:t>)</w:t>
      </w:r>
    </w:p>
    <w:p w:rsidR="000B6193" w:rsidRPr="00424A9D" w:rsidRDefault="000B6193" w:rsidP="00E14D31">
      <w:pPr>
        <w:ind w:left="360" w:hanging="360"/>
        <w:rPr>
          <w:sz w:val="20"/>
        </w:rPr>
      </w:pPr>
    </w:p>
    <w:p w:rsidR="009550BB" w:rsidRPr="00424A9D" w:rsidRDefault="009550BB" w:rsidP="009550BB">
      <w:pPr>
        <w:ind w:left="360" w:hanging="360"/>
        <w:jc w:val="both"/>
        <w:rPr>
          <w:sz w:val="20"/>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6C30BE" w:rsidRPr="006C30BE" w:rsidTr="006C30BE">
        <w:tc>
          <w:tcPr>
            <w:tcW w:w="543" w:type="pct"/>
            <w:hideMark/>
          </w:tcPr>
          <w:p w:rsidR="006C30BE" w:rsidRPr="006C30BE" w:rsidRDefault="006C30BE" w:rsidP="006C30BE">
            <w:pPr>
              <w:spacing w:line="276" w:lineRule="auto"/>
              <w:jc w:val="both"/>
              <w:rPr>
                <w:rFonts w:eastAsia="Calibri"/>
                <w:sz w:val="20"/>
                <w:lang w:val="en-CA"/>
              </w:rPr>
            </w:pPr>
            <w:r w:rsidRPr="00424A9D">
              <w:rPr>
                <w:rFonts w:eastAsia="Calibri"/>
                <w:b/>
                <w:sz w:val="20"/>
                <w:lang w:val="en-CA"/>
              </w:rPr>
              <w:t>36363</w:t>
            </w:r>
          </w:p>
        </w:tc>
        <w:tc>
          <w:tcPr>
            <w:tcW w:w="4457" w:type="pct"/>
            <w:gridSpan w:val="3"/>
            <w:hideMark/>
          </w:tcPr>
          <w:p w:rsidR="006C30BE" w:rsidRPr="006C30BE" w:rsidRDefault="006C30BE" w:rsidP="006C30BE">
            <w:pPr>
              <w:spacing w:line="276" w:lineRule="auto"/>
              <w:jc w:val="both"/>
              <w:rPr>
                <w:rFonts w:eastAsia="Calibri"/>
                <w:b/>
                <w:sz w:val="20"/>
                <w:lang w:val="en-CA"/>
              </w:rPr>
            </w:pPr>
            <w:proofErr w:type="spellStart"/>
            <w:r w:rsidRPr="006C30BE">
              <w:rPr>
                <w:rFonts w:eastAsia="Calibri"/>
                <w:b/>
                <w:sz w:val="20"/>
                <w:lang w:val="en-CA"/>
              </w:rPr>
              <w:t>Tajedin</w:t>
            </w:r>
            <w:proofErr w:type="spellEnd"/>
            <w:r w:rsidRPr="006C30BE">
              <w:rPr>
                <w:rFonts w:eastAsia="Calibri"/>
                <w:b/>
                <w:sz w:val="20"/>
                <w:lang w:val="en-CA"/>
              </w:rPr>
              <w:t xml:space="preserve"> </w:t>
            </w:r>
            <w:proofErr w:type="spellStart"/>
            <w:r w:rsidRPr="006C30BE">
              <w:rPr>
                <w:rFonts w:eastAsia="Calibri"/>
                <w:b/>
                <w:sz w:val="20"/>
                <w:lang w:val="en-CA"/>
              </w:rPr>
              <w:t>Getahun</w:t>
            </w:r>
            <w:proofErr w:type="spellEnd"/>
            <w:r w:rsidRPr="006C30BE">
              <w:rPr>
                <w:rFonts w:eastAsia="Calibri"/>
                <w:b/>
                <w:sz w:val="20"/>
                <w:lang w:val="en-CA"/>
              </w:rPr>
              <w:t xml:space="preserve"> v. Blake Moore</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(Ont.) (Civil)</w:t>
            </w:r>
          </w:p>
        </w:tc>
      </w:tr>
      <w:tr w:rsidR="006C30BE" w:rsidRPr="006C30BE" w:rsidTr="006C30BE">
        <w:tc>
          <w:tcPr>
            <w:tcW w:w="5000" w:type="pct"/>
            <w:gridSpan w:val="4"/>
          </w:tcPr>
          <w:p w:rsidR="006C30BE" w:rsidRPr="006C30BE" w:rsidRDefault="006C30BE" w:rsidP="006C30BE">
            <w:pPr>
              <w:spacing w:line="276" w:lineRule="auto"/>
              <w:jc w:val="both"/>
              <w:rPr>
                <w:rFonts w:eastAsia="Calibri"/>
                <w:smallCaps/>
                <w:sz w:val="20"/>
                <w:lang w:val="en-CA"/>
              </w:rPr>
            </w:pPr>
            <w:r w:rsidRPr="006C30BE">
              <w:rPr>
                <w:rFonts w:eastAsia="Calibri"/>
                <w:sz w:val="20"/>
                <w:lang w:val="en-CA"/>
              </w:rPr>
              <w:t xml:space="preserve">Torts — Negligence — Medical malpractice — Civil litigation — Expert Evidence — New trial — Respondent awarded damages in medical malpractice action — Court of Appeal finding lower court’s errors not affecting outcome and no substantial wrong or miscarriage of justice flowing from errors — Court of Appeal dismissing appeal — What principles should determine whether a new trial should be ordered in a civil action — </w:t>
            </w:r>
            <w:r w:rsidRPr="006C30BE">
              <w:rPr>
                <w:rFonts w:eastAsia="Calibri"/>
                <w:i/>
                <w:sz w:val="20"/>
                <w:lang w:val="en-CA"/>
              </w:rPr>
              <w:t>Courts of Justice Act</w:t>
            </w:r>
            <w:r w:rsidRPr="006C30BE">
              <w:rPr>
                <w:rFonts w:eastAsia="Calibri"/>
                <w:sz w:val="20"/>
                <w:lang w:val="en-CA"/>
              </w:rPr>
              <w:t>, R.S.O. 1990, c. C-43, s. 134(6).</w:t>
            </w:r>
          </w:p>
        </w:tc>
      </w:tr>
      <w:tr w:rsidR="006C30BE" w:rsidRPr="006C30BE" w:rsidTr="006C30BE">
        <w:tc>
          <w:tcPr>
            <w:tcW w:w="5000" w:type="pct"/>
            <w:gridSpan w:val="4"/>
          </w:tcPr>
          <w:p w:rsidR="006C30BE" w:rsidRPr="006C30BE" w:rsidRDefault="006C30BE" w:rsidP="006C30BE">
            <w:pPr>
              <w:spacing w:line="276" w:lineRule="auto"/>
              <w:jc w:val="both"/>
              <w:rPr>
                <w:rFonts w:eastAsia="Calibri"/>
                <w:sz w:val="20"/>
                <w:lang w:val="en-CA"/>
              </w:rPr>
            </w:pPr>
          </w:p>
        </w:tc>
      </w:tr>
      <w:tr w:rsidR="006C30BE" w:rsidRPr="006C30BE" w:rsidTr="006C30BE">
        <w:tc>
          <w:tcPr>
            <w:tcW w:w="5000" w:type="pct"/>
            <w:gridSpan w:val="4"/>
          </w:tcPr>
          <w:p w:rsidR="006C30BE" w:rsidRPr="006C30BE" w:rsidRDefault="006C30BE" w:rsidP="006C30BE">
            <w:pPr>
              <w:spacing w:line="276" w:lineRule="auto"/>
              <w:jc w:val="both"/>
              <w:rPr>
                <w:rFonts w:eastAsia="Calibri"/>
                <w:sz w:val="20"/>
                <w:lang w:val="en-CA"/>
              </w:rPr>
            </w:pPr>
            <w:r w:rsidRPr="006C30BE">
              <w:rPr>
                <w:rFonts w:eastAsia="Calibri"/>
                <w:sz w:val="20"/>
                <w:lang w:val="en-CA"/>
              </w:rPr>
              <w:lastRenderedPageBreak/>
              <w:t>Following a motorcycle accident, the respondent was treated by the applicant, an orthopedic surgeon, for a fracture to his right wrist. A full circumferential cast was applied to the wrist and forearm. The respondent suffered permanent damage to the muscles in his arm due to compartment syndrome that he alleged was caused by the applicant’s negligence in the application of a full cast.</w:t>
            </w:r>
          </w:p>
          <w:p w:rsidR="006C30BE" w:rsidRPr="006C30BE" w:rsidRDefault="006C30BE" w:rsidP="006C30BE">
            <w:pPr>
              <w:spacing w:line="276" w:lineRule="auto"/>
              <w:jc w:val="both"/>
              <w:rPr>
                <w:rFonts w:eastAsia="Calibri"/>
                <w:sz w:val="20"/>
                <w:lang w:val="en-CA"/>
              </w:rPr>
            </w:pPr>
          </w:p>
          <w:p w:rsidR="006C30BE" w:rsidRPr="006C30BE" w:rsidRDefault="006C30BE" w:rsidP="006C30BE">
            <w:pPr>
              <w:spacing w:line="276" w:lineRule="auto"/>
              <w:jc w:val="both"/>
              <w:rPr>
                <w:rFonts w:eastAsia="Calibri"/>
                <w:sz w:val="20"/>
                <w:lang w:val="en-CA"/>
              </w:rPr>
            </w:pPr>
            <w:r w:rsidRPr="006C30BE">
              <w:rPr>
                <w:rFonts w:eastAsia="Calibri"/>
                <w:sz w:val="20"/>
                <w:lang w:val="en-CA"/>
              </w:rPr>
              <w:t xml:space="preserve">The trial judge found that the application of the full circumferential cast was a breach of the standard of care and had caused the compartment syndrome to develop. She ordered $350,000 in damages. The Court of Appeal dismissed the appeal.  </w:t>
            </w:r>
          </w:p>
          <w:p w:rsidR="006C30BE" w:rsidRPr="006C30BE" w:rsidRDefault="006C30BE" w:rsidP="006C30BE">
            <w:pPr>
              <w:spacing w:line="276" w:lineRule="auto"/>
              <w:jc w:val="both"/>
              <w:rPr>
                <w:rFonts w:eastAsia="Calibri"/>
                <w:sz w:val="20"/>
                <w:lang w:val="en-CA"/>
              </w:rPr>
            </w:pPr>
          </w:p>
        </w:tc>
      </w:tr>
      <w:tr w:rsidR="006C30BE" w:rsidRPr="006C30BE" w:rsidTr="006C30BE">
        <w:tc>
          <w:tcPr>
            <w:tcW w:w="2427" w:type="pct"/>
            <w:gridSpan w:val="2"/>
          </w:tcPr>
          <w:p w:rsidR="006C30BE" w:rsidRPr="006C30BE" w:rsidRDefault="006C30BE" w:rsidP="006C30BE">
            <w:pPr>
              <w:spacing w:line="276" w:lineRule="auto"/>
              <w:jc w:val="both"/>
              <w:rPr>
                <w:rFonts w:eastAsia="Calibri"/>
                <w:sz w:val="20"/>
                <w:lang w:val="en-CA"/>
              </w:rPr>
            </w:pPr>
            <w:r w:rsidRPr="006C30BE">
              <w:rPr>
                <w:rFonts w:eastAsia="Calibri"/>
                <w:sz w:val="20"/>
                <w:lang w:val="en-CA"/>
              </w:rPr>
              <w:t>January 14, 2014</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Ontario Superior Court of Justice</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(Wilson J.)</w:t>
            </w:r>
          </w:p>
          <w:p w:rsidR="006C30BE" w:rsidRPr="006C30BE" w:rsidRDefault="006A0D3A" w:rsidP="006C30BE">
            <w:pPr>
              <w:spacing w:line="276" w:lineRule="auto"/>
              <w:jc w:val="both"/>
              <w:rPr>
                <w:rFonts w:eastAsia="Calibri"/>
                <w:sz w:val="20"/>
                <w:lang w:val="en-CA"/>
              </w:rPr>
            </w:pPr>
            <w:hyperlink r:id="rId12" w:history="1">
              <w:r w:rsidR="006C30BE" w:rsidRPr="00424A9D">
                <w:rPr>
                  <w:rFonts w:eastAsia="Calibri"/>
                  <w:color w:val="0000FF" w:themeColor="hyperlink"/>
                  <w:sz w:val="20"/>
                  <w:u w:val="single"/>
                  <w:lang w:val="en-CA"/>
                </w:rPr>
                <w:t>2014 ONSC 237</w:t>
              </w:r>
            </w:hyperlink>
          </w:p>
          <w:p w:rsidR="006C30BE" w:rsidRPr="006C30BE" w:rsidRDefault="006C30BE" w:rsidP="006C30BE">
            <w:pPr>
              <w:spacing w:line="276" w:lineRule="auto"/>
              <w:jc w:val="both"/>
              <w:rPr>
                <w:rFonts w:eastAsia="Calibri"/>
                <w:sz w:val="20"/>
                <w:lang w:val="en-CA"/>
              </w:rPr>
            </w:pPr>
          </w:p>
        </w:tc>
        <w:tc>
          <w:tcPr>
            <w:tcW w:w="243" w:type="pct"/>
          </w:tcPr>
          <w:p w:rsidR="006C30BE" w:rsidRPr="006C30BE" w:rsidRDefault="006C30BE" w:rsidP="006C30BE">
            <w:pPr>
              <w:spacing w:line="276" w:lineRule="auto"/>
              <w:jc w:val="both"/>
              <w:rPr>
                <w:rFonts w:eastAsia="Calibri"/>
                <w:sz w:val="20"/>
                <w:lang w:val="en-CA"/>
              </w:rPr>
            </w:pPr>
          </w:p>
        </w:tc>
        <w:tc>
          <w:tcPr>
            <w:tcW w:w="2330" w:type="pct"/>
          </w:tcPr>
          <w:p w:rsidR="006C30BE" w:rsidRPr="006C30BE" w:rsidRDefault="006C30BE" w:rsidP="006C30BE">
            <w:pPr>
              <w:spacing w:line="276" w:lineRule="auto"/>
              <w:jc w:val="both"/>
              <w:rPr>
                <w:rFonts w:eastAsia="Calibri"/>
                <w:sz w:val="20"/>
                <w:lang w:val="en-CA"/>
              </w:rPr>
            </w:pPr>
            <w:r w:rsidRPr="006C30BE">
              <w:rPr>
                <w:rFonts w:eastAsia="Calibri"/>
                <w:sz w:val="20"/>
                <w:lang w:val="en-CA"/>
              </w:rPr>
              <w:t xml:space="preserve">Applicant ordered to pay respondent $350,000 in damages. </w:t>
            </w:r>
          </w:p>
          <w:p w:rsidR="006C30BE" w:rsidRPr="006C30BE" w:rsidRDefault="006C30BE" w:rsidP="006C30BE">
            <w:pPr>
              <w:spacing w:line="276" w:lineRule="auto"/>
              <w:jc w:val="both"/>
              <w:rPr>
                <w:rFonts w:eastAsia="Calibri"/>
                <w:sz w:val="20"/>
                <w:lang w:val="en-CA"/>
              </w:rPr>
            </w:pPr>
          </w:p>
        </w:tc>
      </w:tr>
      <w:tr w:rsidR="006C30BE" w:rsidRPr="006C30BE" w:rsidTr="006C30BE">
        <w:tc>
          <w:tcPr>
            <w:tcW w:w="2427" w:type="pct"/>
            <w:gridSpan w:val="2"/>
          </w:tcPr>
          <w:p w:rsidR="006C30BE" w:rsidRPr="006C30BE" w:rsidRDefault="006C30BE" w:rsidP="006C30BE">
            <w:pPr>
              <w:spacing w:line="276" w:lineRule="auto"/>
              <w:jc w:val="both"/>
              <w:rPr>
                <w:rFonts w:eastAsia="Calibri"/>
                <w:sz w:val="20"/>
                <w:lang w:val="en-CA"/>
              </w:rPr>
            </w:pPr>
            <w:r w:rsidRPr="006C30BE">
              <w:rPr>
                <w:rFonts w:eastAsia="Calibri"/>
                <w:sz w:val="20"/>
                <w:lang w:val="en-CA"/>
              </w:rPr>
              <w:t>January 29, 2015</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Court of Appeal for Ontario</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w:t>
            </w:r>
            <w:proofErr w:type="spellStart"/>
            <w:r w:rsidRPr="006C30BE">
              <w:rPr>
                <w:rFonts w:eastAsia="Calibri"/>
                <w:sz w:val="20"/>
                <w:lang w:val="en-CA"/>
              </w:rPr>
              <w:t>Laskin</w:t>
            </w:r>
            <w:proofErr w:type="spellEnd"/>
            <w:r w:rsidRPr="006C30BE">
              <w:rPr>
                <w:rFonts w:eastAsia="Calibri"/>
                <w:sz w:val="20"/>
                <w:lang w:val="en-CA"/>
              </w:rPr>
              <w:t>, Sharpe and Simmons JJ.A.)</w:t>
            </w:r>
          </w:p>
          <w:p w:rsidR="006C30BE" w:rsidRPr="006C30BE" w:rsidRDefault="006A0D3A" w:rsidP="006C30BE">
            <w:pPr>
              <w:spacing w:line="276" w:lineRule="auto"/>
              <w:jc w:val="both"/>
              <w:rPr>
                <w:rFonts w:eastAsia="Calibri"/>
                <w:sz w:val="20"/>
                <w:lang w:val="en-CA"/>
              </w:rPr>
            </w:pPr>
            <w:hyperlink r:id="rId13" w:history="1">
              <w:r w:rsidR="006C30BE" w:rsidRPr="00424A9D">
                <w:rPr>
                  <w:rFonts w:eastAsia="Calibri"/>
                  <w:color w:val="0000FF" w:themeColor="hyperlink"/>
                  <w:sz w:val="20"/>
                  <w:u w:val="single"/>
                  <w:lang w:val="en-CA"/>
                </w:rPr>
                <w:t>2015 ONCA 55</w:t>
              </w:r>
            </w:hyperlink>
          </w:p>
          <w:p w:rsidR="006C30BE" w:rsidRPr="006C30BE" w:rsidRDefault="006C30BE" w:rsidP="006C30BE">
            <w:pPr>
              <w:spacing w:line="276" w:lineRule="auto"/>
              <w:jc w:val="both"/>
              <w:rPr>
                <w:rFonts w:eastAsia="Calibri"/>
                <w:sz w:val="20"/>
                <w:lang w:val="en-CA"/>
              </w:rPr>
            </w:pPr>
            <w:r w:rsidRPr="006C30BE">
              <w:rPr>
                <w:rFonts w:eastAsia="Calibri"/>
                <w:sz w:val="20"/>
                <w:lang w:val="en-CA"/>
              </w:rPr>
              <w:t>File No.: C58338</w:t>
            </w:r>
          </w:p>
          <w:p w:rsidR="006C30BE" w:rsidRPr="006C30BE" w:rsidRDefault="006C30BE" w:rsidP="006C30BE">
            <w:pPr>
              <w:spacing w:line="276" w:lineRule="auto"/>
              <w:jc w:val="both"/>
              <w:rPr>
                <w:rFonts w:eastAsia="Calibri"/>
                <w:sz w:val="20"/>
                <w:lang w:val="en-CA"/>
              </w:rPr>
            </w:pPr>
          </w:p>
        </w:tc>
        <w:tc>
          <w:tcPr>
            <w:tcW w:w="243" w:type="pct"/>
          </w:tcPr>
          <w:p w:rsidR="006C30BE" w:rsidRPr="006C30BE" w:rsidRDefault="006C30BE" w:rsidP="006C30BE">
            <w:pPr>
              <w:spacing w:line="276" w:lineRule="auto"/>
              <w:jc w:val="both"/>
              <w:rPr>
                <w:rFonts w:eastAsia="Calibri"/>
                <w:sz w:val="20"/>
                <w:lang w:val="en-CA"/>
              </w:rPr>
            </w:pPr>
          </w:p>
        </w:tc>
        <w:tc>
          <w:tcPr>
            <w:tcW w:w="2330" w:type="pct"/>
          </w:tcPr>
          <w:p w:rsidR="006C30BE" w:rsidRPr="006C30BE" w:rsidRDefault="006C30BE" w:rsidP="006C30BE">
            <w:pPr>
              <w:spacing w:line="276" w:lineRule="auto"/>
              <w:jc w:val="both"/>
              <w:rPr>
                <w:rFonts w:eastAsia="Calibri"/>
                <w:sz w:val="20"/>
                <w:lang w:val="en-CA"/>
              </w:rPr>
            </w:pPr>
            <w:r w:rsidRPr="006C30BE">
              <w:rPr>
                <w:rFonts w:eastAsia="Calibri"/>
                <w:sz w:val="20"/>
                <w:lang w:val="en-CA"/>
              </w:rPr>
              <w:t>Appeal dismissed.</w:t>
            </w:r>
          </w:p>
          <w:p w:rsidR="006C30BE" w:rsidRPr="006C30BE" w:rsidRDefault="006C30BE" w:rsidP="006C30BE">
            <w:pPr>
              <w:spacing w:line="276" w:lineRule="auto"/>
              <w:jc w:val="both"/>
              <w:rPr>
                <w:rFonts w:eastAsia="Calibri"/>
                <w:sz w:val="20"/>
                <w:lang w:val="en-CA"/>
              </w:rPr>
            </w:pPr>
          </w:p>
        </w:tc>
      </w:tr>
      <w:tr w:rsidR="006C30BE" w:rsidRPr="006C30BE" w:rsidTr="006C30BE">
        <w:tc>
          <w:tcPr>
            <w:tcW w:w="2427" w:type="pct"/>
            <w:gridSpan w:val="2"/>
            <w:hideMark/>
          </w:tcPr>
          <w:p w:rsidR="006C30BE" w:rsidRPr="006C30BE" w:rsidRDefault="006C30BE" w:rsidP="006C30BE">
            <w:pPr>
              <w:spacing w:line="276" w:lineRule="auto"/>
              <w:jc w:val="both"/>
              <w:rPr>
                <w:rFonts w:eastAsia="Calibri"/>
                <w:sz w:val="20"/>
                <w:lang w:val="en-CA"/>
              </w:rPr>
            </w:pPr>
            <w:r w:rsidRPr="006C30BE">
              <w:rPr>
                <w:rFonts w:eastAsia="Calibri"/>
                <w:sz w:val="20"/>
                <w:lang w:val="en-CA"/>
              </w:rPr>
              <w:t>March 30, 2015</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Supreme Court of Canada</w:t>
            </w:r>
          </w:p>
        </w:tc>
        <w:tc>
          <w:tcPr>
            <w:tcW w:w="243" w:type="pct"/>
          </w:tcPr>
          <w:p w:rsidR="006C30BE" w:rsidRPr="006C30BE" w:rsidRDefault="006C30BE" w:rsidP="006C30BE">
            <w:pPr>
              <w:spacing w:line="276" w:lineRule="auto"/>
              <w:jc w:val="both"/>
              <w:rPr>
                <w:rFonts w:eastAsia="Calibri"/>
                <w:sz w:val="20"/>
                <w:lang w:val="en-CA"/>
              </w:rPr>
            </w:pPr>
          </w:p>
        </w:tc>
        <w:tc>
          <w:tcPr>
            <w:tcW w:w="2330" w:type="pct"/>
          </w:tcPr>
          <w:p w:rsidR="006C30BE" w:rsidRPr="006C30BE" w:rsidRDefault="006C30BE" w:rsidP="006C30BE">
            <w:pPr>
              <w:spacing w:line="276" w:lineRule="auto"/>
              <w:jc w:val="both"/>
              <w:rPr>
                <w:rFonts w:eastAsia="Calibri"/>
                <w:sz w:val="20"/>
                <w:lang w:val="en-CA"/>
              </w:rPr>
            </w:pPr>
            <w:r w:rsidRPr="006C30BE">
              <w:rPr>
                <w:rFonts w:eastAsia="Calibri"/>
                <w:sz w:val="20"/>
                <w:lang w:val="en-CA"/>
              </w:rPr>
              <w:t>Application for leave to appeal filed.</w:t>
            </w:r>
          </w:p>
          <w:p w:rsidR="006C30BE" w:rsidRPr="006C30BE" w:rsidRDefault="006C30BE" w:rsidP="006C30BE">
            <w:pPr>
              <w:spacing w:line="276" w:lineRule="auto"/>
              <w:jc w:val="both"/>
              <w:rPr>
                <w:rFonts w:eastAsia="Calibri"/>
                <w:sz w:val="20"/>
                <w:lang w:val="en-CA"/>
              </w:rPr>
            </w:pPr>
          </w:p>
        </w:tc>
      </w:tr>
    </w:tbl>
    <w:p w:rsidR="006C30BE" w:rsidRDefault="006C30BE" w:rsidP="006C30BE">
      <w:pPr>
        <w:jc w:val="both"/>
        <w:rPr>
          <w:rFonts w:eastAsia="Calibri"/>
          <w:sz w:val="20"/>
          <w:lang w:val="en-CA"/>
        </w:rPr>
      </w:pPr>
    </w:p>
    <w:p w:rsidR="00424A9D" w:rsidRPr="006C30BE" w:rsidRDefault="00424A9D" w:rsidP="006C30BE">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6C30BE" w:rsidRPr="006C30BE" w:rsidTr="006C30BE">
        <w:tc>
          <w:tcPr>
            <w:tcW w:w="543" w:type="pct"/>
            <w:hideMark/>
          </w:tcPr>
          <w:p w:rsidR="006C30BE" w:rsidRPr="006C30BE" w:rsidRDefault="006C30BE" w:rsidP="006C30BE">
            <w:pPr>
              <w:spacing w:line="276" w:lineRule="auto"/>
              <w:jc w:val="both"/>
              <w:rPr>
                <w:rFonts w:eastAsia="Calibri"/>
                <w:sz w:val="20"/>
                <w:lang w:val="en-CA"/>
              </w:rPr>
            </w:pPr>
            <w:r w:rsidRPr="00424A9D">
              <w:rPr>
                <w:rFonts w:eastAsia="Calibri"/>
                <w:b/>
                <w:sz w:val="20"/>
                <w:lang w:val="en-CA"/>
              </w:rPr>
              <w:t>36363</w:t>
            </w:r>
          </w:p>
        </w:tc>
        <w:tc>
          <w:tcPr>
            <w:tcW w:w="4457" w:type="pct"/>
            <w:gridSpan w:val="3"/>
            <w:hideMark/>
          </w:tcPr>
          <w:p w:rsidR="006C30BE" w:rsidRPr="006C30BE" w:rsidRDefault="006C30BE" w:rsidP="006C30BE">
            <w:pPr>
              <w:spacing w:line="276" w:lineRule="auto"/>
              <w:jc w:val="both"/>
              <w:rPr>
                <w:rFonts w:eastAsia="Calibri"/>
                <w:b/>
                <w:sz w:val="20"/>
                <w:lang w:val="en-CA"/>
              </w:rPr>
            </w:pPr>
            <w:proofErr w:type="spellStart"/>
            <w:r w:rsidRPr="006C30BE">
              <w:rPr>
                <w:rFonts w:eastAsia="Calibri"/>
                <w:b/>
                <w:sz w:val="20"/>
                <w:lang w:val="en-CA"/>
              </w:rPr>
              <w:t>Tajedin</w:t>
            </w:r>
            <w:proofErr w:type="spellEnd"/>
            <w:r w:rsidRPr="006C30BE">
              <w:rPr>
                <w:rFonts w:eastAsia="Calibri"/>
                <w:b/>
                <w:sz w:val="20"/>
                <w:lang w:val="en-CA"/>
              </w:rPr>
              <w:t xml:space="preserve"> </w:t>
            </w:r>
            <w:proofErr w:type="spellStart"/>
            <w:r w:rsidRPr="006C30BE">
              <w:rPr>
                <w:rFonts w:eastAsia="Calibri"/>
                <w:b/>
                <w:sz w:val="20"/>
                <w:lang w:val="en-CA"/>
              </w:rPr>
              <w:t>Getahun</w:t>
            </w:r>
            <w:proofErr w:type="spellEnd"/>
            <w:r w:rsidRPr="006C30BE">
              <w:rPr>
                <w:rFonts w:eastAsia="Calibri"/>
                <w:b/>
                <w:sz w:val="20"/>
                <w:lang w:val="en-CA"/>
              </w:rPr>
              <w:t xml:space="preserve"> c. Blake Moore</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(Ont.) (</w:t>
            </w:r>
            <w:proofErr w:type="spellStart"/>
            <w:r w:rsidRPr="006C30BE">
              <w:rPr>
                <w:rFonts w:eastAsia="Calibri"/>
                <w:sz w:val="20"/>
                <w:lang w:val="en-CA"/>
              </w:rPr>
              <w:t>Civile</w:t>
            </w:r>
            <w:proofErr w:type="spellEnd"/>
            <w:r w:rsidRPr="006C30BE">
              <w:rPr>
                <w:rFonts w:eastAsia="Calibri"/>
                <w:sz w:val="20"/>
                <w:lang w:val="en-CA"/>
              </w:rPr>
              <w:t>)</w:t>
            </w:r>
          </w:p>
        </w:tc>
      </w:tr>
      <w:tr w:rsidR="006C30BE" w:rsidRPr="006A0D3A" w:rsidTr="006C30BE">
        <w:tc>
          <w:tcPr>
            <w:tcW w:w="5000" w:type="pct"/>
            <w:gridSpan w:val="4"/>
          </w:tcPr>
          <w:p w:rsidR="006C30BE" w:rsidRPr="006C30BE" w:rsidRDefault="006C30BE" w:rsidP="006C30BE">
            <w:pPr>
              <w:spacing w:line="276" w:lineRule="auto"/>
              <w:jc w:val="both"/>
              <w:rPr>
                <w:rFonts w:eastAsia="Calibri"/>
                <w:sz w:val="20"/>
                <w:lang w:val="fr-CA"/>
              </w:rPr>
            </w:pPr>
            <w:r w:rsidRPr="006C30BE">
              <w:rPr>
                <w:rFonts w:eastAsia="Calibri"/>
                <w:sz w:val="20"/>
                <w:lang w:val="fr-CA"/>
              </w:rPr>
              <w:t xml:space="preserve">Responsabilité délictuelle ― Négligence ― Faute professionnelle médicale ― Contentieux civil ― Preuve d’expert ― Nouveau procès ― Dommages-intérêts octroyés à l’intimé au terme d’une action pour faute professionnelle médicale ― Conclusion de la Cour d’appel que les erreurs de la juridiction inférieure n’ont pas influé sur le résultat et n’ont donné lieu à aucun tort important ni erreur judiciaire grave ― Rejet de l’appel par la Cour d’appel ― Quels principes faut-il prendre en considération pour décider s’il y a lieu d’ordonner la tenue d’un nouveau procès dans une action civile? ― </w:t>
            </w:r>
            <w:r w:rsidRPr="006C30BE">
              <w:rPr>
                <w:rFonts w:eastAsia="Calibri"/>
                <w:i/>
                <w:sz w:val="20"/>
                <w:lang w:val="fr-CA"/>
              </w:rPr>
              <w:t>Loi sur les tribunaux judiciaires</w:t>
            </w:r>
            <w:r w:rsidRPr="006C30BE">
              <w:rPr>
                <w:rFonts w:eastAsia="Calibri"/>
                <w:sz w:val="20"/>
                <w:lang w:val="fr-CA"/>
              </w:rPr>
              <w:t>, L.R.O. 1990, c. C-43, art. 134(6).</w:t>
            </w:r>
          </w:p>
        </w:tc>
      </w:tr>
      <w:tr w:rsidR="006C30BE" w:rsidRPr="006A0D3A" w:rsidTr="006C30BE">
        <w:tc>
          <w:tcPr>
            <w:tcW w:w="5000" w:type="pct"/>
            <w:gridSpan w:val="4"/>
          </w:tcPr>
          <w:p w:rsidR="006C30BE" w:rsidRPr="006C30BE" w:rsidRDefault="006C30BE" w:rsidP="006C30BE">
            <w:pPr>
              <w:spacing w:line="276" w:lineRule="auto"/>
              <w:jc w:val="both"/>
              <w:rPr>
                <w:rFonts w:eastAsia="Calibri"/>
                <w:sz w:val="20"/>
                <w:lang w:val="fr-CA"/>
              </w:rPr>
            </w:pPr>
          </w:p>
        </w:tc>
      </w:tr>
      <w:tr w:rsidR="006C30BE" w:rsidRPr="006C30BE" w:rsidTr="006C30BE">
        <w:tc>
          <w:tcPr>
            <w:tcW w:w="5000" w:type="pct"/>
            <w:gridSpan w:val="4"/>
          </w:tcPr>
          <w:p w:rsidR="006C30BE" w:rsidRPr="006C30BE" w:rsidRDefault="006C30BE" w:rsidP="006C30BE">
            <w:pPr>
              <w:spacing w:line="276" w:lineRule="auto"/>
              <w:jc w:val="both"/>
              <w:rPr>
                <w:rFonts w:eastAsia="Calibri"/>
                <w:sz w:val="20"/>
                <w:lang w:val="fr-CA"/>
              </w:rPr>
            </w:pPr>
            <w:r w:rsidRPr="006C30BE">
              <w:rPr>
                <w:rFonts w:eastAsia="Calibri"/>
                <w:sz w:val="20"/>
                <w:lang w:val="fr-CA"/>
              </w:rPr>
              <w:t xml:space="preserve">À la suite d’un accident de motocyclette, l’intimé a été soigné pour fracture au poignet droit par le demandeur, un chirurgien orthopédiste. Un plâtre circonférentiel complet a été posé sur le poignet et l’avant-bras. L’intimé a subi </w:t>
            </w:r>
            <w:r w:rsidRPr="006C30BE">
              <w:rPr>
                <w:rFonts w:eastAsia="Calibri"/>
                <w:sz w:val="20"/>
                <w:lang w:val="fr-CA"/>
              </w:rPr>
              <w:lastRenderedPageBreak/>
              <w:t xml:space="preserve">des dommages permanents aux muscles du bras à cause du syndrome des loges qui, selon ses dires, est imputable à la négligence dont a fait preuve le demandeur dans la pose du plâtre complet. </w:t>
            </w:r>
          </w:p>
          <w:p w:rsidR="006C30BE" w:rsidRPr="006C30BE" w:rsidRDefault="006C30BE" w:rsidP="006C30BE">
            <w:pPr>
              <w:spacing w:line="276" w:lineRule="auto"/>
              <w:jc w:val="both"/>
              <w:rPr>
                <w:rFonts w:eastAsia="Calibri"/>
                <w:sz w:val="20"/>
                <w:lang w:val="fr-CA"/>
              </w:rPr>
            </w:pPr>
          </w:p>
          <w:p w:rsidR="006C30BE" w:rsidRPr="006C30BE" w:rsidRDefault="006C30BE" w:rsidP="006C30BE">
            <w:pPr>
              <w:spacing w:line="276" w:lineRule="auto"/>
              <w:jc w:val="both"/>
              <w:rPr>
                <w:rFonts w:eastAsia="Calibri"/>
                <w:sz w:val="20"/>
                <w:lang w:val="fr-CA"/>
              </w:rPr>
            </w:pPr>
            <w:r w:rsidRPr="006C30BE">
              <w:rPr>
                <w:rFonts w:eastAsia="Calibri"/>
                <w:sz w:val="20"/>
                <w:lang w:val="fr-CA"/>
              </w:rPr>
              <w:t xml:space="preserve">La juge de première instance a estimé que la pose du plâtre circonférentiel complet constituait un manquement à la norme de prudence et avait causé l’apparition du syndrome des loges. Elle a condamné le demandeur à verser 350 000 $ en dommages-intérêts. La Cour d’appel a rejeté l’appel.  </w:t>
            </w:r>
          </w:p>
          <w:p w:rsidR="006C30BE" w:rsidRPr="006C30BE" w:rsidRDefault="006C30BE" w:rsidP="006C30BE">
            <w:pPr>
              <w:spacing w:line="276" w:lineRule="auto"/>
              <w:jc w:val="both"/>
              <w:rPr>
                <w:rFonts w:eastAsia="Calibri"/>
                <w:sz w:val="20"/>
                <w:lang w:val="fr-CA"/>
              </w:rPr>
            </w:pPr>
          </w:p>
        </w:tc>
      </w:tr>
      <w:tr w:rsidR="006C30BE" w:rsidRPr="006A0D3A" w:rsidTr="006C30BE">
        <w:tc>
          <w:tcPr>
            <w:tcW w:w="2427" w:type="pct"/>
            <w:gridSpan w:val="2"/>
          </w:tcPr>
          <w:p w:rsidR="006C30BE" w:rsidRPr="006C30BE" w:rsidRDefault="006C30BE" w:rsidP="006C30BE">
            <w:pPr>
              <w:spacing w:line="276" w:lineRule="auto"/>
              <w:jc w:val="both"/>
              <w:rPr>
                <w:rFonts w:eastAsia="Calibri"/>
                <w:sz w:val="20"/>
                <w:lang w:val="fr-CA"/>
              </w:rPr>
            </w:pPr>
            <w:r w:rsidRPr="006C30BE">
              <w:rPr>
                <w:rFonts w:eastAsia="Calibri"/>
                <w:sz w:val="20"/>
                <w:lang w:val="fr-CA"/>
              </w:rPr>
              <w:lastRenderedPageBreak/>
              <w:t>14 janvier 2014</w:t>
            </w:r>
          </w:p>
          <w:p w:rsidR="006C30BE" w:rsidRPr="006C30BE" w:rsidRDefault="006C30BE" w:rsidP="006C30BE">
            <w:pPr>
              <w:spacing w:line="276" w:lineRule="auto"/>
              <w:jc w:val="both"/>
              <w:rPr>
                <w:rFonts w:eastAsia="Calibri"/>
                <w:sz w:val="20"/>
                <w:lang w:val="fr-CA"/>
              </w:rPr>
            </w:pPr>
            <w:r w:rsidRPr="006C30BE">
              <w:rPr>
                <w:rFonts w:eastAsia="Calibri"/>
                <w:sz w:val="20"/>
                <w:lang w:val="fr-CA"/>
              </w:rPr>
              <w:t xml:space="preserve">Cour supérieure de justice de l’Ontario </w:t>
            </w:r>
          </w:p>
          <w:p w:rsidR="006C30BE" w:rsidRPr="006C30BE" w:rsidRDefault="006C30BE" w:rsidP="006C30BE">
            <w:pPr>
              <w:spacing w:line="276" w:lineRule="auto"/>
              <w:jc w:val="both"/>
              <w:rPr>
                <w:rFonts w:eastAsia="Calibri"/>
                <w:sz w:val="20"/>
                <w:lang w:val="en-CA"/>
              </w:rPr>
            </w:pPr>
            <w:r w:rsidRPr="006C30BE">
              <w:rPr>
                <w:rFonts w:eastAsia="Calibri"/>
                <w:sz w:val="20"/>
                <w:lang w:val="en-CA"/>
              </w:rPr>
              <w:t>(</w:t>
            </w:r>
            <w:proofErr w:type="spellStart"/>
            <w:r w:rsidRPr="006C30BE">
              <w:rPr>
                <w:rFonts w:eastAsia="Calibri"/>
                <w:sz w:val="20"/>
                <w:lang w:val="en-CA"/>
              </w:rPr>
              <w:t>Juge</w:t>
            </w:r>
            <w:proofErr w:type="spellEnd"/>
            <w:r w:rsidRPr="006C30BE">
              <w:rPr>
                <w:rFonts w:eastAsia="Calibri"/>
                <w:sz w:val="20"/>
                <w:lang w:val="en-CA"/>
              </w:rPr>
              <w:t xml:space="preserve"> Wilson)</w:t>
            </w:r>
          </w:p>
          <w:p w:rsidR="006C30BE" w:rsidRPr="006C30BE" w:rsidRDefault="006A0D3A" w:rsidP="006C30BE">
            <w:pPr>
              <w:spacing w:line="276" w:lineRule="auto"/>
              <w:jc w:val="both"/>
              <w:rPr>
                <w:rFonts w:eastAsia="Calibri"/>
                <w:sz w:val="20"/>
                <w:lang w:val="en-CA"/>
              </w:rPr>
            </w:pPr>
            <w:hyperlink r:id="rId14" w:history="1">
              <w:r w:rsidR="006C30BE" w:rsidRPr="00424A9D">
                <w:rPr>
                  <w:rFonts w:eastAsia="Calibri"/>
                  <w:color w:val="0000FF" w:themeColor="hyperlink"/>
                  <w:sz w:val="20"/>
                  <w:u w:val="single"/>
                  <w:lang w:val="en-CA"/>
                </w:rPr>
                <w:t>2014 ONSC 237</w:t>
              </w:r>
            </w:hyperlink>
          </w:p>
          <w:p w:rsidR="006C30BE" w:rsidRPr="006C30BE" w:rsidRDefault="006C30BE" w:rsidP="006C30BE">
            <w:pPr>
              <w:spacing w:line="276" w:lineRule="auto"/>
              <w:jc w:val="both"/>
              <w:rPr>
                <w:rFonts w:eastAsia="Calibri"/>
                <w:sz w:val="20"/>
                <w:lang w:val="en-CA"/>
              </w:rPr>
            </w:pPr>
          </w:p>
        </w:tc>
        <w:tc>
          <w:tcPr>
            <w:tcW w:w="243" w:type="pct"/>
          </w:tcPr>
          <w:p w:rsidR="006C30BE" w:rsidRPr="006C30BE" w:rsidRDefault="006C30BE" w:rsidP="006C30BE">
            <w:pPr>
              <w:spacing w:line="276" w:lineRule="auto"/>
              <w:jc w:val="both"/>
              <w:rPr>
                <w:rFonts w:eastAsia="Calibri"/>
                <w:sz w:val="20"/>
                <w:lang w:val="en-CA"/>
              </w:rPr>
            </w:pPr>
          </w:p>
        </w:tc>
        <w:tc>
          <w:tcPr>
            <w:tcW w:w="2330" w:type="pct"/>
          </w:tcPr>
          <w:p w:rsidR="006C30BE" w:rsidRPr="006C30BE" w:rsidRDefault="006C30BE" w:rsidP="006C30BE">
            <w:pPr>
              <w:spacing w:line="276" w:lineRule="auto"/>
              <w:jc w:val="both"/>
              <w:rPr>
                <w:rFonts w:eastAsia="Calibri"/>
                <w:sz w:val="20"/>
                <w:lang w:val="fr-CA"/>
              </w:rPr>
            </w:pPr>
            <w:r w:rsidRPr="006C30BE">
              <w:rPr>
                <w:rFonts w:eastAsia="Calibri"/>
                <w:sz w:val="20"/>
                <w:lang w:val="fr-CA"/>
              </w:rPr>
              <w:t xml:space="preserve">Demandeur condamné à payer 350 000 $ en dommages-intérêts à l’intimé. </w:t>
            </w:r>
          </w:p>
          <w:p w:rsidR="006C30BE" w:rsidRPr="006C30BE" w:rsidRDefault="006C30BE" w:rsidP="006C30BE">
            <w:pPr>
              <w:spacing w:line="276" w:lineRule="auto"/>
              <w:jc w:val="both"/>
              <w:rPr>
                <w:rFonts w:eastAsia="Calibri"/>
                <w:sz w:val="20"/>
                <w:lang w:val="fr-CA"/>
              </w:rPr>
            </w:pPr>
          </w:p>
        </w:tc>
      </w:tr>
      <w:tr w:rsidR="006C30BE" w:rsidRPr="006C30BE" w:rsidTr="006C30BE">
        <w:tc>
          <w:tcPr>
            <w:tcW w:w="2427" w:type="pct"/>
            <w:gridSpan w:val="2"/>
          </w:tcPr>
          <w:p w:rsidR="006C30BE" w:rsidRPr="006C30BE" w:rsidRDefault="006C30BE" w:rsidP="006C30BE">
            <w:pPr>
              <w:spacing w:line="276" w:lineRule="auto"/>
              <w:jc w:val="both"/>
              <w:rPr>
                <w:rFonts w:eastAsia="Calibri"/>
                <w:sz w:val="20"/>
                <w:lang w:val="fr-CA"/>
              </w:rPr>
            </w:pPr>
            <w:r w:rsidRPr="006C30BE">
              <w:rPr>
                <w:rFonts w:eastAsia="Calibri"/>
                <w:sz w:val="20"/>
                <w:lang w:val="fr-CA"/>
              </w:rPr>
              <w:t>29 janvier 2015</w:t>
            </w:r>
          </w:p>
          <w:p w:rsidR="006C30BE" w:rsidRPr="006C30BE" w:rsidRDefault="006C30BE" w:rsidP="006C30BE">
            <w:pPr>
              <w:spacing w:line="276" w:lineRule="auto"/>
              <w:jc w:val="both"/>
              <w:rPr>
                <w:rFonts w:eastAsia="Calibri"/>
                <w:sz w:val="20"/>
                <w:lang w:val="fr-CA"/>
              </w:rPr>
            </w:pPr>
            <w:r w:rsidRPr="006C30BE">
              <w:rPr>
                <w:rFonts w:eastAsia="Calibri"/>
                <w:sz w:val="20"/>
                <w:lang w:val="fr-CA"/>
              </w:rPr>
              <w:t>Cour d’appel de l’Ontario</w:t>
            </w:r>
          </w:p>
          <w:p w:rsidR="006C30BE" w:rsidRPr="006C30BE" w:rsidRDefault="006C30BE" w:rsidP="006C30BE">
            <w:pPr>
              <w:spacing w:line="276" w:lineRule="auto"/>
              <w:jc w:val="both"/>
              <w:rPr>
                <w:rFonts w:eastAsia="Calibri"/>
                <w:sz w:val="20"/>
                <w:lang w:val="fr-CA"/>
              </w:rPr>
            </w:pPr>
            <w:r w:rsidRPr="006C30BE">
              <w:rPr>
                <w:rFonts w:eastAsia="Calibri"/>
                <w:sz w:val="20"/>
                <w:lang w:val="fr-CA"/>
              </w:rPr>
              <w:t xml:space="preserve">(Juges </w:t>
            </w:r>
            <w:proofErr w:type="spellStart"/>
            <w:r w:rsidRPr="006C30BE">
              <w:rPr>
                <w:rFonts w:eastAsia="Calibri"/>
                <w:sz w:val="20"/>
                <w:lang w:val="fr-CA"/>
              </w:rPr>
              <w:t>Laskin</w:t>
            </w:r>
            <w:proofErr w:type="spellEnd"/>
            <w:r w:rsidRPr="006C30BE">
              <w:rPr>
                <w:rFonts w:eastAsia="Calibri"/>
                <w:sz w:val="20"/>
                <w:lang w:val="fr-CA"/>
              </w:rPr>
              <w:t>, Sharpe et Simmons)</w:t>
            </w:r>
          </w:p>
          <w:p w:rsidR="006C30BE" w:rsidRPr="006C30BE" w:rsidRDefault="006A0D3A" w:rsidP="006C30BE">
            <w:pPr>
              <w:spacing w:line="276" w:lineRule="auto"/>
              <w:jc w:val="both"/>
              <w:rPr>
                <w:rFonts w:eastAsia="Calibri"/>
                <w:sz w:val="20"/>
                <w:lang w:val="fr-CA"/>
              </w:rPr>
            </w:pPr>
            <w:hyperlink r:id="rId15" w:history="1">
              <w:r w:rsidR="006C30BE" w:rsidRPr="00424A9D">
                <w:rPr>
                  <w:rFonts w:eastAsia="Calibri"/>
                  <w:color w:val="0000FF" w:themeColor="hyperlink"/>
                  <w:sz w:val="20"/>
                  <w:u w:val="single"/>
                  <w:lang w:val="fr-CA"/>
                </w:rPr>
                <w:t>2015 ONCA 55</w:t>
              </w:r>
            </w:hyperlink>
          </w:p>
          <w:p w:rsidR="006C30BE" w:rsidRPr="006C30BE" w:rsidRDefault="006C30BE" w:rsidP="006C30BE">
            <w:pPr>
              <w:spacing w:line="276" w:lineRule="auto"/>
              <w:jc w:val="both"/>
              <w:rPr>
                <w:rFonts w:eastAsia="Calibri"/>
                <w:sz w:val="20"/>
                <w:lang w:val="en-CA"/>
              </w:rPr>
            </w:pPr>
            <w:r w:rsidRPr="006C30BE">
              <w:rPr>
                <w:rFonts w:eastAsia="Calibri"/>
                <w:sz w:val="20"/>
                <w:lang w:val="en-CA"/>
              </w:rPr>
              <w:t>N</w:t>
            </w:r>
            <w:r w:rsidRPr="006C30BE">
              <w:rPr>
                <w:rFonts w:eastAsia="Calibri"/>
                <w:sz w:val="20"/>
                <w:vertAlign w:val="superscript"/>
                <w:lang w:val="en-CA"/>
              </w:rPr>
              <w:t>o</w:t>
            </w:r>
            <w:r w:rsidRPr="006C30BE">
              <w:rPr>
                <w:rFonts w:eastAsia="Calibri"/>
                <w:sz w:val="20"/>
                <w:lang w:val="en-CA"/>
              </w:rPr>
              <w:t xml:space="preserve"> du </w:t>
            </w:r>
            <w:proofErr w:type="spellStart"/>
            <w:r w:rsidRPr="006C30BE">
              <w:rPr>
                <w:rFonts w:eastAsia="Calibri"/>
                <w:sz w:val="20"/>
                <w:lang w:val="en-CA"/>
              </w:rPr>
              <w:t>greffe</w:t>
            </w:r>
            <w:proofErr w:type="spellEnd"/>
            <w:r w:rsidRPr="006C30BE">
              <w:rPr>
                <w:rFonts w:eastAsia="Calibri"/>
                <w:sz w:val="20"/>
                <w:lang w:val="en-CA"/>
              </w:rPr>
              <w:t xml:space="preserve"> : C58338</w:t>
            </w:r>
          </w:p>
          <w:p w:rsidR="006C30BE" w:rsidRPr="006C30BE" w:rsidRDefault="006C30BE" w:rsidP="006C30BE">
            <w:pPr>
              <w:spacing w:line="276" w:lineRule="auto"/>
              <w:jc w:val="both"/>
              <w:rPr>
                <w:rFonts w:eastAsia="Calibri"/>
                <w:sz w:val="20"/>
                <w:lang w:val="en-CA"/>
              </w:rPr>
            </w:pPr>
          </w:p>
        </w:tc>
        <w:tc>
          <w:tcPr>
            <w:tcW w:w="243" w:type="pct"/>
          </w:tcPr>
          <w:p w:rsidR="006C30BE" w:rsidRPr="006C30BE" w:rsidRDefault="006C30BE" w:rsidP="006C30BE">
            <w:pPr>
              <w:spacing w:line="276" w:lineRule="auto"/>
              <w:jc w:val="both"/>
              <w:rPr>
                <w:rFonts w:eastAsia="Calibri"/>
                <w:sz w:val="20"/>
                <w:lang w:val="en-CA"/>
              </w:rPr>
            </w:pPr>
          </w:p>
        </w:tc>
        <w:tc>
          <w:tcPr>
            <w:tcW w:w="2330" w:type="pct"/>
          </w:tcPr>
          <w:p w:rsidR="006C30BE" w:rsidRPr="006C30BE" w:rsidRDefault="006C30BE" w:rsidP="006C30BE">
            <w:pPr>
              <w:spacing w:line="276" w:lineRule="auto"/>
              <w:jc w:val="both"/>
              <w:rPr>
                <w:rFonts w:eastAsia="Calibri"/>
                <w:sz w:val="20"/>
                <w:lang w:val="fr-CA"/>
              </w:rPr>
            </w:pPr>
            <w:r w:rsidRPr="006C30BE">
              <w:rPr>
                <w:rFonts w:eastAsia="Calibri"/>
                <w:sz w:val="20"/>
                <w:lang w:val="fr-CA"/>
              </w:rPr>
              <w:t>Rejet de l’appel.</w:t>
            </w:r>
          </w:p>
          <w:p w:rsidR="006C30BE" w:rsidRPr="006C30BE" w:rsidRDefault="006C30BE" w:rsidP="006C30BE">
            <w:pPr>
              <w:spacing w:line="276" w:lineRule="auto"/>
              <w:jc w:val="both"/>
              <w:rPr>
                <w:rFonts w:eastAsia="Calibri"/>
                <w:sz w:val="20"/>
                <w:lang w:val="fr-CA"/>
              </w:rPr>
            </w:pPr>
          </w:p>
        </w:tc>
      </w:tr>
      <w:tr w:rsidR="006C30BE" w:rsidRPr="006A0D3A" w:rsidTr="006C30BE">
        <w:tc>
          <w:tcPr>
            <w:tcW w:w="2427" w:type="pct"/>
            <w:gridSpan w:val="2"/>
            <w:hideMark/>
          </w:tcPr>
          <w:p w:rsidR="006C30BE" w:rsidRPr="006C30BE" w:rsidRDefault="006C30BE" w:rsidP="006C30BE">
            <w:pPr>
              <w:spacing w:line="276" w:lineRule="auto"/>
              <w:jc w:val="both"/>
              <w:rPr>
                <w:rFonts w:eastAsia="Calibri"/>
                <w:sz w:val="20"/>
                <w:lang w:val="fr-CA"/>
              </w:rPr>
            </w:pPr>
            <w:r w:rsidRPr="006C30BE">
              <w:rPr>
                <w:rFonts w:eastAsia="Calibri"/>
                <w:sz w:val="20"/>
                <w:lang w:val="fr-CA"/>
              </w:rPr>
              <w:t>30 mars 2015</w:t>
            </w:r>
          </w:p>
          <w:p w:rsidR="006C30BE" w:rsidRPr="006C30BE" w:rsidRDefault="006C30BE" w:rsidP="006C30BE">
            <w:pPr>
              <w:spacing w:line="276" w:lineRule="auto"/>
              <w:jc w:val="both"/>
              <w:rPr>
                <w:rFonts w:eastAsia="Calibri"/>
                <w:sz w:val="20"/>
                <w:lang w:val="fr-CA"/>
              </w:rPr>
            </w:pPr>
            <w:r w:rsidRPr="006C30BE">
              <w:rPr>
                <w:rFonts w:eastAsia="Calibri"/>
                <w:sz w:val="20"/>
                <w:lang w:val="fr-CA"/>
              </w:rPr>
              <w:t>Cour suprême du Canada</w:t>
            </w:r>
          </w:p>
        </w:tc>
        <w:tc>
          <w:tcPr>
            <w:tcW w:w="243" w:type="pct"/>
          </w:tcPr>
          <w:p w:rsidR="006C30BE" w:rsidRPr="006C30BE" w:rsidRDefault="006C30BE" w:rsidP="006C30BE">
            <w:pPr>
              <w:spacing w:line="276" w:lineRule="auto"/>
              <w:jc w:val="both"/>
              <w:rPr>
                <w:rFonts w:eastAsia="Calibri"/>
                <w:sz w:val="20"/>
                <w:lang w:val="fr-CA"/>
              </w:rPr>
            </w:pPr>
          </w:p>
        </w:tc>
        <w:tc>
          <w:tcPr>
            <w:tcW w:w="2330" w:type="pct"/>
          </w:tcPr>
          <w:p w:rsidR="006C30BE" w:rsidRPr="006C30BE" w:rsidRDefault="006C30BE" w:rsidP="006C30BE">
            <w:pPr>
              <w:spacing w:line="276" w:lineRule="auto"/>
              <w:jc w:val="both"/>
              <w:rPr>
                <w:rFonts w:eastAsia="Calibri"/>
                <w:sz w:val="20"/>
                <w:lang w:val="fr-CA"/>
              </w:rPr>
            </w:pPr>
            <w:r w:rsidRPr="006C30BE">
              <w:rPr>
                <w:rFonts w:eastAsia="Calibri"/>
                <w:sz w:val="20"/>
                <w:lang w:val="fr-CA"/>
              </w:rPr>
              <w:t>Dépôt de la demande d’autorisation d’appel.</w:t>
            </w:r>
          </w:p>
          <w:p w:rsidR="006C30BE" w:rsidRPr="006C30BE" w:rsidRDefault="006C30BE" w:rsidP="006C30BE">
            <w:pPr>
              <w:spacing w:line="276" w:lineRule="auto"/>
              <w:jc w:val="both"/>
              <w:rPr>
                <w:rFonts w:eastAsia="Calibri"/>
                <w:sz w:val="20"/>
                <w:lang w:val="fr-CA"/>
              </w:rPr>
            </w:pPr>
          </w:p>
        </w:tc>
      </w:tr>
    </w:tbl>
    <w:p w:rsidR="006C30BE" w:rsidRDefault="006C30BE" w:rsidP="006C30BE">
      <w:pPr>
        <w:jc w:val="both"/>
        <w:rPr>
          <w:rFonts w:eastAsia="Calibri"/>
          <w:sz w:val="20"/>
          <w:lang w:val="fr-CA"/>
        </w:rPr>
      </w:pPr>
    </w:p>
    <w:p w:rsidR="00424A9D" w:rsidRPr="006C30BE" w:rsidRDefault="00424A9D" w:rsidP="006C30BE">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4A9D" w:rsidRPr="00424A9D" w:rsidTr="00AA54C8">
        <w:tc>
          <w:tcPr>
            <w:tcW w:w="543" w:type="pct"/>
          </w:tcPr>
          <w:p w:rsidR="00424A9D" w:rsidRPr="00424A9D" w:rsidRDefault="00424A9D" w:rsidP="00424A9D">
            <w:pPr>
              <w:jc w:val="both"/>
              <w:rPr>
                <w:rFonts w:eastAsiaTheme="minorHAnsi"/>
                <w:sz w:val="20"/>
                <w:lang w:val="en-CA"/>
              </w:rPr>
            </w:pPr>
            <w:r w:rsidRPr="00424A9D">
              <w:rPr>
                <w:rFonts w:eastAsiaTheme="minorHAnsi"/>
                <w:b/>
                <w:sz w:val="20"/>
                <w:lang w:val="fr-CA"/>
              </w:rPr>
              <w:t>36443</w:t>
            </w:r>
          </w:p>
        </w:tc>
        <w:tc>
          <w:tcPr>
            <w:tcW w:w="4457" w:type="pct"/>
            <w:gridSpan w:val="3"/>
          </w:tcPr>
          <w:p w:rsidR="00424A9D" w:rsidRPr="00424A9D" w:rsidRDefault="00424A9D" w:rsidP="00424A9D">
            <w:pPr>
              <w:jc w:val="both"/>
              <w:rPr>
                <w:rFonts w:eastAsiaTheme="minorHAnsi"/>
                <w:b/>
                <w:sz w:val="20"/>
                <w:lang w:val="en-CA"/>
              </w:rPr>
            </w:pPr>
            <w:r w:rsidRPr="00424A9D">
              <w:rPr>
                <w:rFonts w:eastAsiaTheme="minorHAnsi"/>
                <w:b/>
                <w:sz w:val="20"/>
                <w:lang w:val="en-CA"/>
              </w:rPr>
              <w:t xml:space="preserve">Serge </w:t>
            </w:r>
            <w:proofErr w:type="spellStart"/>
            <w:r w:rsidRPr="00424A9D">
              <w:rPr>
                <w:rFonts w:eastAsiaTheme="minorHAnsi"/>
                <w:b/>
                <w:sz w:val="20"/>
                <w:lang w:val="en-CA"/>
              </w:rPr>
              <w:t>Faucher</w:t>
            </w:r>
            <w:proofErr w:type="spellEnd"/>
            <w:r w:rsidRPr="00424A9D">
              <w:rPr>
                <w:rFonts w:eastAsiaTheme="minorHAnsi"/>
                <w:b/>
                <w:sz w:val="20"/>
                <w:lang w:val="en-CA"/>
              </w:rPr>
              <w:t xml:space="preserve"> v. Director of Criminal and Penal Prosecutions</w:t>
            </w:r>
          </w:p>
          <w:p w:rsidR="00424A9D" w:rsidRPr="00424A9D" w:rsidRDefault="00424A9D" w:rsidP="00424A9D">
            <w:pPr>
              <w:jc w:val="both"/>
              <w:rPr>
                <w:rFonts w:eastAsiaTheme="minorHAnsi"/>
                <w:sz w:val="20"/>
                <w:lang w:val="en-CA"/>
              </w:rPr>
            </w:pPr>
            <w:r w:rsidRPr="00424A9D">
              <w:rPr>
                <w:rFonts w:eastAsiaTheme="minorHAnsi"/>
                <w:sz w:val="20"/>
                <w:lang w:val="en-CA"/>
              </w:rPr>
              <w:t>(Que.) (Criminal) (By Leave)</w:t>
            </w:r>
          </w:p>
        </w:tc>
      </w:tr>
      <w:tr w:rsidR="00424A9D" w:rsidRPr="00424A9D" w:rsidTr="00AA54C8">
        <w:tc>
          <w:tcPr>
            <w:tcW w:w="5000" w:type="pct"/>
            <w:gridSpan w:val="4"/>
          </w:tcPr>
          <w:p w:rsidR="00424A9D" w:rsidRPr="00424A9D" w:rsidRDefault="00424A9D" w:rsidP="00424A9D">
            <w:pPr>
              <w:jc w:val="both"/>
              <w:rPr>
                <w:rFonts w:eastAsiaTheme="minorHAnsi"/>
                <w:smallCaps/>
                <w:sz w:val="20"/>
                <w:lang w:val="en-CA"/>
              </w:rPr>
            </w:pPr>
            <w:r w:rsidRPr="00424A9D">
              <w:rPr>
                <w:rFonts w:eastAsiaTheme="minorHAnsi"/>
                <w:smallCaps/>
                <w:sz w:val="20"/>
                <w:lang w:val="en-CA"/>
              </w:rPr>
              <w:t>(Publication Ban in Case) (Court file contains information that is not available for inspection by the public)</w:t>
            </w:r>
          </w:p>
          <w:p w:rsidR="00424A9D" w:rsidRPr="00424A9D" w:rsidRDefault="00424A9D" w:rsidP="00424A9D">
            <w:pPr>
              <w:jc w:val="both"/>
              <w:rPr>
                <w:rFonts w:eastAsiaTheme="minorHAnsi"/>
                <w:sz w:val="20"/>
                <w:lang w:val="en-CA"/>
              </w:rPr>
            </w:pPr>
          </w:p>
          <w:p w:rsidR="00424A9D" w:rsidRPr="00424A9D" w:rsidRDefault="00424A9D" w:rsidP="00424A9D">
            <w:pPr>
              <w:jc w:val="both"/>
              <w:rPr>
                <w:rFonts w:eastAsiaTheme="minorHAnsi"/>
                <w:sz w:val="20"/>
                <w:lang w:val="en-CA"/>
              </w:rPr>
            </w:pPr>
            <w:r w:rsidRPr="00424A9D">
              <w:rPr>
                <w:rFonts w:eastAsiaTheme="minorHAnsi"/>
                <w:sz w:val="20"/>
                <w:lang w:val="en-CA"/>
              </w:rPr>
              <w:t xml:space="preserve">Criminal law – Private </w:t>
            </w:r>
            <w:proofErr w:type="spellStart"/>
            <w:r w:rsidRPr="00424A9D">
              <w:rPr>
                <w:rFonts w:eastAsiaTheme="minorHAnsi"/>
                <w:sz w:val="20"/>
                <w:lang w:val="en-CA"/>
              </w:rPr>
              <w:t>informations</w:t>
            </w:r>
            <w:proofErr w:type="spellEnd"/>
            <w:r w:rsidRPr="00424A9D">
              <w:rPr>
                <w:rFonts w:eastAsiaTheme="minorHAnsi"/>
                <w:sz w:val="20"/>
                <w:lang w:val="en-CA"/>
              </w:rPr>
              <w:t xml:space="preserve"> – Appeals – Extensions of time – Whether Court of Appeal erred in dismissing applicant’s motion for extension of time.</w:t>
            </w:r>
          </w:p>
        </w:tc>
      </w:tr>
      <w:tr w:rsidR="00424A9D" w:rsidRPr="00424A9D" w:rsidTr="00AA54C8">
        <w:tc>
          <w:tcPr>
            <w:tcW w:w="5000" w:type="pct"/>
            <w:gridSpan w:val="4"/>
          </w:tcPr>
          <w:p w:rsidR="00424A9D" w:rsidRPr="00424A9D" w:rsidRDefault="00424A9D" w:rsidP="00424A9D">
            <w:pPr>
              <w:jc w:val="both"/>
              <w:rPr>
                <w:rFonts w:eastAsiaTheme="minorHAnsi"/>
                <w:sz w:val="20"/>
                <w:lang w:val="en-CA"/>
              </w:rPr>
            </w:pPr>
          </w:p>
        </w:tc>
      </w:tr>
      <w:tr w:rsidR="00424A9D" w:rsidRPr="00424A9D" w:rsidTr="00AA54C8">
        <w:tc>
          <w:tcPr>
            <w:tcW w:w="5000" w:type="pct"/>
            <w:gridSpan w:val="4"/>
          </w:tcPr>
          <w:p w:rsidR="00424A9D" w:rsidRPr="00424A9D" w:rsidRDefault="00424A9D" w:rsidP="00424A9D">
            <w:pPr>
              <w:jc w:val="both"/>
              <w:rPr>
                <w:rFonts w:eastAsiaTheme="minorHAnsi"/>
                <w:sz w:val="20"/>
                <w:lang w:val="en-CA"/>
              </w:rPr>
            </w:pPr>
            <w:r w:rsidRPr="00424A9D">
              <w:rPr>
                <w:rFonts w:eastAsiaTheme="minorHAnsi"/>
                <w:sz w:val="20"/>
                <w:lang w:val="en-CA"/>
              </w:rPr>
              <w:t>In 2014, the Court of Québec dismissed several private complaints filed by the applicant Mr. </w:t>
            </w:r>
            <w:proofErr w:type="spellStart"/>
            <w:r w:rsidRPr="00424A9D">
              <w:rPr>
                <w:rFonts w:eastAsiaTheme="minorHAnsi"/>
                <w:sz w:val="20"/>
                <w:lang w:val="en-CA"/>
              </w:rPr>
              <w:t>Faucher</w:t>
            </w:r>
            <w:proofErr w:type="spellEnd"/>
            <w:r w:rsidRPr="00424A9D">
              <w:rPr>
                <w:rFonts w:eastAsiaTheme="minorHAnsi"/>
                <w:sz w:val="20"/>
                <w:lang w:val="en-CA"/>
              </w:rPr>
              <w:t xml:space="preserve"> against three lawyers, one Superior Court judge and three Court of Appeal judges who had all played a part in a medical malpractice suit brought by Mr. </w:t>
            </w:r>
            <w:proofErr w:type="spellStart"/>
            <w:r w:rsidRPr="00424A9D">
              <w:rPr>
                <w:rFonts w:eastAsiaTheme="minorHAnsi"/>
                <w:sz w:val="20"/>
                <w:lang w:val="en-CA"/>
              </w:rPr>
              <w:t>Faucher</w:t>
            </w:r>
            <w:proofErr w:type="spellEnd"/>
            <w:r w:rsidRPr="00424A9D">
              <w:rPr>
                <w:rFonts w:eastAsiaTheme="minorHAnsi"/>
                <w:sz w:val="20"/>
                <w:lang w:val="en-CA"/>
              </w:rPr>
              <w:t xml:space="preserve"> against a chiropractor. Mr. </w:t>
            </w:r>
            <w:proofErr w:type="spellStart"/>
            <w:r w:rsidRPr="00424A9D">
              <w:rPr>
                <w:rFonts w:eastAsiaTheme="minorHAnsi"/>
                <w:sz w:val="20"/>
                <w:lang w:val="en-CA"/>
              </w:rPr>
              <w:t>Faucher</w:t>
            </w:r>
            <w:proofErr w:type="spellEnd"/>
            <w:r w:rsidRPr="00424A9D">
              <w:rPr>
                <w:rFonts w:eastAsiaTheme="minorHAnsi"/>
                <w:sz w:val="20"/>
                <w:lang w:val="en-CA"/>
              </w:rPr>
              <w:t xml:space="preserve"> had alleged that the lawyers had made and used a false document and had worked together to mislead the court. He had also alleged that the Superior Court judge had used the false document. Mr. </w:t>
            </w:r>
            <w:proofErr w:type="spellStart"/>
            <w:r w:rsidRPr="00424A9D">
              <w:rPr>
                <w:rFonts w:eastAsiaTheme="minorHAnsi"/>
                <w:sz w:val="20"/>
                <w:lang w:val="en-CA"/>
              </w:rPr>
              <w:t>Faucher</w:t>
            </w:r>
            <w:proofErr w:type="spellEnd"/>
            <w:r w:rsidRPr="00424A9D">
              <w:rPr>
                <w:rFonts w:eastAsiaTheme="minorHAnsi"/>
                <w:sz w:val="20"/>
                <w:lang w:val="en-CA"/>
              </w:rPr>
              <w:t xml:space="preserve"> then filed a motion for </w:t>
            </w:r>
            <w:r w:rsidRPr="00424A9D">
              <w:rPr>
                <w:rFonts w:eastAsiaTheme="minorHAnsi"/>
                <w:i/>
                <w:sz w:val="20"/>
                <w:lang w:val="en-CA"/>
              </w:rPr>
              <w:t>certiorari</w:t>
            </w:r>
            <w:r w:rsidRPr="00424A9D">
              <w:rPr>
                <w:rFonts w:eastAsiaTheme="minorHAnsi"/>
                <w:sz w:val="20"/>
                <w:lang w:val="en-CA"/>
              </w:rPr>
              <w:t xml:space="preserve">, which the Superior Court dismissed, noting that the proceeding was more like a motion for </w:t>
            </w:r>
            <w:r w:rsidRPr="00424A9D">
              <w:rPr>
                <w:rFonts w:eastAsiaTheme="minorHAnsi"/>
                <w:i/>
                <w:sz w:val="20"/>
                <w:lang w:val="en-CA"/>
              </w:rPr>
              <w:t>mandamus</w:t>
            </w:r>
            <w:r w:rsidRPr="00424A9D">
              <w:rPr>
                <w:rFonts w:eastAsiaTheme="minorHAnsi"/>
                <w:sz w:val="20"/>
                <w:lang w:val="en-CA"/>
              </w:rPr>
              <w:t>. The Court of Appeal dismissed Mr. </w:t>
            </w:r>
            <w:proofErr w:type="spellStart"/>
            <w:r w:rsidRPr="00424A9D">
              <w:rPr>
                <w:rFonts w:eastAsiaTheme="minorHAnsi"/>
                <w:sz w:val="20"/>
                <w:lang w:val="en-CA"/>
              </w:rPr>
              <w:t>Faucher’s</w:t>
            </w:r>
            <w:proofErr w:type="spellEnd"/>
            <w:r w:rsidRPr="00424A9D">
              <w:rPr>
                <w:rFonts w:eastAsiaTheme="minorHAnsi"/>
                <w:sz w:val="20"/>
                <w:lang w:val="en-CA"/>
              </w:rPr>
              <w:t xml:space="preserve"> motion for an extension of time to appeal that decision. In the Court’s opinion, [</w:t>
            </w:r>
            <w:r w:rsidRPr="00424A9D">
              <w:rPr>
                <w:rFonts w:eastAsiaTheme="minorHAnsi"/>
                <w:smallCaps/>
                <w:sz w:val="20"/>
                <w:lang w:val="en-CA"/>
              </w:rPr>
              <w:t>translation</w:t>
            </w:r>
            <w:r w:rsidRPr="00424A9D">
              <w:rPr>
                <w:rFonts w:eastAsiaTheme="minorHAnsi"/>
                <w:sz w:val="20"/>
                <w:lang w:val="en-CA"/>
              </w:rPr>
              <w:t>] “the proceedings and the oral submissions [of Mr. </w:t>
            </w:r>
            <w:proofErr w:type="spellStart"/>
            <w:r w:rsidRPr="00424A9D">
              <w:rPr>
                <w:rFonts w:eastAsiaTheme="minorHAnsi"/>
                <w:sz w:val="20"/>
                <w:lang w:val="en-CA"/>
              </w:rPr>
              <w:t>Faucher</w:t>
            </w:r>
            <w:proofErr w:type="spellEnd"/>
            <w:r w:rsidRPr="00424A9D">
              <w:rPr>
                <w:rFonts w:eastAsiaTheme="minorHAnsi"/>
                <w:sz w:val="20"/>
                <w:lang w:val="en-CA"/>
              </w:rPr>
              <w:t xml:space="preserve">] raise[d] no serious ground of appeal that could be heard by a </w:t>
            </w:r>
            <w:r w:rsidRPr="00424A9D">
              <w:rPr>
                <w:rFonts w:eastAsiaTheme="minorHAnsi"/>
                <w:sz w:val="20"/>
                <w:lang w:val="en-CA"/>
              </w:rPr>
              <w:lastRenderedPageBreak/>
              <w:t>three</w:t>
            </w:r>
            <w:r w:rsidRPr="00424A9D">
              <w:rPr>
                <w:rFonts w:eastAsiaTheme="minorHAnsi"/>
                <w:sz w:val="20"/>
                <w:lang w:val="en-CA"/>
              </w:rPr>
              <w:noBreakHyphen/>
              <w:t>judge panel”. The Court also found that the ends of justice did not require that the motion for an extension of time be allowed.</w:t>
            </w: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lastRenderedPageBreak/>
              <w:t>July 4, 2014</w:t>
            </w:r>
          </w:p>
          <w:p w:rsidR="00424A9D" w:rsidRPr="00424A9D" w:rsidRDefault="00424A9D" w:rsidP="00424A9D">
            <w:pPr>
              <w:jc w:val="both"/>
              <w:rPr>
                <w:rFonts w:eastAsiaTheme="minorHAnsi"/>
                <w:sz w:val="20"/>
                <w:lang w:val="en-CA"/>
              </w:rPr>
            </w:pPr>
            <w:r w:rsidRPr="00424A9D">
              <w:rPr>
                <w:rFonts w:eastAsiaTheme="minorHAnsi"/>
                <w:sz w:val="20"/>
                <w:lang w:val="en-CA"/>
              </w:rPr>
              <w:t>Court of Québec</w:t>
            </w:r>
          </w:p>
          <w:p w:rsidR="00424A9D" w:rsidRPr="00424A9D" w:rsidRDefault="00424A9D" w:rsidP="00424A9D">
            <w:pPr>
              <w:jc w:val="both"/>
              <w:rPr>
                <w:rFonts w:eastAsiaTheme="minorHAnsi"/>
                <w:sz w:val="20"/>
                <w:lang w:val="en-CA"/>
              </w:rPr>
            </w:pPr>
            <w:r w:rsidRPr="00424A9D">
              <w:rPr>
                <w:rFonts w:eastAsiaTheme="minorHAnsi"/>
                <w:sz w:val="20"/>
                <w:lang w:val="en-CA"/>
              </w:rPr>
              <w:t>(Judge Roy)</w:t>
            </w:r>
          </w:p>
          <w:p w:rsidR="00424A9D" w:rsidRPr="00424A9D" w:rsidRDefault="00424A9D" w:rsidP="00424A9D">
            <w:pPr>
              <w:jc w:val="both"/>
              <w:rPr>
                <w:rFonts w:eastAsiaTheme="minorHAnsi"/>
                <w:sz w:val="20"/>
                <w:lang w:val="en-CA"/>
              </w:rPr>
            </w:pP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Private complaints dismissed</w:t>
            </w:r>
          </w:p>
          <w:p w:rsidR="00424A9D" w:rsidRPr="00424A9D" w:rsidRDefault="00424A9D" w:rsidP="00424A9D">
            <w:pPr>
              <w:jc w:val="both"/>
              <w:rPr>
                <w:rFonts w:eastAsiaTheme="minorHAnsi"/>
                <w:sz w:val="20"/>
                <w:lang w:val="en-CA"/>
              </w:rPr>
            </w:pPr>
          </w:p>
          <w:p w:rsidR="00424A9D" w:rsidRPr="00424A9D" w:rsidRDefault="00424A9D" w:rsidP="00424A9D">
            <w:pPr>
              <w:jc w:val="both"/>
              <w:rPr>
                <w:rFonts w:eastAsiaTheme="minorHAnsi"/>
                <w:sz w:val="20"/>
                <w:lang w:val="en-CA"/>
              </w:rPr>
            </w:pP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t>January 27, 2015</w:t>
            </w:r>
          </w:p>
          <w:p w:rsidR="00424A9D" w:rsidRPr="00424A9D" w:rsidRDefault="00424A9D" w:rsidP="00424A9D">
            <w:pPr>
              <w:jc w:val="both"/>
              <w:rPr>
                <w:rFonts w:eastAsiaTheme="minorHAnsi"/>
                <w:sz w:val="20"/>
                <w:lang w:val="en-CA"/>
              </w:rPr>
            </w:pPr>
            <w:r w:rsidRPr="00424A9D">
              <w:rPr>
                <w:rFonts w:eastAsiaTheme="minorHAnsi"/>
                <w:sz w:val="20"/>
                <w:lang w:val="en-CA"/>
              </w:rPr>
              <w:t>Quebec Superior Court</w:t>
            </w:r>
          </w:p>
          <w:p w:rsidR="00424A9D" w:rsidRPr="00424A9D" w:rsidRDefault="00424A9D" w:rsidP="00424A9D">
            <w:pPr>
              <w:jc w:val="both"/>
              <w:rPr>
                <w:rFonts w:eastAsiaTheme="minorHAnsi"/>
                <w:sz w:val="20"/>
                <w:lang w:val="en-CA"/>
              </w:rPr>
            </w:pPr>
            <w:r w:rsidRPr="00424A9D">
              <w:rPr>
                <w:rFonts w:eastAsiaTheme="minorHAnsi"/>
                <w:sz w:val="20"/>
                <w:lang w:val="en-CA"/>
              </w:rPr>
              <w:t>(De Blois J.)</w:t>
            </w:r>
          </w:p>
          <w:p w:rsidR="00424A9D" w:rsidRPr="00424A9D" w:rsidRDefault="00424A9D" w:rsidP="00424A9D">
            <w:pPr>
              <w:jc w:val="both"/>
              <w:rPr>
                <w:rFonts w:eastAsiaTheme="minorHAnsi"/>
                <w:sz w:val="20"/>
                <w:lang w:val="en-CA"/>
              </w:rPr>
            </w:pP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 xml:space="preserve">Motion for </w:t>
            </w:r>
            <w:r w:rsidRPr="00424A9D">
              <w:rPr>
                <w:rFonts w:eastAsiaTheme="minorHAnsi"/>
                <w:i/>
                <w:sz w:val="20"/>
                <w:lang w:val="en-CA"/>
              </w:rPr>
              <w:t>mandamus</w:t>
            </w:r>
            <w:r w:rsidRPr="00424A9D">
              <w:rPr>
                <w:rFonts w:eastAsiaTheme="minorHAnsi"/>
                <w:sz w:val="20"/>
                <w:lang w:val="en-CA"/>
              </w:rPr>
              <w:t xml:space="preserve"> dismissed</w:t>
            </w: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t>March 19, 2015</w:t>
            </w:r>
          </w:p>
          <w:p w:rsidR="00424A9D" w:rsidRPr="00424A9D" w:rsidRDefault="00424A9D" w:rsidP="00424A9D">
            <w:pPr>
              <w:jc w:val="both"/>
              <w:rPr>
                <w:rFonts w:eastAsiaTheme="minorHAnsi"/>
                <w:sz w:val="20"/>
                <w:lang w:val="en-CA"/>
              </w:rPr>
            </w:pPr>
            <w:r w:rsidRPr="00424A9D">
              <w:rPr>
                <w:rFonts w:eastAsiaTheme="minorHAnsi"/>
                <w:sz w:val="20"/>
                <w:lang w:val="en-CA"/>
              </w:rPr>
              <w:t>Quebec Court of Appeal (Québec)</w:t>
            </w:r>
          </w:p>
          <w:p w:rsidR="00424A9D" w:rsidRPr="00424A9D" w:rsidRDefault="00424A9D" w:rsidP="00424A9D">
            <w:pPr>
              <w:jc w:val="both"/>
              <w:rPr>
                <w:rFonts w:eastAsiaTheme="minorHAnsi"/>
                <w:sz w:val="20"/>
                <w:lang w:val="en-CA"/>
              </w:rPr>
            </w:pPr>
            <w:r w:rsidRPr="00424A9D">
              <w:rPr>
                <w:rFonts w:eastAsiaTheme="minorHAnsi"/>
                <w:sz w:val="20"/>
                <w:lang w:val="en-CA"/>
              </w:rPr>
              <w:t>(Gagnon J.A.)</w:t>
            </w:r>
          </w:p>
          <w:p w:rsidR="00424A9D" w:rsidRPr="00424A9D" w:rsidRDefault="00424A9D" w:rsidP="00424A9D">
            <w:pPr>
              <w:jc w:val="both"/>
              <w:rPr>
                <w:rFonts w:eastAsiaTheme="minorHAnsi"/>
                <w:sz w:val="20"/>
                <w:lang w:val="en-CA"/>
              </w:rPr>
            </w:pP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Motion for extension of time dismissed</w:t>
            </w: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t>May 19, 2015</w:t>
            </w:r>
          </w:p>
          <w:p w:rsidR="00424A9D" w:rsidRPr="00424A9D" w:rsidRDefault="00424A9D" w:rsidP="00424A9D">
            <w:pPr>
              <w:jc w:val="both"/>
              <w:rPr>
                <w:rFonts w:eastAsiaTheme="minorHAnsi"/>
                <w:sz w:val="20"/>
                <w:lang w:val="en-CA"/>
              </w:rPr>
            </w:pPr>
            <w:r w:rsidRPr="00424A9D">
              <w:rPr>
                <w:rFonts w:eastAsiaTheme="minorHAnsi"/>
                <w:sz w:val="20"/>
                <w:lang w:val="en-CA"/>
              </w:rPr>
              <w:t>Supreme Court of Canada</w:t>
            </w:r>
          </w:p>
          <w:p w:rsidR="00424A9D" w:rsidRPr="00424A9D" w:rsidRDefault="00424A9D" w:rsidP="00424A9D">
            <w:pPr>
              <w:jc w:val="both"/>
              <w:rPr>
                <w:rFonts w:eastAsiaTheme="minorHAnsi"/>
                <w:sz w:val="20"/>
                <w:lang w:val="en-CA"/>
              </w:rPr>
            </w:pP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Application for leave to appeal filed</w:t>
            </w: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t>June 19, 2015</w:t>
            </w:r>
          </w:p>
          <w:p w:rsidR="00424A9D" w:rsidRPr="00424A9D" w:rsidRDefault="00424A9D" w:rsidP="00424A9D">
            <w:pPr>
              <w:jc w:val="both"/>
              <w:rPr>
                <w:rFonts w:eastAsiaTheme="minorHAnsi"/>
                <w:sz w:val="20"/>
                <w:lang w:val="en-CA"/>
              </w:rPr>
            </w:pPr>
            <w:r w:rsidRPr="00424A9D">
              <w:rPr>
                <w:rFonts w:eastAsiaTheme="minorHAnsi"/>
                <w:sz w:val="20"/>
                <w:lang w:val="en-CA"/>
              </w:rPr>
              <w:t>Supreme Court of Canada</w:t>
            </w: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Motion to appoint counsel filed</w:t>
            </w:r>
          </w:p>
          <w:p w:rsidR="00424A9D" w:rsidRPr="00424A9D" w:rsidRDefault="00424A9D" w:rsidP="00424A9D">
            <w:pPr>
              <w:jc w:val="both"/>
              <w:rPr>
                <w:rFonts w:eastAsiaTheme="minorHAnsi"/>
                <w:sz w:val="20"/>
                <w:lang w:val="en-CA"/>
              </w:rPr>
            </w:pPr>
          </w:p>
        </w:tc>
      </w:tr>
    </w:tbl>
    <w:p w:rsidR="00424A9D" w:rsidRDefault="00424A9D" w:rsidP="00424A9D">
      <w:pPr>
        <w:jc w:val="both"/>
        <w:rPr>
          <w:rFonts w:eastAsiaTheme="minorHAnsi"/>
          <w:sz w:val="20"/>
          <w:lang w:val="en-CA"/>
        </w:rPr>
      </w:pPr>
    </w:p>
    <w:p w:rsidR="00424A9D" w:rsidRPr="00424A9D" w:rsidRDefault="00424A9D" w:rsidP="00424A9D">
      <w:pPr>
        <w:jc w:val="both"/>
        <w:rPr>
          <w:rFonts w:eastAsiaTheme="minorHAns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424A9D" w:rsidRPr="00424A9D" w:rsidTr="00424A9D">
        <w:tc>
          <w:tcPr>
            <w:tcW w:w="543" w:type="pct"/>
            <w:hideMark/>
          </w:tcPr>
          <w:p w:rsidR="00424A9D" w:rsidRPr="00424A9D" w:rsidRDefault="00424A9D" w:rsidP="00424A9D">
            <w:pPr>
              <w:spacing w:line="276" w:lineRule="auto"/>
              <w:jc w:val="both"/>
              <w:rPr>
                <w:rFonts w:eastAsia="Calibri"/>
                <w:sz w:val="20"/>
                <w:lang w:val="fr-CA"/>
              </w:rPr>
            </w:pPr>
            <w:r w:rsidRPr="00424A9D">
              <w:rPr>
                <w:rFonts w:eastAsia="Calibri"/>
                <w:b/>
                <w:sz w:val="20"/>
                <w:lang w:val="fr-CA"/>
              </w:rPr>
              <w:t>36443</w:t>
            </w:r>
          </w:p>
        </w:tc>
        <w:tc>
          <w:tcPr>
            <w:tcW w:w="4457" w:type="pct"/>
            <w:gridSpan w:val="3"/>
            <w:hideMark/>
          </w:tcPr>
          <w:p w:rsidR="00424A9D" w:rsidRPr="00424A9D" w:rsidRDefault="00424A9D" w:rsidP="00424A9D">
            <w:pPr>
              <w:spacing w:line="276" w:lineRule="auto"/>
              <w:jc w:val="both"/>
              <w:rPr>
                <w:rFonts w:eastAsia="Calibri"/>
                <w:b/>
                <w:sz w:val="20"/>
                <w:lang w:val="fr-CA"/>
              </w:rPr>
            </w:pPr>
            <w:r w:rsidRPr="00424A9D">
              <w:rPr>
                <w:rFonts w:eastAsia="Calibri"/>
                <w:b/>
                <w:sz w:val="20"/>
                <w:lang w:val="fr-CA"/>
              </w:rPr>
              <w:t>Serge Faucher c. Directeur des poursuites criminelles et pénales</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w:t>
            </w:r>
            <w:proofErr w:type="spellStart"/>
            <w:r w:rsidRPr="00424A9D">
              <w:rPr>
                <w:rFonts w:eastAsia="Calibri"/>
                <w:sz w:val="20"/>
                <w:lang w:val="fr-CA"/>
              </w:rPr>
              <w:t>Qc</w:t>
            </w:r>
            <w:proofErr w:type="spellEnd"/>
            <w:r w:rsidRPr="00424A9D">
              <w:rPr>
                <w:rFonts w:eastAsia="Calibri"/>
                <w:sz w:val="20"/>
                <w:lang w:val="fr-CA"/>
              </w:rPr>
              <w:t>) (Criminelle) (Autorisation)</w:t>
            </w:r>
          </w:p>
        </w:tc>
      </w:tr>
      <w:tr w:rsidR="00424A9D" w:rsidRPr="006A0D3A" w:rsidTr="00424A9D">
        <w:tc>
          <w:tcPr>
            <w:tcW w:w="5000" w:type="pct"/>
            <w:gridSpan w:val="4"/>
          </w:tcPr>
          <w:p w:rsidR="00424A9D" w:rsidRPr="00424A9D" w:rsidRDefault="00424A9D" w:rsidP="00424A9D">
            <w:pPr>
              <w:spacing w:line="276" w:lineRule="auto"/>
              <w:jc w:val="both"/>
              <w:rPr>
                <w:rFonts w:eastAsia="Calibri"/>
                <w:smallCaps/>
                <w:sz w:val="20"/>
                <w:lang w:val="fr-CA"/>
              </w:rPr>
            </w:pPr>
            <w:r w:rsidRPr="00424A9D">
              <w:rPr>
                <w:rFonts w:eastAsia="Calibri"/>
                <w:smallCaps/>
                <w:sz w:val="20"/>
                <w:lang w:val="fr-CA"/>
              </w:rPr>
              <w:t>(Ordonnance de non-publication dans le dossier) (Le dossier de la Cour renferme des données que le public n’est pas autorisé à consulter)</w:t>
            </w:r>
          </w:p>
          <w:p w:rsidR="00424A9D" w:rsidRPr="00424A9D" w:rsidRDefault="00424A9D" w:rsidP="00424A9D">
            <w:pPr>
              <w:spacing w:line="276" w:lineRule="auto"/>
              <w:jc w:val="both"/>
              <w:rPr>
                <w:rFonts w:eastAsia="Calibri"/>
                <w:sz w:val="20"/>
                <w:lang w:val="fr-CA"/>
              </w:rPr>
            </w:pPr>
          </w:p>
          <w:p w:rsidR="00424A9D" w:rsidRPr="00424A9D" w:rsidRDefault="00424A9D" w:rsidP="00424A9D">
            <w:pPr>
              <w:spacing w:line="276" w:lineRule="auto"/>
              <w:jc w:val="both"/>
              <w:rPr>
                <w:rFonts w:eastAsia="Calibri"/>
                <w:sz w:val="20"/>
                <w:lang w:val="fr-CA"/>
              </w:rPr>
            </w:pPr>
            <w:r w:rsidRPr="00424A9D">
              <w:rPr>
                <w:rFonts w:eastAsia="Calibri"/>
                <w:sz w:val="20"/>
                <w:lang w:val="fr-CA"/>
              </w:rPr>
              <w:t>Droit criminel – Dénonciations privées – Appels – Prorogations de délai – La Cour d’appel a-t-elle fait erreur en rejetant la requête du demandeur en prorogation de délai?</w:t>
            </w: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r w:rsidRPr="00424A9D">
              <w:rPr>
                <w:rFonts w:eastAsia="Calibri"/>
                <w:sz w:val="20"/>
                <w:lang w:val="fr-CA"/>
              </w:rPr>
              <w:t xml:space="preserve">En 2014, la Cour du Québec a rejeté plusieurs plaintes privées déposées par M. Faucher, demandeur, à l’encontre de trois avocats, un juge de la Cour supérieure et trois juges de la Cour d’appel qui sont tous intervenus dans le cadre d’une poursuite en responsabilité médicale intentée par ce premier contre un chiropraticien. Monsieur Faucher avait allégué que les avocats avaient fabriqué et utilisé un faux et qu’ils s’étaient concertés dans le but d’induire le tribunal en erreur. Il avait également reproché au juge de la Cour supérieure d’avoir utilisé ce faux. Monsieur Faucher a ensuite déposé une requête en </w:t>
            </w:r>
            <w:proofErr w:type="spellStart"/>
            <w:r w:rsidRPr="00424A9D">
              <w:rPr>
                <w:rFonts w:eastAsia="Calibri"/>
                <w:i/>
                <w:sz w:val="20"/>
                <w:lang w:val="fr-CA"/>
              </w:rPr>
              <w:t>certiorari</w:t>
            </w:r>
            <w:proofErr w:type="spellEnd"/>
            <w:r w:rsidRPr="00424A9D">
              <w:rPr>
                <w:rFonts w:eastAsia="Calibri"/>
                <w:sz w:val="20"/>
                <w:lang w:val="fr-CA"/>
              </w:rPr>
              <w:t xml:space="preserve"> que la Cour supérieure a rejetée, notant que la procédure s’apparentait plus à une requête en </w:t>
            </w:r>
            <w:r w:rsidRPr="00424A9D">
              <w:rPr>
                <w:rFonts w:eastAsia="Calibri"/>
                <w:i/>
                <w:sz w:val="20"/>
                <w:lang w:val="fr-CA"/>
              </w:rPr>
              <w:t>mandamus</w:t>
            </w:r>
            <w:r w:rsidRPr="00424A9D">
              <w:rPr>
                <w:rFonts w:eastAsia="Calibri"/>
                <w:sz w:val="20"/>
                <w:lang w:val="fr-CA"/>
              </w:rPr>
              <w:t>. La Cour d’appel a rejeté la requête de M. Faucher en prorogation de délai pour appeler de cette décision. De l’avis de la Cour, « les procédures ainsi que les observations verbales [de M. Faucher] n’abord[aient] aucun motif d’appel sérieux susceptible d’être entendu par une formation de trois juges ». La Cour a également conclu que les fins de la justice ne requéraient pas que la requête en prorogation de délai soit accordée.</w:t>
            </w:r>
          </w:p>
          <w:p w:rsidR="00424A9D" w:rsidRPr="00424A9D" w:rsidRDefault="00424A9D" w:rsidP="00424A9D">
            <w:pPr>
              <w:spacing w:line="276" w:lineRule="auto"/>
              <w:jc w:val="both"/>
              <w:rPr>
                <w:rFonts w:eastAsia="Calibri"/>
                <w:sz w:val="20"/>
                <w:lang w:val="fr-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4 juillet 2014</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du Québec</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(La juge Roy)</w:t>
            </w:r>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Plaintes privées rejetées</w:t>
            </w:r>
          </w:p>
          <w:p w:rsidR="00424A9D" w:rsidRPr="00424A9D" w:rsidRDefault="00424A9D" w:rsidP="00424A9D">
            <w:pPr>
              <w:spacing w:line="276" w:lineRule="auto"/>
              <w:jc w:val="both"/>
              <w:rPr>
                <w:rFonts w:eastAsia="Calibri"/>
                <w:sz w:val="20"/>
                <w:lang w:val="fr-CA"/>
              </w:rPr>
            </w:pPr>
          </w:p>
          <w:p w:rsidR="00424A9D" w:rsidRPr="00424A9D" w:rsidRDefault="00424A9D" w:rsidP="00424A9D">
            <w:pPr>
              <w:spacing w:line="276" w:lineRule="auto"/>
              <w:jc w:val="both"/>
              <w:rPr>
                <w:rFonts w:eastAsia="Calibri"/>
                <w:sz w:val="20"/>
                <w:lang w:val="fr-CA"/>
              </w:rPr>
            </w:pPr>
          </w:p>
          <w:p w:rsidR="00424A9D" w:rsidRPr="00424A9D" w:rsidRDefault="00424A9D" w:rsidP="00424A9D">
            <w:pPr>
              <w:spacing w:line="276" w:lineRule="auto"/>
              <w:jc w:val="both"/>
              <w:rPr>
                <w:rFonts w:eastAsia="Calibri"/>
                <w:sz w:val="20"/>
                <w:lang w:val="fr-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27 janvier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supérieure du Québec</w:t>
            </w:r>
          </w:p>
          <w:p w:rsidR="00424A9D" w:rsidRPr="00424A9D" w:rsidRDefault="00424A9D" w:rsidP="00424A9D">
            <w:pPr>
              <w:spacing w:line="276" w:lineRule="auto"/>
              <w:jc w:val="both"/>
              <w:rPr>
                <w:rFonts w:eastAsia="Calibri"/>
                <w:sz w:val="20"/>
                <w:lang w:val="fr-CA"/>
              </w:rPr>
            </w:pPr>
            <w:r w:rsidRPr="00424A9D">
              <w:rPr>
                <w:rFonts w:eastAsia="Calibri"/>
                <w:sz w:val="20"/>
                <w:lang w:val="fr-CA"/>
              </w:rPr>
              <w:lastRenderedPageBreak/>
              <w:t>(Le juge De Blois)</w:t>
            </w:r>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FR"/>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 xml:space="preserve">Requête en </w:t>
            </w:r>
            <w:r w:rsidRPr="00424A9D">
              <w:rPr>
                <w:rFonts w:eastAsia="Calibri"/>
                <w:i/>
                <w:sz w:val="20"/>
                <w:lang w:val="fr-CA"/>
              </w:rPr>
              <w:t>mandamus</w:t>
            </w:r>
            <w:r w:rsidRPr="00424A9D">
              <w:rPr>
                <w:rFonts w:eastAsia="Calibri"/>
                <w:sz w:val="20"/>
                <w:lang w:val="fr-CA"/>
              </w:rPr>
              <w:t xml:space="preserve"> rejetée</w:t>
            </w:r>
          </w:p>
          <w:p w:rsidR="00424A9D" w:rsidRPr="00424A9D" w:rsidRDefault="00424A9D" w:rsidP="00424A9D">
            <w:pPr>
              <w:spacing w:line="276" w:lineRule="auto"/>
              <w:jc w:val="both"/>
              <w:rPr>
                <w:rFonts w:eastAsia="Calibri"/>
                <w:sz w:val="20"/>
                <w:lang w:val="fr-CA"/>
              </w:rPr>
            </w:pPr>
          </w:p>
        </w:tc>
      </w:tr>
      <w:tr w:rsidR="00424A9D" w:rsidRPr="006A0D3A"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lastRenderedPageBreak/>
              <w:t>Le 19 mars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d’appel du Québec (Québec)</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(Le juge Gagnon)</w:t>
            </w:r>
          </w:p>
          <w:p w:rsidR="00424A9D" w:rsidRPr="00424A9D" w:rsidRDefault="00424A9D" w:rsidP="00424A9D">
            <w:pPr>
              <w:spacing w:line="276" w:lineRule="auto"/>
              <w:jc w:val="both"/>
              <w:rPr>
                <w:rFonts w:eastAsia="Calibri"/>
                <w:sz w:val="20"/>
              </w:rPr>
            </w:pPr>
          </w:p>
        </w:tc>
        <w:tc>
          <w:tcPr>
            <w:tcW w:w="243" w:type="pct"/>
          </w:tcPr>
          <w:p w:rsidR="00424A9D" w:rsidRPr="00424A9D" w:rsidRDefault="00424A9D" w:rsidP="00424A9D">
            <w:pPr>
              <w:spacing w:line="276" w:lineRule="auto"/>
              <w:jc w:val="both"/>
              <w:rPr>
                <w:rFonts w:eastAsia="Calibri"/>
                <w:sz w:val="20"/>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Requête en prorogation de délai rejetée</w:t>
            </w:r>
          </w:p>
          <w:p w:rsidR="00424A9D" w:rsidRPr="00424A9D" w:rsidRDefault="00424A9D" w:rsidP="00424A9D">
            <w:pPr>
              <w:spacing w:line="276" w:lineRule="auto"/>
              <w:jc w:val="both"/>
              <w:rPr>
                <w:rFonts w:eastAsia="Calibri"/>
                <w:sz w:val="20"/>
                <w:lang w:val="fr-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19 mai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suprême du Canada</w:t>
            </w:r>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Demande d’autorisation d’appel déposée</w:t>
            </w:r>
          </w:p>
          <w:p w:rsidR="00424A9D" w:rsidRPr="00424A9D" w:rsidRDefault="00424A9D" w:rsidP="00424A9D">
            <w:pPr>
              <w:spacing w:line="276" w:lineRule="auto"/>
              <w:jc w:val="both"/>
              <w:rPr>
                <w:rFonts w:eastAsia="Calibri"/>
                <w:sz w:val="20"/>
                <w:lang w:val="fr-CA"/>
              </w:rPr>
            </w:pPr>
          </w:p>
        </w:tc>
      </w:tr>
      <w:tr w:rsidR="00424A9D" w:rsidRPr="006A0D3A" w:rsidTr="00424A9D">
        <w:tc>
          <w:tcPr>
            <w:tcW w:w="2427" w:type="pct"/>
            <w:gridSpan w:val="2"/>
            <w:hideMark/>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19 juin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suprême du Canada</w:t>
            </w: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Requête en nomination d’un procureur déposée</w:t>
            </w:r>
          </w:p>
          <w:p w:rsidR="00424A9D" w:rsidRPr="00424A9D" w:rsidRDefault="00424A9D" w:rsidP="00424A9D">
            <w:pPr>
              <w:spacing w:line="276" w:lineRule="auto"/>
              <w:jc w:val="both"/>
              <w:rPr>
                <w:rFonts w:eastAsia="Calibri"/>
                <w:sz w:val="20"/>
                <w:lang w:val="fr-CA"/>
              </w:rPr>
            </w:pPr>
          </w:p>
        </w:tc>
      </w:tr>
    </w:tbl>
    <w:p w:rsidR="00424A9D" w:rsidRDefault="00424A9D" w:rsidP="00424A9D">
      <w:pPr>
        <w:jc w:val="both"/>
        <w:rPr>
          <w:rFonts w:eastAsia="Calibri"/>
          <w:sz w:val="20"/>
          <w:lang w:val="fr-CA"/>
        </w:rPr>
      </w:pPr>
    </w:p>
    <w:p w:rsidR="00424A9D" w:rsidRPr="00424A9D" w:rsidRDefault="00424A9D" w:rsidP="00424A9D">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424A9D" w:rsidRPr="00424A9D" w:rsidTr="00424A9D">
        <w:tc>
          <w:tcPr>
            <w:tcW w:w="543" w:type="pct"/>
            <w:hideMark/>
          </w:tcPr>
          <w:p w:rsidR="00424A9D" w:rsidRPr="00424A9D" w:rsidRDefault="00424A9D" w:rsidP="00424A9D">
            <w:pPr>
              <w:spacing w:line="276" w:lineRule="auto"/>
              <w:jc w:val="both"/>
              <w:rPr>
                <w:rFonts w:eastAsia="Calibri"/>
                <w:sz w:val="20"/>
                <w:lang w:val="en-CA"/>
              </w:rPr>
            </w:pPr>
            <w:r w:rsidRPr="00424A9D">
              <w:rPr>
                <w:rFonts w:eastAsia="Calibri"/>
                <w:b/>
                <w:sz w:val="20"/>
                <w:lang w:val="fr-CA"/>
              </w:rPr>
              <w:t>36453</w:t>
            </w:r>
          </w:p>
        </w:tc>
        <w:tc>
          <w:tcPr>
            <w:tcW w:w="4457" w:type="pct"/>
            <w:gridSpan w:val="3"/>
            <w:hideMark/>
          </w:tcPr>
          <w:p w:rsidR="00424A9D" w:rsidRPr="00424A9D" w:rsidRDefault="00424A9D" w:rsidP="00424A9D">
            <w:pPr>
              <w:spacing w:line="276" w:lineRule="auto"/>
              <w:jc w:val="both"/>
              <w:rPr>
                <w:rFonts w:eastAsia="Calibri"/>
                <w:b/>
                <w:sz w:val="20"/>
                <w:lang w:val="en-CA"/>
              </w:rPr>
            </w:pPr>
            <w:r w:rsidRPr="00424A9D">
              <w:rPr>
                <w:rFonts w:eastAsia="Calibri"/>
                <w:b/>
                <w:sz w:val="20"/>
                <w:lang w:val="fr-CA"/>
              </w:rPr>
              <w:t xml:space="preserve">Roch </w:t>
            </w:r>
            <w:proofErr w:type="spellStart"/>
            <w:r w:rsidRPr="00424A9D">
              <w:rPr>
                <w:rFonts w:eastAsia="Calibri"/>
                <w:b/>
                <w:sz w:val="20"/>
                <w:lang w:val="fr-CA"/>
              </w:rPr>
              <w:t>Guimont</w:t>
            </w:r>
            <w:proofErr w:type="spellEnd"/>
            <w:r w:rsidRPr="00424A9D">
              <w:rPr>
                <w:rFonts w:eastAsia="Calibri"/>
                <w:b/>
                <w:sz w:val="20"/>
                <w:lang w:val="fr-CA"/>
              </w:rPr>
              <w:t xml:space="preserve"> v. RNC Média Inc. </w:t>
            </w:r>
            <w:r w:rsidRPr="00424A9D">
              <w:rPr>
                <w:rFonts w:eastAsia="Calibri"/>
                <w:b/>
                <w:sz w:val="20"/>
                <w:lang w:val="en-CA"/>
              </w:rPr>
              <w:t xml:space="preserve">(CHOI-FM 98,1) and </w:t>
            </w:r>
            <w:proofErr w:type="spellStart"/>
            <w:r w:rsidRPr="00424A9D">
              <w:rPr>
                <w:rFonts w:eastAsia="Calibri"/>
                <w:b/>
                <w:sz w:val="20"/>
                <w:lang w:val="en-CA"/>
              </w:rPr>
              <w:t>Cogeco</w:t>
            </w:r>
            <w:proofErr w:type="spellEnd"/>
            <w:r w:rsidRPr="00424A9D">
              <w:rPr>
                <w:rFonts w:eastAsia="Calibri"/>
                <w:b/>
                <w:sz w:val="20"/>
                <w:lang w:val="en-CA"/>
              </w:rPr>
              <w:t xml:space="preserve"> Diffusion Inc. (CJMF-FM 93)</w:t>
            </w:r>
          </w:p>
          <w:p w:rsidR="00424A9D" w:rsidRPr="00424A9D" w:rsidRDefault="00424A9D" w:rsidP="00424A9D">
            <w:pPr>
              <w:spacing w:line="276" w:lineRule="auto"/>
              <w:jc w:val="both"/>
              <w:rPr>
                <w:rFonts w:eastAsia="Calibri"/>
                <w:sz w:val="20"/>
                <w:lang w:val="en-CA"/>
              </w:rPr>
            </w:pPr>
            <w:r w:rsidRPr="00424A9D">
              <w:rPr>
                <w:rFonts w:eastAsia="Calibri"/>
                <w:sz w:val="20"/>
                <w:lang w:val="en-CA"/>
              </w:rPr>
              <w:t>(Que.) (Civil) (By Leave)</w:t>
            </w:r>
          </w:p>
        </w:tc>
      </w:tr>
      <w:tr w:rsidR="00424A9D" w:rsidRPr="00424A9D" w:rsidTr="00424A9D">
        <w:tc>
          <w:tcPr>
            <w:tcW w:w="5000" w:type="pct"/>
            <w:gridSpan w:val="4"/>
          </w:tcPr>
          <w:p w:rsidR="00424A9D" w:rsidRPr="00424A9D" w:rsidRDefault="00424A9D" w:rsidP="00424A9D">
            <w:pPr>
              <w:spacing w:line="276" w:lineRule="auto"/>
              <w:jc w:val="both"/>
              <w:rPr>
                <w:rFonts w:eastAsia="Calibri"/>
                <w:sz w:val="20"/>
                <w:lang w:val="en-CA"/>
              </w:rPr>
            </w:pPr>
            <w:r w:rsidRPr="00424A9D">
              <w:rPr>
                <w:rFonts w:eastAsia="Calibri"/>
                <w:sz w:val="20"/>
                <w:lang w:val="en-CA"/>
              </w:rPr>
              <w:t>Appeals – Defamation – Damage to reputation – Whether applicant raising issue of law – Whether issue is of public importance.</w:t>
            </w:r>
          </w:p>
        </w:tc>
      </w:tr>
      <w:tr w:rsidR="00424A9D" w:rsidRPr="00424A9D" w:rsidTr="00424A9D">
        <w:tc>
          <w:tcPr>
            <w:tcW w:w="5000" w:type="pct"/>
            <w:gridSpan w:val="4"/>
          </w:tcPr>
          <w:p w:rsidR="00424A9D" w:rsidRPr="00424A9D" w:rsidRDefault="00424A9D" w:rsidP="00424A9D">
            <w:pPr>
              <w:spacing w:line="276" w:lineRule="auto"/>
              <w:jc w:val="both"/>
              <w:rPr>
                <w:rFonts w:eastAsia="Calibri"/>
                <w:sz w:val="20"/>
                <w:lang w:val="en-CA"/>
              </w:rPr>
            </w:pPr>
          </w:p>
        </w:tc>
      </w:tr>
      <w:tr w:rsidR="00424A9D" w:rsidRPr="00424A9D" w:rsidTr="00424A9D">
        <w:tc>
          <w:tcPr>
            <w:tcW w:w="5000" w:type="pct"/>
            <w:gridSpan w:val="4"/>
          </w:tcPr>
          <w:p w:rsidR="00424A9D" w:rsidRPr="00424A9D" w:rsidRDefault="00424A9D" w:rsidP="00424A9D">
            <w:pPr>
              <w:spacing w:line="276" w:lineRule="auto"/>
              <w:jc w:val="both"/>
              <w:rPr>
                <w:rFonts w:eastAsia="Calibri"/>
                <w:sz w:val="20"/>
                <w:lang w:val="en-CA"/>
              </w:rPr>
            </w:pPr>
            <w:r w:rsidRPr="00424A9D">
              <w:rPr>
                <w:rFonts w:eastAsia="Calibri"/>
                <w:sz w:val="20"/>
                <w:lang w:val="en-CA"/>
              </w:rPr>
              <w:t xml:space="preserve">The applicant was arrested in December 2008 by the </w:t>
            </w:r>
            <w:proofErr w:type="spellStart"/>
            <w:r w:rsidRPr="00424A9D">
              <w:rPr>
                <w:rFonts w:eastAsia="Calibri"/>
                <w:sz w:val="20"/>
                <w:lang w:val="en-CA"/>
              </w:rPr>
              <w:t>Groupe</w:t>
            </w:r>
            <w:proofErr w:type="spellEnd"/>
            <w:r w:rsidRPr="00424A9D">
              <w:rPr>
                <w:rFonts w:eastAsia="Calibri"/>
                <w:sz w:val="20"/>
                <w:lang w:val="en-CA"/>
              </w:rPr>
              <w:t xml:space="preserve"> </w:t>
            </w:r>
            <w:proofErr w:type="spellStart"/>
            <w:r w:rsidRPr="00424A9D">
              <w:rPr>
                <w:rFonts w:eastAsia="Calibri"/>
                <w:sz w:val="20"/>
                <w:lang w:val="en-CA"/>
              </w:rPr>
              <w:t>d’intervention</w:t>
            </w:r>
            <w:proofErr w:type="spellEnd"/>
            <w:r w:rsidRPr="00424A9D">
              <w:rPr>
                <w:rFonts w:eastAsia="Calibri"/>
                <w:sz w:val="20"/>
                <w:lang w:val="en-CA"/>
              </w:rPr>
              <w:t xml:space="preserve"> </w:t>
            </w:r>
            <w:proofErr w:type="spellStart"/>
            <w:r w:rsidRPr="00424A9D">
              <w:rPr>
                <w:rFonts w:eastAsia="Calibri"/>
                <w:sz w:val="20"/>
                <w:lang w:val="en-CA"/>
              </w:rPr>
              <w:t>tactique</w:t>
            </w:r>
            <w:proofErr w:type="spellEnd"/>
            <w:r w:rsidRPr="00424A9D">
              <w:rPr>
                <w:rFonts w:eastAsia="Calibri"/>
                <w:sz w:val="20"/>
                <w:lang w:val="en-CA"/>
              </w:rPr>
              <w:t xml:space="preserve"> of the Service de police de Québec and charged with uttering death threats, possession of a prohibited weapon and careless storage of a firearm. The arrest arose out of comments made by the applicant to a bartender and the fact that he had shown him the weapon, bulletproof vests and equipment of that nature in his possession. There was intensive media coverage of the applicant’s arrest on the radio and in local newspapers.</w:t>
            </w:r>
          </w:p>
          <w:p w:rsidR="00424A9D" w:rsidRPr="00424A9D" w:rsidRDefault="00424A9D" w:rsidP="00424A9D">
            <w:pPr>
              <w:spacing w:line="276" w:lineRule="auto"/>
              <w:jc w:val="both"/>
              <w:rPr>
                <w:rFonts w:eastAsia="Calibri"/>
                <w:sz w:val="20"/>
                <w:lang w:val="en-CA"/>
              </w:rPr>
            </w:pPr>
          </w:p>
          <w:p w:rsidR="00424A9D" w:rsidRPr="00424A9D" w:rsidRDefault="00424A9D" w:rsidP="00424A9D">
            <w:pPr>
              <w:spacing w:line="276" w:lineRule="auto"/>
              <w:jc w:val="both"/>
              <w:rPr>
                <w:rFonts w:eastAsia="Calibri"/>
                <w:sz w:val="20"/>
                <w:lang w:val="en-CA"/>
              </w:rPr>
            </w:pPr>
            <w:r w:rsidRPr="00424A9D">
              <w:rPr>
                <w:rFonts w:eastAsia="Calibri"/>
                <w:sz w:val="20"/>
                <w:lang w:val="en-CA"/>
              </w:rPr>
              <w:t xml:space="preserve">In June 2009, the applicant filed a motion to institute proceedings against the respondents, two radio stations, to claim damages for defamation and damage to reputation. In his motion, he alleged, </w:t>
            </w:r>
            <w:r w:rsidRPr="00424A9D">
              <w:rPr>
                <w:rFonts w:eastAsia="Calibri"/>
                <w:i/>
                <w:sz w:val="20"/>
                <w:lang w:val="en-CA"/>
              </w:rPr>
              <w:t>inter alia</w:t>
            </w:r>
            <w:r w:rsidRPr="00424A9D">
              <w:rPr>
                <w:rFonts w:eastAsia="Calibri"/>
                <w:sz w:val="20"/>
                <w:lang w:val="en-CA"/>
              </w:rPr>
              <w:t>, that the respondents had presented him to the Québec population as a dangerous criminal and had distorted the information to suggest that he was an individual known to the police with an extensive criminal history. In May 2013, the Quebec Superior Court dismissed the applicant’s motion to institute proceedings. The Court of Appeal later dismissed his appeal.</w:t>
            </w:r>
          </w:p>
          <w:p w:rsidR="00424A9D" w:rsidRPr="00424A9D" w:rsidRDefault="00424A9D" w:rsidP="00424A9D">
            <w:pPr>
              <w:spacing w:line="276" w:lineRule="auto"/>
              <w:jc w:val="both"/>
              <w:rPr>
                <w:rFonts w:eastAsia="Calibri"/>
                <w:sz w:val="20"/>
                <w:lang w:val="en-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en-CA"/>
              </w:rPr>
            </w:pPr>
            <w:r w:rsidRPr="00424A9D">
              <w:rPr>
                <w:rFonts w:eastAsia="Calibri"/>
                <w:sz w:val="20"/>
                <w:lang w:val="en-CA"/>
              </w:rPr>
              <w:t>August 16, 2013</w:t>
            </w:r>
          </w:p>
          <w:p w:rsidR="00424A9D" w:rsidRPr="00424A9D" w:rsidRDefault="00424A9D" w:rsidP="00424A9D">
            <w:pPr>
              <w:spacing w:line="276" w:lineRule="auto"/>
              <w:jc w:val="both"/>
              <w:rPr>
                <w:rFonts w:eastAsia="Calibri"/>
                <w:sz w:val="20"/>
                <w:lang w:val="en-CA"/>
              </w:rPr>
            </w:pPr>
            <w:r w:rsidRPr="00424A9D">
              <w:rPr>
                <w:rFonts w:eastAsia="Calibri"/>
                <w:sz w:val="20"/>
                <w:lang w:val="en-CA"/>
              </w:rPr>
              <w:t>Quebec Superior Court</w:t>
            </w:r>
          </w:p>
          <w:p w:rsidR="00424A9D" w:rsidRPr="00424A9D" w:rsidRDefault="00424A9D" w:rsidP="00424A9D">
            <w:pPr>
              <w:spacing w:line="276" w:lineRule="auto"/>
              <w:jc w:val="both"/>
              <w:rPr>
                <w:rFonts w:eastAsia="Calibri"/>
                <w:sz w:val="20"/>
                <w:lang w:val="en-CA"/>
              </w:rPr>
            </w:pPr>
            <w:r w:rsidRPr="00424A9D">
              <w:rPr>
                <w:rFonts w:eastAsia="Calibri"/>
                <w:sz w:val="20"/>
                <w:lang w:val="en-CA"/>
              </w:rPr>
              <w:t>(Blanchet J.)</w:t>
            </w:r>
          </w:p>
          <w:p w:rsidR="00424A9D" w:rsidRPr="00424A9D" w:rsidRDefault="006A0D3A" w:rsidP="00424A9D">
            <w:pPr>
              <w:spacing w:line="276" w:lineRule="auto"/>
              <w:jc w:val="both"/>
              <w:rPr>
                <w:rFonts w:eastAsia="Calibri"/>
                <w:sz w:val="20"/>
                <w:lang w:val="en-CA"/>
              </w:rPr>
            </w:pPr>
            <w:hyperlink r:id="rId16" w:history="1">
              <w:r w:rsidR="00424A9D" w:rsidRPr="00424A9D">
                <w:rPr>
                  <w:rFonts w:eastAsia="Calibri"/>
                  <w:color w:val="0000FF" w:themeColor="hyperlink"/>
                  <w:sz w:val="20"/>
                  <w:u w:val="single"/>
                  <w:lang w:val="en-CA"/>
                </w:rPr>
                <w:t>2013 QCCS 4132</w:t>
              </w:r>
            </w:hyperlink>
          </w:p>
          <w:p w:rsidR="00424A9D" w:rsidRPr="00424A9D" w:rsidRDefault="00424A9D" w:rsidP="00424A9D">
            <w:pPr>
              <w:spacing w:line="276" w:lineRule="auto"/>
              <w:jc w:val="both"/>
              <w:rPr>
                <w:rFonts w:eastAsia="Calibri"/>
                <w:sz w:val="20"/>
                <w:lang w:val="en-CA"/>
              </w:rPr>
            </w:pPr>
          </w:p>
        </w:tc>
        <w:tc>
          <w:tcPr>
            <w:tcW w:w="243" w:type="pct"/>
          </w:tcPr>
          <w:p w:rsidR="00424A9D" w:rsidRPr="00424A9D" w:rsidRDefault="00424A9D" w:rsidP="00424A9D">
            <w:pPr>
              <w:spacing w:line="276" w:lineRule="auto"/>
              <w:jc w:val="both"/>
              <w:rPr>
                <w:rFonts w:eastAsia="Calibri"/>
                <w:sz w:val="20"/>
                <w:lang w:val="en-CA"/>
              </w:rPr>
            </w:pPr>
          </w:p>
        </w:tc>
        <w:tc>
          <w:tcPr>
            <w:tcW w:w="2330" w:type="pct"/>
          </w:tcPr>
          <w:p w:rsidR="00424A9D" w:rsidRPr="00424A9D" w:rsidRDefault="00424A9D" w:rsidP="00424A9D">
            <w:pPr>
              <w:spacing w:line="276" w:lineRule="auto"/>
              <w:jc w:val="both"/>
              <w:rPr>
                <w:rFonts w:eastAsia="Calibri"/>
                <w:sz w:val="20"/>
                <w:lang w:val="en-CA"/>
              </w:rPr>
            </w:pPr>
            <w:r w:rsidRPr="00424A9D">
              <w:rPr>
                <w:rFonts w:eastAsia="Calibri"/>
                <w:sz w:val="20"/>
                <w:lang w:val="en-CA"/>
              </w:rPr>
              <w:t>Applicant’s motion to institute proceedings dismissed</w:t>
            </w:r>
          </w:p>
          <w:p w:rsidR="00424A9D" w:rsidRPr="00424A9D" w:rsidRDefault="00424A9D" w:rsidP="00424A9D">
            <w:pPr>
              <w:spacing w:line="276" w:lineRule="auto"/>
              <w:jc w:val="both"/>
              <w:rPr>
                <w:rFonts w:eastAsia="Calibri"/>
                <w:sz w:val="20"/>
                <w:lang w:val="en-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en-CA"/>
              </w:rPr>
            </w:pPr>
            <w:r w:rsidRPr="00424A9D">
              <w:rPr>
                <w:rFonts w:eastAsia="Calibri"/>
                <w:sz w:val="20"/>
                <w:lang w:val="en-CA"/>
              </w:rPr>
              <w:t>March 27, 2015</w:t>
            </w:r>
          </w:p>
          <w:p w:rsidR="00424A9D" w:rsidRPr="00424A9D" w:rsidRDefault="00424A9D" w:rsidP="00424A9D">
            <w:pPr>
              <w:spacing w:line="276" w:lineRule="auto"/>
              <w:jc w:val="both"/>
              <w:rPr>
                <w:rFonts w:eastAsia="Calibri"/>
                <w:sz w:val="20"/>
                <w:lang w:val="en-CA"/>
              </w:rPr>
            </w:pPr>
            <w:r w:rsidRPr="00424A9D">
              <w:rPr>
                <w:rFonts w:eastAsia="Calibri"/>
                <w:sz w:val="20"/>
                <w:lang w:val="en-CA"/>
              </w:rPr>
              <w:t>Quebec Court of Appeal (Québec)</w:t>
            </w:r>
          </w:p>
          <w:p w:rsidR="00424A9D" w:rsidRPr="00424A9D" w:rsidRDefault="00424A9D" w:rsidP="00424A9D">
            <w:pPr>
              <w:spacing w:line="276" w:lineRule="auto"/>
              <w:jc w:val="both"/>
              <w:rPr>
                <w:rFonts w:eastAsia="Calibri"/>
                <w:sz w:val="20"/>
                <w:lang w:val="en-CA"/>
              </w:rPr>
            </w:pPr>
            <w:r w:rsidRPr="00424A9D">
              <w:rPr>
                <w:rFonts w:eastAsia="Calibri"/>
                <w:sz w:val="20"/>
                <w:lang w:val="en-CA"/>
              </w:rPr>
              <w:t>(Thibault, Bélanger and Gagnon JJ.A.)</w:t>
            </w:r>
          </w:p>
          <w:p w:rsidR="00424A9D" w:rsidRPr="00424A9D" w:rsidRDefault="006A0D3A" w:rsidP="00424A9D">
            <w:pPr>
              <w:spacing w:line="276" w:lineRule="auto"/>
              <w:jc w:val="both"/>
              <w:rPr>
                <w:rFonts w:eastAsia="Calibri"/>
                <w:sz w:val="20"/>
                <w:lang w:val="en-CA"/>
              </w:rPr>
            </w:pPr>
            <w:hyperlink r:id="rId17" w:history="1">
              <w:r w:rsidR="00424A9D" w:rsidRPr="00424A9D">
                <w:rPr>
                  <w:rFonts w:eastAsia="Calibri"/>
                  <w:color w:val="0000FF" w:themeColor="hyperlink"/>
                  <w:sz w:val="20"/>
                  <w:u w:val="single"/>
                  <w:lang w:val="en-CA"/>
                </w:rPr>
                <w:t>2015 QCCA 569</w:t>
              </w:r>
            </w:hyperlink>
          </w:p>
          <w:p w:rsidR="00424A9D" w:rsidRPr="00424A9D" w:rsidRDefault="00424A9D" w:rsidP="00424A9D">
            <w:pPr>
              <w:spacing w:line="276" w:lineRule="auto"/>
              <w:jc w:val="both"/>
              <w:rPr>
                <w:rFonts w:eastAsia="Calibri"/>
                <w:sz w:val="20"/>
                <w:lang w:val="en-CA"/>
              </w:rPr>
            </w:pPr>
          </w:p>
        </w:tc>
        <w:tc>
          <w:tcPr>
            <w:tcW w:w="243" w:type="pct"/>
          </w:tcPr>
          <w:p w:rsidR="00424A9D" w:rsidRPr="00424A9D" w:rsidRDefault="00424A9D" w:rsidP="00424A9D">
            <w:pPr>
              <w:spacing w:line="276" w:lineRule="auto"/>
              <w:jc w:val="both"/>
              <w:rPr>
                <w:rFonts w:eastAsia="Calibri"/>
                <w:sz w:val="20"/>
                <w:lang w:val="en-CA"/>
              </w:rPr>
            </w:pPr>
          </w:p>
        </w:tc>
        <w:tc>
          <w:tcPr>
            <w:tcW w:w="2330" w:type="pct"/>
          </w:tcPr>
          <w:p w:rsidR="00424A9D" w:rsidRPr="00424A9D" w:rsidRDefault="00424A9D" w:rsidP="00424A9D">
            <w:pPr>
              <w:spacing w:line="276" w:lineRule="auto"/>
              <w:jc w:val="both"/>
              <w:rPr>
                <w:rFonts w:eastAsia="Calibri"/>
                <w:sz w:val="20"/>
                <w:lang w:val="en-CA"/>
              </w:rPr>
            </w:pPr>
            <w:r w:rsidRPr="00424A9D">
              <w:rPr>
                <w:rFonts w:eastAsia="Calibri"/>
                <w:sz w:val="20"/>
                <w:lang w:val="en-CA"/>
              </w:rPr>
              <w:t>Appeal dismissed</w:t>
            </w:r>
          </w:p>
          <w:p w:rsidR="00424A9D" w:rsidRPr="00424A9D" w:rsidRDefault="00424A9D" w:rsidP="00424A9D">
            <w:pPr>
              <w:spacing w:line="276" w:lineRule="auto"/>
              <w:jc w:val="both"/>
              <w:rPr>
                <w:rFonts w:eastAsia="Calibri"/>
                <w:sz w:val="20"/>
                <w:lang w:val="en-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en-CA"/>
              </w:rPr>
            </w:pPr>
            <w:r w:rsidRPr="00424A9D">
              <w:rPr>
                <w:rFonts w:eastAsia="Calibri"/>
                <w:sz w:val="20"/>
                <w:lang w:val="en-CA"/>
              </w:rPr>
              <w:lastRenderedPageBreak/>
              <w:t>May 25, 2015</w:t>
            </w:r>
          </w:p>
          <w:p w:rsidR="00424A9D" w:rsidRPr="00424A9D" w:rsidRDefault="00424A9D" w:rsidP="00424A9D">
            <w:pPr>
              <w:spacing w:line="276" w:lineRule="auto"/>
              <w:jc w:val="both"/>
              <w:rPr>
                <w:rFonts w:eastAsia="Calibri"/>
                <w:sz w:val="20"/>
                <w:lang w:val="en-CA"/>
              </w:rPr>
            </w:pPr>
            <w:r w:rsidRPr="00424A9D">
              <w:rPr>
                <w:rFonts w:eastAsia="Calibri"/>
                <w:sz w:val="20"/>
                <w:lang w:val="en-CA"/>
              </w:rPr>
              <w:t>Supreme Court of Canada</w:t>
            </w:r>
          </w:p>
          <w:p w:rsidR="00424A9D" w:rsidRPr="00424A9D" w:rsidRDefault="00424A9D" w:rsidP="00424A9D">
            <w:pPr>
              <w:spacing w:line="276" w:lineRule="auto"/>
              <w:jc w:val="both"/>
              <w:rPr>
                <w:rFonts w:eastAsia="Calibri"/>
                <w:sz w:val="20"/>
                <w:lang w:val="en-CA"/>
              </w:rPr>
            </w:pPr>
          </w:p>
        </w:tc>
        <w:tc>
          <w:tcPr>
            <w:tcW w:w="243" w:type="pct"/>
          </w:tcPr>
          <w:p w:rsidR="00424A9D" w:rsidRPr="00424A9D" w:rsidRDefault="00424A9D" w:rsidP="00424A9D">
            <w:pPr>
              <w:spacing w:line="276" w:lineRule="auto"/>
              <w:jc w:val="both"/>
              <w:rPr>
                <w:rFonts w:eastAsia="Calibri"/>
                <w:sz w:val="20"/>
                <w:lang w:val="en-CA"/>
              </w:rPr>
            </w:pPr>
          </w:p>
        </w:tc>
        <w:tc>
          <w:tcPr>
            <w:tcW w:w="2330" w:type="pct"/>
          </w:tcPr>
          <w:p w:rsidR="00424A9D" w:rsidRPr="00424A9D" w:rsidRDefault="00424A9D" w:rsidP="00424A9D">
            <w:pPr>
              <w:spacing w:line="276" w:lineRule="auto"/>
              <w:jc w:val="both"/>
              <w:rPr>
                <w:rFonts w:eastAsia="Calibri"/>
                <w:sz w:val="20"/>
                <w:lang w:val="en-CA"/>
              </w:rPr>
            </w:pPr>
            <w:r w:rsidRPr="00424A9D">
              <w:rPr>
                <w:rFonts w:eastAsia="Calibri"/>
                <w:sz w:val="20"/>
                <w:lang w:val="en-CA"/>
              </w:rPr>
              <w:t>Application for leave to appeal filed</w:t>
            </w:r>
          </w:p>
          <w:p w:rsidR="00424A9D" w:rsidRPr="00424A9D" w:rsidRDefault="00424A9D" w:rsidP="00424A9D">
            <w:pPr>
              <w:spacing w:line="276" w:lineRule="auto"/>
              <w:jc w:val="both"/>
              <w:rPr>
                <w:rFonts w:eastAsia="Calibri"/>
                <w:sz w:val="20"/>
                <w:lang w:val="en-CA"/>
              </w:rPr>
            </w:pPr>
          </w:p>
        </w:tc>
      </w:tr>
    </w:tbl>
    <w:p w:rsidR="00424A9D" w:rsidRPr="00424A9D" w:rsidRDefault="00424A9D" w:rsidP="00424A9D">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424A9D" w:rsidRPr="00424A9D" w:rsidTr="00424A9D">
        <w:tc>
          <w:tcPr>
            <w:tcW w:w="543" w:type="pct"/>
            <w:hideMark/>
          </w:tcPr>
          <w:p w:rsidR="00424A9D" w:rsidRPr="00424A9D" w:rsidRDefault="00424A9D" w:rsidP="00424A9D">
            <w:pPr>
              <w:spacing w:line="276" w:lineRule="auto"/>
              <w:jc w:val="both"/>
              <w:rPr>
                <w:rFonts w:eastAsia="Calibri"/>
                <w:sz w:val="20"/>
                <w:lang w:val="fr-CA"/>
              </w:rPr>
            </w:pPr>
            <w:r w:rsidRPr="00424A9D">
              <w:rPr>
                <w:rFonts w:eastAsia="Calibri"/>
                <w:b/>
                <w:sz w:val="20"/>
                <w:lang w:val="fr-CA"/>
              </w:rPr>
              <w:t>36453</w:t>
            </w:r>
          </w:p>
        </w:tc>
        <w:tc>
          <w:tcPr>
            <w:tcW w:w="4457" w:type="pct"/>
            <w:gridSpan w:val="3"/>
            <w:hideMark/>
          </w:tcPr>
          <w:p w:rsidR="00424A9D" w:rsidRPr="00424A9D" w:rsidRDefault="00424A9D" w:rsidP="00424A9D">
            <w:pPr>
              <w:spacing w:line="276" w:lineRule="auto"/>
              <w:jc w:val="both"/>
              <w:rPr>
                <w:rFonts w:eastAsia="Calibri"/>
                <w:b/>
                <w:sz w:val="20"/>
                <w:lang w:val="fr-CA"/>
              </w:rPr>
            </w:pPr>
            <w:r w:rsidRPr="00424A9D">
              <w:rPr>
                <w:rFonts w:eastAsia="Calibri"/>
                <w:b/>
                <w:sz w:val="20"/>
                <w:lang w:val="fr-CA"/>
              </w:rPr>
              <w:t xml:space="preserve">Roch </w:t>
            </w:r>
            <w:proofErr w:type="spellStart"/>
            <w:r w:rsidRPr="00424A9D">
              <w:rPr>
                <w:rFonts w:eastAsia="Calibri"/>
                <w:b/>
                <w:sz w:val="20"/>
                <w:lang w:val="fr-CA"/>
              </w:rPr>
              <w:t>Guimont</w:t>
            </w:r>
            <w:proofErr w:type="spellEnd"/>
            <w:r w:rsidRPr="00424A9D">
              <w:rPr>
                <w:rFonts w:eastAsia="Calibri"/>
                <w:b/>
                <w:sz w:val="20"/>
                <w:lang w:val="fr-CA"/>
              </w:rPr>
              <w:t xml:space="preserve"> c. RNC Média Inc. (CHOI-FM 98,1) et </w:t>
            </w:r>
            <w:proofErr w:type="spellStart"/>
            <w:r w:rsidRPr="00424A9D">
              <w:rPr>
                <w:rFonts w:eastAsia="Calibri"/>
                <w:b/>
                <w:sz w:val="20"/>
                <w:lang w:val="fr-CA"/>
              </w:rPr>
              <w:t>Cogeco</w:t>
            </w:r>
            <w:proofErr w:type="spellEnd"/>
            <w:r w:rsidRPr="00424A9D">
              <w:rPr>
                <w:rFonts w:eastAsia="Calibri"/>
                <w:b/>
                <w:sz w:val="20"/>
                <w:lang w:val="fr-CA"/>
              </w:rPr>
              <w:t xml:space="preserve"> Diffusion Inc. (CJMF-FM 93)</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w:t>
            </w:r>
            <w:proofErr w:type="spellStart"/>
            <w:r w:rsidRPr="00424A9D">
              <w:rPr>
                <w:rFonts w:eastAsia="Calibri"/>
                <w:sz w:val="20"/>
                <w:lang w:val="fr-CA"/>
              </w:rPr>
              <w:t>Qc</w:t>
            </w:r>
            <w:proofErr w:type="spellEnd"/>
            <w:r w:rsidRPr="00424A9D">
              <w:rPr>
                <w:rFonts w:eastAsia="Calibri"/>
                <w:sz w:val="20"/>
                <w:lang w:val="fr-CA"/>
              </w:rPr>
              <w:t>) (Civile) (Autorisation)</w:t>
            </w: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r w:rsidRPr="00424A9D">
              <w:rPr>
                <w:rFonts w:eastAsia="Calibri"/>
                <w:sz w:val="20"/>
                <w:lang w:val="fr-CA"/>
              </w:rPr>
              <w:t>Appels – Diffamation – Atteinte à la réputation – Le demandeur soulève-t-il une question juridique? – Cette question est-elle d’importance pour le public?</w:t>
            </w: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demandeur a été arrêté en décembre 2008 par le Groupe d’intervention tactique du Service de police de Québec et accusé d’avoir proféré des menaces de mort, de possession d’une arme prohibée et d’entreposage négligent d’une arme à feu. Cette arrestation faisait suite à des propos tenus par le demandeur à un barman et à la démonstration qu’il lui avait faite de l’arme, des vestes pare-balles et de l’équipement de cette nature qu’il possédait. L’arrestation du demandeur a donné lieu à une couverture médiatique intensive, à la radio et dans les journaux locaux.</w:t>
            </w:r>
          </w:p>
          <w:p w:rsidR="00424A9D" w:rsidRPr="00424A9D" w:rsidRDefault="00424A9D" w:rsidP="00424A9D">
            <w:pPr>
              <w:spacing w:line="276" w:lineRule="auto"/>
              <w:jc w:val="both"/>
              <w:rPr>
                <w:rFonts w:eastAsia="Calibri"/>
                <w:sz w:val="20"/>
                <w:lang w:val="fr-CA"/>
              </w:rPr>
            </w:pPr>
          </w:p>
          <w:p w:rsidR="00424A9D" w:rsidRPr="00424A9D" w:rsidRDefault="00424A9D" w:rsidP="00424A9D">
            <w:pPr>
              <w:spacing w:line="276" w:lineRule="auto"/>
              <w:jc w:val="both"/>
              <w:rPr>
                <w:rFonts w:eastAsia="Calibri"/>
                <w:sz w:val="20"/>
                <w:lang w:val="fr-CA"/>
              </w:rPr>
            </w:pPr>
            <w:r w:rsidRPr="00424A9D">
              <w:rPr>
                <w:rFonts w:eastAsia="Calibri"/>
                <w:sz w:val="20"/>
                <w:lang w:val="fr-CA"/>
              </w:rPr>
              <w:t>En juin 2009, le demandeur a déposé une requête introductive d’instance contre les intimées, deux stations de radio, réclamant des dommages-intérêts pour diffamation et atteinte à la réputation. Dans sa requête, il alléguait, entre autres, que les intimées l’avaient présenté à la population de Québec comme un criminel dangereux et avaient déformé l’information de manière à laisser entendre qu’il était un individu connu des milieux policiers et ayant un lourd passé criminel. En mai 2013, la Cour supérieure du Québec a rejeté la requête introductive d’instance du demandeur. La Cour d’appel a ensuite rejeté l’appel de ce dernier.</w:t>
            </w:r>
          </w:p>
          <w:p w:rsidR="00424A9D" w:rsidRPr="00424A9D" w:rsidRDefault="00424A9D" w:rsidP="00424A9D">
            <w:pPr>
              <w:spacing w:line="276" w:lineRule="auto"/>
              <w:jc w:val="both"/>
              <w:rPr>
                <w:rFonts w:eastAsia="Calibri"/>
                <w:sz w:val="20"/>
                <w:lang w:val="fr-CA"/>
              </w:rPr>
            </w:pPr>
          </w:p>
        </w:tc>
      </w:tr>
      <w:tr w:rsidR="00424A9D" w:rsidRPr="006A0D3A"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16 août 2013</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supérieure du Québec</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(Le juge Blanchet)</w:t>
            </w:r>
          </w:p>
          <w:p w:rsidR="00424A9D" w:rsidRPr="00424A9D" w:rsidRDefault="006A0D3A" w:rsidP="00424A9D">
            <w:pPr>
              <w:spacing w:line="276" w:lineRule="auto"/>
              <w:jc w:val="both"/>
              <w:rPr>
                <w:rFonts w:eastAsia="Calibri"/>
                <w:sz w:val="20"/>
                <w:lang w:val="fr-CA"/>
              </w:rPr>
            </w:pPr>
            <w:hyperlink r:id="rId18" w:history="1">
              <w:r w:rsidR="00424A9D" w:rsidRPr="00424A9D">
                <w:rPr>
                  <w:rFonts w:eastAsia="Calibri"/>
                  <w:color w:val="0000FF" w:themeColor="hyperlink"/>
                  <w:sz w:val="20"/>
                  <w:u w:val="single"/>
                  <w:lang w:val="fr-CA"/>
                </w:rPr>
                <w:t>2013 QCCS 4132</w:t>
              </w:r>
            </w:hyperlink>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Requête introductive d’instance du demandeur rejetée</w:t>
            </w:r>
          </w:p>
          <w:p w:rsidR="00424A9D" w:rsidRPr="00424A9D" w:rsidRDefault="00424A9D" w:rsidP="00424A9D">
            <w:pPr>
              <w:spacing w:line="276" w:lineRule="auto"/>
              <w:jc w:val="both"/>
              <w:rPr>
                <w:rFonts w:eastAsia="Calibri"/>
                <w:sz w:val="20"/>
                <w:lang w:val="fr-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27 mars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d’appel du Québec (Québec)</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(Les juges Thibault, Bélanger et Gagnon)</w:t>
            </w:r>
          </w:p>
          <w:p w:rsidR="00424A9D" w:rsidRPr="00424A9D" w:rsidRDefault="006A0D3A" w:rsidP="00424A9D">
            <w:pPr>
              <w:spacing w:line="276" w:lineRule="auto"/>
              <w:jc w:val="both"/>
              <w:rPr>
                <w:rFonts w:eastAsia="Calibri"/>
                <w:sz w:val="20"/>
                <w:lang w:val="fr-CA"/>
              </w:rPr>
            </w:pPr>
            <w:hyperlink r:id="rId19" w:history="1">
              <w:r w:rsidR="00424A9D" w:rsidRPr="00424A9D">
                <w:rPr>
                  <w:rFonts w:eastAsia="Calibri"/>
                  <w:color w:val="0000FF" w:themeColor="hyperlink"/>
                  <w:sz w:val="20"/>
                  <w:u w:val="single"/>
                  <w:lang w:val="fr-CA"/>
                </w:rPr>
                <w:t>2015 QCCA 569</w:t>
              </w:r>
            </w:hyperlink>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Appel rejeté</w:t>
            </w:r>
          </w:p>
          <w:p w:rsidR="00424A9D" w:rsidRPr="00424A9D" w:rsidRDefault="00424A9D" w:rsidP="00424A9D">
            <w:pPr>
              <w:spacing w:line="276" w:lineRule="auto"/>
              <w:jc w:val="both"/>
              <w:rPr>
                <w:rFonts w:eastAsia="Calibri"/>
                <w:sz w:val="20"/>
                <w:lang w:val="fr-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Le 25 mai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suprême du Canada</w:t>
            </w:r>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Demande d’autorisation d’appel déposée</w:t>
            </w:r>
          </w:p>
          <w:p w:rsidR="00424A9D" w:rsidRPr="00424A9D" w:rsidRDefault="00424A9D" w:rsidP="00424A9D">
            <w:pPr>
              <w:spacing w:line="276" w:lineRule="auto"/>
              <w:jc w:val="both"/>
              <w:rPr>
                <w:rFonts w:eastAsia="Calibri"/>
                <w:sz w:val="20"/>
                <w:lang w:val="fr-CA"/>
              </w:rPr>
            </w:pPr>
          </w:p>
        </w:tc>
      </w:tr>
    </w:tbl>
    <w:p w:rsidR="00424A9D" w:rsidRPr="00424A9D" w:rsidRDefault="00424A9D" w:rsidP="00424A9D">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4A9D" w:rsidRPr="00424A9D" w:rsidTr="00AA54C8">
        <w:tc>
          <w:tcPr>
            <w:tcW w:w="543" w:type="pct"/>
          </w:tcPr>
          <w:p w:rsidR="00424A9D" w:rsidRPr="00424A9D" w:rsidRDefault="00424A9D" w:rsidP="00424A9D">
            <w:pPr>
              <w:jc w:val="both"/>
              <w:rPr>
                <w:rFonts w:eastAsiaTheme="minorHAnsi"/>
                <w:sz w:val="20"/>
                <w:lang w:val="en-CA"/>
              </w:rPr>
            </w:pPr>
            <w:r w:rsidRPr="00424A9D">
              <w:rPr>
                <w:rFonts w:eastAsiaTheme="minorHAnsi"/>
                <w:b/>
                <w:sz w:val="20"/>
                <w:lang w:val="en-CA"/>
              </w:rPr>
              <w:t>36434</w:t>
            </w:r>
          </w:p>
        </w:tc>
        <w:tc>
          <w:tcPr>
            <w:tcW w:w="4457" w:type="pct"/>
            <w:gridSpan w:val="3"/>
          </w:tcPr>
          <w:p w:rsidR="00424A9D" w:rsidRPr="00424A9D" w:rsidRDefault="00424A9D" w:rsidP="00424A9D">
            <w:pPr>
              <w:jc w:val="both"/>
              <w:rPr>
                <w:rFonts w:eastAsiaTheme="minorHAnsi"/>
                <w:b/>
                <w:sz w:val="20"/>
                <w:lang w:val="en-CA"/>
              </w:rPr>
            </w:pPr>
            <w:r w:rsidRPr="00424A9D">
              <w:rPr>
                <w:rFonts w:eastAsiaTheme="minorHAnsi"/>
                <w:b/>
                <w:sz w:val="20"/>
                <w:lang w:val="en-CA"/>
              </w:rPr>
              <w:t>Susan Steel v. Coast Capital Savings Credit Union</w:t>
            </w:r>
          </w:p>
          <w:p w:rsidR="00424A9D" w:rsidRPr="00424A9D" w:rsidRDefault="00424A9D" w:rsidP="00424A9D">
            <w:pPr>
              <w:jc w:val="both"/>
              <w:rPr>
                <w:rFonts w:eastAsiaTheme="minorHAnsi"/>
                <w:sz w:val="20"/>
                <w:lang w:val="en-CA"/>
              </w:rPr>
            </w:pPr>
            <w:r w:rsidRPr="00424A9D">
              <w:rPr>
                <w:rFonts w:eastAsiaTheme="minorHAnsi"/>
                <w:sz w:val="20"/>
                <w:lang w:val="en-CA"/>
              </w:rPr>
              <w:t>(B.C.) (Civil) (By Leave)</w:t>
            </w:r>
          </w:p>
        </w:tc>
      </w:tr>
      <w:tr w:rsidR="00424A9D" w:rsidRPr="00424A9D" w:rsidTr="00AA54C8">
        <w:tc>
          <w:tcPr>
            <w:tcW w:w="5000" w:type="pct"/>
            <w:gridSpan w:val="4"/>
          </w:tcPr>
          <w:p w:rsidR="00424A9D" w:rsidRPr="00424A9D" w:rsidRDefault="00424A9D" w:rsidP="00424A9D">
            <w:pPr>
              <w:jc w:val="both"/>
              <w:rPr>
                <w:rFonts w:eastAsiaTheme="minorHAnsi"/>
                <w:sz w:val="20"/>
                <w:lang w:val="en-CA"/>
              </w:rPr>
            </w:pPr>
            <w:r w:rsidRPr="00424A9D">
              <w:rPr>
                <w:rFonts w:eastAsiaTheme="minorHAnsi"/>
                <w:sz w:val="20"/>
                <w:lang w:val="en-CA"/>
              </w:rPr>
              <w:t xml:space="preserve">Employment law – Unjust dismissal – Whether employee’s alleged breach of employer’s policy on accessing confidential documents constituted just cause for dismissal – Whether the Court of Appeal judgment alters </w:t>
            </w:r>
            <w:r w:rsidRPr="00424A9D">
              <w:rPr>
                <w:rFonts w:eastAsiaTheme="minorHAnsi"/>
                <w:i/>
                <w:sz w:val="20"/>
                <w:lang w:val="en-CA"/>
              </w:rPr>
              <w:t xml:space="preserve">McKinley </w:t>
            </w:r>
            <w:r w:rsidRPr="00424A9D">
              <w:rPr>
                <w:rFonts w:eastAsiaTheme="minorHAnsi"/>
                <w:i/>
                <w:sz w:val="20"/>
                <w:lang w:val="en-CA"/>
              </w:rPr>
              <w:lastRenderedPageBreak/>
              <w:t>v. BC Tel</w:t>
            </w:r>
            <w:r w:rsidRPr="00424A9D">
              <w:rPr>
                <w:rFonts w:eastAsiaTheme="minorHAnsi"/>
                <w:sz w:val="20"/>
                <w:lang w:val="en-CA"/>
              </w:rPr>
              <w:t>, 2001 SCC 38, [2001] 2 S.C.R. 161 and creates a lower, or truncated, legal standard to establish just cause where the employment involves an industry requiring heightened trust such as financial and banking services – Whether the Judgment raises issues of national or public importance affecting the rights of Canadian employees and employers thereby warranting leave to appeal.</w:t>
            </w:r>
          </w:p>
        </w:tc>
      </w:tr>
      <w:tr w:rsidR="00424A9D" w:rsidRPr="00424A9D" w:rsidTr="00AA54C8">
        <w:tc>
          <w:tcPr>
            <w:tcW w:w="5000" w:type="pct"/>
            <w:gridSpan w:val="4"/>
          </w:tcPr>
          <w:p w:rsidR="00424A9D" w:rsidRPr="00424A9D" w:rsidRDefault="00424A9D" w:rsidP="00424A9D">
            <w:pPr>
              <w:jc w:val="both"/>
              <w:rPr>
                <w:rFonts w:eastAsiaTheme="minorHAnsi"/>
                <w:sz w:val="20"/>
                <w:lang w:val="en-CA"/>
              </w:rPr>
            </w:pPr>
          </w:p>
        </w:tc>
      </w:tr>
      <w:tr w:rsidR="00424A9D" w:rsidRPr="00424A9D" w:rsidTr="00AA54C8">
        <w:tc>
          <w:tcPr>
            <w:tcW w:w="5000" w:type="pct"/>
            <w:gridSpan w:val="4"/>
          </w:tcPr>
          <w:p w:rsidR="00424A9D" w:rsidRPr="00424A9D" w:rsidRDefault="00424A9D" w:rsidP="00424A9D">
            <w:pPr>
              <w:jc w:val="both"/>
              <w:rPr>
                <w:rFonts w:eastAsiaTheme="minorHAnsi"/>
                <w:sz w:val="20"/>
                <w:lang w:val="en-CA"/>
              </w:rPr>
            </w:pPr>
            <w:r w:rsidRPr="00424A9D">
              <w:rPr>
                <w:rFonts w:eastAsiaTheme="minorHAnsi"/>
                <w:sz w:val="20"/>
                <w:lang w:val="en-CA"/>
              </w:rPr>
              <w:t>The applicant was a Helpdesk analyst in the IT Department of the respondent. She was dismissed “with cause” after 21 years of employment with the respondent when she was found to have accessed a confidential document in another employee’s personal folder without permission, contrary to company policies and protocol. The document was a spreadsheet designating priorities for the limited employee parking spaces available and contained information such as pay grades and seniority dates. The applicant did not yet have a parking spot and was affected by the list. She claimed that she accessed the document to get information she knew her manager needed, although he did not ask her to get it. The respondent’s termination letter stated that the severity of the breach of trust had led it “to lose faith in your judgment” and “resulted in a serious loss of confidence” in her which had “irreparably damaged the employment relationship”. The applicant claims that while she opened the document without permission, it constituted a single lapse of judgment which did not amount to just cause for dismissal. She brought an action in damages for wrongful dismissal, and a motion for summary judgment. The respondent supported the motion for summary judgment, seeking dismissal of the action.</w:t>
            </w:r>
          </w:p>
          <w:p w:rsidR="00424A9D" w:rsidRPr="00424A9D" w:rsidRDefault="00424A9D" w:rsidP="00424A9D">
            <w:pPr>
              <w:jc w:val="both"/>
              <w:rPr>
                <w:rFonts w:eastAsiaTheme="minorHAnsi"/>
                <w:sz w:val="20"/>
                <w:lang w:val="en-CA"/>
              </w:rPr>
            </w:pPr>
          </w:p>
          <w:p w:rsidR="00424A9D" w:rsidRPr="00424A9D" w:rsidRDefault="00424A9D" w:rsidP="00424A9D">
            <w:pPr>
              <w:jc w:val="both"/>
              <w:rPr>
                <w:rFonts w:eastAsiaTheme="minorHAnsi"/>
                <w:sz w:val="20"/>
                <w:lang w:val="en-CA"/>
              </w:rPr>
            </w:pPr>
            <w:r w:rsidRPr="00424A9D">
              <w:rPr>
                <w:rFonts w:eastAsiaTheme="minorHAnsi"/>
                <w:sz w:val="20"/>
                <w:lang w:val="en-CA"/>
              </w:rPr>
              <w:t>The Supreme Court of British Columbia granted summary judgment and held that the applicant’s conduct constituted cause for dismissal. Her action for wrongful dismissal was dismissed. The Court of Appeal for British Columbia dismissed her appeal, with Donald J.A. dissenting.</w:t>
            </w: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t>March 27, 2013</w:t>
            </w:r>
          </w:p>
          <w:p w:rsidR="00424A9D" w:rsidRPr="00424A9D" w:rsidRDefault="00424A9D" w:rsidP="00424A9D">
            <w:pPr>
              <w:jc w:val="both"/>
              <w:rPr>
                <w:rFonts w:eastAsiaTheme="minorHAnsi"/>
                <w:sz w:val="20"/>
                <w:lang w:val="en-CA"/>
              </w:rPr>
            </w:pPr>
            <w:r w:rsidRPr="00424A9D">
              <w:rPr>
                <w:rFonts w:eastAsiaTheme="minorHAnsi"/>
                <w:sz w:val="20"/>
                <w:lang w:val="en-CA"/>
              </w:rPr>
              <w:t>Supreme Court of British Columbia</w:t>
            </w:r>
          </w:p>
          <w:p w:rsidR="00424A9D" w:rsidRPr="00424A9D" w:rsidRDefault="00424A9D" w:rsidP="00424A9D">
            <w:pPr>
              <w:jc w:val="both"/>
              <w:rPr>
                <w:rFonts w:eastAsiaTheme="minorHAnsi"/>
                <w:sz w:val="20"/>
                <w:lang w:val="en-CA"/>
              </w:rPr>
            </w:pPr>
            <w:r w:rsidRPr="00424A9D">
              <w:rPr>
                <w:rFonts w:eastAsiaTheme="minorHAnsi"/>
                <w:sz w:val="20"/>
                <w:lang w:val="en-CA"/>
              </w:rPr>
              <w:t>(Ross J.)</w:t>
            </w:r>
          </w:p>
          <w:p w:rsidR="00424A9D" w:rsidRPr="00424A9D" w:rsidRDefault="006A0D3A" w:rsidP="00424A9D">
            <w:pPr>
              <w:jc w:val="both"/>
              <w:rPr>
                <w:rFonts w:eastAsiaTheme="minorHAnsi"/>
                <w:sz w:val="20"/>
                <w:lang w:val="en-CA"/>
              </w:rPr>
            </w:pPr>
            <w:hyperlink r:id="rId20" w:history="1">
              <w:r w:rsidR="00424A9D" w:rsidRPr="00424A9D">
                <w:rPr>
                  <w:rFonts w:eastAsiaTheme="minorHAnsi"/>
                  <w:color w:val="0000FF" w:themeColor="hyperlink"/>
                  <w:sz w:val="20"/>
                  <w:u w:val="single"/>
                  <w:lang w:val="en-CA"/>
                </w:rPr>
                <w:t>2013 BCSC 527</w:t>
              </w:r>
            </w:hyperlink>
          </w:p>
          <w:p w:rsidR="00424A9D" w:rsidRPr="00424A9D" w:rsidRDefault="00424A9D" w:rsidP="00424A9D">
            <w:pPr>
              <w:jc w:val="both"/>
              <w:rPr>
                <w:rFonts w:eastAsiaTheme="minorHAnsi"/>
                <w:sz w:val="20"/>
                <w:lang w:val="en-CA"/>
              </w:rPr>
            </w:pP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Motion for summary judgment granted; applicant’s action in damages for dismissal without cause, dismissed</w:t>
            </w: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t>March 20, 2015</w:t>
            </w:r>
          </w:p>
          <w:p w:rsidR="00424A9D" w:rsidRPr="00424A9D" w:rsidRDefault="00424A9D" w:rsidP="00424A9D">
            <w:pPr>
              <w:jc w:val="both"/>
              <w:rPr>
                <w:rFonts w:eastAsiaTheme="minorHAnsi"/>
                <w:sz w:val="20"/>
                <w:lang w:val="en-CA"/>
              </w:rPr>
            </w:pPr>
            <w:r w:rsidRPr="00424A9D">
              <w:rPr>
                <w:rFonts w:eastAsiaTheme="minorHAnsi"/>
                <w:sz w:val="20"/>
                <w:lang w:val="en-CA"/>
              </w:rPr>
              <w:t xml:space="preserve">Court of Appeal for British Columbia </w:t>
            </w:r>
          </w:p>
          <w:p w:rsidR="00424A9D" w:rsidRPr="00424A9D" w:rsidRDefault="00424A9D" w:rsidP="00424A9D">
            <w:pPr>
              <w:jc w:val="both"/>
              <w:rPr>
                <w:rFonts w:eastAsiaTheme="minorHAnsi"/>
                <w:sz w:val="20"/>
                <w:lang w:val="en-CA"/>
              </w:rPr>
            </w:pPr>
            <w:r w:rsidRPr="00424A9D">
              <w:rPr>
                <w:rFonts w:eastAsiaTheme="minorHAnsi"/>
                <w:sz w:val="20"/>
                <w:lang w:val="en-CA"/>
              </w:rPr>
              <w:t>(Vancouver)</w:t>
            </w:r>
          </w:p>
          <w:p w:rsidR="00424A9D" w:rsidRPr="00424A9D" w:rsidRDefault="00424A9D" w:rsidP="00424A9D">
            <w:pPr>
              <w:jc w:val="both"/>
              <w:rPr>
                <w:rFonts w:eastAsiaTheme="minorHAnsi"/>
                <w:sz w:val="20"/>
                <w:lang w:val="en-CA"/>
              </w:rPr>
            </w:pPr>
            <w:r w:rsidRPr="00424A9D">
              <w:rPr>
                <w:rFonts w:eastAsiaTheme="minorHAnsi"/>
                <w:sz w:val="20"/>
                <w:lang w:val="en-CA"/>
              </w:rPr>
              <w:t xml:space="preserve">(Donald (dissenting), Harris and </w:t>
            </w:r>
            <w:proofErr w:type="spellStart"/>
            <w:r w:rsidRPr="00424A9D">
              <w:rPr>
                <w:rFonts w:eastAsiaTheme="minorHAnsi"/>
                <w:sz w:val="20"/>
                <w:lang w:val="en-CA"/>
              </w:rPr>
              <w:t>Goepel</w:t>
            </w:r>
            <w:proofErr w:type="spellEnd"/>
            <w:r w:rsidRPr="00424A9D">
              <w:rPr>
                <w:rFonts w:eastAsiaTheme="minorHAnsi"/>
                <w:sz w:val="20"/>
                <w:lang w:val="en-CA"/>
              </w:rPr>
              <w:t xml:space="preserve"> JJ.A.)</w:t>
            </w:r>
          </w:p>
          <w:p w:rsidR="00424A9D" w:rsidRPr="00424A9D" w:rsidRDefault="006A0D3A" w:rsidP="00424A9D">
            <w:pPr>
              <w:jc w:val="both"/>
              <w:rPr>
                <w:rFonts w:eastAsiaTheme="minorHAnsi"/>
                <w:sz w:val="20"/>
                <w:lang w:val="en-CA"/>
              </w:rPr>
            </w:pPr>
            <w:hyperlink r:id="rId21" w:history="1">
              <w:r w:rsidR="00424A9D" w:rsidRPr="00424A9D">
                <w:rPr>
                  <w:rFonts w:eastAsiaTheme="minorHAnsi"/>
                  <w:color w:val="0000FF" w:themeColor="hyperlink"/>
                  <w:sz w:val="20"/>
                  <w:u w:val="single"/>
                  <w:lang w:val="en-CA"/>
                </w:rPr>
                <w:t>2015 BCCA 127</w:t>
              </w:r>
            </w:hyperlink>
            <w:r w:rsidR="00424A9D" w:rsidRPr="00424A9D">
              <w:rPr>
                <w:rFonts w:eastAsiaTheme="minorHAnsi"/>
                <w:sz w:val="20"/>
                <w:lang w:val="en-CA"/>
              </w:rPr>
              <w:t>; CA040816</w:t>
            </w:r>
          </w:p>
          <w:p w:rsidR="00424A9D" w:rsidRPr="00424A9D" w:rsidRDefault="00424A9D" w:rsidP="00424A9D">
            <w:pPr>
              <w:jc w:val="both"/>
              <w:rPr>
                <w:rFonts w:eastAsiaTheme="minorHAnsi"/>
                <w:sz w:val="20"/>
                <w:lang w:val="en-CA"/>
              </w:rPr>
            </w:pP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Appeal dismissed</w:t>
            </w:r>
          </w:p>
          <w:p w:rsidR="00424A9D" w:rsidRPr="00424A9D" w:rsidRDefault="00424A9D" w:rsidP="00424A9D">
            <w:pPr>
              <w:jc w:val="both"/>
              <w:rPr>
                <w:rFonts w:eastAsiaTheme="minorHAnsi"/>
                <w:sz w:val="20"/>
                <w:lang w:val="en-CA"/>
              </w:rPr>
            </w:pPr>
          </w:p>
        </w:tc>
      </w:tr>
      <w:tr w:rsidR="00424A9D" w:rsidRPr="00424A9D" w:rsidTr="00AA54C8">
        <w:tc>
          <w:tcPr>
            <w:tcW w:w="2427" w:type="pct"/>
            <w:gridSpan w:val="2"/>
          </w:tcPr>
          <w:p w:rsidR="00424A9D" w:rsidRPr="00424A9D" w:rsidRDefault="00424A9D" w:rsidP="00424A9D">
            <w:pPr>
              <w:jc w:val="both"/>
              <w:rPr>
                <w:rFonts w:eastAsiaTheme="minorHAnsi"/>
                <w:sz w:val="20"/>
                <w:lang w:val="en-CA"/>
              </w:rPr>
            </w:pPr>
            <w:r w:rsidRPr="00424A9D">
              <w:rPr>
                <w:rFonts w:eastAsiaTheme="minorHAnsi"/>
                <w:sz w:val="20"/>
                <w:lang w:val="en-CA"/>
              </w:rPr>
              <w:t>May 15, 2015</w:t>
            </w:r>
          </w:p>
          <w:p w:rsidR="00424A9D" w:rsidRPr="00424A9D" w:rsidRDefault="00424A9D" w:rsidP="00424A9D">
            <w:pPr>
              <w:jc w:val="both"/>
              <w:rPr>
                <w:rFonts w:eastAsiaTheme="minorHAnsi"/>
                <w:sz w:val="20"/>
                <w:lang w:val="en-CA"/>
              </w:rPr>
            </w:pPr>
            <w:r w:rsidRPr="00424A9D">
              <w:rPr>
                <w:rFonts w:eastAsiaTheme="minorHAnsi"/>
                <w:sz w:val="20"/>
                <w:lang w:val="en-CA"/>
              </w:rPr>
              <w:t>Supreme Court of Canada</w:t>
            </w:r>
          </w:p>
        </w:tc>
        <w:tc>
          <w:tcPr>
            <w:tcW w:w="243" w:type="pct"/>
          </w:tcPr>
          <w:p w:rsidR="00424A9D" w:rsidRPr="00424A9D" w:rsidRDefault="00424A9D" w:rsidP="00424A9D">
            <w:pPr>
              <w:jc w:val="both"/>
              <w:rPr>
                <w:rFonts w:eastAsiaTheme="minorHAnsi"/>
                <w:sz w:val="20"/>
                <w:lang w:val="en-CA"/>
              </w:rPr>
            </w:pPr>
          </w:p>
        </w:tc>
        <w:tc>
          <w:tcPr>
            <w:tcW w:w="2330" w:type="pct"/>
          </w:tcPr>
          <w:p w:rsidR="00424A9D" w:rsidRPr="00424A9D" w:rsidRDefault="00424A9D" w:rsidP="00424A9D">
            <w:pPr>
              <w:jc w:val="both"/>
              <w:rPr>
                <w:rFonts w:eastAsiaTheme="minorHAnsi"/>
                <w:sz w:val="20"/>
                <w:lang w:val="en-CA"/>
              </w:rPr>
            </w:pPr>
            <w:r w:rsidRPr="00424A9D">
              <w:rPr>
                <w:rFonts w:eastAsiaTheme="minorHAnsi"/>
                <w:sz w:val="20"/>
                <w:lang w:val="en-CA"/>
              </w:rPr>
              <w:t>Application for leave to appeal filed</w:t>
            </w:r>
          </w:p>
        </w:tc>
      </w:tr>
    </w:tbl>
    <w:p w:rsidR="00424A9D" w:rsidRDefault="00424A9D" w:rsidP="00424A9D">
      <w:pPr>
        <w:jc w:val="both"/>
        <w:rPr>
          <w:rFonts w:eastAsiaTheme="minorHAnsi"/>
          <w:sz w:val="20"/>
          <w:lang w:val="en-CA"/>
        </w:rPr>
      </w:pPr>
    </w:p>
    <w:p w:rsidR="00424A9D" w:rsidRPr="00424A9D" w:rsidRDefault="00424A9D" w:rsidP="00424A9D">
      <w:pPr>
        <w:jc w:val="both"/>
        <w:rPr>
          <w:rFonts w:eastAsiaTheme="minorHAns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424A9D" w:rsidRPr="006A0D3A" w:rsidTr="00424A9D">
        <w:tc>
          <w:tcPr>
            <w:tcW w:w="543" w:type="pct"/>
            <w:hideMark/>
          </w:tcPr>
          <w:p w:rsidR="00424A9D" w:rsidRPr="00424A9D" w:rsidRDefault="00424A9D" w:rsidP="00424A9D">
            <w:pPr>
              <w:spacing w:line="276" w:lineRule="auto"/>
              <w:jc w:val="both"/>
              <w:rPr>
                <w:rFonts w:eastAsia="Calibri"/>
                <w:sz w:val="20"/>
                <w:lang w:val="fr-CA"/>
              </w:rPr>
            </w:pPr>
            <w:r w:rsidRPr="00424A9D">
              <w:rPr>
                <w:rFonts w:eastAsia="Calibri"/>
                <w:b/>
                <w:sz w:val="20"/>
                <w:lang w:val="fr-CA"/>
              </w:rPr>
              <w:t>36434</w:t>
            </w:r>
          </w:p>
        </w:tc>
        <w:tc>
          <w:tcPr>
            <w:tcW w:w="4457" w:type="pct"/>
            <w:gridSpan w:val="3"/>
            <w:hideMark/>
          </w:tcPr>
          <w:p w:rsidR="00424A9D" w:rsidRPr="00424A9D" w:rsidRDefault="00424A9D" w:rsidP="00424A9D">
            <w:pPr>
              <w:spacing w:line="276" w:lineRule="auto"/>
              <w:jc w:val="both"/>
              <w:rPr>
                <w:rFonts w:eastAsia="Calibri"/>
                <w:b/>
                <w:sz w:val="20"/>
              </w:rPr>
            </w:pPr>
            <w:r w:rsidRPr="00424A9D">
              <w:rPr>
                <w:rFonts w:eastAsia="Calibri"/>
                <w:b/>
                <w:sz w:val="20"/>
              </w:rPr>
              <w:t>Susan Steel c. Coast Capital Savings Credit Union</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(C.-B.) (Civile) (Sur autorisation)</w:t>
            </w: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r w:rsidRPr="00424A9D">
              <w:rPr>
                <w:rFonts w:eastAsia="Calibri"/>
                <w:sz w:val="20"/>
                <w:lang w:val="fr-CA"/>
              </w:rPr>
              <w:t xml:space="preserve">Droit de l’emploi – Congédiement injustifié – Le manquement reproché à l’employée à la politique de l’employeur sur l’accès aux documents confidentiels constituait-il un motif valable de congédiement? – L’arrêt de la Cour d’appel écarte-t-il l’arrêt </w:t>
            </w:r>
            <w:r w:rsidRPr="00424A9D">
              <w:rPr>
                <w:rFonts w:eastAsia="Calibri"/>
                <w:i/>
                <w:sz w:val="20"/>
                <w:lang w:val="fr-CA"/>
              </w:rPr>
              <w:t>McKinley c. BC Tel</w:t>
            </w:r>
            <w:r w:rsidRPr="00424A9D">
              <w:rPr>
                <w:rFonts w:eastAsia="Calibri"/>
                <w:sz w:val="20"/>
                <w:lang w:val="fr-CA"/>
              </w:rPr>
              <w:t xml:space="preserve">, 2001 CSC 38, [2001] 2 R.C.S. 161 et crée-t-il une norme juridique moins exigeante ou tronquée pour établir un motif valable lorsque l’emploi est exercé dans un secteur où il faut un degré de confiance plus élevé, par exemple dans le secteur des services financiers et bancaires? – L’arrêt soulève-t-il des </w:t>
            </w:r>
            <w:r w:rsidRPr="00424A9D">
              <w:rPr>
                <w:rFonts w:eastAsia="Calibri"/>
                <w:sz w:val="20"/>
                <w:lang w:val="fr-CA"/>
              </w:rPr>
              <w:lastRenderedPageBreak/>
              <w:t>questions d’importance nationale ou publique ayant une incidence sur les droits des employés et des employeurs  canadiens, si bien qu’il est justifié d’accorder l’autorisation d’appel?</w:t>
            </w: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p>
        </w:tc>
      </w:tr>
      <w:tr w:rsidR="00424A9D" w:rsidRPr="006A0D3A" w:rsidTr="00424A9D">
        <w:tc>
          <w:tcPr>
            <w:tcW w:w="5000" w:type="pct"/>
            <w:gridSpan w:val="4"/>
          </w:tcPr>
          <w:p w:rsidR="00424A9D" w:rsidRPr="00424A9D" w:rsidRDefault="00424A9D" w:rsidP="00424A9D">
            <w:pPr>
              <w:spacing w:line="276" w:lineRule="auto"/>
              <w:jc w:val="both"/>
              <w:rPr>
                <w:rFonts w:eastAsia="Calibri"/>
                <w:sz w:val="20"/>
                <w:lang w:val="fr-CA"/>
              </w:rPr>
            </w:pPr>
            <w:r w:rsidRPr="00424A9D">
              <w:rPr>
                <w:rFonts w:eastAsia="Calibri"/>
                <w:sz w:val="20"/>
                <w:lang w:val="fr-CA"/>
              </w:rPr>
              <w:t>La demanderesse était analyste du dépannage informatique au service de TI de l’intimée. Elle a été congédiée [</w:t>
            </w:r>
            <w:r w:rsidRPr="00424A9D">
              <w:rPr>
                <w:rFonts w:eastAsia="Calibri"/>
                <w:smallCaps/>
                <w:sz w:val="20"/>
                <w:lang w:val="fr-CA"/>
              </w:rPr>
              <w:t>traduction</w:t>
            </w:r>
            <w:r w:rsidRPr="00424A9D">
              <w:rPr>
                <w:rFonts w:eastAsia="Calibri"/>
                <w:sz w:val="20"/>
                <w:lang w:val="fr-CA"/>
              </w:rPr>
              <w:t>] « pour un motif valable » après vingt-et-un ans comme employée de l’intimée lorsqu’on a découvert qu’elle avait accédé à un document confidentiel dans le dossier personnel d’une autre employée sans permission, contrairement aux politiques et au protocole de la compagnie.  Le document était une feuille de calcul désignant les priorités relatives aux espaces de stationnement limités réservés aux employés et renfermait des renseignements comme les échelons de rémunération et les années d’ancienneté. La demanderesse n’avait pas encore d’espace de stationnement et était concernée par la liste. Selon ses dires, elle avait accédé au document pour obtenir des renseignements dont elle savait que son gestionnaire avait besoin, bien que ce dernier ne lui ait pas demandé de les obtenir. Dans sa lettre de congédiement adressée à la demanderesse, l’intimée a affirmé que la gravité de l’abus de confiance lui avait [</w:t>
            </w:r>
            <w:r w:rsidRPr="00424A9D">
              <w:rPr>
                <w:rFonts w:eastAsia="Calibri"/>
                <w:smallCaps/>
                <w:sz w:val="20"/>
                <w:lang w:val="fr-CA"/>
              </w:rPr>
              <w:t>traduction</w:t>
            </w:r>
            <w:r w:rsidRPr="00424A9D">
              <w:rPr>
                <w:rFonts w:eastAsia="Calibri"/>
                <w:sz w:val="20"/>
                <w:lang w:val="fr-CA"/>
              </w:rPr>
              <w:t>] « fait perdre confiance [dans le] jugement [de la demanderesse] » et [</w:t>
            </w:r>
            <w:r w:rsidRPr="00424A9D">
              <w:rPr>
                <w:rFonts w:eastAsia="Calibri"/>
                <w:smallCaps/>
                <w:sz w:val="20"/>
                <w:lang w:val="fr-CA"/>
              </w:rPr>
              <w:t>traduction</w:t>
            </w:r>
            <w:r w:rsidRPr="00424A9D">
              <w:rPr>
                <w:rFonts w:eastAsia="Calibri"/>
                <w:sz w:val="20"/>
                <w:lang w:val="fr-CA"/>
              </w:rPr>
              <w:t>] « avait sérieusement ébranlé sa confiance » en elle, ce qui avait « irréparablement endommagé la relation d’emploi ». La demanderesse prétend que même si elle a ouvert le document sans permission, il s’agissait d’une faute de jugement isolée qui n’équivalait pas à un motif valable de congédiement. Elle a intenté une action en dommages-intérêts pour congédiement injustifié et une requête en jugement sommaire. L’intimée a appuyé la requête en jugement sommaire, sollicitant le rejet de l’action.</w:t>
            </w:r>
          </w:p>
          <w:p w:rsidR="00424A9D" w:rsidRPr="00424A9D" w:rsidRDefault="00424A9D" w:rsidP="00424A9D">
            <w:pPr>
              <w:spacing w:line="276" w:lineRule="auto"/>
              <w:jc w:val="both"/>
              <w:rPr>
                <w:rFonts w:eastAsia="Calibri"/>
                <w:sz w:val="20"/>
                <w:lang w:val="fr-CA"/>
              </w:rPr>
            </w:pPr>
          </w:p>
          <w:p w:rsidR="00424A9D" w:rsidRPr="00424A9D" w:rsidRDefault="00424A9D" w:rsidP="00424A9D">
            <w:pPr>
              <w:spacing w:line="276" w:lineRule="auto"/>
              <w:jc w:val="both"/>
              <w:rPr>
                <w:rFonts w:eastAsia="Calibri"/>
                <w:sz w:val="20"/>
                <w:lang w:val="fr-CA"/>
              </w:rPr>
            </w:pPr>
            <w:r w:rsidRPr="00424A9D">
              <w:rPr>
                <w:rFonts w:eastAsia="Calibri"/>
                <w:sz w:val="20"/>
                <w:lang w:val="fr-CA"/>
              </w:rPr>
              <w:t>La Cour suprême de la Colombie-Britannique a prononcé un jugement sommaire et a statué que la conduite de la demanderesse constituait un motif de congédiement. Son action en congédiement injustifié a été rejetée. La Cour d’appel de la Colombie-Britannique a rejeté son appel, le juge Donald étant dissident.</w:t>
            </w:r>
          </w:p>
          <w:p w:rsidR="00424A9D" w:rsidRPr="00424A9D" w:rsidRDefault="00424A9D" w:rsidP="00424A9D">
            <w:pPr>
              <w:spacing w:line="276" w:lineRule="auto"/>
              <w:jc w:val="both"/>
              <w:rPr>
                <w:rFonts w:eastAsia="Calibri"/>
                <w:sz w:val="20"/>
                <w:lang w:val="fr-CA"/>
              </w:rPr>
            </w:pPr>
          </w:p>
        </w:tc>
      </w:tr>
      <w:tr w:rsidR="00424A9D" w:rsidRPr="006A0D3A"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27 mars 2013</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suprême de la Colombie-Britannique</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(Juge Ross)</w:t>
            </w:r>
          </w:p>
          <w:p w:rsidR="00424A9D" w:rsidRPr="00424A9D" w:rsidRDefault="006A0D3A" w:rsidP="00424A9D">
            <w:pPr>
              <w:spacing w:line="276" w:lineRule="auto"/>
              <w:jc w:val="both"/>
              <w:rPr>
                <w:rFonts w:eastAsia="Calibri"/>
                <w:sz w:val="20"/>
                <w:lang w:val="fr-CA"/>
              </w:rPr>
            </w:pPr>
            <w:hyperlink r:id="rId22" w:history="1">
              <w:r w:rsidR="00424A9D" w:rsidRPr="00424A9D">
                <w:rPr>
                  <w:rFonts w:eastAsia="Calibri"/>
                  <w:color w:val="0000FF" w:themeColor="hyperlink"/>
                  <w:sz w:val="20"/>
                  <w:u w:val="single"/>
                  <w:lang w:val="fr-CA"/>
                </w:rPr>
                <w:t>2013 BCSC 527</w:t>
              </w:r>
            </w:hyperlink>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Jugement sommaire prononcé sur requête; rejet de l’action en dommages-intérêts de la demanderesse pour congédiement injustifié</w:t>
            </w:r>
          </w:p>
          <w:p w:rsidR="00424A9D" w:rsidRPr="00424A9D" w:rsidRDefault="00424A9D" w:rsidP="00424A9D">
            <w:pPr>
              <w:spacing w:line="276" w:lineRule="auto"/>
              <w:jc w:val="both"/>
              <w:rPr>
                <w:rFonts w:eastAsia="Calibri"/>
                <w:sz w:val="20"/>
                <w:lang w:val="fr-CA"/>
              </w:rPr>
            </w:pPr>
          </w:p>
        </w:tc>
      </w:tr>
      <w:tr w:rsidR="00424A9D" w:rsidRPr="00424A9D" w:rsidTr="00424A9D">
        <w:tc>
          <w:tcPr>
            <w:tcW w:w="2427" w:type="pct"/>
            <w:gridSpan w:val="2"/>
          </w:tcPr>
          <w:p w:rsidR="00424A9D" w:rsidRPr="00424A9D" w:rsidRDefault="00424A9D" w:rsidP="00424A9D">
            <w:pPr>
              <w:spacing w:line="276" w:lineRule="auto"/>
              <w:jc w:val="both"/>
              <w:rPr>
                <w:rFonts w:eastAsia="Calibri"/>
                <w:sz w:val="20"/>
                <w:lang w:val="fr-CA"/>
              </w:rPr>
            </w:pPr>
            <w:r w:rsidRPr="00424A9D">
              <w:rPr>
                <w:rFonts w:eastAsia="Calibri"/>
                <w:sz w:val="20"/>
                <w:lang w:val="fr-CA"/>
              </w:rPr>
              <w:t>20 mars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d’appel de la Colombie-Britannique</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(Vancouver)</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 xml:space="preserve">(Juges Donald (dissident), Harris et </w:t>
            </w:r>
            <w:proofErr w:type="spellStart"/>
            <w:r w:rsidRPr="00424A9D">
              <w:rPr>
                <w:rFonts w:eastAsia="Calibri"/>
                <w:sz w:val="20"/>
                <w:lang w:val="fr-CA"/>
              </w:rPr>
              <w:t>Goepel</w:t>
            </w:r>
            <w:proofErr w:type="spellEnd"/>
            <w:r w:rsidRPr="00424A9D">
              <w:rPr>
                <w:rFonts w:eastAsia="Calibri"/>
                <w:sz w:val="20"/>
                <w:lang w:val="fr-CA"/>
              </w:rPr>
              <w:t>)</w:t>
            </w:r>
          </w:p>
          <w:p w:rsidR="00424A9D" w:rsidRPr="00424A9D" w:rsidRDefault="006A0D3A" w:rsidP="00424A9D">
            <w:pPr>
              <w:spacing w:line="276" w:lineRule="auto"/>
              <w:jc w:val="both"/>
              <w:rPr>
                <w:rFonts w:eastAsia="Calibri"/>
                <w:sz w:val="20"/>
                <w:lang w:val="fr-CA"/>
              </w:rPr>
            </w:pPr>
            <w:hyperlink r:id="rId23" w:history="1">
              <w:r w:rsidR="00424A9D" w:rsidRPr="00424A9D">
                <w:rPr>
                  <w:rFonts w:eastAsia="Calibri"/>
                  <w:color w:val="0000FF" w:themeColor="hyperlink"/>
                  <w:sz w:val="20"/>
                  <w:u w:val="single"/>
                  <w:lang w:val="fr-CA"/>
                </w:rPr>
                <w:t>2015 BCCA 127</w:t>
              </w:r>
            </w:hyperlink>
            <w:r w:rsidR="00424A9D" w:rsidRPr="00424A9D">
              <w:rPr>
                <w:rFonts w:eastAsia="Calibri"/>
                <w:sz w:val="20"/>
                <w:lang w:val="fr-CA"/>
              </w:rPr>
              <w:t>; CA040816</w:t>
            </w:r>
          </w:p>
          <w:p w:rsidR="00424A9D" w:rsidRPr="00424A9D" w:rsidRDefault="00424A9D" w:rsidP="00424A9D">
            <w:pPr>
              <w:spacing w:line="276" w:lineRule="auto"/>
              <w:jc w:val="both"/>
              <w:rPr>
                <w:rFonts w:eastAsia="Calibri"/>
                <w:sz w:val="20"/>
                <w:lang w:val="fr-CA"/>
              </w:rPr>
            </w:pPr>
          </w:p>
        </w:tc>
        <w:tc>
          <w:tcPr>
            <w:tcW w:w="243" w:type="pct"/>
          </w:tcPr>
          <w:p w:rsidR="00424A9D" w:rsidRPr="00424A9D" w:rsidRDefault="00424A9D" w:rsidP="00424A9D">
            <w:pPr>
              <w:spacing w:line="276" w:lineRule="auto"/>
              <w:jc w:val="both"/>
              <w:rPr>
                <w:rFonts w:eastAsia="Calibri"/>
                <w:sz w:val="20"/>
                <w:lang w:val="fr-CA"/>
              </w:rPr>
            </w:pPr>
          </w:p>
        </w:tc>
        <w:tc>
          <w:tcPr>
            <w:tcW w:w="2330" w:type="pct"/>
          </w:tcPr>
          <w:p w:rsidR="00424A9D" w:rsidRPr="00424A9D" w:rsidRDefault="00424A9D" w:rsidP="00424A9D">
            <w:pPr>
              <w:spacing w:line="276" w:lineRule="auto"/>
              <w:jc w:val="both"/>
              <w:rPr>
                <w:rFonts w:eastAsia="Calibri"/>
                <w:sz w:val="20"/>
                <w:lang w:val="fr-CA"/>
              </w:rPr>
            </w:pPr>
            <w:r w:rsidRPr="00424A9D">
              <w:rPr>
                <w:rFonts w:eastAsia="Calibri"/>
                <w:sz w:val="20"/>
                <w:lang w:val="fr-CA"/>
              </w:rPr>
              <w:t>Rejet de l’appel</w:t>
            </w:r>
          </w:p>
          <w:p w:rsidR="00424A9D" w:rsidRPr="00424A9D" w:rsidRDefault="00424A9D" w:rsidP="00424A9D">
            <w:pPr>
              <w:spacing w:line="276" w:lineRule="auto"/>
              <w:jc w:val="both"/>
              <w:rPr>
                <w:rFonts w:eastAsia="Calibri"/>
                <w:sz w:val="20"/>
                <w:lang w:val="fr-CA"/>
              </w:rPr>
            </w:pPr>
          </w:p>
        </w:tc>
      </w:tr>
      <w:tr w:rsidR="00424A9D" w:rsidRPr="006A0D3A" w:rsidTr="00424A9D">
        <w:tc>
          <w:tcPr>
            <w:tcW w:w="2427" w:type="pct"/>
            <w:gridSpan w:val="2"/>
            <w:hideMark/>
          </w:tcPr>
          <w:p w:rsidR="00424A9D" w:rsidRPr="00424A9D" w:rsidRDefault="00424A9D" w:rsidP="00424A9D">
            <w:pPr>
              <w:spacing w:line="276" w:lineRule="auto"/>
              <w:jc w:val="both"/>
              <w:rPr>
                <w:rFonts w:eastAsia="Calibri"/>
                <w:sz w:val="20"/>
                <w:lang w:val="fr-CA"/>
              </w:rPr>
            </w:pPr>
            <w:r w:rsidRPr="00424A9D">
              <w:rPr>
                <w:rFonts w:eastAsia="Calibri"/>
                <w:sz w:val="20"/>
                <w:lang w:val="fr-CA"/>
              </w:rPr>
              <w:t>15 mai 2015</w:t>
            </w:r>
          </w:p>
          <w:p w:rsidR="00424A9D" w:rsidRPr="00424A9D" w:rsidRDefault="00424A9D" w:rsidP="00424A9D">
            <w:pPr>
              <w:spacing w:line="276" w:lineRule="auto"/>
              <w:jc w:val="both"/>
              <w:rPr>
                <w:rFonts w:eastAsia="Calibri"/>
                <w:sz w:val="20"/>
                <w:lang w:val="fr-CA"/>
              </w:rPr>
            </w:pPr>
            <w:r w:rsidRPr="00424A9D">
              <w:rPr>
                <w:rFonts w:eastAsia="Calibri"/>
                <w:sz w:val="20"/>
                <w:lang w:val="fr-CA"/>
              </w:rPr>
              <w:t>Cour suprême du Canada</w:t>
            </w:r>
          </w:p>
        </w:tc>
        <w:tc>
          <w:tcPr>
            <w:tcW w:w="243" w:type="pct"/>
          </w:tcPr>
          <w:p w:rsidR="00424A9D" w:rsidRPr="00424A9D" w:rsidRDefault="00424A9D" w:rsidP="00424A9D">
            <w:pPr>
              <w:spacing w:line="276" w:lineRule="auto"/>
              <w:jc w:val="both"/>
              <w:rPr>
                <w:rFonts w:eastAsia="Calibri"/>
                <w:sz w:val="20"/>
                <w:lang w:val="fr-CA"/>
              </w:rPr>
            </w:pPr>
          </w:p>
        </w:tc>
        <w:tc>
          <w:tcPr>
            <w:tcW w:w="2330" w:type="pct"/>
            <w:hideMark/>
          </w:tcPr>
          <w:p w:rsidR="00424A9D" w:rsidRPr="00424A9D" w:rsidRDefault="00424A9D" w:rsidP="00424A9D">
            <w:pPr>
              <w:spacing w:line="276" w:lineRule="auto"/>
              <w:jc w:val="both"/>
              <w:rPr>
                <w:rFonts w:eastAsia="Calibri"/>
                <w:sz w:val="20"/>
                <w:lang w:val="fr-CA"/>
              </w:rPr>
            </w:pPr>
            <w:r w:rsidRPr="00424A9D">
              <w:rPr>
                <w:rFonts w:eastAsia="Calibri"/>
                <w:sz w:val="20"/>
                <w:lang w:val="fr-CA"/>
              </w:rPr>
              <w:t>Dépôt de la demande d’autorisation d’appel</w:t>
            </w:r>
          </w:p>
        </w:tc>
      </w:tr>
    </w:tbl>
    <w:p w:rsidR="00424A9D" w:rsidRPr="00424A9D" w:rsidRDefault="00424A9D" w:rsidP="00424A9D">
      <w:pPr>
        <w:jc w:val="both"/>
        <w:rPr>
          <w:rFonts w:eastAsia="Calibri"/>
          <w:sz w:val="20"/>
          <w:lang w:val="fr-CA"/>
        </w:rPr>
      </w:pPr>
    </w:p>
    <w:p w:rsidR="006C30BE" w:rsidRPr="00424A9D" w:rsidRDefault="006C30BE" w:rsidP="009550BB">
      <w:pPr>
        <w:ind w:left="360" w:hanging="360"/>
        <w:jc w:val="both"/>
        <w:rPr>
          <w:sz w:val="20"/>
          <w:lang w:val="fr-CA"/>
        </w:rPr>
      </w:pPr>
    </w:p>
    <w:p w:rsidR="006C30BE" w:rsidRDefault="006C30BE" w:rsidP="009550BB">
      <w:pPr>
        <w:ind w:left="360" w:hanging="360"/>
        <w:jc w:val="both"/>
        <w:rPr>
          <w:sz w:val="20"/>
          <w:lang w:val="fr-CA"/>
        </w:rPr>
      </w:pPr>
    </w:p>
    <w:p w:rsidR="00D3344A" w:rsidRPr="004B4D42" w:rsidRDefault="00D3344A" w:rsidP="00D3344A">
      <w:pPr>
        <w:widowControl w:val="0"/>
        <w:outlineLvl w:val="0"/>
      </w:pPr>
      <w:r w:rsidRPr="004B4D42">
        <w:lastRenderedPageBreak/>
        <w:t xml:space="preserve">Supreme Court of Canada / Cour </w:t>
      </w:r>
      <w:proofErr w:type="spellStart"/>
      <w:r w:rsidRPr="004B4D42">
        <w:t>suprême</w:t>
      </w:r>
      <w:proofErr w:type="spellEnd"/>
      <w:r w:rsidRPr="004B4D42">
        <w:t xml:space="preserve"> du Canada : </w:t>
      </w:r>
    </w:p>
    <w:p w:rsidR="00D3344A" w:rsidRPr="004B4D42" w:rsidRDefault="006A0D3A" w:rsidP="00D3344A">
      <w:pPr>
        <w:widowControl w:val="0"/>
        <w:outlineLvl w:val="0"/>
        <w:rPr>
          <w:u w:val="single"/>
        </w:rPr>
      </w:pPr>
      <w:hyperlink r:id="rId24"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424A9D" w:rsidRPr="004B4D42" w:rsidRDefault="00424A9D">
      <w:pPr>
        <w:pStyle w:val="Footer"/>
        <w:jc w:val="center"/>
      </w:pPr>
    </w:p>
    <w:sectPr w:rsidR="00424A9D" w:rsidRPr="004B4D42" w:rsidSect="0052482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E39C6"/>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5AD"/>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4A9D"/>
    <w:rsid w:val="00425B31"/>
    <w:rsid w:val="00426976"/>
    <w:rsid w:val="00427722"/>
    <w:rsid w:val="00427F4F"/>
    <w:rsid w:val="00431779"/>
    <w:rsid w:val="00431A2A"/>
    <w:rsid w:val="00431CE6"/>
    <w:rsid w:val="00433C3E"/>
    <w:rsid w:val="00434B56"/>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0D3A"/>
    <w:rsid w:val="006A21CC"/>
    <w:rsid w:val="006A3856"/>
    <w:rsid w:val="006A438F"/>
    <w:rsid w:val="006A503A"/>
    <w:rsid w:val="006A7FA7"/>
    <w:rsid w:val="006B1C34"/>
    <w:rsid w:val="006B293F"/>
    <w:rsid w:val="006B35F3"/>
    <w:rsid w:val="006B40C1"/>
    <w:rsid w:val="006B6A20"/>
    <w:rsid w:val="006C1EDD"/>
    <w:rsid w:val="006C2F5C"/>
    <w:rsid w:val="006C30BE"/>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5979337">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56920562">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07430583">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66991849">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1415583">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5337124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48783527">
      <w:bodyDiv w:val="1"/>
      <w:marLeft w:val="0"/>
      <w:marRight w:val="0"/>
      <w:marTop w:val="0"/>
      <w:marBottom w:val="0"/>
      <w:divBdr>
        <w:top w:val="none" w:sz="0" w:space="0" w:color="auto"/>
        <w:left w:val="none" w:sz="0" w:space="0" w:color="auto"/>
        <w:bottom w:val="none" w:sz="0" w:space="0" w:color="auto"/>
        <w:right w:val="none" w:sz="0" w:space="0" w:color="auto"/>
      </w:divBdr>
    </w:div>
    <w:div w:id="1674994250">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18774599">
      <w:bodyDiv w:val="1"/>
      <w:marLeft w:val="0"/>
      <w:marRight w:val="0"/>
      <w:marTop w:val="0"/>
      <w:marBottom w:val="0"/>
      <w:divBdr>
        <w:top w:val="none" w:sz="0" w:space="0" w:color="auto"/>
        <w:left w:val="none" w:sz="0" w:space="0" w:color="auto"/>
        <w:bottom w:val="none" w:sz="0" w:space="0" w:color="auto"/>
        <w:right w:val="none" w:sz="0" w:space="0" w:color="auto"/>
      </w:divBdr>
    </w:div>
    <w:div w:id="1725105495">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84514214">
      <w:bodyDiv w:val="1"/>
      <w:marLeft w:val="0"/>
      <w:marRight w:val="0"/>
      <w:marTop w:val="0"/>
      <w:marBottom w:val="0"/>
      <w:divBdr>
        <w:top w:val="none" w:sz="0" w:space="0" w:color="auto"/>
        <w:left w:val="none" w:sz="0" w:space="0" w:color="auto"/>
        <w:bottom w:val="none" w:sz="0" w:space="0" w:color="auto"/>
        <w:right w:val="none" w:sz="0" w:space="0" w:color="auto"/>
      </w:divBdr>
    </w:div>
    <w:div w:id="188717559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363" TargetMode="External"/><Relationship Id="rId13" Type="http://schemas.openxmlformats.org/officeDocument/2006/relationships/hyperlink" Target="http://www.canlii.org/en/on/onca/doc/2015/2015onca55/2015onca55.html?autocompleteStr=2015%20ONCA%2055&amp;autocompletePos=1" TargetMode="External"/><Relationship Id="rId18" Type="http://schemas.openxmlformats.org/officeDocument/2006/relationships/hyperlink" Target="http://www.canlii.org/fr/qc/qccs/doc/2013/2013qccs4132/2013qccs4132.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nlii.org/en/bc/bcca/doc/2015/2015bcca127/2015bcca127.html?autocompleteStr=2015%20BCCA%20127&amp;autocompletePos=1" TargetMode="External"/><Relationship Id="rId7" Type="http://schemas.openxmlformats.org/officeDocument/2006/relationships/endnotes" Target="endnotes.xml"/><Relationship Id="rId12" Type="http://schemas.openxmlformats.org/officeDocument/2006/relationships/hyperlink" Target="http://www.canlii.org/en/on/onsc/doc/2014/2014onsc237/2014onsc237.html?autocompleteStr=2014%20ONSC%20237&amp;autocompletePos=1" TargetMode="External"/><Relationship Id="rId17" Type="http://schemas.openxmlformats.org/officeDocument/2006/relationships/hyperlink" Target="http://www.canlii.org/fr/qc/qcca/doc/2015/2015qcca569/2015qcca569.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lii.org/fr/qc/qccs/doc/2013/2013qccs4132/2013qccs4132.html" TargetMode="External"/><Relationship Id="rId20" Type="http://schemas.openxmlformats.org/officeDocument/2006/relationships/hyperlink" Target="http://www.canlii.org/en/bc/bcsc/doc/2013/2013bcsc527/2013bcsc527.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434"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lii.org/en/on/onca/doc/2015/2015onca55/2015onca55.html?autocompleteStr=2015%20ONCA%2055&amp;autocompletePos=1" TargetMode="External"/><Relationship Id="rId23" Type="http://schemas.openxmlformats.org/officeDocument/2006/relationships/hyperlink" Target="http://www.canlii.org/en/bc/bcca/doc/2015/2015bcca127/2015bcca127.html?autocompleteStr=2015%20BCCA%20127&amp;autocompletePos=1" TargetMode="External"/><Relationship Id="rId28" Type="http://schemas.openxmlformats.org/officeDocument/2006/relationships/footer" Target="footer2.xml"/><Relationship Id="rId10" Type="http://schemas.openxmlformats.org/officeDocument/2006/relationships/hyperlink" Target="http://www.scc-csc.ca/case-dossier/info/sum-som-fra.aspx?cas=36453" TargetMode="External"/><Relationship Id="rId19" Type="http://schemas.openxmlformats.org/officeDocument/2006/relationships/hyperlink" Target="http://www.canlii.org/fr/qc/qcca/doc/2015/2015qcca569/2015qcca569.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fra.aspx?cas=36443" TargetMode="External"/><Relationship Id="rId14" Type="http://schemas.openxmlformats.org/officeDocument/2006/relationships/hyperlink" Target="http://www.canlii.org/en/on/onsc/doc/2014/2014onsc237/2014onsc237.html?autocompleteStr=2014%20ONSC%20237&amp;autocompletePos=1" TargetMode="External"/><Relationship Id="rId22" Type="http://schemas.openxmlformats.org/officeDocument/2006/relationships/hyperlink" Target="http://www.canlii.org/en/bc/bcsc/doc/2013/2013bcsc527/2013bcsc527.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D0EFB-BEC0-4428-9D40-D6B4547F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2015-09-14T15:53:00Z</dcterms:created>
  <dcterms:modified xsi:type="dcterms:W3CDTF">2015-11-27T15:11:00Z</dcterms:modified>
</cp:coreProperties>
</file>