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bookmarkStart w:id="0" w:name="_GoBack"/>
      <w:bookmarkEnd w:id="0"/>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0B6193" w:rsidP="006F2579">
      <w:pPr>
        <w:widowControl w:val="0"/>
        <w:rPr>
          <w:b/>
        </w:rPr>
      </w:pPr>
      <w:r>
        <w:rPr>
          <w:b/>
        </w:rPr>
        <w:t xml:space="preserve">September </w:t>
      </w:r>
      <w:r w:rsidR="00DB78EC">
        <w:rPr>
          <w:b/>
        </w:rPr>
        <w:t>21</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480458"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E14D31">
        <w:t xml:space="preserve">September </w:t>
      </w:r>
      <w:r w:rsidR="00461097">
        <w:t>24</w:t>
      </w:r>
      <w:r w:rsidR="00960719" w:rsidRPr="004B4D42">
        <w:t>,</w:t>
      </w:r>
      <w:r w:rsidR="002F38D7" w:rsidRPr="004B4D42">
        <w:t xml:space="preserve"> </w:t>
      </w:r>
      <w:r w:rsidR="006648D1" w:rsidRPr="004B4D42">
        <w:t>2015</w:t>
      </w:r>
      <w:r w:rsidRPr="004B4D42">
        <w:t xml:space="preserve">.  </w:t>
      </w:r>
      <w:r w:rsidRPr="00480458">
        <w:rPr>
          <w:lang w:val="fr-CA"/>
        </w:rPr>
        <w:t>This list is subject to change.</w:t>
      </w:r>
    </w:p>
    <w:p w:rsidR="00FF5AA4" w:rsidRPr="00480458" w:rsidRDefault="00FF5AA4" w:rsidP="006F2579">
      <w:pPr>
        <w:widowControl w:val="0"/>
        <w:rPr>
          <w:lang w:val="fr-CA"/>
        </w:rPr>
      </w:pPr>
    </w:p>
    <w:p w:rsidR="003E7471" w:rsidRPr="00480458" w:rsidRDefault="003E7471"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DB78EC">
        <w:rPr>
          <w:b/>
          <w:lang w:val="fr-CA"/>
        </w:rPr>
        <w:t>21</w:t>
      </w:r>
      <w:r w:rsidR="000B6193">
        <w:rPr>
          <w:b/>
          <w:lang w:val="fr-CA"/>
        </w:rPr>
        <w:t xml:space="preserve"> septembre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461097">
        <w:rPr>
          <w:lang w:val="fr-CA"/>
        </w:rPr>
        <w:t>24</w:t>
      </w:r>
      <w:r w:rsidR="00E14D31">
        <w:rPr>
          <w:lang w:val="fr-CA"/>
        </w:rPr>
        <w:t xml:space="preserve"> septembre</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80556B" w:rsidRDefault="0080556B" w:rsidP="009B14F4">
      <w:pPr>
        <w:widowControl w:val="0"/>
        <w:jc w:val="both"/>
        <w:rPr>
          <w:sz w:val="20"/>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E14D31" w:rsidRPr="001F2F00" w:rsidRDefault="00E14D31" w:rsidP="000B6193">
      <w:pPr>
        <w:jc w:val="both"/>
        <w:rPr>
          <w:sz w:val="20"/>
          <w:lang w:val="fr-CA"/>
        </w:rPr>
      </w:pPr>
    </w:p>
    <w:p w:rsidR="006D0C02" w:rsidRPr="006D0C02" w:rsidRDefault="006D0C02" w:rsidP="006D0C02">
      <w:pPr>
        <w:pStyle w:val="ListParagraph"/>
        <w:numPr>
          <w:ilvl w:val="0"/>
          <w:numId w:val="8"/>
        </w:numPr>
        <w:ind w:left="360"/>
        <w:jc w:val="both"/>
        <w:rPr>
          <w:sz w:val="20"/>
          <w:lang w:val="fr-CA"/>
        </w:rPr>
      </w:pPr>
      <w:r w:rsidRPr="006D0C02">
        <w:rPr>
          <w:i/>
          <w:sz w:val="20"/>
          <w:lang w:val="fr-CA"/>
        </w:rPr>
        <w:t>Peter Z. Neumann c. Comité exécutif du collège des médecins</w:t>
      </w:r>
      <w:r w:rsidRPr="006D0C02">
        <w:rPr>
          <w:sz w:val="20"/>
          <w:lang w:val="fr-CA"/>
        </w:rPr>
        <w:t xml:space="preserve"> (</w:t>
      </w:r>
      <w:proofErr w:type="spellStart"/>
      <w:r w:rsidRPr="006D0C02">
        <w:rPr>
          <w:sz w:val="20"/>
          <w:lang w:val="fr-CA"/>
        </w:rPr>
        <w:t>Qc</w:t>
      </w:r>
      <w:proofErr w:type="spellEnd"/>
      <w:r w:rsidRPr="006D0C02">
        <w:rPr>
          <w:sz w:val="20"/>
          <w:lang w:val="fr-CA"/>
        </w:rPr>
        <w:t>) (Civile) (Autorisation) (</w:t>
      </w:r>
      <w:r w:rsidR="00480458">
        <w:fldChar w:fldCharType="begin"/>
      </w:r>
      <w:r w:rsidR="00480458" w:rsidRPr="00480458">
        <w:rPr>
          <w:lang w:val="fr-CA"/>
        </w:rPr>
        <w:instrText xml:space="preserve"> HYPERLINK "http://www.scc-csc.ca</w:instrText>
      </w:r>
      <w:r w:rsidR="00480458" w:rsidRPr="00480458">
        <w:rPr>
          <w:lang w:val="fr-CA"/>
        </w:rPr>
        <w:instrText xml:space="preserve">/case-dossier/info/sum-som-fra.aspx?cas=36374" </w:instrText>
      </w:r>
      <w:r w:rsidR="00480458">
        <w:fldChar w:fldCharType="separate"/>
      </w:r>
      <w:r w:rsidRPr="001D1E16">
        <w:rPr>
          <w:rStyle w:val="Hyperlink"/>
          <w:sz w:val="20"/>
          <w:lang w:val="fr-CA"/>
        </w:rPr>
        <w:t>36374</w:t>
      </w:r>
      <w:r w:rsidR="00480458">
        <w:rPr>
          <w:rStyle w:val="Hyperlink"/>
          <w:sz w:val="20"/>
          <w:lang w:val="fr-CA"/>
        </w:rPr>
        <w:fldChar w:fldCharType="end"/>
      </w:r>
      <w:r w:rsidRPr="006D0C02">
        <w:rPr>
          <w:sz w:val="20"/>
          <w:lang w:val="fr-CA"/>
        </w:rPr>
        <w:t>)</w:t>
      </w:r>
    </w:p>
    <w:p w:rsidR="006D0C02" w:rsidRPr="006D0C02" w:rsidRDefault="006D0C02" w:rsidP="006D0C02">
      <w:pPr>
        <w:ind w:left="360" w:hanging="360"/>
        <w:jc w:val="both"/>
        <w:rPr>
          <w:sz w:val="20"/>
          <w:lang w:val="fr-CA"/>
        </w:rPr>
      </w:pPr>
    </w:p>
    <w:p w:rsidR="006D0C02" w:rsidRPr="006D0C02" w:rsidRDefault="006D0C02" w:rsidP="006D0C02">
      <w:pPr>
        <w:pStyle w:val="NoSpacing"/>
        <w:numPr>
          <w:ilvl w:val="0"/>
          <w:numId w:val="8"/>
        </w:numPr>
        <w:ind w:left="360"/>
        <w:jc w:val="both"/>
        <w:rPr>
          <w:sz w:val="20"/>
          <w:szCs w:val="20"/>
        </w:rPr>
      </w:pPr>
      <w:proofErr w:type="spellStart"/>
      <w:r w:rsidRPr="006D0C02">
        <w:rPr>
          <w:i/>
          <w:sz w:val="20"/>
          <w:szCs w:val="20"/>
        </w:rPr>
        <w:t>Navin</w:t>
      </w:r>
      <w:proofErr w:type="spellEnd"/>
      <w:r w:rsidRPr="006D0C02">
        <w:rPr>
          <w:i/>
          <w:sz w:val="20"/>
          <w:szCs w:val="20"/>
        </w:rPr>
        <w:t xml:space="preserve"> Joshi v. Canadian Imperial Bank of Commerce </w:t>
      </w:r>
      <w:r w:rsidRPr="006D0C02">
        <w:rPr>
          <w:sz w:val="20"/>
          <w:szCs w:val="20"/>
        </w:rPr>
        <w:t>(F</w:t>
      </w:r>
      <w:r w:rsidR="006803A0">
        <w:rPr>
          <w:sz w:val="20"/>
          <w:szCs w:val="20"/>
        </w:rPr>
        <w:t>.</w:t>
      </w:r>
      <w:r w:rsidRPr="006D0C02">
        <w:rPr>
          <w:sz w:val="20"/>
          <w:szCs w:val="20"/>
        </w:rPr>
        <w:t>C</w:t>
      </w:r>
      <w:r w:rsidR="006803A0">
        <w:rPr>
          <w:sz w:val="20"/>
          <w:szCs w:val="20"/>
        </w:rPr>
        <w:t>.</w:t>
      </w:r>
      <w:r w:rsidRPr="006D0C02">
        <w:rPr>
          <w:sz w:val="20"/>
          <w:szCs w:val="20"/>
        </w:rPr>
        <w:t>) (Civil) (By Leave) (</w:t>
      </w:r>
      <w:hyperlink r:id="rId8" w:history="1">
        <w:r w:rsidRPr="001D1E16">
          <w:rPr>
            <w:rStyle w:val="Hyperlink"/>
            <w:sz w:val="20"/>
            <w:szCs w:val="20"/>
          </w:rPr>
          <w:t>36440</w:t>
        </w:r>
      </w:hyperlink>
      <w:r w:rsidRPr="006D0C02">
        <w:rPr>
          <w:sz w:val="20"/>
          <w:szCs w:val="20"/>
        </w:rPr>
        <w:t>)</w:t>
      </w:r>
    </w:p>
    <w:p w:rsidR="006D0C02" w:rsidRPr="006D0C02" w:rsidRDefault="006D0C02" w:rsidP="006D0C02">
      <w:pPr>
        <w:pStyle w:val="NoSpacing"/>
        <w:ind w:left="360" w:hanging="360"/>
        <w:jc w:val="both"/>
        <w:rPr>
          <w:sz w:val="20"/>
          <w:szCs w:val="20"/>
          <w:lang w:val="en-CA"/>
        </w:rPr>
      </w:pPr>
    </w:p>
    <w:p w:rsidR="006D0C02" w:rsidRPr="006D0C02" w:rsidRDefault="006D0C02" w:rsidP="006D0C02">
      <w:pPr>
        <w:pStyle w:val="NoSpacing"/>
        <w:numPr>
          <w:ilvl w:val="0"/>
          <w:numId w:val="8"/>
        </w:numPr>
        <w:ind w:left="360"/>
        <w:jc w:val="both"/>
        <w:rPr>
          <w:sz w:val="20"/>
          <w:szCs w:val="20"/>
        </w:rPr>
      </w:pPr>
      <w:proofErr w:type="spellStart"/>
      <w:r w:rsidRPr="006D0C02">
        <w:rPr>
          <w:i/>
          <w:sz w:val="20"/>
          <w:szCs w:val="20"/>
        </w:rPr>
        <w:t>Navin</w:t>
      </w:r>
      <w:proofErr w:type="spellEnd"/>
      <w:r w:rsidRPr="006D0C02">
        <w:rPr>
          <w:i/>
          <w:sz w:val="20"/>
          <w:szCs w:val="20"/>
        </w:rPr>
        <w:t xml:space="preserve"> Joshi v. Canadian Imperial Bank of Commerce </w:t>
      </w:r>
      <w:r w:rsidRPr="006D0C02">
        <w:rPr>
          <w:sz w:val="20"/>
          <w:szCs w:val="20"/>
        </w:rPr>
        <w:t>(F</w:t>
      </w:r>
      <w:r w:rsidR="006803A0">
        <w:rPr>
          <w:sz w:val="20"/>
          <w:szCs w:val="20"/>
        </w:rPr>
        <w:t>.</w:t>
      </w:r>
      <w:r w:rsidRPr="006D0C02">
        <w:rPr>
          <w:sz w:val="20"/>
          <w:szCs w:val="20"/>
        </w:rPr>
        <w:t>C</w:t>
      </w:r>
      <w:r w:rsidR="006803A0">
        <w:rPr>
          <w:sz w:val="20"/>
          <w:szCs w:val="20"/>
        </w:rPr>
        <w:t>.</w:t>
      </w:r>
      <w:r w:rsidRPr="006D0C02">
        <w:rPr>
          <w:sz w:val="20"/>
          <w:szCs w:val="20"/>
        </w:rPr>
        <w:t>) (Civil) (By Leave) (</w:t>
      </w:r>
      <w:hyperlink r:id="rId9" w:history="1">
        <w:r w:rsidRPr="001D1E16">
          <w:rPr>
            <w:rStyle w:val="Hyperlink"/>
            <w:sz w:val="20"/>
            <w:szCs w:val="20"/>
          </w:rPr>
          <w:t>36439</w:t>
        </w:r>
      </w:hyperlink>
      <w:r w:rsidRPr="006D0C02">
        <w:rPr>
          <w:sz w:val="20"/>
          <w:szCs w:val="20"/>
        </w:rPr>
        <w:t>)</w:t>
      </w:r>
    </w:p>
    <w:p w:rsidR="006D0C02" w:rsidRPr="006D0C02" w:rsidRDefault="006D0C02" w:rsidP="006D0C02">
      <w:pPr>
        <w:ind w:left="360" w:hanging="360"/>
        <w:jc w:val="both"/>
        <w:rPr>
          <w:sz w:val="20"/>
        </w:rPr>
      </w:pPr>
    </w:p>
    <w:p w:rsidR="006D0C02" w:rsidRPr="006D0C02" w:rsidRDefault="006D0C02" w:rsidP="006D0C02">
      <w:pPr>
        <w:pStyle w:val="NoSpacing"/>
        <w:numPr>
          <w:ilvl w:val="0"/>
          <w:numId w:val="8"/>
        </w:numPr>
        <w:ind w:left="360"/>
        <w:jc w:val="both"/>
        <w:rPr>
          <w:sz w:val="20"/>
          <w:szCs w:val="20"/>
          <w:lang w:val="fr-CA"/>
        </w:rPr>
      </w:pPr>
      <w:r w:rsidRPr="006D0C02">
        <w:rPr>
          <w:i/>
          <w:sz w:val="20"/>
          <w:szCs w:val="20"/>
          <w:lang w:val="fr-CA"/>
        </w:rPr>
        <w:t xml:space="preserve">Véronique Dion et </w:t>
      </w:r>
      <w:r w:rsidR="006803A0">
        <w:rPr>
          <w:i/>
          <w:sz w:val="20"/>
          <w:szCs w:val="20"/>
          <w:lang w:val="fr-CA"/>
        </w:rPr>
        <w:t>autres</w:t>
      </w:r>
      <w:r w:rsidRPr="006D0C02">
        <w:rPr>
          <w:i/>
          <w:sz w:val="20"/>
          <w:szCs w:val="20"/>
          <w:lang w:val="fr-CA"/>
        </w:rPr>
        <w:t xml:space="preserve">. c. Compagnie de services de financement Automobile Primus Canada et </w:t>
      </w:r>
      <w:r w:rsidR="006803A0">
        <w:rPr>
          <w:i/>
          <w:sz w:val="20"/>
          <w:szCs w:val="20"/>
          <w:lang w:val="fr-CA"/>
        </w:rPr>
        <w:t>autres</w:t>
      </w:r>
      <w:r w:rsidRPr="006D0C02">
        <w:rPr>
          <w:i/>
          <w:sz w:val="20"/>
          <w:szCs w:val="20"/>
          <w:lang w:val="fr-CA"/>
        </w:rPr>
        <w:t xml:space="preserve"> </w:t>
      </w:r>
      <w:r w:rsidRPr="006D0C02">
        <w:rPr>
          <w:sz w:val="20"/>
          <w:szCs w:val="20"/>
          <w:lang w:val="fr-CA"/>
        </w:rPr>
        <w:t>(</w:t>
      </w:r>
      <w:proofErr w:type="spellStart"/>
      <w:r w:rsidRPr="006D0C02">
        <w:rPr>
          <w:sz w:val="20"/>
          <w:szCs w:val="20"/>
          <w:lang w:val="fr-CA"/>
        </w:rPr>
        <w:t>Qc</w:t>
      </w:r>
      <w:proofErr w:type="spellEnd"/>
      <w:r w:rsidRPr="006D0C02">
        <w:rPr>
          <w:sz w:val="20"/>
          <w:szCs w:val="20"/>
          <w:lang w:val="fr-CA"/>
        </w:rPr>
        <w:t>) (Civile) (Autorisation) (</w:t>
      </w:r>
      <w:r w:rsidR="00480458">
        <w:fldChar w:fldCharType="begin"/>
      </w:r>
      <w:r w:rsidR="00480458" w:rsidRPr="00480458">
        <w:rPr>
          <w:lang w:val="fr-CA"/>
        </w:rPr>
        <w:instrText xml:space="preserve"> HYPERLINK "http://www.scc-csc.ca</w:instrText>
      </w:r>
      <w:r w:rsidR="00480458" w:rsidRPr="00480458">
        <w:rPr>
          <w:lang w:val="fr-CA"/>
        </w:rPr>
        <w:instrText xml:space="preserve">/case-dossier/info/sum-som-fra.aspx?cas=36392" </w:instrText>
      </w:r>
      <w:r w:rsidR="00480458">
        <w:fldChar w:fldCharType="separate"/>
      </w:r>
      <w:r w:rsidRPr="001D1E16">
        <w:rPr>
          <w:rStyle w:val="Hyperlink"/>
          <w:sz w:val="20"/>
          <w:szCs w:val="20"/>
          <w:lang w:val="fr-CA"/>
        </w:rPr>
        <w:t>36392</w:t>
      </w:r>
      <w:r w:rsidR="00480458">
        <w:rPr>
          <w:rStyle w:val="Hyperlink"/>
          <w:sz w:val="20"/>
          <w:szCs w:val="20"/>
          <w:lang w:val="fr-CA"/>
        </w:rPr>
        <w:fldChar w:fldCharType="end"/>
      </w:r>
      <w:r w:rsidRPr="006D0C02">
        <w:rPr>
          <w:sz w:val="20"/>
          <w:szCs w:val="20"/>
          <w:lang w:val="fr-CA"/>
        </w:rPr>
        <w:t>)</w:t>
      </w:r>
    </w:p>
    <w:p w:rsidR="006D0C02" w:rsidRPr="006D0C02" w:rsidRDefault="006D0C02" w:rsidP="006D0C02">
      <w:pPr>
        <w:pStyle w:val="NoSpacing"/>
        <w:ind w:left="360" w:hanging="360"/>
        <w:jc w:val="both"/>
        <w:rPr>
          <w:sz w:val="20"/>
          <w:szCs w:val="20"/>
          <w:lang w:val="fr-CA"/>
        </w:rPr>
      </w:pPr>
    </w:p>
    <w:p w:rsidR="006D0C02" w:rsidRPr="006D0C02" w:rsidRDefault="006D0C02" w:rsidP="006D0C02">
      <w:pPr>
        <w:pStyle w:val="NoSpacing"/>
        <w:numPr>
          <w:ilvl w:val="0"/>
          <w:numId w:val="8"/>
        </w:numPr>
        <w:ind w:left="360"/>
        <w:jc w:val="both"/>
        <w:rPr>
          <w:sz w:val="20"/>
          <w:szCs w:val="20"/>
        </w:rPr>
      </w:pPr>
      <w:r w:rsidRPr="006D0C02">
        <w:rPr>
          <w:i/>
          <w:sz w:val="20"/>
          <w:szCs w:val="20"/>
          <w:lang w:val="fr-CA"/>
        </w:rPr>
        <w:t xml:space="preserve">Immeubles H.T.H. </w:t>
      </w:r>
      <w:proofErr w:type="spellStart"/>
      <w:r w:rsidRPr="006D0C02">
        <w:rPr>
          <w:i/>
          <w:sz w:val="20"/>
          <w:szCs w:val="20"/>
          <w:lang w:val="fr-CA"/>
        </w:rPr>
        <w:t>inc.</w:t>
      </w:r>
      <w:proofErr w:type="spellEnd"/>
      <w:r w:rsidRPr="006D0C02">
        <w:rPr>
          <w:i/>
          <w:sz w:val="20"/>
          <w:szCs w:val="20"/>
          <w:lang w:val="fr-CA"/>
        </w:rPr>
        <w:t xml:space="preserve"> c. Plaza Chevrolet Buick GMC Cadillac </w:t>
      </w:r>
      <w:proofErr w:type="spellStart"/>
      <w:r w:rsidRPr="006D0C02">
        <w:rPr>
          <w:i/>
          <w:sz w:val="20"/>
          <w:szCs w:val="20"/>
          <w:lang w:val="fr-CA"/>
        </w:rPr>
        <w:t>inc.</w:t>
      </w:r>
      <w:proofErr w:type="spellEnd"/>
      <w:r w:rsidRPr="006D0C02">
        <w:rPr>
          <w:i/>
          <w:sz w:val="20"/>
          <w:szCs w:val="20"/>
          <w:lang w:val="fr-CA"/>
        </w:rPr>
        <w:t xml:space="preserve"> </w:t>
      </w:r>
      <w:r w:rsidRPr="006D0C02">
        <w:rPr>
          <w:sz w:val="20"/>
          <w:szCs w:val="20"/>
        </w:rPr>
        <w:t>(Qc) (</w:t>
      </w:r>
      <w:proofErr w:type="spellStart"/>
      <w:r w:rsidRPr="006D0C02">
        <w:rPr>
          <w:sz w:val="20"/>
          <w:szCs w:val="20"/>
        </w:rPr>
        <w:t>Civile</w:t>
      </w:r>
      <w:proofErr w:type="spellEnd"/>
      <w:r w:rsidRPr="006D0C02">
        <w:rPr>
          <w:sz w:val="20"/>
          <w:szCs w:val="20"/>
        </w:rPr>
        <w:t>) (</w:t>
      </w:r>
      <w:proofErr w:type="spellStart"/>
      <w:r w:rsidRPr="006D0C02">
        <w:rPr>
          <w:sz w:val="20"/>
          <w:szCs w:val="20"/>
        </w:rPr>
        <w:t>Autorisation</w:t>
      </w:r>
      <w:proofErr w:type="spellEnd"/>
      <w:r w:rsidRPr="006D0C02">
        <w:rPr>
          <w:sz w:val="20"/>
          <w:szCs w:val="20"/>
        </w:rPr>
        <w:t>) (</w:t>
      </w:r>
      <w:hyperlink r:id="rId10" w:history="1">
        <w:r w:rsidRPr="001D1E16">
          <w:rPr>
            <w:rStyle w:val="Hyperlink"/>
            <w:sz w:val="20"/>
            <w:szCs w:val="20"/>
          </w:rPr>
          <w:t>36381</w:t>
        </w:r>
      </w:hyperlink>
      <w:r w:rsidRPr="006D0C02">
        <w:rPr>
          <w:sz w:val="20"/>
          <w:szCs w:val="20"/>
        </w:rPr>
        <w:t>)</w:t>
      </w:r>
    </w:p>
    <w:p w:rsidR="006D0C02" w:rsidRPr="006D0C02" w:rsidRDefault="006D0C02" w:rsidP="006D0C02">
      <w:pPr>
        <w:ind w:left="360" w:hanging="360"/>
        <w:jc w:val="both"/>
        <w:rPr>
          <w:sz w:val="20"/>
          <w:u w:val="single"/>
          <w:lang w:val="en-CA"/>
        </w:rPr>
      </w:pPr>
    </w:p>
    <w:p w:rsidR="006D0C02" w:rsidRPr="006D0C02" w:rsidRDefault="006D0C02" w:rsidP="006D0C02">
      <w:pPr>
        <w:pStyle w:val="NoSpacing"/>
        <w:numPr>
          <w:ilvl w:val="0"/>
          <w:numId w:val="8"/>
        </w:numPr>
        <w:ind w:left="360"/>
        <w:jc w:val="both"/>
        <w:rPr>
          <w:sz w:val="20"/>
          <w:szCs w:val="20"/>
          <w:lang w:val="en-CA"/>
        </w:rPr>
      </w:pPr>
      <w:r w:rsidRPr="006D0C02">
        <w:rPr>
          <w:i/>
          <w:sz w:val="20"/>
          <w:szCs w:val="20"/>
          <w:lang w:val="en-CA"/>
        </w:rPr>
        <w:t>Deborah Lockyer-</w:t>
      </w:r>
      <w:proofErr w:type="spellStart"/>
      <w:r w:rsidRPr="006D0C02">
        <w:rPr>
          <w:i/>
          <w:sz w:val="20"/>
          <w:szCs w:val="20"/>
          <w:lang w:val="en-CA"/>
        </w:rPr>
        <w:t>Kash</w:t>
      </w:r>
      <w:proofErr w:type="spellEnd"/>
      <w:r w:rsidRPr="006D0C02">
        <w:rPr>
          <w:i/>
          <w:sz w:val="20"/>
          <w:szCs w:val="20"/>
          <w:lang w:val="en-CA"/>
        </w:rPr>
        <w:t xml:space="preserve"> v. Workers’ Compensation Board of British Columbia </w:t>
      </w:r>
      <w:r w:rsidRPr="006D0C02">
        <w:rPr>
          <w:sz w:val="20"/>
          <w:szCs w:val="20"/>
          <w:lang w:val="en-CA"/>
        </w:rPr>
        <w:t>(B.C.) (Civil) (By Leave) (</w:t>
      </w:r>
      <w:hyperlink r:id="rId11" w:history="1">
        <w:r w:rsidRPr="001D1E16">
          <w:rPr>
            <w:rStyle w:val="Hyperlink"/>
            <w:sz w:val="20"/>
            <w:szCs w:val="20"/>
            <w:lang w:val="en-CA"/>
          </w:rPr>
          <w:t>36375</w:t>
        </w:r>
      </w:hyperlink>
      <w:r w:rsidRPr="006D0C02">
        <w:rPr>
          <w:sz w:val="20"/>
          <w:szCs w:val="20"/>
          <w:lang w:val="en-CA"/>
        </w:rPr>
        <w:t>)</w:t>
      </w:r>
    </w:p>
    <w:p w:rsidR="006D0C02" w:rsidRPr="006D0C02" w:rsidRDefault="006D0C02" w:rsidP="006D0C02">
      <w:pPr>
        <w:pStyle w:val="NoSpacing"/>
        <w:ind w:left="360" w:hanging="360"/>
        <w:jc w:val="both"/>
        <w:rPr>
          <w:sz w:val="20"/>
          <w:szCs w:val="20"/>
          <w:lang w:val="en-CA"/>
        </w:rPr>
      </w:pPr>
    </w:p>
    <w:p w:rsidR="006D0C02" w:rsidRPr="006D0C02" w:rsidRDefault="006803A0" w:rsidP="006D0C02">
      <w:pPr>
        <w:pStyle w:val="NoSpacing"/>
        <w:numPr>
          <w:ilvl w:val="0"/>
          <w:numId w:val="8"/>
        </w:numPr>
        <w:ind w:left="360"/>
        <w:jc w:val="both"/>
        <w:rPr>
          <w:sz w:val="20"/>
          <w:szCs w:val="20"/>
          <w:lang w:val="en-CA"/>
        </w:rPr>
      </w:pPr>
      <w:proofErr w:type="spellStart"/>
      <w:r>
        <w:rPr>
          <w:i/>
          <w:sz w:val="20"/>
          <w:szCs w:val="20"/>
          <w:lang w:val="en-CA"/>
        </w:rPr>
        <w:t>Ledcor</w:t>
      </w:r>
      <w:proofErr w:type="spellEnd"/>
      <w:r>
        <w:rPr>
          <w:i/>
          <w:sz w:val="20"/>
          <w:szCs w:val="20"/>
          <w:lang w:val="en-CA"/>
        </w:rPr>
        <w:t xml:space="preserve"> Construction Limited</w:t>
      </w:r>
      <w:r w:rsidR="006D0C02" w:rsidRPr="006D0C02">
        <w:rPr>
          <w:i/>
          <w:sz w:val="20"/>
          <w:szCs w:val="20"/>
          <w:lang w:val="en-CA"/>
        </w:rPr>
        <w:t xml:space="preserve"> et al. v. Northbridge Indemnity Insurance Company et al.</w:t>
      </w:r>
      <w:r w:rsidR="006D0C02" w:rsidRPr="006D0C02">
        <w:rPr>
          <w:sz w:val="20"/>
          <w:szCs w:val="20"/>
          <w:lang w:val="en-CA"/>
        </w:rPr>
        <w:t xml:space="preserve"> (Alta.) (Civil) (By Leave) (</w:t>
      </w:r>
      <w:hyperlink r:id="rId12" w:history="1">
        <w:r w:rsidR="006D0C02" w:rsidRPr="001D1E16">
          <w:rPr>
            <w:rStyle w:val="Hyperlink"/>
            <w:sz w:val="20"/>
            <w:szCs w:val="20"/>
            <w:lang w:val="en-CA"/>
          </w:rPr>
          <w:t>36452</w:t>
        </w:r>
      </w:hyperlink>
      <w:r w:rsidR="006D0C02" w:rsidRPr="006D0C02">
        <w:rPr>
          <w:sz w:val="20"/>
          <w:szCs w:val="20"/>
          <w:lang w:val="en-CA"/>
        </w:rPr>
        <w:t>)</w:t>
      </w:r>
    </w:p>
    <w:p w:rsidR="006D0C02" w:rsidRPr="006803A0" w:rsidRDefault="006D0C02" w:rsidP="006D0C02">
      <w:pPr>
        <w:ind w:left="360" w:hanging="360"/>
        <w:jc w:val="both"/>
        <w:rPr>
          <w:sz w:val="20"/>
        </w:rPr>
      </w:pPr>
    </w:p>
    <w:p w:rsidR="006D0C02" w:rsidRPr="006D0C02" w:rsidRDefault="006D0C02" w:rsidP="006D0C02">
      <w:pPr>
        <w:pStyle w:val="ListParagraph"/>
        <w:numPr>
          <w:ilvl w:val="0"/>
          <w:numId w:val="8"/>
        </w:numPr>
        <w:ind w:left="360"/>
        <w:jc w:val="both"/>
        <w:rPr>
          <w:sz w:val="20"/>
          <w:lang w:val="fr-CA"/>
        </w:rPr>
      </w:pPr>
      <w:r w:rsidRPr="006D0C02">
        <w:rPr>
          <w:i/>
          <w:sz w:val="20"/>
          <w:lang w:val="fr-CA"/>
        </w:rPr>
        <w:t xml:space="preserve">Municipalité de Saint-Augustin et </w:t>
      </w:r>
      <w:r w:rsidR="006803A0">
        <w:rPr>
          <w:i/>
          <w:sz w:val="20"/>
          <w:lang w:val="fr-CA"/>
        </w:rPr>
        <w:t>autre</w:t>
      </w:r>
      <w:r w:rsidRPr="006D0C02">
        <w:rPr>
          <w:i/>
          <w:sz w:val="20"/>
          <w:lang w:val="fr-CA"/>
        </w:rPr>
        <w:t xml:space="preserve"> c. So</w:t>
      </w:r>
      <w:r w:rsidR="006803A0">
        <w:rPr>
          <w:i/>
          <w:sz w:val="20"/>
          <w:lang w:val="fr-CA"/>
        </w:rPr>
        <w:t>ciété des traversiers du Québec</w:t>
      </w:r>
      <w:r w:rsidRPr="006D0C02">
        <w:rPr>
          <w:i/>
          <w:sz w:val="20"/>
          <w:lang w:val="fr-CA"/>
        </w:rPr>
        <w:t xml:space="preserve"> et </w:t>
      </w:r>
      <w:r w:rsidR="006803A0">
        <w:rPr>
          <w:i/>
          <w:sz w:val="20"/>
          <w:lang w:val="fr-CA"/>
        </w:rPr>
        <w:t>autre</w:t>
      </w:r>
      <w:r w:rsidRPr="006D0C02">
        <w:rPr>
          <w:sz w:val="20"/>
          <w:lang w:val="fr-CA"/>
        </w:rPr>
        <w:t xml:space="preserve"> (</w:t>
      </w:r>
      <w:proofErr w:type="spellStart"/>
      <w:r w:rsidRPr="006D0C02">
        <w:rPr>
          <w:sz w:val="20"/>
          <w:lang w:val="fr-CA"/>
        </w:rPr>
        <w:t>Qc</w:t>
      </w:r>
      <w:proofErr w:type="spellEnd"/>
      <w:r w:rsidRPr="006D0C02">
        <w:rPr>
          <w:sz w:val="20"/>
          <w:lang w:val="fr-CA"/>
        </w:rPr>
        <w:t>) (Civile) (Autorisation) (</w:t>
      </w:r>
      <w:r w:rsidR="00480458">
        <w:fldChar w:fldCharType="begin"/>
      </w:r>
      <w:r w:rsidR="00480458" w:rsidRPr="00480458">
        <w:rPr>
          <w:lang w:val="fr-CA"/>
        </w:rPr>
        <w:instrText xml:space="preserve"> HYPERLINK "http://www.scc-csc.ca</w:instrText>
      </w:r>
      <w:r w:rsidR="00480458" w:rsidRPr="00480458">
        <w:rPr>
          <w:lang w:val="fr-CA"/>
        </w:rPr>
        <w:instrText xml:space="preserve">/case-dossier/info/sum-som-fra.aspx?cas=36340" </w:instrText>
      </w:r>
      <w:r w:rsidR="00480458">
        <w:fldChar w:fldCharType="separate"/>
      </w:r>
      <w:r w:rsidRPr="001D1E16">
        <w:rPr>
          <w:rStyle w:val="Hyperlink"/>
          <w:sz w:val="20"/>
          <w:lang w:val="fr-CA"/>
        </w:rPr>
        <w:t>36340</w:t>
      </w:r>
      <w:r w:rsidR="00480458">
        <w:rPr>
          <w:rStyle w:val="Hyperlink"/>
          <w:sz w:val="20"/>
          <w:lang w:val="fr-CA"/>
        </w:rPr>
        <w:fldChar w:fldCharType="end"/>
      </w:r>
      <w:r w:rsidRPr="006D0C02">
        <w:rPr>
          <w:sz w:val="20"/>
          <w:lang w:val="fr-CA"/>
        </w:rPr>
        <w:t>)</w:t>
      </w:r>
    </w:p>
    <w:p w:rsidR="006D0C02" w:rsidRPr="006D0C02" w:rsidRDefault="006D0C02" w:rsidP="006D0C02">
      <w:pPr>
        <w:ind w:left="360" w:hanging="360"/>
        <w:jc w:val="both"/>
        <w:rPr>
          <w:sz w:val="20"/>
          <w:lang w:val="fr-CA"/>
        </w:rPr>
      </w:pPr>
    </w:p>
    <w:p w:rsidR="006D0C02" w:rsidRPr="006803A0" w:rsidRDefault="006D0C02" w:rsidP="006D0C02">
      <w:pPr>
        <w:pStyle w:val="ListParagraph"/>
        <w:numPr>
          <w:ilvl w:val="0"/>
          <w:numId w:val="8"/>
        </w:numPr>
        <w:ind w:left="360"/>
        <w:jc w:val="both"/>
        <w:rPr>
          <w:sz w:val="20"/>
          <w:lang w:val="fr-CA"/>
        </w:rPr>
      </w:pPr>
      <w:r w:rsidRPr="006803A0">
        <w:rPr>
          <w:i/>
          <w:sz w:val="20"/>
          <w:lang w:val="fr-CA"/>
        </w:rPr>
        <w:t>Rayn</w:t>
      </w:r>
      <w:r w:rsidR="006803A0" w:rsidRPr="006803A0">
        <w:rPr>
          <w:i/>
          <w:sz w:val="20"/>
          <w:lang w:val="fr-CA"/>
        </w:rPr>
        <w:t>ald Grenier c. Daniel St-Hilaire</w:t>
      </w:r>
      <w:r w:rsidRPr="006803A0">
        <w:rPr>
          <w:i/>
          <w:sz w:val="20"/>
          <w:lang w:val="fr-CA"/>
        </w:rPr>
        <w:t xml:space="preserve"> et</w:t>
      </w:r>
      <w:r w:rsidR="006803A0" w:rsidRPr="006803A0">
        <w:rPr>
          <w:i/>
          <w:sz w:val="20"/>
          <w:lang w:val="fr-CA"/>
        </w:rPr>
        <w:t xml:space="preserve"> autre</w:t>
      </w:r>
      <w:r w:rsidRPr="006803A0">
        <w:rPr>
          <w:sz w:val="20"/>
          <w:lang w:val="fr-CA"/>
        </w:rPr>
        <w:t xml:space="preserve"> (</w:t>
      </w:r>
      <w:proofErr w:type="spellStart"/>
      <w:r w:rsidRPr="006803A0">
        <w:rPr>
          <w:sz w:val="20"/>
          <w:lang w:val="fr-CA"/>
        </w:rPr>
        <w:t>Qc</w:t>
      </w:r>
      <w:proofErr w:type="spellEnd"/>
      <w:r w:rsidRPr="006803A0">
        <w:rPr>
          <w:sz w:val="20"/>
          <w:lang w:val="fr-CA"/>
        </w:rPr>
        <w:t>) (Civile) (Autorisation) (</w:t>
      </w:r>
      <w:r w:rsidR="00480458">
        <w:fldChar w:fldCharType="begin"/>
      </w:r>
      <w:r w:rsidR="00480458" w:rsidRPr="00480458">
        <w:rPr>
          <w:lang w:val="fr-CA"/>
        </w:rPr>
        <w:instrText xml:space="preserve"> HYPERLINK "http://www.scc-csc.ca</w:instrText>
      </w:r>
      <w:r w:rsidR="00480458" w:rsidRPr="00480458">
        <w:rPr>
          <w:lang w:val="fr-CA"/>
        </w:rPr>
        <w:instrText xml:space="preserve">/case-dossier/info/sum-som-fra.aspx?cas=36355" </w:instrText>
      </w:r>
      <w:r w:rsidR="00480458">
        <w:fldChar w:fldCharType="separate"/>
      </w:r>
      <w:r w:rsidRPr="001D1E16">
        <w:rPr>
          <w:rStyle w:val="Hyperlink"/>
          <w:sz w:val="20"/>
          <w:lang w:val="fr-CA"/>
        </w:rPr>
        <w:t>36355</w:t>
      </w:r>
      <w:r w:rsidR="00480458">
        <w:rPr>
          <w:rStyle w:val="Hyperlink"/>
          <w:sz w:val="20"/>
          <w:lang w:val="fr-CA"/>
        </w:rPr>
        <w:fldChar w:fldCharType="end"/>
      </w:r>
      <w:r w:rsidRPr="006803A0">
        <w:rPr>
          <w:sz w:val="20"/>
          <w:lang w:val="fr-CA"/>
        </w:rPr>
        <w:t>)</w:t>
      </w:r>
    </w:p>
    <w:p w:rsidR="006D0C02" w:rsidRPr="006803A0" w:rsidRDefault="006D0C02" w:rsidP="006D0C02">
      <w:pPr>
        <w:ind w:left="360" w:hanging="360"/>
        <w:jc w:val="both"/>
        <w:rPr>
          <w:sz w:val="20"/>
          <w:lang w:val="fr-CA"/>
        </w:rPr>
      </w:pPr>
    </w:p>
    <w:p w:rsidR="006D0C02" w:rsidRPr="006D0C02" w:rsidRDefault="006D0C02" w:rsidP="006D0C02">
      <w:pPr>
        <w:pStyle w:val="ListParagraph"/>
        <w:numPr>
          <w:ilvl w:val="0"/>
          <w:numId w:val="8"/>
        </w:numPr>
        <w:ind w:left="360"/>
        <w:jc w:val="both"/>
        <w:rPr>
          <w:sz w:val="20"/>
        </w:rPr>
      </w:pPr>
      <w:r w:rsidRPr="006D0C02">
        <w:rPr>
          <w:i/>
          <w:sz w:val="20"/>
        </w:rPr>
        <w:t>Tong Sang Lai v. Minister of Public Safety and Emergency Preparedness</w:t>
      </w:r>
      <w:r w:rsidRPr="006D0C02">
        <w:rPr>
          <w:sz w:val="20"/>
        </w:rPr>
        <w:t xml:space="preserve"> (</w:t>
      </w:r>
      <w:r w:rsidR="006803A0">
        <w:rPr>
          <w:sz w:val="20"/>
        </w:rPr>
        <w:t>F.C.</w:t>
      </w:r>
      <w:r w:rsidRPr="006D0C02">
        <w:rPr>
          <w:sz w:val="20"/>
        </w:rPr>
        <w:t>) (Civil) (By Leave) (</w:t>
      </w:r>
      <w:hyperlink r:id="rId13" w:history="1">
        <w:r w:rsidRPr="001D1E16">
          <w:rPr>
            <w:rStyle w:val="Hyperlink"/>
            <w:sz w:val="20"/>
          </w:rPr>
          <w:t>36361</w:t>
        </w:r>
      </w:hyperlink>
      <w:r w:rsidRPr="006D0C02">
        <w:rPr>
          <w:sz w:val="20"/>
        </w:rPr>
        <w:t>)</w:t>
      </w:r>
    </w:p>
    <w:p w:rsidR="006D0C02" w:rsidRPr="006D0C02" w:rsidRDefault="006D0C02" w:rsidP="006D0C02">
      <w:pPr>
        <w:ind w:left="360" w:hanging="360"/>
        <w:jc w:val="both"/>
        <w:rPr>
          <w:sz w:val="20"/>
        </w:rPr>
      </w:pPr>
    </w:p>
    <w:p w:rsidR="006D0C02" w:rsidRPr="006D0C02" w:rsidRDefault="006D0C02" w:rsidP="006D0C02">
      <w:pPr>
        <w:pStyle w:val="ListParagraph"/>
        <w:numPr>
          <w:ilvl w:val="0"/>
          <w:numId w:val="8"/>
        </w:numPr>
        <w:ind w:left="360"/>
        <w:jc w:val="both"/>
        <w:rPr>
          <w:sz w:val="20"/>
        </w:rPr>
      </w:pPr>
      <w:r w:rsidRPr="006803A0">
        <w:rPr>
          <w:i/>
          <w:sz w:val="20"/>
          <w:lang w:val="fr-CA"/>
        </w:rPr>
        <w:t xml:space="preserve">Mary </w:t>
      </w:r>
      <w:proofErr w:type="spellStart"/>
      <w:r w:rsidRPr="006803A0">
        <w:rPr>
          <w:i/>
          <w:sz w:val="20"/>
          <w:lang w:val="fr-CA"/>
        </w:rPr>
        <w:t>Hodutu</w:t>
      </w:r>
      <w:proofErr w:type="spellEnd"/>
      <w:r w:rsidRPr="006803A0">
        <w:rPr>
          <w:i/>
          <w:sz w:val="20"/>
          <w:lang w:val="fr-CA"/>
        </w:rPr>
        <w:t xml:space="preserve"> v. Joseph </w:t>
      </w:r>
      <w:proofErr w:type="spellStart"/>
      <w:r w:rsidRPr="006803A0">
        <w:rPr>
          <w:i/>
          <w:sz w:val="20"/>
          <w:lang w:val="fr-CA"/>
        </w:rPr>
        <w:t>Bulger</w:t>
      </w:r>
      <w:proofErr w:type="spellEnd"/>
      <w:r w:rsidRPr="006803A0">
        <w:rPr>
          <w:i/>
          <w:sz w:val="20"/>
          <w:lang w:val="fr-CA"/>
        </w:rPr>
        <w:t xml:space="preserve"> et al.</w:t>
      </w:r>
      <w:r w:rsidRPr="006803A0">
        <w:rPr>
          <w:sz w:val="20"/>
          <w:lang w:val="fr-CA"/>
        </w:rPr>
        <w:t xml:space="preserve"> </w:t>
      </w:r>
      <w:r w:rsidR="006803A0">
        <w:rPr>
          <w:sz w:val="20"/>
        </w:rPr>
        <w:t>(Ont.) (Civil) (By Leave) (</w:t>
      </w:r>
      <w:hyperlink r:id="rId14" w:history="1">
        <w:r w:rsidR="006803A0" w:rsidRPr="001D1E16">
          <w:rPr>
            <w:rStyle w:val="Hyperlink"/>
            <w:sz w:val="20"/>
          </w:rPr>
          <w:t>364</w:t>
        </w:r>
        <w:r w:rsidRPr="001D1E16">
          <w:rPr>
            <w:rStyle w:val="Hyperlink"/>
            <w:sz w:val="20"/>
          </w:rPr>
          <w:t>32</w:t>
        </w:r>
      </w:hyperlink>
      <w:r w:rsidRPr="006D0C02">
        <w:rPr>
          <w:sz w:val="20"/>
        </w:rPr>
        <w:t>)</w:t>
      </w:r>
    </w:p>
    <w:p w:rsidR="006D0C02" w:rsidRPr="006D0C02" w:rsidRDefault="006D0C02" w:rsidP="006D0C02">
      <w:pPr>
        <w:ind w:left="360" w:hanging="360"/>
        <w:jc w:val="both"/>
        <w:rPr>
          <w:sz w:val="20"/>
        </w:rPr>
      </w:pPr>
    </w:p>
    <w:p w:rsidR="006D0C02" w:rsidRPr="006D0C02" w:rsidRDefault="006D0C02" w:rsidP="006D0C02">
      <w:pPr>
        <w:pStyle w:val="ListParagraph"/>
        <w:numPr>
          <w:ilvl w:val="0"/>
          <w:numId w:val="8"/>
        </w:numPr>
        <w:ind w:left="360"/>
        <w:jc w:val="both"/>
        <w:rPr>
          <w:sz w:val="20"/>
        </w:rPr>
      </w:pPr>
      <w:r w:rsidRPr="006D0C02">
        <w:rPr>
          <w:i/>
          <w:sz w:val="20"/>
        </w:rPr>
        <w:t>Her Majesty the Queen v. J.K.</w:t>
      </w:r>
      <w:r w:rsidRPr="006D0C02">
        <w:rPr>
          <w:sz w:val="20"/>
        </w:rPr>
        <w:t xml:space="preserve"> (N.L.) (Criminal) (By Leave) (</w:t>
      </w:r>
      <w:hyperlink r:id="rId15" w:history="1">
        <w:r w:rsidRPr="001D1E16">
          <w:rPr>
            <w:rStyle w:val="Hyperlink"/>
            <w:sz w:val="20"/>
          </w:rPr>
          <w:t>36457</w:t>
        </w:r>
      </w:hyperlink>
      <w:r w:rsidRPr="006D0C02">
        <w:rPr>
          <w:sz w:val="20"/>
        </w:rPr>
        <w:t>)</w:t>
      </w:r>
    </w:p>
    <w:p w:rsidR="006D0C02" w:rsidRPr="006D0C02" w:rsidRDefault="006D0C02" w:rsidP="006D0C02">
      <w:pPr>
        <w:ind w:left="360" w:hanging="360"/>
        <w:jc w:val="both"/>
        <w:rPr>
          <w:sz w:val="20"/>
        </w:rPr>
      </w:pPr>
    </w:p>
    <w:p w:rsidR="006D0C02" w:rsidRPr="006D0C02" w:rsidRDefault="006D0C02" w:rsidP="0094245B">
      <w:pPr>
        <w:pStyle w:val="ListParagraph"/>
        <w:numPr>
          <w:ilvl w:val="0"/>
          <w:numId w:val="8"/>
        </w:numPr>
        <w:ind w:left="360"/>
        <w:jc w:val="both"/>
        <w:rPr>
          <w:sz w:val="20"/>
          <w:lang w:val="fr-CA"/>
        </w:rPr>
      </w:pPr>
      <w:r w:rsidRPr="006D0C02">
        <w:rPr>
          <w:i/>
          <w:sz w:val="20"/>
          <w:lang w:val="fr-CA"/>
        </w:rPr>
        <w:t xml:space="preserve">Société d’assurance générale </w:t>
      </w:r>
      <w:proofErr w:type="spellStart"/>
      <w:r w:rsidRPr="006D0C02">
        <w:rPr>
          <w:i/>
          <w:sz w:val="20"/>
          <w:lang w:val="fr-CA"/>
        </w:rPr>
        <w:t>Northbridge</w:t>
      </w:r>
      <w:proofErr w:type="spellEnd"/>
      <w:r w:rsidRPr="006D0C02">
        <w:rPr>
          <w:i/>
          <w:sz w:val="20"/>
          <w:lang w:val="fr-CA"/>
        </w:rPr>
        <w:t xml:space="preserve"> (anciennement connue sous le nom Lombard General </w:t>
      </w:r>
      <w:proofErr w:type="spellStart"/>
      <w:r w:rsidRPr="006D0C02">
        <w:rPr>
          <w:i/>
          <w:sz w:val="20"/>
          <w:lang w:val="fr-CA"/>
        </w:rPr>
        <w:t>Insurance</w:t>
      </w:r>
      <w:proofErr w:type="spellEnd"/>
      <w:r w:rsidRPr="006D0C02">
        <w:rPr>
          <w:i/>
          <w:sz w:val="20"/>
          <w:lang w:val="fr-CA"/>
        </w:rPr>
        <w:t xml:space="preserve"> </w:t>
      </w:r>
      <w:proofErr w:type="spellStart"/>
      <w:r w:rsidRPr="006D0C02">
        <w:rPr>
          <w:i/>
          <w:sz w:val="20"/>
          <w:lang w:val="fr-CA"/>
        </w:rPr>
        <w:t>Company</w:t>
      </w:r>
      <w:proofErr w:type="spellEnd"/>
      <w:r w:rsidRPr="006D0C02">
        <w:rPr>
          <w:i/>
          <w:sz w:val="20"/>
          <w:lang w:val="fr-CA"/>
        </w:rPr>
        <w:t xml:space="preserve"> of Canada</w:t>
      </w:r>
      <w:r w:rsidR="0094245B">
        <w:rPr>
          <w:i/>
          <w:sz w:val="20"/>
          <w:lang w:val="fr-CA"/>
        </w:rPr>
        <w:t xml:space="preserve">) c. </w:t>
      </w:r>
      <w:r w:rsidR="0094245B" w:rsidRPr="0094245B">
        <w:rPr>
          <w:i/>
          <w:sz w:val="20"/>
          <w:lang w:val="fr-CA"/>
        </w:rPr>
        <w:t xml:space="preserve">Fonds </w:t>
      </w:r>
      <w:proofErr w:type="spellStart"/>
      <w:r w:rsidR="0094245B" w:rsidRPr="0094245B">
        <w:rPr>
          <w:i/>
          <w:sz w:val="20"/>
          <w:lang w:val="fr-CA"/>
        </w:rPr>
        <w:t>Cirvek</w:t>
      </w:r>
      <w:proofErr w:type="spellEnd"/>
      <w:r w:rsidR="0094245B" w:rsidRPr="0094245B">
        <w:rPr>
          <w:i/>
          <w:sz w:val="20"/>
          <w:lang w:val="fr-CA"/>
        </w:rPr>
        <w:t xml:space="preserve"> I, S.E.C.</w:t>
      </w:r>
      <w:r w:rsidR="0094245B">
        <w:rPr>
          <w:i/>
          <w:sz w:val="20"/>
          <w:lang w:val="fr-CA"/>
        </w:rPr>
        <w:t xml:space="preserve"> et autres</w:t>
      </w:r>
      <w:r w:rsidRPr="006D0C02">
        <w:rPr>
          <w:sz w:val="20"/>
          <w:lang w:val="fr-CA"/>
        </w:rPr>
        <w:t xml:space="preserve"> (</w:t>
      </w:r>
      <w:proofErr w:type="spellStart"/>
      <w:r w:rsidRPr="006D0C02">
        <w:rPr>
          <w:sz w:val="20"/>
          <w:lang w:val="fr-CA"/>
        </w:rPr>
        <w:t>Qc</w:t>
      </w:r>
      <w:proofErr w:type="spellEnd"/>
      <w:r w:rsidRPr="006D0C02">
        <w:rPr>
          <w:sz w:val="20"/>
          <w:lang w:val="fr-CA"/>
        </w:rPr>
        <w:t>) (Civile) (Autorisation) (</w:t>
      </w:r>
      <w:r w:rsidR="00480458">
        <w:fldChar w:fldCharType="begin"/>
      </w:r>
      <w:r w:rsidR="00480458" w:rsidRPr="00480458">
        <w:rPr>
          <w:lang w:val="fr-CA"/>
        </w:rPr>
        <w:instrText xml:space="preserve"> HYPERLINK "http://www.scc-csc.ca</w:instrText>
      </w:r>
      <w:r w:rsidR="00480458" w:rsidRPr="00480458">
        <w:rPr>
          <w:lang w:val="fr-CA"/>
        </w:rPr>
        <w:instrText xml:space="preserve">/case-dossier/info/sum-som-fra.aspx?cas=36366" </w:instrText>
      </w:r>
      <w:r w:rsidR="00480458">
        <w:fldChar w:fldCharType="separate"/>
      </w:r>
      <w:r w:rsidRPr="001D1E16">
        <w:rPr>
          <w:rStyle w:val="Hyperlink"/>
          <w:sz w:val="20"/>
          <w:lang w:val="fr-CA"/>
        </w:rPr>
        <w:t>36366</w:t>
      </w:r>
      <w:r w:rsidR="00480458">
        <w:rPr>
          <w:rStyle w:val="Hyperlink"/>
          <w:sz w:val="20"/>
          <w:lang w:val="fr-CA"/>
        </w:rPr>
        <w:fldChar w:fldCharType="end"/>
      </w:r>
      <w:r w:rsidRPr="006D0C02">
        <w:rPr>
          <w:sz w:val="20"/>
          <w:lang w:val="fr-CA"/>
        </w:rPr>
        <w:t>)</w:t>
      </w:r>
    </w:p>
    <w:p w:rsidR="006D0C02" w:rsidRPr="006D0C02" w:rsidRDefault="006D0C02" w:rsidP="006D0C02">
      <w:pPr>
        <w:ind w:left="360" w:hanging="360"/>
        <w:jc w:val="both"/>
        <w:rPr>
          <w:sz w:val="20"/>
          <w:lang w:val="fr-CA"/>
        </w:rPr>
      </w:pPr>
    </w:p>
    <w:p w:rsidR="006D0C02" w:rsidRPr="006D0C02" w:rsidRDefault="006D0C02" w:rsidP="006D0C02">
      <w:pPr>
        <w:pStyle w:val="ListParagraph"/>
        <w:numPr>
          <w:ilvl w:val="0"/>
          <w:numId w:val="8"/>
        </w:numPr>
        <w:ind w:left="360"/>
        <w:jc w:val="both"/>
        <w:rPr>
          <w:sz w:val="20"/>
          <w:lang w:val="fr-CA"/>
        </w:rPr>
      </w:pPr>
      <w:r w:rsidRPr="006D0C02">
        <w:rPr>
          <w:i/>
          <w:sz w:val="20"/>
          <w:lang w:val="fr-CA"/>
        </w:rPr>
        <w:t>Lawrence Klepper c. Ville</w:t>
      </w:r>
      <w:r w:rsidR="006803A0">
        <w:rPr>
          <w:i/>
          <w:sz w:val="20"/>
          <w:lang w:val="fr-CA"/>
        </w:rPr>
        <w:t xml:space="preserve"> de</w:t>
      </w:r>
      <w:r w:rsidRPr="006D0C02">
        <w:rPr>
          <w:i/>
          <w:sz w:val="20"/>
          <w:lang w:val="fr-CA"/>
        </w:rPr>
        <w:t xml:space="preserve"> Westmount</w:t>
      </w:r>
      <w:r w:rsidRPr="006D0C02">
        <w:rPr>
          <w:sz w:val="20"/>
          <w:lang w:val="fr-CA"/>
        </w:rPr>
        <w:t xml:space="preserve"> (</w:t>
      </w:r>
      <w:proofErr w:type="spellStart"/>
      <w:r w:rsidRPr="006D0C02">
        <w:rPr>
          <w:sz w:val="20"/>
          <w:lang w:val="fr-CA"/>
        </w:rPr>
        <w:t>Qc</w:t>
      </w:r>
      <w:proofErr w:type="spellEnd"/>
      <w:r w:rsidRPr="006D0C02">
        <w:rPr>
          <w:sz w:val="20"/>
          <w:lang w:val="fr-CA"/>
        </w:rPr>
        <w:t>) (Civile) (Autorisation) (</w:t>
      </w:r>
      <w:hyperlink r:id="rId16" w:history="1">
        <w:r w:rsidRPr="001D1E16">
          <w:rPr>
            <w:rStyle w:val="Hyperlink"/>
            <w:sz w:val="20"/>
            <w:lang w:val="fr-CA"/>
          </w:rPr>
          <w:t>36362</w:t>
        </w:r>
      </w:hyperlink>
      <w:r w:rsidRPr="006D0C02">
        <w:rPr>
          <w:sz w:val="20"/>
          <w:lang w:val="fr-CA"/>
        </w:rPr>
        <w:t>)</w:t>
      </w:r>
    </w:p>
    <w:p w:rsidR="006D0C02" w:rsidRPr="006D0C02" w:rsidRDefault="006D0C02" w:rsidP="006D0C02">
      <w:pPr>
        <w:ind w:left="360" w:hanging="360"/>
        <w:jc w:val="both"/>
        <w:rPr>
          <w:sz w:val="20"/>
          <w:lang w:val="fr-CA"/>
        </w:rPr>
      </w:pPr>
    </w:p>
    <w:p w:rsidR="006D0C02" w:rsidRPr="006D0C02" w:rsidRDefault="006D0C02" w:rsidP="006D0C02">
      <w:pPr>
        <w:pStyle w:val="ListParagraph"/>
        <w:numPr>
          <w:ilvl w:val="0"/>
          <w:numId w:val="8"/>
        </w:numPr>
        <w:ind w:left="360"/>
        <w:jc w:val="both"/>
        <w:rPr>
          <w:sz w:val="20"/>
        </w:rPr>
      </w:pPr>
      <w:r w:rsidRPr="006D0C02">
        <w:rPr>
          <w:i/>
          <w:sz w:val="20"/>
        </w:rPr>
        <w:t>John Turmel v. Her Majesty the Queen</w:t>
      </w:r>
      <w:r w:rsidRPr="006D0C02">
        <w:rPr>
          <w:sz w:val="20"/>
        </w:rPr>
        <w:t xml:space="preserve"> (F</w:t>
      </w:r>
      <w:r w:rsidR="006803A0">
        <w:rPr>
          <w:sz w:val="20"/>
        </w:rPr>
        <w:t>.</w:t>
      </w:r>
      <w:r w:rsidRPr="006D0C02">
        <w:rPr>
          <w:sz w:val="20"/>
        </w:rPr>
        <w:t>C</w:t>
      </w:r>
      <w:r w:rsidR="006803A0">
        <w:rPr>
          <w:sz w:val="20"/>
        </w:rPr>
        <w:t>.</w:t>
      </w:r>
      <w:r w:rsidRPr="006D0C02">
        <w:rPr>
          <w:sz w:val="20"/>
        </w:rPr>
        <w:t>) (Civil) (By Leave) (</w:t>
      </w:r>
      <w:hyperlink r:id="rId17" w:history="1">
        <w:r w:rsidRPr="001D1E16">
          <w:rPr>
            <w:rStyle w:val="Hyperlink"/>
            <w:sz w:val="20"/>
          </w:rPr>
          <w:t>36415</w:t>
        </w:r>
      </w:hyperlink>
      <w:r w:rsidRPr="006D0C02">
        <w:rPr>
          <w:sz w:val="20"/>
        </w:rPr>
        <w:t>)</w:t>
      </w:r>
    </w:p>
    <w:p w:rsidR="006D0C02" w:rsidRPr="006D0C02" w:rsidRDefault="006D0C02" w:rsidP="006D0C02">
      <w:pPr>
        <w:ind w:left="360" w:hanging="360"/>
        <w:jc w:val="both"/>
        <w:rPr>
          <w:sz w:val="20"/>
        </w:rPr>
      </w:pPr>
    </w:p>
    <w:p w:rsidR="006D0C02" w:rsidRPr="006D0C02" w:rsidRDefault="006D0C02" w:rsidP="006D0C02">
      <w:pPr>
        <w:pStyle w:val="ListParagraph"/>
        <w:numPr>
          <w:ilvl w:val="0"/>
          <w:numId w:val="8"/>
        </w:numPr>
        <w:ind w:left="360"/>
        <w:jc w:val="both"/>
        <w:rPr>
          <w:sz w:val="20"/>
        </w:rPr>
      </w:pPr>
      <w:r w:rsidRPr="006D0C02">
        <w:rPr>
          <w:i/>
          <w:sz w:val="20"/>
        </w:rPr>
        <w:t xml:space="preserve">Kelly </w:t>
      </w:r>
      <w:proofErr w:type="spellStart"/>
      <w:r w:rsidRPr="006D0C02">
        <w:rPr>
          <w:i/>
          <w:sz w:val="20"/>
        </w:rPr>
        <w:t>Amram</w:t>
      </w:r>
      <w:proofErr w:type="spellEnd"/>
      <w:r w:rsidRPr="006D0C02">
        <w:rPr>
          <w:i/>
          <w:sz w:val="20"/>
        </w:rPr>
        <w:t xml:space="preserve"> v. Rogers Communications Inc.</w:t>
      </w:r>
      <w:r w:rsidR="006803A0">
        <w:rPr>
          <w:i/>
          <w:sz w:val="20"/>
        </w:rPr>
        <w:t xml:space="preserve"> et al. </w:t>
      </w:r>
      <w:r w:rsidRPr="006D0C02">
        <w:rPr>
          <w:sz w:val="20"/>
        </w:rPr>
        <w:t>(Que.) (Civil) (By Leave) (</w:t>
      </w:r>
      <w:hyperlink r:id="rId18" w:history="1">
        <w:r w:rsidRPr="001D1E16">
          <w:rPr>
            <w:rStyle w:val="Hyperlink"/>
            <w:sz w:val="20"/>
          </w:rPr>
          <w:t>36348</w:t>
        </w:r>
      </w:hyperlink>
      <w:r w:rsidRPr="006D0C02">
        <w:rPr>
          <w:sz w:val="20"/>
        </w:rPr>
        <w:t>)</w:t>
      </w:r>
    </w:p>
    <w:p w:rsidR="006D0C02" w:rsidRPr="006D0C02" w:rsidRDefault="006D0C02" w:rsidP="006D0C02">
      <w:pPr>
        <w:ind w:left="360" w:hanging="360"/>
        <w:jc w:val="both"/>
        <w:rPr>
          <w:sz w:val="20"/>
        </w:rPr>
      </w:pPr>
    </w:p>
    <w:p w:rsidR="006D0C02" w:rsidRPr="006D0C02" w:rsidRDefault="005529E3" w:rsidP="006D0C02">
      <w:pPr>
        <w:pStyle w:val="ListParagraph"/>
        <w:numPr>
          <w:ilvl w:val="0"/>
          <w:numId w:val="8"/>
        </w:numPr>
        <w:ind w:left="360"/>
        <w:jc w:val="both"/>
        <w:rPr>
          <w:sz w:val="20"/>
          <w:lang w:val="fr-CA"/>
        </w:rPr>
      </w:pPr>
      <w:r>
        <w:rPr>
          <w:i/>
          <w:sz w:val="20"/>
          <w:lang w:val="fr-CA"/>
        </w:rPr>
        <w:t>Christiane Lé</w:t>
      </w:r>
      <w:r w:rsidR="006D0C02" w:rsidRPr="006D0C02">
        <w:rPr>
          <w:i/>
          <w:sz w:val="20"/>
          <w:lang w:val="fr-CA"/>
        </w:rPr>
        <w:t xml:space="preserve">vesque </w:t>
      </w:r>
      <w:r>
        <w:rPr>
          <w:i/>
          <w:sz w:val="20"/>
          <w:lang w:val="fr-CA"/>
        </w:rPr>
        <w:t>c</w:t>
      </w:r>
      <w:r w:rsidR="006D0C02" w:rsidRPr="006D0C02">
        <w:rPr>
          <w:i/>
          <w:sz w:val="20"/>
          <w:lang w:val="fr-CA"/>
        </w:rPr>
        <w:t>. Sylvie Marcotte</w:t>
      </w:r>
      <w:r w:rsidR="006803A0">
        <w:rPr>
          <w:i/>
          <w:sz w:val="20"/>
          <w:lang w:val="fr-CA"/>
        </w:rPr>
        <w:t xml:space="preserve"> et autres</w:t>
      </w:r>
      <w:r w:rsidR="006D0C02" w:rsidRPr="006D0C02">
        <w:rPr>
          <w:sz w:val="20"/>
          <w:lang w:val="fr-CA"/>
        </w:rPr>
        <w:t xml:space="preserve"> (</w:t>
      </w:r>
      <w:proofErr w:type="spellStart"/>
      <w:r w:rsidR="006D0C02" w:rsidRPr="006D0C02">
        <w:rPr>
          <w:sz w:val="20"/>
          <w:lang w:val="fr-CA"/>
        </w:rPr>
        <w:t>Q</w:t>
      </w:r>
      <w:r>
        <w:rPr>
          <w:sz w:val="20"/>
          <w:lang w:val="fr-CA"/>
        </w:rPr>
        <w:t>c</w:t>
      </w:r>
      <w:proofErr w:type="spellEnd"/>
      <w:r w:rsidR="006D0C02" w:rsidRPr="006D0C02">
        <w:rPr>
          <w:sz w:val="20"/>
          <w:lang w:val="fr-CA"/>
        </w:rPr>
        <w:t>) (Civil</w:t>
      </w:r>
      <w:r>
        <w:rPr>
          <w:sz w:val="20"/>
          <w:lang w:val="fr-CA"/>
        </w:rPr>
        <w:t>e</w:t>
      </w:r>
      <w:r w:rsidR="006D0C02" w:rsidRPr="006D0C02">
        <w:rPr>
          <w:sz w:val="20"/>
          <w:lang w:val="fr-CA"/>
        </w:rPr>
        <w:t>) (</w:t>
      </w:r>
      <w:r>
        <w:rPr>
          <w:sz w:val="20"/>
          <w:lang w:val="fr-CA"/>
        </w:rPr>
        <w:t>Autorisation</w:t>
      </w:r>
      <w:r w:rsidR="006D0C02" w:rsidRPr="006D0C02">
        <w:rPr>
          <w:sz w:val="20"/>
          <w:lang w:val="fr-CA"/>
        </w:rPr>
        <w:t>) (</w:t>
      </w:r>
      <w:r w:rsidR="00480458">
        <w:fldChar w:fldCharType="begin"/>
      </w:r>
      <w:r w:rsidR="00480458" w:rsidRPr="00480458">
        <w:rPr>
          <w:lang w:val="fr-CA"/>
        </w:rPr>
        <w:instrText xml:space="preserve"> HYPERLINK "http://www.scc-csc.ca</w:instrText>
      </w:r>
      <w:r w:rsidR="00480458" w:rsidRPr="00480458">
        <w:rPr>
          <w:lang w:val="fr-CA"/>
        </w:rPr>
        <w:instrText xml:space="preserve">/case-dossier/info/sum-som-fra.aspx?cas=36446" </w:instrText>
      </w:r>
      <w:r w:rsidR="00480458">
        <w:fldChar w:fldCharType="separate"/>
      </w:r>
      <w:r w:rsidR="006D0C02" w:rsidRPr="001D1E16">
        <w:rPr>
          <w:rStyle w:val="Hyperlink"/>
          <w:sz w:val="20"/>
          <w:lang w:val="fr-CA"/>
        </w:rPr>
        <w:t>36446</w:t>
      </w:r>
      <w:r w:rsidR="00480458">
        <w:rPr>
          <w:rStyle w:val="Hyperlink"/>
          <w:sz w:val="20"/>
          <w:lang w:val="fr-CA"/>
        </w:rPr>
        <w:fldChar w:fldCharType="end"/>
      </w:r>
      <w:r w:rsidR="006D0C02" w:rsidRPr="006D0C02">
        <w:rPr>
          <w:sz w:val="20"/>
          <w:lang w:val="fr-CA"/>
        </w:rPr>
        <w:t>)</w:t>
      </w:r>
    </w:p>
    <w:p w:rsidR="006D0C02" w:rsidRPr="006D0C02" w:rsidRDefault="006D0C02" w:rsidP="006D0C02">
      <w:pPr>
        <w:ind w:left="360" w:hanging="360"/>
        <w:jc w:val="both"/>
        <w:rPr>
          <w:sz w:val="20"/>
          <w:lang w:val="fr-CA"/>
        </w:rPr>
      </w:pPr>
    </w:p>
    <w:p w:rsidR="006D0C02" w:rsidRPr="006D0C02" w:rsidRDefault="006D0C02" w:rsidP="006D0C02">
      <w:pPr>
        <w:pStyle w:val="ListParagraph"/>
        <w:numPr>
          <w:ilvl w:val="0"/>
          <w:numId w:val="8"/>
        </w:numPr>
        <w:ind w:left="360"/>
        <w:jc w:val="both"/>
        <w:rPr>
          <w:sz w:val="20"/>
          <w:lang w:val="fr-CA"/>
        </w:rPr>
      </w:pPr>
      <w:r w:rsidRPr="006D0C02">
        <w:rPr>
          <w:i/>
          <w:sz w:val="20"/>
          <w:lang w:val="fr-CA"/>
        </w:rPr>
        <w:t>Jacques Thibault c. Daniel Cloutier</w:t>
      </w:r>
      <w:r w:rsidRPr="006D0C02">
        <w:rPr>
          <w:sz w:val="20"/>
          <w:lang w:val="fr-CA"/>
        </w:rPr>
        <w:t xml:space="preserve"> (</w:t>
      </w:r>
      <w:proofErr w:type="spellStart"/>
      <w:r w:rsidRPr="006D0C02">
        <w:rPr>
          <w:sz w:val="20"/>
          <w:lang w:val="fr-CA"/>
        </w:rPr>
        <w:t>Qc</w:t>
      </w:r>
      <w:proofErr w:type="spellEnd"/>
      <w:r w:rsidRPr="006D0C02">
        <w:rPr>
          <w:sz w:val="20"/>
          <w:lang w:val="fr-CA"/>
        </w:rPr>
        <w:t>) (Civile) (Autorisation) (</w:t>
      </w:r>
      <w:r w:rsidR="00480458">
        <w:fldChar w:fldCharType="begin"/>
      </w:r>
      <w:r w:rsidR="00480458" w:rsidRPr="00480458">
        <w:rPr>
          <w:lang w:val="fr-CA"/>
        </w:rPr>
        <w:instrText xml:space="preserve"> HYPERLINK "http://www.scc-csc.ca</w:instrText>
      </w:r>
      <w:r w:rsidR="00480458" w:rsidRPr="00480458">
        <w:rPr>
          <w:lang w:val="fr-CA"/>
        </w:rPr>
        <w:instrText xml:space="preserve">/case-dossier/info/sum-som-fra.aspx?cas=36418" </w:instrText>
      </w:r>
      <w:r w:rsidR="00480458">
        <w:fldChar w:fldCharType="separate"/>
      </w:r>
      <w:r w:rsidRPr="001D1E16">
        <w:rPr>
          <w:rStyle w:val="Hyperlink"/>
          <w:sz w:val="20"/>
          <w:lang w:val="fr-CA"/>
        </w:rPr>
        <w:t>36418</w:t>
      </w:r>
      <w:r w:rsidR="00480458">
        <w:rPr>
          <w:rStyle w:val="Hyperlink"/>
          <w:sz w:val="20"/>
          <w:lang w:val="fr-CA"/>
        </w:rPr>
        <w:fldChar w:fldCharType="end"/>
      </w:r>
      <w:r w:rsidRPr="006D0C02">
        <w:rPr>
          <w:sz w:val="20"/>
          <w:lang w:val="fr-CA"/>
        </w:rPr>
        <w:t>)</w:t>
      </w:r>
    </w:p>
    <w:p w:rsidR="006D0C02" w:rsidRPr="006D0C02" w:rsidRDefault="006D0C02" w:rsidP="006D0C02">
      <w:pPr>
        <w:ind w:left="360" w:hanging="360"/>
        <w:jc w:val="both"/>
        <w:rPr>
          <w:sz w:val="20"/>
          <w:lang w:val="fr-CA"/>
        </w:rPr>
      </w:pPr>
    </w:p>
    <w:p w:rsidR="006D0C02" w:rsidRPr="006D0C02" w:rsidRDefault="006D0C02" w:rsidP="006D0C02">
      <w:pPr>
        <w:pStyle w:val="ListParagraph"/>
        <w:numPr>
          <w:ilvl w:val="0"/>
          <w:numId w:val="8"/>
        </w:numPr>
        <w:ind w:left="360"/>
        <w:jc w:val="both"/>
        <w:rPr>
          <w:sz w:val="20"/>
        </w:rPr>
      </w:pPr>
      <w:r w:rsidRPr="006D0C02">
        <w:rPr>
          <w:i/>
          <w:sz w:val="20"/>
        </w:rPr>
        <w:t xml:space="preserve">Fang Hu v. Her Majesty the Queen </w:t>
      </w:r>
      <w:r w:rsidRPr="006D0C02">
        <w:rPr>
          <w:sz w:val="20"/>
        </w:rPr>
        <w:t>(Alta.) (Criminal) (By Leave) (</w:t>
      </w:r>
      <w:hyperlink r:id="rId19" w:history="1">
        <w:r w:rsidRPr="001D1E16">
          <w:rPr>
            <w:rStyle w:val="Hyperlink"/>
            <w:sz w:val="20"/>
          </w:rPr>
          <w:t>36441</w:t>
        </w:r>
      </w:hyperlink>
      <w:r w:rsidRPr="006D0C02">
        <w:rPr>
          <w:sz w:val="20"/>
        </w:rPr>
        <w:t>)</w:t>
      </w:r>
    </w:p>
    <w:p w:rsidR="006D0C02" w:rsidRPr="006D0C02" w:rsidRDefault="006D0C02" w:rsidP="006D0C02">
      <w:pPr>
        <w:ind w:left="360" w:hanging="360"/>
        <w:jc w:val="both"/>
        <w:rPr>
          <w:sz w:val="20"/>
        </w:rPr>
      </w:pPr>
    </w:p>
    <w:p w:rsidR="006D0C02" w:rsidRPr="006D0C02" w:rsidRDefault="006D0C02" w:rsidP="006D0C02">
      <w:pPr>
        <w:pStyle w:val="ListParagraph"/>
        <w:numPr>
          <w:ilvl w:val="0"/>
          <w:numId w:val="8"/>
        </w:numPr>
        <w:ind w:left="360"/>
        <w:jc w:val="both"/>
        <w:rPr>
          <w:sz w:val="20"/>
        </w:rPr>
      </w:pPr>
      <w:r w:rsidRPr="006D0C02">
        <w:rPr>
          <w:i/>
          <w:sz w:val="20"/>
        </w:rPr>
        <w:t xml:space="preserve">B.S.A. Diagnostics Limited v. Ministry of the Attorney General </w:t>
      </w:r>
      <w:r w:rsidR="006803A0">
        <w:rPr>
          <w:i/>
          <w:sz w:val="20"/>
        </w:rPr>
        <w:t xml:space="preserve">et al. </w:t>
      </w:r>
      <w:r w:rsidRPr="006D0C02">
        <w:rPr>
          <w:sz w:val="20"/>
        </w:rPr>
        <w:t>(Ont.) (Civil) (By Leave) (</w:t>
      </w:r>
      <w:hyperlink r:id="rId20" w:history="1">
        <w:r w:rsidRPr="001D1E16">
          <w:rPr>
            <w:rStyle w:val="Hyperlink"/>
            <w:sz w:val="20"/>
          </w:rPr>
          <w:t>36413</w:t>
        </w:r>
      </w:hyperlink>
      <w:r w:rsidRPr="006D0C02">
        <w:rPr>
          <w:sz w:val="20"/>
        </w:rPr>
        <w:t>)</w:t>
      </w:r>
    </w:p>
    <w:p w:rsidR="006D0C02" w:rsidRPr="006D0C02" w:rsidRDefault="006D0C02" w:rsidP="006D0C02">
      <w:pPr>
        <w:ind w:left="360" w:hanging="360"/>
        <w:jc w:val="both"/>
        <w:rPr>
          <w:sz w:val="20"/>
        </w:rPr>
      </w:pPr>
    </w:p>
    <w:p w:rsidR="006D0C02" w:rsidRPr="006D0C02" w:rsidRDefault="006D0C02" w:rsidP="006D0C02">
      <w:pPr>
        <w:pStyle w:val="ListParagraph"/>
        <w:numPr>
          <w:ilvl w:val="0"/>
          <w:numId w:val="8"/>
        </w:numPr>
        <w:ind w:left="360"/>
        <w:jc w:val="both"/>
        <w:rPr>
          <w:sz w:val="20"/>
        </w:rPr>
      </w:pPr>
      <w:r w:rsidRPr="006D0C02">
        <w:rPr>
          <w:i/>
          <w:sz w:val="20"/>
        </w:rPr>
        <w:t xml:space="preserve">Peter Donaldson v. Western Grain By-Products Storage Ltd. </w:t>
      </w:r>
      <w:r w:rsidRPr="006D0C02">
        <w:rPr>
          <w:sz w:val="20"/>
        </w:rPr>
        <w:t>(F</w:t>
      </w:r>
      <w:r w:rsidR="006803A0">
        <w:rPr>
          <w:sz w:val="20"/>
        </w:rPr>
        <w:t>.</w:t>
      </w:r>
      <w:r w:rsidRPr="006D0C02">
        <w:rPr>
          <w:sz w:val="20"/>
        </w:rPr>
        <w:t>C</w:t>
      </w:r>
      <w:r w:rsidR="006803A0">
        <w:rPr>
          <w:sz w:val="20"/>
        </w:rPr>
        <w:t>.</w:t>
      </w:r>
      <w:r w:rsidRPr="006D0C02">
        <w:rPr>
          <w:sz w:val="20"/>
        </w:rPr>
        <w:t>) (Civil) (By Leave) (</w:t>
      </w:r>
      <w:hyperlink r:id="rId21" w:history="1">
        <w:r w:rsidRPr="001D1E16">
          <w:rPr>
            <w:rStyle w:val="Hyperlink"/>
            <w:sz w:val="20"/>
          </w:rPr>
          <w:t>36420</w:t>
        </w:r>
      </w:hyperlink>
      <w:r w:rsidRPr="006D0C02">
        <w:rPr>
          <w:sz w:val="20"/>
        </w:rPr>
        <w:t>)</w:t>
      </w:r>
    </w:p>
    <w:p w:rsidR="005C1453" w:rsidRPr="005529E3" w:rsidRDefault="005C1453" w:rsidP="005C1453">
      <w:pPr>
        <w:ind w:left="360" w:hanging="360"/>
        <w:rPr>
          <w:sz w:val="20"/>
        </w:rPr>
      </w:pPr>
    </w:p>
    <w:p w:rsidR="000B6193" w:rsidRPr="005529E3" w:rsidRDefault="000B6193" w:rsidP="00E14D31">
      <w:pPr>
        <w:ind w:left="360" w:hanging="360"/>
        <w:rPr>
          <w:sz w:val="20"/>
        </w:rPr>
      </w:pPr>
    </w:p>
    <w:p w:rsidR="00D9725B" w:rsidRPr="005529E3" w:rsidRDefault="00D9725B" w:rsidP="00E14D31">
      <w:pPr>
        <w:ind w:left="360" w:hanging="360"/>
        <w:rPr>
          <w:sz w:val="20"/>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B0023" w:rsidRPr="00DB0023" w:rsidTr="00DB0023">
        <w:tc>
          <w:tcPr>
            <w:tcW w:w="543" w:type="pct"/>
            <w:hideMark/>
          </w:tcPr>
          <w:p w:rsidR="00DB0023" w:rsidRPr="00DB0023" w:rsidRDefault="00DB0023" w:rsidP="00DB0023">
            <w:pPr>
              <w:spacing w:line="276" w:lineRule="auto"/>
              <w:jc w:val="both"/>
              <w:rPr>
                <w:rFonts w:eastAsia="Calibri"/>
                <w:sz w:val="20"/>
                <w:lang w:val="en-CA"/>
              </w:rPr>
            </w:pPr>
            <w:r w:rsidRPr="00DB0023">
              <w:rPr>
                <w:rFonts w:eastAsia="Calibri"/>
                <w:b/>
                <w:sz w:val="20"/>
                <w:lang w:val="en-CA"/>
              </w:rPr>
              <w:t>36374</w:t>
            </w:r>
          </w:p>
        </w:tc>
        <w:tc>
          <w:tcPr>
            <w:tcW w:w="4457" w:type="pct"/>
            <w:gridSpan w:val="3"/>
            <w:hideMark/>
          </w:tcPr>
          <w:p w:rsidR="00DB0023" w:rsidRPr="00DB0023" w:rsidRDefault="00DB0023" w:rsidP="00DB0023">
            <w:pPr>
              <w:spacing w:line="276" w:lineRule="auto"/>
              <w:jc w:val="both"/>
              <w:rPr>
                <w:rFonts w:eastAsia="Calibri"/>
                <w:b/>
                <w:sz w:val="20"/>
                <w:lang w:val="en-CA"/>
              </w:rPr>
            </w:pPr>
            <w:r w:rsidRPr="00DB0023">
              <w:rPr>
                <w:rFonts w:eastAsia="Calibri"/>
                <w:b/>
                <w:sz w:val="20"/>
                <w:lang w:val="en-CA"/>
              </w:rPr>
              <w:t xml:space="preserve">Peter Z. Neumann v. Executive committee of the </w:t>
            </w:r>
            <w:proofErr w:type="spellStart"/>
            <w:r w:rsidRPr="00DB0023">
              <w:rPr>
                <w:rFonts w:eastAsia="Calibri"/>
                <w:b/>
                <w:sz w:val="20"/>
                <w:lang w:val="en-CA"/>
              </w:rPr>
              <w:t>Collège</w:t>
            </w:r>
            <w:proofErr w:type="spellEnd"/>
            <w:r w:rsidRPr="00DB0023">
              <w:rPr>
                <w:rFonts w:eastAsia="Calibri"/>
                <w:b/>
                <w:sz w:val="20"/>
                <w:lang w:val="en-CA"/>
              </w:rPr>
              <w:t xml:space="preserve"> des </w:t>
            </w:r>
            <w:proofErr w:type="spellStart"/>
            <w:r w:rsidRPr="00DB0023">
              <w:rPr>
                <w:rFonts w:eastAsia="Calibri"/>
                <w:b/>
                <w:sz w:val="20"/>
                <w:lang w:val="en-CA"/>
              </w:rPr>
              <w:t>médecins</w:t>
            </w:r>
            <w:proofErr w:type="spellEnd"/>
          </w:p>
          <w:p w:rsidR="00DB0023" w:rsidRPr="00DB0023" w:rsidRDefault="00DB0023" w:rsidP="00DB0023">
            <w:pPr>
              <w:spacing w:line="276" w:lineRule="auto"/>
              <w:jc w:val="both"/>
              <w:rPr>
                <w:rFonts w:eastAsia="Calibri"/>
                <w:sz w:val="20"/>
                <w:lang w:val="en-CA"/>
              </w:rPr>
            </w:pPr>
            <w:r w:rsidRPr="00DB0023">
              <w:rPr>
                <w:rFonts w:eastAsia="Calibri"/>
                <w:sz w:val="20"/>
                <w:lang w:val="en-CA"/>
              </w:rPr>
              <w:t>(Que.) (Civil) (By Leave)</w:t>
            </w:r>
          </w:p>
        </w:tc>
      </w:tr>
      <w:tr w:rsidR="00DB0023" w:rsidRPr="00DB0023" w:rsidTr="00DB0023">
        <w:tc>
          <w:tcPr>
            <w:tcW w:w="5000" w:type="pct"/>
            <w:gridSpan w:val="4"/>
          </w:tcPr>
          <w:p w:rsidR="00DB0023" w:rsidRPr="00DB0023" w:rsidRDefault="00DB0023" w:rsidP="00DB0023">
            <w:pPr>
              <w:spacing w:line="276" w:lineRule="auto"/>
              <w:jc w:val="both"/>
              <w:rPr>
                <w:rFonts w:eastAsia="Calibri"/>
                <w:smallCaps/>
                <w:sz w:val="20"/>
                <w:lang w:val="en-CA"/>
              </w:rPr>
            </w:pPr>
            <w:r w:rsidRPr="00DB0023">
              <w:rPr>
                <w:rFonts w:eastAsia="Calibri"/>
                <w:smallCaps/>
                <w:sz w:val="20"/>
                <w:lang w:val="en-CA"/>
              </w:rPr>
              <w:t>(Sealing Order)</w:t>
            </w:r>
          </w:p>
          <w:p w:rsidR="00DB0023" w:rsidRPr="00DB0023" w:rsidRDefault="00DB0023" w:rsidP="00DB0023">
            <w:pPr>
              <w:spacing w:line="276" w:lineRule="auto"/>
              <w:jc w:val="both"/>
              <w:rPr>
                <w:rFonts w:eastAsia="Calibri"/>
                <w:smallCaps/>
                <w:sz w:val="20"/>
                <w:lang w:val="en-CA"/>
              </w:rPr>
            </w:pPr>
          </w:p>
          <w:p w:rsidR="00DB0023" w:rsidRPr="00DB0023" w:rsidRDefault="00DB0023" w:rsidP="00DB0023">
            <w:pPr>
              <w:spacing w:line="276" w:lineRule="auto"/>
              <w:jc w:val="both"/>
              <w:rPr>
                <w:rFonts w:eastAsia="Calibri"/>
                <w:sz w:val="20"/>
                <w:lang w:val="en-CA"/>
              </w:rPr>
            </w:pPr>
            <w:r w:rsidRPr="00DB0023">
              <w:rPr>
                <w:i/>
                <w:sz w:val="20"/>
                <w:lang w:val="en-CA" w:eastAsia="en-CA"/>
              </w:rPr>
              <w:t>Canadian Charter of Rights and Freedoms</w:t>
            </w:r>
            <w:r w:rsidRPr="00DB0023">
              <w:rPr>
                <w:sz w:val="20"/>
                <w:lang w:val="en-CA" w:eastAsia="en-CA"/>
              </w:rPr>
              <w:t xml:space="preserve"> – Right to equality – Discrimination based on age – Professional inspection visit – Duty to accommodate – Decision of executive committee of </w:t>
            </w:r>
            <w:proofErr w:type="spellStart"/>
            <w:r w:rsidRPr="00DB0023">
              <w:rPr>
                <w:sz w:val="20"/>
                <w:lang w:val="en-CA" w:eastAsia="en-CA"/>
              </w:rPr>
              <w:t>Collège</w:t>
            </w:r>
            <w:proofErr w:type="spellEnd"/>
            <w:r w:rsidRPr="00DB0023">
              <w:rPr>
                <w:sz w:val="20"/>
                <w:lang w:val="en-CA" w:eastAsia="en-CA"/>
              </w:rPr>
              <w:t xml:space="preserve"> des </w:t>
            </w:r>
            <w:proofErr w:type="spellStart"/>
            <w:r w:rsidRPr="00DB0023">
              <w:rPr>
                <w:sz w:val="20"/>
                <w:lang w:val="en-CA" w:eastAsia="en-CA"/>
              </w:rPr>
              <w:t>médecins</w:t>
            </w:r>
            <w:proofErr w:type="spellEnd"/>
            <w:r w:rsidRPr="00DB0023">
              <w:rPr>
                <w:sz w:val="20"/>
                <w:lang w:val="en-CA" w:eastAsia="en-CA"/>
              </w:rPr>
              <w:t xml:space="preserve"> – Judicial review – Rules of procedural fairness and natural justice – Giving of reasons for decision </w:t>
            </w:r>
            <w:r w:rsidRPr="00DB0023">
              <w:rPr>
                <w:rFonts w:eastAsia="Calibri"/>
                <w:sz w:val="20"/>
                <w:lang w:val="en-CA"/>
              </w:rPr>
              <w:t xml:space="preserve">– </w:t>
            </w:r>
            <w:r w:rsidRPr="00DB0023">
              <w:rPr>
                <w:sz w:val="20"/>
                <w:lang w:val="en-CA" w:eastAsia="en-CA"/>
              </w:rPr>
              <w:t>Appeals – Leave to appeal – Question of principle, new issue or question of law that has given rise to conflicting judicial precedents – Whether professional inspection process must comply with rules of procedural fairness and natural justice, including impartiality of process, reasonableness of process (duty to accommodate) and giving of reasons for decisions</w:t>
            </w:r>
            <w:r w:rsidRPr="00DB0023">
              <w:rPr>
                <w:rFonts w:eastAsia="Calibri"/>
                <w:sz w:val="20"/>
                <w:lang w:val="en-CA"/>
              </w:rPr>
              <w:t xml:space="preserve"> – Whether Quebec Court of Appeal had to intervene in this case, even though it had already decided question submitted, when faced with question of principle and flagrant violation of its teachings – Whether [</w:t>
            </w:r>
            <w:r w:rsidRPr="00DB0023">
              <w:rPr>
                <w:rFonts w:eastAsia="Calibri"/>
                <w:smallCaps/>
                <w:sz w:val="20"/>
                <w:lang w:val="en-CA"/>
              </w:rPr>
              <w:t>translation</w:t>
            </w:r>
            <w:r w:rsidRPr="00DB0023">
              <w:rPr>
                <w:rFonts w:eastAsia="Calibri"/>
                <w:sz w:val="20"/>
                <w:lang w:val="en-CA"/>
              </w:rPr>
              <w:t xml:space="preserve">] “graduated more than 35 years ago” program established by respondent is discriminatory, arbitrary and unreasonable  since based on number of years of practice and therefore on age – </w:t>
            </w:r>
            <w:r w:rsidRPr="00DB0023">
              <w:rPr>
                <w:i/>
                <w:sz w:val="20"/>
                <w:lang w:val="en-CA" w:eastAsia="en-CA"/>
              </w:rPr>
              <w:t xml:space="preserve">Charter of human rights and freedoms </w:t>
            </w:r>
            <w:r w:rsidRPr="00DB0023">
              <w:rPr>
                <w:sz w:val="20"/>
                <w:lang w:val="en-CA" w:eastAsia="en-CA"/>
              </w:rPr>
              <w:t xml:space="preserve">– </w:t>
            </w:r>
            <w:r w:rsidRPr="00DB0023">
              <w:rPr>
                <w:i/>
                <w:sz w:val="20"/>
                <w:lang w:val="en-CA" w:eastAsia="en-CA"/>
              </w:rPr>
              <w:t>Code of Civil Procedure</w:t>
            </w:r>
            <w:r w:rsidRPr="00DB0023">
              <w:rPr>
                <w:sz w:val="20"/>
                <w:lang w:val="en-CA" w:eastAsia="en-CA"/>
              </w:rPr>
              <w:t>, CQLR c. C</w:t>
            </w:r>
            <w:r w:rsidRPr="00DB0023">
              <w:rPr>
                <w:sz w:val="20"/>
                <w:lang w:val="en-CA" w:eastAsia="en-CA"/>
              </w:rPr>
              <w:noBreakHyphen/>
              <w:t>25, art. 26.</w:t>
            </w:r>
          </w:p>
        </w:tc>
      </w:tr>
      <w:tr w:rsidR="00DB0023" w:rsidRPr="00DB0023" w:rsidTr="00DB0023">
        <w:tc>
          <w:tcPr>
            <w:tcW w:w="5000" w:type="pct"/>
            <w:gridSpan w:val="4"/>
          </w:tcPr>
          <w:p w:rsidR="00DB0023" w:rsidRPr="00DB0023" w:rsidRDefault="00DB0023" w:rsidP="00DB0023">
            <w:pPr>
              <w:spacing w:line="276" w:lineRule="auto"/>
              <w:jc w:val="both"/>
              <w:rPr>
                <w:rFonts w:eastAsia="Calibri"/>
                <w:sz w:val="20"/>
                <w:lang w:val="en-CA"/>
              </w:rPr>
            </w:pPr>
          </w:p>
        </w:tc>
      </w:tr>
      <w:tr w:rsidR="00DB0023" w:rsidRPr="00DB0023" w:rsidTr="00DB0023">
        <w:tc>
          <w:tcPr>
            <w:tcW w:w="5000" w:type="pct"/>
            <w:gridSpan w:val="4"/>
          </w:tcPr>
          <w:p w:rsidR="00DB0023" w:rsidRPr="00DB0023" w:rsidRDefault="00DB0023" w:rsidP="00DB0023">
            <w:pPr>
              <w:spacing w:line="276" w:lineRule="auto"/>
              <w:jc w:val="both"/>
              <w:rPr>
                <w:sz w:val="20"/>
                <w:lang w:val="en-CA" w:eastAsia="en-CA"/>
              </w:rPr>
            </w:pPr>
            <w:r w:rsidRPr="00DB0023">
              <w:rPr>
                <w:sz w:val="20"/>
                <w:lang w:val="en-CA" w:eastAsia="en-CA"/>
              </w:rPr>
              <w:t xml:space="preserve">After sending in a questionnaire completed pursuant to a policy involving the systematic verification of the skills of physicians practising for more than 35 years, Dr. Neumann was selected for an inspection visit. Based on the violations found during that visit, which lasted for 12 consecutive hours, the professional inspection committee told him that it intended to propose certain restrictions and upgrading measures. Following several exchanges between that committee and the applicant, the executive committee of the </w:t>
            </w:r>
            <w:proofErr w:type="spellStart"/>
            <w:r w:rsidRPr="00DB0023">
              <w:rPr>
                <w:sz w:val="20"/>
                <w:lang w:val="en-CA" w:eastAsia="en-CA"/>
              </w:rPr>
              <w:t>Collège</w:t>
            </w:r>
            <w:proofErr w:type="spellEnd"/>
            <w:r w:rsidRPr="00DB0023">
              <w:rPr>
                <w:sz w:val="20"/>
                <w:lang w:val="en-CA" w:eastAsia="en-CA"/>
              </w:rPr>
              <w:t xml:space="preserve"> des </w:t>
            </w:r>
            <w:proofErr w:type="spellStart"/>
            <w:r w:rsidRPr="00DB0023">
              <w:rPr>
                <w:sz w:val="20"/>
                <w:lang w:val="en-CA" w:eastAsia="en-CA"/>
              </w:rPr>
              <w:t>médecins</w:t>
            </w:r>
            <w:proofErr w:type="spellEnd"/>
            <w:r w:rsidRPr="00DB0023">
              <w:rPr>
                <w:sz w:val="20"/>
                <w:lang w:val="en-CA" w:eastAsia="en-CA"/>
              </w:rPr>
              <w:t xml:space="preserve"> made its decision requiring Dr. Neumann to successfully complete a period of refresher training in ambulatory pediatrics. Dr. Neumann applied for judicial review of the decision on the basis that adequate reasons had not been given, since the decision did not respond to his submissions and he could not clearly identify the violations alleged against him. He also argued that the length of the inspection was unacceptable for a person of his age with his health problems. </w:t>
            </w:r>
          </w:p>
          <w:p w:rsidR="00DB0023" w:rsidRPr="00DB0023" w:rsidRDefault="00DB0023" w:rsidP="00DB0023">
            <w:pPr>
              <w:spacing w:line="276" w:lineRule="auto"/>
              <w:jc w:val="both"/>
              <w:rPr>
                <w:sz w:val="20"/>
                <w:lang w:val="en-CA" w:eastAsia="en-CA"/>
              </w:rPr>
            </w:pPr>
          </w:p>
        </w:tc>
      </w:tr>
      <w:tr w:rsidR="00DB0023" w:rsidRPr="00DB0023" w:rsidTr="00DB0023">
        <w:tc>
          <w:tcPr>
            <w:tcW w:w="2427" w:type="pct"/>
            <w:gridSpan w:val="2"/>
          </w:tcPr>
          <w:p w:rsidR="00DB0023" w:rsidRPr="00DB0023" w:rsidRDefault="00DB0023" w:rsidP="00DB0023">
            <w:pPr>
              <w:spacing w:line="276" w:lineRule="auto"/>
              <w:rPr>
                <w:sz w:val="20"/>
                <w:lang w:val="en-CA" w:eastAsia="en-CA"/>
              </w:rPr>
            </w:pPr>
            <w:r w:rsidRPr="00DB0023">
              <w:rPr>
                <w:sz w:val="20"/>
                <w:lang w:val="en-CA" w:eastAsia="en-CA"/>
              </w:rPr>
              <w:t>November 5, 2014</w:t>
            </w:r>
          </w:p>
          <w:p w:rsidR="00DB0023" w:rsidRPr="00DB0023" w:rsidRDefault="00DB0023" w:rsidP="00DB0023">
            <w:pPr>
              <w:spacing w:line="276" w:lineRule="auto"/>
              <w:rPr>
                <w:sz w:val="20"/>
                <w:lang w:val="en-CA" w:eastAsia="en-CA"/>
              </w:rPr>
            </w:pPr>
            <w:r w:rsidRPr="00DB0023">
              <w:rPr>
                <w:sz w:val="20"/>
                <w:lang w:val="en-CA" w:eastAsia="en-CA"/>
              </w:rPr>
              <w:t>Quebec Superior Court</w:t>
            </w:r>
          </w:p>
          <w:p w:rsidR="00DB0023" w:rsidRPr="00DB0023" w:rsidRDefault="00DB0023" w:rsidP="00DB0023">
            <w:pPr>
              <w:spacing w:line="276" w:lineRule="auto"/>
              <w:rPr>
                <w:sz w:val="20"/>
                <w:lang w:val="en-CA" w:eastAsia="en-CA"/>
              </w:rPr>
            </w:pPr>
            <w:r w:rsidRPr="00DB0023">
              <w:rPr>
                <w:sz w:val="20"/>
                <w:lang w:val="en-CA" w:eastAsia="en-CA"/>
              </w:rPr>
              <w:lastRenderedPageBreak/>
              <w:t>(Nadeau J.)</w:t>
            </w:r>
          </w:p>
          <w:p w:rsidR="00DB0023" w:rsidRPr="00DB0023" w:rsidRDefault="00480458" w:rsidP="00DB0023">
            <w:pPr>
              <w:spacing w:line="276" w:lineRule="auto"/>
              <w:rPr>
                <w:sz w:val="20"/>
                <w:lang w:val="en-CA" w:eastAsia="en-CA"/>
              </w:rPr>
            </w:pPr>
            <w:hyperlink r:id="rId22" w:history="1">
              <w:r w:rsidR="00DB0023" w:rsidRPr="005529E3">
                <w:rPr>
                  <w:color w:val="0000FF" w:themeColor="hyperlink"/>
                  <w:sz w:val="20"/>
                  <w:u w:val="single"/>
                  <w:lang w:val="en-CA" w:eastAsia="en-CA"/>
                </w:rPr>
                <w:t>2014 QCCS 5216</w:t>
              </w:r>
            </w:hyperlink>
          </w:p>
          <w:p w:rsidR="00DB0023" w:rsidRPr="00DB0023" w:rsidRDefault="00DB0023" w:rsidP="00DB0023">
            <w:pPr>
              <w:spacing w:line="276" w:lineRule="auto"/>
              <w:rPr>
                <w:sz w:val="20"/>
                <w:lang w:val="en-CA" w:eastAsia="en-CA"/>
              </w:rPr>
            </w:pPr>
          </w:p>
        </w:tc>
        <w:tc>
          <w:tcPr>
            <w:tcW w:w="243" w:type="pct"/>
          </w:tcPr>
          <w:p w:rsidR="00DB0023" w:rsidRPr="00DB0023" w:rsidRDefault="00DB0023" w:rsidP="00DB0023">
            <w:pPr>
              <w:spacing w:line="276" w:lineRule="auto"/>
              <w:rPr>
                <w:sz w:val="20"/>
                <w:lang w:val="en-CA" w:eastAsia="en-CA"/>
              </w:rPr>
            </w:pPr>
          </w:p>
        </w:tc>
        <w:tc>
          <w:tcPr>
            <w:tcW w:w="2330" w:type="pct"/>
          </w:tcPr>
          <w:p w:rsidR="00DB0023" w:rsidRPr="00DB0023" w:rsidRDefault="00DB0023" w:rsidP="00DB0023">
            <w:pPr>
              <w:spacing w:line="276" w:lineRule="auto"/>
              <w:jc w:val="both"/>
              <w:rPr>
                <w:sz w:val="20"/>
                <w:lang w:val="en-CA" w:eastAsia="en-CA"/>
              </w:rPr>
            </w:pPr>
            <w:r w:rsidRPr="00DB0023">
              <w:rPr>
                <w:sz w:val="20"/>
                <w:lang w:val="en-CA" w:eastAsia="en-CA"/>
              </w:rPr>
              <w:t xml:space="preserve">Motion for judicial review of decision of executive committee of </w:t>
            </w:r>
            <w:proofErr w:type="spellStart"/>
            <w:r w:rsidRPr="00DB0023">
              <w:rPr>
                <w:sz w:val="20"/>
                <w:lang w:val="en-CA" w:eastAsia="en-CA"/>
              </w:rPr>
              <w:t>Collège</w:t>
            </w:r>
            <w:proofErr w:type="spellEnd"/>
            <w:r w:rsidRPr="00DB0023">
              <w:rPr>
                <w:sz w:val="20"/>
                <w:lang w:val="en-CA" w:eastAsia="en-CA"/>
              </w:rPr>
              <w:t xml:space="preserve"> des </w:t>
            </w:r>
            <w:proofErr w:type="spellStart"/>
            <w:r w:rsidRPr="00DB0023">
              <w:rPr>
                <w:sz w:val="20"/>
                <w:lang w:val="en-CA" w:eastAsia="en-CA"/>
              </w:rPr>
              <w:t>médecins</w:t>
            </w:r>
            <w:proofErr w:type="spellEnd"/>
            <w:r w:rsidRPr="00DB0023">
              <w:rPr>
                <w:sz w:val="20"/>
                <w:lang w:val="en-CA" w:eastAsia="en-CA"/>
              </w:rPr>
              <w:t xml:space="preserve"> dismissed</w:t>
            </w:r>
          </w:p>
          <w:p w:rsidR="00DB0023" w:rsidRPr="00DB0023" w:rsidRDefault="00DB0023" w:rsidP="00DB0023">
            <w:pPr>
              <w:spacing w:line="276" w:lineRule="auto"/>
              <w:jc w:val="both"/>
              <w:rPr>
                <w:sz w:val="20"/>
                <w:lang w:val="en-CA" w:eastAsia="en-CA"/>
              </w:rPr>
            </w:pPr>
          </w:p>
        </w:tc>
      </w:tr>
      <w:tr w:rsidR="00DB0023" w:rsidRPr="00DB0023" w:rsidTr="00DB0023">
        <w:tc>
          <w:tcPr>
            <w:tcW w:w="2427" w:type="pct"/>
            <w:gridSpan w:val="2"/>
          </w:tcPr>
          <w:p w:rsidR="00DB0023" w:rsidRPr="00DB0023" w:rsidRDefault="00DB0023" w:rsidP="00DB0023">
            <w:pPr>
              <w:spacing w:line="276" w:lineRule="auto"/>
              <w:rPr>
                <w:sz w:val="20"/>
                <w:lang w:val="en-CA" w:eastAsia="en-CA"/>
              </w:rPr>
            </w:pPr>
            <w:r w:rsidRPr="00DB0023">
              <w:rPr>
                <w:sz w:val="20"/>
                <w:lang w:val="en-CA" w:eastAsia="en-CA"/>
              </w:rPr>
              <w:lastRenderedPageBreak/>
              <w:t>January 28, 2015</w:t>
            </w:r>
          </w:p>
          <w:p w:rsidR="00DB0023" w:rsidRPr="00DB0023" w:rsidRDefault="00DB0023" w:rsidP="00DB0023">
            <w:pPr>
              <w:spacing w:line="276" w:lineRule="auto"/>
              <w:rPr>
                <w:sz w:val="20"/>
                <w:lang w:val="en-CA" w:eastAsia="en-CA"/>
              </w:rPr>
            </w:pPr>
            <w:r w:rsidRPr="00DB0023">
              <w:rPr>
                <w:sz w:val="20"/>
                <w:lang w:val="en-CA" w:eastAsia="en-CA"/>
              </w:rPr>
              <w:t>Quebec Court of Appeal (Montréal)</w:t>
            </w:r>
          </w:p>
          <w:p w:rsidR="00DB0023" w:rsidRPr="00DB0023" w:rsidRDefault="00DB0023" w:rsidP="00DB0023">
            <w:pPr>
              <w:spacing w:line="276" w:lineRule="auto"/>
              <w:rPr>
                <w:sz w:val="20"/>
                <w:lang w:val="en-CA" w:eastAsia="en-CA"/>
              </w:rPr>
            </w:pPr>
            <w:r w:rsidRPr="00DB0023">
              <w:rPr>
                <w:sz w:val="20"/>
                <w:lang w:val="en-CA" w:eastAsia="en-CA"/>
              </w:rPr>
              <w:t>(Schrager J.A.)</w:t>
            </w:r>
          </w:p>
          <w:p w:rsidR="00DB0023" w:rsidRPr="00DB0023" w:rsidRDefault="00480458" w:rsidP="00DB0023">
            <w:pPr>
              <w:spacing w:line="276" w:lineRule="auto"/>
              <w:rPr>
                <w:sz w:val="20"/>
                <w:lang w:val="en-CA" w:eastAsia="en-CA"/>
              </w:rPr>
            </w:pPr>
            <w:hyperlink r:id="rId23" w:history="1">
              <w:r w:rsidR="00DB0023" w:rsidRPr="005529E3">
                <w:rPr>
                  <w:color w:val="0000FF" w:themeColor="hyperlink"/>
                  <w:sz w:val="20"/>
                  <w:u w:val="single"/>
                  <w:lang w:val="en-CA" w:eastAsia="en-CA"/>
                </w:rPr>
                <w:t>2015 QCCA 148</w:t>
              </w:r>
            </w:hyperlink>
            <w:r w:rsidR="00DB0023" w:rsidRPr="00DB0023">
              <w:rPr>
                <w:sz w:val="20"/>
                <w:lang w:val="en-CA" w:eastAsia="en-CA"/>
              </w:rPr>
              <w:t>; 500-09-024872-145</w:t>
            </w:r>
          </w:p>
          <w:p w:rsidR="00DB0023" w:rsidRPr="00DB0023" w:rsidRDefault="00DB0023" w:rsidP="00DB0023">
            <w:pPr>
              <w:spacing w:line="276" w:lineRule="auto"/>
              <w:rPr>
                <w:sz w:val="20"/>
                <w:lang w:val="en-CA" w:eastAsia="en-CA"/>
              </w:rPr>
            </w:pPr>
          </w:p>
        </w:tc>
        <w:tc>
          <w:tcPr>
            <w:tcW w:w="243" w:type="pct"/>
          </w:tcPr>
          <w:p w:rsidR="00DB0023" w:rsidRPr="00DB0023" w:rsidRDefault="00DB0023" w:rsidP="00DB0023">
            <w:pPr>
              <w:spacing w:line="276" w:lineRule="auto"/>
              <w:rPr>
                <w:sz w:val="20"/>
                <w:lang w:val="en-CA" w:eastAsia="en-CA"/>
              </w:rPr>
            </w:pPr>
          </w:p>
        </w:tc>
        <w:tc>
          <w:tcPr>
            <w:tcW w:w="2330" w:type="pct"/>
            <w:hideMark/>
          </w:tcPr>
          <w:p w:rsidR="00DB0023" w:rsidRPr="00DB0023" w:rsidRDefault="00DB0023" w:rsidP="00DB0023">
            <w:pPr>
              <w:spacing w:line="276" w:lineRule="auto"/>
              <w:jc w:val="both"/>
              <w:rPr>
                <w:sz w:val="20"/>
                <w:lang w:val="en-CA" w:eastAsia="en-CA"/>
              </w:rPr>
            </w:pPr>
            <w:r w:rsidRPr="00DB0023">
              <w:rPr>
                <w:sz w:val="20"/>
                <w:lang w:val="en-CA" w:eastAsia="en-CA"/>
              </w:rPr>
              <w:t>Motion for leave to appeal dismissed</w:t>
            </w:r>
          </w:p>
        </w:tc>
      </w:tr>
      <w:tr w:rsidR="00DB0023" w:rsidRPr="00DB0023" w:rsidTr="00DB0023">
        <w:tc>
          <w:tcPr>
            <w:tcW w:w="2427" w:type="pct"/>
            <w:gridSpan w:val="2"/>
            <w:hideMark/>
          </w:tcPr>
          <w:p w:rsidR="00DB0023" w:rsidRPr="00DB0023" w:rsidRDefault="00DB0023" w:rsidP="00DB0023">
            <w:pPr>
              <w:spacing w:line="276" w:lineRule="auto"/>
              <w:rPr>
                <w:sz w:val="20"/>
                <w:lang w:val="en-CA" w:eastAsia="en-CA"/>
              </w:rPr>
            </w:pPr>
            <w:r w:rsidRPr="00DB0023">
              <w:rPr>
                <w:sz w:val="20"/>
                <w:lang w:val="en-CA" w:eastAsia="en-CA"/>
              </w:rPr>
              <w:t>March 27, 2015</w:t>
            </w:r>
          </w:p>
          <w:p w:rsidR="00DB0023" w:rsidRPr="00DB0023" w:rsidRDefault="00DB0023" w:rsidP="00DB0023">
            <w:pPr>
              <w:spacing w:line="276" w:lineRule="auto"/>
              <w:rPr>
                <w:sz w:val="20"/>
                <w:lang w:val="en-CA" w:eastAsia="en-CA"/>
              </w:rPr>
            </w:pPr>
            <w:r w:rsidRPr="00DB0023">
              <w:rPr>
                <w:sz w:val="20"/>
                <w:lang w:val="en-CA" w:eastAsia="en-CA"/>
              </w:rPr>
              <w:t>Supreme Court of Canada</w:t>
            </w:r>
          </w:p>
        </w:tc>
        <w:tc>
          <w:tcPr>
            <w:tcW w:w="243" w:type="pct"/>
          </w:tcPr>
          <w:p w:rsidR="00DB0023" w:rsidRPr="00DB0023" w:rsidRDefault="00DB0023" w:rsidP="00DB0023">
            <w:pPr>
              <w:spacing w:line="276" w:lineRule="auto"/>
              <w:rPr>
                <w:sz w:val="20"/>
                <w:lang w:val="en-CA" w:eastAsia="en-CA"/>
              </w:rPr>
            </w:pPr>
          </w:p>
        </w:tc>
        <w:tc>
          <w:tcPr>
            <w:tcW w:w="2330" w:type="pct"/>
          </w:tcPr>
          <w:p w:rsidR="00DB0023" w:rsidRPr="00DB0023" w:rsidRDefault="00DB0023" w:rsidP="00DB0023">
            <w:pPr>
              <w:spacing w:line="276" w:lineRule="auto"/>
              <w:jc w:val="both"/>
              <w:rPr>
                <w:sz w:val="20"/>
                <w:lang w:val="en-CA" w:eastAsia="en-CA"/>
              </w:rPr>
            </w:pPr>
            <w:r w:rsidRPr="00DB0023">
              <w:rPr>
                <w:sz w:val="20"/>
                <w:lang w:val="en-CA" w:eastAsia="en-CA"/>
              </w:rPr>
              <w:t>Application for leave to appeal filed</w:t>
            </w:r>
          </w:p>
          <w:p w:rsidR="00DB0023" w:rsidRPr="00DB0023" w:rsidRDefault="00DB0023" w:rsidP="00DB0023">
            <w:pPr>
              <w:spacing w:line="276" w:lineRule="auto"/>
              <w:jc w:val="both"/>
              <w:rPr>
                <w:sz w:val="20"/>
                <w:lang w:val="en-CA" w:eastAsia="en-CA"/>
              </w:rPr>
            </w:pPr>
          </w:p>
        </w:tc>
      </w:tr>
    </w:tbl>
    <w:p w:rsidR="00DB0023" w:rsidRDefault="00DB0023" w:rsidP="00DB0023">
      <w:pPr>
        <w:jc w:val="both"/>
        <w:rPr>
          <w:rFonts w:eastAsia="Calibri"/>
          <w:sz w:val="20"/>
          <w:lang w:val="en-CA"/>
        </w:rPr>
      </w:pPr>
    </w:p>
    <w:p w:rsidR="00193609" w:rsidRPr="00DB0023" w:rsidRDefault="00193609" w:rsidP="00DB002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B0023" w:rsidRPr="00DB0023" w:rsidTr="00DB0023">
        <w:tc>
          <w:tcPr>
            <w:tcW w:w="543" w:type="pct"/>
            <w:hideMark/>
          </w:tcPr>
          <w:p w:rsidR="00DB0023" w:rsidRPr="00DB0023" w:rsidRDefault="00DB0023" w:rsidP="00DB0023">
            <w:pPr>
              <w:spacing w:line="276" w:lineRule="auto"/>
              <w:jc w:val="both"/>
              <w:rPr>
                <w:rFonts w:eastAsia="Calibri"/>
                <w:sz w:val="20"/>
                <w:lang w:val="fr-CA"/>
              </w:rPr>
            </w:pPr>
            <w:r w:rsidRPr="00DB0023">
              <w:rPr>
                <w:rFonts w:eastAsia="Calibri"/>
                <w:b/>
                <w:sz w:val="20"/>
                <w:lang w:val="en-CA"/>
              </w:rPr>
              <w:t>36374</w:t>
            </w:r>
          </w:p>
        </w:tc>
        <w:tc>
          <w:tcPr>
            <w:tcW w:w="4457" w:type="pct"/>
            <w:gridSpan w:val="3"/>
            <w:hideMark/>
          </w:tcPr>
          <w:p w:rsidR="00DB0023" w:rsidRPr="00DB0023" w:rsidRDefault="00DB0023" w:rsidP="00DB0023">
            <w:pPr>
              <w:spacing w:line="276" w:lineRule="auto"/>
              <w:jc w:val="both"/>
              <w:rPr>
                <w:rFonts w:eastAsia="Calibri"/>
                <w:b/>
                <w:sz w:val="20"/>
                <w:lang w:val="fr-CA"/>
              </w:rPr>
            </w:pPr>
            <w:r w:rsidRPr="00DB0023">
              <w:rPr>
                <w:rFonts w:eastAsia="Calibri"/>
                <w:b/>
                <w:sz w:val="20"/>
                <w:lang w:val="fr-CA"/>
              </w:rPr>
              <w:t>Peter Z. Neumann c. Comité exécutif du collège des médecins</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w:t>
            </w:r>
            <w:proofErr w:type="spellStart"/>
            <w:r w:rsidRPr="00DB0023">
              <w:rPr>
                <w:rFonts w:eastAsia="Calibri"/>
                <w:sz w:val="20"/>
                <w:lang w:val="fr-CA"/>
              </w:rPr>
              <w:t>Qc</w:t>
            </w:r>
            <w:proofErr w:type="spellEnd"/>
            <w:r w:rsidRPr="00DB0023">
              <w:rPr>
                <w:rFonts w:eastAsia="Calibri"/>
                <w:sz w:val="20"/>
                <w:lang w:val="fr-CA"/>
              </w:rPr>
              <w:t>) (Civile) (Autorisation)</w:t>
            </w:r>
          </w:p>
        </w:tc>
      </w:tr>
      <w:tr w:rsidR="00DB0023" w:rsidRPr="00480458" w:rsidTr="00DB0023">
        <w:tc>
          <w:tcPr>
            <w:tcW w:w="5000" w:type="pct"/>
            <w:gridSpan w:val="4"/>
          </w:tcPr>
          <w:p w:rsidR="00DB0023" w:rsidRPr="00DB0023" w:rsidRDefault="00DB0023" w:rsidP="00DB0023">
            <w:pPr>
              <w:spacing w:line="276" w:lineRule="auto"/>
              <w:jc w:val="both"/>
              <w:rPr>
                <w:rFonts w:eastAsia="Calibri"/>
                <w:smallCaps/>
                <w:sz w:val="20"/>
                <w:lang w:val="fr-CA"/>
              </w:rPr>
            </w:pPr>
            <w:r w:rsidRPr="00DB0023">
              <w:rPr>
                <w:rFonts w:eastAsia="Calibri"/>
                <w:smallCaps/>
                <w:sz w:val="20"/>
                <w:lang w:val="fr-CA"/>
              </w:rPr>
              <w:t>(Ordonnance de mise sous scellés)</w:t>
            </w:r>
          </w:p>
          <w:p w:rsidR="00DB0023" w:rsidRPr="00DB0023" w:rsidRDefault="00DB0023" w:rsidP="00DB0023">
            <w:pPr>
              <w:spacing w:line="276" w:lineRule="auto"/>
              <w:jc w:val="both"/>
              <w:rPr>
                <w:rFonts w:eastAsia="Calibri"/>
                <w:smallCaps/>
                <w:sz w:val="20"/>
                <w:lang w:val="fr-CA"/>
              </w:rPr>
            </w:pPr>
          </w:p>
          <w:p w:rsidR="00DB0023" w:rsidRPr="00DB0023" w:rsidRDefault="00DB0023" w:rsidP="00DB0023">
            <w:pPr>
              <w:spacing w:line="276" w:lineRule="auto"/>
              <w:jc w:val="both"/>
              <w:rPr>
                <w:rFonts w:eastAsia="Calibri"/>
                <w:sz w:val="20"/>
                <w:lang w:val="fr-CA"/>
              </w:rPr>
            </w:pPr>
            <w:r w:rsidRPr="00DB0023">
              <w:rPr>
                <w:i/>
                <w:sz w:val="20"/>
                <w:lang w:val="fr-CA" w:eastAsia="en-CA"/>
              </w:rPr>
              <w:t>Charte canadienne des droits et libertés</w:t>
            </w:r>
            <w:r w:rsidRPr="00DB0023">
              <w:rPr>
                <w:sz w:val="20"/>
                <w:lang w:val="fr-CA" w:eastAsia="en-CA"/>
              </w:rPr>
              <w:t xml:space="preserve"> – Droit à l’égalité – Discrimination fondée sur l’âge – Visite d’inspection professionnelle – Obligation d’accommodement – Décision du comité exécutif du Collège des médecins – Contrôle judiciaire – Règles d’équité procédurale et de justice naturelle – Motivation de la décision </w:t>
            </w:r>
            <w:r w:rsidRPr="00DB0023">
              <w:rPr>
                <w:rFonts w:eastAsia="Calibri"/>
                <w:sz w:val="20"/>
                <w:lang w:val="fr-CA"/>
              </w:rPr>
              <w:t xml:space="preserve">– </w:t>
            </w:r>
            <w:r w:rsidRPr="00DB0023">
              <w:rPr>
                <w:sz w:val="20"/>
                <w:lang w:val="fr-CA" w:eastAsia="en-CA"/>
              </w:rPr>
              <w:t xml:space="preserve">Appels – Permission d’appeler – Question de principe, nouvelle ou de droit faisant l’objet d’une jurisprudence contradictoire – </w:t>
            </w:r>
            <w:r w:rsidRPr="00DB0023">
              <w:rPr>
                <w:rFonts w:eastAsia="Calibri"/>
                <w:sz w:val="20"/>
                <w:lang w:val="fr-CA"/>
              </w:rPr>
              <w:t xml:space="preserve">Le processus d’inspection professionnelle doit-il respecter les règles d’équité procédurale et de justice naturelle y incluant l’impartialité du processus, sa </w:t>
            </w:r>
            <w:proofErr w:type="spellStart"/>
            <w:r w:rsidRPr="00DB0023">
              <w:rPr>
                <w:rFonts w:eastAsia="Calibri"/>
                <w:sz w:val="20"/>
                <w:lang w:val="fr-CA"/>
              </w:rPr>
              <w:t>raisonnabilité</w:t>
            </w:r>
            <w:proofErr w:type="spellEnd"/>
            <w:r w:rsidRPr="00DB0023">
              <w:rPr>
                <w:rFonts w:eastAsia="Calibri"/>
                <w:sz w:val="20"/>
                <w:lang w:val="fr-CA"/>
              </w:rPr>
              <w:t xml:space="preserve"> (obligation d’accommodement) de même que la motivation des décisions? – La Cour d’appel du Québec se devait-elle d’intervenir en l’espèce, même si la question soumise a déjà été tranchée par cette dernière, lorsqu’elle est en présence d’une question de principe et d’une violation flagrante de ses enseignements? – Le programme « diplômé de plus de 35 ans » établi par l’intimé est-il discriminatoire, arbitraire et déraisonnable, ce dernier étant fondé sur le nombre d’années de pratique et, par conséquent, sur l’âge? – </w:t>
            </w:r>
            <w:r w:rsidRPr="00DB0023">
              <w:rPr>
                <w:i/>
                <w:sz w:val="20"/>
                <w:lang w:val="fr-CA" w:eastAsia="en-CA"/>
              </w:rPr>
              <w:t xml:space="preserve">Charte des droits et libertés de la personne </w:t>
            </w:r>
            <w:r w:rsidRPr="00DB0023">
              <w:rPr>
                <w:sz w:val="20"/>
                <w:lang w:val="fr-CA" w:eastAsia="en-CA"/>
              </w:rPr>
              <w:t xml:space="preserve">– </w:t>
            </w:r>
            <w:r w:rsidRPr="00DB0023">
              <w:rPr>
                <w:i/>
                <w:sz w:val="20"/>
                <w:lang w:val="fr-CA" w:eastAsia="en-CA"/>
              </w:rPr>
              <w:t>Code de procédure civile</w:t>
            </w:r>
            <w:r w:rsidRPr="00DB0023">
              <w:rPr>
                <w:sz w:val="20"/>
                <w:lang w:val="fr-CA" w:eastAsia="en-CA"/>
              </w:rPr>
              <w:t>, RLRQ c. C-25, art. 26.</w:t>
            </w:r>
          </w:p>
        </w:tc>
      </w:tr>
      <w:tr w:rsidR="00DB0023" w:rsidRPr="00480458" w:rsidTr="00DB0023">
        <w:tc>
          <w:tcPr>
            <w:tcW w:w="5000" w:type="pct"/>
            <w:gridSpan w:val="4"/>
          </w:tcPr>
          <w:p w:rsidR="00DB0023" w:rsidRPr="00DB0023" w:rsidRDefault="00DB0023" w:rsidP="00DB0023">
            <w:pPr>
              <w:spacing w:line="276" w:lineRule="auto"/>
              <w:jc w:val="both"/>
              <w:rPr>
                <w:rFonts w:eastAsia="Calibri"/>
                <w:sz w:val="20"/>
                <w:lang w:val="fr-CA"/>
              </w:rPr>
            </w:pPr>
          </w:p>
        </w:tc>
      </w:tr>
      <w:tr w:rsidR="00DB0023" w:rsidRPr="00480458" w:rsidTr="00DB0023">
        <w:tc>
          <w:tcPr>
            <w:tcW w:w="5000" w:type="pct"/>
            <w:gridSpan w:val="4"/>
          </w:tcPr>
          <w:p w:rsidR="00DB0023" w:rsidRPr="00DB0023" w:rsidRDefault="00DB0023" w:rsidP="00DB0023">
            <w:pPr>
              <w:spacing w:line="276" w:lineRule="auto"/>
              <w:jc w:val="both"/>
              <w:rPr>
                <w:sz w:val="20"/>
                <w:lang w:val="fr-CA" w:eastAsia="en-CA"/>
              </w:rPr>
            </w:pPr>
            <w:r w:rsidRPr="00DB0023">
              <w:rPr>
                <w:sz w:val="20"/>
                <w:lang w:val="fr-CA" w:eastAsia="en-CA"/>
              </w:rPr>
              <w:t xml:space="preserve">Après avoir envoyé un questionnaire rempli dans le cadre d’une politique de vérification systématique des compétences des médecins ayant plus de 35 ans de pratique, Dr Neumann est sélectionné pour une visite d’inspection. Suivant les manquements constatés lors de cette visite, laquelle se déroule pendant douze heures consécutives, le comité d’inspection professionnelle lui communique son intention de proposer certaines mesures de restrictions et de mise à niveau. À la suite de plusieurs échanges entre le CIP et le demandeur, le comité exécutif du Collège des médecins rend sa décision, imposant à Dr Neumann la réussite d’un stage de perfectionnement en pédiatrie ambulatoire. Dr Neumann demande la révision judiciaire de la décision, estimant qu’elle n’est pas suffisamment motivée, puisqu’elle ne répond pas à ses observations et qu’il ne peut clairement identifier les manquements qui lui sont reprochés. Il soutient aussi que la durée de l’inspection est inacceptable pour une personne de son âge et avec ses problèmes de santé. </w:t>
            </w:r>
          </w:p>
          <w:p w:rsidR="00DB0023" w:rsidRPr="00DB0023" w:rsidRDefault="00DB0023" w:rsidP="00DB0023">
            <w:pPr>
              <w:spacing w:line="276" w:lineRule="auto"/>
              <w:jc w:val="both"/>
              <w:rPr>
                <w:sz w:val="20"/>
                <w:lang w:val="fr-CA" w:eastAsia="en-CA"/>
              </w:rPr>
            </w:pPr>
          </w:p>
        </w:tc>
      </w:tr>
      <w:tr w:rsidR="00DB0023" w:rsidRPr="00480458" w:rsidTr="00DB0023">
        <w:tc>
          <w:tcPr>
            <w:tcW w:w="2427" w:type="pct"/>
            <w:gridSpan w:val="2"/>
          </w:tcPr>
          <w:p w:rsidR="00DB0023" w:rsidRPr="00DB0023" w:rsidRDefault="00DB0023" w:rsidP="00DB0023">
            <w:pPr>
              <w:spacing w:line="276" w:lineRule="auto"/>
              <w:rPr>
                <w:sz w:val="20"/>
                <w:lang w:val="fr-CA" w:eastAsia="en-CA"/>
              </w:rPr>
            </w:pPr>
            <w:r w:rsidRPr="00DB0023">
              <w:rPr>
                <w:sz w:val="20"/>
                <w:lang w:val="fr-CA" w:eastAsia="en-CA"/>
              </w:rPr>
              <w:t>Le 5 novembre 2014</w:t>
            </w:r>
          </w:p>
          <w:p w:rsidR="00DB0023" w:rsidRPr="00DB0023" w:rsidRDefault="00DB0023" w:rsidP="00DB0023">
            <w:pPr>
              <w:spacing w:line="276" w:lineRule="auto"/>
              <w:rPr>
                <w:sz w:val="20"/>
                <w:lang w:val="fr-CA" w:eastAsia="en-CA"/>
              </w:rPr>
            </w:pPr>
            <w:r w:rsidRPr="00DB0023">
              <w:rPr>
                <w:sz w:val="20"/>
                <w:lang w:val="fr-CA" w:eastAsia="en-CA"/>
              </w:rPr>
              <w:t>Cour supérieure du Québec</w:t>
            </w:r>
          </w:p>
          <w:p w:rsidR="00DB0023" w:rsidRPr="00DB0023" w:rsidRDefault="00DB0023" w:rsidP="00DB0023">
            <w:pPr>
              <w:spacing w:line="276" w:lineRule="auto"/>
              <w:rPr>
                <w:sz w:val="20"/>
                <w:lang w:val="fr-CA" w:eastAsia="en-CA"/>
              </w:rPr>
            </w:pPr>
            <w:r w:rsidRPr="00DB0023">
              <w:rPr>
                <w:sz w:val="20"/>
                <w:lang w:val="fr-CA" w:eastAsia="en-CA"/>
              </w:rPr>
              <w:t>(Le juge Nadeau)</w:t>
            </w:r>
          </w:p>
          <w:p w:rsidR="00DB0023" w:rsidRPr="00DB0023" w:rsidRDefault="00480458" w:rsidP="00DB0023">
            <w:pPr>
              <w:spacing w:line="276" w:lineRule="auto"/>
              <w:rPr>
                <w:sz w:val="20"/>
                <w:lang w:val="fr-CA" w:eastAsia="en-CA"/>
              </w:rPr>
            </w:pPr>
            <w:hyperlink r:id="rId24" w:history="1">
              <w:r w:rsidR="00DB0023" w:rsidRPr="005529E3">
                <w:rPr>
                  <w:color w:val="0000FF" w:themeColor="hyperlink"/>
                  <w:sz w:val="20"/>
                  <w:u w:val="single"/>
                  <w:lang w:val="fr-CA" w:eastAsia="en-CA"/>
                </w:rPr>
                <w:t>2014 QCCS 5216</w:t>
              </w:r>
            </w:hyperlink>
          </w:p>
          <w:p w:rsidR="00DB0023" w:rsidRPr="00DB0023" w:rsidRDefault="00DB0023" w:rsidP="00DB0023">
            <w:pPr>
              <w:spacing w:line="276" w:lineRule="auto"/>
              <w:rPr>
                <w:sz w:val="20"/>
                <w:lang w:val="fr-CA" w:eastAsia="en-CA"/>
              </w:rPr>
            </w:pPr>
          </w:p>
        </w:tc>
        <w:tc>
          <w:tcPr>
            <w:tcW w:w="243" w:type="pct"/>
          </w:tcPr>
          <w:p w:rsidR="00DB0023" w:rsidRPr="00DB0023" w:rsidRDefault="00DB0023" w:rsidP="00DB0023">
            <w:pPr>
              <w:spacing w:line="276" w:lineRule="auto"/>
              <w:rPr>
                <w:sz w:val="20"/>
                <w:lang w:val="fr-CA" w:eastAsia="en-CA"/>
              </w:rPr>
            </w:pPr>
          </w:p>
        </w:tc>
        <w:tc>
          <w:tcPr>
            <w:tcW w:w="2330" w:type="pct"/>
          </w:tcPr>
          <w:p w:rsidR="00DB0023" w:rsidRPr="00DB0023" w:rsidRDefault="00DB0023" w:rsidP="00DB0023">
            <w:pPr>
              <w:spacing w:line="276" w:lineRule="auto"/>
              <w:jc w:val="both"/>
              <w:rPr>
                <w:sz w:val="20"/>
                <w:lang w:val="fr-CA" w:eastAsia="en-CA"/>
              </w:rPr>
            </w:pPr>
            <w:r w:rsidRPr="00DB0023">
              <w:rPr>
                <w:sz w:val="20"/>
                <w:lang w:val="fr-CA" w:eastAsia="en-CA"/>
              </w:rPr>
              <w:t>Requête en révision judiciaire d’une décision du comité exécutif du Collège des médecins rejetée</w:t>
            </w:r>
          </w:p>
          <w:p w:rsidR="00DB0023" w:rsidRPr="00DB0023" w:rsidRDefault="00DB0023" w:rsidP="00DB0023">
            <w:pPr>
              <w:spacing w:line="276" w:lineRule="auto"/>
              <w:jc w:val="both"/>
              <w:rPr>
                <w:sz w:val="20"/>
                <w:lang w:val="fr-CA" w:eastAsia="en-CA"/>
              </w:rPr>
            </w:pPr>
          </w:p>
        </w:tc>
      </w:tr>
      <w:tr w:rsidR="00DB0023" w:rsidRPr="00480458" w:rsidTr="00DB0023">
        <w:tc>
          <w:tcPr>
            <w:tcW w:w="2427" w:type="pct"/>
            <w:gridSpan w:val="2"/>
          </w:tcPr>
          <w:p w:rsidR="00DB0023" w:rsidRPr="00DB0023" w:rsidRDefault="00DB0023" w:rsidP="00DB0023">
            <w:pPr>
              <w:spacing w:line="276" w:lineRule="auto"/>
              <w:rPr>
                <w:sz w:val="20"/>
                <w:lang w:val="fr-CA" w:eastAsia="en-CA"/>
              </w:rPr>
            </w:pPr>
            <w:r w:rsidRPr="00DB0023">
              <w:rPr>
                <w:sz w:val="20"/>
                <w:lang w:val="fr-CA" w:eastAsia="en-CA"/>
              </w:rPr>
              <w:t>Le 28 janvier 2015</w:t>
            </w:r>
          </w:p>
          <w:p w:rsidR="00DB0023" w:rsidRPr="00DB0023" w:rsidRDefault="00DB0023" w:rsidP="00DB0023">
            <w:pPr>
              <w:spacing w:line="276" w:lineRule="auto"/>
              <w:rPr>
                <w:sz w:val="20"/>
                <w:lang w:val="fr-CA" w:eastAsia="en-CA"/>
              </w:rPr>
            </w:pPr>
            <w:r w:rsidRPr="00DB0023">
              <w:rPr>
                <w:sz w:val="20"/>
                <w:lang w:val="fr-CA" w:eastAsia="en-CA"/>
              </w:rPr>
              <w:lastRenderedPageBreak/>
              <w:t>Cour d’appel du Québec (Montréal)</w:t>
            </w:r>
          </w:p>
          <w:p w:rsidR="00DB0023" w:rsidRPr="00DB0023" w:rsidRDefault="00DB0023" w:rsidP="00DB0023">
            <w:pPr>
              <w:spacing w:line="276" w:lineRule="auto"/>
              <w:rPr>
                <w:sz w:val="20"/>
                <w:lang w:val="fr-CA" w:eastAsia="en-CA"/>
              </w:rPr>
            </w:pPr>
            <w:r w:rsidRPr="00DB0023">
              <w:rPr>
                <w:sz w:val="20"/>
                <w:lang w:val="fr-CA" w:eastAsia="en-CA"/>
              </w:rPr>
              <w:t xml:space="preserve">(Le juge </w:t>
            </w:r>
            <w:proofErr w:type="spellStart"/>
            <w:r w:rsidRPr="00DB0023">
              <w:rPr>
                <w:sz w:val="20"/>
                <w:lang w:val="fr-CA" w:eastAsia="en-CA"/>
              </w:rPr>
              <w:t>Schrager</w:t>
            </w:r>
            <w:proofErr w:type="spellEnd"/>
            <w:r w:rsidRPr="00DB0023">
              <w:rPr>
                <w:sz w:val="20"/>
                <w:lang w:val="fr-CA" w:eastAsia="en-CA"/>
              </w:rPr>
              <w:t>)</w:t>
            </w:r>
          </w:p>
          <w:p w:rsidR="00DB0023" w:rsidRPr="00DB0023" w:rsidRDefault="00480458" w:rsidP="00DB0023">
            <w:pPr>
              <w:spacing w:line="276" w:lineRule="auto"/>
              <w:rPr>
                <w:sz w:val="20"/>
                <w:lang w:val="fr-CA" w:eastAsia="en-CA"/>
              </w:rPr>
            </w:pPr>
            <w:hyperlink r:id="rId25" w:history="1">
              <w:r w:rsidR="00DB0023" w:rsidRPr="005529E3">
                <w:rPr>
                  <w:color w:val="0000FF" w:themeColor="hyperlink"/>
                  <w:sz w:val="20"/>
                  <w:u w:val="single"/>
                  <w:lang w:val="fr-CA" w:eastAsia="en-CA"/>
                </w:rPr>
                <w:t>2015 QCCA 148</w:t>
              </w:r>
            </w:hyperlink>
            <w:r w:rsidR="00DB0023" w:rsidRPr="00DB0023">
              <w:rPr>
                <w:sz w:val="20"/>
                <w:lang w:val="fr-CA" w:eastAsia="en-CA"/>
              </w:rPr>
              <w:t>; 500-09-024872-145</w:t>
            </w:r>
          </w:p>
          <w:p w:rsidR="00DB0023" w:rsidRPr="00DB0023" w:rsidRDefault="00DB0023" w:rsidP="00DB0023">
            <w:pPr>
              <w:spacing w:line="276" w:lineRule="auto"/>
              <w:rPr>
                <w:sz w:val="20"/>
                <w:lang w:val="fr-CA" w:eastAsia="en-CA"/>
              </w:rPr>
            </w:pPr>
          </w:p>
        </w:tc>
        <w:tc>
          <w:tcPr>
            <w:tcW w:w="243" w:type="pct"/>
          </w:tcPr>
          <w:p w:rsidR="00DB0023" w:rsidRPr="00DB0023" w:rsidRDefault="00DB0023" w:rsidP="00DB0023">
            <w:pPr>
              <w:spacing w:line="276" w:lineRule="auto"/>
              <w:rPr>
                <w:sz w:val="20"/>
                <w:lang w:val="fr-CA" w:eastAsia="en-CA"/>
              </w:rPr>
            </w:pPr>
          </w:p>
        </w:tc>
        <w:tc>
          <w:tcPr>
            <w:tcW w:w="2330" w:type="pct"/>
            <w:hideMark/>
          </w:tcPr>
          <w:p w:rsidR="00DB0023" w:rsidRPr="00DB0023" w:rsidRDefault="00DB0023" w:rsidP="00DB0023">
            <w:pPr>
              <w:spacing w:line="276" w:lineRule="auto"/>
              <w:jc w:val="both"/>
              <w:rPr>
                <w:sz w:val="20"/>
                <w:lang w:val="fr-CA" w:eastAsia="en-CA"/>
              </w:rPr>
            </w:pPr>
            <w:r w:rsidRPr="00DB0023">
              <w:rPr>
                <w:sz w:val="20"/>
                <w:lang w:val="fr-CA" w:eastAsia="en-CA"/>
              </w:rPr>
              <w:t>Requête pour permission d’appeler rejetée</w:t>
            </w:r>
          </w:p>
        </w:tc>
      </w:tr>
      <w:tr w:rsidR="00DB0023" w:rsidRPr="00DB0023" w:rsidTr="00DB0023">
        <w:tc>
          <w:tcPr>
            <w:tcW w:w="2427" w:type="pct"/>
            <w:gridSpan w:val="2"/>
            <w:hideMark/>
          </w:tcPr>
          <w:p w:rsidR="00DB0023" w:rsidRPr="00DB0023" w:rsidRDefault="00DB0023" w:rsidP="00DB0023">
            <w:pPr>
              <w:spacing w:line="276" w:lineRule="auto"/>
              <w:rPr>
                <w:sz w:val="20"/>
                <w:lang w:val="fr-CA" w:eastAsia="en-CA"/>
              </w:rPr>
            </w:pPr>
            <w:r w:rsidRPr="00DB0023">
              <w:rPr>
                <w:sz w:val="20"/>
                <w:lang w:val="fr-CA" w:eastAsia="en-CA"/>
              </w:rPr>
              <w:lastRenderedPageBreak/>
              <w:t>Le 27 mars 2015</w:t>
            </w:r>
          </w:p>
          <w:p w:rsidR="00DB0023" w:rsidRPr="00DB0023" w:rsidRDefault="00DB0023" w:rsidP="00DB0023">
            <w:pPr>
              <w:spacing w:line="276" w:lineRule="auto"/>
              <w:rPr>
                <w:sz w:val="20"/>
                <w:lang w:val="fr-CA" w:eastAsia="en-CA"/>
              </w:rPr>
            </w:pPr>
            <w:r w:rsidRPr="00DB0023">
              <w:rPr>
                <w:sz w:val="20"/>
                <w:lang w:val="fr-CA" w:eastAsia="en-CA"/>
              </w:rPr>
              <w:t>Cour suprême du Canada</w:t>
            </w:r>
          </w:p>
        </w:tc>
        <w:tc>
          <w:tcPr>
            <w:tcW w:w="243" w:type="pct"/>
          </w:tcPr>
          <w:p w:rsidR="00DB0023" w:rsidRPr="00DB0023" w:rsidRDefault="00DB0023" w:rsidP="00DB0023">
            <w:pPr>
              <w:spacing w:line="276" w:lineRule="auto"/>
              <w:rPr>
                <w:sz w:val="20"/>
                <w:lang w:val="fr-CA" w:eastAsia="en-CA"/>
              </w:rPr>
            </w:pPr>
          </w:p>
        </w:tc>
        <w:tc>
          <w:tcPr>
            <w:tcW w:w="2330" w:type="pct"/>
          </w:tcPr>
          <w:p w:rsidR="00DB0023" w:rsidRPr="00DB0023" w:rsidRDefault="00DB0023" w:rsidP="00DB0023">
            <w:pPr>
              <w:spacing w:line="276" w:lineRule="auto"/>
              <w:jc w:val="both"/>
              <w:rPr>
                <w:sz w:val="20"/>
                <w:lang w:val="fr-CA" w:eastAsia="en-CA"/>
              </w:rPr>
            </w:pPr>
            <w:r w:rsidRPr="00DB0023">
              <w:rPr>
                <w:sz w:val="20"/>
                <w:lang w:val="fr-CA" w:eastAsia="en-CA"/>
              </w:rPr>
              <w:t>Demande d’autorisation d’appel déposée</w:t>
            </w:r>
          </w:p>
          <w:p w:rsidR="00DB0023" w:rsidRPr="00DB0023" w:rsidRDefault="00DB0023" w:rsidP="00DB0023">
            <w:pPr>
              <w:spacing w:line="276" w:lineRule="auto"/>
              <w:jc w:val="both"/>
              <w:rPr>
                <w:sz w:val="20"/>
                <w:lang w:val="fr-CA" w:eastAsia="en-CA"/>
              </w:rPr>
            </w:pPr>
          </w:p>
        </w:tc>
      </w:tr>
    </w:tbl>
    <w:p w:rsidR="00DB0023" w:rsidRDefault="00DB0023" w:rsidP="00DB0023">
      <w:pPr>
        <w:jc w:val="both"/>
        <w:rPr>
          <w:rFonts w:eastAsia="Calibri"/>
          <w:sz w:val="20"/>
          <w:lang w:val="fr-CA"/>
        </w:rPr>
      </w:pPr>
    </w:p>
    <w:p w:rsidR="00193609" w:rsidRPr="00DB0023" w:rsidRDefault="00193609" w:rsidP="00DB0023">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B0023" w:rsidRPr="00DB0023" w:rsidTr="00DB0023">
        <w:tc>
          <w:tcPr>
            <w:tcW w:w="543" w:type="pct"/>
            <w:hideMark/>
          </w:tcPr>
          <w:p w:rsidR="00DB0023" w:rsidRPr="00DB0023" w:rsidRDefault="00DB0023" w:rsidP="00DB0023">
            <w:pPr>
              <w:spacing w:line="276" w:lineRule="auto"/>
              <w:jc w:val="both"/>
              <w:rPr>
                <w:rFonts w:eastAsia="Calibri"/>
                <w:sz w:val="20"/>
                <w:lang w:val="en-CA"/>
              </w:rPr>
            </w:pPr>
            <w:r w:rsidRPr="005529E3">
              <w:rPr>
                <w:rFonts w:eastAsia="Calibri"/>
                <w:b/>
                <w:sz w:val="20"/>
                <w:lang w:val="en-CA"/>
              </w:rPr>
              <w:t>36440</w:t>
            </w:r>
          </w:p>
        </w:tc>
        <w:tc>
          <w:tcPr>
            <w:tcW w:w="4457" w:type="pct"/>
            <w:gridSpan w:val="3"/>
          </w:tcPr>
          <w:p w:rsidR="00DB0023" w:rsidRPr="00DB0023" w:rsidRDefault="00DB0023" w:rsidP="00DB0023">
            <w:pPr>
              <w:spacing w:line="276" w:lineRule="auto"/>
              <w:jc w:val="both"/>
              <w:rPr>
                <w:rFonts w:eastAsia="Calibri"/>
                <w:b/>
                <w:sz w:val="20"/>
                <w:lang w:val="en-CA"/>
              </w:rPr>
            </w:pPr>
            <w:proofErr w:type="spellStart"/>
            <w:r w:rsidRPr="00DB0023">
              <w:rPr>
                <w:rFonts w:eastAsia="Calibri"/>
                <w:b/>
                <w:sz w:val="20"/>
                <w:lang w:val="en-CA"/>
              </w:rPr>
              <w:t>Navin</w:t>
            </w:r>
            <w:proofErr w:type="spellEnd"/>
            <w:r w:rsidRPr="00DB0023">
              <w:rPr>
                <w:rFonts w:eastAsia="Calibri"/>
                <w:b/>
                <w:sz w:val="20"/>
                <w:lang w:val="en-CA"/>
              </w:rPr>
              <w:t xml:space="preserve"> Joshi v. Canadian Imperial Bank of Commerce</w:t>
            </w:r>
          </w:p>
          <w:p w:rsidR="00DB0023" w:rsidRPr="00DB0023" w:rsidRDefault="00DB0023" w:rsidP="00193609">
            <w:pPr>
              <w:spacing w:line="276" w:lineRule="auto"/>
              <w:jc w:val="both"/>
              <w:rPr>
                <w:rFonts w:eastAsia="Calibri"/>
                <w:sz w:val="20"/>
                <w:lang w:val="en-CA"/>
              </w:rPr>
            </w:pPr>
            <w:r w:rsidRPr="00DB0023">
              <w:rPr>
                <w:rFonts w:eastAsia="Calibri"/>
                <w:sz w:val="20"/>
                <w:lang w:val="en-CA"/>
              </w:rPr>
              <w:t>(FC) (Civil) (By Leave)</w:t>
            </w:r>
          </w:p>
        </w:tc>
      </w:tr>
      <w:tr w:rsidR="00DB0023" w:rsidRPr="00DB0023" w:rsidTr="00DB0023">
        <w:tc>
          <w:tcPr>
            <w:tcW w:w="5000" w:type="pct"/>
            <w:gridSpan w:val="4"/>
            <w:hideMark/>
          </w:tcPr>
          <w:p w:rsidR="00DB0023" w:rsidRPr="00DB0023" w:rsidRDefault="00DB0023" w:rsidP="00DB0023">
            <w:pPr>
              <w:spacing w:line="276" w:lineRule="auto"/>
              <w:jc w:val="both"/>
              <w:rPr>
                <w:rFonts w:eastAsia="Calibri"/>
                <w:sz w:val="20"/>
                <w:lang w:val="en-CA"/>
              </w:rPr>
            </w:pPr>
            <w:r w:rsidRPr="00DB0023">
              <w:rPr>
                <w:rFonts w:eastAsia="Calibri"/>
                <w:i/>
                <w:sz w:val="20"/>
                <w:lang w:val="en-CA"/>
              </w:rPr>
              <w:t>Charter of Rights</w:t>
            </w:r>
            <w:r w:rsidRPr="00DB0023">
              <w:rPr>
                <w:rFonts w:eastAsia="Calibri"/>
                <w:sz w:val="20"/>
                <w:lang w:val="en-CA"/>
              </w:rPr>
              <w:t xml:space="preserve"> – Administrative law – Boards and tribunals – Judicial review – Standard of review – Whether applicant’s </w:t>
            </w:r>
            <w:r w:rsidRPr="00DB0023">
              <w:rPr>
                <w:rFonts w:eastAsia="Calibri"/>
                <w:i/>
                <w:sz w:val="20"/>
                <w:lang w:val="en-CA"/>
              </w:rPr>
              <w:t>Charter</w:t>
            </w:r>
            <w:r w:rsidRPr="00DB0023">
              <w:rPr>
                <w:rFonts w:eastAsia="Calibri"/>
                <w:sz w:val="20"/>
                <w:lang w:val="en-CA"/>
              </w:rPr>
              <w:t xml:space="preserve"> rights were breached when adjudicator dismissed his unjust dismissal complaint under </w:t>
            </w:r>
            <w:r w:rsidRPr="00DB0023">
              <w:rPr>
                <w:rFonts w:eastAsia="Calibri"/>
                <w:i/>
                <w:sz w:val="20"/>
                <w:lang w:val="en-CA"/>
              </w:rPr>
              <w:t>Canada Labour Code</w:t>
            </w:r>
            <w:r w:rsidRPr="00DB0023">
              <w:rPr>
                <w:rFonts w:eastAsia="Calibri"/>
                <w:sz w:val="20"/>
                <w:lang w:val="en-CA"/>
              </w:rPr>
              <w:t>, R.S.C. 1985, c. L-2 (the “</w:t>
            </w:r>
            <w:r w:rsidRPr="00DB0023">
              <w:rPr>
                <w:rFonts w:eastAsia="Calibri"/>
                <w:i/>
                <w:sz w:val="20"/>
                <w:lang w:val="en-CA"/>
              </w:rPr>
              <w:t>Code</w:t>
            </w:r>
            <w:r w:rsidRPr="00DB0023">
              <w:rPr>
                <w:rFonts w:eastAsia="Calibri"/>
                <w:sz w:val="20"/>
                <w:lang w:val="en-CA"/>
              </w:rPr>
              <w:t xml:space="preserve">”) for want of jurisdiction – Does the </w:t>
            </w:r>
            <w:r w:rsidRPr="00DB0023">
              <w:rPr>
                <w:rFonts w:eastAsia="Calibri"/>
                <w:i/>
                <w:sz w:val="20"/>
                <w:lang w:val="en-CA"/>
              </w:rPr>
              <w:t>Canadian Human Rights Act</w:t>
            </w:r>
            <w:r w:rsidRPr="00DB0023">
              <w:rPr>
                <w:rFonts w:eastAsia="Calibri"/>
                <w:sz w:val="20"/>
                <w:lang w:val="en-CA"/>
              </w:rPr>
              <w:t>, R.S.C. 1985, c. H-6 (the “</w:t>
            </w:r>
            <w:r w:rsidRPr="00DB0023">
              <w:rPr>
                <w:rFonts w:eastAsia="Calibri"/>
                <w:i/>
                <w:sz w:val="20"/>
                <w:lang w:val="en-CA"/>
              </w:rPr>
              <w:t>Act</w:t>
            </w:r>
            <w:r w:rsidRPr="00DB0023">
              <w:rPr>
                <w:rFonts w:eastAsia="Calibri"/>
                <w:sz w:val="20"/>
                <w:lang w:val="en-CA"/>
              </w:rPr>
              <w:t xml:space="preserve">”) apply to the </w:t>
            </w:r>
            <w:r w:rsidRPr="00DB0023">
              <w:rPr>
                <w:rFonts w:eastAsia="Calibri"/>
                <w:i/>
                <w:sz w:val="20"/>
                <w:lang w:val="en-CA"/>
              </w:rPr>
              <w:t>Code</w:t>
            </w:r>
            <w:r w:rsidRPr="00DB0023">
              <w:rPr>
                <w:rFonts w:eastAsia="Calibri"/>
                <w:sz w:val="20"/>
                <w:lang w:val="en-CA"/>
              </w:rPr>
              <w:t xml:space="preserve"> – What does the phrase “it shall refer the complaint to the appropriate authority” mean under s. 44 of the </w:t>
            </w:r>
            <w:r w:rsidRPr="00DB0023">
              <w:rPr>
                <w:rFonts w:eastAsia="Calibri"/>
                <w:i/>
                <w:sz w:val="20"/>
                <w:lang w:val="en-CA"/>
              </w:rPr>
              <w:t>Act</w:t>
            </w:r>
            <w:r w:rsidRPr="00DB0023">
              <w:rPr>
                <w:rFonts w:eastAsia="Calibri"/>
                <w:sz w:val="20"/>
                <w:lang w:val="en-CA"/>
              </w:rPr>
              <w:t xml:space="preserve"> – Were the applicant’s two complaints that occurred years apart identical or the same – Can the statutory right of a person be abrogated through personal agreement.</w:t>
            </w:r>
          </w:p>
        </w:tc>
      </w:tr>
      <w:tr w:rsidR="00DB0023" w:rsidRPr="00DB0023" w:rsidTr="00DB0023">
        <w:tc>
          <w:tcPr>
            <w:tcW w:w="5000" w:type="pct"/>
            <w:gridSpan w:val="4"/>
          </w:tcPr>
          <w:p w:rsidR="00DB0023" w:rsidRPr="00DB0023" w:rsidRDefault="00DB0023" w:rsidP="00DB0023">
            <w:pPr>
              <w:spacing w:line="276" w:lineRule="auto"/>
              <w:jc w:val="both"/>
              <w:rPr>
                <w:rFonts w:eastAsia="Calibri"/>
                <w:sz w:val="20"/>
                <w:lang w:val="en-CA"/>
              </w:rPr>
            </w:pPr>
          </w:p>
        </w:tc>
      </w:tr>
      <w:tr w:rsidR="00DB0023" w:rsidRPr="00DB0023" w:rsidTr="00DB0023">
        <w:tc>
          <w:tcPr>
            <w:tcW w:w="5000" w:type="pct"/>
            <w:gridSpan w:val="4"/>
          </w:tcPr>
          <w:p w:rsidR="00DB0023" w:rsidRPr="00DB0023" w:rsidRDefault="00DB0023" w:rsidP="00DB0023">
            <w:pPr>
              <w:spacing w:line="276" w:lineRule="auto"/>
              <w:jc w:val="both"/>
              <w:rPr>
                <w:rFonts w:eastAsia="Calibri"/>
                <w:sz w:val="20"/>
                <w:lang w:val="en-CA"/>
              </w:rPr>
            </w:pPr>
            <w:r w:rsidRPr="00DB0023">
              <w:rPr>
                <w:rFonts w:eastAsia="Calibri"/>
                <w:sz w:val="20"/>
                <w:lang w:val="en-CA"/>
              </w:rPr>
              <w:t xml:space="preserve">When the applicant was dismissed from his employment with the respondent he filed a complaint under the </w:t>
            </w:r>
            <w:r w:rsidRPr="00DB0023">
              <w:rPr>
                <w:rFonts w:eastAsia="Calibri"/>
                <w:i/>
                <w:sz w:val="20"/>
                <w:lang w:val="en-CA"/>
              </w:rPr>
              <w:t xml:space="preserve">Code </w:t>
            </w:r>
            <w:r w:rsidRPr="00DB0023">
              <w:rPr>
                <w:rFonts w:eastAsia="Calibri"/>
                <w:sz w:val="20"/>
                <w:lang w:val="en-CA"/>
              </w:rPr>
              <w:t xml:space="preserve">alleging unjust dismissal, and then filed a complaint with the Canadian Human Rights Commission (the “Commission”) alleging unfair treatment and discriminatory conduct during the course of his employment and in terminating his employment. The respondent challenged the jurisdiction of the adjudicator appointed under the </w:t>
            </w:r>
            <w:r w:rsidRPr="00DB0023">
              <w:rPr>
                <w:rFonts w:eastAsia="Calibri"/>
                <w:i/>
                <w:sz w:val="20"/>
                <w:lang w:val="en-CA"/>
              </w:rPr>
              <w:t>Code</w:t>
            </w:r>
            <w:r w:rsidRPr="00DB0023">
              <w:rPr>
                <w:rFonts w:eastAsia="Calibri"/>
                <w:sz w:val="20"/>
                <w:lang w:val="en-CA"/>
              </w:rPr>
              <w:t xml:space="preserve"> on the basis of s. 242(3.1) of the </w:t>
            </w:r>
            <w:r w:rsidRPr="00DB0023">
              <w:rPr>
                <w:rFonts w:eastAsia="Calibri"/>
                <w:i/>
                <w:sz w:val="20"/>
                <w:lang w:val="en-CA"/>
              </w:rPr>
              <w:t>Code</w:t>
            </w:r>
            <w:r w:rsidRPr="00DB0023">
              <w:rPr>
                <w:rFonts w:eastAsia="Calibri"/>
                <w:sz w:val="20"/>
                <w:lang w:val="en-CA"/>
              </w:rPr>
              <w:t xml:space="preserve">. By an exchange of e-mails the parties agreed that the adjudicator did not have jurisdiction to hear the unjust dismissal complaint unless the Commission referred it back to him pursuant to paragraphs 41(1)(b) or 44(2)(b) of the </w:t>
            </w:r>
            <w:r w:rsidRPr="00DB0023">
              <w:rPr>
                <w:rFonts w:eastAsia="Calibri"/>
                <w:i/>
                <w:sz w:val="20"/>
                <w:lang w:val="en-CA"/>
              </w:rPr>
              <w:t>Act</w:t>
            </w:r>
            <w:r w:rsidRPr="00DB0023">
              <w:rPr>
                <w:rFonts w:eastAsia="Calibri"/>
                <w:sz w:val="20"/>
                <w:lang w:val="en-CA"/>
              </w:rPr>
              <w:t>.</w:t>
            </w:r>
          </w:p>
          <w:p w:rsidR="00DB0023" w:rsidRPr="00DB0023" w:rsidRDefault="00DB0023" w:rsidP="00DB0023">
            <w:pPr>
              <w:spacing w:line="276" w:lineRule="auto"/>
              <w:jc w:val="both"/>
              <w:rPr>
                <w:rFonts w:eastAsia="Calibri"/>
                <w:sz w:val="20"/>
                <w:lang w:val="en-CA"/>
              </w:rPr>
            </w:pPr>
          </w:p>
          <w:p w:rsidR="00DB0023" w:rsidRPr="00DB0023" w:rsidRDefault="00DB0023" w:rsidP="00DB0023">
            <w:pPr>
              <w:spacing w:line="276" w:lineRule="auto"/>
              <w:jc w:val="both"/>
              <w:rPr>
                <w:rFonts w:eastAsia="Calibri"/>
                <w:sz w:val="20"/>
                <w:lang w:val="en-CA"/>
              </w:rPr>
            </w:pPr>
            <w:r w:rsidRPr="00DB0023">
              <w:rPr>
                <w:rFonts w:eastAsia="Calibri"/>
                <w:sz w:val="20"/>
                <w:lang w:val="en-CA"/>
              </w:rPr>
              <w:t>The Commission ultimately dismissed the applicant’s complaint pursuant to s. 44(3)(b)(</w:t>
            </w:r>
            <w:proofErr w:type="spellStart"/>
            <w:r w:rsidRPr="00DB0023">
              <w:rPr>
                <w:rFonts w:eastAsia="Calibri"/>
                <w:sz w:val="20"/>
                <w:lang w:val="en-CA"/>
              </w:rPr>
              <w:t>i</w:t>
            </w:r>
            <w:proofErr w:type="spellEnd"/>
            <w:r w:rsidRPr="00DB0023">
              <w:rPr>
                <w:rFonts w:eastAsia="Calibri"/>
                <w:sz w:val="20"/>
                <w:lang w:val="en-CA"/>
              </w:rPr>
              <w:t xml:space="preserve">) of the </w:t>
            </w:r>
            <w:r w:rsidRPr="00DB0023">
              <w:rPr>
                <w:rFonts w:eastAsia="Calibri"/>
                <w:i/>
                <w:sz w:val="20"/>
                <w:lang w:val="en-CA"/>
              </w:rPr>
              <w:t xml:space="preserve">Act. </w:t>
            </w:r>
            <w:r w:rsidRPr="00DB0023">
              <w:rPr>
                <w:rFonts w:eastAsia="Calibri"/>
                <w:sz w:val="20"/>
                <w:lang w:val="en-CA"/>
              </w:rPr>
              <w:t>It found that</w:t>
            </w:r>
            <w:r w:rsidRPr="00DB0023">
              <w:rPr>
                <w:rFonts w:eastAsia="Calibri"/>
                <w:color w:val="000000"/>
                <w:sz w:val="20"/>
              </w:rPr>
              <w:t xml:space="preserve"> the applicant had </w:t>
            </w:r>
            <w:r w:rsidRPr="00DB0023">
              <w:rPr>
                <w:rFonts w:eastAsia="Calibri"/>
                <w:sz w:val="20"/>
                <w:lang w:val="en-CA"/>
              </w:rPr>
              <w:t xml:space="preserve">not provided sufficient evidence to establish that the respondent had failed to provide him with an employment opportunity, treated him in an adverse differential manner, or terminated him on the basis of disability, and that </w:t>
            </w:r>
            <w:r w:rsidRPr="00DB0023">
              <w:rPr>
                <w:rFonts w:eastAsia="Calibri"/>
                <w:color w:val="000000"/>
                <w:sz w:val="20"/>
              </w:rPr>
              <w:t>an inquiry into the complaint was not warranted</w:t>
            </w:r>
            <w:r w:rsidRPr="00DB0023">
              <w:rPr>
                <w:rFonts w:eastAsia="Calibri"/>
                <w:sz w:val="20"/>
                <w:lang w:val="en-CA"/>
              </w:rPr>
              <w:t xml:space="preserve">. An application for judicial review of that decision was dismissed by the Federal Court, as was his appeal to the Federal Court of Appeal. The applicant then sought to proceed with his complaint before the adjudicator under the </w:t>
            </w:r>
            <w:r w:rsidRPr="00DB0023">
              <w:rPr>
                <w:rFonts w:eastAsia="Calibri"/>
                <w:i/>
                <w:sz w:val="20"/>
                <w:lang w:val="en-CA"/>
              </w:rPr>
              <w:t>Code</w:t>
            </w:r>
            <w:r w:rsidRPr="00DB0023">
              <w:rPr>
                <w:rFonts w:eastAsia="Calibri"/>
                <w:sz w:val="20"/>
                <w:lang w:val="en-CA"/>
              </w:rPr>
              <w:t xml:space="preserve">. The respondent argued that he did not have jurisdiction, given that the Commission had not referred the matter back to him under s. 41(1)(b) or 44(2)(b) of the </w:t>
            </w:r>
            <w:r w:rsidRPr="00DB0023">
              <w:rPr>
                <w:rFonts w:eastAsia="Calibri"/>
                <w:i/>
                <w:sz w:val="20"/>
                <w:lang w:val="en-CA"/>
              </w:rPr>
              <w:t>Act</w:t>
            </w:r>
            <w:r w:rsidRPr="00DB0023">
              <w:rPr>
                <w:rFonts w:eastAsia="Calibri"/>
                <w:sz w:val="20"/>
                <w:lang w:val="en-CA"/>
              </w:rPr>
              <w:t xml:space="preserve">.  The adjudicator found that the two complaints were substantially similar and therefore dismissed the applicant’s complaint for want of jurisdiction, on the basis of both s. 242(3.1) of the </w:t>
            </w:r>
            <w:r w:rsidRPr="00DB0023">
              <w:rPr>
                <w:rFonts w:eastAsia="Calibri"/>
                <w:i/>
                <w:sz w:val="20"/>
                <w:lang w:val="en-CA"/>
              </w:rPr>
              <w:t>Code</w:t>
            </w:r>
            <w:r w:rsidRPr="00DB0023">
              <w:rPr>
                <w:rFonts w:eastAsia="Calibri"/>
                <w:sz w:val="20"/>
                <w:lang w:val="en-CA"/>
              </w:rPr>
              <w:t xml:space="preserve"> and the prior agreement of the parties. The adjudicator’s decision was upheld on judicial review by the Federal Court. The applicant’s appeal to the Federal Court of Appeal was dismissed.</w:t>
            </w:r>
          </w:p>
          <w:p w:rsidR="00DB0023" w:rsidRPr="00DB0023" w:rsidRDefault="00DB0023" w:rsidP="00DB0023">
            <w:pPr>
              <w:spacing w:line="276" w:lineRule="auto"/>
              <w:jc w:val="both"/>
              <w:rPr>
                <w:rFonts w:eastAsia="Calibri"/>
                <w:sz w:val="20"/>
                <w:lang w:val="en-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en-CA"/>
              </w:rPr>
            </w:pPr>
            <w:r w:rsidRPr="00DB0023">
              <w:rPr>
                <w:rFonts w:eastAsia="Calibri"/>
                <w:sz w:val="20"/>
                <w:lang w:val="en-CA"/>
              </w:rPr>
              <w:t>July 21, 2014</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Federal Court</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(Russell J)</w:t>
            </w:r>
          </w:p>
          <w:p w:rsidR="00DB0023" w:rsidRPr="00DB0023" w:rsidRDefault="00480458" w:rsidP="00DB0023">
            <w:pPr>
              <w:spacing w:line="276" w:lineRule="auto"/>
              <w:jc w:val="both"/>
              <w:rPr>
                <w:rFonts w:eastAsia="Calibri"/>
                <w:sz w:val="20"/>
                <w:lang w:val="en-CA"/>
              </w:rPr>
            </w:pPr>
            <w:hyperlink r:id="rId26" w:history="1">
              <w:r w:rsidR="00DB0023" w:rsidRPr="005529E3">
                <w:rPr>
                  <w:rFonts w:eastAsia="Calibri"/>
                  <w:color w:val="0000FF" w:themeColor="hyperlink"/>
                  <w:sz w:val="20"/>
                  <w:u w:val="single"/>
                  <w:lang w:val="en-CA"/>
                </w:rPr>
                <w:t>2014 FC 722</w:t>
              </w:r>
            </w:hyperlink>
          </w:p>
          <w:p w:rsidR="00DB0023" w:rsidRPr="00DB0023" w:rsidRDefault="00DB0023" w:rsidP="00DB0023">
            <w:pPr>
              <w:spacing w:line="276" w:lineRule="auto"/>
              <w:jc w:val="both"/>
              <w:rPr>
                <w:rFonts w:eastAsia="Calibri"/>
                <w:sz w:val="20"/>
                <w:lang w:val="en-CA"/>
              </w:rPr>
            </w:pPr>
          </w:p>
        </w:tc>
        <w:tc>
          <w:tcPr>
            <w:tcW w:w="243" w:type="pct"/>
          </w:tcPr>
          <w:p w:rsidR="00DB0023" w:rsidRPr="00DB0023" w:rsidRDefault="00DB0023" w:rsidP="00DB0023">
            <w:pPr>
              <w:spacing w:line="276" w:lineRule="auto"/>
              <w:jc w:val="both"/>
              <w:rPr>
                <w:rFonts w:eastAsia="Calibri"/>
                <w:sz w:val="20"/>
                <w:lang w:val="en-CA"/>
              </w:rPr>
            </w:pPr>
          </w:p>
        </w:tc>
        <w:tc>
          <w:tcPr>
            <w:tcW w:w="2330" w:type="pct"/>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Application for judicial review dismissed</w:t>
            </w:r>
          </w:p>
          <w:p w:rsidR="00DB0023" w:rsidRPr="00DB0023" w:rsidRDefault="00DB0023" w:rsidP="00DB0023">
            <w:pPr>
              <w:spacing w:line="276" w:lineRule="auto"/>
              <w:jc w:val="both"/>
              <w:rPr>
                <w:rFonts w:eastAsia="Calibri"/>
                <w:sz w:val="20"/>
                <w:lang w:val="en-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April 23, 2015</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Federal Court of Appeal</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w:t>
            </w:r>
            <w:proofErr w:type="spellStart"/>
            <w:r w:rsidRPr="00DB0023">
              <w:rPr>
                <w:rFonts w:eastAsia="Calibri"/>
                <w:sz w:val="20"/>
                <w:lang w:val="en-CA"/>
              </w:rPr>
              <w:t>Nadon</w:t>
            </w:r>
            <w:proofErr w:type="spellEnd"/>
            <w:r w:rsidRPr="00DB0023">
              <w:rPr>
                <w:rFonts w:eastAsia="Calibri"/>
                <w:sz w:val="20"/>
                <w:lang w:val="en-CA"/>
              </w:rPr>
              <w:t xml:space="preserve">, Dawson and </w:t>
            </w:r>
            <w:proofErr w:type="spellStart"/>
            <w:r w:rsidRPr="00DB0023">
              <w:rPr>
                <w:rFonts w:eastAsia="Calibri"/>
                <w:sz w:val="20"/>
                <w:lang w:val="en-CA"/>
              </w:rPr>
              <w:t>Boivin</w:t>
            </w:r>
            <w:proofErr w:type="spellEnd"/>
            <w:r w:rsidRPr="00DB0023">
              <w:rPr>
                <w:rFonts w:eastAsia="Calibri"/>
                <w:sz w:val="20"/>
                <w:lang w:val="en-CA"/>
              </w:rPr>
              <w:t xml:space="preserve"> JJ.A.)</w:t>
            </w:r>
          </w:p>
          <w:p w:rsidR="00DB0023" w:rsidRPr="00DB0023" w:rsidRDefault="00480458" w:rsidP="00DB0023">
            <w:pPr>
              <w:spacing w:line="276" w:lineRule="auto"/>
              <w:jc w:val="both"/>
              <w:rPr>
                <w:rFonts w:eastAsia="Calibri"/>
                <w:sz w:val="20"/>
                <w:lang w:val="en-CA"/>
              </w:rPr>
            </w:pPr>
            <w:hyperlink r:id="rId27" w:history="1">
              <w:r w:rsidR="00DB0023" w:rsidRPr="005529E3">
                <w:rPr>
                  <w:rFonts w:eastAsia="Calibri"/>
                  <w:color w:val="0000FF" w:themeColor="hyperlink"/>
                  <w:sz w:val="20"/>
                  <w:u w:val="single"/>
                  <w:lang w:val="en-CA"/>
                </w:rPr>
                <w:t>2015 FCA 105</w:t>
              </w:r>
            </w:hyperlink>
          </w:p>
          <w:p w:rsidR="00DB0023" w:rsidRPr="00DB0023" w:rsidRDefault="00DB0023" w:rsidP="00DB0023">
            <w:pPr>
              <w:spacing w:line="276" w:lineRule="auto"/>
              <w:jc w:val="both"/>
              <w:rPr>
                <w:rFonts w:eastAsia="Calibri"/>
                <w:sz w:val="20"/>
                <w:lang w:val="en-CA"/>
              </w:rPr>
            </w:pPr>
          </w:p>
        </w:tc>
        <w:tc>
          <w:tcPr>
            <w:tcW w:w="243" w:type="pct"/>
          </w:tcPr>
          <w:p w:rsidR="00DB0023" w:rsidRPr="00DB0023" w:rsidRDefault="00DB0023" w:rsidP="00DB0023">
            <w:pPr>
              <w:spacing w:line="276" w:lineRule="auto"/>
              <w:jc w:val="both"/>
              <w:rPr>
                <w:rFonts w:eastAsia="Calibri"/>
                <w:sz w:val="20"/>
                <w:lang w:val="en-CA"/>
              </w:rPr>
            </w:pPr>
          </w:p>
        </w:tc>
        <w:tc>
          <w:tcPr>
            <w:tcW w:w="2330" w:type="pct"/>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Appeal dismissed</w:t>
            </w:r>
          </w:p>
          <w:p w:rsidR="00DB0023" w:rsidRPr="00DB0023" w:rsidRDefault="00DB0023" w:rsidP="00DB0023">
            <w:pPr>
              <w:spacing w:line="276" w:lineRule="auto"/>
              <w:jc w:val="both"/>
              <w:rPr>
                <w:rFonts w:eastAsia="Calibri"/>
                <w:sz w:val="20"/>
                <w:lang w:val="en-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en-CA"/>
              </w:rPr>
            </w:pPr>
            <w:r w:rsidRPr="00DB0023">
              <w:rPr>
                <w:rFonts w:eastAsia="Calibri"/>
                <w:sz w:val="20"/>
                <w:lang w:val="en-CA"/>
              </w:rPr>
              <w:lastRenderedPageBreak/>
              <w:t>May 15, 2015</w:t>
            </w:r>
          </w:p>
          <w:p w:rsidR="00DB0023" w:rsidRPr="00DB0023" w:rsidRDefault="00DB0023" w:rsidP="00193609">
            <w:pPr>
              <w:spacing w:line="276" w:lineRule="auto"/>
              <w:jc w:val="both"/>
              <w:rPr>
                <w:rFonts w:eastAsia="Calibri"/>
                <w:sz w:val="20"/>
                <w:lang w:val="en-CA"/>
              </w:rPr>
            </w:pPr>
            <w:r w:rsidRPr="00DB0023">
              <w:rPr>
                <w:rFonts w:eastAsia="Calibri"/>
                <w:sz w:val="20"/>
                <w:lang w:val="en-CA"/>
              </w:rPr>
              <w:t>Supreme Court of Canada</w:t>
            </w:r>
          </w:p>
        </w:tc>
        <w:tc>
          <w:tcPr>
            <w:tcW w:w="243" w:type="pct"/>
          </w:tcPr>
          <w:p w:rsidR="00DB0023" w:rsidRPr="00DB0023" w:rsidRDefault="00DB0023" w:rsidP="00DB0023">
            <w:pPr>
              <w:spacing w:line="276" w:lineRule="auto"/>
              <w:jc w:val="both"/>
              <w:rPr>
                <w:rFonts w:eastAsia="Calibri"/>
                <w:sz w:val="20"/>
                <w:lang w:val="en-CA"/>
              </w:rPr>
            </w:pPr>
          </w:p>
        </w:tc>
        <w:tc>
          <w:tcPr>
            <w:tcW w:w="2330" w:type="pct"/>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Application for leave to appeal filed</w:t>
            </w:r>
          </w:p>
          <w:p w:rsidR="00DB0023" w:rsidRPr="00DB0023" w:rsidRDefault="00DB0023" w:rsidP="00DB0023">
            <w:pPr>
              <w:spacing w:line="276" w:lineRule="auto"/>
              <w:jc w:val="both"/>
              <w:rPr>
                <w:rFonts w:eastAsia="Calibri"/>
                <w:sz w:val="20"/>
                <w:lang w:val="en-CA"/>
              </w:rPr>
            </w:pPr>
          </w:p>
        </w:tc>
      </w:tr>
    </w:tbl>
    <w:p w:rsidR="00DB0023" w:rsidRDefault="00DB0023" w:rsidP="00DB0023">
      <w:pPr>
        <w:jc w:val="both"/>
        <w:rPr>
          <w:rFonts w:eastAsia="Calibri"/>
          <w:sz w:val="20"/>
          <w:lang w:val="en-CA"/>
        </w:rPr>
      </w:pPr>
    </w:p>
    <w:p w:rsidR="00193609" w:rsidRPr="00DB0023" w:rsidRDefault="00193609" w:rsidP="00DB002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B0023" w:rsidRPr="00DB0023" w:rsidTr="00DB0023">
        <w:tc>
          <w:tcPr>
            <w:tcW w:w="543" w:type="pct"/>
            <w:hideMark/>
          </w:tcPr>
          <w:p w:rsidR="00DB0023" w:rsidRPr="00DB0023" w:rsidRDefault="00DB0023" w:rsidP="00DB0023">
            <w:pPr>
              <w:spacing w:line="276" w:lineRule="auto"/>
              <w:jc w:val="both"/>
              <w:rPr>
                <w:rFonts w:eastAsia="Calibri"/>
                <w:sz w:val="20"/>
                <w:lang w:val="en-CA"/>
              </w:rPr>
            </w:pPr>
            <w:r w:rsidRPr="005529E3">
              <w:rPr>
                <w:rFonts w:eastAsia="Calibri"/>
                <w:b/>
                <w:sz w:val="20"/>
                <w:lang w:val="en-CA"/>
              </w:rPr>
              <w:t>36440</w:t>
            </w:r>
          </w:p>
        </w:tc>
        <w:tc>
          <w:tcPr>
            <w:tcW w:w="4457" w:type="pct"/>
            <w:gridSpan w:val="3"/>
          </w:tcPr>
          <w:p w:rsidR="00DB0023" w:rsidRPr="00DB0023" w:rsidRDefault="00DB0023" w:rsidP="00DB0023">
            <w:pPr>
              <w:spacing w:line="276" w:lineRule="auto"/>
              <w:jc w:val="both"/>
              <w:rPr>
                <w:rFonts w:eastAsia="Calibri"/>
                <w:b/>
                <w:sz w:val="20"/>
                <w:lang w:val="fr-CA"/>
              </w:rPr>
            </w:pPr>
            <w:proofErr w:type="spellStart"/>
            <w:r w:rsidRPr="00DB0023">
              <w:rPr>
                <w:rFonts w:eastAsia="Calibri"/>
                <w:b/>
                <w:sz w:val="20"/>
                <w:lang w:val="fr-CA"/>
              </w:rPr>
              <w:t>Navin</w:t>
            </w:r>
            <w:proofErr w:type="spellEnd"/>
            <w:r w:rsidRPr="00DB0023">
              <w:rPr>
                <w:rFonts w:eastAsia="Calibri"/>
                <w:b/>
                <w:sz w:val="20"/>
                <w:lang w:val="fr-CA"/>
              </w:rPr>
              <w:t xml:space="preserve"> Joshi c. Banque Canadienne Impériale de Commerce</w:t>
            </w:r>
          </w:p>
          <w:p w:rsidR="00DB0023" w:rsidRPr="00DB0023" w:rsidRDefault="00DB0023" w:rsidP="00193609">
            <w:pPr>
              <w:spacing w:line="276" w:lineRule="auto"/>
              <w:jc w:val="both"/>
              <w:rPr>
                <w:rFonts w:eastAsia="Calibri"/>
                <w:sz w:val="20"/>
                <w:lang w:val="en-CA"/>
              </w:rPr>
            </w:pPr>
            <w:r w:rsidRPr="00DB0023">
              <w:rPr>
                <w:rFonts w:eastAsia="Calibri"/>
                <w:sz w:val="20"/>
                <w:lang w:val="en-CA"/>
              </w:rPr>
              <w:t>(CF) (</w:t>
            </w:r>
            <w:proofErr w:type="spellStart"/>
            <w:r w:rsidRPr="00DB0023">
              <w:rPr>
                <w:rFonts w:eastAsia="Calibri"/>
                <w:sz w:val="20"/>
                <w:lang w:val="en-CA"/>
              </w:rPr>
              <w:t>Civile</w:t>
            </w:r>
            <w:proofErr w:type="spellEnd"/>
            <w:r w:rsidRPr="00DB0023">
              <w:rPr>
                <w:rFonts w:eastAsia="Calibri"/>
                <w:sz w:val="20"/>
                <w:lang w:val="en-CA"/>
              </w:rPr>
              <w:t xml:space="preserve">) (Sur </w:t>
            </w:r>
            <w:proofErr w:type="spellStart"/>
            <w:r w:rsidRPr="00DB0023">
              <w:rPr>
                <w:rFonts w:eastAsia="Calibri"/>
                <w:sz w:val="20"/>
                <w:lang w:val="en-CA"/>
              </w:rPr>
              <w:t>autorisation</w:t>
            </w:r>
            <w:proofErr w:type="spellEnd"/>
            <w:r w:rsidRPr="00DB0023">
              <w:rPr>
                <w:rFonts w:eastAsia="Calibri"/>
                <w:sz w:val="20"/>
                <w:lang w:val="en-CA"/>
              </w:rPr>
              <w:t>)</w:t>
            </w:r>
          </w:p>
        </w:tc>
      </w:tr>
      <w:tr w:rsidR="00DB0023" w:rsidRPr="00480458" w:rsidTr="00DB0023">
        <w:tc>
          <w:tcPr>
            <w:tcW w:w="5000" w:type="pct"/>
            <w:gridSpan w:val="4"/>
          </w:tcPr>
          <w:p w:rsidR="00DB0023" w:rsidRPr="00DB0023" w:rsidRDefault="00DB0023" w:rsidP="00DB0023">
            <w:pPr>
              <w:spacing w:line="276" w:lineRule="auto"/>
              <w:jc w:val="both"/>
              <w:rPr>
                <w:rFonts w:eastAsia="Calibri"/>
                <w:sz w:val="20"/>
                <w:lang w:val="fr-CA"/>
              </w:rPr>
            </w:pPr>
            <w:r w:rsidRPr="00DB0023">
              <w:rPr>
                <w:rFonts w:eastAsia="Calibri"/>
                <w:i/>
                <w:sz w:val="20"/>
                <w:lang w:val="fr-CA"/>
              </w:rPr>
              <w:t>Charte des droits</w:t>
            </w:r>
            <w:r w:rsidRPr="00DB0023">
              <w:rPr>
                <w:rFonts w:eastAsia="Calibri"/>
                <w:sz w:val="20"/>
                <w:lang w:val="fr-CA"/>
              </w:rPr>
              <w:t xml:space="preserve"> – Droit administratif – Organismes et tribunaux administratifs – Contrôle judiciaire – Norme de contrôle – Les droits garantis au demandeur par la </w:t>
            </w:r>
            <w:r w:rsidRPr="00DB0023">
              <w:rPr>
                <w:rFonts w:eastAsia="Calibri"/>
                <w:i/>
                <w:sz w:val="20"/>
                <w:lang w:val="fr-CA"/>
              </w:rPr>
              <w:t>Charte</w:t>
            </w:r>
            <w:r w:rsidRPr="00DB0023">
              <w:rPr>
                <w:rFonts w:eastAsia="Calibri"/>
                <w:sz w:val="20"/>
                <w:lang w:val="fr-CA"/>
              </w:rPr>
              <w:t xml:space="preserve"> ont-ils été violés lorsque l’arbitre a rejeté sa plainte de congédiement injustifié en vertu du </w:t>
            </w:r>
            <w:r w:rsidRPr="00DB0023">
              <w:rPr>
                <w:rFonts w:eastAsia="Calibri"/>
                <w:i/>
                <w:sz w:val="20"/>
                <w:lang w:val="fr-CA"/>
              </w:rPr>
              <w:t>Code canadien du</w:t>
            </w:r>
            <w:r w:rsidRPr="00DB0023">
              <w:rPr>
                <w:rFonts w:eastAsia="Calibri"/>
                <w:sz w:val="20"/>
                <w:lang w:val="fr-CA"/>
              </w:rPr>
              <w:t xml:space="preserve"> </w:t>
            </w:r>
            <w:r w:rsidRPr="00DB0023">
              <w:rPr>
                <w:rFonts w:eastAsia="Calibri"/>
                <w:i/>
                <w:sz w:val="20"/>
                <w:lang w:val="fr-CA"/>
              </w:rPr>
              <w:t>travail</w:t>
            </w:r>
            <w:r w:rsidRPr="00DB0023">
              <w:rPr>
                <w:rFonts w:eastAsia="Calibri"/>
                <w:sz w:val="20"/>
                <w:lang w:val="fr-CA"/>
              </w:rPr>
              <w:t>, L.R.C. 1985, c. L-2 (le « </w:t>
            </w:r>
            <w:r w:rsidRPr="00DB0023">
              <w:rPr>
                <w:rFonts w:eastAsia="Calibri"/>
                <w:i/>
                <w:sz w:val="20"/>
                <w:lang w:val="fr-CA"/>
              </w:rPr>
              <w:t>Code </w:t>
            </w:r>
            <w:r w:rsidRPr="00DB0023">
              <w:rPr>
                <w:rFonts w:eastAsia="Calibri"/>
                <w:sz w:val="20"/>
                <w:lang w:val="fr-CA"/>
              </w:rPr>
              <w:t xml:space="preserve">»), pour absence de compétence? – La </w:t>
            </w:r>
            <w:r w:rsidRPr="00DB0023">
              <w:rPr>
                <w:rFonts w:eastAsia="Calibri"/>
                <w:i/>
                <w:sz w:val="20"/>
                <w:lang w:val="fr-CA"/>
              </w:rPr>
              <w:t>Loi</w:t>
            </w:r>
            <w:r w:rsidRPr="00DB0023">
              <w:rPr>
                <w:rFonts w:eastAsia="Calibri"/>
                <w:sz w:val="20"/>
                <w:lang w:val="fr-CA"/>
              </w:rPr>
              <w:t xml:space="preserve"> </w:t>
            </w:r>
            <w:r w:rsidRPr="00DB0023">
              <w:rPr>
                <w:rFonts w:eastAsia="Calibri"/>
                <w:i/>
                <w:sz w:val="20"/>
                <w:lang w:val="fr-CA"/>
              </w:rPr>
              <w:t>canadienne sur les droits de la personne</w:t>
            </w:r>
            <w:r w:rsidRPr="00DB0023">
              <w:rPr>
                <w:rFonts w:eastAsia="Calibri"/>
                <w:sz w:val="20"/>
                <w:lang w:val="fr-CA"/>
              </w:rPr>
              <w:t>, L.R.C. 1985, c. H-6 (la « </w:t>
            </w:r>
            <w:r w:rsidRPr="00DB0023">
              <w:rPr>
                <w:rFonts w:eastAsia="Calibri"/>
                <w:i/>
                <w:sz w:val="20"/>
                <w:lang w:val="fr-CA"/>
              </w:rPr>
              <w:t>Loi</w:t>
            </w:r>
            <w:r w:rsidRPr="00DB0023">
              <w:rPr>
                <w:rFonts w:eastAsia="Calibri"/>
                <w:sz w:val="20"/>
                <w:lang w:val="fr-CA"/>
              </w:rPr>
              <w:t xml:space="preserve"> »), s’applique-t-elle au </w:t>
            </w:r>
            <w:r w:rsidRPr="00DB0023">
              <w:rPr>
                <w:rFonts w:eastAsia="Calibri"/>
                <w:i/>
                <w:sz w:val="20"/>
                <w:lang w:val="fr-CA"/>
              </w:rPr>
              <w:t>Code</w:t>
            </w:r>
            <w:r w:rsidRPr="00DB0023">
              <w:rPr>
                <w:rFonts w:eastAsia="Calibri"/>
                <w:sz w:val="20"/>
                <w:lang w:val="fr-CA"/>
              </w:rPr>
              <w:t xml:space="preserve">? – Que signifient les mots « La Commission renvoie le plaignant à l’autorité compétente » que l’on retrouve à l’art. 44 de la </w:t>
            </w:r>
            <w:r w:rsidRPr="00DB0023">
              <w:rPr>
                <w:rFonts w:eastAsia="Calibri"/>
                <w:i/>
                <w:sz w:val="20"/>
                <w:lang w:val="fr-CA"/>
              </w:rPr>
              <w:t>Loi</w:t>
            </w:r>
            <w:r w:rsidRPr="00DB0023">
              <w:rPr>
                <w:rFonts w:eastAsia="Calibri"/>
                <w:sz w:val="20"/>
                <w:lang w:val="fr-CA"/>
              </w:rPr>
              <w:t xml:space="preserve">? – Les deux plaintes présentées par le demandeur dans un intervalle de plusieurs années sont-elles identiques? – Une personne peut-elle consentir à l’abrogation du droit que lui confère la loi? </w:t>
            </w:r>
          </w:p>
          <w:p w:rsidR="00DB0023" w:rsidRPr="00DB0023" w:rsidRDefault="00DB0023" w:rsidP="00DB0023">
            <w:pPr>
              <w:spacing w:line="276" w:lineRule="auto"/>
              <w:jc w:val="both"/>
              <w:rPr>
                <w:rFonts w:eastAsia="Calibri"/>
                <w:sz w:val="20"/>
                <w:lang w:val="fr-CA"/>
              </w:rPr>
            </w:pPr>
          </w:p>
        </w:tc>
      </w:tr>
      <w:tr w:rsidR="00DB0023" w:rsidRPr="00480458" w:rsidTr="00DB0023">
        <w:tc>
          <w:tcPr>
            <w:tcW w:w="5000" w:type="pct"/>
            <w:gridSpan w:val="4"/>
          </w:tcPr>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Lorsque le demandeur a été congédié de son poste chez l’intimée, il a déposé en vertu du </w:t>
            </w:r>
            <w:r w:rsidRPr="00DB0023">
              <w:rPr>
                <w:rFonts w:eastAsia="Calibri"/>
                <w:i/>
                <w:sz w:val="20"/>
                <w:lang w:val="fr-CA"/>
              </w:rPr>
              <w:t>Code</w:t>
            </w:r>
            <w:r w:rsidRPr="00DB0023">
              <w:rPr>
                <w:rFonts w:eastAsia="Calibri"/>
                <w:sz w:val="20"/>
                <w:lang w:val="fr-CA"/>
              </w:rPr>
              <w:t xml:space="preserve"> une plainte dans laquelle il affirme avoir été injustement congédié, puis a déposé auprès de la Commission canadienne des droits de la personne (la « Commission ») une plainte dénonçant le traitement injuste et la conduite discriminatoire dont a fait preuve l’intimée au cours de son emploi et en le congédiant. L’intimée a contesté la compétence de l’arbitre nommé au titre du </w:t>
            </w:r>
            <w:r w:rsidRPr="00DB0023">
              <w:rPr>
                <w:rFonts w:eastAsia="Calibri"/>
                <w:i/>
                <w:sz w:val="20"/>
                <w:lang w:val="fr-CA"/>
              </w:rPr>
              <w:t>Code</w:t>
            </w:r>
            <w:r w:rsidRPr="00DB0023">
              <w:rPr>
                <w:rFonts w:eastAsia="Calibri"/>
                <w:sz w:val="20"/>
                <w:lang w:val="fr-CA"/>
              </w:rPr>
              <w:t xml:space="preserve"> sur le fondement du par. 242(3.1) du </w:t>
            </w:r>
            <w:r w:rsidRPr="00DB0023">
              <w:rPr>
                <w:rFonts w:eastAsia="Calibri"/>
                <w:i/>
                <w:sz w:val="20"/>
                <w:lang w:val="fr-CA"/>
              </w:rPr>
              <w:t>Code</w:t>
            </w:r>
            <w:r w:rsidRPr="00DB0023">
              <w:rPr>
                <w:rFonts w:eastAsia="Calibri"/>
                <w:sz w:val="20"/>
                <w:lang w:val="fr-CA"/>
              </w:rPr>
              <w:t>. Les parties ont convenu, à la suite d’un échange de courriels, que l’arbitre n’avait pas compétence pour examiner la plainte de congédiement injustifié sauf si la Commission la lui renvoyait en vertu des al. 41(1)</w:t>
            </w:r>
            <w:r w:rsidRPr="00DB0023">
              <w:rPr>
                <w:rFonts w:eastAsia="Calibri"/>
                <w:i/>
                <w:sz w:val="20"/>
                <w:lang w:val="fr-CA"/>
              </w:rPr>
              <w:t>b</w:t>
            </w:r>
            <w:r w:rsidRPr="00DB0023">
              <w:rPr>
                <w:rFonts w:eastAsia="Calibri"/>
                <w:sz w:val="20"/>
                <w:lang w:val="fr-CA"/>
              </w:rPr>
              <w:t>) ou 44(2)</w:t>
            </w:r>
            <w:r w:rsidRPr="00DB0023">
              <w:rPr>
                <w:rFonts w:eastAsia="Calibri"/>
                <w:i/>
                <w:sz w:val="20"/>
                <w:lang w:val="fr-CA"/>
              </w:rPr>
              <w:t>b</w:t>
            </w:r>
            <w:r w:rsidRPr="00DB0023">
              <w:rPr>
                <w:rFonts w:eastAsia="Calibri"/>
                <w:sz w:val="20"/>
                <w:lang w:val="fr-CA"/>
              </w:rPr>
              <w:t xml:space="preserve">) de la </w:t>
            </w:r>
            <w:r w:rsidRPr="00DB0023">
              <w:rPr>
                <w:rFonts w:eastAsia="Calibri"/>
                <w:i/>
                <w:sz w:val="20"/>
                <w:lang w:val="fr-CA"/>
              </w:rPr>
              <w:t>Loi</w:t>
            </w:r>
            <w:r w:rsidRPr="00DB0023">
              <w:rPr>
                <w:rFonts w:eastAsia="Calibri"/>
                <w:sz w:val="20"/>
                <w:lang w:val="fr-CA"/>
              </w:rPr>
              <w:t>.</w:t>
            </w:r>
          </w:p>
          <w:p w:rsidR="00DB0023" w:rsidRPr="00DB0023" w:rsidRDefault="00DB0023" w:rsidP="00DB0023">
            <w:pPr>
              <w:spacing w:line="276" w:lineRule="auto"/>
              <w:jc w:val="both"/>
              <w:rPr>
                <w:rFonts w:eastAsia="Calibri"/>
                <w:sz w:val="20"/>
                <w:lang w:val="fr-CA"/>
              </w:rPr>
            </w:pPr>
          </w:p>
          <w:p w:rsidR="00DB0023" w:rsidRPr="00DB0023" w:rsidRDefault="00DB0023" w:rsidP="00DB0023">
            <w:pPr>
              <w:spacing w:line="276" w:lineRule="auto"/>
              <w:jc w:val="both"/>
              <w:rPr>
                <w:rFonts w:eastAsia="Calibri"/>
                <w:sz w:val="20"/>
                <w:lang w:val="fr-CA"/>
              </w:rPr>
            </w:pPr>
            <w:r w:rsidRPr="00DB0023">
              <w:rPr>
                <w:rFonts w:eastAsia="Calibri"/>
                <w:sz w:val="20"/>
                <w:lang w:val="fr-CA"/>
              </w:rPr>
              <w:t>La Commission a finalement rejeté la plainte du demandeur sur la base du sous-al. 44(3)</w:t>
            </w:r>
            <w:r w:rsidRPr="00DB0023">
              <w:rPr>
                <w:rFonts w:eastAsia="Calibri"/>
                <w:i/>
                <w:sz w:val="20"/>
                <w:lang w:val="fr-CA"/>
              </w:rPr>
              <w:t>b</w:t>
            </w:r>
            <w:r w:rsidRPr="00DB0023">
              <w:rPr>
                <w:rFonts w:eastAsia="Calibri"/>
                <w:sz w:val="20"/>
                <w:lang w:val="fr-CA"/>
              </w:rPr>
              <w:t xml:space="preserve">)(i) de la </w:t>
            </w:r>
            <w:r w:rsidRPr="00DB0023">
              <w:rPr>
                <w:rFonts w:eastAsia="Calibri"/>
                <w:i/>
                <w:sz w:val="20"/>
                <w:lang w:val="fr-CA"/>
              </w:rPr>
              <w:t xml:space="preserve">Loi. </w:t>
            </w:r>
            <w:r w:rsidRPr="00DB0023">
              <w:rPr>
                <w:rFonts w:eastAsia="Calibri"/>
                <w:sz w:val="20"/>
                <w:lang w:val="fr-CA"/>
              </w:rPr>
              <w:t>Selon elle,</w:t>
            </w:r>
            <w:r w:rsidRPr="00DB0023">
              <w:rPr>
                <w:rFonts w:eastAsia="Calibri"/>
                <w:i/>
                <w:sz w:val="20"/>
                <w:lang w:val="fr-CA"/>
              </w:rPr>
              <w:t xml:space="preserve"> </w:t>
            </w:r>
            <w:r w:rsidRPr="00DB0023">
              <w:rPr>
                <w:rFonts w:eastAsia="Calibri"/>
                <w:sz w:val="20"/>
                <w:lang w:val="fr-CA"/>
              </w:rPr>
              <w:t xml:space="preserve">le demandeur n’avait pas produit une preuve suffisante pour établir que l’intimée ne lui avait pas fait une proposition d’emploi, l’avait traité de manière différente et préjudiciable ou l’avait congédié en raison d’une déficience, et il n’était justifié d’enquêter sur la plainte. Une demande de contrôle judiciaire visant cette décision a été rejetée par la Cour fédérale, tout comme son appel à la Cour d’appel fédérale. Le demandeur a ensuite cherché à faire instruire sa plainte par l’arbitre en vertu du </w:t>
            </w:r>
            <w:r w:rsidRPr="00DB0023">
              <w:rPr>
                <w:rFonts w:eastAsia="Calibri"/>
                <w:i/>
                <w:sz w:val="20"/>
                <w:lang w:val="fr-CA"/>
              </w:rPr>
              <w:t>Code</w:t>
            </w:r>
            <w:r w:rsidRPr="00DB0023">
              <w:rPr>
                <w:rFonts w:eastAsia="Calibri"/>
                <w:sz w:val="20"/>
                <w:lang w:val="fr-CA"/>
              </w:rPr>
              <w:t>. L’intimée a fait valoir qu’il n’avait pas compétence étant donné que la Commission ne lui avait pas renvoyé l’affaire en vertu des al. 41(1)</w:t>
            </w:r>
            <w:r w:rsidRPr="00DB0023">
              <w:rPr>
                <w:rFonts w:eastAsia="Calibri"/>
                <w:i/>
                <w:sz w:val="20"/>
                <w:lang w:val="fr-CA"/>
              </w:rPr>
              <w:t>b</w:t>
            </w:r>
            <w:r w:rsidRPr="00DB0023">
              <w:rPr>
                <w:rFonts w:eastAsia="Calibri"/>
                <w:sz w:val="20"/>
                <w:lang w:val="fr-CA"/>
              </w:rPr>
              <w:t>) ou 44(2)</w:t>
            </w:r>
            <w:r w:rsidRPr="00DB0023">
              <w:rPr>
                <w:rFonts w:eastAsia="Calibri"/>
                <w:i/>
                <w:sz w:val="20"/>
                <w:lang w:val="fr-CA"/>
              </w:rPr>
              <w:t>b</w:t>
            </w:r>
            <w:r w:rsidRPr="00DB0023">
              <w:rPr>
                <w:rFonts w:eastAsia="Calibri"/>
                <w:sz w:val="20"/>
                <w:lang w:val="fr-CA"/>
              </w:rPr>
              <w:t xml:space="preserve">) de la </w:t>
            </w:r>
            <w:r w:rsidRPr="00DB0023">
              <w:rPr>
                <w:rFonts w:eastAsia="Calibri"/>
                <w:i/>
                <w:sz w:val="20"/>
                <w:lang w:val="fr-CA"/>
              </w:rPr>
              <w:t>Loi</w:t>
            </w:r>
            <w:r w:rsidRPr="00DB0023">
              <w:rPr>
                <w:rFonts w:eastAsia="Calibri"/>
                <w:sz w:val="20"/>
                <w:lang w:val="fr-CA"/>
              </w:rPr>
              <w:t xml:space="preserve">. Ayant conclu que les deux plaintes se ressemblaient sensiblement, l’arbitre a rejeté la plainte du demandeur pour absence de compétence sur la base du par. 242(3.1) du </w:t>
            </w:r>
            <w:r w:rsidRPr="00DB0023">
              <w:rPr>
                <w:rFonts w:eastAsia="Calibri"/>
                <w:i/>
                <w:sz w:val="20"/>
                <w:lang w:val="fr-CA"/>
              </w:rPr>
              <w:t>Code</w:t>
            </w:r>
            <w:r w:rsidRPr="00DB0023">
              <w:rPr>
                <w:rFonts w:eastAsia="Calibri"/>
                <w:sz w:val="20"/>
                <w:lang w:val="fr-CA"/>
              </w:rPr>
              <w:t xml:space="preserve"> et de l’entente intervenue entre les parties. La Cour fédérale a confirmé la décision de l’arbitre au terme d’un contrôle judiciaire. L’appel du demandeur à la Cour d’appel fédérale a été rejeté.</w:t>
            </w:r>
          </w:p>
          <w:p w:rsidR="00DB0023" w:rsidRPr="00DB0023" w:rsidRDefault="00DB0023" w:rsidP="00DB0023">
            <w:pPr>
              <w:spacing w:line="276" w:lineRule="auto"/>
              <w:jc w:val="both"/>
              <w:rPr>
                <w:rFonts w:eastAsia="Calibri"/>
                <w:sz w:val="20"/>
                <w:lang w:val="fr-CA"/>
              </w:rPr>
            </w:pPr>
          </w:p>
        </w:tc>
      </w:tr>
      <w:tr w:rsidR="00DB0023" w:rsidRPr="00480458" w:rsidTr="00DB0023">
        <w:tc>
          <w:tcPr>
            <w:tcW w:w="2427" w:type="pct"/>
            <w:gridSpan w:val="2"/>
          </w:tcPr>
          <w:p w:rsidR="00DB0023" w:rsidRPr="00DB0023" w:rsidRDefault="00DB0023" w:rsidP="00DB0023">
            <w:pPr>
              <w:spacing w:line="276" w:lineRule="auto"/>
              <w:jc w:val="both"/>
              <w:rPr>
                <w:rFonts w:eastAsia="Calibri"/>
                <w:sz w:val="20"/>
                <w:lang w:val="fr-CA"/>
              </w:rPr>
            </w:pPr>
            <w:r w:rsidRPr="00DB0023">
              <w:rPr>
                <w:rFonts w:eastAsia="Calibri"/>
                <w:sz w:val="20"/>
                <w:lang w:val="fr-CA"/>
              </w:rPr>
              <w:t>21 juillet 2014</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fédérale</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(Juge Russell)</w:t>
            </w:r>
          </w:p>
          <w:p w:rsidR="00DB0023" w:rsidRPr="00DB0023" w:rsidRDefault="00480458" w:rsidP="00DB0023">
            <w:pPr>
              <w:spacing w:line="276" w:lineRule="auto"/>
              <w:jc w:val="both"/>
              <w:rPr>
                <w:rFonts w:eastAsia="Calibri"/>
                <w:sz w:val="20"/>
                <w:lang w:val="en-CA"/>
              </w:rPr>
            </w:pPr>
            <w:hyperlink r:id="rId28" w:history="1">
              <w:r w:rsidR="00DB0023" w:rsidRPr="005529E3">
                <w:rPr>
                  <w:rFonts w:eastAsia="Calibri"/>
                  <w:color w:val="0000FF" w:themeColor="hyperlink"/>
                  <w:sz w:val="20"/>
                  <w:u w:val="single"/>
                  <w:lang w:val="en-CA"/>
                </w:rPr>
                <w:t>2014 CF 722</w:t>
              </w:r>
            </w:hyperlink>
          </w:p>
          <w:p w:rsidR="00DB0023" w:rsidRPr="00DB0023" w:rsidRDefault="00DB0023" w:rsidP="00DB0023">
            <w:pPr>
              <w:spacing w:line="276" w:lineRule="auto"/>
              <w:jc w:val="both"/>
              <w:rPr>
                <w:rFonts w:eastAsia="Calibri"/>
                <w:sz w:val="20"/>
                <w:lang w:val="en-CA"/>
              </w:rPr>
            </w:pPr>
          </w:p>
        </w:tc>
        <w:tc>
          <w:tcPr>
            <w:tcW w:w="243" w:type="pct"/>
          </w:tcPr>
          <w:p w:rsidR="00DB0023" w:rsidRPr="00DB0023" w:rsidRDefault="00DB0023" w:rsidP="00DB0023">
            <w:pPr>
              <w:spacing w:line="276" w:lineRule="auto"/>
              <w:jc w:val="both"/>
              <w:rPr>
                <w:rFonts w:eastAsia="Calibri"/>
                <w:sz w:val="20"/>
                <w:lang w:val="en-CA"/>
              </w:rPr>
            </w:pPr>
          </w:p>
        </w:tc>
        <w:tc>
          <w:tcPr>
            <w:tcW w:w="2330" w:type="pct"/>
          </w:tcPr>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Rejet de la demande de contrôle judiciaire </w:t>
            </w:r>
          </w:p>
          <w:p w:rsidR="00DB0023" w:rsidRPr="00DB0023" w:rsidRDefault="00DB0023" w:rsidP="00DB0023">
            <w:pPr>
              <w:spacing w:line="276" w:lineRule="auto"/>
              <w:jc w:val="both"/>
              <w:rPr>
                <w:rFonts w:eastAsia="Calibri"/>
                <w:sz w:val="20"/>
                <w:lang w:val="fr-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fr-CA"/>
              </w:rPr>
            </w:pPr>
            <w:r w:rsidRPr="00DB0023">
              <w:rPr>
                <w:rFonts w:eastAsia="Calibri"/>
                <w:sz w:val="20"/>
                <w:lang w:val="fr-CA"/>
              </w:rPr>
              <w:t>23 avril 2015</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d’appel fédérale</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(Juges Nadon, Dawson et Boivin)</w:t>
            </w:r>
          </w:p>
          <w:p w:rsidR="00DB0023" w:rsidRPr="00DB0023" w:rsidRDefault="00480458" w:rsidP="00DB0023">
            <w:pPr>
              <w:spacing w:line="276" w:lineRule="auto"/>
              <w:jc w:val="both"/>
              <w:rPr>
                <w:rFonts w:eastAsia="Calibri"/>
                <w:sz w:val="20"/>
                <w:lang w:val="en-CA"/>
              </w:rPr>
            </w:pPr>
            <w:hyperlink r:id="rId29" w:history="1">
              <w:r w:rsidR="00DB0023" w:rsidRPr="005529E3">
                <w:rPr>
                  <w:rFonts w:eastAsia="Calibri"/>
                  <w:color w:val="0000FF" w:themeColor="hyperlink"/>
                  <w:sz w:val="20"/>
                  <w:u w:val="single"/>
                  <w:lang w:val="en-CA"/>
                </w:rPr>
                <w:t>2015 CAF 105</w:t>
              </w:r>
            </w:hyperlink>
          </w:p>
          <w:p w:rsidR="00DB0023" w:rsidRPr="00DB0023" w:rsidRDefault="00DB0023" w:rsidP="00DB0023">
            <w:pPr>
              <w:spacing w:line="276" w:lineRule="auto"/>
              <w:jc w:val="both"/>
              <w:rPr>
                <w:rFonts w:eastAsia="Calibri"/>
                <w:sz w:val="20"/>
                <w:lang w:val="en-CA"/>
              </w:rPr>
            </w:pPr>
          </w:p>
        </w:tc>
        <w:tc>
          <w:tcPr>
            <w:tcW w:w="243" w:type="pct"/>
          </w:tcPr>
          <w:p w:rsidR="00DB0023" w:rsidRPr="00DB0023" w:rsidRDefault="00DB0023" w:rsidP="00DB0023">
            <w:pPr>
              <w:spacing w:line="276" w:lineRule="auto"/>
              <w:jc w:val="both"/>
              <w:rPr>
                <w:rFonts w:eastAsia="Calibri"/>
                <w:sz w:val="20"/>
                <w:lang w:val="en-CA"/>
              </w:rPr>
            </w:pPr>
          </w:p>
        </w:tc>
        <w:tc>
          <w:tcPr>
            <w:tcW w:w="2330" w:type="pct"/>
          </w:tcPr>
          <w:p w:rsidR="00DB0023" w:rsidRPr="00DB0023" w:rsidRDefault="00DB0023" w:rsidP="00DB0023">
            <w:pPr>
              <w:spacing w:line="276" w:lineRule="auto"/>
              <w:jc w:val="both"/>
              <w:rPr>
                <w:rFonts w:eastAsia="Calibri"/>
                <w:sz w:val="20"/>
                <w:lang w:val="en-CA"/>
              </w:rPr>
            </w:pPr>
            <w:proofErr w:type="spellStart"/>
            <w:r w:rsidRPr="00DB0023">
              <w:rPr>
                <w:rFonts w:eastAsia="Calibri"/>
                <w:sz w:val="20"/>
                <w:lang w:val="en-CA"/>
              </w:rPr>
              <w:t>Rejet</w:t>
            </w:r>
            <w:proofErr w:type="spellEnd"/>
            <w:r w:rsidRPr="00DB0023">
              <w:rPr>
                <w:rFonts w:eastAsia="Calibri"/>
                <w:sz w:val="20"/>
                <w:lang w:val="en-CA"/>
              </w:rPr>
              <w:t xml:space="preserve"> de </w:t>
            </w:r>
            <w:proofErr w:type="spellStart"/>
            <w:r w:rsidRPr="00DB0023">
              <w:rPr>
                <w:rFonts w:eastAsia="Calibri"/>
                <w:sz w:val="20"/>
                <w:lang w:val="en-CA"/>
              </w:rPr>
              <w:t>l’appel</w:t>
            </w:r>
            <w:proofErr w:type="spellEnd"/>
          </w:p>
          <w:p w:rsidR="00DB0023" w:rsidRPr="00DB0023" w:rsidRDefault="00DB0023" w:rsidP="00DB0023">
            <w:pPr>
              <w:spacing w:line="276" w:lineRule="auto"/>
              <w:jc w:val="both"/>
              <w:rPr>
                <w:rFonts w:eastAsia="Calibri"/>
                <w:sz w:val="20"/>
                <w:lang w:val="en-CA"/>
              </w:rPr>
            </w:pPr>
          </w:p>
        </w:tc>
      </w:tr>
      <w:tr w:rsidR="00DB0023" w:rsidRPr="00480458" w:rsidTr="00DB0023">
        <w:tc>
          <w:tcPr>
            <w:tcW w:w="2427" w:type="pct"/>
            <w:gridSpan w:val="2"/>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15 mai 2015</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suprême du Canada</w:t>
            </w:r>
          </w:p>
        </w:tc>
        <w:tc>
          <w:tcPr>
            <w:tcW w:w="243" w:type="pct"/>
          </w:tcPr>
          <w:p w:rsidR="00DB0023" w:rsidRPr="00DB0023" w:rsidRDefault="00DB0023" w:rsidP="00DB0023">
            <w:pPr>
              <w:spacing w:line="276" w:lineRule="auto"/>
              <w:jc w:val="both"/>
              <w:rPr>
                <w:rFonts w:eastAsia="Calibri"/>
                <w:sz w:val="20"/>
                <w:lang w:val="fr-CA"/>
              </w:rPr>
            </w:pPr>
          </w:p>
        </w:tc>
        <w:tc>
          <w:tcPr>
            <w:tcW w:w="2330" w:type="pct"/>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Dépôt de la demande d’autorisation d’appel </w:t>
            </w:r>
          </w:p>
        </w:tc>
      </w:tr>
    </w:tbl>
    <w:p w:rsidR="00DB0023" w:rsidRDefault="00DB0023" w:rsidP="00DB0023">
      <w:pPr>
        <w:jc w:val="both"/>
        <w:rPr>
          <w:rFonts w:eastAsia="Calibri"/>
          <w:sz w:val="20"/>
          <w:lang w:val="fr-CA"/>
        </w:rPr>
      </w:pPr>
    </w:p>
    <w:p w:rsidR="00193609" w:rsidRPr="00DB0023" w:rsidRDefault="00193609" w:rsidP="00DB0023">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B0023" w:rsidRPr="00DB0023" w:rsidTr="00DB0023">
        <w:tc>
          <w:tcPr>
            <w:tcW w:w="543" w:type="pct"/>
            <w:hideMark/>
          </w:tcPr>
          <w:p w:rsidR="00DB0023" w:rsidRPr="00DB0023" w:rsidRDefault="00DB0023" w:rsidP="00DB0023">
            <w:pPr>
              <w:spacing w:line="276" w:lineRule="auto"/>
              <w:jc w:val="both"/>
              <w:rPr>
                <w:rFonts w:eastAsia="Calibri"/>
                <w:sz w:val="20"/>
                <w:lang w:val="en-CA"/>
              </w:rPr>
            </w:pPr>
            <w:r w:rsidRPr="005529E3">
              <w:rPr>
                <w:rFonts w:eastAsia="Calibri"/>
                <w:b/>
                <w:sz w:val="20"/>
                <w:lang w:val="en-CA"/>
              </w:rPr>
              <w:t>36439</w:t>
            </w:r>
          </w:p>
        </w:tc>
        <w:tc>
          <w:tcPr>
            <w:tcW w:w="4457" w:type="pct"/>
            <w:gridSpan w:val="3"/>
            <w:hideMark/>
          </w:tcPr>
          <w:p w:rsidR="00DB0023" w:rsidRPr="00DB0023" w:rsidRDefault="00DB0023" w:rsidP="00DB0023">
            <w:pPr>
              <w:spacing w:line="276" w:lineRule="auto"/>
              <w:jc w:val="both"/>
              <w:rPr>
                <w:rFonts w:eastAsia="Calibri"/>
                <w:b/>
                <w:sz w:val="20"/>
                <w:lang w:val="en-CA"/>
              </w:rPr>
            </w:pPr>
            <w:proofErr w:type="spellStart"/>
            <w:r w:rsidRPr="00DB0023">
              <w:rPr>
                <w:rFonts w:eastAsia="Calibri"/>
                <w:b/>
                <w:sz w:val="20"/>
                <w:lang w:val="en-CA"/>
              </w:rPr>
              <w:t>Navin</w:t>
            </w:r>
            <w:proofErr w:type="spellEnd"/>
            <w:r w:rsidRPr="00DB0023">
              <w:rPr>
                <w:rFonts w:eastAsia="Calibri"/>
                <w:b/>
                <w:sz w:val="20"/>
                <w:lang w:val="en-CA"/>
              </w:rPr>
              <w:t xml:space="preserve"> Joshi v. Canadian Imperial Bank of Commerce</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(FC) (Civil) (By Leave)</w:t>
            </w:r>
          </w:p>
        </w:tc>
      </w:tr>
      <w:tr w:rsidR="00DB0023" w:rsidRPr="00DB0023" w:rsidTr="00DB0023">
        <w:tc>
          <w:tcPr>
            <w:tcW w:w="5000" w:type="pct"/>
            <w:gridSpan w:val="4"/>
            <w:hideMark/>
          </w:tcPr>
          <w:p w:rsidR="00DB0023" w:rsidRPr="00DB0023" w:rsidRDefault="00DB0023" w:rsidP="00DB0023">
            <w:pPr>
              <w:spacing w:line="276" w:lineRule="auto"/>
              <w:jc w:val="both"/>
              <w:rPr>
                <w:rFonts w:eastAsia="Calibri"/>
                <w:sz w:val="20"/>
                <w:lang w:val="en-CA"/>
              </w:rPr>
            </w:pPr>
            <w:r w:rsidRPr="00DB0023">
              <w:rPr>
                <w:rFonts w:eastAsia="Calibri"/>
                <w:sz w:val="20"/>
                <w:lang w:val="en-CA"/>
              </w:rPr>
              <w:t>Administrative law – Boards and tribunals – Judicial review – Standard of review – Natural justice – Procedural fairness – Bias – Canadian Human Rights Commission determining that the applicant had not provided sufficient evidence to establish his allegations of discrimination on the basis of disability – Complaint dismissed, rather than being referred to the Canadian Human Rights Tribunal – What constitutes a thorough and neutral investigation – Did the Commission conduct a thorough, neutral and fair investigation.</w:t>
            </w:r>
          </w:p>
        </w:tc>
      </w:tr>
      <w:tr w:rsidR="00DB0023" w:rsidRPr="00DB0023" w:rsidTr="00DB0023">
        <w:tc>
          <w:tcPr>
            <w:tcW w:w="5000" w:type="pct"/>
            <w:gridSpan w:val="4"/>
          </w:tcPr>
          <w:p w:rsidR="00DB0023" w:rsidRPr="00DB0023" w:rsidRDefault="00DB0023" w:rsidP="00DB0023">
            <w:pPr>
              <w:spacing w:line="276" w:lineRule="auto"/>
              <w:jc w:val="both"/>
              <w:rPr>
                <w:rFonts w:eastAsia="Calibri"/>
                <w:sz w:val="20"/>
                <w:lang w:val="en-CA"/>
              </w:rPr>
            </w:pPr>
          </w:p>
        </w:tc>
      </w:tr>
      <w:tr w:rsidR="00DB0023" w:rsidRPr="00DB0023" w:rsidTr="00DB0023">
        <w:tc>
          <w:tcPr>
            <w:tcW w:w="5000" w:type="pct"/>
            <w:gridSpan w:val="4"/>
          </w:tcPr>
          <w:p w:rsidR="00DB0023" w:rsidRPr="00DB0023" w:rsidRDefault="00DB0023" w:rsidP="00DB0023">
            <w:pPr>
              <w:spacing w:line="276" w:lineRule="auto"/>
              <w:jc w:val="both"/>
              <w:rPr>
                <w:rFonts w:eastAsia="Calibri"/>
                <w:sz w:val="20"/>
                <w:lang w:val="en-CA"/>
              </w:rPr>
            </w:pPr>
            <w:r w:rsidRPr="00DB0023">
              <w:rPr>
                <w:rFonts w:eastAsia="Calibri"/>
                <w:sz w:val="20"/>
                <w:lang w:val="en-CA"/>
              </w:rPr>
              <w:t xml:space="preserve">When the applicant was fired from his position as a security analyst with the respondent he filed a complaint with the Canadian Human Rights Commission (the “Commission”). The applicant alleged, </w:t>
            </w:r>
            <w:r w:rsidRPr="00DB0023">
              <w:rPr>
                <w:rFonts w:eastAsia="Calibri"/>
                <w:i/>
                <w:sz w:val="20"/>
                <w:lang w:val="en-CA"/>
              </w:rPr>
              <w:t>inter alia</w:t>
            </w:r>
            <w:r w:rsidRPr="00DB0023">
              <w:rPr>
                <w:rFonts w:eastAsia="Calibri"/>
                <w:sz w:val="20"/>
                <w:lang w:val="en-CA"/>
              </w:rPr>
              <w:t>, that he was denied training due to discrimination on the basis of his disability and that his lack of training unfairly led to his termination. The respondent claimed the applicant was terminated due to unsatisfactory performance, and that his physical abilities had no relevance to his job responsibilities or his dismissal. The Commission determined that the applicant had not provided sufficient evidence to establish that the respondent had failed to provide him with an employment opportunity, had treated him in an adverse differential manner or had terminated him due to his disability, which was an undiagnosed back problem. The Commission decided not to refer the applicant’s complaint to the Canadian Human Rights Tribunal, but rather dismissed his complaint pursuant to s. 44(3)(b)(</w:t>
            </w:r>
            <w:proofErr w:type="spellStart"/>
            <w:r w:rsidRPr="00DB0023">
              <w:rPr>
                <w:rFonts w:eastAsia="Calibri"/>
                <w:sz w:val="20"/>
                <w:lang w:val="en-CA"/>
              </w:rPr>
              <w:t>i</w:t>
            </w:r>
            <w:proofErr w:type="spellEnd"/>
            <w:r w:rsidRPr="00DB0023">
              <w:rPr>
                <w:rFonts w:eastAsia="Calibri"/>
                <w:sz w:val="20"/>
                <w:lang w:val="en-CA"/>
              </w:rPr>
              <w:t xml:space="preserve">) of the </w:t>
            </w:r>
            <w:r w:rsidRPr="00DB0023">
              <w:rPr>
                <w:rFonts w:eastAsia="Calibri"/>
                <w:i/>
                <w:sz w:val="20"/>
                <w:lang w:val="en-CA"/>
              </w:rPr>
              <w:t>Canadian Human Rights Act</w:t>
            </w:r>
            <w:r w:rsidRPr="00DB0023">
              <w:rPr>
                <w:rFonts w:eastAsia="Calibri"/>
                <w:sz w:val="20"/>
                <w:lang w:val="en-CA"/>
              </w:rPr>
              <w:t>, R.S.C. 1985, c. H-6. The applicant’s application for judicial review of the Commission’s decision was dismissed by the Federal Court, as was his appeal to the Federal Court of Appeal.</w:t>
            </w:r>
          </w:p>
          <w:p w:rsidR="00DB0023" w:rsidRPr="00DB0023" w:rsidRDefault="00DB0023" w:rsidP="00DB0023">
            <w:pPr>
              <w:spacing w:line="276" w:lineRule="auto"/>
              <w:jc w:val="both"/>
              <w:rPr>
                <w:rFonts w:eastAsia="Calibri"/>
                <w:sz w:val="20"/>
                <w:lang w:val="en-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en-CA"/>
              </w:rPr>
            </w:pPr>
            <w:r w:rsidRPr="00DB0023">
              <w:rPr>
                <w:rFonts w:eastAsia="Calibri"/>
                <w:sz w:val="20"/>
                <w:lang w:val="en-CA"/>
              </w:rPr>
              <w:t>June 6, 2014</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Federal Court</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(Kane J.)</w:t>
            </w:r>
          </w:p>
          <w:p w:rsidR="00DB0023" w:rsidRPr="00DB0023" w:rsidRDefault="00480458" w:rsidP="00DB0023">
            <w:pPr>
              <w:spacing w:line="276" w:lineRule="auto"/>
              <w:jc w:val="both"/>
              <w:rPr>
                <w:rFonts w:eastAsia="Calibri"/>
                <w:sz w:val="20"/>
                <w:lang w:val="en-CA"/>
              </w:rPr>
            </w:pPr>
            <w:hyperlink r:id="rId30" w:history="1">
              <w:r w:rsidR="00DB0023" w:rsidRPr="005529E3">
                <w:rPr>
                  <w:rFonts w:eastAsia="Calibri"/>
                  <w:color w:val="0000FF" w:themeColor="hyperlink"/>
                  <w:sz w:val="20"/>
                  <w:u w:val="single"/>
                  <w:lang w:val="en-CA"/>
                </w:rPr>
                <w:t>2014 FC 552</w:t>
              </w:r>
            </w:hyperlink>
          </w:p>
          <w:p w:rsidR="00DB0023" w:rsidRPr="00DB0023" w:rsidRDefault="00DB0023" w:rsidP="00DB0023">
            <w:pPr>
              <w:spacing w:line="276" w:lineRule="auto"/>
              <w:jc w:val="both"/>
              <w:rPr>
                <w:rFonts w:eastAsia="Calibri"/>
                <w:sz w:val="20"/>
                <w:lang w:val="en-CA"/>
              </w:rPr>
            </w:pPr>
          </w:p>
        </w:tc>
        <w:tc>
          <w:tcPr>
            <w:tcW w:w="243" w:type="pct"/>
          </w:tcPr>
          <w:p w:rsidR="00DB0023" w:rsidRPr="00DB0023" w:rsidRDefault="00DB0023" w:rsidP="00DB0023">
            <w:pPr>
              <w:spacing w:line="276" w:lineRule="auto"/>
              <w:jc w:val="both"/>
              <w:rPr>
                <w:rFonts w:eastAsia="Calibri"/>
                <w:sz w:val="20"/>
                <w:lang w:val="en-CA"/>
              </w:rPr>
            </w:pPr>
          </w:p>
        </w:tc>
        <w:tc>
          <w:tcPr>
            <w:tcW w:w="2330" w:type="pct"/>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Application for judicial review dismissed</w:t>
            </w:r>
          </w:p>
          <w:p w:rsidR="00DB0023" w:rsidRPr="00DB0023" w:rsidRDefault="00DB0023" w:rsidP="00DB0023">
            <w:pPr>
              <w:spacing w:line="276" w:lineRule="auto"/>
              <w:jc w:val="both"/>
              <w:rPr>
                <w:rFonts w:eastAsia="Calibri"/>
                <w:sz w:val="20"/>
                <w:lang w:val="en-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April 14, 2015</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Federal Court of Appeal</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w:t>
            </w:r>
            <w:proofErr w:type="spellStart"/>
            <w:r w:rsidRPr="00DB0023">
              <w:rPr>
                <w:rFonts w:eastAsia="Calibri"/>
                <w:sz w:val="20"/>
                <w:lang w:val="en-CA"/>
              </w:rPr>
              <w:t>Ryer</w:t>
            </w:r>
            <w:proofErr w:type="spellEnd"/>
            <w:r w:rsidRPr="00DB0023">
              <w:rPr>
                <w:rFonts w:eastAsia="Calibri"/>
                <w:sz w:val="20"/>
                <w:lang w:val="en-CA"/>
              </w:rPr>
              <w:t>, Near and Rennie JJ.A.)</w:t>
            </w:r>
          </w:p>
          <w:p w:rsidR="00DB0023" w:rsidRPr="00DB0023" w:rsidRDefault="00480458" w:rsidP="00DB0023">
            <w:pPr>
              <w:spacing w:line="276" w:lineRule="auto"/>
              <w:jc w:val="both"/>
              <w:rPr>
                <w:rFonts w:eastAsia="Calibri"/>
                <w:sz w:val="20"/>
                <w:lang w:val="en-CA"/>
              </w:rPr>
            </w:pPr>
            <w:hyperlink r:id="rId31" w:history="1">
              <w:r w:rsidR="00DB0023" w:rsidRPr="005529E3">
                <w:rPr>
                  <w:rFonts w:eastAsia="Calibri"/>
                  <w:color w:val="0000FF" w:themeColor="hyperlink"/>
                  <w:sz w:val="20"/>
                  <w:u w:val="single"/>
                  <w:lang w:val="en-CA"/>
                </w:rPr>
                <w:t>2015 FCA 92</w:t>
              </w:r>
            </w:hyperlink>
            <w:r w:rsidR="00DB0023" w:rsidRPr="00DB0023">
              <w:rPr>
                <w:rFonts w:eastAsia="Calibri"/>
                <w:sz w:val="20"/>
                <w:lang w:val="en-CA"/>
              </w:rPr>
              <w:t>; A-308-14</w:t>
            </w:r>
          </w:p>
          <w:p w:rsidR="00DB0023" w:rsidRPr="00DB0023" w:rsidRDefault="00DB0023" w:rsidP="00DB0023">
            <w:pPr>
              <w:spacing w:line="276" w:lineRule="auto"/>
              <w:jc w:val="both"/>
              <w:rPr>
                <w:rFonts w:eastAsia="Calibri"/>
                <w:sz w:val="20"/>
                <w:lang w:val="en-CA"/>
              </w:rPr>
            </w:pPr>
          </w:p>
        </w:tc>
        <w:tc>
          <w:tcPr>
            <w:tcW w:w="243" w:type="pct"/>
          </w:tcPr>
          <w:p w:rsidR="00DB0023" w:rsidRPr="00DB0023" w:rsidRDefault="00DB0023" w:rsidP="00DB0023">
            <w:pPr>
              <w:spacing w:line="276" w:lineRule="auto"/>
              <w:jc w:val="both"/>
              <w:rPr>
                <w:rFonts w:eastAsia="Calibri"/>
                <w:sz w:val="20"/>
                <w:lang w:val="en-CA"/>
              </w:rPr>
            </w:pPr>
          </w:p>
        </w:tc>
        <w:tc>
          <w:tcPr>
            <w:tcW w:w="2330" w:type="pct"/>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Appeal dismissed</w:t>
            </w:r>
          </w:p>
          <w:p w:rsidR="00DB0023" w:rsidRPr="00DB0023" w:rsidRDefault="00DB0023" w:rsidP="00DB0023">
            <w:pPr>
              <w:spacing w:line="276" w:lineRule="auto"/>
              <w:jc w:val="both"/>
              <w:rPr>
                <w:rFonts w:eastAsia="Calibri"/>
                <w:sz w:val="20"/>
                <w:lang w:val="en-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en-CA"/>
              </w:rPr>
            </w:pPr>
            <w:r w:rsidRPr="00DB0023">
              <w:rPr>
                <w:rFonts w:eastAsia="Calibri"/>
                <w:sz w:val="20"/>
                <w:lang w:val="en-CA"/>
              </w:rPr>
              <w:t>May 15, 2015</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Supreme Court of Canada</w:t>
            </w:r>
          </w:p>
          <w:p w:rsidR="00DB0023" w:rsidRPr="00DB0023" w:rsidRDefault="00DB0023" w:rsidP="00DB0023">
            <w:pPr>
              <w:spacing w:line="276" w:lineRule="auto"/>
              <w:jc w:val="both"/>
              <w:rPr>
                <w:rFonts w:eastAsia="Calibri"/>
                <w:sz w:val="20"/>
                <w:lang w:val="en-CA"/>
              </w:rPr>
            </w:pPr>
          </w:p>
        </w:tc>
        <w:tc>
          <w:tcPr>
            <w:tcW w:w="243" w:type="pct"/>
          </w:tcPr>
          <w:p w:rsidR="00DB0023" w:rsidRPr="00DB0023" w:rsidRDefault="00DB0023" w:rsidP="00DB0023">
            <w:pPr>
              <w:spacing w:line="276" w:lineRule="auto"/>
              <w:jc w:val="both"/>
              <w:rPr>
                <w:rFonts w:eastAsia="Calibri"/>
                <w:sz w:val="20"/>
                <w:lang w:val="en-CA"/>
              </w:rPr>
            </w:pPr>
          </w:p>
        </w:tc>
        <w:tc>
          <w:tcPr>
            <w:tcW w:w="2330" w:type="pct"/>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Application for leave to appeal filed</w:t>
            </w:r>
          </w:p>
          <w:p w:rsidR="00DB0023" w:rsidRPr="00DB0023" w:rsidRDefault="00DB0023" w:rsidP="00DB0023">
            <w:pPr>
              <w:spacing w:line="276" w:lineRule="auto"/>
              <w:jc w:val="both"/>
              <w:rPr>
                <w:rFonts w:eastAsia="Calibri"/>
                <w:sz w:val="20"/>
                <w:lang w:val="en-CA"/>
              </w:rPr>
            </w:pPr>
          </w:p>
        </w:tc>
      </w:tr>
    </w:tbl>
    <w:p w:rsidR="00DB0023" w:rsidRPr="00DB0023" w:rsidRDefault="00DB0023" w:rsidP="00DB002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B0023" w:rsidRPr="00DB0023" w:rsidTr="00DB0023">
        <w:tc>
          <w:tcPr>
            <w:tcW w:w="543" w:type="pct"/>
            <w:hideMark/>
          </w:tcPr>
          <w:p w:rsidR="00DB0023" w:rsidRPr="00DB0023" w:rsidRDefault="00DB0023" w:rsidP="00DB0023">
            <w:pPr>
              <w:spacing w:line="276" w:lineRule="auto"/>
              <w:jc w:val="both"/>
              <w:rPr>
                <w:rFonts w:eastAsia="Calibri"/>
                <w:sz w:val="20"/>
                <w:lang w:val="en-CA"/>
              </w:rPr>
            </w:pPr>
            <w:r w:rsidRPr="005529E3">
              <w:rPr>
                <w:rFonts w:eastAsia="Calibri"/>
                <w:b/>
                <w:sz w:val="20"/>
                <w:lang w:val="en-CA"/>
              </w:rPr>
              <w:t>36439</w:t>
            </w:r>
          </w:p>
        </w:tc>
        <w:tc>
          <w:tcPr>
            <w:tcW w:w="4457" w:type="pct"/>
            <w:gridSpan w:val="3"/>
          </w:tcPr>
          <w:p w:rsidR="00DB0023" w:rsidRPr="00DB0023" w:rsidRDefault="00DB0023" w:rsidP="00DB0023">
            <w:pPr>
              <w:spacing w:line="276" w:lineRule="auto"/>
              <w:jc w:val="both"/>
              <w:rPr>
                <w:rFonts w:eastAsia="Calibri"/>
                <w:b/>
                <w:sz w:val="20"/>
                <w:lang w:val="fr-CA"/>
              </w:rPr>
            </w:pPr>
            <w:proofErr w:type="spellStart"/>
            <w:r w:rsidRPr="00DB0023">
              <w:rPr>
                <w:rFonts w:eastAsia="Calibri"/>
                <w:b/>
                <w:sz w:val="20"/>
                <w:lang w:val="fr-CA"/>
              </w:rPr>
              <w:t>Navin</w:t>
            </w:r>
            <w:proofErr w:type="spellEnd"/>
            <w:r w:rsidRPr="00DB0023">
              <w:rPr>
                <w:rFonts w:eastAsia="Calibri"/>
                <w:b/>
                <w:sz w:val="20"/>
                <w:lang w:val="fr-CA"/>
              </w:rPr>
              <w:t xml:space="preserve"> Joshi c. Banque Canadienne Impériale de Commerce</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(CF) (</w:t>
            </w:r>
            <w:proofErr w:type="spellStart"/>
            <w:r w:rsidRPr="00DB0023">
              <w:rPr>
                <w:rFonts w:eastAsia="Calibri"/>
                <w:sz w:val="20"/>
                <w:lang w:val="en-CA"/>
              </w:rPr>
              <w:t>Civile</w:t>
            </w:r>
            <w:proofErr w:type="spellEnd"/>
            <w:r w:rsidRPr="00DB0023">
              <w:rPr>
                <w:rFonts w:eastAsia="Calibri"/>
                <w:sz w:val="20"/>
                <w:lang w:val="en-CA"/>
              </w:rPr>
              <w:t xml:space="preserve">) (Sur </w:t>
            </w:r>
            <w:proofErr w:type="spellStart"/>
            <w:r w:rsidRPr="00DB0023">
              <w:rPr>
                <w:rFonts w:eastAsia="Calibri"/>
                <w:sz w:val="20"/>
                <w:lang w:val="en-CA"/>
              </w:rPr>
              <w:t>autorisation</w:t>
            </w:r>
            <w:proofErr w:type="spellEnd"/>
            <w:r w:rsidRPr="00DB0023">
              <w:rPr>
                <w:rFonts w:eastAsia="Calibri"/>
                <w:sz w:val="20"/>
                <w:lang w:val="en-CA"/>
              </w:rPr>
              <w:t>)</w:t>
            </w:r>
          </w:p>
          <w:p w:rsidR="00DB0023" w:rsidRPr="00DB0023" w:rsidRDefault="00DB0023" w:rsidP="00DB0023">
            <w:pPr>
              <w:spacing w:line="276" w:lineRule="auto"/>
              <w:jc w:val="both"/>
              <w:rPr>
                <w:rFonts w:eastAsia="Calibri"/>
                <w:sz w:val="20"/>
                <w:lang w:val="en-CA"/>
              </w:rPr>
            </w:pPr>
          </w:p>
        </w:tc>
      </w:tr>
      <w:tr w:rsidR="00DB0023" w:rsidRPr="00480458" w:rsidTr="00DB0023">
        <w:tc>
          <w:tcPr>
            <w:tcW w:w="5000" w:type="pct"/>
            <w:gridSpan w:val="4"/>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Droit administratif – Organismes et tribunaux administratifs – Contrôle judiciaire – Norme de contrôle – Justice naturelle – Équité procédurale – Partialité – Décision de la Commission canadienne des droits de la personne que le demandeur n’avait pas produit une preuve suffisante pour établir le bien-fondé de ses allégations de discrimination fondée sur une déficience – Plainte rejetée au lieu d’être renvoyée au Tribunal canadien des droits de la personne – Qu’est-ce qui constitue une enquête approfondie et neutre? – La Commission a-t-elle mené une enquête approfondie, neutre et équitable? </w:t>
            </w:r>
          </w:p>
        </w:tc>
      </w:tr>
      <w:tr w:rsidR="00DB0023" w:rsidRPr="00480458" w:rsidTr="00DB0023">
        <w:tc>
          <w:tcPr>
            <w:tcW w:w="5000" w:type="pct"/>
            <w:gridSpan w:val="4"/>
          </w:tcPr>
          <w:p w:rsidR="00DB0023" w:rsidRPr="00DB0023" w:rsidRDefault="00DB0023" w:rsidP="00DB0023">
            <w:pPr>
              <w:spacing w:line="276" w:lineRule="auto"/>
              <w:jc w:val="both"/>
              <w:rPr>
                <w:rFonts w:eastAsia="Calibri"/>
                <w:sz w:val="20"/>
                <w:lang w:val="fr-CA"/>
              </w:rPr>
            </w:pPr>
          </w:p>
        </w:tc>
      </w:tr>
      <w:tr w:rsidR="00DB0023" w:rsidRPr="00480458" w:rsidTr="00DB0023">
        <w:tc>
          <w:tcPr>
            <w:tcW w:w="5000" w:type="pct"/>
            <w:gridSpan w:val="4"/>
          </w:tcPr>
          <w:p w:rsidR="00DB0023" w:rsidRPr="00DB0023" w:rsidRDefault="00DB0023" w:rsidP="00DB0023">
            <w:pPr>
              <w:spacing w:line="276" w:lineRule="auto"/>
              <w:jc w:val="both"/>
              <w:rPr>
                <w:rFonts w:eastAsia="Calibri"/>
                <w:sz w:val="20"/>
                <w:lang w:val="fr-CA"/>
              </w:rPr>
            </w:pPr>
            <w:r w:rsidRPr="00DB0023">
              <w:rPr>
                <w:rFonts w:eastAsia="Calibri"/>
                <w:sz w:val="20"/>
                <w:lang w:val="fr-CA"/>
              </w:rPr>
              <w:t>Lorsque le demandeur a été congédié de son poste d’analyste en valeurs mobilières chez l’intimée, il a déposé une plainte auprès de la Commission canadienne des droits de la personne (la « Commission »). Le demandeur a allégué notamment qu’une formation lui avait été refusée de façon discriminatoire en raison de sa déficience et que son manque de formation avait</w:t>
            </w:r>
            <w:r w:rsidRPr="00DB0023">
              <w:rPr>
                <w:rFonts w:eastAsia="Calibri"/>
                <w:i/>
                <w:sz w:val="20"/>
                <w:lang w:val="fr-CA"/>
              </w:rPr>
              <w:t xml:space="preserve"> </w:t>
            </w:r>
            <w:r w:rsidRPr="00DB0023">
              <w:rPr>
                <w:rFonts w:eastAsia="Calibri"/>
                <w:sz w:val="20"/>
                <w:lang w:val="fr-CA"/>
              </w:rPr>
              <w:t>entraîné</w:t>
            </w:r>
            <w:r w:rsidRPr="00DB0023">
              <w:rPr>
                <w:rFonts w:eastAsia="Calibri"/>
                <w:i/>
                <w:sz w:val="20"/>
                <w:lang w:val="fr-CA"/>
              </w:rPr>
              <w:t xml:space="preserve"> </w:t>
            </w:r>
            <w:r w:rsidRPr="00DB0023">
              <w:rPr>
                <w:rFonts w:eastAsia="Calibri"/>
                <w:sz w:val="20"/>
                <w:lang w:val="fr-CA"/>
              </w:rPr>
              <w:t>injustement la cessation de son emploi. L’intimée a prétendu que le demandeur avait été congédié à cause de son rendement insatisfaisant, et que ses aptitudes physiques n’avaient rien à voir avec ses fonctions ou son congédiement. La Commission a jugé que le demandeur n’avait pas présenté une preuve suffisante pour établir que l’intimée ne lui avait pas fait une proposition d’emploi, l’avait traité de manière différente et préjudiciable ou l’avait congédié en raison de sa déficience, à savoir un problème lombaire non diagnostiqué. La Commission a décidé de rejeter la plainte du  demandeur en vertu du sous-al. 44(3)</w:t>
            </w:r>
            <w:r w:rsidRPr="00DB0023">
              <w:rPr>
                <w:rFonts w:eastAsia="Calibri"/>
                <w:i/>
                <w:sz w:val="20"/>
                <w:lang w:val="fr-CA"/>
              </w:rPr>
              <w:t>b</w:t>
            </w:r>
            <w:r w:rsidRPr="00DB0023">
              <w:rPr>
                <w:rFonts w:eastAsia="Calibri"/>
                <w:sz w:val="20"/>
                <w:lang w:val="fr-CA"/>
              </w:rPr>
              <w:t xml:space="preserve">)(i) de la </w:t>
            </w:r>
            <w:r w:rsidRPr="00DB0023">
              <w:rPr>
                <w:rFonts w:eastAsia="Calibri"/>
                <w:i/>
                <w:sz w:val="20"/>
                <w:lang w:val="fr-CA"/>
              </w:rPr>
              <w:t>Loi canadienne sur les droits de la personne</w:t>
            </w:r>
            <w:r w:rsidRPr="00DB0023">
              <w:rPr>
                <w:rFonts w:eastAsia="Calibri"/>
                <w:sz w:val="20"/>
                <w:lang w:val="fr-CA"/>
              </w:rPr>
              <w:t xml:space="preserve">, L.R.C. 1985, c. H-6, plutôt que de la renvoyer au Tribunal canadien des droits de la personne. La demande de contrôle judiciaire du demandeur visant la décision de la Commission a été rejetée par la Cour fédérale, tout comme son appel à la Cour d’appel fédérale. </w:t>
            </w:r>
          </w:p>
          <w:p w:rsidR="00DB0023" w:rsidRPr="00DB0023" w:rsidRDefault="00DB0023" w:rsidP="00DB0023">
            <w:pPr>
              <w:spacing w:line="276" w:lineRule="auto"/>
              <w:jc w:val="both"/>
              <w:rPr>
                <w:rFonts w:eastAsia="Calibri"/>
                <w:sz w:val="20"/>
                <w:lang w:val="fr-CA"/>
              </w:rPr>
            </w:pPr>
          </w:p>
        </w:tc>
      </w:tr>
      <w:tr w:rsidR="00DB0023" w:rsidRPr="00480458" w:rsidTr="00DB0023">
        <w:tc>
          <w:tcPr>
            <w:tcW w:w="2427" w:type="pct"/>
            <w:gridSpan w:val="2"/>
          </w:tcPr>
          <w:p w:rsidR="00DB0023" w:rsidRPr="00DB0023" w:rsidRDefault="00DB0023" w:rsidP="00DB0023">
            <w:pPr>
              <w:spacing w:line="276" w:lineRule="auto"/>
              <w:jc w:val="both"/>
              <w:rPr>
                <w:rFonts w:eastAsia="Calibri"/>
                <w:sz w:val="20"/>
                <w:lang w:val="fr-CA"/>
              </w:rPr>
            </w:pPr>
            <w:r w:rsidRPr="00DB0023">
              <w:rPr>
                <w:rFonts w:eastAsia="Calibri"/>
                <w:sz w:val="20"/>
                <w:lang w:val="fr-CA"/>
              </w:rPr>
              <w:t>6 juin 2014</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fédérale</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(Juge Kane)</w:t>
            </w:r>
          </w:p>
          <w:p w:rsidR="00DB0023" w:rsidRPr="00DB0023" w:rsidRDefault="00480458" w:rsidP="00DB0023">
            <w:pPr>
              <w:spacing w:line="276" w:lineRule="auto"/>
              <w:jc w:val="both"/>
              <w:rPr>
                <w:rFonts w:eastAsia="Calibri"/>
                <w:sz w:val="20"/>
                <w:lang w:val="en-CA"/>
              </w:rPr>
            </w:pPr>
            <w:hyperlink r:id="rId32" w:history="1">
              <w:r w:rsidR="00DB0023" w:rsidRPr="005529E3">
                <w:rPr>
                  <w:rFonts w:eastAsia="Calibri"/>
                  <w:color w:val="0000FF" w:themeColor="hyperlink"/>
                  <w:sz w:val="20"/>
                  <w:u w:val="single"/>
                  <w:lang w:val="en-CA"/>
                </w:rPr>
                <w:t>2014 CF 552</w:t>
              </w:r>
            </w:hyperlink>
          </w:p>
          <w:p w:rsidR="00DB0023" w:rsidRPr="00DB0023" w:rsidRDefault="00DB0023" w:rsidP="00DB0023">
            <w:pPr>
              <w:spacing w:line="276" w:lineRule="auto"/>
              <w:jc w:val="both"/>
              <w:rPr>
                <w:rFonts w:eastAsia="Calibri"/>
                <w:sz w:val="20"/>
                <w:lang w:val="en-CA"/>
              </w:rPr>
            </w:pPr>
          </w:p>
        </w:tc>
        <w:tc>
          <w:tcPr>
            <w:tcW w:w="243" w:type="pct"/>
          </w:tcPr>
          <w:p w:rsidR="00DB0023" w:rsidRPr="00DB0023" w:rsidRDefault="00DB0023" w:rsidP="00DB0023">
            <w:pPr>
              <w:spacing w:line="276" w:lineRule="auto"/>
              <w:jc w:val="both"/>
              <w:rPr>
                <w:rFonts w:eastAsia="Calibri"/>
                <w:sz w:val="20"/>
                <w:lang w:val="en-CA"/>
              </w:rPr>
            </w:pPr>
          </w:p>
        </w:tc>
        <w:tc>
          <w:tcPr>
            <w:tcW w:w="2330" w:type="pct"/>
          </w:tcPr>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Rejet de la demande de contrôle judiciaire </w:t>
            </w:r>
          </w:p>
          <w:p w:rsidR="00DB0023" w:rsidRPr="00DB0023" w:rsidRDefault="00DB0023" w:rsidP="00DB0023">
            <w:pPr>
              <w:spacing w:line="276" w:lineRule="auto"/>
              <w:jc w:val="both"/>
              <w:rPr>
                <w:rFonts w:eastAsia="Calibri"/>
                <w:sz w:val="20"/>
                <w:lang w:val="fr-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fr-CA"/>
              </w:rPr>
            </w:pPr>
            <w:r w:rsidRPr="00DB0023">
              <w:rPr>
                <w:rFonts w:eastAsia="Calibri"/>
                <w:sz w:val="20"/>
                <w:lang w:val="fr-CA"/>
              </w:rPr>
              <w:t>14 avril 2015</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d’appel fédérale</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(Juges </w:t>
            </w:r>
            <w:proofErr w:type="spellStart"/>
            <w:r w:rsidRPr="00DB0023">
              <w:rPr>
                <w:rFonts w:eastAsia="Calibri"/>
                <w:sz w:val="20"/>
                <w:lang w:val="fr-CA"/>
              </w:rPr>
              <w:t>Ryer</w:t>
            </w:r>
            <w:proofErr w:type="spellEnd"/>
            <w:r w:rsidRPr="00DB0023">
              <w:rPr>
                <w:rFonts w:eastAsia="Calibri"/>
                <w:sz w:val="20"/>
                <w:lang w:val="fr-CA"/>
              </w:rPr>
              <w:t>, Near et Rennie)</w:t>
            </w:r>
          </w:p>
          <w:p w:rsidR="00DB0023" w:rsidRPr="00DB0023" w:rsidRDefault="00480458" w:rsidP="00DB0023">
            <w:pPr>
              <w:spacing w:line="276" w:lineRule="auto"/>
              <w:jc w:val="both"/>
              <w:rPr>
                <w:rFonts w:eastAsia="Calibri"/>
                <w:sz w:val="20"/>
                <w:lang w:val="en-CA"/>
              </w:rPr>
            </w:pPr>
            <w:hyperlink r:id="rId33" w:history="1">
              <w:r w:rsidR="00DB0023" w:rsidRPr="005529E3">
                <w:rPr>
                  <w:rFonts w:eastAsia="Calibri"/>
                  <w:color w:val="0000FF" w:themeColor="hyperlink"/>
                  <w:sz w:val="20"/>
                  <w:u w:val="single"/>
                  <w:lang w:val="en-CA"/>
                </w:rPr>
                <w:t>2015 CAF 92</w:t>
              </w:r>
            </w:hyperlink>
            <w:r w:rsidR="00DB0023" w:rsidRPr="00DB0023">
              <w:rPr>
                <w:rFonts w:eastAsia="Calibri"/>
                <w:sz w:val="20"/>
                <w:lang w:val="en-CA"/>
              </w:rPr>
              <w:t>; A-308-14</w:t>
            </w:r>
          </w:p>
          <w:p w:rsidR="00DB0023" w:rsidRPr="00DB0023" w:rsidRDefault="00DB0023" w:rsidP="00DB0023">
            <w:pPr>
              <w:spacing w:line="276" w:lineRule="auto"/>
              <w:jc w:val="both"/>
              <w:rPr>
                <w:rFonts w:eastAsia="Calibri"/>
                <w:sz w:val="20"/>
                <w:lang w:val="en-CA"/>
              </w:rPr>
            </w:pPr>
          </w:p>
        </w:tc>
        <w:tc>
          <w:tcPr>
            <w:tcW w:w="243" w:type="pct"/>
          </w:tcPr>
          <w:p w:rsidR="00DB0023" w:rsidRPr="00DB0023" w:rsidRDefault="00DB0023" w:rsidP="00DB0023">
            <w:pPr>
              <w:spacing w:line="276" w:lineRule="auto"/>
              <w:jc w:val="both"/>
              <w:rPr>
                <w:rFonts w:eastAsia="Calibri"/>
                <w:sz w:val="20"/>
                <w:lang w:val="en-CA"/>
              </w:rPr>
            </w:pPr>
          </w:p>
        </w:tc>
        <w:tc>
          <w:tcPr>
            <w:tcW w:w="2330" w:type="pct"/>
          </w:tcPr>
          <w:p w:rsidR="00DB0023" w:rsidRPr="00DB0023" w:rsidRDefault="00DB0023" w:rsidP="00DB0023">
            <w:pPr>
              <w:spacing w:line="276" w:lineRule="auto"/>
              <w:jc w:val="both"/>
              <w:rPr>
                <w:rFonts w:eastAsia="Calibri"/>
                <w:sz w:val="20"/>
                <w:lang w:val="en-CA"/>
              </w:rPr>
            </w:pPr>
            <w:proofErr w:type="spellStart"/>
            <w:r w:rsidRPr="00DB0023">
              <w:rPr>
                <w:rFonts w:eastAsia="Calibri"/>
                <w:sz w:val="20"/>
                <w:lang w:val="en-CA"/>
              </w:rPr>
              <w:t>Rejet</w:t>
            </w:r>
            <w:proofErr w:type="spellEnd"/>
            <w:r w:rsidRPr="00DB0023">
              <w:rPr>
                <w:rFonts w:eastAsia="Calibri"/>
                <w:sz w:val="20"/>
                <w:lang w:val="en-CA"/>
              </w:rPr>
              <w:t xml:space="preserve"> de </w:t>
            </w:r>
            <w:proofErr w:type="spellStart"/>
            <w:r w:rsidRPr="00DB0023">
              <w:rPr>
                <w:rFonts w:eastAsia="Calibri"/>
                <w:sz w:val="20"/>
                <w:lang w:val="en-CA"/>
              </w:rPr>
              <w:t>l’appel</w:t>
            </w:r>
            <w:proofErr w:type="spellEnd"/>
          </w:p>
          <w:p w:rsidR="00DB0023" w:rsidRPr="00DB0023" w:rsidRDefault="00DB0023" w:rsidP="00DB0023">
            <w:pPr>
              <w:spacing w:line="276" w:lineRule="auto"/>
              <w:jc w:val="both"/>
              <w:rPr>
                <w:rFonts w:eastAsia="Calibri"/>
                <w:sz w:val="20"/>
                <w:lang w:val="en-CA"/>
              </w:rPr>
            </w:pPr>
          </w:p>
        </w:tc>
      </w:tr>
      <w:tr w:rsidR="00DB0023" w:rsidRPr="00480458" w:rsidTr="00DB0023">
        <w:tc>
          <w:tcPr>
            <w:tcW w:w="2427" w:type="pct"/>
            <w:gridSpan w:val="2"/>
          </w:tcPr>
          <w:p w:rsidR="00DB0023" w:rsidRPr="00DB0023" w:rsidRDefault="00DB0023" w:rsidP="00DB0023">
            <w:pPr>
              <w:spacing w:line="276" w:lineRule="auto"/>
              <w:jc w:val="both"/>
              <w:rPr>
                <w:rFonts w:eastAsia="Calibri"/>
                <w:sz w:val="20"/>
                <w:lang w:val="en-CA"/>
              </w:rPr>
            </w:pPr>
            <w:r w:rsidRPr="00DB0023">
              <w:rPr>
                <w:rFonts w:eastAsia="Calibri"/>
                <w:sz w:val="20"/>
                <w:lang w:val="en-CA"/>
              </w:rPr>
              <w:t xml:space="preserve">15 </w:t>
            </w:r>
            <w:proofErr w:type="spellStart"/>
            <w:r w:rsidRPr="00DB0023">
              <w:rPr>
                <w:rFonts w:eastAsia="Calibri"/>
                <w:sz w:val="20"/>
                <w:lang w:val="en-CA"/>
              </w:rPr>
              <w:t>mai</w:t>
            </w:r>
            <w:proofErr w:type="spellEnd"/>
            <w:r w:rsidRPr="00DB0023">
              <w:rPr>
                <w:rFonts w:eastAsia="Calibri"/>
                <w:sz w:val="20"/>
                <w:lang w:val="en-CA"/>
              </w:rPr>
              <w:t xml:space="preserve"> 2015</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 xml:space="preserve">Cour </w:t>
            </w:r>
            <w:proofErr w:type="spellStart"/>
            <w:r w:rsidRPr="00DB0023">
              <w:rPr>
                <w:rFonts w:eastAsia="Calibri"/>
                <w:sz w:val="20"/>
                <w:lang w:val="en-CA"/>
              </w:rPr>
              <w:t>suprême</w:t>
            </w:r>
            <w:proofErr w:type="spellEnd"/>
            <w:r w:rsidRPr="00DB0023">
              <w:rPr>
                <w:rFonts w:eastAsia="Calibri"/>
                <w:sz w:val="20"/>
                <w:lang w:val="en-CA"/>
              </w:rPr>
              <w:t xml:space="preserve"> du Canada</w:t>
            </w:r>
          </w:p>
          <w:p w:rsidR="00DB0023" w:rsidRPr="00DB0023" w:rsidRDefault="00DB0023" w:rsidP="00DB0023">
            <w:pPr>
              <w:spacing w:line="276" w:lineRule="auto"/>
              <w:jc w:val="both"/>
              <w:rPr>
                <w:rFonts w:eastAsia="Calibri"/>
                <w:sz w:val="20"/>
                <w:lang w:val="en-CA"/>
              </w:rPr>
            </w:pPr>
          </w:p>
        </w:tc>
        <w:tc>
          <w:tcPr>
            <w:tcW w:w="243" w:type="pct"/>
          </w:tcPr>
          <w:p w:rsidR="00DB0023" w:rsidRPr="00DB0023" w:rsidRDefault="00DB0023" w:rsidP="00DB0023">
            <w:pPr>
              <w:spacing w:line="276" w:lineRule="auto"/>
              <w:jc w:val="both"/>
              <w:rPr>
                <w:rFonts w:eastAsia="Calibri"/>
                <w:sz w:val="20"/>
                <w:lang w:val="en-CA"/>
              </w:rPr>
            </w:pPr>
          </w:p>
        </w:tc>
        <w:tc>
          <w:tcPr>
            <w:tcW w:w="2330" w:type="pct"/>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Dépôt de la demande d’autorisation d’appel </w:t>
            </w:r>
          </w:p>
        </w:tc>
      </w:tr>
    </w:tbl>
    <w:p w:rsidR="00DB0023" w:rsidRPr="00DB0023" w:rsidRDefault="00DB0023" w:rsidP="00DB0023">
      <w:pPr>
        <w:jc w:val="both"/>
        <w:rPr>
          <w:rFonts w:eastAsia="Calibri"/>
          <w:sz w:val="20"/>
          <w:lang w:val="fr-CA"/>
        </w:rPr>
      </w:pPr>
    </w:p>
    <w:tbl>
      <w:tblPr>
        <w:tblW w:w="4952" w:type="pct"/>
        <w:tblCellMar>
          <w:left w:w="0" w:type="dxa"/>
          <w:bottom w:w="99" w:type="dxa"/>
          <w:right w:w="0" w:type="dxa"/>
        </w:tblCellMar>
        <w:tblLook w:val="04A0" w:firstRow="1" w:lastRow="0" w:firstColumn="1" w:lastColumn="0" w:noHBand="0" w:noVBand="1"/>
      </w:tblPr>
      <w:tblGrid>
        <w:gridCol w:w="993"/>
        <w:gridCol w:w="3393"/>
        <w:gridCol w:w="501"/>
        <w:gridCol w:w="4383"/>
      </w:tblGrid>
      <w:tr w:rsidR="00DB0023" w:rsidRPr="00DB0023" w:rsidTr="001523B7">
        <w:tc>
          <w:tcPr>
            <w:tcW w:w="536" w:type="pct"/>
            <w:hideMark/>
          </w:tcPr>
          <w:p w:rsidR="00DB0023" w:rsidRPr="00DB0023" w:rsidRDefault="00DB0023" w:rsidP="00DB0023">
            <w:pPr>
              <w:spacing w:line="276" w:lineRule="auto"/>
              <w:jc w:val="both"/>
              <w:rPr>
                <w:rFonts w:eastAsia="Calibri"/>
                <w:sz w:val="20"/>
                <w:lang w:val="en-CA"/>
              </w:rPr>
            </w:pPr>
            <w:r w:rsidRPr="005529E3">
              <w:rPr>
                <w:rFonts w:eastAsia="Calibri"/>
                <w:b/>
                <w:sz w:val="20"/>
                <w:lang w:val="fr-CA"/>
              </w:rPr>
              <w:t>36392</w:t>
            </w:r>
          </w:p>
        </w:tc>
        <w:tc>
          <w:tcPr>
            <w:tcW w:w="4464" w:type="pct"/>
            <w:gridSpan w:val="3"/>
            <w:hideMark/>
          </w:tcPr>
          <w:p w:rsidR="00DB0023" w:rsidRPr="00DB0023" w:rsidRDefault="00DB0023" w:rsidP="00DB0023">
            <w:pPr>
              <w:spacing w:line="276" w:lineRule="auto"/>
              <w:jc w:val="both"/>
              <w:rPr>
                <w:rFonts w:eastAsia="Calibri"/>
                <w:b/>
                <w:sz w:val="20"/>
                <w:lang w:val="fr-FR"/>
              </w:rPr>
            </w:pPr>
            <w:r w:rsidRPr="00DB0023">
              <w:rPr>
                <w:rFonts w:eastAsia="Calibri"/>
                <w:b/>
                <w:sz w:val="20"/>
                <w:lang w:val="fr-FR"/>
              </w:rPr>
              <w:t>Véronique Dion v. Primus Automotive Financial Services Canada Inc.</w:t>
            </w:r>
          </w:p>
          <w:p w:rsidR="00DB0023" w:rsidRPr="00DB0023" w:rsidRDefault="00DB0023" w:rsidP="00DB0023">
            <w:pPr>
              <w:spacing w:line="276" w:lineRule="auto"/>
              <w:jc w:val="both"/>
              <w:rPr>
                <w:rFonts w:eastAsia="Calibri"/>
                <w:b/>
                <w:sz w:val="20"/>
                <w:lang w:val="en-CA"/>
              </w:rPr>
            </w:pPr>
            <w:r w:rsidRPr="00DB0023">
              <w:rPr>
                <w:rFonts w:eastAsia="Calibri"/>
                <w:b/>
                <w:sz w:val="20"/>
                <w:lang w:val="en-CA"/>
              </w:rPr>
              <w:t>- and between -</w:t>
            </w:r>
          </w:p>
          <w:p w:rsidR="00DB0023" w:rsidRPr="00DB0023" w:rsidRDefault="00DB0023" w:rsidP="00DB0023">
            <w:pPr>
              <w:spacing w:line="276" w:lineRule="auto"/>
              <w:jc w:val="both"/>
              <w:rPr>
                <w:rFonts w:eastAsia="Calibri"/>
                <w:b/>
                <w:sz w:val="20"/>
                <w:lang w:val="en-CA"/>
              </w:rPr>
            </w:pPr>
            <w:proofErr w:type="spellStart"/>
            <w:r w:rsidRPr="00DB0023">
              <w:rPr>
                <w:rFonts w:eastAsia="Calibri"/>
                <w:b/>
                <w:sz w:val="20"/>
                <w:lang w:val="en-CA"/>
              </w:rPr>
              <w:t>Gisèle</w:t>
            </w:r>
            <w:proofErr w:type="spellEnd"/>
            <w:r w:rsidRPr="00DB0023">
              <w:rPr>
                <w:rFonts w:eastAsia="Calibri"/>
                <w:b/>
                <w:sz w:val="20"/>
                <w:lang w:val="en-CA"/>
              </w:rPr>
              <w:t xml:space="preserve"> </w:t>
            </w:r>
            <w:proofErr w:type="spellStart"/>
            <w:r w:rsidRPr="00DB0023">
              <w:rPr>
                <w:rFonts w:eastAsia="Calibri"/>
                <w:b/>
                <w:sz w:val="20"/>
                <w:lang w:val="en-CA"/>
              </w:rPr>
              <w:t>Daneau</w:t>
            </w:r>
            <w:proofErr w:type="spellEnd"/>
            <w:r w:rsidRPr="00DB0023">
              <w:rPr>
                <w:rFonts w:eastAsia="Calibri"/>
                <w:b/>
                <w:sz w:val="20"/>
                <w:lang w:val="en-CA"/>
              </w:rPr>
              <w:t xml:space="preserve"> v. General Motors Acceptance Corporation of Canada, Limited (GMAC)</w:t>
            </w:r>
          </w:p>
          <w:p w:rsidR="00DB0023" w:rsidRPr="00DB0023" w:rsidRDefault="00DB0023" w:rsidP="00DB0023">
            <w:pPr>
              <w:spacing w:line="276" w:lineRule="auto"/>
              <w:jc w:val="both"/>
              <w:rPr>
                <w:rFonts w:eastAsia="Calibri"/>
                <w:b/>
                <w:sz w:val="20"/>
                <w:lang w:val="en-CA"/>
              </w:rPr>
            </w:pPr>
            <w:r w:rsidRPr="00DB0023">
              <w:rPr>
                <w:rFonts w:eastAsia="Calibri"/>
                <w:b/>
                <w:sz w:val="20"/>
                <w:lang w:val="en-CA"/>
              </w:rPr>
              <w:t>- and between -</w:t>
            </w:r>
          </w:p>
          <w:p w:rsidR="00DB0023" w:rsidRPr="00DB0023" w:rsidRDefault="00DB0023" w:rsidP="00DB0023">
            <w:pPr>
              <w:spacing w:line="276" w:lineRule="auto"/>
              <w:jc w:val="both"/>
              <w:rPr>
                <w:rFonts w:eastAsia="Calibri"/>
                <w:b/>
                <w:sz w:val="20"/>
                <w:lang w:val="en-CA"/>
              </w:rPr>
            </w:pPr>
            <w:r w:rsidRPr="00DB0023">
              <w:rPr>
                <w:rFonts w:eastAsia="Calibri"/>
                <w:b/>
                <w:sz w:val="20"/>
                <w:lang w:val="en-CA"/>
              </w:rPr>
              <w:t xml:space="preserve">Rachel </w:t>
            </w:r>
            <w:proofErr w:type="spellStart"/>
            <w:r w:rsidRPr="00DB0023">
              <w:rPr>
                <w:rFonts w:eastAsia="Calibri"/>
                <w:b/>
                <w:sz w:val="20"/>
                <w:lang w:val="en-CA"/>
              </w:rPr>
              <w:t>Dubé</w:t>
            </w:r>
            <w:proofErr w:type="spellEnd"/>
            <w:r w:rsidRPr="00DB0023">
              <w:rPr>
                <w:rFonts w:eastAsia="Calibri"/>
                <w:b/>
                <w:sz w:val="20"/>
                <w:lang w:val="en-CA"/>
              </w:rPr>
              <w:t xml:space="preserve"> v. Nissan Canada Finance, a division of Nissan Canada Inc.</w:t>
            </w:r>
          </w:p>
          <w:p w:rsidR="00DB0023" w:rsidRPr="00DB0023" w:rsidRDefault="00DB0023" w:rsidP="00DB0023">
            <w:pPr>
              <w:spacing w:line="276" w:lineRule="auto"/>
              <w:jc w:val="both"/>
              <w:rPr>
                <w:rFonts w:eastAsia="Calibri"/>
                <w:b/>
                <w:sz w:val="20"/>
                <w:lang w:val="en-CA"/>
              </w:rPr>
            </w:pPr>
            <w:r w:rsidRPr="00DB0023">
              <w:rPr>
                <w:rFonts w:eastAsia="Calibri"/>
                <w:b/>
                <w:sz w:val="20"/>
                <w:lang w:val="en-CA"/>
              </w:rPr>
              <w:t>- and between -</w:t>
            </w:r>
          </w:p>
          <w:p w:rsidR="00DB0023" w:rsidRPr="00DB0023" w:rsidRDefault="00DB0023" w:rsidP="00DB0023">
            <w:pPr>
              <w:spacing w:line="276" w:lineRule="auto"/>
              <w:jc w:val="both"/>
              <w:rPr>
                <w:rFonts w:eastAsia="Calibri"/>
                <w:b/>
                <w:sz w:val="20"/>
                <w:lang w:val="en-CA"/>
              </w:rPr>
            </w:pPr>
            <w:r w:rsidRPr="00DB0023">
              <w:rPr>
                <w:rFonts w:eastAsia="Calibri"/>
                <w:b/>
                <w:sz w:val="20"/>
                <w:lang w:val="en-CA"/>
              </w:rPr>
              <w:t>Michel St-Pierre v. Royal Bank of Canada</w:t>
            </w:r>
          </w:p>
          <w:p w:rsidR="00DB0023" w:rsidRPr="00DB0023" w:rsidRDefault="00DB0023" w:rsidP="00DB0023">
            <w:pPr>
              <w:spacing w:line="276" w:lineRule="auto"/>
              <w:jc w:val="both"/>
              <w:rPr>
                <w:rFonts w:eastAsia="Calibri"/>
                <w:b/>
                <w:sz w:val="20"/>
                <w:lang w:val="en-CA"/>
              </w:rPr>
            </w:pPr>
            <w:r w:rsidRPr="00DB0023">
              <w:rPr>
                <w:rFonts w:eastAsia="Calibri"/>
                <w:b/>
                <w:sz w:val="20"/>
                <w:lang w:val="en-CA"/>
              </w:rPr>
              <w:t>- and between -</w:t>
            </w:r>
          </w:p>
          <w:p w:rsidR="00DB0023" w:rsidRPr="00DB0023" w:rsidRDefault="00DB0023" w:rsidP="00DB0023">
            <w:pPr>
              <w:spacing w:line="276" w:lineRule="auto"/>
              <w:jc w:val="both"/>
              <w:rPr>
                <w:rFonts w:eastAsia="Calibri"/>
                <w:b/>
                <w:sz w:val="20"/>
                <w:lang w:val="en-CA"/>
              </w:rPr>
            </w:pPr>
            <w:r w:rsidRPr="00DB0023">
              <w:rPr>
                <w:rFonts w:eastAsia="Calibri"/>
                <w:b/>
                <w:sz w:val="20"/>
                <w:lang w:val="en-CA"/>
              </w:rPr>
              <w:t xml:space="preserve">Nissan Canada Finance, a division of Nissan Canada Inc. v. Rachel </w:t>
            </w:r>
            <w:proofErr w:type="spellStart"/>
            <w:r w:rsidRPr="00DB0023">
              <w:rPr>
                <w:rFonts w:eastAsia="Calibri"/>
                <w:b/>
                <w:sz w:val="20"/>
                <w:lang w:val="en-CA"/>
              </w:rPr>
              <w:t>Dubé</w:t>
            </w:r>
            <w:proofErr w:type="spellEnd"/>
          </w:p>
          <w:p w:rsidR="00DB0023" w:rsidRPr="00DB0023" w:rsidRDefault="00DB0023" w:rsidP="00DB0023">
            <w:pPr>
              <w:spacing w:line="276" w:lineRule="auto"/>
              <w:jc w:val="both"/>
              <w:rPr>
                <w:rFonts w:eastAsia="Calibri"/>
                <w:sz w:val="20"/>
                <w:lang w:val="en-CA"/>
              </w:rPr>
            </w:pPr>
            <w:r w:rsidRPr="00DB0023">
              <w:rPr>
                <w:rFonts w:eastAsia="Calibri"/>
                <w:sz w:val="20"/>
                <w:lang w:val="en-CA"/>
              </w:rPr>
              <w:t>(Que.) (Civil) (By Leave)</w:t>
            </w:r>
          </w:p>
        </w:tc>
      </w:tr>
      <w:tr w:rsidR="00DB0023" w:rsidRPr="00DB0023" w:rsidTr="001523B7">
        <w:tc>
          <w:tcPr>
            <w:tcW w:w="5000" w:type="pct"/>
            <w:gridSpan w:val="4"/>
          </w:tcPr>
          <w:p w:rsidR="00DB0023" w:rsidRPr="00DB0023" w:rsidRDefault="00DB0023" w:rsidP="00DB0023">
            <w:pPr>
              <w:spacing w:line="276" w:lineRule="auto"/>
              <w:jc w:val="both"/>
              <w:rPr>
                <w:rFonts w:eastAsia="Calibri"/>
                <w:sz w:val="20"/>
                <w:lang w:val="en-CA"/>
              </w:rPr>
            </w:pPr>
          </w:p>
        </w:tc>
      </w:tr>
      <w:tr w:rsidR="00DB0023" w:rsidRPr="00DB0023" w:rsidTr="001523B7">
        <w:tc>
          <w:tcPr>
            <w:tcW w:w="5000" w:type="pct"/>
            <w:gridSpan w:val="4"/>
          </w:tcPr>
          <w:p w:rsidR="00DB0023" w:rsidRPr="00DB0023" w:rsidRDefault="00DB0023" w:rsidP="00DB0023">
            <w:pPr>
              <w:spacing w:line="276" w:lineRule="auto"/>
              <w:jc w:val="both"/>
              <w:rPr>
                <w:rFonts w:eastAsia="Calibri"/>
                <w:sz w:val="20"/>
                <w:lang w:val="en-CA"/>
              </w:rPr>
            </w:pPr>
            <w:r w:rsidRPr="00DB0023">
              <w:rPr>
                <w:rFonts w:eastAsia="Calibri"/>
                <w:sz w:val="20"/>
                <w:lang w:val="en-CA"/>
              </w:rPr>
              <w:t xml:space="preserve">Consumer protection – Commercial contracts – Class actions – Automobile dealership – False or misleading representation – Publication in register of personal and real rights – Whether Court of Appeal erred in applying Title II of </w:t>
            </w:r>
            <w:r w:rsidRPr="00DB0023">
              <w:rPr>
                <w:rFonts w:eastAsia="Calibri"/>
                <w:i/>
                <w:sz w:val="20"/>
                <w:lang w:val="en-CA"/>
              </w:rPr>
              <w:t>Consumer Protection Act</w:t>
            </w:r>
            <w:r w:rsidRPr="00DB0023">
              <w:rPr>
                <w:rFonts w:eastAsia="Calibri"/>
                <w:sz w:val="20"/>
                <w:lang w:val="en-CA"/>
              </w:rPr>
              <w:t xml:space="preserve"> to clauses of contracts dealing with publication in register of personal and real rights – Whether Court of Appeal erred in concluding that recourses under ss. 271 and 272 of CPA may coexist in same factual framework but may nonetheless not be exercised cumulatively – Whether contractual fault gives rise to absolute presumption of prejudice in favour of consumer – Whether Court of Appeal erred in upholding award of punitive damages – </w:t>
            </w:r>
            <w:r w:rsidRPr="00DB0023">
              <w:rPr>
                <w:rFonts w:eastAsia="Calibri"/>
                <w:i/>
                <w:sz w:val="20"/>
                <w:lang w:val="en-CA"/>
              </w:rPr>
              <w:t>Consumer Protection Act</w:t>
            </w:r>
            <w:r w:rsidRPr="00DB0023">
              <w:rPr>
                <w:rFonts w:eastAsia="Calibri"/>
                <w:sz w:val="20"/>
                <w:lang w:val="en-CA"/>
              </w:rPr>
              <w:t>, R.S.Q., c. P</w:t>
            </w:r>
            <w:r w:rsidRPr="00DB0023">
              <w:rPr>
                <w:rFonts w:eastAsia="Calibri"/>
                <w:sz w:val="20"/>
                <w:lang w:val="en-CA"/>
              </w:rPr>
              <w:noBreakHyphen/>
              <w:t>40.1, ss. 12, 218, 227.1, 271 and 272.</w:t>
            </w:r>
          </w:p>
          <w:p w:rsidR="00DB0023" w:rsidRPr="00DB0023" w:rsidRDefault="00DB0023" w:rsidP="00DB0023">
            <w:pPr>
              <w:spacing w:line="276" w:lineRule="auto"/>
              <w:jc w:val="both"/>
              <w:rPr>
                <w:rFonts w:eastAsia="Calibri"/>
                <w:sz w:val="20"/>
                <w:lang w:val="en-CA"/>
              </w:rPr>
            </w:pPr>
          </w:p>
          <w:p w:rsidR="00DB0023" w:rsidRPr="00DB0023" w:rsidRDefault="00DB0023" w:rsidP="00DB0023">
            <w:pPr>
              <w:spacing w:line="276" w:lineRule="auto"/>
              <w:jc w:val="both"/>
              <w:rPr>
                <w:rFonts w:eastAsia="Calibri"/>
                <w:sz w:val="20"/>
                <w:lang w:val="en-CA"/>
              </w:rPr>
            </w:pPr>
            <w:r w:rsidRPr="00DB0023">
              <w:rPr>
                <w:rFonts w:eastAsia="Calibri"/>
                <w:sz w:val="20"/>
                <w:lang w:val="en-CA"/>
              </w:rPr>
              <w:t xml:space="preserve">Four separate class actions were instituted against Nissan Canada Finance, a division of Nissan Canada Inc., Primus Automotive Financial Services Canada Inc., General Motors Acceptance Corporation of Canada Limited and the Royal Bank of Canada. The consumers alleged that there was a misleading clause in their contract, since an amount charged to them did not distinguish the cost of publication in the register of personal and real rights from the fees charged by third parties for such publication. The consumers instituted their class actions under s. 227.1 of Title II of the </w:t>
            </w:r>
            <w:r w:rsidRPr="00DB0023">
              <w:rPr>
                <w:rFonts w:eastAsia="Calibri"/>
                <w:i/>
                <w:sz w:val="20"/>
                <w:lang w:val="en-CA"/>
              </w:rPr>
              <w:t>Consumer Protection Act</w:t>
            </w:r>
            <w:r w:rsidRPr="00DB0023">
              <w:rPr>
                <w:rFonts w:eastAsia="Calibri"/>
                <w:sz w:val="20"/>
                <w:lang w:val="en-CA"/>
              </w:rPr>
              <w:t>. For each group member, they sought reimbursement of the amounts paid in excess of those required under the tariff as well as punitive damages.</w:t>
            </w:r>
          </w:p>
          <w:p w:rsidR="00DB0023" w:rsidRPr="00DB0023" w:rsidRDefault="00DB0023" w:rsidP="00DB0023">
            <w:pPr>
              <w:spacing w:line="276" w:lineRule="auto"/>
              <w:jc w:val="both"/>
              <w:rPr>
                <w:rFonts w:eastAsia="Calibri"/>
                <w:sz w:val="20"/>
                <w:lang w:val="en-CA"/>
              </w:rPr>
            </w:pPr>
          </w:p>
        </w:tc>
      </w:tr>
      <w:tr w:rsidR="00DB0023" w:rsidRPr="00DB0023" w:rsidTr="001523B7">
        <w:trPr>
          <w:trHeight w:val="605"/>
        </w:trPr>
        <w:tc>
          <w:tcPr>
            <w:tcW w:w="2366" w:type="pct"/>
            <w:gridSpan w:val="2"/>
            <w:tcMar>
              <w:top w:w="0" w:type="dxa"/>
              <w:left w:w="0" w:type="dxa"/>
              <w:bottom w:w="0" w:type="dxa"/>
              <w:right w:w="0" w:type="dxa"/>
            </w:tcMar>
          </w:tcPr>
          <w:p w:rsidR="00DB0023" w:rsidRPr="00DB0023" w:rsidRDefault="00DB0023" w:rsidP="00DB0023">
            <w:pPr>
              <w:spacing w:line="276" w:lineRule="auto"/>
              <w:jc w:val="both"/>
              <w:rPr>
                <w:rFonts w:eastAsia="Calibri"/>
                <w:i/>
                <w:sz w:val="20"/>
                <w:lang w:val="en-CA"/>
              </w:rPr>
            </w:pPr>
            <w:proofErr w:type="spellStart"/>
            <w:r w:rsidRPr="00DB0023">
              <w:rPr>
                <w:rFonts w:eastAsia="Calibri"/>
                <w:i/>
                <w:sz w:val="20"/>
                <w:lang w:val="en-CA"/>
              </w:rPr>
              <w:lastRenderedPageBreak/>
              <w:t>Dubé</w:t>
            </w:r>
            <w:proofErr w:type="spellEnd"/>
            <w:r w:rsidRPr="00DB0023">
              <w:rPr>
                <w:rFonts w:eastAsia="Calibri"/>
                <w:i/>
                <w:sz w:val="20"/>
                <w:lang w:val="en-CA"/>
              </w:rPr>
              <w:t xml:space="preserve"> v. Nissan Canada Finance, a division of Nissan Canada Inc.</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June 26, 2013</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Quebec Superior Court</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(Roy J.)</w:t>
            </w:r>
          </w:p>
          <w:p w:rsidR="00DB0023" w:rsidRPr="005529E3" w:rsidRDefault="00480458" w:rsidP="00DB0023">
            <w:pPr>
              <w:spacing w:line="276" w:lineRule="auto"/>
              <w:jc w:val="both"/>
              <w:rPr>
                <w:rFonts w:eastAsia="Calibri"/>
                <w:color w:val="0000FF" w:themeColor="hyperlink"/>
                <w:sz w:val="20"/>
                <w:u w:val="single"/>
                <w:lang w:val="fr-CA"/>
              </w:rPr>
            </w:pPr>
            <w:hyperlink r:id="rId34" w:history="1">
              <w:r w:rsidR="00DB0023" w:rsidRPr="005529E3">
                <w:rPr>
                  <w:rFonts w:eastAsia="Calibri"/>
                  <w:color w:val="0000FF" w:themeColor="hyperlink"/>
                  <w:sz w:val="20"/>
                  <w:u w:val="single"/>
                  <w:lang w:val="en-CA"/>
                </w:rPr>
                <w:t>2013 QCCS 3653</w:t>
              </w:r>
            </w:hyperlink>
          </w:p>
          <w:p w:rsidR="00DB0023" w:rsidRPr="00DB0023" w:rsidRDefault="00DB0023" w:rsidP="00DB0023">
            <w:pPr>
              <w:spacing w:line="276" w:lineRule="auto"/>
              <w:jc w:val="both"/>
              <w:rPr>
                <w:rFonts w:eastAsia="Calibri"/>
                <w:sz w:val="20"/>
                <w:lang w:val="fr-CA"/>
              </w:rPr>
            </w:pPr>
          </w:p>
          <w:p w:rsidR="00DB0023" w:rsidRPr="00DB0023" w:rsidRDefault="00DB0023" w:rsidP="00DB0023">
            <w:pPr>
              <w:spacing w:line="276" w:lineRule="auto"/>
              <w:jc w:val="both"/>
              <w:rPr>
                <w:rFonts w:eastAsia="Calibri"/>
                <w:i/>
                <w:sz w:val="20"/>
                <w:lang w:val="en-CA"/>
              </w:rPr>
            </w:pPr>
            <w:r w:rsidRPr="00DB0023">
              <w:rPr>
                <w:rFonts w:eastAsia="Calibri"/>
                <w:i/>
                <w:sz w:val="20"/>
                <w:lang w:val="en-CA"/>
              </w:rPr>
              <w:t>Dion v. Primus Automotive Financial Services Canada Inc.</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June 26, 2013</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Quebec Superior Court</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(Roy J.)</w:t>
            </w:r>
          </w:p>
          <w:p w:rsidR="00DB0023" w:rsidRPr="00DB0023" w:rsidRDefault="00480458" w:rsidP="00DB0023">
            <w:pPr>
              <w:spacing w:line="276" w:lineRule="auto"/>
              <w:jc w:val="both"/>
              <w:rPr>
                <w:rFonts w:eastAsia="Calibri"/>
                <w:sz w:val="20"/>
                <w:lang w:val="en-CA"/>
              </w:rPr>
            </w:pPr>
            <w:hyperlink r:id="rId35" w:history="1">
              <w:r w:rsidR="00DB0023" w:rsidRPr="005529E3">
                <w:rPr>
                  <w:rFonts w:eastAsia="Calibri"/>
                  <w:color w:val="0000FF" w:themeColor="hyperlink"/>
                  <w:sz w:val="20"/>
                  <w:u w:val="single"/>
                  <w:lang w:val="en-CA"/>
                </w:rPr>
                <w:t>2013 QCCS 3654</w:t>
              </w:r>
            </w:hyperlink>
            <w:r w:rsidR="00DB0023" w:rsidRPr="00DB0023">
              <w:rPr>
                <w:rFonts w:eastAsia="Calibri"/>
                <w:sz w:val="20"/>
                <w:lang w:val="en-CA"/>
              </w:rPr>
              <w:t xml:space="preserve"> </w:t>
            </w:r>
          </w:p>
          <w:p w:rsidR="00DB0023" w:rsidRPr="00DB0023" w:rsidRDefault="00DB0023" w:rsidP="00DB0023">
            <w:pPr>
              <w:spacing w:line="276" w:lineRule="auto"/>
              <w:jc w:val="both"/>
              <w:rPr>
                <w:rFonts w:eastAsia="Calibri"/>
                <w:sz w:val="20"/>
                <w:lang w:val="en-CA"/>
              </w:rPr>
            </w:pPr>
          </w:p>
        </w:tc>
        <w:tc>
          <w:tcPr>
            <w:tcW w:w="270" w:type="pct"/>
            <w:vMerge w:val="restart"/>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p>
        </w:tc>
        <w:tc>
          <w:tcPr>
            <w:tcW w:w="2365"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r w:rsidRPr="00DB0023">
              <w:rPr>
                <w:rFonts w:eastAsia="Calibri"/>
                <w:sz w:val="20"/>
                <w:lang w:val="en-CA"/>
              </w:rPr>
              <w:t>Action allowed in part; Nissan Canada Finance ordered to pay $150,000 in punitive damages</w:t>
            </w:r>
          </w:p>
          <w:p w:rsidR="00DB0023" w:rsidRPr="00DB0023" w:rsidRDefault="00DB0023" w:rsidP="00DB0023">
            <w:pPr>
              <w:spacing w:line="276" w:lineRule="auto"/>
              <w:jc w:val="both"/>
              <w:rPr>
                <w:rFonts w:eastAsia="Calibri"/>
                <w:sz w:val="20"/>
                <w:lang w:val="en-CA"/>
              </w:rPr>
            </w:pPr>
          </w:p>
          <w:p w:rsidR="00DB0023" w:rsidRPr="00DB0023" w:rsidRDefault="00DB0023" w:rsidP="00DB0023">
            <w:pPr>
              <w:spacing w:line="276" w:lineRule="auto"/>
              <w:jc w:val="both"/>
              <w:rPr>
                <w:rFonts w:eastAsia="Calibri"/>
                <w:sz w:val="20"/>
                <w:lang w:val="en-CA"/>
              </w:rPr>
            </w:pPr>
          </w:p>
          <w:p w:rsidR="00DB0023" w:rsidRPr="00DB0023" w:rsidRDefault="00DB0023" w:rsidP="00DB0023">
            <w:pPr>
              <w:spacing w:line="276" w:lineRule="auto"/>
              <w:jc w:val="both"/>
              <w:rPr>
                <w:rFonts w:eastAsia="Calibri"/>
                <w:sz w:val="20"/>
                <w:lang w:val="en-CA"/>
              </w:rPr>
            </w:pPr>
          </w:p>
          <w:p w:rsidR="00DB0023" w:rsidRPr="00DB0023" w:rsidRDefault="00DB0023" w:rsidP="00DB0023">
            <w:pPr>
              <w:spacing w:line="276" w:lineRule="auto"/>
              <w:jc w:val="both"/>
              <w:rPr>
                <w:rFonts w:eastAsia="Calibri"/>
                <w:sz w:val="20"/>
                <w:lang w:val="en-CA"/>
              </w:rPr>
            </w:pPr>
          </w:p>
          <w:p w:rsidR="00DB0023" w:rsidRPr="00DB0023" w:rsidRDefault="00DB0023" w:rsidP="00DB0023">
            <w:pPr>
              <w:spacing w:line="276" w:lineRule="auto"/>
              <w:jc w:val="both"/>
              <w:rPr>
                <w:rFonts w:eastAsia="Calibri"/>
                <w:sz w:val="20"/>
                <w:lang w:val="en-CA"/>
              </w:rPr>
            </w:pPr>
          </w:p>
          <w:p w:rsidR="00DB0023" w:rsidRPr="00DB0023" w:rsidRDefault="00DB0023" w:rsidP="00DB0023">
            <w:pPr>
              <w:spacing w:line="276" w:lineRule="auto"/>
              <w:jc w:val="both"/>
              <w:rPr>
                <w:rFonts w:eastAsia="Calibri"/>
                <w:sz w:val="20"/>
                <w:lang w:val="en-CA"/>
              </w:rPr>
            </w:pPr>
            <w:r w:rsidRPr="00DB0023">
              <w:rPr>
                <w:rFonts w:eastAsia="Calibri"/>
                <w:sz w:val="20"/>
                <w:lang w:val="en-CA"/>
              </w:rPr>
              <w:t>Action dismissed</w:t>
            </w:r>
          </w:p>
        </w:tc>
      </w:tr>
      <w:tr w:rsidR="00DB0023" w:rsidRPr="00DB0023" w:rsidTr="001523B7">
        <w:trPr>
          <w:trHeight w:val="1658"/>
        </w:trPr>
        <w:tc>
          <w:tcPr>
            <w:tcW w:w="2366" w:type="pct"/>
            <w:gridSpan w:val="2"/>
            <w:tcMar>
              <w:top w:w="0" w:type="dxa"/>
              <w:left w:w="0" w:type="dxa"/>
              <w:bottom w:w="0" w:type="dxa"/>
              <w:right w:w="0" w:type="dxa"/>
            </w:tcMar>
          </w:tcPr>
          <w:p w:rsidR="00DB0023" w:rsidRPr="00DB0023" w:rsidRDefault="00DB0023" w:rsidP="00DB0023">
            <w:pPr>
              <w:spacing w:line="276" w:lineRule="auto"/>
              <w:jc w:val="both"/>
              <w:rPr>
                <w:rFonts w:eastAsia="Calibri"/>
                <w:b/>
                <w:i/>
                <w:sz w:val="20"/>
                <w:lang w:val="en-CA"/>
              </w:rPr>
            </w:pPr>
            <w:proofErr w:type="spellStart"/>
            <w:r w:rsidRPr="00DB0023">
              <w:rPr>
                <w:rFonts w:eastAsia="Calibri"/>
                <w:i/>
                <w:sz w:val="20"/>
                <w:lang w:val="en-CA"/>
              </w:rPr>
              <w:t>Daneau</w:t>
            </w:r>
            <w:proofErr w:type="spellEnd"/>
            <w:r w:rsidRPr="00DB0023">
              <w:rPr>
                <w:rFonts w:eastAsia="Calibri"/>
                <w:i/>
                <w:sz w:val="20"/>
                <w:lang w:val="en-CA"/>
              </w:rPr>
              <w:t xml:space="preserve"> v. General Motors Acceptance Corporation of Canada, Limited</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June 26, 2013</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Quebec Superior Court</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(Roy J.)</w:t>
            </w:r>
          </w:p>
          <w:p w:rsidR="00DB0023" w:rsidRPr="00DB0023" w:rsidRDefault="00480458" w:rsidP="00DB0023">
            <w:pPr>
              <w:spacing w:line="276" w:lineRule="auto"/>
              <w:jc w:val="both"/>
              <w:rPr>
                <w:rFonts w:eastAsia="Calibri"/>
                <w:sz w:val="20"/>
                <w:lang w:val="en-CA"/>
              </w:rPr>
            </w:pPr>
            <w:hyperlink r:id="rId36" w:history="1">
              <w:r w:rsidR="00DB0023" w:rsidRPr="005529E3">
                <w:rPr>
                  <w:rFonts w:eastAsia="Calibri"/>
                  <w:color w:val="0000FF" w:themeColor="hyperlink"/>
                  <w:sz w:val="20"/>
                  <w:u w:val="single"/>
                  <w:lang w:val="en-CA"/>
                </w:rPr>
                <w:t>2013 QCCS 3655</w:t>
              </w:r>
            </w:hyperlink>
          </w:p>
          <w:p w:rsidR="00DB0023" w:rsidRPr="00DB0023" w:rsidRDefault="00DB0023" w:rsidP="00DB0023">
            <w:pPr>
              <w:spacing w:line="276" w:lineRule="auto"/>
              <w:jc w:val="both"/>
              <w:rPr>
                <w:rFonts w:eastAsia="Calibri"/>
                <w:sz w:val="20"/>
                <w:lang w:val="en-CA"/>
              </w:rPr>
            </w:pPr>
          </w:p>
        </w:tc>
        <w:tc>
          <w:tcPr>
            <w:tcW w:w="0" w:type="auto"/>
            <w:vMerge/>
            <w:vAlign w:val="center"/>
            <w:hideMark/>
          </w:tcPr>
          <w:p w:rsidR="00DB0023" w:rsidRPr="00DB0023" w:rsidRDefault="00DB0023" w:rsidP="00DB0023">
            <w:pPr>
              <w:spacing w:line="276" w:lineRule="auto"/>
              <w:rPr>
                <w:rFonts w:eastAsia="Calibri"/>
                <w:sz w:val="20"/>
                <w:lang w:val="en-CA"/>
              </w:rPr>
            </w:pPr>
          </w:p>
        </w:tc>
        <w:tc>
          <w:tcPr>
            <w:tcW w:w="2365" w:type="pct"/>
            <w:tcMar>
              <w:top w:w="0" w:type="dxa"/>
              <w:left w:w="0" w:type="dxa"/>
              <w:bottom w:w="0" w:type="dxa"/>
              <w:right w:w="0" w:type="dxa"/>
            </w:tcMar>
            <w:hideMark/>
          </w:tcPr>
          <w:p w:rsidR="00DB0023" w:rsidRPr="00DB0023" w:rsidRDefault="00DB0023" w:rsidP="00DB0023">
            <w:pPr>
              <w:spacing w:line="276" w:lineRule="auto"/>
              <w:jc w:val="both"/>
              <w:rPr>
                <w:rFonts w:eastAsia="Calibri"/>
                <w:sz w:val="20"/>
                <w:lang w:val="en-CA"/>
              </w:rPr>
            </w:pPr>
            <w:r w:rsidRPr="00DB0023">
              <w:rPr>
                <w:rFonts w:eastAsia="Calibri"/>
                <w:sz w:val="20"/>
                <w:lang w:val="en-CA"/>
              </w:rPr>
              <w:t>Action allowed in part; General Motors Acceptance Corporation of Canada ordered to pay $150,000 in punitive damages</w:t>
            </w:r>
          </w:p>
        </w:tc>
      </w:tr>
      <w:tr w:rsidR="00DB0023" w:rsidRPr="00DB0023" w:rsidTr="001523B7">
        <w:trPr>
          <w:trHeight w:val="1657"/>
        </w:trPr>
        <w:tc>
          <w:tcPr>
            <w:tcW w:w="2366" w:type="pct"/>
            <w:gridSpan w:val="2"/>
            <w:tcMar>
              <w:top w:w="0" w:type="dxa"/>
              <w:left w:w="0" w:type="dxa"/>
              <w:bottom w:w="0" w:type="dxa"/>
              <w:right w:w="0" w:type="dxa"/>
            </w:tcMar>
            <w:hideMark/>
          </w:tcPr>
          <w:p w:rsidR="00DB0023" w:rsidRPr="00DB0023" w:rsidRDefault="00DB0023" w:rsidP="00DB0023">
            <w:pPr>
              <w:spacing w:line="276" w:lineRule="auto"/>
              <w:jc w:val="both"/>
              <w:rPr>
                <w:rFonts w:eastAsia="Calibri"/>
                <w:i/>
                <w:sz w:val="20"/>
                <w:lang w:val="en-CA"/>
              </w:rPr>
            </w:pPr>
            <w:r w:rsidRPr="00DB0023">
              <w:rPr>
                <w:rFonts w:eastAsia="Calibri"/>
                <w:i/>
                <w:sz w:val="20"/>
                <w:lang w:val="en-CA"/>
              </w:rPr>
              <w:t>St-Pierre v. Royal Bank of Canada</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June 26, 2013</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Quebec Superior Court</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(Roy J.)</w:t>
            </w:r>
          </w:p>
          <w:p w:rsidR="00DB0023" w:rsidRPr="00DB0023" w:rsidRDefault="00480458" w:rsidP="00DB0023">
            <w:pPr>
              <w:spacing w:line="276" w:lineRule="auto"/>
              <w:jc w:val="both"/>
              <w:rPr>
                <w:rFonts w:eastAsia="Calibri"/>
                <w:i/>
                <w:sz w:val="20"/>
                <w:lang w:val="en-CA"/>
              </w:rPr>
            </w:pPr>
            <w:hyperlink r:id="rId37" w:history="1">
              <w:r w:rsidR="00DB0023" w:rsidRPr="005529E3">
                <w:rPr>
                  <w:rFonts w:eastAsia="Calibri"/>
                  <w:color w:val="0000FF" w:themeColor="hyperlink"/>
                  <w:sz w:val="20"/>
                  <w:u w:val="single"/>
                  <w:lang w:val="en-CA"/>
                </w:rPr>
                <w:t>2013 QCCS 3657</w:t>
              </w:r>
            </w:hyperlink>
          </w:p>
        </w:tc>
        <w:tc>
          <w:tcPr>
            <w:tcW w:w="0" w:type="auto"/>
            <w:vMerge/>
            <w:vAlign w:val="center"/>
            <w:hideMark/>
          </w:tcPr>
          <w:p w:rsidR="00DB0023" w:rsidRPr="00DB0023" w:rsidRDefault="00DB0023" w:rsidP="00DB0023">
            <w:pPr>
              <w:spacing w:line="276" w:lineRule="auto"/>
              <w:rPr>
                <w:rFonts w:eastAsia="Calibri"/>
                <w:sz w:val="20"/>
                <w:lang w:val="en-CA"/>
              </w:rPr>
            </w:pPr>
          </w:p>
        </w:tc>
        <w:tc>
          <w:tcPr>
            <w:tcW w:w="2365" w:type="pct"/>
            <w:tcMar>
              <w:top w:w="0" w:type="dxa"/>
              <w:left w:w="0" w:type="dxa"/>
              <w:bottom w:w="0" w:type="dxa"/>
              <w:right w:w="0" w:type="dxa"/>
            </w:tcMar>
            <w:hideMark/>
          </w:tcPr>
          <w:p w:rsidR="00DB0023" w:rsidRPr="00DB0023" w:rsidRDefault="00DB0023" w:rsidP="00DB0023">
            <w:pPr>
              <w:spacing w:line="276" w:lineRule="auto"/>
              <w:jc w:val="both"/>
              <w:rPr>
                <w:rFonts w:eastAsia="Calibri"/>
                <w:sz w:val="20"/>
                <w:lang w:val="en-CA"/>
              </w:rPr>
            </w:pPr>
            <w:r w:rsidRPr="00DB0023">
              <w:rPr>
                <w:rFonts w:eastAsia="Calibri"/>
                <w:sz w:val="20"/>
                <w:lang w:val="en-CA"/>
              </w:rPr>
              <w:t>Action dismissed</w:t>
            </w:r>
          </w:p>
        </w:tc>
      </w:tr>
      <w:tr w:rsidR="00DB0023" w:rsidRPr="00DB0023" w:rsidTr="001523B7">
        <w:tc>
          <w:tcPr>
            <w:tcW w:w="2366" w:type="pct"/>
            <w:gridSpan w:val="2"/>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r w:rsidRPr="00DB0023">
              <w:rPr>
                <w:rFonts w:eastAsia="Calibri"/>
                <w:sz w:val="20"/>
                <w:lang w:val="en-CA"/>
              </w:rPr>
              <w:t>February 20, 2015</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Quebec Court of Appeal (Montréal)</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w:t>
            </w:r>
            <w:proofErr w:type="spellStart"/>
            <w:r w:rsidRPr="00DB0023">
              <w:rPr>
                <w:rFonts w:eastAsia="Calibri"/>
                <w:sz w:val="20"/>
                <w:lang w:val="en-CA"/>
              </w:rPr>
              <w:t>Kasirer</w:t>
            </w:r>
            <w:proofErr w:type="spellEnd"/>
            <w:r w:rsidRPr="00DB0023">
              <w:rPr>
                <w:rFonts w:eastAsia="Calibri"/>
                <w:sz w:val="20"/>
                <w:lang w:val="en-CA"/>
              </w:rPr>
              <w:t xml:space="preserve">, </w:t>
            </w:r>
            <w:proofErr w:type="spellStart"/>
            <w:r w:rsidRPr="00DB0023">
              <w:rPr>
                <w:rFonts w:eastAsia="Calibri"/>
                <w:sz w:val="20"/>
                <w:lang w:val="en-CA"/>
              </w:rPr>
              <w:t>Emond</w:t>
            </w:r>
            <w:proofErr w:type="spellEnd"/>
            <w:r w:rsidRPr="00DB0023">
              <w:rPr>
                <w:rFonts w:eastAsia="Calibri"/>
                <w:sz w:val="20"/>
                <w:lang w:val="en-CA"/>
              </w:rPr>
              <w:t xml:space="preserve"> and Schrager JJ.A.)</w:t>
            </w:r>
          </w:p>
          <w:p w:rsidR="00DB0023" w:rsidRPr="00DB0023" w:rsidRDefault="00480458" w:rsidP="00DB0023">
            <w:pPr>
              <w:spacing w:line="276" w:lineRule="auto"/>
              <w:jc w:val="both"/>
              <w:rPr>
                <w:rFonts w:eastAsia="Calibri"/>
                <w:sz w:val="20"/>
                <w:lang w:val="en-CA"/>
              </w:rPr>
            </w:pPr>
            <w:hyperlink r:id="rId38" w:history="1">
              <w:r w:rsidR="00DB0023" w:rsidRPr="005529E3">
                <w:rPr>
                  <w:rFonts w:eastAsia="Calibri"/>
                  <w:color w:val="0000FF" w:themeColor="hyperlink"/>
                  <w:sz w:val="20"/>
                  <w:u w:val="single"/>
                  <w:lang w:val="en-CA"/>
                </w:rPr>
                <w:t>2015 QCCA 333</w:t>
              </w:r>
            </w:hyperlink>
          </w:p>
          <w:p w:rsidR="00DB0023" w:rsidRPr="00DB0023" w:rsidRDefault="00DB0023" w:rsidP="00DB0023">
            <w:pPr>
              <w:spacing w:line="276" w:lineRule="auto"/>
              <w:jc w:val="both"/>
              <w:rPr>
                <w:rFonts w:eastAsia="Calibri"/>
                <w:sz w:val="20"/>
                <w:lang w:val="en-CA"/>
              </w:rPr>
            </w:pPr>
          </w:p>
        </w:tc>
        <w:tc>
          <w:tcPr>
            <w:tcW w:w="27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p>
        </w:tc>
        <w:tc>
          <w:tcPr>
            <w:tcW w:w="2365"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Appeals dismissed</w:t>
            </w:r>
          </w:p>
          <w:p w:rsidR="00DB0023" w:rsidRPr="00DB0023" w:rsidRDefault="00DB0023" w:rsidP="00DB0023">
            <w:pPr>
              <w:spacing w:line="276" w:lineRule="auto"/>
              <w:jc w:val="both"/>
              <w:rPr>
                <w:rFonts w:eastAsia="Calibri"/>
                <w:sz w:val="20"/>
                <w:lang w:val="en-CA"/>
              </w:rPr>
            </w:pPr>
          </w:p>
        </w:tc>
      </w:tr>
      <w:tr w:rsidR="00DB0023" w:rsidRPr="00DB0023" w:rsidTr="001523B7">
        <w:tc>
          <w:tcPr>
            <w:tcW w:w="2366" w:type="pct"/>
            <w:gridSpan w:val="2"/>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April 20, 2015</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Supreme Court of Canada</w:t>
            </w:r>
          </w:p>
          <w:p w:rsidR="00DB0023" w:rsidRPr="00DB0023" w:rsidRDefault="00DB0023" w:rsidP="00DB0023">
            <w:pPr>
              <w:spacing w:line="276" w:lineRule="auto"/>
              <w:jc w:val="both"/>
              <w:rPr>
                <w:rFonts w:eastAsia="Calibri"/>
                <w:sz w:val="20"/>
                <w:lang w:val="en-CA"/>
              </w:rPr>
            </w:pPr>
          </w:p>
        </w:tc>
        <w:tc>
          <w:tcPr>
            <w:tcW w:w="27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p>
        </w:tc>
        <w:tc>
          <w:tcPr>
            <w:tcW w:w="2365"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r w:rsidRPr="00DB0023">
              <w:rPr>
                <w:rFonts w:eastAsia="Calibri"/>
                <w:sz w:val="20"/>
                <w:lang w:val="en-CA"/>
              </w:rPr>
              <w:t xml:space="preserve">Application for leave to appeal filed by Véronique Dion et al. </w:t>
            </w:r>
          </w:p>
          <w:p w:rsidR="00DB0023" w:rsidRPr="00DB0023" w:rsidRDefault="00DB0023" w:rsidP="00DB0023">
            <w:pPr>
              <w:spacing w:line="276" w:lineRule="auto"/>
              <w:jc w:val="both"/>
              <w:rPr>
                <w:rFonts w:eastAsia="Calibri"/>
                <w:sz w:val="20"/>
                <w:lang w:val="en-CA"/>
              </w:rPr>
            </w:pPr>
          </w:p>
        </w:tc>
      </w:tr>
      <w:tr w:rsidR="00DB0023" w:rsidRPr="00DB0023" w:rsidTr="001523B7">
        <w:tc>
          <w:tcPr>
            <w:tcW w:w="2366" w:type="pct"/>
            <w:gridSpan w:val="2"/>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April 21, 2015</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Supreme Court of Canada</w:t>
            </w:r>
          </w:p>
          <w:p w:rsidR="00DB0023" w:rsidRPr="00DB0023" w:rsidRDefault="00DB0023" w:rsidP="00DB0023">
            <w:pPr>
              <w:spacing w:line="276" w:lineRule="auto"/>
              <w:jc w:val="both"/>
              <w:rPr>
                <w:rFonts w:eastAsia="Calibri"/>
                <w:sz w:val="20"/>
                <w:lang w:val="en-CA"/>
              </w:rPr>
            </w:pPr>
          </w:p>
        </w:tc>
        <w:tc>
          <w:tcPr>
            <w:tcW w:w="27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p>
        </w:tc>
        <w:tc>
          <w:tcPr>
            <w:tcW w:w="2365"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Application for leave to appeal filed by Nissan Canada</w:t>
            </w:r>
          </w:p>
          <w:p w:rsidR="00DB0023" w:rsidRPr="00DB0023" w:rsidRDefault="00DB0023" w:rsidP="00DB0023">
            <w:pPr>
              <w:spacing w:line="276" w:lineRule="auto"/>
              <w:jc w:val="both"/>
              <w:rPr>
                <w:rFonts w:eastAsia="Calibri"/>
                <w:sz w:val="20"/>
                <w:lang w:val="en-CA"/>
              </w:rPr>
            </w:pPr>
          </w:p>
        </w:tc>
      </w:tr>
      <w:tr w:rsidR="00DB0023" w:rsidRPr="00DB0023" w:rsidTr="001523B7">
        <w:tc>
          <w:tcPr>
            <w:tcW w:w="2366" w:type="pct"/>
            <w:gridSpan w:val="2"/>
            <w:tcMar>
              <w:top w:w="0" w:type="dxa"/>
              <w:left w:w="0" w:type="dxa"/>
              <w:bottom w:w="0" w:type="dxa"/>
              <w:right w:w="0" w:type="dxa"/>
            </w:tcMar>
            <w:hideMark/>
          </w:tcPr>
          <w:p w:rsidR="00DB0023" w:rsidRPr="00DB0023" w:rsidRDefault="00DB0023" w:rsidP="00DB0023">
            <w:pPr>
              <w:spacing w:line="276" w:lineRule="auto"/>
              <w:jc w:val="both"/>
              <w:rPr>
                <w:rFonts w:eastAsia="Calibri"/>
                <w:sz w:val="20"/>
                <w:lang w:val="en-CA"/>
              </w:rPr>
            </w:pPr>
            <w:r w:rsidRPr="00DB0023">
              <w:rPr>
                <w:rFonts w:eastAsia="Calibri"/>
                <w:sz w:val="20"/>
                <w:lang w:val="en-CA"/>
              </w:rPr>
              <w:lastRenderedPageBreak/>
              <w:t>May 19, 2015</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Supreme Court of Canada</w:t>
            </w:r>
          </w:p>
        </w:tc>
        <w:tc>
          <w:tcPr>
            <w:tcW w:w="27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p>
        </w:tc>
        <w:tc>
          <w:tcPr>
            <w:tcW w:w="2365" w:type="pct"/>
            <w:tcMar>
              <w:top w:w="0" w:type="dxa"/>
              <w:left w:w="0" w:type="dxa"/>
              <w:bottom w:w="0" w:type="dxa"/>
              <w:right w:w="0" w:type="dxa"/>
            </w:tcMar>
            <w:hideMark/>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Application for leave to cross</w:t>
            </w:r>
            <w:r w:rsidRPr="00DB0023">
              <w:rPr>
                <w:rFonts w:eastAsia="Calibri"/>
                <w:sz w:val="20"/>
                <w:lang w:val="en-CA"/>
              </w:rPr>
              <w:noBreakHyphen/>
              <w:t>appeal filed by General Motors Acceptance Corporation of Canada</w:t>
            </w:r>
          </w:p>
        </w:tc>
      </w:tr>
    </w:tbl>
    <w:p w:rsidR="00DB0023" w:rsidRDefault="00DB0023" w:rsidP="00DB0023">
      <w:pPr>
        <w:jc w:val="both"/>
        <w:rPr>
          <w:rFonts w:eastAsia="Calibri"/>
          <w:sz w:val="20"/>
          <w:lang w:val="en-CA"/>
        </w:rPr>
      </w:pPr>
    </w:p>
    <w:p w:rsidR="009C21EE" w:rsidRPr="00DB0023" w:rsidRDefault="009C21EE" w:rsidP="00DB002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5"/>
        <w:gridCol w:w="3425"/>
        <w:gridCol w:w="500"/>
        <w:gridCol w:w="4336"/>
      </w:tblGrid>
      <w:tr w:rsidR="00DB0023" w:rsidRPr="00DB0023" w:rsidTr="00DB0023">
        <w:tc>
          <w:tcPr>
            <w:tcW w:w="542" w:type="pct"/>
            <w:hideMark/>
          </w:tcPr>
          <w:p w:rsidR="00DB0023" w:rsidRPr="00DB0023" w:rsidRDefault="00DB0023" w:rsidP="00DB0023">
            <w:pPr>
              <w:spacing w:line="276" w:lineRule="auto"/>
              <w:jc w:val="both"/>
              <w:rPr>
                <w:rFonts w:eastAsia="Calibri"/>
                <w:sz w:val="20"/>
                <w:lang w:val="fr-CA"/>
              </w:rPr>
            </w:pPr>
            <w:r w:rsidRPr="005529E3">
              <w:rPr>
                <w:rFonts w:eastAsia="Calibri"/>
                <w:b/>
                <w:sz w:val="20"/>
                <w:lang w:val="fr-CA"/>
              </w:rPr>
              <w:t>36392</w:t>
            </w:r>
          </w:p>
        </w:tc>
        <w:tc>
          <w:tcPr>
            <w:tcW w:w="4458" w:type="pct"/>
            <w:gridSpan w:val="3"/>
            <w:hideMark/>
          </w:tcPr>
          <w:p w:rsidR="00DB0023" w:rsidRPr="00DB0023" w:rsidRDefault="00DB0023" w:rsidP="00DB0023">
            <w:pPr>
              <w:spacing w:line="276" w:lineRule="auto"/>
              <w:jc w:val="both"/>
              <w:rPr>
                <w:rFonts w:eastAsia="Calibri"/>
                <w:b/>
                <w:sz w:val="20"/>
                <w:lang w:val="fr-CA"/>
              </w:rPr>
            </w:pPr>
            <w:r w:rsidRPr="00DB0023">
              <w:rPr>
                <w:rFonts w:eastAsia="Calibri"/>
                <w:b/>
                <w:sz w:val="20"/>
                <w:lang w:val="fr-CA"/>
              </w:rPr>
              <w:t>Véronique Dion c. Compagnie de services de financement Automobile Primus Canada</w:t>
            </w:r>
          </w:p>
          <w:p w:rsidR="00DB0023" w:rsidRPr="00DB0023" w:rsidRDefault="00DB0023" w:rsidP="00DB0023">
            <w:pPr>
              <w:spacing w:line="276" w:lineRule="auto"/>
              <w:jc w:val="both"/>
              <w:rPr>
                <w:rFonts w:eastAsia="Calibri"/>
                <w:b/>
                <w:sz w:val="20"/>
                <w:lang w:val="fr-CA"/>
              </w:rPr>
            </w:pPr>
            <w:r w:rsidRPr="00DB0023">
              <w:rPr>
                <w:rFonts w:eastAsia="Calibri"/>
                <w:b/>
                <w:sz w:val="20"/>
                <w:lang w:val="fr-CA"/>
              </w:rPr>
              <w:t>- et entre -</w:t>
            </w:r>
          </w:p>
          <w:p w:rsidR="00DB0023" w:rsidRPr="00DB0023" w:rsidRDefault="00DB0023" w:rsidP="00DB0023">
            <w:pPr>
              <w:spacing w:line="276" w:lineRule="auto"/>
              <w:jc w:val="both"/>
              <w:rPr>
                <w:rFonts w:eastAsia="Calibri"/>
                <w:b/>
                <w:sz w:val="20"/>
                <w:lang w:val="fr-CA"/>
              </w:rPr>
            </w:pPr>
            <w:r w:rsidRPr="00DB0023">
              <w:rPr>
                <w:rFonts w:eastAsia="Calibri"/>
                <w:b/>
                <w:sz w:val="20"/>
                <w:lang w:val="fr-CA"/>
              </w:rPr>
              <w:t xml:space="preserve">Gisèle Daneau c. General Motors </w:t>
            </w:r>
            <w:proofErr w:type="spellStart"/>
            <w:r w:rsidRPr="00DB0023">
              <w:rPr>
                <w:rFonts w:eastAsia="Calibri"/>
                <w:b/>
                <w:sz w:val="20"/>
                <w:lang w:val="fr-CA"/>
              </w:rPr>
              <w:t>Acceptance</w:t>
            </w:r>
            <w:proofErr w:type="spellEnd"/>
            <w:r w:rsidRPr="00DB0023">
              <w:rPr>
                <w:rFonts w:eastAsia="Calibri"/>
                <w:b/>
                <w:sz w:val="20"/>
                <w:lang w:val="fr-CA"/>
              </w:rPr>
              <w:t xml:space="preserve"> Corporation du Canada Limitée (GMAC)</w:t>
            </w:r>
          </w:p>
          <w:p w:rsidR="00DB0023" w:rsidRPr="00DB0023" w:rsidRDefault="00DB0023" w:rsidP="00DB0023">
            <w:pPr>
              <w:spacing w:line="276" w:lineRule="auto"/>
              <w:jc w:val="both"/>
              <w:rPr>
                <w:rFonts w:eastAsia="Calibri"/>
                <w:b/>
                <w:sz w:val="20"/>
                <w:lang w:val="fr-CA"/>
              </w:rPr>
            </w:pPr>
            <w:r w:rsidRPr="00DB0023">
              <w:rPr>
                <w:rFonts w:eastAsia="Calibri"/>
                <w:b/>
                <w:sz w:val="20"/>
                <w:lang w:val="fr-CA"/>
              </w:rPr>
              <w:t>- et entre -</w:t>
            </w:r>
          </w:p>
          <w:p w:rsidR="00DB0023" w:rsidRPr="00DB0023" w:rsidRDefault="00DB0023" w:rsidP="00DB0023">
            <w:pPr>
              <w:spacing w:line="276" w:lineRule="auto"/>
              <w:jc w:val="both"/>
              <w:rPr>
                <w:rFonts w:eastAsia="Calibri"/>
                <w:b/>
                <w:sz w:val="20"/>
                <w:lang w:val="fr-CA"/>
              </w:rPr>
            </w:pPr>
            <w:r w:rsidRPr="00DB0023">
              <w:rPr>
                <w:rFonts w:eastAsia="Calibri"/>
                <w:b/>
                <w:sz w:val="20"/>
                <w:lang w:val="fr-CA"/>
              </w:rPr>
              <w:t>Rachel Dubé c. Nissan Canada Finance, division de Nissan Canada Inc.</w:t>
            </w:r>
          </w:p>
          <w:p w:rsidR="00DB0023" w:rsidRPr="00DB0023" w:rsidRDefault="00DB0023" w:rsidP="00DB0023">
            <w:pPr>
              <w:spacing w:line="276" w:lineRule="auto"/>
              <w:jc w:val="both"/>
              <w:rPr>
                <w:rFonts w:eastAsia="Calibri"/>
                <w:b/>
                <w:sz w:val="20"/>
                <w:lang w:val="fr-CA"/>
              </w:rPr>
            </w:pPr>
            <w:r w:rsidRPr="00DB0023">
              <w:rPr>
                <w:rFonts w:eastAsia="Calibri"/>
                <w:b/>
                <w:sz w:val="20"/>
                <w:lang w:val="fr-CA"/>
              </w:rPr>
              <w:t>- et entre -</w:t>
            </w:r>
          </w:p>
          <w:p w:rsidR="00DB0023" w:rsidRPr="00DB0023" w:rsidRDefault="00DB0023" w:rsidP="00DB0023">
            <w:pPr>
              <w:spacing w:line="276" w:lineRule="auto"/>
              <w:jc w:val="both"/>
              <w:rPr>
                <w:rFonts w:eastAsia="Calibri"/>
                <w:b/>
                <w:sz w:val="20"/>
                <w:lang w:val="fr-CA"/>
              </w:rPr>
            </w:pPr>
            <w:r w:rsidRPr="00DB0023">
              <w:rPr>
                <w:rFonts w:eastAsia="Calibri"/>
                <w:b/>
                <w:sz w:val="20"/>
                <w:lang w:val="fr-CA"/>
              </w:rPr>
              <w:t>Michel St-Pierre c. Banque Royale du Canada</w:t>
            </w:r>
          </w:p>
          <w:p w:rsidR="00DB0023" w:rsidRPr="00DB0023" w:rsidRDefault="00DB0023" w:rsidP="00DB0023">
            <w:pPr>
              <w:spacing w:line="276" w:lineRule="auto"/>
              <w:jc w:val="both"/>
              <w:rPr>
                <w:rFonts w:eastAsia="Calibri"/>
                <w:b/>
                <w:sz w:val="20"/>
                <w:lang w:val="fr-CA"/>
              </w:rPr>
            </w:pPr>
            <w:r w:rsidRPr="00DB0023">
              <w:rPr>
                <w:rFonts w:eastAsia="Calibri"/>
                <w:b/>
                <w:sz w:val="20"/>
                <w:lang w:val="fr-CA"/>
              </w:rPr>
              <w:t>- et entre -</w:t>
            </w:r>
          </w:p>
          <w:p w:rsidR="00DB0023" w:rsidRPr="00DB0023" w:rsidRDefault="00DB0023" w:rsidP="00DB0023">
            <w:pPr>
              <w:spacing w:line="276" w:lineRule="auto"/>
              <w:jc w:val="both"/>
              <w:rPr>
                <w:rFonts w:eastAsia="Calibri"/>
                <w:b/>
                <w:sz w:val="20"/>
                <w:lang w:val="fr-CA"/>
              </w:rPr>
            </w:pPr>
            <w:r w:rsidRPr="00DB0023">
              <w:rPr>
                <w:rFonts w:eastAsia="Calibri"/>
                <w:b/>
                <w:sz w:val="20"/>
                <w:lang w:val="fr-CA"/>
              </w:rPr>
              <w:t>Nissan Canada Finance, division de Nissan Canada Inc. c. Rachel Dubé</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w:t>
            </w:r>
            <w:proofErr w:type="spellStart"/>
            <w:r w:rsidRPr="00DB0023">
              <w:rPr>
                <w:rFonts w:eastAsia="Calibri"/>
                <w:sz w:val="20"/>
                <w:lang w:val="fr-CA"/>
              </w:rPr>
              <w:t>Qc</w:t>
            </w:r>
            <w:proofErr w:type="spellEnd"/>
            <w:r w:rsidRPr="00DB0023">
              <w:rPr>
                <w:rFonts w:eastAsia="Calibri"/>
                <w:sz w:val="20"/>
                <w:lang w:val="fr-CA"/>
              </w:rPr>
              <w:t>) (Civile) (Autorisation)</w:t>
            </w:r>
          </w:p>
        </w:tc>
      </w:tr>
      <w:tr w:rsidR="00DB0023" w:rsidRPr="00DB0023" w:rsidTr="00DB0023">
        <w:tc>
          <w:tcPr>
            <w:tcW w:w="5000" w:type="pct"/>
            <w:gridSpan w:val="4"/>
          </w:tcPr>
          <w:p w:rsidR="00DB0023" w:rsidRPr="00DB0023" w:rsidRDefault="00DB0023" w:rsidP="00DB0023">
            <w:pPr>
              <w:spacing w:line="276" w:lineRule="auto"/>
              <w:jc w:val="both"/>
              <w:rPr>
                <w:rFonts w:eastAsia="Calibri"/>
                <w:sz w:val="20"/>
                <w:lang w:val="fr-CA"/>
              </w:rPr>
            </w:pPr>
          </w:p>
        </w:tc>
      </w:tr>
      <w:tr w:rsidR="00DB0023" w:rsidRPr="00DB0023" w:rsidTr="00DB0023">
        <w:tc>
          <w:tcPr>
            <w:tcW w:w="5000" w:type="pct"/>
            <w:gridSpan w:val="4"/>
          </w:tcPr>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Protection du Consommateur – Contrats commerciaux – Recours collectifs – Concessionnaire automobile – Représentation fausse ou trompeuse – Publication au Registre des droits personnels et réels – La Cour d’appel a-t-elle erré en appliquant le Titre II de la </w:t>
            </w:r>
            <w:r w:rsidRPr="00DB0023">
              <w:rPr>
                <w:rFonts w:eastAsia="Calibri"/>
                <w:i/>
                <w:sz w:val="20"/>
                <w:lang w:val="fr-CA"/>
              </w:rPr>
              <w:t>Loi sur la protection du consommateur</w:t>
            </w:r>
            <w:r w:rsidRPr="00DB0023">
              <w:rPr>
                <w:rFonts w:eastAsia="Calibri"/>
                <w:sz w:val="20"/>
                <w:lang w:val="fr-CA"/>
              </w:rPr>
              <w:t xml:space="preserve"> aux clauses des contrats relatifs à la publication au Registre des droits personnels et réels? – La Cour d’appel a-t-elle erré en concluant que les recours en vertu des arts. 271 et 272 de la LPC peuvent coexister dans la même trame factuelle, mais ne peuvent néanmoins être exercés de façon cumulative? – Une faute contractuelle entraine-t-elle une présomption absolue de préjudice en faveur du consommateur? – La Cour d’appel a-t-elle erré en confirmant l’octroi des dommages et intérêts punitifs? – </w:t>
            </w:r>
            <w:r w:rsidRPr="00DB0023">
              <w:rPr>
                <w:rFonts w:eastAsia="Calibri"/>
                <w:i/>
                <w:sz w:val="20"/>
                <w:lang w:val="fr-CA"/>
              </w:rPr>
              <w:t>Loi sur la protection du consommateur</w:t>
            </w:r>
            <w:r w:rsidRPr="00DB0023">
              <w:rPr>
                <w:rFonts w:eastAsia="Calibri"/>
                <w:sz w:val="20"/>
                <w:lang w:val="fr-CA"/>
              </w:rPr>
              <w:t>, L.R.Q., ch. P</w:t>
            </w:r>
            <w:r w:rsidRPr="00DB0023">
              <w:rPr>
                <w:rFonts w:eastAsia="Calibri"/>
                <w:sz w:val="20"/>
                <w:lang w:val="fr-CA"/>
              </w:rPr>
              <w:noBreakHyphen/>
              <w:t>40.1, arts. 12, 218, 227.1, 271 et 272.</w:t>
            </w:r>
          </w:p>
          <w:p w:rsidR="00DB0023" w:rsidRPr="00DB0023" w:rsidRDefault="00DB0023" w:rsidP="00DB0023">
            <w:pPr>
              <w:spacing w:line="276" w:lineRule="auto"/>
              <w:jc w:val="both"/>
              <w:rPr>
                <w:rFonts w:eastAsia="Calibri"/>
                <w:sz w:val="20"/>
                <w:lang w:val="fr-CA"/>
              </w:rPr>
            </w:pPr>
          </w:p>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Quatre recours collectifs distincts sont intentés contre Nissan Canada Finance, division de Nissan Canada Inc., Compagnie de services de financement Automobile Primus Canada, General Motors </w:t>
            </w:r>
            <w:proofErr w:type="spellStart"/>
            <w:r w:rsidRPr="00DB0023">
              <w:rPr>
                <w:rFonts w:eastAsia="Calibri"/>
                <w:sz w:val="20"/>
                <w:lang w:val="fr-CA"/>
              </w:rPr>
              <w:t>Acceptance</w:t>
            </w:r>
            <w:proofErr w:type="spellEnd"/>
            <w:r w:rsidRPr="00DB0023">
              <w:rPr>
                <w:rFonts w:eastAsia="Calibri"/>
                <w:sz w:val="20"/>
                <w:lang w:val="fr-CA"/>
              </w:rPr>
              <w:t xml:space="preserve"> Corporation du Canada Limitée et la Banque Royale du Canada. Les consommateurs allèguent une clause trompeuse dans leur contrat puisqu’un montant qui leur est chargé ne distingue pas les frais de publication au Registre des droits personnels et réels, des frais chargé par de tierces parties pour effectuer ladite publication. Les consommateurs intentent leurs recours collectifs sous l’art. 227.1 du titre II de la </w:t>
            </w:r>
            <w:r w:rsidRPr="00DB0023">
              <w:rPr>
                <w:rFonts w:eastAsia="Calibri"/>
                <w:i/>
                <w:sz w:val="20"/>
                <w:lang w:val="fr-CA"/>
              </w:rPr>
              <w:t>Loi sur la protection du consommateur</w:t>
            </w:r>
            <w:r w:rsidRPr="00DB0023">
              <w:rPr>
                <w:rFonts w:eastAsia="Calibri"/>
                <w:sz w:val="20"/>
                <w:lang w:val="fr-CA"/>
              </w:rPr>
              <w:t>. Les consommateurs demandent, pour chacun des membres du groupe, le remboursement des montants payés en sus de ceux exigés en vertu du tarif ainsi que des dommages punitifs.</w:t>
            </w:r>
          </w:p>
          <w:p w:rsidR="00DB0023" w:rsidRPr="00DB0023" w:rsidRDefault="00DB0023" w:rsidP="009C21EE">
            <w:pPr>
              <w:spacing w:line="276" w:lineRule="auto"/>
              <w:jc w:val="both"/>
              <w:rPr>
                <w:rFonts w:eastAsia="Calibri"/>
                <w:sz w:val="20"/>
                <w:lang w:val="fr-CA"/>
              </w:rPr>
            </w:pPr>
          </w:p>
        </w:tc>
      </w:tr>
      <w:tr w:rsidR="00DB0023" w:rsidRPr="00DB0023" w:rsidTr="00DB0023">
        <w:trPr>
          <w:trHeight w:val="605"/>
        </w:trPr>
        <w:tc>
          <w:tcPr>
            <w:tcW w:w="2390" w:type="pct"/>
            <w:gridSpan w:val="2"/>
            <w:tcMar>
              <w:top w:w="0" w:type="dxa"/>
              <w:left w:w="0" w:type="dxa"/>
              <w:bottom w:w="0" w:type="dxa"/>
              <w:right w:w="0" w:type="dxa"/>
            </w:tcMar>
          </w:tcPr>
          <w:p w:rsidR="00DB0023" w:rsidRPr="00DB0023" w:rsidRDefault="00DB0023" w:rsidP="00DB0023">
            <w:pPr>
              <w:spacing w:line="276" w:lineRule="auto"/>
              <w:jc w:val="both"/>
              <w:rPr>
                <w:rFonts w:eastAsia="Calibri"/>
                <w:i/>
                <w:sz w:val="20"/>
                <w:lang w:val="fr-CA"/>
              </w:rPr>
            </w:pPr>
            <w:r w:rsidRPr="00DB0023">
              <w:rPr>
                <w:rFonts w:eastAsia="Calibri"/>
                <w:i/>
                <w:sz w:val="20"/>
                <w:lang w:val="fr-CA"/>
              </w:rPr>
              <w:t xml:space="preserve">Dubé c. Nissan Canada Finance, division de Nissan Canada </w:t>
            </w:r>
            <w:proofErr w:type="spellStart"/>
            <w:r w:rsidRPr="00DB0023">
              <w:rPr>
                <w:rFonts w:eastAsia="Calibri"/>
                <w:i/>
                <w:sz w:val="20"/>
                <w:lang w:val="fr-CA"/>
              </w:rPr>
              <w:t>inc</w:t>
            </w:r>
            <w:proofErr w:type="spellEnd"/>
          </w:p>
          <w:p w:rsidR="00DB0023" w:rsidRPr="00DB0023" w:rsidRDefault="00DB0023" w:rsidP="00DB0023">
            <w:pPr>
              <w:spacing w:line="276" w:lineRule="auto"/>
              <w:jc w:val="both"/>
              <w:rPr>
                <w:rFonts w:eastAsia="Calibri"/>
                <w:sz w:val="20"/>
                <w:lang w:val="fr-CA"/>
              </w:rPr>
            </w:pPr>
            <w:r w:rsidRPr="00DB0023">
              <w:rPr>
                <w:rFonts w:eastAsia="Calibri"/>
                <w:sz w:val="20"/>
                <w:lang w:val="fr-CA"/>
              </w:rPr>
              <w:t>Le 26 juin 2013</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supérieure du Québec</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(La juge Roy)</w:t>
            </w:r>
          </w:p>
          <w:p w:rsidR="00DB0023" w:rsidRPr="005529E3" w:rsidRDefault="00480458" w:rsidP="00DB0023">
            <w:pPr>
              <w:spacing w:line="276" w:lineRule="auto"/>
              <w:jc w:val="both"/>
              <w:rPr>
                <w:rFonts w:eastAsia="Calibri"/>
                <w:color w:val="0000FF" w:themeColor="hyperlink"/>
                <w:sz w:val="20"/>
                <w:u w:val="single"/>
                <w:lang w:val="fr-CA"/>
              </w:rPr>
            </w:pPr>
            <w:hyperlink r:id="rId39" w:history="1">
              <w:r w:rsidR="00DB0023" w:rsidRPr="005529E3">
                <w:rPr>
                  <w:rFonts w:eastAsia="Calibri"/>
                  <w:color w:val="0000FF" w:themeColor="hyperlink"/>
                  <w:sz w:val="20"/>
                  <w:u w:val="single"/>
                  <w:lang w:val="fr-CA"/>
                </w:rPr>
                <w:t>2013 QCCS 3653</w:t>
              </w:r>
            </w:hyperlink>
          </w:p>
          <w:p w:rsidR="00DB0023" w:rsidRPr="00DB0023" w:rsidRDefault="00DB0023" w:rsidP="00DB0023">
            <w:pPr>
              <w:spacing w:line="276" w:lineRule="auto"/>
              <w:jc w:val="both"/>
              <w:rPr>
                <w:rFonts w:eastAsia="Calibri"/>
                <w:sz w:val="20"/>
                <w:lang w:val="fr-CA"/>
              </w:rPr>
            </w:pPr>
          </w:p>
          <w:p w:rsidR="00DB0023" w:rsidRPr="00DB0023" w:rsidRDefault="00DB0023" w:rsidP="00DB0023">
            <w:pPr>
              <w:spacing w:line="276" w:lineRule="auto"/>
              <w:jc w:val="both"/>
              <w:rPr>
                <w:rFonts w:eastAsia="Calibri"/>
                <w:i/>
                <w:sz w:val="20"/>
                <w:lang w:val="fr-CA"/>
              </w:rPr>
            </w:pPr>
            <w:r w:rsidRPr="00DB0023">
              <w:rPr>
                <w:rFonts w:eastAsia="Calibri"/>
                <w:i/>
                <w:sz w:val="20"/>
                <w:lang w:val="fr-CA"/>
              </w:rPr>
              <w:t>Dion c. Compagnie de services de financement automobile Primus Canada</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Le 26 juin 2013</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supérieure du Québec</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(La juge Roy)</w:t>
            </w:r>
          </w:p>
          <w:p w:rsidR="00DB0023" w:rsidRPr="00DB0023" w:rsidRDefault="00480458" w:rsidP="00DB0023">
            <w:pPr>
              <w:spacing w:line="276" w:lineRule="auto"/>
              <w:jc w:val="both"/>
              <w:rPr>
                <w:rFonts w:eastAsia="Calibri"/>
                <w:sz w:val="20"/>
                <w:lang w:val="fr-CA"/>
              </w:rPr>
            </w:pPr>
            <w:hyperlink r:id="rId40" w:history="1">
              <w:r w:rsidR="00DB0023" w:rsidRPr="005529E3">
                <w:rPr>
                  <w:rFonts w:eastAsia="Calibri"/>
                  <w:color w:val="0000FF" w:themeColor="hyperlink"/>
                  <w:sz w:val="20"/>
                  <w:u w:val="single"/>
                  <w:lang w:val="fr-CA"/>
                </w:rPr>
                <w:t>2013 QCCS 3654</w:t>
              </w:r>
            </w:hyperlink>
            <w:r w:rsidR="00DB0023" w:rsidRPr="00DB0023">
              <w:rPr>
                <w:rFonts w:eastAsia="Calibri"/>
                <w:sz w:val="20"/>
                <w:lang w:val="fr-CA"/>
              </w:rPr>
              <w:t xml:space="preserve"> </w:t>
            </w:r>
          </w:p>
          <w:p w:rsidR="00DB0023" w:rsidRPr="00DB0023" w:rsidRDefault="00DB0023" w:rsidP="00DB0023">
            <w:pPr>
              <w:spacing w:line="276" w:lineRule="auto"/>
              <w:jc w:val="both"/>
              <w:rPr>
                <w:rFonts w:eastAsia="Calibri"/>
                <w:sz w:val="20"/>
                <w:lang w:val="fr-CA"/>
              </w:rPr>
            </w:pPr>
          </w:p>
        </w:tc>
        <w:tc>
          <w:tcPr>
            <w:tcW w:w="270" w:type="pct"/>
            <w:vMerge w:val="restart"/>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p>
        </w:tc>
        <w:tc>
          <w:tcPr>
            <w:tcW w:w="234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r w:rsidRPr="00DB0023">
              <w:rPr>
                <w:rFonts w:eastAsia="Calibri"/>
                <w:sz w:val="20"/>
                <w:lang w:val="fr-CA"/>
              </w:rPr>
              <w:t>Accueille partiellement l’action; condamne Nissan Canada Finance à payer 150 000 $ à titre de dommages-intérêts punitifs</w:t>
            </w:r>
          </w:p>
          <w:p w:rsidR="00DB0023" w:rsidRPr="00DB0023" w:rsidRDefault="00DB0023" w:rsidP="00DB0023">
            <w:pPr>
              <w:spacing w:line="276" w:lineRule="auto"/>
              <w:jc w:val="both"/>
              <w:rPr>
                <w:rFonts w:eastAsia="Calibri"/>
                <w:sz w:val="20"/>
                <w:lang w:val="fr-CA"/>
              </w:rPr>
            </w:pPr>
          </w:p>
          <w:p w:rsidR="00DB0023" w:rsidRPr="00DB0023" w:rsidRDefault="00DB0023" w:rsidP="00DB0023">
            <w:pPr>
              <w:spacing w:line="276" w:lineRule="auto"/>
              <w:jc w:val="both"/>
              <w:rPr>
                <w:rFonts w:eastAsia="Calibri"/>
                <w:sz w:val="20"/>
                <w:lang w:val="fr-CA"/>
              </w:rPr>
            </w:pPr>
          </w:p>
          <w:p w:rsidR="00DB0023" w:rsidRPr="00DB0023" w:rsidRDefault="00DB0023" w:rsidP="00DB0023">
            <w:pPr>
              <w:spacing w:line="276" w:lineRule="auto"/>
              <w:jc w:val="both"/>
              <w:rPr>
                <w:rFonts w:eastAsia="Calibri"/>
                <w:sz w:val="20"/>
                <w:lang w:val="fr-CA"/>
              </w:rPr>
            </w:pPr>
          </w:p>
          <w:p w:rsidR="00DB0023" w:rsidRPr="00DB0023" w:rsidRDefault="00DB0023" w:rsidP="00DB0023">
            <w:pPr>
              <w:spacing w:line="276" w:lineRule="auto"/>
              <w:jc w:val="both"/>
              <w:rPr>
                <w:rFonts w:eastAsia="Calibri"/>
                <w:sz w:val="20"/>
                <w:lang w:val="fr-CA"/>
              </w:rPr>
            </w:pPr>
          </w:p>
          <w:p w:rsidR="00DB0023" w:rsidRPr="00DB0023" w:rsidRDefault="00DB0023" w:rsidP="00DB0023">
            <w:pPr>
              <w:spacing w:line="276" w:lineRule="auto"/>
              <w:jc w:val="both"/>
              <w:rPr>
                <w:rFonts w:eastAsia="Calibri"/>
                <w:sz w:val="20"/>
                <w:lang w:val="fr-CA"/>
              </w:rPr>
            </w:pPr>
          </w:p>
          <w:p w:rsidR="00DB0023" w:rsidRPr="00DB0023" w:rsidRDefault="00DB0023" w:rsidP="00DB0023">
            <w:pPr>
              <w:spacing w:line="276" w:lineRule="auto"/>
              <w:jc w:val="both"/>
              <w:rPr>
                <w:rFonts w:eastAsia="Calibri"/>
                <w:sz w:val="20"/>
                <w:lang w:val="fr-CA"/>
              </w:rPr>
            </w:pPr>
            <w:r w:rsidRPr="00DB0023">
              <w:rPr>
                <w:rFonts w:eastAsia="Calibri"/>
                <w:sz w:val="20"/>
                <w:lang w:val="fr-CA"/>
              </w:rPr>
              <w:t>Rejette l’action</w:t>
            </w:r>
          </w:p>
        </w:tc>
      </w:tr>
      <w:tr w:rsidR="00DB0023" w:rsidRPr="00DB0023" w:rsidTr="00DB0023">
        <w:trPr>
          <w:trHeight w:val="1658"/>
        </w:trPr>
        <w:tc>
          <w:tcPr>
            <w:tcW w:w="2390" w:type="pct"/>
            <w:gridSpan w:val="2"/>
            <w:tcMar>
              <w:top w:w="0" w:type="dxa"/>
              <w:left w:w="0" w:type="dxa"/>
              <w:bottom w:w="0" w:type="dxa"/>
              <w:right w:w="0" w:type="dxa"/>
            </w:tcMar>
          </w:tcPr>
          <w:p w:rsidR="00DB0023" w:rsidRPr="00DB0023" w:rsidRDefault="00DB0023" w:rsidP="00DB0023">
            <w:pPr>
              <w:spacing w:line="276" w:lineRule="auto"/>
              <w:jc w:val="both"/>
              <w:rPr>
                <w:rFonts w:eastAsia="Calibri"/>
                <w:b/>
                <w:i/>
                <w:sz w:val="20"/>
                <w:lang w:val="fr-CA"/>
              </w:rPr>
            </w:pPr>
            <w:r w:rsidRPr="00DB0023">
              <w:rPr>
                <w:rFonts w:eastAsia="Calibri"/>
                <w:i/>
                <w:sz w:val="20"/>
                <w:lang w:val="fr-CA"/>
              </w:rPr>
              <w:lastRenderedPageBreak/>
              <w:t xml:space="preserve">Daneau c. General Motors </w:t>
            </w:r>
            <w:proofErr w:type="spellStart"/>
            <w:r w:rsidRPr="00DB0023">
              <w:rPr>
                <w:rFonts w:eastAsia="Calibri"/>
                <w:i/>
                <w:sz w:val="20"/>
                <w:lang w:val="fr-CA"/>
              </w:rPr>
              <w:t>Acceptance</w:t>
            </w:r>
            <w:proofErr w:type="spellEnd"/>
            <w:r w:rsidRPr="00DB0023">
              <w:rPr>
                <w:rFonts w:eastAsia="Calibri"/>
                <w:i/>
                <w:sz w:val="20"/>
                <w:lang w:val="fr-CA"/>
              </w:rPr>
              <w:t xml:space="preserve"> Corporation du Canada</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Le 26 juin 2013</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supérieure du Québec</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(La juge Roy)</w:t>
            </w:r>
          </w:p>
          <w:p w:rsidR="00DB0023" w:rsidRPr="00DB0023" w:rsidRDefault="00480458" w:rsidP="00DB0023">
            <w:pPr>
              <w:spacing w:line="276" w:lineRule="auto"/>
              <w:jc w:val="both"/>
              <w:rPr>
                <w:rFonts w:eastAsia="Calibri"/>
                <w:sz w:val="20"/>
                <w:lang w:val="fr-CA"/>
              </w:rPr>
            </w:pPr>
            <w:hyperlink r:id="rId41" w:history="1">
              <w:r w:rsidR="00DB0023" w:rsidRPr="005529E3">
                <w:rPr>
                  <w:rFonts w:eastAsia="Calibri"/>
                  <w:color w:val="0000FF" w:themeColor="hyperlink"/>
                  <w:sz w:val="20"/>
                  <w:u w:val="single"/>
                  <w:lang w:val="fr-CA"/>
                </w:rPr>
                <w:t>2013 QCCS 3655</w:t>
              </w:r>
            </w:hyperlink>
          </w:p>
          <w:p w:rsidR="00DB0023" w:rsidRPr="00DB0023" w:rsidRDefault="00DB0023" w:rsidP="00DB0023">
            <w:pPr>
              <w:spacing w:line="276" w:lineRule="auto"/>
              <w:jc w:val="both"/>
              <w:rPr>
                <w:rFonts w:eastAsia="Calibri"/>
                <w:sz w:val="20"/>
                <w:lang w:val="fr-CA"/>
              </w:rPr>
            </w:pPr>
          </w:p>
        </w:tc>
        <w:tc>
          <w:tcPr>
            <w:tcW w:w="0" w:type="auto"/>
            <w:vMerge/>
            <w:vAlign w:val="center"/>
            <w:hideMark/>
          </w:tcPr>
          <w:p w:rsidR="00DB0023" w:rsidRPr="00DB0023" w:rsidRDefault="00DB0023" w:rsidP="00DB0023">
            <w:pPr>
              <w:spacing w:line="276" w:lineRule="auto"/>
              <w:rPr>
                <w:rFonts w:eastAsia="Calibri"/>
                <w:sz w:val="20"/>
                <w:lang w:val="fr-CA"/>
              </w:rPr>
            </w:pPr>
          </w:p>
        </w:tc>
        <w:tc>
          <w:tcPr>
            <w:tcW w:w="2340" w:type="pct"/>
            <w:tcMar>
              <w:top w:w="0" w:type="dxa"/>
              <w:left w:w="0" w:type="dxa"/>
              <w:bottom w:w="0" w:type="dxa"/>
              <w:right w:w="0" w:type="dxa"/>
            </w:tcMar>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Accueille partiellement l’action; condamne General Motors </w:t>
            </w:r>
            <w:proofErr w:type="spellStart"/>
            <w:r w:rsidRPr="00DB0023">
              <w:rPr>
                <w:rFonts w:eastAsia="Calibri"/>
                <w:sz w:val="20"/>
                <w:lang w:val="fr-CA"/>
              </w:rPr>
              <w:t>Acceptance</w:t>
            </w:r>
            <w:proofErr w:type="spellEnd"/>
            <w:r w:rsidRPr="00DB0023">
              <w:rPr>
                <w:rFonts w:eastAsia="Calibri"/>
                <w:sz w:val="20"/>
                <w:lang w:val="fr-CA"/>
              </w:rPr>
              <w:t xml:space="preserve"> Corporation du Canada à payer 150 000 $ à titre de dommages-intérêts punitifs</w:t>
            </w:r>
          </w:p>
        </w:tc>
      </w:tr>
      <w:tr w:rsidR="00DB0023" w:rsidRPr="00DB0023" w:rsidTr="00DB0023">
        <w:trPr>
          <w:trHeight w:val="1657"/>
        </w:trPr>
        <w:tc>
          <w:tcPr>
            <w:tcW w:w="2390" w:type="pct"/>
            <w:gridSpan w:val="2"/>
            <w:tcMar>
              <w:top w:w="0" w:type="dxa"/>
              <w:left w:w="0" w:type="dxa"/>
              <w:bottom w:w="0" w:type="dxa"/>
              <w:right w:w="0" w:type="dxa"/>
            </w:tcMar>
            <w:hideMark/>
          </w:tcPr>
          <w:p w:rsidR="00DB0023" w:rsidRPr="00DB0023" w:rsidRDefault="00DB0023" w:rsidP="00DB0023">
            <w:pPr>
              <w:spacing w:line="276" w:lineRule="auto"/>
              <w:jc w:val="both"/>
              <w:rPr>
                <w:rFonts w:eastAsia="Calibri"/>
                <w:i/>
                <w:sz w:val="20"/>
                <w:lang w:val="fr-CA"/>
              </w:rPr>
            </w:pPr>
            <w:r w:rsidRPr="00DB0023">
              <w:rPr>
                <w:rFonts w:eastAsia="Calibri"/>
                <w:i/>
                <w:sz w:val="20"/>
                <w:lang w:val="fr-CA"/>
              </w:rPr>
              <w:t>St-Pierre c. Banque Royale du Canada</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Le 26 juin 2013</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supérieure du Québec</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(La juge Roy)</w:t>
            </w:r>
          </w:p>
          <w:p w:rsidR="00DB0023" w:rsidRPr="00DB0023" w:rsidRDefault="00480458" w:rsidP="00DB0023">
            <w:pPr>
              <w:spacing w:line="276" w:lineRule="auto"/>
              <w:jc w:val="both"/>
              <w:rPr>
                <w:rFonts w:eastAsia="Calibri"/>
                <w:i/>
                <w:sz w:val="20"/>
                <w:lang w:val="fr-CA"/>
              </w:rPr>
            </w:pPr>
            <w:hyperlink r:id="rId42" w:history="1">
              <w:r w:rsidR="00DB0023" w:rsidRPr="005529E3">
                <w:rPr>
                  <w:rFonts w:eastAsia="Calibri"/>
                  <w:color w:val="0000FF" w:themeColor="hyperlink"/>
                  <w:sz w:val="20"/>
                  <w:u w:val="single"/>
                  <w:lang w:val="fr-CA"/>
                </w:rPr>
                <w:t>2013 QCCS 3657</w:t>
              </w:r>
            </w:hyperlink>
          </w:p>
        </w:tc>
        <w:tc>
          <w:tcPr>
            <w:tcW w:w="0" w:type="auto"/>
            <w:vMerge/>
            <w:vAlign w:val="center"/>
            <w:hideMark/>
          </w:tcPr>
          <w:p w:rsidR="00DB0023" w:rsidRPr="00DB0023" w:rsidRDefault="00DB0023" w:rsidP="00DB0023">
            <w:pPr>
              <w:spacing w:line="276" w:lineRule="auto"/>
              <w:rPr>
                <w:rFonts w:eastAsia="Calibri"/>
                <w:sz w:val="20"/>
                <w:lang w:val="fr-CA"/>
              </w:rPr>
            </w:pPr>
          </w:p>
        </w:tc>
        <w:tc>
          <w:tcPr>
            <w:tcW w:w="2340" w:type="pct"/>
            <w:tcMar>
              <w:top w:w="0" w:type="dxa"/>
              <w:left w:w="0" w:type="dxa"/>
              <w:bottom w:w="0" w:type="dxa"/>
              <w:right w:w="0" w:type="dxa"/>
            </w:tcMar>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Rejette l’action</w:t>
            </w:r>
          </w:p>
        </w:tc>
      </w:tr>
      <w:tr w:rsidR="00DB0023" w:rsidRPr="00DB0023" w:rsidTr="00DB0023">
        <w:tc>
          <w:tcPr>
            <w:tcW w:w="2390" w:type="pct"/>
            <w:gridSpan w:val="2"/>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r w:rsidRPr="00DB0023">
              <w:rPr>
                <w:rFonts w:eastAsia="Calibri"/>
                <w:sz w:val="20"/>
                <w:lang w:val="fr-CA"/>
              </w:rPr>
              <w:t>Le 20 février 2015</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d’appel du Québec (Montréal)</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(Les juges </w:t>
            </w:r>
            <w:proofErr w:type="spellStart"/>
            <w:r w:rsidRPr="00DB0023">
              <w:rPr>
                <w:rFonts w:eastAsia="Calibri"/>
                <w:sz w:val="20"/>
                <w:lang w:val="fr-CA"/>
              </w:rPr>
              <w:t>Kasirer</w:t>
            </w:r>
            <w:proofErr w:type="spellEnd"/>
            <w:r w:rsidRPr="00DB0023">
              <w:rPr>
                <w:rFonts w:eastAsia="Calibri"/>
                <w:sz w:val="20"/>
                <w:lang w:val="fr-CA"/>
              </w:rPr>
              <w:t xml:space="preserve">, </w:t>
            </w:r>
            <w:proofErr w:type="spellStart"/>
            <w:r w:rsidRPr="00DB0023">
              <w:rPr>
                <w:rFonts w:eastAsia="Calibri"/>
                <w:sz w:val="20"/>
                <w:lang w:val="fr-CA"/>
              </w:rPr>
              <w:t>Emond</w:t>
            </w:r>
            <w:proofErr w:type="spellEnd"/>
            <w:r w:rsidRPr="00DB0023">
              <w:rPr>
                <w:rFonts w:eastAsia="Calibri"/>
                <w:sz w:val="20"/>
                <w:lang w:val="fr-CA"/>
              </w:rPr>
              <w:t xml:space="preserve"> et </w:t>
            </w:r>
            <w:proofErr w:type="spellStart"/>
            <w:r w:rsidRPr="00DB0023">
              <w:rPr>
                <w:rFonts w:eastAsia="Calibri"/>
                <w:sz w:val="20"/>
                <w:lang w:val="fr-CA"/>
              </w:rPr>
              <w:t>Schrager</w:t>
            </w:r>
            <w:proofErr w:type="spellEnd"/>
            <w:r w:rsidRPr="00DB0023">
              <w:rPr>
                <w:rFonts w:eastAsia="Calibri"/>
                <w:sz w:val="20"/>
                <w:lang w:val="fr-CA"/>
              </w:rPr>
              <w:t>)</w:t>
            </w:r>
          </w:p>
          <w:p w:rsidR="00DB0023" w:rsidRPr="00DB0023" w:rsidRDefault="00480458" w:rsidP="00DB0023">
            <w:pPr>
              <w:spacing w:line="276" w:lineRule="auto"/>
              <w:jc w:val="both"/>
              <w:rPr>
                <w:rFonts w:eastAsia="Calibri"/>
                <w:sz w:val="20"/>
                <w:lang w:val="fr-CA"/>
              </w:rPr>
            </w:pPr>
            <w:hyperlink r:id="rId43" w:history="1">
              <w:r w:rsidR="00DB0023" w:rsidRPr="005529E3">
                <w:rPr>
                  <w:rFonts w:eastAsia="Calibri"/>
                  <w:color w:val="0000FF" w:themeColor="hyperlink"/>
                  <w:sz w:val="20"/>
                  <w:u w:val="single"/>
                  <w:lang w:val="fr-CA"/>
                </w:rPr>
                <w:t>2015 QCCA 333</w:t>
              </w:r>
            </w:hyperlink>
          </w:p>
          <w:p w:rsidR="00DB0023" w:rsidRPr="00DB0023" w:rsidRDefault="00DB0023" w:rsidP="00DB0023">
            <w:pPr>
              <w:spacing w:line="276" w:lineRule="auto"/>
              <w:jc w:val="both"/>
              <w:rPr>
                <w:rFonts w:eastAsia="Calibri"/>
                <w:sz w:val="20"/>
                <w:lang w:val="fr-CA"/>
              </w:rPr>
            </w:pPr>
          </w:p>
        </w:tc>
        <w:tc>
          <w:tcPr>
            <w:tcW w:w="27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p>
        </w:tc>
        <w:tc>
          <w:tcPr>
            <w:tcW w:w="234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r w:rsidRPr="00DB0023">
              <w:rPr>
                <w:rFonts w:eastAsia="Calibri"/>
                <w:sz w:val="20"/>
                <w:lang w:val="fr-CA"/>
              </w:rPr>
              <w:t>Rejette les appels</w:t>
            </w:r>
          </w:p>
          <w:p w:rsidR="00DB0023" w:rsidRPr="00DB0023" w:rsidRDefault="00DB0023" w:rsidP="00DB0023">
            <w:pPr>
              <w:spacing w:line="276" w:lineRule="auto"/>
              <w:jc w:val="both"/>
              <w:rPr>
                <w:rFonts w:eastAsia="Calibri"/>
                <w:sz w:val="20"/>
                <w:lang w:val="fr-CA"/>
              </w:rPr>
            </w:pPr>
          </w:p>
        </w:tc>
      </w:tr>
      <w:tr w:rsidR="00DB0023" w:rsidRPr="00DB0023" w:rsidTr="00DB0023">
        <w:tc>
          <w:tcPr>
            <w:tcW w:w="2390" w:type="pct"/>
            <w:gridSpan w:val="2"/>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r w:rsidRPr="00DB0023">
              <w:rPr>
                <w:rFonts w:eastAsia="Calibri"/>
                <w:sz w:val="20"/>
                <w:lang w:val="fr-CA"/>
              </w:rPr>
              <w:t>Le 20 avril 2015</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suprême du Canada</w:t>
            </w:r>
          </w:p>
          <w:p w:rsidR="00DB0023" w:rsidRPr="00DB0023" w:rsidRDefault="00DB0023" w:rsidP="00DB0023">
            <w:pPr>
              <w:spacing w:line="276" w:lineRule="auto"/>
              <w:jc w:val="both"/>
              <w:rPr>
                <w:rFonts w:eastAsia="Calibri"/>
                <w:sz w:val="20"/>
                <w:lang w:val="fr-CA"/>
              </w:rPr>
            </w:pPr>
          </w:p>
        </w:tc>
        <w:tc>
          <w:tcPr>
            <w:tcW w:w="27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p>
        </w:tc>
        <w:tc>
          <w:tcPr>
            <w:tcW w:w="234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Demande d’autorisation d’appel déposée par Véronique Dion et al. </w:t>
            </w:r>
          </w:p>
          <w:p w:rsidR="00DB0023" w:rsidRPr="00DB0023" w:rsidRDefault="00DB0023" w:rsidP="00DB0023">
            <w:pPr>
              <w:spacing w:line="276" w:lineRule="auto"/>
              <w:jc w:val="both"/>
              <w:rPr>
                <w:rFonts w:eastAsia="Calibri"/>
                <w:sz w:val="20"/>
                <w:lang w:val="fr-CA"/>
              </w:rPr>
            </w:pPr>
          </w:p>
        </w:tc>
      </w:tr>
      <w:tr w:rsidR="00DB0023" w:rsidRPr="00DB0023" w:rsidTr="00DB0023">
        <w:tc>
          <w:tcPr>
            <w:tcW w:w="2390" w:type="pct"/>
            <w:gridSpan w:val="2"/>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r w:rsidRPr="00DB0023">
              <w:rPr>
                <w:rFonts w:eastAsia="Calibri"/>
                <w:sz w:val="20"/>
                <w:lang w:val="fr-CA"/>
              </w:rPr>
              <w:t>Le 21 avril 2015</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suprême du Canada</w:t>
            </w:r>
          </w:p>
          <w:p w:rsidR="00DB0023" w:rsidRPr="00DB0023" w:rsidRDefault="00DB0023" w:rsidP="00DB0023">
            <w:pPr>
              <w:spacing w:line="276" w:lineRule="auto"/>
              <w:jc w:val="both"/>
              <w:rPr>
                <w:rFonts w:eastAsia="Calibri"/>
                <w:sz w:val="20"/>
                <w:lang w:val="fr-CA"/>
              </w:rPr>
            </w:pPr>
          </w:p>
        </w:tc>
        <w:tc>
          <w:tcPr>
            <w:tcW w:w="27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p>
        </w:tc>
        <w:tc>
          <w:tcPr>
            <w:tcW w:w="234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r w:rsidRPr="00DB0023">
              <w:rPr>
                <w:rFonts w:eastAsia="Calibri"/>
                <w:sz w:val="20"/>
                <w:lang w:val="fr-CA"/>
              </w:rPr>
              <w:t>Demande d’autorisation d’appel déposée par Nissan Canada</w:t>
            </w:r>
          </w:p>
          <w:p w:rsidR="00DB0023" w:rsidRPr="00DB0023" w:rsidRDefault="00DB0023" w:rsidP="00DB0023">
            <w:pPr>
              <w:spacing w:line="276" w:lineRule="auto"/>
              <w:jc w:val="both"/>
              <w:rPr>
                <w:rFonts w:eastAsia="Calibri"/>
                <w:sz w:val="20"/>
                <w:lang w:val="fr-CA"/>
              </w:rPr>
            </w:pPr>
          </w:p>
        </w:tc>
      </w:tr>
      <w:tr w:rsidR="00DB0023" w:rsidRPr="00DB0023" w:rsidTr="00DB0023">
        <w:tc>
          <w:tcPr>
            <w:tcW w:w="2390" w:type="pct"/>
            <w:gridSpan w:val="2"/>
            <w:tcMar>
              <w:top w:w="0" w:type="dxa"/>
              <w:left w:w="0" w:type="dxa"/>
              <w:bottom w:w="0" w:type="dxa"/>
              <w:right w:w="0" w:type="dxa"/>
            </w:tcMar>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Le 19 mai 2015</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suprême du Canada</w:t>
            </w:r>
          </w:p>
        </w:tc>
        <w:tc>
          <w:tcPr>
            <w:tcW w:w="27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p>
        </w:tc>
        <w:tc>
          <w:tcPr>
            <w:tcW w:w="2340" w:type="pct"/>
            <w:tcMar>
              <w:top w:w="0" w:type="dxa"/>
              <w:left w:w="0" w:type="dxa"/>
              <w:bottom w:w="0" w:type="dxa"/>
              <w:right w:w="0" w:type="dxa"/>
            </w:tcMar>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Demande d’autorisation d’appel incident déposée par General Motors </w:t>
            </w:r>
            <w:proofErr w:type="spellStart"/>
            <w:r w:rsidRPr="00DB0023">
              <w:rPr>
                <w:rFonts w:eastAsia="Calibri"/>
                <w:sz w:val="20"/>
                <w:lang w:val="fr-CA"/>
              </w:rPr>
              <w:t>Acceptance</w:t>
            </w:r>
            <w:proofErr w:type="spellEnd"/>
            <w:r w:rsidRPr="00DB0023">
              <w:rPr>
                <w:rFonts w:eastAsia="Calibri"/>
                <w:sz w:val="20"/>
                <w:lang w:val="fr-CA"/>
              </w:rPr>
              <w:t xml:space="preserve"> Corporation du Canada</w:t>
            </w:r>
          </w:p>
        </w:tc>
      </w:tr>
    </w:tbl>
    <w:p w:rsidR="00DB0023" w:rsidRDefault="00DB0023" w:rsidP="00DB0023">
      <w:pPr>
        <w:jc w:val="both"/>
        <w:rPr>
          <w:rFonts w:eastAsia="Calibri"/>
          <w:sz w:val="20"/>
          <w:lang w:val="fr-CA"/>
        </w:rPr>
      </w:pPr>
    </w:p>
    <w:p w:rsidR="009C21EE" w:rsidRPr="00DB0023" w:rsidRDefault="009C21EE" w:rsidP="00DB0023">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5"/>
        <w:gridCol w:w="3425"/>
        <w:gridCol w:w="500"/>
        <w:gridCol w:w="4336"/>
      </w:tblGrid>
      <w:tr w:rsidR="00DB0023" w:rsidRPr="00DB0023" w:rsidTr="00DB0023">
        <w:tc>
          <w:tcPr>
            <w:tcW w:w="542" w:type="pct"/>
            <w:hideMark/>
          </w:tcPr>
          <w:p w:rsidR="00DB0023" w:rsidRPr="00DB0023" w:rsidRDefault="00DB0023" w:rsidP="00DB0023">
            <w:pPr>
              <w:spacing w:line="276" w:lineRule="auto"/>
              <w:jc w:val="both"/>
              <w:rPr>
                <w:rFonts w:eastAsia="Calibri"/>
                <w:sz w:val="20"/>
                <w:lang w:val="en-CA"/>
              </w:rPr>
            </w:pPr>
            <w:r w:rsidRPr="005529E3">
              <w:rPr>
                <w:rFonts w:eastAsia="Calibri"/>
                <w:b/>
                <w:sz w:val="20"/>
                <w:lang w:val="fr-CA"/>
              </w:rPr>
              <w:t>36381</w:t>
            </w:r>
          </w:p>
        </w:tc>
        <w:tc>
          <w:tcPr>
            <w:tcW w:w="4458" w:type="pct"/>
            <w:gridSpan w:val="3"/>
          </w:tcPr>
          <w:p w:rsidR="00DB0023" w:rsidRPr="00DB0023" w:rsidRDefault="00DB0023" w:rsidP="00DB0023">
            <w:pPr>
              <w:spacing w:line="276" w:lineRule="auto"/>
              <w:jc w:val="both"/>
              <w:rPr>
                <w:rFonts w:eastAsia="Calibri"/>
                <w:b/>
                <w:sz w:val="20"/>
                <w:lang w:val="en-CA"/>
              </w:rPr>
            </w:pPr>
            <w:r w:rsidRPr="00DB0023">
              <w:rPr>
                <w:rFonts w:eastAsia="Calibri"/>
                <w:b/>
                <w:sz w:val="20"/>
                <w:lang w:val="en-CA"/>
              </w:rPr>
              <w:t>H.T.H. Realties Inc. v. Plaza Chevrolet Buick GMC Cadillac Inc.</w:t>
            </w:r>
          </w:p>
          <w:p w:rsidR="00DB0023" w:rsidRPr="00DB0023" w:rsidRDefault="00DB0023" w:rsidP="009C21EE">
            <w:pPr>
              <w:spacing w:line="276" w:lineRule="auto"/>
              <w:jc w:val="both"/>
              <w:rPr>
                <w:rFonts w:eastAsia="Calibri"/>
                <w:sz w:val="20"/>
                <w:lang w:val="en-CA"/>
              </w:rPr>
            </w:pPr>
            <w:r w:rsidRPr="00DB0023">
              <w:rPr>
                <w:rFonts w:eastAsia="Calibri"/>
                <w:sz w:val="20"/>
                <w:lang w:val="en-CA"/>
              </w:rPr>
              <w:t>(Que.) (Civil) (By Leave)</w:t>
            </w:r>
          </w:p>
        </w:tc>
      </w:tr>
      <w:tr w:rsidR="00DB0023" w:rsidRPr="00DB0023" w:rsidTr="00DB0023">
        <w:tc>
          <w:tcPr>
            <w:tcW w:w="5000" w:type="pct"/>
            <w:gridSpan w:val="4"/>
            <w:hideMark/>
          </w:tcPr>
          <w:p w:rsidR="00DB0023" w:rsidRPr="00DB0023" w:rsidRDefault="00DB0023" w:rsidP="00DB0023">
            <w:pPr>
              <w:spacing w:line="276" w:lineRule="auto"/>
              <w:jc w:val="both"/>
              <w:rPr>
                <w:rFonts w:eastAsia="Calibri"/>
                <w:sz w:val="20"/>
                <w:lang w:val="en-CA"/>
              </w:rPr>
            </w:pPr>
            <w:r w:rsidRPr="00DB0023">
              <w:rPr>
                <w:rFonts w:eastAsia="Calibri"/>
                <w:sz w:val="20"/>
                <w:lang w:val="en-CA"/>
              </w:rPr>
              <w:t xml:space="preserve">Contract – Lease – Commercial lease – Implementation of lease – Change in rate of indexation of </w:t>
            </w:r>
            <w:proofErr w:type="spellStart"/>
            <w:r w:rsidRPr="00DB0023">
              <w:rPr>
                <w:rFonts w:eastAsia="Calibri"/>
                <w:sz w:val="20"/>
                <w:lang w:val="en-CA"/>
              </w:rPr>
              <w:t>prestation</w:t>
            </w:r>
            <w:proofErr w:type="spellEnd"/>
            <w:r w:rsidRPr="00DB0023">
              <w:rPr>
                <w:rFonts w:eastAsia="Calibri"/>
                <w:sz w:val="20"/>
                <w:lang w:val="en-CA"/>
              </w:rPr>
              <w:t xml:space="preserve"> – Parties’ true intent – Recovery of thing not due – Restitution of payment made in error – Absence or presence of novation – Conditions for novation – Obligation to inform – Prescription – Maximum period for invoking prescription – Respondent’s right to adduce evidence to contrary – Absence of factual evidence needed to decide question – Whether there is maximum period for invoking prescription notwithstanding art. 2881 </w:t>
            </w:r>
            <w:r w:rsidRPr="00DB0023">
              <w:rPr>
                <w:rFonts w:eastAsia="Calibri"/>
                <w:i/>
                <w:sz w:val="20"/>
                <w:lang w:val="en-CA"/>
              </w:rPr>
              <w:t>C.C.Q</w:t>
            </w:r>
            <w:r w:rsidRPr="00DB0023">
              <w:rPr>
                <w:rFonts w:eastAsia="Calibri"/>
                <w:sz w:val="20"/>
                <w:lang w:val="en-CA"/>
              </w:rPr>
              <w:t xml:space="preserve">. – Whether change in rate of indexation of </w:t>
            </w:r>
            <w:proofErr w:type="spellStart"/>
            <w:r w:rsidRPr="00DB0023">
              <w:rPr>
                <w:rFonts w:eastAsia="Calibri"/>
                <w:sz w:val="20"/>
                <w:lang w:val="en-CA"/>
              </w:rPr>
              <w:t>prestation</w:t>
            </w:r>
            <w:proofErr w:type="spellEnd"/>
            <w:r w:rsidRPr="00DB0023">
              <w:rPr>
                <w:rFonts w:eastAsia="Calibri"/>
                <w:sz w:val="20"/>
                <w:lang w:val="en-CA"/>
              </w:rPr>
              <w:t xml:space="preserve"> can in itself have effect of novating contract between parties even though all other conditions of said contract remain unchanged – In either case, extent of duty to inform other contracting party of change in rate of indexation of </w:t>
            </w:r>
            <w:proofErr w:type="spellStart"/>
            <w:r w:rsidRPr="00DB0023">
              <w:rPr>
                <w:rFonts w:eastAsia="Calibri"/>
                <w:sz w:val="20"/>
                <w:lang w:val="en-CA"/>
              </w:rPr>
              <w:t>prestation</w:t>
            </w:r>
            <w:proofErr w:type="spellEnd"/>
            <w:r w:rsidRPr="00DB0023">
              <w:rPr>
                <w:rFonts w:eastAsia="Calibri"/>
                <w:sz w:val="20"/>
                <w:lang w:val="en-CA"/>
              </w:rPr>
              <w:t xml:space="preserve"> to ensure that other party’s consent is free and informed. </w:t>
            </w:r>
          </w:p>
        </w:tc>
      </w:tr>
      <w:tr w:rsidR="00DB0023" w:rsidRPr="00DB0023" w:rsidTr="00DB0023">
        <w:tc>
          <w:tcPr>
            <w:tcW w:w="5000" w:type="pct"/>
            <w:gridSpan w:val="4"/>
          </w:tcPr>
          <w:p w:rsidR="00DB0023" w:rsidRPr="00DB0023" w:rsidRDefault="00DB0023" w:rsidP="00DB0023">
            <w:pPr>
              <w:spacing w:line="276" w:lineRule="auto"/>
              <w:jc w:val="both"/>
              <w:rPr>
                <w:rFonts w:eastAsia="Calibri"/>
                <w:sz w:val="20"/>
                <w:lang w:val="en-CA"/>
              </w:rPr>
            </w:pPr>
          </w:p>
        </w:tc>
      </w:tr>
      <w:tr w:rsidR="00DB0023" w:rsidRPr="00DB0023" w:rsidTr="00DB0023">
        <w:tc>
          <w:tcPr>
            <w:tcW w:w="5000" w:type="pct"/>
            <w:gridSpan w:val="4"/>
          </w:tcPr>
          <w:p w:rsidR="00DB0023" w:rsidRPr="00DB0023" w:rsidRDefault="00DB0023" w:rsidP="00DB0023">
            <w:pPr>
              <w:spacing w:line="276" w:lineRule="auto"/>
              <w:jc w:val="both"/>
              <w:rPr>
                <w:rFonts w:eastAsia="Calibri"/>
                <w:sz w:val="20"/>
                <w:lang w:val="en-CA"/>
              </w:rPr>
            </w:pPr>
            <w:r w:rsidRPr="00DB0023">
              <w:rPr>
                <w:rFonts w:eastAsia="Calibri"/>
                <w:sz w:val="20"/>
                <w:lang w:val="en-CA"/>
              </w:rPr>
              <w:t xml:space="preserve">In December 2008, the respondent Plaza Chevrolet Buick GMC Cadillac Inc. filed a motion in the Superior Court for recovery of a thing not due and a declaratory judgment. It alleged that it had overpaid on rent payments to the applicant H.T.H. Realties Inc. because the index used since 1998 for indexation resulted in an increase greater than the one provided for in the lease. In November 2010, H.T.H. brought a motion for </w:t>
            </w:r>
            <w:proofErr w:type="spellStart"/>
            <w:r w:rsidRPr="00DB0023">
              <w:rPr>
                <w:rFonts w:eastAsia="Calibri"/>
                <w:sz w:val="20"/>
                <w:lang w:val="en-CA"/>
              </w:rPr>
              <w:t>resiliation</w:t>
            </w:r>
            <w:proofErr w:type="spellEnd"/>
            <w:r w:rsidRPr="00DB0023">
              <w:rPr>
                <w:rFonts w:eastAsia="Calibri"/>
                <w:sz w:val="20"/>
                <w:lang w:val="en-CA"/>
              </w:rPr>
              <w:t xml:space="preserve"> of the lease and damages, alleging that Plaza had breached the lease conditions by selling Honda vehicles on its site and by not complying with environmental legislation and regulations. Plaza then filed a cross demand seeking punitive and moral damages and compensation under art. 54.1 </w:t>
            </w:r>
            <w:r w:rsidRPr="00DB0023">
              <w:rPr>
                <w:rFonts w:eastAsia="Calibri"/>
                <w:i/>
                <w:sz w:val="20"/>
                <w:lang w:val="en-CA"/>
              </w:rPr>
              <w:t>C.C.P.</w:t>
            </w:r>
            <w:r w:rsidRPr="00DB0023">
              <w:rPr>
                <w:rFonts w:eastAsia="Calibri"/>
                <w:sz w:val="20"/>
                <w:lang w:val="en-CA"/>
              </w:rPr>
              <w:t xml:space="preserve"> The two motions to institute proceedings were joined.</w:t>
            </w:r>
          </w:p>
          <w:p w:rsidR="00DB0023" w:rsidRPr="00DB0023" w:rsidRDefault="00DB0023" w:rsidP="00DB0023">
            <w:pPr>
              <w:spacing w:line="276" w:lineRule="auto"/>
              <w:jc w:val="both"/>
              <w:rPr>
                <w:rFonts w:eastAsia="Calibri"/>
                <w:sz w:val="20"/>
                <w:lang w:val="en-CA"/>
              </w:rPr>
            </w:pPr>
          </w:p>
        </w:tc>
      </w:tr>
      <w:tr w:rsidR="00DB0023" w:rsidRPr="00DB0023" w:rsidTr="00DB0023">
        <w:tc>
          <w:tcPr>
            <w:tcW w:w="2390" w:type="pct"/>
            <w:gridSpan w:val="2"/>
            <w:tcMar>
              <w:top w:w="0" w:type="dxa"/>
              <w:left w:w="0" w:type="dxa"/>
              <w:bottom w:w="0" w:type="dxa"/>
              <w:right w:w="0" w:type="dxa"/>
            </w:tcMar>
            <w:hideMark/>
          </w:tcPr>
          <w:p w:rsidR="00DB0023" w:rsidRPr="00DB0023" w:rsidRDefault="00DB0023" w:rsidP="00DB0023">
            <w:pPr>
              <w:spacing w:line="276" w:lineRule="auto"/>
              <w:jc w:val="both"/>
              <w:rPr>
                <w:rFonts w:eastAsia="Calibri"/>
                <w:sz w:val="20"/>
                <w:lang w:val="en-CA"/>
              </w:rPr>
            </w:pPr>
            <w:r w:rsidRPr="00DB0023">
              <w:rPr>
                <w:rFonts w:eastAsia="Calibri"/>
                <w:sz w:val="20"/>
                <w:lang w:val="en-CA"/>
              </w:rPr>
              <w:lastRenderedPageBreak/>
              <w:t>November 29, 2012</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Quebec Superior Court</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(Jasmin J.)</w:t>
            </w:r>
          </w:p>
          <w:p w:rsidR="00DB0023" w:rsidRPr="00DB0023" w:rsidRDefault="00480458" w:rsidP="00DB0023">
            <w:pPr>
              <w:spacing w:line="276" w:lineRule="auto"/>
              <w:jc w:val="both"/>
              <w:rPr>
                <w:rFonts w:eastAsia="Calibri"/>
                <w:sz w:val="20"/>
                <w:lang w:val="en-CA"/>
              </w:rPr>
            </w:pPr>
            <w:hyperlink r:id="rId44" w:history="1">
              <w:r w:rsidR="00DB0023" w:rsidRPr="005529E3">
                <w:rPr>
                  <w:rFonts w:eastAsia="Calibri"/>
                  <w:color w:val="0000FF" w:themeColor="hyperlink"/>
                  <w:sz w:val="20"/>
                  <w:u w:val="single"/>
                  <w:lang w:val="en-CA"/>
                </w:rPr>
                <w:t>2012 QCCS 6097</w:t>
              </w:r>
            </w:hyperlink>
          </w:p>
        </w:tc>
        <w:tc>
          <w:tcPr>
            <w:tcW w:w="27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p>
        </w:tc>
        <w:tc>
          <w:tcPr>
            <w:tcW w:w="2340" w:type="pct"/>
            <w:tcMar>
              <w:top w:w="0" w:type="dxa"/>
              <w:left w:w="0" w:type="dxa"/>
              <w:bottom w:w="0" w:type="dxa"/>
              <w:right w:w="0" w:type="dxa"/>
            </w:tcMar>
            <w:hideMark/>
          </w:tcPr>
          <w:p w:rsidR="00DB0023" w:rsidRDefault="00DB0023" w:rsidP="00DB0023">
            <w:pPr>
              <w:spacing w:line="276" w:lineRule="auto"/>
              <w:jc w:val="both"/>
              <w:rPr>
                <w:rFonts w:eastAsia="Calibri"/>
                <w:sz w:val="20"/>
                <w:lang w:val="en-CA"/>
              </w:rPr>
            </w:pPr>
            <w:r w:rsidRPr="00DB0023">
              <w:rPr>
                <w:rFonts w:eastAsia="Calibri"/>
                <w:sz w:val="20"/>
                <w:lang w:val="en-CA"/>
              </w:rPr>
              <w:t xml:space="preserve">Motion for </w:t>
            </w:r>
            <w:proofErr w:type="spellStart"/>
            <w:r w:rsidRPr="00DB0023">
              <w:rPr>
                <w:rFonts w:eastAsia="Calibri"/>
                <w:sz w:val="20"/>
                <w:lang w:val="en-CA"/>
              </w:rPr>
              <w:t>resiliation</w:t>
            </w:r>
            <w:proofErr w:type="spellEnd"/>
            <w:r w:rsidRPr="00DB0023">
              <w:rPr>
                <w:rFonts w:eastAsia="Calibri"/>
                <w:sz w:val="20"/>
                <w:lang w:val="en-CA"/>
              </w:rPr>
              <w:t xml:space="preserve"> of lease and damages dismissed; cross demand allowed: H.T.H. ordered to pay moral damages ($50,00), punitive damages ($75,000) and compensation under art. 54.1 </w:t>
            </w:r>
            <w:r w:rsidRPr="00DB0023">
              <w:rPr>
                <w:rFonts w:eastAsia="Calibri"/>
                <w:i/>
                <w:sz w:val="20"/>
                <w:lang w:val="en-CA"/>
              </w:rPr>
              <w:t>C.C.P.</w:t>
            </w:r>
            <w:r w:rsidRPr="00DB0023">
              <w:rPr>
                <w:rFonts w:eastAsia="Calibri"/>
                <w:sz w:val="20"/>
                <w:lang w:val="en-CA"/>
              </w:rPr>
              <w:t xml:space="preserve"> ($31,370.44); motion for recovery of thing not due and declaratory judgment allowed in part: H.T.H. ordered to pay amount of rent overpaid because of use of improper indexation ($423,341.71) as well as expert fees ($23,387.73)</w:t>
            </w:r>
          </w:p>
          <w:p w:rsidR="009C21EE" w:rsidRPr="00DB0023" w:rsidRDefault="009C21EE" w:rsidP="00DB0023">
            <w:pPr>
              <w:spacing w:line="276" w:lineRule="auto"/>
              <w:jc w:val="both"/>
              <w:rPr>
                <w:rFonts w:eastAsia="Calibri"/>
                <w:sz w:val="20"/>
                <w:lang w:val="en-CA"/>
              </w:rPr>
            </w:pPr>
          </w:p>
        </w:tc>
      </w:tr>
      <w:tr w:rsidR="00DB0023" w:rsidRPr="00DB0023" w:rsidTr="00DB0023">
        <w:tc>
          <w:tcPr>
            <w:tcW w:w="2390" w:type="pct"/>
            <w:gridSpan w:val="2"/>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r w:rsidRPr="00DB0023">
              <w:rPr>
                <w:rFonts w:eastAsia="Calibri"/>
                <w:sz w:val="20"/>
                <w:lang w:val="en-CA"/>
              </w:rPr>
              <w:t>February 6, 2015</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Quebec Court of Appeal (Montréal)</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w:t>
            </w:r>
            <w:proofErr w:type="spellStart"/>
            <w:r w:rsidRPr="00DB0023">
              <w:rPr>
                <w:rFonts w:eastAsia="Calibri"/>
                <w:sz w:val="20"/>
                <w:lang w:val="en-CA"/>
              </w:rPr>
              <w:t>Morissette</w:t>
            </w:r>
            <w:proofErr w:type="spellEnd"/>
            <w:r w:rsidRPr="00DB0023">
              <w:rPr>
                <w:rFonts w:eastAsia="Calibri"/>
                <w:sz w:val="20"/>
                <w:lang w:val="en-CA"/>
              </w:rPr>
              <w:t xml:space="preserve">, </w:t>
            </w:r>
            <w:proofErr w:type="spellStart"/>
            <w:r w:rsidRPr="00DB0023">
              <w:rPr>
                <w:rFonts w:eastAsia="Calibri"/>
                <w:sz w:val="20"/>
                <w:lang w:val="en-CA"/>
              </w:rPr>
              <w:t>Kasirer</w:t>
            </w:r>
            <w:proofErr w:type="spellEnd"/>
            <w:r w:rsidRPr="00DB0023">
              <w:rPr>
                <w:rFonts w:eastAsia="Calibri"/>
                <w:sz w:val="20"/>
                <w:lang w:val="en-CA"/>
              </w:rPr>
              <w:t xml:space="preserve"> and </w:t>
            </w:r>
            <w:proofErr w:type="spellStart"/>
            <w:r w:rsidRPr="00DB0023">
              <w:rPr>
                <w:rFonts w:eastAsia="Calibri"/>
                <w:sz w:val="20"/>
                <w:lang w:val="en-CA"/>
              </w:rPr>
              <w:t>Émond</w:t>
            </w:r>
            <w:proofErr w:type="spellEnd"/>
            <w:r w:rsidRPr="00DB0023">
              <w:rPr>
                <w:rFonts w:eastAsia="Calibri"/>
                <w:sz w:val="20"/>
                <w:lang w:val="en-CA"/>
              </w:rPr>
              <w:t xml:space="preserve"> JJ.A.)</w:t>
            </w:r>
          </w:p>
          <w:p w:rsidR="00DB0023" w:rsidRPr="00DB0023" w:rsidRDefault="00480458" w:rsidP="00DB0023">
            <w:pPr>
              <w:spacing w:line="276" w:lineRule="auto"/>
              <w:jc w:val="both"/>
              <w:rPr>
                <w:rFonts w:eastAsia="Calibri"/>
                <w:sz w:val="20"/>
                <w:lang w:val="en-CA"/>
              </w:rPr>
            </w:pPr>
            <w:hyperlink r:id="rId45" w:history="1">
              <w:r w:rsidR="00DB0023" w:rsidRPr="005529E3">
                <w:rPr>
                  <w:rFonts w:eastAsia="Calibri"/>
                  <w:color w:val="0000FF" w:themeColor="hyperlink"/>
                  <w:sz w:val="20"/>
                  <w:u w:val="single"/>
                  <w:lang w:val="en-CA"/>
                </w:rPr>
                <w:t>2015 QCCA 228</w:t>
              </w:r>
            </w:hyperlink>
            <w:r w:rsidR="00DB0023" w:rsidRPr="00DB0023">
              <w:rPr>
                <w:rFonts w:eastAsia="Calibri"/>
                <w:sz w:val="20"/>
                <w:lang w:val="en-CA"/>
              </w:rPr>
              <w:t>; 500-17-047478-089</w:t>
            </w:r>
          </w:p>
          <w:p w:rsidR="00DB0023" w:rsidRPr="00DB0023" w:rsidRDefault="00DB0023" w:rsidP="00DB0023">
            <w:pPr>
              <w:spacing w:line="276" w:lineRule="auto"/>
              <w:jc w:val="both"/>
              <w:rPr>
                <w:rFonts w:eastAsia="Calibri"/>
                <w:sz w:val="20"/>
                <w:lang w:val="en-CA"/>
              </w:rPr>
            </w:pPr>
          </w:p>
        </w:tc>
        <w:tc>
          <w:tcPr>
            <w:tcW w:w="27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p>
        </w:tc>
        <w:tc>
          <w:tcPr>
            <w:tcW w:w="234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Appeal allowed in part for sole purpose of reducing award against applicant</w:t>
            </w:r>
          </w:p>
          <w:p w:rsidR="00DB0023" w:rsidRPr="00DB0023" w:rsidRDefault="00DB0023" w:rsidP="00DB0023">
            <w:pPr>
              <w:spacing w:line="276" w:lineRule="auto"/>
              <w:jc w:val="both"/>
              <w:rPr>
                <w:rFonts w:eastAsia="Calibri"/>
                <w:sz w:val="20"/>
                <w:lang w:val="en-CA"/>
              </w:rPr>
            </w:pPr>
          </w:p>
          <w:p w:rsidR="00DB0023" w:rsidRPr="00DB0023" w:rsidRDefault="00DB0023" w:rsidP="00DB0023">
            <w:pPr>
              <w:spacing w:line="276" w:lineRule="auto"/>
              <w:jc w:val="both"/>
              <w:rPr>
                <w:rFonts w:eastAsia="Calibri"/>
                <w:sz w:val="20"/>
                <w:lang w:val="en-CA"/>
              </w:rPr>
            </w:pPr>
          </w:p>
        </w:tc>
      </w:tr>
      <w:tr w:rsidR="00DB0023" w:rsidRPr="00DB0023" w:rsidTr="00DB0023">
        <w:tc>
          <w:tcPr>
            <w:tcW w:w="2390" w:type="pct"/>
            <w:gridSpan w:val="2"/>
            <w:tcMar>
              <w:top w:w="0" w:type="dxa"/>
              <w:left w:w="0" w:type="dxa"/>
              <w:bottom w:w="0" w:type="dxa"/>
              <w:right w:w="0" w:type="dxa"/>
            </w:tcMar>
            <w:hideMark/>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April 7, 2015</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Supreme Court of Canada</w:t>
            </w:r>
          </w:p>
        </w:tc>
        <w:tc>
          <w:tcPr>
            <w:tcW w:w="27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p>
        </w:tc>
        <w:tc>
          <w:tcPr>
            <w:tcW w:w="234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Application for leave to appeal filed</w:t>
            </w:r>
          </w:p>
          <w:p w:rsidR="00DB0023" w:rsidRPr="00DB0023" w:rsidRDefault="00DB0023" w:rsidP="00DB0023">
            <w:pPr>
              <w:spacing w:line="276" w:lineRule="auto"/>
              <w:jc w:val="both"/>
              <w:rPr>
                <w:rFonts w:eastAsia="Calibri"/>
                <w:sz w:val="20"/>
                <w:lang w:val="en-CA"/>
              </w:rPr>
            </w:pPr>
          </w:p>
        </w:tc>
      </w:tr>
    </w:tbl>
    <w:p w:rsidR="00DB0023" w:rsidRPr="00DB0023" w:rsidRDefault="00DB0023" w:rsidP="00DB0023">
      <w:pPr>
        <w:jc w:val="both"/>
        <w:rPr>
          <w:rFonts w:eastAsia="Calibri"/>
          <w:sz w:val="20"/>
          <w:lang w:val="en-CA"/>
        </w:rPr>
      </w:pPr>
    </w:p>
    <w:p w:rsidR="00DB0023" w:rsidRPr="00DB0023" w:rsidRDefault="00DB0023" w:rsidP="00DB0023">
      <w:pPr>
        <w:jc w:val="both"/>
        <w:rPr>
          <w:rFonts w:eastAsia="Calibri"/>
          <w:sz w:val="20"/>
          <w:lang w:val="en-CA"/>
        </w:rPr>
      </w:pPr>
    </w:p>
    <w:tbl>
      <w:tblPr>
        <w:tblW w:w="4952" w:type="pct"/>
        <w:tblCellMar>
          <w:left w:w="0" w:type="dxa"/>
          <w:bottom w:w="99" w:type="dxa"/>
          <w:right w:w="0" w:type="dxa"/>
        </w:tblCellMar>
        <w:tblLook w:val="04A0" w:firstRow="1" w:lastRow="0" w:firstColumn="1" w:lastColumn="0" w:noHBand="0" w:noVBand="1"/>
      </w:tblPr>
      <w:tblGrid>
        <w:gridCol w:w="1006"/>
        <w:gridCol w:w="3424"/>
        <w:gridCol w:w="502"/>
        <w:gridCol w:w="4338"/>
      </w:tblGrid>
      <w:tr w:rsidR="00DB0023" w:rsidRPr="00DB0023" w:rsidTr="001523B7">
        <w:tc>
          <w:tcPr>
            <w:tcW w:w="542" w:type="pct"/>
            <w:hideMark/>
          </w:tcPr>
          <w:p w:rsidR="00DB0023" w:rsidRPr="00DB0023" w:rsidRDefault="00DB0023" w:rsidP="00DB0023">
            <w:pPr>
              <w:spacing w:line="276" w:lineRule="auto"/>
              <w:jc w:val="both"/>
              <w:rPr>
                <w:rFonts w:eastAsia="Calibri"/>
                <w:sz w:val="20"/>
                <w:lang w:val="fr-CA"/>
              </w:rPr>
            </w:pPr>
            <w:r w:rsidRPr="005529E3">
              <w:rPr>
                <w:rFonts w:eastAsia="Calibri"/>
                <w:b/>
                <w:sz w:val="20"/>
                <w:lang w:val="fr-CA"/>
              </w:rPr>
              <w:t>36381</w:t>
            </w:r>
          </w:p>
        </w:tc>
        <w:tc>
          <w:tcPr>
            <w:tcW w:w="4458" w:type="pct"/>
            <w:gridSpan w:val="3"/>
          </w:tcPr>
          <w:p w:rsidR="00DB0023" w:rsidRPr="00DB0023" w:rsidRDefault="00DB0023" w:rsidP="00DB0023">
            <w:pPr>
              <w:spacing w:line="276" w:lineRule="auto"/>
              <w:jc w:val="both"/>
              <w:rPr>
                <w:rFonts w:eastAsia="Calibri"/>
                <w:b/>
                <w:sz w:val="20"/>
                <w:lang w:val="fr-CA"/>
              </w:rPr>
            </w:pPr>
            <w:r w:rsidRPr="00DB0023">
              <w:rPr>
                <w:rFonts w:eastAsia="Calibri"/>
                <w:b/>
                <w:sz w:val="20"/>
                <w:lang w:val="fr-CA"/>
              </w:rPr>
              <w:t xml:space="preserve">Immeubles H.T.H. </w:t>
            </w:r>
            <w:proofErr w:type="spellStart"/>
            <w:r w:rsidRPr="00DB0023">
              <w:rPr>
                <w:rFonts w:eastAsia="Calibri"/>
                <w:b/>
                <w:sz w:val="20"/>
                <w:lang w:val="fr-CA"/>
              </w:rPr>
              <w:t>inc.</w:t>
            </w:r>
            <w:proofErr w:type="spellEnd"/>
            <w:r w:rsidRPr="00DB0023">
              <w:rPr>
                <w:rFonts w:eastAsia="Calibri"/>
                <w:b/>
                <w:sz w:val="20"/>
                <w:lang w:val="fr-CA"/>
              </w:rPr>
              <w:t xml:space="preserve"> c. Plaza Chevrolet Buick GMC Cadillac </w:t>
            </w:r>
            <w:proofErr w:type="spellStart"/>
            <w:r w:rsidRPr="00DB0023">
              <w:rPr>
                <w:rFonts w:eastAsia="Calibri"/>
                <w:b/>
                <w:sz w:val="20"/>
                <w:lang w:val="fr-CA"/>
              </w:rPr>
              <w:t>inc.</w:t>
            </w:r>
            <w:proofErr w:type="spellEnd"/>
          </w:p>
          <w:p w:rsidR="00DB0023" w:rsidRPr="00DB0023" w:rsidRDefault="00DB0023" w:rsidP="009C21EE">
            <w:pPr>
              <w:spacing w:line="276" w:lineRule="auto"/>
              <w:jc w:val="both"/>
              <w:rPr>
                <w:rFonts w:eastAsia="Calibri"/>
                <w:sz w:val="20"/>
                <w:lang w:val="fr-CA"/>
              </w:rPr>
            </w:pPr>
            <w:r w:rsidRPr="00DB0023">
              <w:rPr>
                <w:rFonts w:eastAsia="Calibri"/>
                <w:sz w:val="20"/>
                <w:lang w:val="fr-CA"/>
              </w:rPr>
              <w:t>(</w:t>
            </w:r>
            <w:proofErr w:type="spellStart"/>
            <w:r w:rsidRPr="00DB0023">
              <w:rPr>
                <w:rFonts w:eastAsia="Calibri"/>
                <w:sz w:val="20"/>
                <w:lang w:val="fr-CA"/>
              </w:rPr>
              <w:t>Qc</w:t>
            </w:r>
            <w:proofErr w:type="spellEnd"/>
            <w:r w:rsidRPr="00DB0023">
              <w:rPr>
                <w:rFonts w:eastAsia="Calibri"/>
                <w:sz w:val="20"/>
                <w:lang w:val="fr-CA"/>
              </w:rPr>
              <w:t>) (Civile) (Autorisation)</w:t>
            </w:r>
          </w:p>
        </w:tc>
      </w:tr>
      <w:tr w:rsidR="00DB0023" w:rsidRPr="00DB0023" w:rsidTr="001523B7">
        <w:tc>
          <w:tcPr>
            <w:tcW w:w="5000" w:type="pct"/>
            <w:gridSpan w:val="4"/>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Contrat – Louage – Bail commercial – Mise en application du bail – Changement du taux d’indexation d’une prestation – Volonté réelle des parties – Répétition de l’indu – Restitution du paiement fait par erreur – Absence ou présence de novation – Conditions pour nover – Obligation de renseignement – Prescription – Délai maximal pour invoquer la prescription – Droit de l’intimée de présenter une preuve contraire – Absence de preuve factuelle nécessaire pour trancher la question – Existe-t-il un délai maximal pour invoquer la prescription malgré l’article 2881 </w:t>
            </w:r>
            <w:proofErr w:type="spellStart"/>
            <w:r w:rsidRPr="00DB0023">
              <w:rPr>
                <w:rFonts w:eastAsia="Calibri"/>
                <w:i/>
                <w:sz w:val="20"/>
                <w:lang w:val="fr-CA"/>
              </w:rPr>
              <w:t>C.c.Q</w:t>
            </w:r>
            <w:proofErr w:type="spellEnd"/>
            <w:r w:rsidRPr="00DB0023">
              <w:rPr>
                <w:rFonts w:eastAsia="Calibri"/>
                <w:sz w:val="20"/>
                <w:lang w:val="fr-CA"/>
              </w:rPr>
              <w:t xml:space="preserve">.? – Le changement du taux d’indexation d’une prestation, peut-il à lui seul avoir pour effet de nover un contrat entre des parties alors que toutes les autres conditions audit contrat demeurent inchangées? – Dans un cas comme dans l’autre, jusqu’où doit aller le devoir d’informer son cocontractant d’un changement au taux d’indexation d’une prestation, afin que son consentement soit libre et éclairé? </w:t>
            </w:r>
          </w:p>
        </w:tc>
      </w:tr>
      <w:tr w:rsidR="00DB0023" w:rsidRPr="00DB0023" w:rsidTr="001523B7">
        <w:tc>
          <w:tcPr>
            <w:tcW w:w="5000" w:type="pct"/>
            <w:gridSpan w:val="4"/>
          </w:tcPr>
          <w:p w:rsidR="00DB0023" w:rsidRPr="00DB0023" w:rsidRDefault="00DB0023" w:rsidP="00DB0023">
            <w:pPr>
              <w:spacing w:line="276" w:lineRule="auto"/>
              <w:jc w:val="both"/>
              <w:rPr>
                <w:rFonts w:eastAsia="Calibri"/>
                <w:sz w:val="20"/>
                <w:lang w:val="fr-CA"/>
              </w:rPr>
            </w:pPr>
          </w:p>
        </w:tc>
      </w:tr>
      <w:tr w:rsidR="00DB0023" w:rsidRPr="00DB0023" w:rsidTr="001523B7">
        <w:tc>
          <w:tcPr>
            <w:tcW w:w="5000" w:type="pct"/>
            <w:gridSpan w:val="4"/>
          </w:tcPr>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En décembre 2008, Plaza Chevrolet Buick GMC Cadillac </w:t>
            </w:r>
            <w:proofErr w:type="spellStart"/>
            <w:r w:rsidRPr="00DB0023">
              <w:rPr>
                <w:rFonts w:eastAsia="Calibri"/>
                <w:sz w:val="20"/>
                <w:lang w:val="fr-CA"/>
              </w:rPr>
              <w:t>inc.</w:t>
            </w:r>
            <w:proofErr w:type="spellEnd"/>
            <w:r w:rsidRPr="00DB0023">
              <w:rPr>
                <w:rFonts w:eastAsia="Calibri"/>
                <w:sz w:val="20"/>
                <w:lang w:val="fr-CA"/>
              </w:rPr>
              <w:t xml:space="preserve">, intimée, soumet à la Cour supérieure une requête en répétition de l’indu et en jugement déclaratoire. Elle allègue qu’elle a payé une somme en trop sur le versement du loyer à Les immeubles H.T.H. </w:t>
            </w:r>
            <w:proofErr w:type="spellStart"/>
            <w:r w:rsidRPr="00DB0023">
              <w:rPr>
                <w:rFonts w:eastAsia="Calibri"/>
                <w:sz w:val="20"/>
                <w:lang w:val="fr-CA"/>
              </w:rPr>
              <w:t>inc.</w:t>
            </w:r>
            <w:proofErr w:type="spellEnd"/>
            <w:r w:rsidRPr="00DB0023">
              <w:rPr>
                <w:rFonts w:eastAsia="Calibri"/>
                <w:sz w:val="20"/>
                <w:lang w:val="fr-CA"/>
              </w:rPr>
              <w:t>, demanderesse, car l’indice utilisé depuis 1998 pour l’indexation constitue une augmentation plus importante que celle prévue au bail. Puis, en novembre 2010, H.T.H. introduit une requête en résiliation de bail et en dommages-intérêts. H.T.H. allègue que Plaza n’a pas respecté les conditions du bail en vendant sur son site des véhicules de marque Honda et en ne respectant pas les lois et règlements environnementaux. Plaza oppose alors une demande reconventionnelle dans laquelle elle sollicite des dommages punitifs et moraux, ainsi qu’une indemnité en vertu de l’art. 54.1 </w:t>
            </w:r>
            <w:proofErr w:type="spellStart"/>
            <w:r w:rsidRPr="00DB0023">
              <w:rPr>
                <w:rFonts w:eastAsia="Calibri"/>
                <w:i/>
                <w:sz w:val="20"/>
                <w:lang w:val="fr-CA"/>
              </w:rPr>
              <w:t>C.p.c</w:t>
            </w:r>
            <w:proofErr w:type="spellEnd"/>
            <w:r w:rsidRPr="00DB0023">
              <w:rPr>
                <w:rFonts w:eastAsia="Calibri"/>
                <w:sz w:val="20"/>
                <w:lang w:val="fr-CA"/>
              </w:rPr>
              <w:t>. Les deux requêtes introductives d’instance font l’objet d’une réunion d’action.</w:t>
            </w:r>
          </w:p>
          <w:p w:rsidR="00DB0023" w:rsidRPr="00DB0023" w:rsidRDefault="00DB0023" w:rsidP="00DB0023">
            <w:pPr>
              <w:spacing w:line="276" w:lineRule="auto"/>
              <w:jc w:val="both"/>
              <w:rPr>
                <w:rFonts w:eastAsia="Calibri"/>
                <w:sz w:val="20"/>
                <w:lang w:val="fr-CA"/>
              </w:rPr>
            </w:pPr>
          </w:p>
        </w:tc>
      </w:tr>
      <w:tr w:rsidR="00DB0023" w:rsidRPr="00DB0023" w:rsidTr="001523B7">
        <w:tc>
          <w:tcPr>
            <w:tcW w:w="2389" w:type="pct"/>
            <w:gridSpan w:val="2"/>
            <w:tcMar>
              <w:top w:w="0" w:type="dxa"/>
              <w:left w:w="0" w:type="dxa"/>
              <w:bottom w:w="0" w:type="dxa"/>
              <w:right w:w="0" w:type="dxa"/>
            </w:tcMar>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Le 29 novembre 2012</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supérieure du Québec</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(Le juge Jasmin)</w:t>
            </w:r>
          </w:p>
          <w:p w:rsidR="00DB0023" w:rsidRPr="00DB0023" w:rsidRDefault="00480458" w:rsidP="00DB0023">
            <w:pPr>
              <w:spacing w:line="276" w:lineRule="auto"/>
              <w:jc w:val="both"/>
              <w:rPr>
                <w:rFonts w:eastAsia="Calibri"/>
                <w:sz w:val="20"/>
                <w:lang w:val="fr-CA"/>
              </w:rPr>
            </w:pPr>
            <w:hyperlink r:id="rId46" w:history="1">
              <w:r w:rsidR="00DB0023" w:rsidRPr="005529E3">
                <w:rPr>
                  <w:rFonts w:eastAsia="Calibri"/>
                  <w:color w:val="0000FF" w:themeColor="hyperlink"/>
                  <w:sz w:val="20"/>
                  <w:u w:val="single"/>
                  <w:lang w:val="fr-CA"/>
                </w:rPr>
                <w:t>2012 QCCS 6097</w:t>
              </w:r>
            </w:hyperlink>
          </w:p>
        </w:tc>
        <w:tc>
          <w:tcPr>
            <w:tcW w:w="271"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p>
        </w:tc>
        <w:tc>
          <w:tcPr>
            <w:tcW w:w="2340" w:type="pct"/>
            <w:tcMar>
              <w:top w:w="0" w:type="dxa"/>
              <w:left w:w="0" w:type="dxa"/>
              <w:bottom w:w="0" w:type="dxa"/>
              <w:right w:w="0" w:type="dxa"/>
            </w:tcMar>
            <w:hideMark/>
          </w:tcPr>
          <w:p w:rsidR="00DB0023" w:rsidRDefault="00DB0023" w:rsidP="00DB0023">
            <w:pPr>
              <w:spacing w:line="276" w:lineRule="auto"/>
              <w:jc w:val="both"/>
              <w:rPr>
                <w:rFonts w:eastAsia="Calibri"/>
                <w:sz w:val="20"/>
                <w:lang w:val="fr-CA"/>
              </w:rPr>
            </w:pPr>
            <w:r w:rsidRPr="00DB0023">
              <w:rPr>
                <w:rFonts w:eastAsia="Calibri"/>
                <w:sz w:val="20"/>
                <w:lang w:val="fr-CA"/>
              </w:rPr>
              <w:t>Requête en résiliation de bail et en dommages-intérêts rejetée; demande reconventionnelle accueillie : condamnation de H.T.H. à payer des dommages moraux (50 000 $), des dommages punitifs (75 000 $) et une indemnité en vertu de l’art. 54.1 </w:t>
            </w:r>
            <w:proofErr w:type="spellStart"/>
            <w:r w:rsidRPr="00DB0023">
              <w:rPr>
                <w:rFonts w:eastAsia="Calibri"/>
                <w:i/>
                <w:sz w:val="20"/>
                <w:lang w:val="fr-CA"/>
              </w:rPr>
              <w:t>C.p.c</w:t>
            </w:r>
            <w:proofErr w:type="spellEnd"/>
            <w:r w:rsidRPr="00DB0023">
              <w:rPr>
                <w:rFonts w:eastAsia="Calibri"/>
                <w:i/>
                <w:sz w:val="20"/>
                <w:lang w:val="fr-CA"/>
              </w:rPr>
              <w:t>.</w:t>
            </w:r>
            <w:r w:rsidRPr="00DB0023">
              <w:rPr>
                <w:rFonts w:eastAsia="Calibri"/>
                <w:sz w:val="20"/>
                <w:lang w:val="fr-CA"/>
              </w:rPr>
              <w:t xml:space="preserve"> </w:t>
            </w:r>
            <w:r w:rsidRPr="00DB0023">
              <w:rPr>
                <w:rFonts w:eastAsia="Calibri"/>
                <w:sz w:val="20"/>
                <w:lang w:val="fr-CA"/>
              </w:rPr>
              <w:lastRenderedPageBreak/>
              <w:t>(31 370,44 $); requête en répétition de l’indu et en jugement déclaratoire accueillie en partie : condamnation de H.T.H. à payer le montant du loyer versé en trop en raison de l’utilisation d’indexations non conformes (423 341,71 $) et des frais d’expertise (23 387,73 $)</w:t>
            </w:r>
          </w:p>
          <w:p w:rsidR="009C21EE" w:rsidRPr="00DB0023" w:rsidRDefault="009C21EE" w:rsidP="00DB0023">
            <w:pPr>
              <w:spacing w:line="276" w:lineRule="auto"/>
              <w:jc w:val="both"/>
              <w:rPr>
                <w:rFonts w:eastAsia="Calibri"/>
                <w:sz w:val="20"/>
                <w:lang w:val="fr-CA"/>
              </w:rPr>
            </w:pPr>
          </w:p>
        </w:tc>
      </w:tr>
      <w:tr w:rsidR="00DB0023" w:rsidRPr="00DB0023" w:rsidTr="001523B7">
        <w:tc>
          <w:tcPr>
            <w:tcW w:w="2389" w:type="pct"/>
            <w:gridSpan w:val="2"/>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r w:rsidRPr="00DB0023">
              <w:rPr>
                <w:rFonts w:eastAsia="Calibri"/>
                <w:sz w:val="20"/>
                <w:lang w:val="fr-CA"/>
              </w:rPr>
              <w:lastRenderedPageBreak/>
              <w:t>Le 6 février 2015</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d’appel du Québec (Montréal)</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(Les juges Morissette, </w:t>
            </w:r>
            <w:proofErr w:type="spellStart"/>
            <w:r w:rsidRPr="00DB0023">
              <w:rPr>
                <w:rFonts w:eastAsia="Calibri"/>
                <w:sz w:val="20"/>
                <w:lang w:val="fr-CA"/>
              </w:rPr>
              <w:t>Kasirer</w:t>
            </w:r>
            <w:proofErr w:type="spellEnd"/>
            <w:r w:rsidRPr="00DB0023">
              <w:rPr>
                <w:rFonts w:eastAsia="Calibri"/>
                <w:sz w:val="20"/>
                <w:lang w:val="fr-CA"/>
              </w:rPr>
              <w:t xml:space="preserve"> et </w:t>
            </w:r>
            <w:proofErr w:type="spellStart"/>
            <w:r w:rsidRPr="00DB0023">
              <w:rPr>
                <w:rFonts w:eastAsia="Calibri"/>
                <w:sz w:val="20"/>
                <w:lang w:val="fr-CA"/>
              </w:rPr>
              <w:t>Émond</w:t>
            </w:r>
            <w:proofErr w:type="spellEnd"/>
            <w:r w:rsidRPr="00DB0023">
              <w:rPr>
                <w:rFonts w:eastAsia="Calibri"/>
                <w:sz w:val="20"/>
                <w:lang w:val="fr-CA"/>
              </w:rPr>
              <w:t>)</w:t>
            </w:r>
          </w:p>
          <w:p w:rsidR="00DB0023" w:rsidRPr="00DB0023" w:rsidRDefault="00480458" w:rsidP="00DB0023">
            <w:pPr>
              <w:spacing w:line="276" w:lineRule="auto"/>
              <w:jc w:val="both"/>
              <w:rPr>
                <w:rFonts w:eastAsia="Calibri"/>
                <w:sz w:val="20"/>
                <w:lang w:val="fr-CA"/>
              </w:rPr>
            </w:pPr>
            <w:hyperlink r:id="rId47" w:history="1">
              <w:r w:rsidR="00DB0023" w:rsidRPr="005529E3">
                <w:rPr>
                  <w:rFonts w:eastAsia="Calibri"/>
                  <w:color w:val="0000FF" w:themeColor="hyperlink"/>
                  <w:sz w:val="20"/>
                  <w:u w:val="single"/>
                  <w:lang w:val="fr-CA"/>
                </w:rPr>
                <w:t>2015 QCCA 228</w:t>
              </w:r>
            </w:hyperlink>
            <w:r w:rsidR="00DB0023" w:rsidRPr="00DB0023">
              <w:rPr>
                <w:rFonts w:eastAsia="Calibri"/>
                <w:sz w:val="20"/>
                <w:lang w:val="fr-CA"/>
              </w:rPr>
              <w:t>; 500-17-047478-089</w:t>
            </w:r>
          </w:p>
          <w:p w:rsidR="00DB0023" w:rsidRPr="00DB0023" w:rsidRDefault="00DB0023" w:rsidP="00DB0023">
            <w:pPr>
              <w:spacing w:line="276" w:lineRule="auto"/>
              <w:jc w:val="both"/>
              <w:rPr>
                <w:rFonts w:eastAsia="Calibri"/>
                <w:sz w:val="20"/>
                <w:lang w:val="fr-CA"/>
              </w:rPr>
            </w:pPr>
          </w:p>
        </w:tc>
        <w:tc>
          <w:tcPr>
            <w:tcW w:w="271"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p>
        </w:tc>
        <w:tc>
          <w:tcPr>
            <w:tcW w:w="234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r w:rsidRPr="00DB0023">
              <w:rPr>
                <w:rFonts w:eastAsia="Calibri"/>
                <w:sz w:val="20"/>
                <w:lang w:val="fr-CA"/>
              </w:rPr>
              <w:t>Appel accueilli en partie à la seule fin de réduire la condamnation prononcée contre la demanderesse</w:t>
            </w:r>
          </w:p>
          <w:p w:rsidR="00DB0023" w:rsidRPr="00DB0023" w:rsidRDefault="00DB0023" w:rsidP="00DB0023">
            <w:pPr>
              <w:spacing w:line="276" w:lineRule="auto"/>
              <w:jc w:val="both"/>
              <w:rPr>
                <w:rFonts w:eastAsia="Calibri"/>
                <w:sz w:val="20"/>
                <w:lang w:val="fr-CA"/>
              </w:rPr>
            </w:pPr>
          </w:p>
        </w:tc>
      </w:tr>
      <w:tr w:rsidR="00DB0023" w:rsidRPr="00DB0023" w:rsidTr="001523B7">
        <w:tc>
          <w:tcPr>
            <w:tcW w:w="2389" w:type="pct"/>
            <w:gridSpan w:val="2"/>
            <w:tcMar>
              <w:top w:w="0" w:type="dxa"/>
              <w:left w:w="0" w:type="dxa"/>
              <w:bottom w:w="0" w:type="dxa"/>
              <w:right w:w="0" w:type="dxa"/>
            </w:tcMar>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Le 7 avril 2015</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suprême du Canada</w:t>
            </w:r>
          </w:p>
        </w:tc>
        <w:tc>
          <w:tcPr>
            <w:tcW w:w="271"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p>
        </w:tc>
        <w:tc>
          <w:tcPr>
            <w:tcW w:w="2340" w:type="pct"/>
            <w:tcMar>
              <w:top w:w="0" w:type="dxa"/>
              <w:left w:w="0" w:type="dxa"/>
              <w:bottom w:w="0" w:type="dxa"/>
              <w:right w:w="0" w:type="dxa"/>
            </w:tcMar>
          </w:tcPr>
          <w:p w:rsidR="00DB0023" w:rsidRPr="00DB0023" w:rsidRDefault="00DB0023" w:rsidP="00DB0023">
            <w:pPr>
              <w:spacing w:line="276" w:lineRule="auto"/>
              <w:jc w:val="both"/>
              <w:rPr>
                <w:rFonts w:eastAsia="Calibri"/>
                <w:sz w:val="20"/>
                <w:lang w:val="fr-CA"/>
              </w:rPr>
            </w:pPr>
            <w:r w:rsidRPr="00DB0023">
              <w:rPr>
                <w:rFonts w:eastAsia="Calibri"/>
                <w:sz w:val="20"/>
                <w:lang w:val="fr-CA"/>
              </w:rPr>
              <w:t>Demande d'autorisation d'appel déposée</w:t>
            </w:r>
          </w:p>
          <w:p w:rsidR="00DB0023" w:rsidRPr="00DB0023" w:rsidRDefault="00DB0023" w:rsidP="00DB0023">
            <w:pPr>
              <w:spacing w:line="276" w:lineRule="auto"/>
              <w:jc w:val="both"/>
              <w:rPr>
                <w:rFonts w:eastAsia="Calibri"/>
                <w:sz w:val="20"/>
                <w:lang w:val="fr-CA"/>
              </w:rPr>
            </w:pPr>
          </w:p>
        </w:tc>
      </w:tr>
    </w:tbl>
    <w:p w:rsidR="00DB0023" w:rsidRPr="00DB0023" w:rsidRDefault="00DB0023" w:rsidP="00DB0023">
      <w:pPr>
        <w:jc w:val="both"/>
        <w:rPr>
          <w:rFonts w:eastAsia="Calibri"/>
          <w:sz w:val="20"/>
          <w:lang w:val="fr-CA"/>
        </w:rPr>
      </w:pPr>
    </w:p>
    <w:p w:rsidR="00DB0023" w:rsidRPr="00DB0023" w:rsidRDefault="00DB0023" w:rsidP="00DB0023">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B0023" w:rsidRPr="00DB0023" w:rsidTr="00DB0023">
        <w:tc>
          <w:tcPr>
            <w:tcW w:w="543" w:type="pct"/>
            <w:hideMark/>
          </w:tcPr>
          <w:p w:rsidR="00DB0023" w:rsidRPr="00DB0023" w:rsidRDefault="00DB0023" w:rsidP="00DB0023">
            <w:pPr>
              <w:spacing w:line="276" w:lineRule="auto"/>
              <w:jc w:val="both"/>
              <w:rPr>
                <w:rFonts w:eastAsia="Calibri"/>
                <w:sz w:val="20"/>
                <w:lang w:val="en-CA"/>
              </w:rPr>
            </w:pPr>
            <w:r w:rsidRPr="005529E3">
              <w:rPr>
                <w:rFonts w:eastAsia="Calibri"/>
                <w:b/>
                <w:sz w:val="20"/>
                <w:lang w:val="en-CA"/>
              </w:rPr>
              <w:t>36375</w:t>
            </w:r>
          </w:p>
        </w:tc>
        <w:tc>
          <w:tcPr>
            <w:tcW w:w="4457" w:type="pct"/>
            <w:gridSpan w:val="3"/>
          </w:tcPr>
          <w:p w:rsidR="00DB0023" w:rsidRPr="00DB0023" w:rsidRDefault="00DB0023" w:rsidP="00DB0023">
            <w:pPr>
              <w:spacing w:line="276" w:lineRule="auto"/>
              <w:jc w:val="both"/>
              <w:rPr>
                <w:rFonts w:eastAsia="Calibri"/>
                <w:b/>
                <w:sz w:val="20"/>
                <w:lang w:val="en-CA"/>
              </w:rPr>
            </w:pPr>
            <w:r w:rsidRPr="00DB0023">
              <w:rPr>
                <w:rFonts w:eastAsia="Calibri"/>
                <w:b/>
                <w:sz w:val="20"/>
                <w:lang w:val="en-CA"/>
              </w:rPr>
              <w:t>Deborah Lockyer-</w:t>
            </w:r>
            <w:proofErr w:type="spellStart"/>
            <w:r w:rsidRPr="00DB0023">
              <w:rPr>
                <w:rFonts w:eastAsia="Calibri"/>
                <w:b/>
                <w:sz w:val="20"/>
                <w:lang w:val="en-CA"/>
              </w:rPr>
              <w:t>Kash</w:t>
            </w:r>
            <w:proofErr w:type="spellEnd"/>
            <w:r w:rsidRPr="00DB0023">
              <w:rPr>
                <w:rFonts w:eastAsia="Calibri"/>
                <w:b/>
                <w:sz w:val="20"/>
                <w:lang w:val="en-CA"/>
              </w:rPr>
              <w:t xml:space="preserve"> v. Workers’ Compensation Board of British Columbia</w:t>
            </w:r>
          </w:p>
          <w:p w:rsidR="00DB0023" w:rsidRPr="00DB0023" w:rsidRDefault="00DB0023" w:rsidP="009C21EE">
            <w:pPr>
              <w:spacing w:line="276" w:lineRule="auto"/>
              <w:jc w:val="both"/>
              <w:rPr>
                <w:rFonts w:eastAsia="Calibri"/>
                <w:sz w:val="20"/>
                <w:lang w:val="en-CA"/>
              </w:rPr>
            </w:pPr>
            <w:r w:rsidRPr="00DB0023">
              <w:rPr>
                <w:rFonts w:eastAsia="Calibri"/>
                <w:sz w:val="20"/>
                <w:lang w:val="en-CA"/>
              </w:rPr>
              <w:t>(B.C.) (Civil) (By Leave)</w:t>
            </w:r>
          </w:p>
        </w:tc>
      </w:tr>
      <w:tr w:rsidR="00DB0023" w:rsidRPr="00DB0023" w:rsidTr="00DB0023">
        <w:tc>
          <w:tcPr>
            <w:tcW w:w="5000" w:type="pct"/>
            <w:gridSpan w:val="4"/>
            <w:hideMark/>
          </w:tcPr>
          <w:p w:rsidR="00DB0023" w:rsidRPr="00DB0023" w:rsidRDefault="00DB0023" w:rsidP="00DB0023">
            <w:pPr>
              <w:spacing w:line="276" w:lineRule="auto"/>
              <w:jc w:val="both"/>
              <w:rPr>
                <w:rFonts w:eastAsia="Calibri"/>
                <w:sz w:val="20"/>
                <w:lang w:val="en-CA"/>
              </w:rPr>
            </w:pPr>
            <w:r w:rsidRPr="00DB0023">
              <w:rPr>
                <w:rFonts w:eastAsia="Calibri"/>
                <w:sz w:val="20"/>
                <w:lang w:val="en-CA"/>
              </w:rPr>
              <w:t xml:space="preserve">Civil procedure – Class actions – Certification – Whether Court of Appeal erred in interpretation and application of </w:t>
            </w:r>
            <w:r w:rsidRPr="00DB0023">
              <w:rPr>
                <w:rFonts w:eastAsia="Calibri"/>
                <w:i/>
                <w:sz w:val="20"/>
                <w:lang w:val="en-CA"/>
              </w:rPr>
              <w:t>Class Proceedings Act</w:t>
            </w:r>
            <w:r w:rsidRPr="00DB0023">
              <w:rPr>
                <w:rFonts w:eastAsia="Calibri"/>
                <w:sz w:val="20"/>
                <w:lang w:val="en-CA"/>
              </w:rPr>
              <w:t>, R.S.B.C. 1996, c. 50 – Whether refusal to certify class proceedings contrary to access to justice principles</w:t>
            </w:r>
          </w:p>
        </w:tc>
      </w:tr>
      <w:tr w:rsidR="00DB0023" w:rsidRPr="00DB0023" w:rsidTr="00DB0023">
        <w:tc>
          <w:tcPr>
            <w:tcW w:w="5000" w:type="pct"/>
            <w:gridSpan w:val="4"/>
          </w:tcPr>
          <w:p w:rsidR="00DB0023" w:rsidRPr="00DB0023" w:rsidRDefault="00DB0023" w:rsidP="00DB0023">
            <w:pPr>
              <w:spacing w:line="276" w:lineRule="auto"/>
              <w:jc w:val="both"/>
              <w:rPr>
                <w:rFonts w:eastAsia="Calibri"/>
                <w:sz w:val="20"/>
                <w:lang w:val="en-CA"/>
              </w:rPr>
            </w:pPr>
          </w:p>
        </w:tc>
      </w:tr>
      <w:tr w:rsidR="00DB0023" w:rsidRPr="00DB0023" w:rsidTr="00DB0023">
        <w:tc>
          <w:tcPr>
            <w:tcW w:w="5000" w:type="pct"/>
            <w:gridSpan w:val="4"/>
          </w:tcPr>
          <w:p w:rsidR="00DB0023" w:rsidRPr="00DB0023" w:rsidRDefault="00DB0023" w:rsidP="00DB0023">
            <w:pPr>
              <w:spacing w:line="276" w:lineRule="auto"/>
              <w:jc w:val="both"/>
              <w:rPr>
                <w:rFonts w:eastAsia="Calibri"/>
                <w:sz w:val="20"/>
                <w:lang w:val="en-CA"/>
              </w:rPr>
            </w:pPr>
            <w:r w:rsidRPr="00DB0023">
              <w:rPr>
                <w:rFonts w:eastAsia="Calibri"/>
                <w:iCs/>
                <w:sz w:val="20"/>
                <w:lang w:val="en-CA"/>
              </w:rPr>
              <w:t>The applicant, Ms. Lockyer-</w:t>
            </w:r>
            <w:proofErr w:type="spellStart"/>
            <w:r w:rsidRPr="00DB0023">
              <w:rPr>
                <w:rFonts w:eastAsia="Calibri"/>
                <w:iCs/>
                <w:sz w:val="20"/>
                <w:lang w:val="en-CA"/>
              </w:rPr>
              <w:t>Kash</w:t>
            </w:r>
            <w:proofErr w:type="spellEnd"/>
            <w:r w:rsidRPr="00DB0023">
              <w:rPr>
                <w:rFonts w:eastAsia="Calibri"/>
                <w:iCs/>
                <w:sz w:val="20"/>
                <w:lang w:val="en-CA"/>
              </w:rPr>
              <w:t>, was injured in 1999 during the course of her employment as a pet store manager. In 2002, the Workers’ Compensation Board (“WCB”) awarded her a 5.82 per cent loss of earnings pension that was increased in 2005. In 2009, on a further appeal to the Workers’ Compensation Appeal Tribunal (“WCAT”) that pension was increased to 100 per cent, approximately $1,500 per month. In addition, she received a retroactive award of $113,000, for the money that she should have received prior to her 2009 appeal. Her claim for interest on the retroactive portion of her award was denied by the WCB, on the basis of the interest policy established by its board of directors. She appealed to the WCAT, which found the policy to be patently unreasonable and referred the matter back to the board of directors of the WCB for reconsideration. The board of directors affirmed the policy. Ms. Lockyer-</w:t>
            </w:r>
            <w:proofErr w:type="spellStart"/>
            <w:r w:rsidRPr="00DB0023">
              <w:rPr>
                <w:rFonts w:eastAsia="Calibri"/>
                <w:iCs/>
                <w:sz w:val="20"/>
                <w:lang w:val="en-CA"/>
              </w:rPr>
              <w:t>Kash</w:t>
            </w:r>
            <w:proofErr w:type="spellEnd"/>
            <w:r w:rsidRPr="00DB0023">
              <w:rPr>
                <w:rFonts w:eastAsia="Calibri"/>
                <w:iCs/>
                <w:sz w:val="20"/>
                <w:lang w:val="en-CA"/>
              </w:rPr>
              <w:t xml:space="preserve"> sought judicial review of this decision and applied for class proceeding certification.</w:t>
            </w:r>
          </w:p>
          <w:p w:rsidR="00DB0023" w:rsidRPr="00DB0023" w:rsidRDefault="00DB0023" w:rsidP="00DB0023">
            <w:pPr>
              <w:spacing w:line="276" w:lineRule="auto"/>
              <w:jc w:val="both"/>
              <w:rPr>
                <w:rFonts w:eastAsia="Calibri"/>
                <w:sz w:val="20"/>
                <w:lang w:val="en-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en-CA"/>
              </w:rPr>
            </w:pPr>
            <w:r w:rsidRPr="00DB0023">
              <w:rPr>
                <w:rFonts w:eastAsia="Calibri"/>
                <w:sz w:val="20"/>
                <w:lang w:val="en-CA"/>
              </w:rPr>
              <w:t>July 29, 2014</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Supreme Court of British Columbia</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w:t>
            </w:r>
            <w:proofErr w:type="spellStart"/>
            <w:r w:rsidRPr="00DB0023">
              <w:rPr>
                <w:rFonts w:eastAsia="Calibri"/>
                <w:sz w:val="20"/>
                <w:lang w:val="en-CA"/>
              </w:rPr>
              <w:t>Steeves</w:t>
            </w:r>
            <w:proofErr w:type="spellEnd"/>
            <w:r w:rsidRPr="00DB0023">
              <w:rPr>
                <w:rFonts w:eastAsia="Calibri"/>
                <w:sz w:val="20"/>
                <w:lang w:val="en-CA"/>
              </w:rPr>
              <w:t xml:space="preserve"> J.)</w:t>
            </w:r>
          </w:p>
          <w:p w:rsidR="00DB0023" w:rsidRPr="00DB0023" w:rsidRDefault="00480458" w:rsidP="00DB0023">
            <w:pPr>
              <w:spacing w:line="276" w:lineRule="auto"/>
              <w:jc w:val="both"/>
              <w:rPr>
                <w:rFonts w:eastAsia="Calibri"/>
                <w:sz w:val="20"/>
                <w:lang w:val="en-CA"/>
              </w:rPr>
            </w:pPr>
            <w:hyperlink r:id="rId48" w:history="1">
              <w:r w:rsidR="00DB0023" w:rsidRPr="005529E3">
                <w:rPr>
                  <w:rFonts w:eastAsia="Calibri"/>
                  <w:color w:val="0000FF" w:themeColor="hyperlink"/>
                  <w:sz w:val="20"/>
                  <w:u w:val="single"/>
                  <w:lang w:val="en-CA"/>
                </w:rPr>
                <w:t>2014 BCSC 1443</w:t>
              </w:r>
            </w:hyperlink>
          </w:p>
          <w:p w:rsidR="00DB0023" w:rsidRPr="00DB0023" w:rsidRDefault="00DB0023" w:rsidP="00DB0023">
            <w:pPr>
              <w:spacing w:line="276" w:lineRule="auto"/>
              <w:jc w:val="both"/>
              <w:rPr>
                <w:rFonts w:eastAsia="Calibri"/>
                <w:sz w:val="20"/>
                <w:lang w:val="en-CA"/>
              </w:rPr>
            </w:pPr>
          </w:p>
          <w:p w:rsidR="00DB0023" w:rsidRPr="00DB0023" w:rsidRDefault="00DB0023" w:rsidP="00DB0023">
            <w:pPr>
              <w:spacing w:line="276" w:lineRule="auto"/>
              <w:jc w:val="both"/>
              <w:rPr>
                <w:rFonts w:eastAsia="Calibri"/>
                <w:sz w:val="20"/>
                <w:lang w:val="en-CA"/>
              </w:rPr>
            </w:pPr>
          </w:p>
        </w:tc>
        <w:tc>
          <w:tcPr>
            <w:tcW w:w="243" w:type="pct"/>
          </w:tcPr>
          <w:p w:rsidR="00DB0023" w:rsidRPr="00DB0023" w:rsidRDefault="00DB0023" w:rsidP="00DB0023">
            <w:pPr>
              <w:spacing w:line="276" w:lineRule="auto"/>
              <w:jc w:val="both"/>
              <w:rPr>
                <w:rFonts w:eastAsia="Calibri"/>
                <w:sz w:val="20"/>
                <w:lang w:val="en-CA"/>
              </w:rPr>
            </w:pPr>
          </w:p>
        </w:tc>
        <w:tc>
          <w:tcPr>
            <w:tcW w:w="2330" w:type="pct"/>
          </w:tcPr>
          <w:p w:rsidR="00DB0023" w:rsidRPr="00DB0023" w:rsidRDefault="00DB0023" w:rsidP="00DB0023">
            <w:pPr>
              <w:spacing w:line="276" w:lineRule="auto"/>
              <w:jc w:val="both"/>
              <w:rPr>
                <w:rFonts w:eastAsia="Calibri"/>
                <w:sz w:val="20"/>
                <w:lang w:val="en-CA"/>
              </w:rPr>
            </w:pPr>
            <w:r w:rsidRPr="00DB0023">
              <w:rPr>
                <w:rFonts w:eastAsia="Calibri"/>
                <w:sz w:val="20"/>
                <w:lang w:val="en-CA"/>
              </w:rPr>
              <w:t>Order for class certification with applicant as representative plaintiff for all workers whose claim for interest on their retroactive and wage loss awards was decided within prescribed time period.</w:t>
            </w:r>
          </w:p>
          <w:p w:rsidR="00DB0023" w:rsidRPr="00DB0023" w:rsidRDefault="00DB0023" w:rsidP="00DB0023">
            <w:pPr>
              <w:spacing w:line="276" w:lineRule="auto"/>
              <w:jc w:val="both"/>
              <w:rPr>
                <w:rFonts w:eastAsia="Calibri"/>
                <w:sz w:val="20"/>
                <w:lang w:val="en-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en-CA"/>
              </w:rPr>
            </w:pPr>
            <w:r w:rsidRPr="00DB0023">
              <w:rPr>
                <w:rFonts w:eastAsia="Calibri"/>
                <w:sz w:val="20"/>
                <w:lang w:val="en-CA"/>
              </w:rPr>
              <w:t>February 19, 2015</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Court of Appeal for British Columbia (Vancouver)</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w:t>
            </w:r>
            <w:proofErr w:type="spellStart"/>
            <w:r w:rsidRPr="00DB0023">
              <w:rPr>
                <w:rFonts w:eastAsia="Calibri"/>
                <w:sz w:val="20"/>
                <w:lang w:val="en-CA"/>
              </w:rPr>
              <w:t>Chiasson</w:t>
            </w:r>
            <w:proofErr w:type="spellEnd"/>
            <w:r w:rsidRPr="00DB0023">
              <w:rPr>
                <w:rFonts w:eastAsia="Calibri"/>
                <w:sz w:val="20"/>
                <w:lang w:val="en-CA"/>
              </w:rPr>
              <w:t xml:space="preserve">, </w:t>
            </w:r>
            <w:proofErr w:type="spellStart"/>
            <w:r w:rsidRPr="00DB0023">
              <w:rPr>
                <w:rFonts w:eastAsia="Calibri"/>
                <w:sz w:val="20"/>
                <w:lang w:val="en-CA"/>
              </w:rPr>
              <w:t>Tysoe</w:t>
            </w:r>
            <w:proofErr w:type="spellEnd"/>
            <w:r w:rsidRPr="00DB0023">
              <w:rPr>
                <w:rFonts w:eastAsia="Calibri"/>
                <w:sz w:val="20"/>
                <w:lang w:val="en-CA"/>
              </w:rPr>
              <w:t xml:space="preserve"> and </w:t>
            </w:r>
            <w:proofErr w:type="spellStart"/>
            <w:r w:rsidRPr="00DB0023">
              <w:rPr>
                <w:rFonts w:eastAsia="Calibri"/>
                <w:sz w:val="20"/>
                <w:lang w:val="en-CA"/>
              </w:rPr>
              <w:t>Willcock</w:t>
            </w:r>
            <w:proofErr w:type="spellEnd"/>
            <w:r w:rsidRPr="00DB0023">
              <w:rPr>
                <w:rFonts w:eastAsia="Calibri"/>
                <w:sz w:val="20"/>
                <w:lang w:val="en-CA"/>
              </w:rPr>
              <w:t xml:space="preserve"> JJ.A.)</w:t>
            </w:r>
          </w:p>
          <w:p w:rsidR="00DB0023" w:rsidRPr="00DB0023" w:rsidRDefault="00480458" w:rsidP="00DB0023">
            <w:pPr>
              <w:spacing w:line="276" w:lineRule="auto"/>
              <w:jc w:val="both"/>
              <w:rPr>
                <w:rFonts w:eastAsia="Calibri"/>
                <w:sz w:val="20"/>
                <w:lang w:val="en-CA"/>
              </w:rPr>
            </w:pPr>
            <w:hyperlink r:id="rId49" w:history="1">
              <w:r w:rsidR="00DB0023" w:rsidRPr="005529E3">
                <w:rPr>
                  <w:rFonts w:eastAsia="Calibri"/>
                  <w:color w:val="0000FF" w:themeColor="hyperlink"/>
                  <w:sz w:val="20"/>
                  <w:u w:val="single"/>
                  <w:lang w:val="en-CA"/>
                </w:rPr>
                <w:t>2015 BCCA 70</w:t>
              </w:r>
            </w:hyperlink>
          </w:p>
          <w:p w:rsidR="00DB0023" w:rsidRPr="00DB0023" w:rsidRDefault="00DB0023" w:rsidP="00DB0023">
            <w:pPr>
              <w:spacing w:line="276" w:lineRule="auto"/>
              <w:jc w:val="both"/>
              <w:rPr>
                <w:rFonts w:eastAsia="Calibri"/>
                <w:sz w:val="20"/>
                <w:lang w:val="en-CA"/>
              </w:rPr>
            </w:pPr>
          </w:p>
        </w:tc>
        <w:tc>
          <w:tcPr>
            <w:tcW w:w="243" w:type="pct"/>
          </w:tcPr>
          <w:p w:rsidR="00DB0023" w:rsidRPr="00DB0023" w:rsidRDefault="00DB0023" w:rsidP="00DB0023">
            <w:pPr>
              <w:spacing w:line="276" w:lineRule="auto"/>
              <w:jc w:val="both"/>
              <w:rPr>
                <w:rFonts w:eastAsia="Calibri"/>
                <w:sz w:val="20"/>
                <w:lang w:val="en-CA"/>
              </w:rPr>
            </w:pPr>
          </w:p>
        </w:tc>
        <w:tc>
          <w:tcPr>
            <w:tcW w:w="2330" w:type="pct"/>
          </w:tcPr>
          <w:p w:rsidR="00DB0023" w:rsidRPr="00DB0023" w:rsidRDefault="00DB0023" w:rsidP="00DB0023">
            <w:pPr>
              <w:spacing w:line="276" w:lineRule="auto"/>
              <w:jc w:val="both"/>
              <w:rPr>
                <w:rFonts w:eastAsia="Calibri"/>
                <w:sz w:val="20"/>
                <w:lang w:val="en-CA"/>
              </w:rPr>
            </w:pPr>
            <w:r w:rsidRPr="00DB0023">
              <w:rPr>
                <w:rFonts w:eastAsia="Calibri"/>
                <w:sz w:val="20"/>
                <w:lang w:val="en-CA"/>
              </w:rPr>
              <w:t>Respondent’s appeal allowed; order for certification set aside.</w:t>
            </w:r>
          </w:p>
          <w:p w:rsidR="00DB0023" w:rsidRPr="00DB0023" w:rsidRDefault="00DB0023" w:rsidP="00DB0023">
            <w:pPr>
              <w:spacing w:line="276" w:lineRule="auto"/>
              <w:jc w:val="both"/>
              <w:rPr>
                <w:rFonts w:eastAsia="Calibri"/>
                <w:sz w:val="20"/>
                <w:lang w:val="en-CA"/>
              </w:rPr>
            </w:pPr>
          </w:p>
          <w:p w:rsidR="00DB0023" w:rsidRPr="00DB0023" w:rsidRDefault="00DB0023" w:rsidP="00DB0023">
            <w:pPr>
              <w:spacing w:line="276" w:lineRule="auto"/>
              <w:jc w:val="both"/>
              <w:rPr>
                <w:rFonts w:eastAsia="Calibri"/>
                <w:sz w:val="20"/>
                <w:lang w:val="en-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April 1, 2015</w:t>
            </w:r>
          </w:p>
          <w:p w:rsidR="00DB0023" w:rsidRPr="00DB0023" w:rsidRDefault="00DB0023" w:rsidP="00DB0023">
            <w:pPr>
              <w:spacing w:line="276" w:lineRule="auto"/>
              <w:jc w:val="both"/>
              <w:rPr>
                <w:rFonts w:eastAsia="Calibri"/>
                <w:sz w:val="20"/>
                <w:lang w:val="en-CA"/>
              </w:rPr>
            </w:pPr>
            <w:r w:rsidRPr="00DB0023">
              <w:rPr>
                <w:rFonts w:eastAsia="Calibri"/>
                <w:sz w:val="20"/>
                <w:lang w:val="en-CA"/>
              </w:rPr>
              <w:t>Supreme Court of Canada</w:t>
            </w:r>
          </w:p>
          <w:p w:rsidR="00DB0023" w:rsidRPr="00DB0023" w:rsidRDefault="00DB0023" w:rsidP="00DB0023">
            <w:pPr>
              <w:spacing w:line="276" w:lineRule="auto"/>
              <w:jc w:val="both"/>
              <w:rPr>
                <w:rFonts w:eastAsia="Calibri"/>
                <w:sz w:val="20"/>
                <w:lang w:val="en-CA"/>
              </w:rPr>
            </w:pPr>
          </w:p>
        </w:tc>
        <w:tc>
          <w:tcPr>
            <w:tcW w:w="243" w:type="pct"/>
          </w:tcPr>
          <w:p w:rsidR="00DB0023" w:rsidRPr="00DB0023" w:rsidRDefault="00DB0023" w:rsidP="00DB0023">
            <w:pPr>
              <w:spacing w:line="276" w:lineRule="auto"/>
              <w:jc w:val="both"/>
              <w:rPr>
                <w:rFonts w:eastAsia="Calibri"/>
                <w:sz w:val="20"/>
                <w:lang w:val="en-CA"/>
              </w:rPr>
            </w:pPr>
          </w:p>
        </w:tc>
        <w:tc>
          <w:tcPr>
            <w:tcW w:w="2330" w:type="pct"/>
            <w:hideMark/>
          </w:tcPr>
          <w:p w:rsidR="00DB0023" w:rsidRPr="00DB0023" w:rsidRDefault="00DB0023" w:rsidP="00DB0023">
            <w:pPr>
              <w:spacing w:line="276" w:lineRule="auto"/>
              <w:jc w:val="both"/>
              <w:rPr>
                <w:rFonts w:eastAsia="Calibri"/>
                <w:sz w:val="20"/>
                <w:lang w:val="en-CA"/>
              </w:rPr>
            </w:pPr>
            <w:r w:rsidRPr="00DB0023">
              <w:rPr>
                <w:rFonts w:eastAsia="Calibri"/>
                <w:sz w:val="20"/>
                <w:lang w:val="en-CA"/>
              </w:rPr>
              <w:t>Application for leave to appeal filed.</w:t>
            </w:r>
          </w:p>
        </w:tc>
      </w:tr>
    </w:tbl>
    <w:p w:rsidR="00DB0023" w:rsidRPr="00DB0023" w:rsidRDefault="00DB0023" w:rsidP="00DB002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B0023" w:rsidRPr="00DB0023" w:rsidTr="00DB0023">
        <w:tc>
          <w:tcPr>
            <w:tcW w:w="543" w:type="pct"/>
            <w:hideMark/>
          </w:tcPr>
          <w:p w:rsidR="00DB0023" w:rsidRPr="00DB0023" w:rsidRDefault="00DB0023" w:rsidP="00DB0023">
            <w:pPr>
              <w:spacing w:line="276" w:lineRule="auto"/>
              <w:jc w:val="both"/>
              <w:rPr>
                <w:rFonts w:eastAsia="Calibri"/>
                <w:sz w:val="20"/>
                <w:lang w:val="fr-CA"/>
              </w:rPr>
            </w:pPr>
            <w:r w:rsidRPr="005529E3">
              <w:rPr>
                <w:rFonts w:eastAsia="Calibri"/>
                <w:b/>
                <w:sz w:val="20"/>
                <w:lang w:val="fr-CA"/>
              </w:rPr>
              <w:t>36375</w:t>
            </w:r>
          </w:p>
        </w:tc>
        <w:tc>
          <w:tcPr>
            <w:tcW w:w="4457" w:type="pct"/>
            <w:gridSpan w:val="3"/>
          </w:tcPr>
          <w:p w:rsidR="00DB0023" w:rsidRPr="00DB0023" w:rsidRDefault="00DB0023" w:rsidP="00DB0023">
            <w:pPr>
              <w:spacing w:line="276" w:lineRule="auto"/>
              <w:jc w:val="both"/>
              <w:rPr>
                <w:rFonts w:eastAsia="Calibri"/>
                <w:b/>
                <w:sz w:val="20"/>
              </w:rPr>
            </w:pPr>
            <w:r w:rsidRPr="00DB0023">
              <w:rPr>
                <w:rFonts w:eastAsia="Calibri"/>
                <w:b/>
                <w:sz w:val="20"/>
              </w:rPr>
              <w:t>Deborah Lockyer-</w:t>
            </w:r>
            <w:proofErr w:type="spellStart"/>
            <w:r w:rsidRPr="00DB0023">
              <w:rPr>
                <w:rFonts w:eastAsia="Calibri"/>
                <w:b/>
                <w:sz w:val="20"/>
              </w:rPr>
              <w:t>Kash</w:t>
            </w:r>
            <w:proofErr w:type="spellEnd"/>
            <w:r w:rsidRPr="00DB0023">
              <w:rPr>
                <w:rFonts w:eastAsia="Calibri"/>
                <w:b/>
                <w:sz w:val="20"/>
              </w:rPr>
              <w:t xml:space="preserve"> c. Workers’ Compensation Board of British Columbia</w:t>
            </w:r>
          </w:p>
          <w:p w:rsidR="00DB0023" w:rsidRPr="00DB0023" w:rsidRDefault="00DB0023" w:rsidP="009C21EE">
            <w:pPr>
              <w:spacing w:line="276" w:lineRule="auto"/>
              <w:jc w:val="both"/>
              <w:rPr>
                <w:rFonts w:eastAsia="Calibri"/>
                <w:sz w:val="20"/>
                <w:lang w:val="fr-CA"/>
              </w:rPr>
            </w:pPr>
            <w:r w:rsidRPr="00DB0023">
              <w:rPr>
                <w:rFonts w:eastAsia="Calibri"/>
                <w:sz w:val="20"/>
                <w:lang w:val="fr-CA"/>
              </w:rPr>
              <w:t>(C.-B.) (Civile) (Sur autorisation)</w:t>
            </w:r>
          </w:p>
        </w:tc>
      </w:tr>
      <w:tr w:rsidR="00DB0023" w:rsidRPr="00DB0023" w:rsidTr="00DB0023">
        <w:tc>
          <w:tcPr>
            <w:tcW w:w="5000" w:type="pct"/>
            <w:gridSpan w:val="4"/>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Procédure civile – Recours collectifs – Certification – La Cour d’appel s’est-elle trompée dans son interprétation et son application de la </w:t>
            </w:r>
            <w:r w:rsidRPr="00DB0023">
              <w:rPr>
                <w:rFonts w:eastAsia="Calibri"/>
                <w:i/>
                <w:sz w:val="20"/>
                <w:lang w:val="fr-CA"/>
              </w:rPr>
              <w:t xml:space="preserve">Class </w:t>
            </w:r>
            <w:proofErr w:type="spellStart"/>
            <w:r w:rsidRPr="00DB0023">
              <w:rPr>
                <w:rFonts w:eastAsia="Calibri"/>
                <w:i/>
                <w:sz w:val="20"/>
                <w:lang w:val="fr-CA"/>
              </w:rPr>
              <w:t>Proceedings</w:t>
            </w:r>
            <w:proofErr w:type="spellEnd"/>
            <w:r w:rsidRPr="00DB0023">
              <w:rPr>
                <w:rFonts w:eastAsia="Calibri"/>
                <w:i/>
                <w:sz w:val="20"/>
                <w:lang w:val="fr-CA"/>
              </w:rPr>
              <w:t xml:space="preserve"> </w:t>
            </w:r>
            <w:proofErr w:type="spellStart"/>
            <w:r w:rsidRPr="00DB0023">
              <w:rPr>
                <w:rFonts w:eastAsia="Calibri"/>
                <w:i/>
                <w:sz w:val="20"/>
                <w:lang w:val="fr-CA"/>
              </w:rPr>
              <w:t>Act</w:t>
            </w:r>
            <w:proofErr w:type="spellEnd"/>
            <w:r w:rsidRPr="00DB0023">
              <w:rPr>
                <w:rFonts w:eastAsia="Calibri"/>
                <w:sz w:val="20"/>
                <w:lang w:val="fr-CA"/>
              </w:rPr>
              <w:t>, R.S.B.C. 1996, ch. 50? – Le refus de certifier le recours collectif est-il contraire aux principes de justice naturelle?</w:t>
            </w:r>
          </w:p>
        </w:tc>
      </w:tr>
      <w:tr w:rsidR="00DB0023" w:rsidRPr="00DB0023" w:rsidTr="00DB0023">
        <w:tc>
          <w:tcPr>
            <w:tcW w:w="5000" w:type="pct"/>
            <w:gridSpan w:val="4"/>
          </w:tcPr>
          <w:p w:rsidR="00DB0023" w:rsidRPr="00DB0023" w:rsidRDefault="00DB0023" w:rsidP="00DB0023">
            <w:pPr>
              <w:spacing w:line="276" w:lineRule="auto"/>
              <w:jc w:val="both"/>
              <w:rPr>
                <w:rFonts w:eastAsia="Calibri"/>
                <w:sz w:val="20"/>
                <w:lang w:val="fr-CA"/>
              </w:rPr>
            </w:pPr>
          </w:p>
        </w:tc>
      </w:tr>
      <w:tr w:rsidR="00DB0023" w:rsidRPr="00DB0023" w:rsidTr="00DB0023">
        <w:tc>
          <w:tcPr>
            <w:tcW w:w="5000" w:type="pct"/>
            <w:gridSpan w:val="4"/>
          </w:tcPr>
          <w:p w:rsidR="00DB0023" w:rsidRPr="00DB0023" w:rsidRDefault="00DB0023" w:rsidP="00DB0023">
            <w:pPr>
              <w:spacing w:line="276" w:lineRule="auto"/>
              <w:jc w:val="both"/>
              <w:rPr>
                <w:rFonts w:eastAsia="Calibri"/>
                <w:sz w:val="20"/>
                <w:lang w:val="fr-CA"/>
              </w:rPr>
            </w:pPr>
            <w:r w:rsidRPr="00DB0023">
              <w:rPr>
                <w:rFonts w:eastAsia="Calibri"/>
                <w:iCs/>
                <w:sz w:val="20"/>
                <w:lang w:val="fr-CA"/>
              </w:rPr>
              <w:t>La demanderesse, Mme Lockyer-</w:t>
            </w:r>
            <w:proofErr w:type="spellStart"/>
            <w:r w:rsidRPr="00DB0023">
              <w:rPr>
                <w:rFonts w:eastAsia="Calibri"/>
                <w:iCs/>
                <w:sz w:val="20"/>
                <w:lang w:val="fr-CA"/>
              </w:rPr>
              <w:t>Kash</w:t>
            </w:r>
            <w:proofErr w:type="spellEnd"/>
            <w:r w:rsidRPr="00DB0023">
              <w:rPr>
                <w:rFonts w:eastAsia="Calibri"/>
                <w:iCs/>
                <w:sz w:val="20"/>
                <w:lang w:val="fr-CA"/>
              </w:rPr>
              <w:t xml:space="preserve">, a été blessée en 1999 alors qu’elle travaillait comme gérante d’animalerie. En 2002, la </w:t>
            </w:r>
            <w:proofErr w:type="spellStart"/>
            <w:r w:rsidRPr="00DB0023">
              <w:rPr>
                <w:rFonts w:eastAsia="Calibri"/>
                <w:iCs/>
                <w:sz w:val="20"/>
                <w:lang w:val="fr-CA"/>
              </w:rPr>
              <w:t>Workers</w:t>
            </w:r>
            <w:proofErr w:type="spellEnd"/>
            <w:r w:rsidRPr="00DB0023">
              <w:rPr>
                <w:rFonts w:eastAsia="Calibri"/>
                <w:iCs/>
                <w:sz w:val="20"/>
                <w:lang w:val="fr-CA"/>
              </w:rPr>
              <w:t xml:space="preserve">’ Compensation </w:t>
            </w:r>
            <w:proofErr w:type="spellStart"/>
            <w:r w:rsidRPr="00DB0023">
              <w:rPr>
                <w:rFonts w:eastAsia="Calibri"/>
                <w:iCs/>
                <w:sz w:val="20"/>
                <w:lang w:val="fr-CA"/>
              </w:rPr>
              <w:t>Board</w:t>
            </w:r>
            <w:proofErr w:type="spellEnd"/>
            <w:r w:rsidRPr="00DB0023">
              <w:rPr>
                <w:rFonts w:eastAsia="Calibri"/>
                <w:iCs/>
                <w:sz w:val="20"/>
                <w:lang w:val="fr-CA"/>
              </w:rPr>
              <w:t xml:space="preserve"> (« WCB ») lui a octroyé une rente équivalente à une perte de revenus de 5,82 pour cent, majorée en 2005. En 2009, à l’issue d’un appel subséquent au </w:t>
            </w:r>
            <w:proofErr w:type="spellStart"/>
            <w:r w:rsidRPr="00DB0023">
              <w:rPr>
                <w:rFonts w:eastAsia="Calibri"/>
                <w:iCs/>
                <w:sz w:val="20"/>
                <w:lang w:val="fr-CA"/>
              </w:rPr>
              <w:t>Workers</w:t>
            </w:r>
            <w:proofErr w:type="spellEnd"/>
            <w:r w:rsidRPr="00DB0023">
              <w:rPr>
                <w:rFonts w:eastAsia="Calibri"/>
                <w:iCs/>
                <w:sz w:val="20"/>
                <w:lang w:val="fr-CA"/>
              </w:rPr>
              <w:t xml:space="preserve">’ Compensation </w:t>
            </w:r>
            <w:proofErr w:type="spellStart"/>
            <w:r w:rsidRPr="00DB0023">
              <w:rPr>
                <w:rFonts w:eastAsia="Calibri"/>
                <w:iCs/>
                <w:sz w:val="20"/>
                <w:lang w:val="fr-CA"/>
              </w:rPr>
              <w:t>Appeal</w:t>
            </w:r>
            <w:proofErr w:type="spellEnd"/>
            <w:r w:rsidRPr="00DB0023">
              <w:rPr>
                <w:rFonts w:eastAsia="Calibri"/>
                <w:iCs/>
                <w:sz w:val="20"/>
                <w:lang w:val="fr-CA"/>
              </w:rPr>
              <w:t xml:space="preserve"> Tribunal (« WCAT ») cette rente a été augmentée à 100 pour cent, c’est-à-dire environ 1 500 $ par mois. Elle a en outre reçu un montant rétroactif de 113 000 $, soit l’équivalent de l’argent qu’elle aurait dû recevoir avant son appel de 2009. La WCB a rejeté sa demande en vue d’obtenir les intérêts sur la partie rétroactive du montant qui lui a été octroyé, s’appuyant sur la politique sur les intérêts établie par son conseil d’administration. La demanderesse a interjeté appel au WCAT, qui a conclu que la politique était manifestement déraisonnable et a renvoyé l’affaire au conseil d’administration de la WCB pour qu’il réexamine la demande. Le conseil d’administration a confirmé la politique. Madame Lockyer-</w:t>
            </w:r>
            <w:proofErr w:type="spellStart"/>
            <w:r w:rsidRPr="00DB0023">
              <w:rPr>
                <w:rFonts w:eastAsia="Calibri"/>
                <w:iCs/>
                <w:sz w:val="20"/>
                <w:lang w:val="fr-CA"/>
              </w:rPr>
              <w:t>Kash</w:t>
            </w:r>
            <w:proofErr w:type="spellEnd"/>
            <w:r w:rsidRPr="00DB0023">
              <w:rPr>
                <w:rFonts w:eastAsia="Calibri"/>
                <w:iCs/>
                <w:sz w:val="20"/>
                <w:lang w:val="fr-CA"/>
              </w:rPr>
              <w:t xml:space="preserve"> a demandé le contrôle judiciaire de cette décision et a présenté une demande en certification d’un recours collectif.</w:t>
            </w:r>
          </w:p>
          <w:p w:rsidR="00DB0023" w:rsidRPr="00DB0023" w:rsidRDefault="00DB0023" w:rsidP="00DB0023">
            <w:pPr>
              <w:spacing w:line="276" w:lineRule="auto"/>
              <w:jc w:val="both"/>
              <w:rPr>
                <w:rFonts w:eastAsia="Calibri"/>
                <w:sz w:val="20"/>
                <w:lang w:val="fr-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fr-CA"/>
              </w:rPr>
            </w:pPr>
            <w:r w:rsidRPr="00DB0023">
              <w:rPr>
                <w:rFonts w:eastAsia="Calibri"/>
                <w:sz w:val="20"/>
                <w:lang w:val="fr-CA"/>
              </w:rPr>
              <w:t>29 juillet 2014</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suprême de la Colombie-Britannique</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(Juge </w:t>
            </w:r>
            <w:proofErr w:type="spellStart"/>
            <w:r w:rsidRPr="00DB0023">
              <w:rPr>
                <w:rFonts w:eastAsia="Calibri"/>
                <w:sz w:val="20"/>
                <w:lang w:val="fr-CA"/>
              </w:rPr>
              <w:t>Steeves</w:t>
            </w:r>
            <w:proofErr w:type="spellEnd"/>
            <w:r w:rsidRPr="00DB0023">
              <w:rPr>
                <w:rFonts w:eastAsia="Calibri"/>
                <w:sz w:val="20"/>
                <w:lang w:val="fr-CA"/>
              </w:rPr>
              <w:t>)</w:t>
            </w:r>
          </w:p>
          <w:p w:rsidR="00DB0023" w:rsidRPr="00DB0023" w:rsidRDefault="00480458" w:rsidP="00DB0023">
            <w:pPr>
              <w:spacing w:line="276" w:lineRule="auto"/>
              <w:jc w:val="both"/>
              <w:rPr>
                <w:rFonts w:eastAsia="Calibri"/>
                <w:sz w:val="20"/>
                <w:lang w:val="fr-CA"/>
              </w:rPr>
            </w:pPr>
            <w:hyperlink r:id="rId50" w:history="1">
              <w:r w:rsidR="00DB0023" w:rsidRPr="005529E3">
                <w:rPr>
                  <w:rFonts w:eastAsia="Calibri"/>
                  <w:color w:val="0000FF" w:themeColor="hyperlink"/>
                  <w:sz w:val="20"/>
                  <w:u w:val="single"/>
                  <w:lang w:val="fr-CA"/>
                </w:rPr>
                <w:t>2014 BCSC 1443</w:t>
              </w:r>
            </w:hyperlink>
          </w:p>
          <w:p w:rsidR="00DB0023" w:rsidRPr="00DB0023" w:rsidRDefault="00DB0023" w:rsidP="00DB0023">
            <w:pPr>
              <w:spacing w:line="276" w:lineRule="auto"/>
              <w:jc w:val="both"/>
              <w:rPr>
                <w:rFonts w:eastAsia="Calibri"/>
                <w:sz w:val="20"/>
                <w:lang w:val="fr-CA"/>
              </w:rPr>
            </w:pPr>
          </w:p>
        </w:tc>
        <w:tc>
          <w:tcPr>
            <w:tcW w:w="243" w:type="pct"/>
          </w:tcPr>
          <w:p w:rsidR="00DB0023" w:rsidRPr="00DB0023" w:rsidRDefault="00DB0023" w:rsidP="00DB0023">
            <w:pPr>
              <w:spacing w:line="276" w:lineRule="auto"/>
              <w:jc w:val="both"/>
              <w:rPr>
                <w:rFonts w:eastAsia="Calibri"/>
                <w:sz w:val="20"/>
                <w:lang w:val="fr-CA"/>
              </w:rPr>
            </w:pPr>
          </w:p>
        </w:tc>
        <w:tc>
          <w:tcPr>
            <w:tcW w:w="2330" w:type="pct"/>
          </w:tcPr>
          <w:p w:rsidR="00DB0023" w:rsidRPr="00DB0023" w:rsidRDefault="00DB0023" w:rsidP="00DB0023">
            <w:pPr>
              <w:spacing w:line="276" w:lineRule="auto"/>
              <w:jc w:val="both"/>
              <w:rPr>
                <w:rFonts w:eastAsia="Calibri"/>
                <w:sz w:val="20"/>
                <w:lang w:val="fr-CA"/>
              </w:rPr>
            </w:pPr>
            <w:r w:rsidRPr="00DB0023">
              <w:rPr>
                <w:rFonts w:eastAsia="Calibri"/>
                <w:sz w:val="20"/>
                <w:lang w:val="fr-CA"/>
              </w:rPr>
              <w:t>Ordonnance de certification d’un recours collectif désignant la demanderesse représentante des demandeurs pour tous les travailleurs dont la demande en vue d’obtenir des intérêts sur les montants qui leur ont été accordés rétroactivement et au titre de la perte de salaire a été tranchée pendant la période prescrite.</w:t>
            </w:r>
          </w:p>
          <w:p w:rsidR="00DB0023" w:rsidRPr="00DB0023" w:rsidRDefault="00DB0023" w:rsidP="00DB0023">
            <w:pPr>
              <w:spacing w:line="276" w:lineRule="auto"/>
              <w:jc w:val="both"/>
              <w:rPr>
                <w:rFonts w:eastAsia="Calibri"/>
                <w:sz w:val="20"/>
                <w:lang w:val="fr-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fr-CA"/>
              </w:rPr>
            </w:pPr>
            <w:r w:rsidRPr="00DB0023">
              <w:rPr>
                <w:rFonts w:eastAsia="Calibri"/>
                <w:sz w:val="20"/>
                <w:lang w:val="fr-CA"/>
              </w:rPr>
              <w:t>19 février 2015</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d’appel de la Colombie-Britannique (Vancouver)</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(Juges Chiasson, </w:t>
            </w:r>
            <w:proofErr w:type="spellStart"/>
            <w:r w:rsidRPr="00DB0023">
              <w:rPr>
                <w:rFonts w:eastAsia="Calibri"/>
                <w:sz w:val="20"/>
                <w:lang w:val="fr-CA"/>
              </w:rPr>
              <w:t>Tysoe</w:t>
            </w:r>
            <w:proofErr w:type="spellEnd"/>
            <w:r w:rsidRPr="00DB0023">
              <w:rPr>
                <w:rFonts w:eastAsia="Calibri"/>
                <w:sz w:val="20"/>
                <w:lang w:val="fr-CA"/>
              </w:rPr>
              <w:t xml:space="preserve"> et </w:t>
            </w:r>
            <w:proofErr w:type="spellStart"/>
            <w:r w:rsidRPr="00DB0023">
              <w:rPr>
                <w:rFonts w:eastAsia="Calibri"/>
                <w:sz w:val="20"/>
                <w:lang w:val="fr-CA"/>
              </w:rPr>
              <w:t>Willcock</w:t>
            </w:r>
            <w:proofErr w:type="spellEnd"/>
            <w:r w:rsidRPr="00DB0023">
              <w:rPr>
                <w:rFonts w:eastAsia="Calibri"/>
                <w:sz w:val="20"/>
                <w:lang w:val="fr-CA"/>
              </w:rPr>
              <w:t>)</w:t>
            </w:r>
          </w:p>
          <w:p w:rsidR="00DB0023" w:rsidRPr="00DB0023" w:rsidRDefault="00480458" w:rsidP="00DB0023">
            <w:pPr>
              <w:spacing w:line="276" w:lineRule="auto"/>
              <w:jc w:val="both"/>
              <w:rPr>
                <w:rFonts w:eastAsia="Calibri"/>
                <w:sz w:val="20"/>
                <w:lang w:val="fr-CA"/>
              </w:rPr>
            </w:pPr>
            <w:hyperlink r:id="rId51" w:history="1">
              <w:r w:rsidR="00DB0023" w:rsidRPr="005529E3">
                <w:rPr>
                  <w:rFonts w:eastAsia="Calibri"/>
                  <w:color w:val="0000FF" w:themeColor="hyperlink"/>
                  <w:sz w:val="20"/>
                  <w:u w:val="single"/>
                  <w:lang w:val="fr-CA"/>
                </w:rPr>
                <w:t>2015 BCCA 70</w:t>
              </w:r>
            </w:hyperlink>
          </w:p>
          <w:p w:rsidR="00DB0023" w:rsidRPr="00DB0023" w:rsidRDefault="00DB0023" w:rsidP="00DB0023">
            <w:pPr>
              <w:spacing w:line="276" w:lineRule="auto"/>
              <w:jc w:val="both"/>
              <w:rPr>
                <w:rFonts w:eastAsia="Calibri"/>
                <w:sz w:val="20"/>
                <w:lang w:val="fr-CA"/>
              </w:rPr>
            </w:pPr>
          </w:p>
        </w:tc>
        <w:tc>
          <w:tcPr>
            <w:tcW w:w="243" w:type="pct"/>
          </w:tcPr>
          <w:p w:rsidR="00DB0023" w:rsidRPr="00DB0023" w:rsidRDefault="00DB0023" w:rsidP="00DB0023">
            <w:pPr>
              <w:spacing w:line="276" w:lineRule="auto"/>
              <w:jc w:val="both"/>
              <w:rPr>
                <w:rFonts w:eastAsia="Calibri"/>
                <w:sz w:val="20"/>
                <w:lang w:val="fr-CA"/>
              </w:rPr>
            </w:pPr>
          </w:p>
        </w:tc>
        <w:tc>
          <w:tcPr>
            <w:tcW w:w="2330" w:type="pct"/>
          </w:tcPr>
          <w:p w:rsidR="00DB0023" w:rsidRPr="00DB0023" w:rsidRDefault="00DB0023" w:rsidP="00DB0023">
            <w:pPr>
              <w:spacing w:line="276" w:lineRule="auto"/>
              <w:jc w:val="both"/>
              <w:rPr>
                <w:rFonts w:eastAsia="Calibri"/>
                <w:sz w:val="20"/>
                <w:lang w:val="fr-CA"/>
              </w:rPr>
            </w:pPr>
            <w:r w:rsidRPr="00DB0023">
              <w:rPr>
                <w:rFonts w:eastAsia="Calibri"/>
                <w:sz w:val="20"/>
                <w:lang w:val="fr-CA"/>
              </w:rPr>
              <w:t>Arrêt accueillant l’appel de l’intimée et annulant de l’ordonnance de certification.</w:t>
            </w:r>
          </w:p>
          <w:p w:rsidR="00DB0023" w:rsidRPr="00DB0023" w:rsidRDefault="00DB0023" w:rsidP="00DB0023">
            <w:pPr>
              <w:spacing w:line="276" w:lineRule="auto"/>
              <w:jc w:val="both"/>
              <w:rPr>
                <w:rFonts w:eastAsia="Calibri"/>
                <w:sz w:val="20"/>
                <w:lang w:val="fr-CA"/>
              </w:rPr>
            </w:pPr>
          </w:p>
          <w:p w:rsidR="00DB0023" w:rsidRPr="00DB0023" w:rsidRDefault="00DB0023" w:rsidP="00DB0023">
            <w:pPr>
              <w:spacing w:line="276" w:lineRule="auto"/>
              <w:jc w:val="both"/>
              <w:rPr>
                <w:rFonts w:eastAsia="Calibri"/>
                <w:sz w:val="20"/>
                <w:lang w:val="fr-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fr-CA"/>
              </w:rPr>
            </w:pPr>
            <w:r w:rsidRPr="00DB0023">
              <w:rPr>
                <w:rFonts w:eastAsia="Calibri"/>
                <w:sz w:val="20"/>
                <w:lang w:val="fr-CA"/>
              </w:rPr>
              <w:t>1</w:t>
            </w:r>
            <w:r w:rsidRPr="00DB0023">
              <w:rPr>
                <w:rFonts w:eastAsia="Calibri"/>
                <w:sz w:val="20"/>
                <w:vertAlign w:val="superscript"/>
                <w:lang w:val="fr-CA"/>
              </w:rPr>
              <w:t>er</w:t>
            </w:r>
            <w:r w:rsidRPr="00DB0023">
              <w:rPr>
                <w:rFonts w:eastAsia="Calibri"/>
                <w:sz w:val="20"/>
                <w:lang w:val="fr-CA"/>
              </w:rPr>
              <w:t xml:space="preserve"> avril 2015</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suprême du Canada</w:t>
            </w:r>
          </w:p>
          <w:p w:rsidR="00DB0023" w:rsidRPr="00DB0023" w:rsidRDefault="00DB0023" w:rsidP="00DB0023">
            <w:pPr>
              <w:spacing w:line="276" w:lineRule="auto"/>
              <w:jc w:val="both"/>
              <w:rPr>
                <w:rFonts w:eastAsia="Calibri"/>
                <w:sz w:val="20"/>
                <w:lang w:val="fr-CA"/>
              </w:rPr>
            </w:pPr>
          </w:p>
        </w:tc>
        <w:tc>
          <w:tcPr>
            <w:tcW w:w="243" w:type="pct"/>
          </w:tcPr>
          <w:p w:rsidR="00DB0023" w:rsidRPr="00DB0023" w:rsidRDefault="00DB0023" w:rsidP="00DB0023">
            <w:pPr>
              <w:spacing w:line="276" w:lineRule="auto"/>
              <w:jc w:val="both"/>
              <w:rPr>
                <w:rFonts w:eastAsia="Calibri"/>
                <w:sz w:val="20"/>
                <w:lang w:val="fr-CA"/>
              </w:rPr>
            </w:pPr>
          </w:p>
        </w:tc>
        <w:tc>
          <w:tcPr>
            <w:tcW w:w="2330" w:type="pct"/>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Dépôt de la demande d’autorisation d’appel.</w:t>
            </w:r>
          </w:p>
        </w:tc>
      </w:tr>
    </w:tbl>
    <w:p w:rsidR="00DB0023" w:rsidRPr="00DB0023" w:rsidRDefault="00DB0023" w:rsidP="00DB0023">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0023" w:rsidRPr="00DB0023" w:rsidTr="00193609">
        <w:tc>
          <w:tcPr>
            <w:tcW w:w="543" w:type="pct"/>
          </w:tcPr>
          <w:p w:rsidR="00DB0023" w:rsidRPr="00DB0023" w:rsidRDefault="00DB0023" w:rsidP="00DB0023">
            <w:pPr>
              <w:jc w:val="both"/>
              <w:rPr>
                <w:rFonts w:eastAsiaTheme="minorHAnsi"/>
                <w:sz w:val="20"/>
                <w:lang w:val="en-CA"/>
              </w:rPr>
            </w:pPr>
            <w:r w:rsidRPr="005529E3">
              <w:rPr>
                <w:rFonts w:eastAsiaTheme="minorHAnsi"/>
                <w:b/>
                <w:sz w:val="20"/>
                <w:lang w:val="en-CA"/>
              </w:rPr>
              <w:t>36452</w:t>
            </w:r>
          </w:p>
        </w:tc>
        <w:tc>
          <w:tcPr>
            <w:tcW w:w="4457" w:type="pct"/>
            <w:gridSpan w:val="3"/>
          </w:tcPr>
          <w:p w:rsidR="00DB0023" w:rsidRPr="00DB0023" w:rsidRDefault="00DB0023" w:rsidP="00DB0023">
            <w:pPr>
              <w:jc w:val="both"/>
              <w:rPr>
                <w:rFonts w:eastAsiaTheme="minorHAnsi"/>
                <w:b/>
                <w:sz w:val="20"/>
                <w:lang w:val="en-CA"/>
              </w:rPr>
            </w:pPr>
            <w:proofErr w:type="spellStart"/>
            <w:r w:rsidRPr="00DB0023">
              <w:rPr>
                <w:rFonts w:eastAsiaTheme="minorHAnsi"/>
                <w:b/>
                <w:sz w:val="20"/>
                <w:lang w:val="en-CA"/>
              </w:rPr>
              <w:t>Ledcor</w:t>
            </w:r>
            <w:proofErr w:type="spellEnd"/>
            <w:r w:rsidRPr="00DB0023">
              <w:rPr>
                <w:rFonts w:eastAsiaTheme="minorHAnsi"/>
                <w:b/>
                <w:sz w:val="20"/>
                <w:lang w:val="en-CA"/>
              </w:rPr>
              <w:t xml:space="preserve"> Construction Limited v. Northbridge Indemnity Insurance Company, Royal &amp; Sun Alliance Insurance Company of Canada and </w:t>
            </w:r>
            <w:proofErr w:type="spellStart"/>
            <w:r w:rsidRPr="00DB0023">
              <w:rPr>
                <w:rFonts w:eastAsiaTheme="minorHAnsi"/>
                <w:b/>
                <w:sz w:val="20"/>
                <w:lang w:val="en-CA"/>
              </w:rPr>
              <w:t>Chartis</w:t>
            </w:r>
            <w:proofErr w:type="spellEnd"/>
            <w:r w:rsidRPr="00DB0023">
              <w:rPr>
                <w:rFonts w:eastAsiaTheme="minorHAnsi"/>
                <w:b/>
                <w:sz w:val="20"/>
                <w:lang w:val="en-CA"/>
              </w:rPr>
              <w:t xml:space="preserve"> Insurance Company of Canada</w:t>
            </w:r>
          </w:p>
          <w:p w:rsidR="00DB0023" w:rsidRPr="00DB0023" w:rsidRDefault="00DB0023" w:rsidP="00DB0023">
            <w:pPr>
              <w:jc w:val="both"/>
              <w:rPr>
                <w:rFonts w:eastAsiaTheme="minorHAnsi"/>
                <w:b/>
                <w:sz w:val="20"/>
                <w:lang w:val="en-CA"/>
              </w:rPr>
            </w:pPr>
            <w:r w:rsidRPr="00DB0023">
              <w:rPr>
                <w:rFonts w:eastAsiaTheme="minorHAnsi"/>
                <w:b/>
                <w:sz w:val="20"/>
                <w:lang w:val="en-CA"/>
              </w:rPr>
              <w:t>- and between -</w:t>
            </w:r>
          </w:p>
          <w:p w:rsidR="00DB0023" w:rsidRPr="00DB0023" w:rsidRDefault="00DB0023" w:rsidP="00DB0023">
            <w:pPr>
              <w:jc w:val="both"/>
              <w:rPr>
                <w:rFonts w:eastAsiaTheme="minorHAnsi"/>
                <w:b/>
                <w:sz w:val="20"/>
                <w:lang w:val="en-CA"/>
              </w:rPr>
            </w:pPr>
            <w:r w:rsidRPr="00DB0023">
              <w:rPr>
                <w:rFonts w:eastAsiaTheme="minorHAnsi"/>
                <w:b/>
                <w:sz w:val="20"/>
                <w:lang w:val="en-CA"/>
              </w:rPr>
              <w:t>Station Lands Ltd. v. Commonwealth Insurance Company, GCAN Insurance Company and American Home Assurance Company</w:t>
            </w:r>
          </w:p>
          <w:p w:rsidR="00DB0023" w:rsidRPr="00DB0023" w:rsidRDefault="00DB0023" w:rsidP="009C21EE">
            <w:pPr>
              <w:jc w:val="both"/>
              <w:rPr>
                <w:rFonts w:eastAsiaTheme="minorHAnsi"/>
                <w:sz w:val="20"/>
                <w:lang w:val="en-CA"/>
              </w:rPr>
            </w:pPr>
            <w:r w:rsidRPr="00DB0023">
              <w:rPr>
                <w:rFonts w:eastAsiaTheme="minorHAnsi"/>
                <w:sz w:val="20"/>
                <w:lang w:val="en-CA"/>
              </w:rPr>
              <w:t>(Alta.) (Civil) (By Leave)</w:t>
            </w:r>
          </w:p>
        </w:tc>
      </w:tr>
      <w:tr w:rsidR="00DB0023" w:rsidRPr="00DB0023" w:rsidTr="00193609">
        <w:tc>
          <w:tcPr>
            <w:tcW w:w="5000" w:type="pct"/>
            <w:gridSpan w:val="4"/>
          </w:tcPr>
          <w:p w:rsidR="00DB0023" w:rsidRPr="00DB0023" w:rsidRDefault="00DB0023" w:rsidP="00DB0023">
            <w:pPr>
              <w:jc w:val="both"/>
              <w:rPr>
                <w:rFonts w:eastAsiaTheme="minorHAnsi"/>
                <w:sz w:val="20"/>
                <w:lang w:val="en-CA"/>
              </w:rPr>
            </w:pPr>
            <w:r w:rsidRPr="00DB0023">
              <w:rPr>
                <w:rFonts w:eastAsiaTheme="minorHAnsi"/>
                <w:sz w:val="20"/>
                <w:lang w:val="en-CA"/>
              </w:rPr>
              <w:t>Insurance – Property insurance – Liability insurance – Contracts – Commercial contracts – Interpretation – Exclusion clauses – Appeal – Standard of review – Does the Damage Caused by one Contractor to the Work of another Necessarily Constitute “Resulting Damage” – Is it Appropriate to Rely on Third Party Contract Provisions to Resolve Questions of Coverage under a Builders’ Risk Policy – Is Correctness the Appropriate Standard of Review when Interpreting a Builders’ Risk Insurance Contract – What is the proper test to distinguish between the key concepts of “faulty workmanship” and “resulting damage” in comprehensive builders’ risk insurance policies.</w:t>
            </w:r>
          </w:p>
          <w:p w:rsidR="00DB0023" w:rsidRPr="00DB0023" w:rsidRDefault="00DB0023" w:rsidP="00DB0023">
            <w:pPr>
              <w:jc w:val="both"/>
              <w:rPr>
                <w:rFonts w:eastAsiaTheme="minorHAnsi"/>
                <w:sz w:val="20"/>
                <w:lang w:val="en-CA"/>
              </w:rPr>
            </w:pPr>
          </w:p>
        </w:tc>
      </w:tr>
      <w:tr w:rsidR="00DB0023" w:rsidRPr="00DB0023" w:rsidTr="009C21EE">
        <w:trPr>
          <w:trHeight w:val="2160"/>
        </w:trPr>
        <w:tc>
          <w:tcPr>
            <w:tcW w:w="5000" w:type="pct"/>
            <w:gridSpan w:val="4"/>
          </w:tcPr>
          <w:p w:rsidR="00DB0023" w:rsidRPr="00DB0023" w:rsidRDefault="00DB0023" w:rsidP="00DB0023">
            <w:pPr>
              <w:jc w:val="both"/>
              <w:rPr>
                <w:rFonts w:eastAsiaTheme="minorHAnsi"/>
                <w:sz w:val="20"/>
                <w:lang w:val="en-CA"/>
              </w:rPr>
            </w:pPr>
            <w:r w:rsidRPr="00DB0023">
              <w:rPr>
                <w:rFonts w:eastAsiaTheme="minorHAnsi"/>
                <w:sz w:val="20"/>
                <w:lang w:val="en-CA"/>
              </w:rPr>
              <w:lastRenderedPageBreak/>
              <w:t>The two applicants are the construction manager and owners, respectively, of a building constructed in Edmonton Alberta. Near the end of construction, the applicants contracted to have debris cleaned from the exterior of the building, including the windows. While cleaning, the contractor scratched and damaged the windows, requiring their replacement at a considerable cost. When the applicants claimed on their insurance policies, their claims were denied on the basis of on a clause excluding coverage for “the cost of making good faulty workmanship, construction materials or design unless physical damage not otherwise excluded by this policy results, in which event this policy shall insure such resulting damage”.</w:t>
            </w:r>
          </w:p>
          <w:p w:rsidR="00DB0023" w:rsidRPr="00DB0023" w:rsidRDefault="00DB0023" w:rsidP="00DB0023">
            <w:pPr>
              <w:jc w:val="both"/>
              <w:rPr>
                <w:rFonts w:eastAsiaTheme="minorHAnsi"/>
                <w:sz w:val="20"/>
                <w:lang w:val="en-CA"/>
              </w:rPr>
            </w:pPr>
          </w:p>
          <w:p w:rsidR="00DB0023" w:rsidRPr="00DB0023" w:rsidRDefault="00DB0023" w:rsidP="00DB0023">
            <w:pPr>
              <w:jc w:val="both"/>
              <w:rPr>
                <w:rFonts w:eastAsiaTheme="minorHAnsi"/>
                <w:sz w:val="20"/>
                <w:lang w:val="en-CA"/>
              </w:rPr>
            </w:pPr>
            <w:r w:rsidRPr="00DB0023">
              <w:rPr>
                <w:rFonts w:eastAsiaTheme="minorHAnsi"/>
                <w:sz w:val="20"/>
                <w:lang w:val="en-CA"/>
              </w:rPr>
              <w:t xml:space="preserve">The Court of Queen’s Bench of Alberta held that the damage to the windows was not covered by the exclusion clause and was covered by the insurance policy. It did so on the basis that factors determining the reasonable expectations of the parties weighed in favour of the applicants’ interpretation. It also found the clause ambiguous and applied the </w:t>
            </w:r>
            <w:r w:rsidRPr="00DB0023">
              <w:rPr>
                <w:rFonts w:eastAsiaTheme="minorHAnsi"/>
                <w:i/>
                <w:sz w:val="20"/>
                <w:lang w:val="en-CA"/>
              </w:rPr>
              <w:t xml:space="preserve">contra </w:t>
            </w:r>
            <w:proofErr w:type="spellStart"/>
            <w:r w:rsidRPr="00DB0023">
              <w:rPr>
                <w:rFonts w:eastAsiaTheme="minorHAnsi"/>
                <w:i/>
                <w:sz w:val="20"/>
                <w:lang w:val="en-CA"/>
              </w:rPr>
              <w:t>proferentem</w:t>
            </w:r>
            <w:proofErr w:type="spellEnd"/>
            <w:r w:rsidRPr="00DB0023">
              <w:rPr>
                <w:rFonts w:eastAsiaTheme="minorHAnsi"/>
                <w:sz w:val="20"/>
                <w:lang w:val="en-CA"/>
              </w:rPr>
              <w:t xml:space="preserve"> rule. The Court of Appeal of Alberta allowed the insurers’ appeal and granted a declaration that the damage to the windows was not covered by the insurance policies.</w:t>
            </w:r>
          </w:p>
        </w:tc>
      </w:tr>
      <w:tr w:rsidR="00DB0023" w:rsidRPr="00DB0023" w:rsidTr="00193609">
        <w:tc>
          <w:tcPr>
            <w:tcW w:w="2427" w:type="pct"/>
            <w:gridSpan w:val="2"/>
          </w:tcPr>
          <w:p w:rsidR="00DB0023" w:rsidRPr="00DB0023" w:rsidRDefault="00DB0023" w:rsidP="00DB0023">
            <w:pPr>
              <w:jc w:val="both"/>
              <w:rPr>
                <w:rFonts w:eastAsiaTheme="minorHAnsi"/>
                <w:sz w:val="20"/>
                <w:lang w:val="en-CA"/>
              </w:rPr>
            </w:pPr>
            <w:r w:rsidRPr="00DB0023">
              <w:rPr>
                <w:rFonts w:eastAsiaTheme="minorHAnsi"/>
                <w:sz w:val="20"/>
                <w:lang w:val="en-CA"/>
              </w:rPr>
              <w:t>October 7, 2013</w:t>
            </w:r>
          </w:p>
          <w:p w:rsidR="00DB0023" w:rsidRPr="00DB0023" w:rsidRDefault="00DB0023" w:rsidP="00DB0023">
            <w:pPr>
              <w:jc w:val="both"/>
              <w:rPr>
                <w:rFonts w:eastAsiaTheme="minorHAnsi"/>
                <w:sz w:val="20"/>
                <w:lang w:val="en-CA"/>
              </w:rPr>
            </w:pPr>
            <w:r w:rsidRPr="00DB0023">
              <w:rPr>
                <w:rFonts w:eastAsiaTheme="minorHAnsi"/>
                <w:sz w:val="20"/>
                <w:lang w:val="en-CA"/>
              </w:rPr>
              <w:t>Court of Queen’s Bench of Alberta</w:t>
            </w:r>
          </w:p>
          <w:p w:rsidR="00DB0023" w:rsidRPr="00DB0023" w:rsidRDefault="00DB0023" w:rsidP="00DB0023">
            <w:pPr>
              <w:jc w:val="both"/>
              <w:rPr>
                <w:rFonts w:eastAsiaTheme="minorHAnsi"/>
                <w:sz w:val="20"/>
                <w:lang w:val="en-CA"/>
              </w:rPr>
            </w:pPr>
            <w:r w:rsidRPr="00DB0023">
              <w:rPr>
                <w:rFonts w:eastAsiaTheme="minorHAnsi"/>
                <w:sz w:val="20"/>
                <w:lang w:val="en-CA"/>
              </w:rPr>
              <w:t>(Clackson J.)</w:t>
            </w:r>
          </w:p>
          <w:p w:rsidR="00DB0023" w:rsidRPr="005529E3" w:rsidRDefault="00480458" w:rsidP="00DB0023">
            <w:pPr>
              <w:jc w:val="both"/>
              <w:rPr>
                <w:rFonts w:eastAsiaTheme="minorHAnsi"/>
                <w:color w:val="0000FF" w:themeColor="hyperlink"/>
                <w:sz w:val="20"/>
                <w:u w:val="single"/>
                <w:lang w:val="en-CA"/>
              </w:rPr>
            </w:pPr>
            <w:hyperlink r:id="rId52" w:history="1">
              <w:r w:rsidR="00DB0023" w:rsidRPr="005529E3">
                <w:rPr>
                  <w:rFonts w:eastAsiaTheme="minorHAnsi"/>
                  <w:color w:val="0000FF" w:themeColor="hyperlink"/>
                  <w:sz w:val="20"/>
                  <w:u w:val="single"/>
                  <w:lang w:val="en-CA"/>
                </w:rPr>
                <w:t>2013 ABQB 585</w:t>
              </w:r>
            </w:hyperlink>
          </w:p>
          <w:p w:rsidR="00DB0023" w:rsidRPr="00DB0023" w:rsidRDefault="00DB0023" w:rsidP="00DB0023">
            <w:pPr>
              <w:jc w:val="both"/>
              <w:rPr>
                <w:rFonts w:eastAsiaTheme="minorHAnsi"/>
                <w:sz w:val="20"/>
                <w:lang w:val="en-CA"/>
              </w:rPr>
            </w:pPr>
          </w:p>
        </w:tc>
        <w:tc>
          <w:tcPr>
            <w:tcW w:w="243" w:type="pct"/>
          </w:tcPr>
          <w:p w:rsidR="00DB0023" w:rsidRPr="00DB0023" w:rsidRDefault="00DB0023" w:rsidP="00DB0023">
            <w:pPr>
              <w:jc w:val="both"/>
              <w:rPr>
                <w:rFonts w:eastAsiaTheme="minorHAnsi"/>
                <w:sz w:val="20"/>
                <w:lang w:val="en-CA"/>
              </w:rPr>
            </w:pPr>
          </w:p>
        </w:tc>
        <w:tc>
          <w:tcPr>
            <w:tcW w:w="2330" w:type="pct"/>
          </w:tcPr>
          <w:p w:rsidR="00DB0023" w:rsidRPr="00DB0023" w:rsidRDefault="00DB0023" w:rsidP="00DB0023">
            <w:pPr>
              <w:jc w:val="both"/>
              <w:rPr>
                <w:rFonts w:eastAsiaTheme="minorHAnsi"/>
                <w:sz w:val="20"/>
                <w:lang w:val="en-CA"/>
              </w:rPr>
            </w:pPr>
            <w:r w:rsidRPr="00DB0023">
              <w:rPr>
                <w:rFonts w:eastAsiaTheme="minorHAnsi"/>
                <w:sz w:val="20"/>
                <w:lang w:val="en-CA"/>
              </w:rPr>
              <w:t>Damage to building windows caused by exterior cleaning contractor declared not to be excluded from coverage under builders’ risk insurance policy.</w:t>
            </w:r>
          </w:p>
        </w:tc>
      </w:tr>
      <w:tr w:rsidR="00DB0023" w:rsidRPr="00DB0023" w:rsidTr="00193609">
        <w:tc>
          <w:tcPr>
            <w:tcW w:w="2427" w:type="pct"/>
            <w:gridSpan w:val="2"/>
          </w:tcPr>
          <w:p w:rsidR="00DB0023" w:rsidRPr="00DB0023" w:rsidRDefault="00DB0023" w:rsidP="00DB0023">
            <w:pPr>
              <w:jc w:val="both"/>
              <w:rPr>
                <w:rFonts w:eastAsiaTheme="minorHAnsi"/>
                <w:sz w:val="20"/>
                <w:lang w:val="en-CA"/>
              </w:rPr>
            </w:pPr>
            <w:r w:rsidRPr="00DB0023">
              <w:rPr>
                <w:rFonts w:eastAsiaTheme="minorHAnsi"/>
                <w:sz w:val="20"/>
                <w:lang w:val="en-CA"/>
              </w:rPr>
              <w:t>March 27, 2015</w:t>
            </w:r>
          </w:p>
          <w:p w:rsidR="00DB0023" w:rsidRPr="00DB0023" w:rsidRDefault="00DB0023" w:rsidP="00DB0023">
            <w:pPr>
              <w:jc w:val="both"/>
              <w:rPr>
                <w:rFonts w:eastAsiaTheme="minorHAnsi"/>
                <w:sz w:val="20"/>
                <w:lang w:val="en-CA"/>
              </w:rPr>
            </w:pPr>
            <w:r w:rsidRPr="00DB0023">
              <w:rPr>
                <w:rFonts w:eastAsiaTheme="minorHAnsi"/>
                <w:sz w:val="20"/>
                <w:lang w:val="en-CA"/>
              </w:rPr>
              <w:t>Court of Appeal of Alberta (Edmonton)</w:t>
            </w:r>
          </w:p>
          <w:p w:rsidR="00DB0023" w:rsidRPr="00DB0023" w:rsidRDefault="00DB0023" w:rsidP="00DB0023">
            <w:pPr>
              <w:jc w:val="both"/>
              <w:rPr>
                <w:rFonts w:eastAsiaTheme="minorHAnsi"/>
                <w:sz w:val="20"/>
                <w:lang w:val="en-CA"/>
              </w:rPr>
            </w:pPr>
            <w:r w:rsidRPr="00DB0023">
              <w:rPr>
                <w:rFonts w:eastAsiaTheme="minorHAnsi"/>
                <w:sz w:val="20"/>
                <w:lang w:val="en-CA"/>
              </w:rPr>
              <w:t>(</w:t>
            </w:r>
            <w:proofErr w:type="spellStart"/>
            <w:r w:rsidRPr="00DB0023">
              <w:rPr>
                <w:rFonts w:eastAsiaTheme="minorHAnsi"/>
                <w:sz w:val="20"/>
                <w:lang w:val="en-CA"/>
              </w:rPr>
              <w:t>Côté</w:t>
            </w:r>
            <w:proofErr w:type="spellEnd"/>
            <w:r w:rsidRPr="00DB0023">
              <w:rPr>
                <w:rFonts w:eastAsiaTheme="minorHAnsi"/>
                <w:sz w:val="20"/>
                <w:lang w:val="en-CA"/>
              </w:rPr>
              <w:t xml:space="preserve">, Watson and </w:t>
            </w:r>
            <w:proofErr w:type="spellStart"/>
            <w:r w:rsidRPr="00DB0023">
              <w:rPr>
                <w:rFonts w:eastAsiaTheme="minorHAnsi"/>
                <w:sz w:val="20"/>
                <w:lang w:val="en-CA"/>
              </w:rPr>
              <w:t>Slatter</w:t>
            </w:r>
            <w:proofErr w:type="spellEnd"/>
            <w:r w:rsidRPr="00DB0023">
              <w:rPr>
                <w:rFonts w:eastAsiaTheme="minorHAnsi"/>
                <w:sz w:val="20"/>
                <w:lang w:val="en-CA"/>
              </w:rPr>
              <w:t xml:space="preserve"> JJ.A.)</w:t>
            </w:r>
          </w:p>
          <w:p w:rsidR="00DB0023" w:rsidRPr="00DB0023" w:rsidRDefault="00480458" w:rsidP="00DB0023">
            <w:pPr>
              <w:jc w:val="both"/>
              <w:rPr>
                <w:rFonts w:eastAsiaTheme="minorHAnsi"/>
                <w:sz w:val="20"/>
                <w:lang w:val="en-CA"/>
              </w:rPr>
            </w:pPr>
            <w:hyperlink r:id="rId53" w:history="1">
              <w:r w:rsidR="00DB0023" w:rsidRPr="005529E3">
                <w:rPr>
                  <w:rFonts w:eastAsiaTheme="minorHAnsi"/>
                  <w:color w:val="0000FF" w:themeColor="hyperlink"/>
                  <w:sz w:val="20"/>
                  <w:u w:val="single"/>
                  <w:lang w:val="en-CA"/>
                </w:rPr>
                <w:t>2015 ABCA 121</w:t>
              </w:r>
            </w:hyperlink>
            <w:r w:rsidR="00DB0023" w:rsidRPr="00DB0023">
              <w:rPr>
                <w:rFonts w:eastAsiaTheme="minorHAnsi"/>
                <w:sz w:val="20"/>
                <w:lang w:val="en-CA"/>
              </w:rPr>
              <w:t>; 1303-0272-AC</w:t>
            </w:r>
          </w:p>
          <w:p w:rsidR="00DB0023" w:rsidRPr="00DB0023" w:rsidRDefault="00DB0023" w:rsidP="00DB0023">
            <w:pPr>
              <w:jc w:val="both"/>
              <w:rPr>
                <w:rFonts w:eastAsiaTheme="minorHAnsi"/>
                <w:sz w:val="20"/>
                <w:lang w:val="en-CA"/>
              </w:rPr>
            </w:pPr>
          </w:p>
        </w:tc>
        <w:tc>
          <w:tcPr>
            <w:tcW w:w="243" w:type="pct"/>
          </w:tcPr>
          <w:p w:rsidR="00DB0023" w:rsidRPr="00DB0023" w:rsidRDefault="00DB0023" w:rsidP="00DB0023">
            <w:pPr>
              <w:jc w:val="both"/>
              <w:rPr>
                <w:rFonts w:eastAsiaTheme="minorHAnsi"/>
                <w:sz w:val="20"/>
                <w:lang w:val="en-CA"/>
              </w:rPr>
            </w:pPr>
          </w:p>
        </w:tc>
        <w:tc>
          <w:tcPr>
            <w:tcW w:w="2330" w:type="pct"/>
          </w:tcPr>
          <w:p w:rsidR="00DB0023" w:rsidRPr="00DB0023" w:rsidRDefault="00DB0023" w:rsidP="00DB0023">
            <w:pPr>
              <w:jc w:val="both"/>
              <w:rPr>
                <w:rFonts w:eastAsiaTheme="minorHAnsi"/>
                <w:sz w:val="20"/>
                <w:lang w:val="en-CA"/>
              </w:rPr>
            </w:pPr>
            <w:r w:rsidRPr="00DB0023">
              <w:rPr>
                <w:rFonts w:eastAsiaTheme="minorHAnsi"/>
                <w:sz w:val="20"/>
                <w:lang w:val="en-CA"/>
              </w:rPr>
              <w:t>Appeal allowed; damage to windows declared not to be covered by insurance policies.</w:t>
            </w:r>
          </w:p>
          <w:p w:rsidR="00DB0023" w:rsidRPr="00DB0023" w:rsidRDefault="00DB0023" w:rsidP="00DB0023">
            <w:pPr>
              <w:jc w:val="both"/>
              <w:rPr>
                <w:rFonts w:eastAsiaTheme="minorHAnsi"/>
                <w:sz w:val="20"/>
                <w:lang w:val="en-CA"/>
              </w:rPr>
            </w:pPr>
          </w:p>
        </w:tc>
      </w:tr>
      <w:tr w:rsidR="00DB0023" w:rsidRPr="00DB0023" w:rsidTr="00193609">
        <w:tc>
          <w:tcPr>
            <w:tcW w:w="2427" w:type="pct"/>
            <w:gridSpan w:val="2"/>
          </w:tcPr>
          <w:p w:rsidR="00DB0023" w:rsidRPr="00DB0023" w:rsidRDefault="00DB0023" w:rsidP="00DB0023">
            <w:pPr>
              <w:jc w:val="both"/>
              <w:rPr>
                <w:rFonts w:eastAsiaTheme="minorHAnsi"/>
                <w:sz w:val="20"/>
                <w:lang w:val="en-CA"/>
              </w:rPr>
            </w:pPr>
            <w:r w:rsidRPr="00DB0023">
              <w:rPr>
                <w:rFonts w:eastAsiaTheme="minorHAnsi"/>
                <w:sz w:val="20"/>
                <w:lang w:val="en-CA"/>
              </w:rPr>
              <w:t>May 26, 2015</w:t>
            </w:r>
          </w:p>
          <w:p w:rsidR="00DB0023" w:rsidRPr="00DB0023" w:rsidRDefault="00DB0023" w:rsidP="00DB0023">
            <w:pPr>
              <w:jc w:val="both"/>
              <w:rPr>
                <w:rFonts w:eastAsiaTheme="minorHAnsi"/>
                <w:sz w:val="20"/>
                <w:lang w:val="en-CA"/>
              </w:rPr>
            </w:pPr>
            <w:r w:rsidRPr="00DB0023">
              <w:rPr>
                <w:rFonts w:eastAsiaTheme="minorHAnsi"/>
                <w:sz w:val="20"/>
                <w:lang w:val="en-CA"/>
              </w:rPr>
              <w:t>Supreme Court of Canada</w:t>
            </w:r>
          </w:p>
          <w:p w:rsidR="00DB0023" w:rsidRPr="00DB0023" w:rsidRDefault="00DB0023" w:rsidP="00DB0023">
            <w:pPr>
              <w:jc w:val="both"/>
              <w:rPr>
                <w:rFonts w:eastAsiaTheme="minorHAnsi"/>
                <w:sz w:val="20"/>
                <w:lang w:val="en-CA"/>
              </w:rPr>
            </w:pPr>
          </w:p>
        </w:tc>
        <w:tc>
          <w:tcPr>
            <w:tcW w:w="243" w:type="pct"/>
          </w:tcPr>
          <w:p w:rsidR="00DB0023" w:rsidRPr="00DB0023" w:rsidRDefault="00DB0023" w:rsidP="00DB0023">
            <w:pPr>
              <w:jc w:val="both"/>
              <w:rPr>
                <w:rFonts w:eastAsiaTheme="minorHAnsi"/>
                <w:sz w:val="20"/>
                <w:lang w:val="en-CA"/>
              </w:rPr>
            </w:pPr>
          </w:p>
        </w:tc>
        <w:tc>
          <w:tcPr>
            <w:tcW w:w="2330" w:type="pct"/>
          </w:tcPr>
          <w:p w:rsidR="00DB0023" w:rsidRPr="00DB0023" w:rsidRDefault="00DB0023" w:rsidP="00DB0023">
            <w:pPr>
              <w:jc w:val="both"/>
              <w:rPr>
                <w:rFonts w:eastAsiaTheme="minorHAnsi"/>
                <w:sz w:val="20"/>
                <w:lang w:val="en-CA"/>
              </w:rPr>
            </w:pPr>
            <w:r w:rsidRPr="00DB0023">
              <w:rPr>
                <w:rFonts w:eastAsiaTheme="minorHAnsi"/>
                <w:sz w:val="20"/>
                <w:lang w:val="en-CA"/>
              </w:rPr>
              <w:t xml:space="preserve">Application for leave to appeal filed </w:t>
            </w:r>
            <w:proofErr w:type="spellStart"/>
            <w:r w:rsidRPr="00DB0023">
              <w:rPr>
                <w:rFonts w:eastAsiaTheme="minorHAnsi"/>
                <w:sz w:val="20"/>
                <w:lang w:val="en-CA"/>
              </w:rPr>
              <w:t>Ledcor</w:t>
            </w:r>
            <w:proofErr w:type="spellEnd"/>
            <w:r w:rsidRPr="00DB0023">
              <w:rPr>
                <w:rFonts w:eastAsiaTheme="minorHAnsi"/>
                <w:sz w:val="20"/>
                <w:lang w:val="en-CA"/>
              </w:rPr>
              <w:t xml:space="preserve"> Construction Limited.</w:t>
            </w:r>
          </w:p>
        </w:tc>
      </w:tr>
      <w:tr w:rsidR="00DB0023" w:rsidRPr="00DB0023" w:rsidTr="00193609">
        <w:tc>
          <w:tcPr>
            <w:tcW w:w="2427" w:type="pct"/>
            <w:gridSpan w:val="2"/>
          </w:tcPr>
          <w:p w:rsidR="00DB0023" w:rsidRPr="00DB0023" w:rsidRDefault="00DB0023" w:rsidP="00DB0023">
            <w:pPr>
              <w:jc w:val="both"/>
              <w:rPr>
                <w:rFonts w:eastAsiaTheme="minorHAnsi"/>
                <w:sz w:val="20"/>
                <w:lang w:val="en-CA"/>
              </w:rPr>
            </w:pPr>
            <w:r w:rsidRPr="00DB0023">
              <w:rPr>
                <w:rFonts w:eastAsiaTheme="minorHAnsi"/>
                <w:sz w:val="20"/>
                <w:lang w:val="en-CA"/>
              </w:rPr>
              <w:t>May 26, 2015</w:t>
            </w:r>
          </w:p>
          <w:p w:rsidR="00DB0023" w:rsidRPr="00DB0023" w:rsidRDefault="00DB0023" w:rsidP="00DB0023">
            <w:pPr>
              <w:jc w:val="both"/>
              <w:rPr>
                <w:rFonts w:eastAsiaTheme="minorHAnsi"/>
                <w:sz w:val="20"/>
                <w:lang w:val="en-CA"/>
              </w:rPr>
            </w:pPr>
            <w:r w:rsidRPr="00DB0023">
              <w:rPr>
                <w:rFonts w:eastAsiaTheme="minorHAnsi"/>
                <w:sz w:val="20"/>
                <w:lang w:val="en-CA"/>
              </w:rPr>
              <w:t>Supreme Court of Canada</w:t>
            </w:r>
          </w:p>
        </w:tc>
        <w:tc>
          <w:tcPr>
            <w:tcW w:w="243" w:type="pct"/>
          </w:tcPr>
          <w:p w:rsidR="00DB0023" w:rsidRPr="00DB0023" w:rsidRDefault="00DB0023" w:rsidP="00DB0023">
            <w:pPr>
              <w:jc w:val="both"/>
              <w:rPr>
                <w:rFonts w:eastAsiaTheme="minorHAnsi"/>
                <w:sz w:val="20"/>
                <w:lang w:val="en-CA"/>
              </w:rPr>
            </w:pPr>
          </w:p>
        </w:tc>
        <w:tc>
          <w:tcPr>
            <w:tcW w:w="2330" w:type="pct"/>
          </w:tcPr>
          <w:p w:rsidR="00DB0023" w:rsidRPr="00DB0023" w:rsidRDefault="00DB0023" w:rsidP="00DB0023">
            <w:pPr>
              <w:jc w:val="both"/>
              <w:rPr>
                <w:rFonts w:eastAsiaTheme="minorHAnsi"/>
                <w:sz w:val="20"/>
                <w:lang w:val="en-CA"/>
              </w:rPr>
            </w:pPr>
            <w:r w:rsidRPr="00DB0023">
              <w:rPr>
                <w:rFonts w:eastAsiaTheme="minorHAnsi"/>
                <w:sz w:val="20"/>
                <w:lang w:val="en-CA"/>
              </w:rPr>
              <w:t>Application for leave to appeal filed by Station Lands Ltd.</w:t>
            </w:r>
          </w:p>
        </w:tc>
      </w:tr>
    </w:tbl>
    <w:p w:rsidR="00DB0023" w:rsidRDefault="00DB0023" w:rsidP="00DB0023">
      <w:pPr>
        <w:jc w:val="both"/>
        <w:rPr>
          <w:rFonts w:eastAsiaTheme="minorHAnsi"/>
          <w:sz w:val="20"/>
          <w:lang w:val="en-CA"/>
        </w:rPr>
      </w:pPr>
    </w:p>
    <w:p w:rsidR="009C21EE" w:rsidRPr="00DB0023" w:rsidRDefault="009C21EE" w:rsidP="00DB0023">
      <w:pPr>
        <w:jc w:val="both"/>
        <w:rPr>
          <w:rFonts w:eastAsiaTheme="minorHAns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B0023" w:rsidRPr="00DB0023" w:rsidTr="00DB0023">
        <w:tc>
          <w:tcPr>
            <w:tcW w:w="543" w:type="pct"/>
            <w:hideMark/>
          </w:tcPr>
          <w:p w:rsidR="00DB0023" w:rsidRPr="00DB0023" w:rsidRDefault="00DB0023" w:rsidP="00DB0023">
            <w:pPr>
              <w:spacing w:line="276" w:lineRule="auto"/>
              <w:jc w:val="both"/>
              <w:rPr>
                <w:rFonts w:eastAsia="Calibri"/>
                <w:sz w:val="20"/>
                <w:lang w:val="fr-CA"/>
              </w:rPr>
            </w:pPr>
            <w:r w:rsidRPr="005529E3">
              <w:rPr>
                <w:rFonts w:eastAsia="Calibri"/>
                <w:b/>
                <w:sz w:val="20"/>
                <w:lang w:val="fr-CA"/>
              </w:rPr>
              <w:t>36452</w:t>
            </w:r>
          </w:p>
        </w:tc>
        <w:tc>
          <w:tcPr>
            <w:tcW w:w="4457" w:type="pct"/>
            <w:gridSpan w:val="3"/>
          </w:tcPr>
          <w:p w:rsidR="00DB0023" w:rsidRPr="00DB0023" w:rsidRDefault="00DB0023" w:rsidP="00DB0023">
            <w:pPr>
              <w:spacing w:line="276" w:lineRule="auto"/>
              <w:jc w:val="both"/>
              <w:rPr>
                <w:rFonts w:eastAsia="Calibri"/>
                <w:b/>
                <w:sz w:val="20"/>
                <w:lang w:val="fr-CA"/>
              </w:rPr>
            </w:pPr>
            <w:proofErr w:type="spellStart"/>
            <w:r w:rsidRPr="00DB0023">
              <w:rPr>
                <w:rFonts w:eastAsia="Calibri"/>
                <w:b/>
                <w:sz w:val="20"/>
                <w:lang w:val="fr-CA"/>
              </w:rPr>
              <w:t>Ledcor</w:t>
            </w:r>
            <w:proofErr w:type="spellEnd"/>
            <w:r w:rsidRPr="00DB0023">
              <w:rPr>
                <w:rFonts w:eastAsia="Calibri"/>
                <w:b/>
                <w:sz w:val="20"/>
                <w:lang w:val="fr-CA"/>
              </w:rPr>
              <w:t xml:space="preserve"> Construction Limited c. </w:t>
            </w:r>
            <w:proofErr w:type="spellStart"/>
            <w:r w:rsidRPr="00DB0023">
              <w:rPr>
                <w:rFonts w:eastAsia="Calibri"/>
                <w:b/>
                <w:sz w:val="20"/>
                <w:lang w:val="fr-CA"/>
              </w:rPr>
              <w:t>Northbridge</w:t>
            </w:r>
            <w:proofErr w:type="spellEnd"/>
            <w:r w:rsidRPr="00DB0023">
              <w:rPr>
                <w:rFonts w:eastAsia="Calibri"/>
                <w:b/>
                <w:sz w:val="20"/>
                <w:lang w:val="fr-CA"/>
              </w:rPr>
              <w:t xml:space="preserve"> </w:t>
            </w:r>
            <w:proofErr w:type="spellStart"/>
            <w:r w:rsidRPr="00DB0023">
              <w:rPr>
                <w:rFonts w:eastAsia="Calibri"/>
                <w:b/>
                <w:sz w:val="20"/>
                <w:lang w:val="fr-CA"/>
              </w:rPr>
              <w:t>Indemnity</w:t>
            </w:r>
            <w:proofErr w:type="spellEnd"/>
            <w:r w:rsidRPr="00DB0023">
              <w:rPr>
                <w:rFonts w:eastAsia="Calibri"/>
                <w:b/>
                <w:sz w:val="20"/>
                <w:lang w:val="fr-CA"/>
              </w:rPr>
              <w:t xml:space="preserve"> </w:t>
            </w:r>
            <w:proofErr w:type="spellStart"/>
            <w:r w:rsidRPr="00DB0023">
              <w:rPr>
                <w:rFonts w:eastAsia="Calibri"/>
                <w:b/>
                <w:sz w:val="20"/>
                <w:lang w:val="fr-CA"/>
              </w:rPr>
              <w:t>Insurance</w:t>
            </w:r>
            <w:proofErr w:type="spellEnd"/>
            <w:r w:rsidRPr="00DB0023">
              <w:rPr>
                <w:rFonts w:eastAsia="Calibri"/>
                <w:b/>
                <w:sz w:val="20"/>
                <w:lang w:val="fr-CA"/>
              </w:rPr>
              <w:t xml:space="preserve"> </w:t>
            </w:r>
            <w:proofErr w:type="spellStart"/>
            <w:r w:rsidRPr="00DB0023">
              <w:rPr>
                <w:rFonts w:eastAsia="Calibri"/>
                <w:b/>
                <w:sz w:val="20"/>
                <w:lang w:val="fr-CA"/>
              </w:rPr>
              <w:t>Company</w:t>
            </w:r>
            <w:proofErr w:type="spellEnd"/>
            <w:r w:rsidRPr="00DB0023">
              <w:rPr>
                <w:rFonts w:eastAsia="Calibri"/>
                <w:b/>
                <w:sz w:val="20"/>
                <w:lang w:val="fr-CA"/>
              </w:rPr>
              <w:t xml:space="preserve">, Royal &amp; Sun Alliance du Canada société d’assurances et </w:t>
            </w:r>
            <w:proofErr w:type="spellStart"/>
            <w:r w:rsidRPr="00DB0023">
              <w:rPr>
                <w:rFonts w:eastAsia="Calibri"/>
                <w:b/>
                <w:sz w:val="20"/>
                <w:lang w:val="fr-CA"/>
              </w:rPr>
              <w:t>Chartis</w:t>
            </w:r>
            <w:proofErr w:type="spellEnd"/>
            <w:r w:rsidRPr="00DB0023">
              <w:rPr>
                <w:rFonts w:eastAsia="Calibri"/>
                <w:b/>
                <w:sz w:val="20"/>
                <w:lang w:val="fr-CA"/>
              </w:rPr>
              <w:t xml:space="preserve"> </w:t>
            </w:r>
            <w:proofErr w:type="spellStart"/>
            <w:r w:rsidRPr="00DB0023">
              <w:rPr>
                <w:rFonts w:eastAsia="Calibri"/>
                <w:b/>
                <w:sz w:val="20"/>
                <w:lang w:val="fr-CA"/>
              </w:rPr>
              <w:t>Insurance</w:t>
            </w:r>
            <w:proofErr w:type="spellEnd"/>
            <w:r w:rsidRPr="00DB0023">
              <w:rPr>
                <w:rFonts w:eastAsia="Calibri"/>
                <w:b/>
                <w:sz w:val="20"/>
                <w:lang w:val="fr-CA"/>
              </w:rPr>
              <w:t xml:space="preserve"> </w:t>
            </w:r>
            <w:proofErr w:type="spellStart"/>
            <w:r w:rsidRPr="00DB0023">
              <w:rPr>
                <w:rFonts w:eastAsia="Calibri"/>
                <w:b/>
                <w:sz w:val="20"/>
                <w:lang w:val="fr-CA"/>
              </w:rPr>
              <w:t>Company</w:t>
            </w:r>
            <w:proofErr w:type="spellEnd"/>
            <w:r w:rsidRPr="00DB0023">
              <w:rPr>
                <w:rFonts w:eastAsia="Calibri"/>
                <w:b/>
                <w:sz w:val="20"/>
                <w:lang w:val="fr-CA"/>
              </w:rPr>
              <w:t xml:space="preserve"> of Canada</w:t>
            </w:r>
          </w:p>
          <w:p w:rsidR="00DB0023" w:rsidRPr="00DB0023" w:rsidRDefault="00DB0023" w:rsidP="00DB0023">
            <w:pPr>
              <w:spacing w:line="276" w:lineRule="auto"/>
              <w:jc w:val="both"/>
              <w:rPr>
                <w:rFonts w:eastAsia="Calibri"/>
                <w:b/>
                <w:sz w:val="20"/>
              </w:rPr>
            </w:pPr>
            <w:r w:rsidRPr="00DB0023">
              <w:rPr>
                <w:rFonts w:eastAsia="Calibri"/>
                <w:b/>
                <w:sz w:val="20"/>
              </w:rPr>
              <w:t>- et entre -</w:t>
            </w:r>
          </w:p>
          <w:p w:rsidR="00DB0023" w:rsidRPr="00DB0023" w:rsidRDefault="00DB0023" w:rsidP="00DB0023">
            <w:pPr>
              <w:spacing w:line="276" w:lineRule="auto"/>
              <w:jc w:val="both"/>
              <w:rPr>
                <w:rFonts w:eastAsia="Calibri"/>
                <w:b/>
                <w:sz w:val="20"/>
              </w:rPr>
            </w:pPr>
            <w:r w:rsidRPr="00DB0023">
              <w:rPr>
                <w:rFonts w:eastAsia="Calibri"/>
                <w:b/>
                <w:sz w:val="20"/>
              </w:rPr>
              <w:t>Station Lands Ltd. c. Commonwealth Insurance Company, GCAN Insurance Company et American Home Assurance Company</w:t>
            </w:r>
          </w:p>
          <w:p w:rsidR="00DB0023" w:rsidRPr="00DB0023" w:rsidRDefault="00DB0023" w:rsidP="009C21EE">
            <w:pPr>
              <w:spacing w:line="276" w:lineRule="auto"/>
              <w:jc w:val="both"/>
              <w:rPr>
                <w:rFonts w:eastAsia="Calibri"/>
                <w:sz w:val="20"/>
                <w:lang w:val="fr-CA"/>
              </w:rPr>
            </w:pPr>
            <w:r w:rsidRPr="00DB0023">
              <w:rPr>
                <w:rFonts w:eastAsia="Calibri"/>
                <w:sz w:val="20"/>
                <w:lang w:val="fr-CA"/>
              </w:rPr>
              <w:t>(</w:t>
            </w:r>
            <w:proofErr w:type="spellStart"/>
            <w:r w:rsidRPr="00DB0023">
              <w:rPr>
                <w:rFonts w:eastAsia="Calibri"/>
                <w:sz w:val="20"/>
                <w:lang w:val="fr-CA"/>
              </w:rPr>
              <w:t>Alb</w:t>
            </w:r>
            <w:proofErr w:type="spellEnd"/>
            <w:r w:rsidRPr="00DB0023">
              <w:rPr>
                <w:rFonts w:eastAsia="Calibri"/>
                <w:sz w:val="20"/>
                <w:lang w:val="fr-CA"/>
              </w:rPr>
              <w:t>.) (Civile) (Sur autorisation)</w:t>
            </w:r>
          </w:p>
        </w:tc>
      </w:tr>
      <w:tr w:rsidR="00DB0023" w:rsidRPr="00DB0023" w:rsidTr="00DB0023">
        <w:tc>
          <w:tcPr>
            <w:tcW w:w="5000" w:type="pct"/>
            <w:gridSpan w:val="4"/>
          </w:tcPr>
          <w:p w:rsidR="00DB0023" w:rsidRPr="00DB0023" w:rsidRDefault="00DB0023" w:rsidP="00DB0023">
            <w:pPr>
              <w:spacing w:line="276" w:lineRule="auto"/>
              <w:jc w:val="both"/>
              <w:rPr>
                <w:rFonts w:eastAsia="Calibri"/>
                <w:sz w:val="20"/>
                <w:lang w:val="fr-CA"/>
              </w:rPr>
            </w:pPr>
            <w:r w:rsidRPr="00DB0023">
              <w:rPr>
                <w:rFonts w:eastAsia="Calibri"/>
                <w:sz w:val="20"/>
                <w:lang w:val="fr-CA"/>
              </w:rPr>
              <w:t>Assurance – Assurance de biens – Assurance de responsabilité – Contrats – Contrats commerciaux – Interprétation – Clauses d’exclusion – Appel – Norme de contrôle – Le dommage causé par un entrepreneur à l’ouvrage d’un autre constitue-t-il nécessairement un [</w:t>
            </w:r>
            <w:r w:rsidRPr="00DB0023">
              <w:rPr>
                <w:rFonts w:eastAsia="Calibri"/>
                <w:smallCaps/>
                <w:sz w:val="20"/>
                <w:lang w:val="fr-CA"/>
              </w:rPr>
              <w:t>traduction</w:t>
            </w:r>
            <w:r w:rsidRPr="00DB0023">
              <w:rPr>
                <w:rFonts w:eastAsia="Calibri"/>
                <w:sz w:val="20"/>
                <w:lang w:val="fr-CA"/>
              </w:rPr>
              <w:t>] « dommage en découlant » (</w:t>
            </w:r>
            <w:proofErr w:type="spellStart"/>
            <w:r w:rsidRPr="00DB0023">
              <w:rPr>
                <w:rFonts w:eastAsia="Calibri"/>
                <w:i/>
                <w:sz w:val="20"/>
                <w:lang w:val="fr-CA"/>
              </w:rPr>
              <w:t>resulting</w:t>
            </w:r>
            <w:proofErr w:type="spellEnd"/>
            <w:r w:rsidRPr="00DB0023">
              <w:rPr>
                <w:rFonts w:eastAsia="Calibri"/>
                <w:i/>
                <w:sz w:val="20"/>
                <w:lang w:val="fr-CA"/>
              </w:rPr>
              <w:t xml:space="preserve"> damage</w:t>
            </w:r>
            <w:r w:rsidRPr="00DB0023">
              <w:rPr>
                <w:rFonts w:eastAsia="Calibri"/>
                <w:sz w:val="20"/>
                <w:lang w:val="fr-CA"/>
              </w:rPr>
              <w:t>)? – Convient-il de s’appuyer sur les dispositions du contrat d’un tiers pour régler des questions de couverture en application d’une assurance risques des constructeurs? – La norme de la décision correcte est-elle la norme de contrôle appropriée dans l’interprétation d’un contrat d’assurance risques des constructeurs? – Quel est le bon critère pour faire la distinction entre les notions clés de [</w:t>
            </w:r>
            <w:r w:rsidRPr="00DB0023">
              <w:rPr>
                <w:rFonts w:eastAsia="Calibri"/>
                <w:smallCaps/>
                <w:sz w:val="20"/>
                <w:lang w:val="fr-CA"/>
              </w:rPr>
              <w:t>traduction</w:t>
            </w:r>
            <w:r w:rsidRPr="00DB0023">
              <w:rPr>
                <w:rFonts w:eastAsia="Calibri"/>
                <w:sz w:val="20"/>
                <w:lang w:val="fr-CA"/>
              </w:rPr>
              <w:t>] « malfaçon » (</w:t>
            </w:r>
            <w:proofErr w:type="spellStart"/>
            <w:r w:rsidRPr="00DB0023">
              <w:rPr>
                <w:rFonts w:eastAsia="Calibri"/>
                <w:i/>
                <w:sz w:val="20"/>
                <w:lang w:val="fr-CA"/>
              </w:rPr>
              <w:t>faulty</w:t>
            </w:r>
            <w:proofErr w:type="spellEnd"/>
            <w:r w:rsidRPr="00DB0023">
              <w:rPr>
                <w:rFonts w:eastAsia="Calibri"/>
                <w:i/>
                <w:sz w:val="20"/>
                <w:lang w:val="fr-CA"/>
              </w:rPr>
              <w:t xml:space="preserve"> </w:t>
            </w:r>
            <w:proofErr w:type="spellStart"/>
            <w:r w:rsidRPr="00DB0023">
              <w:rPr>
                <w:rFonts w:eastAsia="Calibri"/>
                <w:i/>
                <w:sz w:val="20"/>
                <w:lang w:val="fr-CA"/>
              </w:rPr>
              <w:t>workmanship</w:t>
            </w:r>
            <w:proofErr w:type="spellEnd"/>
            <w:r w:rsidRPr="00DB0023">
              <w:rPr>
                <w:rFonts w:eastAsia="Calibri"/>
                <w:sz w:val="20"/>
                <w:lang w:val="fr-CA"/>
              </w:rPr>
              <w:t>) et de « dommage en découlant » dans les polices d’assurance multirisques des constructeurs?</w:t>
            </w:r>
          </w:p>
          <w:p w:rsidR="00DB0023" w:rsidRPr="00DB0023" w:rsidRDefault="00DB0023" w:rsidP="00DB0023">
            <w:pPr>
              <w:spacing w:line="276" w:lineRule="auto"/>
              <w:jc w:val="both"/>
              <w:rPr>
                <w:rFonts w:eastAsia="Calibri"/>
                <w:sz w:val="20"/>
                <w:lang w:val="fr-CA"/>
              </w:rPr>
            </w:pPr>
          </w:p>
        </w:tc>
      </w:tr>
      <w:tr w:rsidR="00DB0023" w:rsidRPr="00DB0023" w:rsidTr="00DB0023">
        <w:trPr>
          <w:trHeight w:val="3753"/>
        </w:trPr>
        <w:tc>
          <w:tcPr>
            <w:tcW w:w="5000" w:type="pct"/>
            <w:gridSpan w:val="4"/>
          </w:tcPr>
          <w:p w:rsidR="00DB0023" w:rsidRPr="00DB0023" w:rsidRDefault="00DB0023" w:rsidP="00DB0023">
            <w:pPr>
              <w:spacing w:line="276" w:lineRule="auto"/>
              <w:jc w:val="both"/>
              <w:rPr>
                <w:rFonts w:eastAsia="Calibri"/>
                <w:sz w:val="20"/>
                <w:lang w:val="fr-CA"/>
              </w:rPr>
            </w:pPr>
            <w:r w:rsidRPr="00DB0023">
              <w:rPr>
                <w:rFonts w:eastAsia="Calibri"/>
                <w:sz w:val="20"/>
                <w:lang w:val="fr-CA"/>
              </w:rPr>
              <w:lastRenderedPageBreak/>
              <w:t>Les deux demanderesses sont, respectivement, le directeur des travaux et le maître d’ouvrage d’un édifice construit à Edmonton (Alberta). Vers la fin des travaux de construction, les demanderesses ont passé un contrat pour le nettoyage de débris de l’extérieur de l’édifice, y compris les fenêtres. Pendant le nettoyage, l’entrepreneur a égratigné et endommagé les fenêtres, de sorte qu’il a fallu les remplacer à un coût considérable. Lorsque les demanderesses ont présenté une demande d’indemnité en application de leurs polices d’assurance respectives, leurs réclamations ont été refusées sur le fondement d’une clause d’exclusion de couverture ayant pour objet [</w:t>
            </w:r>
            <w:r w:rsidRPr="00DB0023">
              <w:rPr>
                <w:rFonts w:eastAsia="Calibri"/>
                <w:smallCaps/>
                <w:sz w:val="20"/>
                <w:lang w:val="fr-CA"/>
              </w:rPr>
              <w:t>traduction</w:t>
            </w:r>
            <w:r w:rsidRPr="00DB0023">
              <w:rPr>
                <w:rFonts w:eastAsia="Calibri"/>
                <w:sz w:val="20"/>
                <w:lang w:val="fr-CA"/>
              </w:rPr>
              <w:t>] « les frais engagés pour remédier à une malfaçon, des matériaux de construction défectueux ou une conception défaillante, à moins qu’il n’en découle un dommage matériel non exclu autrement par la présente police, auquel cas la présente police garantit contre le dommage en découlant ».</w:t>
            </w:r>
          </w:p>
          <w:p w:rsidR="00DB0023" w:rsidRPr="00DB0023" w:rsidRDefault="00DB0023" w:rsidP="00DB0023">
            <w:pPr>
              <w:spacing w:line="276" w:lineRule="auto"/>
              <w:jc w:val="both"/>
              <w:rPr>
                <w:rFonts w:eastAsia="Calibri"/>
                <w:sz w:val="20"/>
                <w:lang w:val="fr-CA"/>
              </w:rPr>
            </w:pPr>
          </w:p>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La Cour du Banc de la Reine de l’Alberta a statué que le dommage aux fenêtres n’était pas visé par la clause d’exclusion et qu’il était couvert par la police d’assurance. La Cour est arrivée à cette conclusion, car selon elle les facteurs qui déterminaient les attentes raisonnables des parties militaient en faveur de l’interprétation que faisaient valoir les demanderesses. Elle a également conclu que la clause était ambigüe et a appliqué le principe </w:t>
            </w:r>
            <w:r w:rsidRPr="00DB0023">
              <w:rPr>
                <w:rFonts w:eastAsia="Calibri"/>
                <w:i/>
                <w:sz w:val="20"/>
                <w:lang w:val="fr-CA"/>
              </w:rPr>
              <w:t xml:space="preserve">contra </w:t>
            </w:r>
            <w:proofErr w:type="spellStart"/>
            <w:r w:rsidRPr="00DB0023">
              <w:rPr>
                <w:rFonts w:eastAsia="Calibri"/>
                <w:i/>
                <w:sz w:val="20"/>
                <w:lang w:val="fr-CA"/>
              </w:rPr>
              <w:t>proferentem</w:t>
            </w:r>
            <w:proofErr w:type="spellEnd"/>
            <w:r w:rsidRPr="00DB0023">
              <w:rPr>
                <w:rFonts w:eastAsia="Calibri"/>
                <w:sz w:val="20"/>
                <w:lang w:val="fr-CA"/>
              </w:rPr>
              <w:t>. La Cour d’appel de l’Alberta a accueilli l’appel des assureurs et a prononcé un jugement déclarant que le dommage causé aux fenêtres n’était pas couvert par les polices d’assurance.</w:t>
            </w:r>
          </w:p>
          <w:p w:rsidR="00DB0023" w:rsidRPr="00DB0023" w:rsidRDefault="00DB0023" w:rsidP="00DB0023">
            <w:pPr>
              <w:spacing w:line="276" w:lineRule="auto"/>
              <w:jc w:val="both"/>
              <w:rPr>
                <w:rFonts w:eastAsia="Calibri"/>
                <w:sz w:val="20"/>
                <w:lang w:val="fr-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fr-CA"/>
              </w:rPr>
            </w:pPr>
            <w:r w:rsidRPr="00DB0023">
              <w:rPr>
                <w:rFonts w:eastAsia="Calibri"/>
                <w:sz w:val="20"/>
                <w:lang w:val="fr-CA"/>
              </w:rPr>
              <w:t>7 octobre 2013</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du Banc de la Reine de l’Alberta</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(Juge Clackson)</w:t>
            </w:r>
          </w:p>
          <w:p w:rsidR="00DB0023" w:rsidRPr="005529E3" w:rsidRDefault="00480458" w:rsidP="00DB0023">
            <w:pPr>
              <w:spacing w:line="276" w:lineRule="auto"/>
              <w:jc w:val="both"/>
              <w:rPr>
                <w:rFonts w:eastAsia="Calibri"/>
                <w:color w:val="0000FF" w:themeColor="hyperlink"/>
                <w:sz w:val="20"/>
                <w:u w:val="single"/>
                <w:lang w:val="en-CA"/>
              </w:rPr>
            </w:pPr>
            <w:hyperlink r:id="rId54" w:history="1">
              <w:r w:rsidR="00DB0023" w:rsidRPr="005529E3">
                <w:rPr>
                  <w:rFonts w:eastAsia="Calibri"/>
                  <w:color w:val="0000FF" w:themeColor="hyperlink"/>
                  <w:sz w:val="20"/>
                  <w:u w:val="single"/>
                  <w:lang w:val="fr-CA"/>
                </w:rPr>
                <w:t>2013 ABQB 585</w:t>
              </w:r>
            </w:hyperlink>
          </w:p>
          <w:p w:rsidR="00DB0023" w:rsidRPr="00DB0023" w:rsidRDefault="00DB0023" w:rsidP="00DB0023">
            <w:pPr>
              <w:spacing w:line="276" w:lineRule="auto"/>
              <w:jc w:val="both"/>
              <w:rPr>
                <w:rFonts w:eastAsia="Calibri"/>
                <w:sz w:val="20"/>
                <w:lang w:val="en-CA"/>
              </w:rPr>
            </w:pPr>
          </w:p>
        </w:tc>
        <w:tc>
          <w:tcPr>
            <w:tcW w:w="243" w:type="pct"/>
          </w:tcPr>
          <w:p w:rsidR="00DB0023" w:rsidRPr="00DB0023" w:rsidRDefault="00DB0023" w:rsidP="00DB0023">
            <w:pPr>
              <w:spacing w:line="276" w:lineRule="auto"/>
              <w:jc w:val="both"/>
              <w:rPr>
                <w:rFonts w:eastAsia="Calibri"/>
                <w:sz w:val="20"/>
                <w:lang w:val="fr-CA"/>
              </w:rPr>
            </w:pPr>
          </w:p>
        </w:tc>
        <w:tc>
          <w:tcPr>
            <w:tcW w:w="2330" w:type="pct"/>
          </w:tcPr>
          <w:p w:rsidR="00DB0023" w:rsidRPr="00DB0023" w:rsidRDefault="00DB0023" w:rsidP="00DB0023">
            <w:pPr>
              <w:spacing w:line="276" w:lineRule="auto"/>
              <w:jc w:val="both"/>
              <w:rPr>
                <w:rFonts w:eastAsia="Calibri"/>
                <w:sz w:val="20"/>
                <w:lang w:val="fr-CA"/>
              </w:rPr>
            </w:pPr>
            <w:r w:rsidRPr="00DB0023">
              <w:rPr>
                <w:rFonts w:eastAsia="Calibri"/>
                <w:sz w:val="20"/>
                <w:lang w:val="fr-CA"/>
              </w:rPr>
              <w:t>Jugement déclarant que le dommage causé aux fenêtres de l’édifice par un tiers entrepreneur en nettoyage n’est pas exclu de la couverture en application de l’assurance risques des constructeurs.</w:t>
            </w:r>
          </w:p>
          <w:p w:rsidR="00DB0023" w:rsidRPr="00DB0023" w:rsidRDefault="00DB0023" w:rsidP="00DB0023">
            <w:pPr>
              <w:spacing w:line="276" w:lineRule="auto"/>
              <w:jc w:val="both"/>
              <w:rPr>
                <w:rFonts w:eastAsia="Calibri"/>
                <w:sz w:val="20"/>
                <w:lang w:val="fr-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fr-CA"/>
              </w:rPr>
            </w:pPr>
            <w:r w:rsidRPr="00DB0023">
              <w:rPr>
                <w:rFonts w:eastAsia="Calibri"/>
                <w:sz w:val="20"/>
                <w:lang w:val="fr-CA"/>
              </w:rPr>
              <w:t>27 mars 2015</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d’appel de l’Alberta (Edmonton)</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(Juges Côté, Watson et </w:t>
            </w:r>
            <w:proofErr w:type="spellStart"/>
            <w:r w:rsidRPr="00DB0023">
              <w:rPr>
                <w:rFonts w:eastAsia="Calibri"/>
                <w:sz w:val="20"/>
                <w:lang w:val="fr-CA"/>
              </w:rPr>
              <w:t>Slatter</w:t>
            </w:r>
            <w:proofErr w:type="spellEnd"/>
            <w:r w:rsidRPr="00DB0023">
              <w:rPr>
                <w:rFonts w:eastAsia="Calibri"/>
                <w:sz w:val="20"/>
                <w:lang w:val="fr-CA"/>
              </w:rPr>
              <w:t>)</w:t>
            </w:r>
          </w:p>
          <w:p w:rsidR="00DB0023" w:rsidRPr="00DB0023" w:rsidRDefault="00480458" w:rsidP="00DB0023">
            <w:pPr>
              <w:spacing w:line="276" w:lineRule="auto"/>
              <w:jc w:val="both"/>
              <w:rPr>
                <w:rFonts w:eastAsia="Calibri"/>
                <w:sz w:val="20"/>
                <w:lang w:val="fr-CA"/>
              </w:rPr>
            </w:pPr>
            <w:hyperlink r:id="rId55" w:history="1">
              <w:r w:rsidR="00DB0023" w:rsidRPr="005529E3">
                <w:rPr>
                  <w:rFonts w:eastAsia="Calibri"/>
                  <w:color w:val="0000FF" w:themeColor="hyperlink"/>
                  <w:sz w:val="20"/>
                  <w:u w:val="single"/>
                  <w:lang w:val="fr-CA"/>
                </w:rPr>
                <w:t>2015 ABCA 121</w:t>
              </w:r>
            </w:hyperlink>
            <w:r w:rsidR="00DB0023" w:rsidRPr="00DB0023">
              <w:rPr>
                <w:rFonts w:eastAsia="Calibri"/>
                <w:sz w:val="20"/>
                <w:lang w:val="fr-CA"/>
              </w:rPr>
              <w:t>; 1303-0272-AC</w:t>
            </w:r>
          </w:p>
          <w:p w:rsidR="00DB0023" w:rsidRPr="00DB0023" w:rsidRDefault="00DB0023" w:rsidP="00DB0023">
            <w:pPr>
              <w:spacing w:line="276" w:lineRule="auto"/>
              <w:jc w:val="both"/>
              <w:rPr>
                <w:rFonts w:eastAsia="Calibri"/>
                <w:sz w:val="20"/>
                <w:lang w:val="fr-CA"/>
              </w:rPr>
            </w:pPr>
          </w:p>
        </w:tc>
        <w:tc>
          <w:tcPr>
            <w:tcW w:w="243" w:type="pct"/>
          </w:tcPr>
          <w:p w:rsidR="00DB0023" w:rsidRPr="00DB0023" w:rsidRDefault="00DB0023" w:rsidP="00DB0023">
            <w:pPr>
              <w:spacing w:line="276" w:lineRule="auto"/>
              <w:jc w:val="both"/>
              <w:rPr>
                <w:rFonts w:eastAsia="Calibri"/>
                <w:sz w:val="20"/>
                <w:lang w:val="fr-CA"/>
              </w:rPr>
            </w:pPr>
          </w:p>
        </w:tc>
        <w:tc>
          <w:tcPr>
            <w:tcW w:w="2330" w:type="pct"/>
          </w:tcPr>
          <w:p w:rsidR="00DB0023" w:rsidRPr="00DB0023" w:rsidRDefault="00DB0023" w:rsidP="00DB0023">
            <w:pPr>
              <w:spacing w:line="276" w:lineRule="auto"/>
              <w:jc w:val="both"/>
              <w:rPr>
                <w:rFonts w:eastAsia="Calibri"/>
                <w:sz w:val="20"/>
                <w:lang w:val="fr-CA"/>
              </w:rPr>
            </w:pPr>
            <w:r w:rsidRPr="00DB0023">
              <w:rPr>
                <w:rFonts w:eastAsia="Calibri"/>
                <w:sz w:val="20"/>
                <w:lang w:val="fr-CA"/>
              </w:rPr>
              <w:t>Arrêt accueillant l’appel et déclarant que le dommage aux fenêtres n’est pas couvert par les polices d’assurance.</w:t>
            </w:r>
          </w:p>
          <w:p w:rsidR="00DB0023" w:rsidRPr="00DB0023" w:rsidRDefault="00DB0023" w:rsidP="00DB0023">
            <w:pPr>
              <w:spacing w:line="276" w:lineRule="auto"/>
              <w:jc w:val="both"/>
              <w:rPr>
                <w:rFonts w:eastAsia="Calibri"/>
                <w:sz w:val="20"/>
                <w:lang w:val="fr-CA"/>
              </w:rPr>
            </w:pPr>
          </w:p>
        </w:tc>
      </w:tr>
      <w:tr w:rsidR="00DB0023" w:rsidRPr="00DB0023" w:rsidTr="00DB0023">
        <w:tc>
          <w:tcPr>
            <w:tcW w:w="2427" w:type="pct"/>
            <w:gridSpan w:val="2"/>
          </w:tcPr>
          <w:p w:rsidR="00DB0023" w:rsidRPr="00DB0023" w:rsidRDefault="00DB0023" w:rsidP="00DB0023">
            <w:pPr>
              <w:spacing w:line="276" w:lineRule="auto"/>
              <w:jc w:val="both"/>
              <w:rPr>
                <w:rFonts w:eastAsia="Calibri"/>
                <w:sz w:val="20"/>
                <w:lang w:val="fr-CA"/>
              </w:rPr>
            </w:pPr>
            <w:r w:rsidRPr="00DB0023">
              <w:rPr>
                <w:rFonts w:eastAsia="Calibri"/>
                <w:sz w:val="20"/>
                <w:lang w:val="fr-CA"/>
              </w:rPr>
              <w:t>26 mai 2015</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suprême du Canada</w:t>
            </w:r>
          </w:p>
          <w:p w:rsidR="00DB0023" w:rsidRPr="00DB0023" w:rsidRDefault="00DB0023" w:rsidP="00DB0023">
            <w:pPr>
              <w:spacing w:line="276" w:lineRule="auto"/>
              <w:jc w:val="both"/>
              <w:rPr>
                <w:rFonts w:eastAsia="Calibri"/>
                <w:sz w:val="20"/>
                <w:lang w:val="fr-CA"/>
              </w:rPr>
            </w:pPr>
          </w:p>
        </w:tc>
        <w:tc>
          <w:tcPr>
            <w:tcW w:w="243" w:type="pct"/>
          </w:tcPr>
          <w:p w:rsidR="00DB0023" w:rsidRPr="00DB0023" w:rsidRDefault="00DB0023" w:rsidP="00DB0023">
            <w:pPr>
              <w:spacing w:line="276" w:lineRule="auto"/>
              <w:jc w:val="both"/>
              <w:rPr>
                <w:rFonts w:eastAsia="Calibri"/>
                <w:sz w:val="20"/>
                <w:lang w:val="fr-CA"/>
              </w:rPr>
            </w:pPr>
          </w:p>
        </w:tc>
        <w:tc>
          <w:tcPr>
            <w:tcW w:w="2330" w:type="pct"/>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 xml:space="preserve">Dépôt de la demande d’autorisation d’appel de </w:t>
            </w:r>
            <w:proofErr w:type="spellStart"/>
            <w:r w:rsidRPr="00DB0023">
              <w:rPr>
                <w:rFonts w:eastAsia="Calibri"/>
                <w:sz w:val="20"/>
                <w:lang w:val="fr-CA"/>
              </w:rPr>
              <w:t>Ledcor</w:t>
            </w:r>
            <w:proofErr w:type="spellEnd"/>
            <w:r w:rsidRPr="00DB0023">
              <w:rPr>
                <w:rFonts w:eastAsia="Calibri"/>
                <w:sz w:val="20"/>
                <w:lang w:val="fr-CA"/>
              </w:rPr>
              <w:t xml:space="preserve"> Construction Limited.</w:t>
            </w:r>
          </w:p>
        </w:tc>
      </w:tr>
      <w:tr w:rsidR="00DB0023" w:rsidRPr="00DB0023" w:rsidTr="00DB0023">
        <w:tc>
          <w:tcPr>
            <w:tcW w:w="2427" w:type="pct"/>
            <w:gridSpan w:val="2"/>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26 mai 2015</w:t>
            </w:r>
          </w:p>
          <w:p w:rsidR="00DB0023" w:rsidRPr="00DB0023" w:rsidRDefault="00DB0023" w:rsidP="00DB0023">
            <w:pPr>
              <w:spacing w:line="276" w:lineRule="auto"/>
              <w:jc w:val="both"/>
              <w:rPr>
                <w:rFonts w:eastAsia="Calibri"/>
                <w:sz w:val="20"/>
                <w:lang w:val="fr-CA"/>
              </w:rPr>
            </w:pPr>
            <w:r w:rsidRPr="00DB0023">
              <w:rPr>
                <w:rFonts w:eastAsia="Calibri"/>
                <w:sz w:val="20"/>
                <w:lang w:val="fr-CA"/>
              </w:rPr>
              <w:t>Cour suprême du Canada</w:t>
            </w:r>
          </w:p>
        </w:tc>
        <w:tc>
          <w:tcPr>
            <w:tcW w:w="243" w:type="pct"/>
          </w:tcPr>
          <w:p w:rsidR="00DB0023" w:rsidRPr="00DB0023" w:rsidRDefault="00DB0023" w:rsidP="00DB0023">
            <w:pPr>
              <w:spacing w:line="276" w:lineRule="auto"/>
              <w:jc w:val="both"/>
              <w:rPr>
                <w:rFonts w:eastAsia="Calibri"/>
                <w:sz w:val="20"/>
                <w:lang w:val="fr-CA"/>
              </w:rPr>
            </w:pPr>
          </w:p>
        </w:tc>
        <w:tc>
          <w:tcPr>
            <w:tcW w:w="2330" w:type="pct"/>
            <w:hideMark/>
          </w:tcPr>
          <w:p w:rsidR="00DB0023" w:rsidRPr="00DB0023" w:rsidRDefault="00DB0023" w:rsidP="00DB0023">
            <w:pPr>
              <w:spacing w:line="276" w:lineRule="auto"/>
              <w:jc w:val="both"/>
              <w:rPr>
                <w:rFonts w:eastAsia="Calibri"/>
                <w:sz w:val="20"/>
                <w:lang w:val="fr-CA"/>
              </w:rPr>
            </w:pPr>
            <w:r w:rsidRPr="00DB0023">
              <w:rPr>
                <w:rFonts w:eastAsia="Calibri"/>
                <w:sz w:val="20"/>
                <w:lang w:val="fr-CA"/>
              </w:rPr>
              <w:t>Dépôt de la demande d’autorisation d’appel de Station Lands Ltd.</w:t>
            </w:r>
          </w:p>
        </w:tc>
      </w:tr>
    </w:tbl>
    <w:p w:rsidR="00DB0023" w:rsidRDefault="00DB0023" w:rsidP="00DB0023">
      <w:pPr>
        <w:jc w:val="both"/>
        <w:rPr>
          <w:rFonts w:eastAsia="Calibri"/>
          <w:sz w:val="20"/>
          <w:lang w:val="fr-CA"/>
        </w:rPr>
      </w:pPr>
    </w:p>
    <w:p w:rsidR="009C21EE" w:rsidRPr="00DB0023" w:rsidRDefault="009C21EE" w:rsidP="00DB0023">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ED66D3" w:rsidRPr="00ED66D3" w:rsidTr="00ED66D3">
        <w:tc>
          <w:tcPr>
            <w:tcW w:w="543" w:type="pct"/>
            <w:hideMark/>
          </w:tcPr>
          <w:p w:rsidR="00ED66D3" w:rsidRPr="00ED66D3" w:rsidRDefault="00ED66D3" w:rsidP="00ED66D3">
            <w:pPr>
              <w:spacing w:line="276" w:lineRule="auto"/>
              <w:jc w:val="both"/>
              <w:rPr>
                <w:rFonts w:eastAsia="Calibri"/>
                <w:sz w:val="20"/>
                <w:lang w:val="en-CA"/>
              </w:rPr>
            </w:pPr>
            <w:r w:rsidRPr="005529E3">
              <w:rPr>
                <w:rFonts w:eastAsia="Calibri"/>
                <w:b/>
                <w:sz w:val="20"/>
                <w:lang w:val="fr-CA"/>
              </w:rPr>
              <w:t>36340</w:t>
            </w:r>
          </w:p>
        </w:tc>
        <w:tc>
          <w:tcPr>
            <w:tcW w:w="4457" w:type="pct"/>
            <w:gridSpan w:val="3"/>
            <w:hideMark/>
          </w:tcPr>
          <w:p w:rsidR="00ED66D3" w:rsidRPr="00ED66D3" w:rsidRDefault="00ED66D3" w:rsidP="00ED66D3">
            <w:pPr>
              <w:spacing w:line="276" w:lineRule="auto"/>
              <w:jc w:val="both"/>
              <w:rPr>
                <w:rFonts w:eastAsia="Calibri"/>
                <w:b/>
                <w:sz w:val="20"/>
                <w:lang w:val="fr-CA"/>
              </w:rPr>
            </w:pPr>
            <w:proofErr w:type="spellStart"/>
            <w:r w:rsidRPr="00ED66D3">
              <w:rPr>
                <w:rFonts w:eastAsia="Calibri"/>
                <w:b/>
                <w:sz w:val="20"/>
                <w:lang w:val="fr-CA"/>
              </w:rPr>
              <w:t>Municipality</w:t>
            </w:r>
            <w:proofErr w:type="spellEnd"/>
            <w:r w:rsidRPr="00ED66D3">
              <w:rPr>
                <w:rFonts w:eastAsia="Calibri"/>
                <w:b/>
                <w:sz w:val="20"/>
                <w:lang w:val="fr-CA"/>
              </w:rPr>
              <w:t xml:space="preserve"> of Saint-Augustin and Stéphanie Kennedy v. Société des traversiers du Québec, Commission municipale du Québec</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(Que.) (Civil) (By Leave)</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en-CA"/>
              </w:rPr>
            </w:pPr>
            <w:r w:rsidRPr="00ED66D3">
              <w:rPr>
                <w:rFonts w:eastAsia="Calibri"/>
                <w:sz w:val="20"/>
                <w:lang w:val="en-CA"/>
              </w:rPr>
              <w:t>Municipal law – By-laws – Zoning – Acquired rights – Interpretation of municipal zoning by-law – Whether Quebec Court of Appeal erred in law in dismissing applicants’ appeal from judgment of Lacroix J. of Quebec Superior Court (District of Québec) dated July 8, 2014, allowing motion for mandamus and declaratory judgment by respondent [</w:t>
            </w:r>
            <w:proofErr w:type="spellStart"/>
            <w:r w:rsidRPr="00ED66D3">
              <w:rPr>
                <w:rFonts w:eastAsia="Calibri"/>
                <w:sz w:val="20"/>
                <w:lang w:val="en-CA"/>
              </w:rPr>
              <w:t>Société</w:t>
            </w:r>
            <w:proofErr w:type="spellEnd"/>
            <w:r w:rsidRPr="00ED66D3">
              <w:rPr>
                <w:rFonts w:eastAsia="Calibri"/>
                <w:sz w:val="20"/>
                <w:lang w:val="en-CA"/>
              </w:rPr>
              <w:t xml:space="preserve"> des </w:t>
            </w:r>
            <w:proofErr w:type="spellStart"/>
            <w:r w:rsidRPr="00ED66D3">
              <w:rPr>
                <w:rFonts w:eastAsia="Calibri"/>
                <w:sz w:val="20"/>
                <w:lang w:val="en-CA"/>
              </w:rPr>
              <w:t>Traversiers</w:t>
            </w:r>
            <w:proofErr w:type="spellEnd"/>
            <w:r w:rsidRPr="00ED66D3">
              <w:rPr>
                <w:rFonts w:eastAsia="Calibri"/>
                <w:sz w:val="20"/>
                <w:lang w:val="en-CA"/>
              </w:rPr>
              <w:t xml:space="preserve"> du Québec] – Regarding substantive issues on appeal, whether trial judge erred in refusing to apply municipal zoning by-law requirements to Lot 11-4, and in ruling that by-law authorized respondent’s construction project and that respondent’s [</w:t>
            </w:r>
            <w:r w:rsidRPr="00ED66D3">
              <w:rPr>
                <w:rFonts w:eastAsia="Calibri"/>
                <w:smallCaps/>
                <w:sz w:val="20"/>
                <w:lang w:val="en-CA"/>
              </w:rPr>
              <w:t>translation] “</w:t>
            </w:r>
            <w:r w:rsidRPr="00ED66D3">
              <w:rPr>
                <w:rFonts w:eastAsia="Calibri"/>
                <w:sz w:val="20"/>
                <w:lang w:val="en-CA"/>
              </w:rPr>
              <w:t>acquired rights” had not been abandoned because of an interruption in use.</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en-CA"/>
              </w:rPr>
            </w:pP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en-CA"/>
              </w:rPr>
            </w:pPr>
            <w:r w:rsidRPr="00ED66D3">
              <w:rPr>
                <w:rFonts w:eastAsia="Calibri"/>
                <w:sz w:val="20"/>
                <w:lang w:val="en-CA"/>
              </w:rPr>
              <w:lastRenderedPageBreak/>
              <w:t xml:space="preserve">In accordance with an agreement made with the Province in 2009, the </w:t>
            </w:r>
            <w:proofErr w:type="spellStart"/>
            <w:r w:rsidRPr="00ED66D3">
              <w:rPr>
                <w:rFonts w:eastAsia="Calibri"/>
                <w:sz w:val="20"/>
                <w:lang w:val="en-CA"/>
              </w:rPr>
              <w:t>Société</w:t>
            </w:r>
            <w:proofErr w:type="spellEnd"/>
            <w:r w:rsidRPr="00ED66D3">
              <w:rPr>
                <w:rFonts w:eastAsia="Calibri"/>
                <w:sz w:val="20"/>
                <w:lang w:val="en-CA"/>
              </w:rPr>
              <w:t xml:space="preserve"> des </w:t>
            </w:r>
            <w:proofErr w:type="spellStart"/>
            <w:r w:rsidRPr="00ED66D3">
              <w:rPr>
                <w:rFonts w:eastAsia="Calibri"/>
                <w:sz w:val="20"/>
                <w:lang w:val="en-CA"/>
              </w:rPr>
              <w:t>traversiers</w:t>
            </w:r>
            <w:proofErr w:type="spellEnd"/>
            <w:r w:rsidRPr="00ED66D3">
              <w:rPr>
                <w:rFonts w:eastAsia="Calibri"/>
                <w:sz w:val="20"/>
                <w:lang w:val="en-CA"/>
              </w:rPr>
              <w:t xml:space="preserve"> du Québec (STQ) assumed responsibility for the transportation service linking the two shores of the river running through the municipality of Saint-Augustin. The STQ identified Lot 11-4 as the best location for a proposed new ferry. The municipality refused to issue a certificate of compliance with the municipal zoning by-law, stating that the dimensions of Lot 11-4 and its proposed use were not permitted. The STQ filed a motion for mandamus, seeking a declaration that the lot and the project complied with the by-law by virtue of the STQ’s acquired rights. </w:t>
            </w:r>
          </w:p>
          <w:p w:rsidR="00ED66D3" w:rsidRPr="00ED66D3" w:rsidRDefault="00ED66D3" w:rsidP="00ED66D3">
            <w:pPr>
              <w:spacing w:line="276" w:lineRule="auto"/>
              <w:jc w:val="both"/>
              <w:rPr>
                <w:rFonts w:eastAsia="Calibri"/>
                <w:sz w:val="20"/>
                <w:lang w:val="en-CA"/>
              </w:rPr>
            </w:pPr>
          </w:p>
          <w:p w:rsidR="00ED66D3" w:rsidRPr="00ED66D3" w:rsidRDefault="00ED66D3" w:rsidP="00ED66D3">
            <w:pPr>
              <w:spacing w:line="276" w:lineRule="auto"/>
              <w:jc w:val="both"/>
              <w:rPr>
                <w:rFonts w:eastAsia="Calibri"/>
                <w:sz w:val="20"/>
                <w:lang w:val="en-CA"/>
              </w:rPr>
            </w:pPr>
            <w:r w:rsidRPr="00ED66D3">
              <w:rPr>
                <w:rFonts w:eastAsia="Calibri"/>
                <w:sz w:val="20"/>
                <w:lang w:val="en-CA"/>
              </w:rPr>
              <w:t xml:space="preserve">The Quebec Superior Court allowed the STQ’s motion. The STQ’s proposed use for Lot 11-4 was not in issue, since the use was permitted under the by-law, and although Lot 11-4’s dimensions were not in compliance with the by-law, the STQ nonetheless had acquired rights in accordance with the by-law’s provisions. The Court ordered the municipality to issue a certificate stating that the STQ’s project complied with the by-law and to issue the necessary authorizations and construction permits. The Quebec Court of Appeal dismissed the municipality’s appeal, finding that the appeal had no reasonable prospect of succeeding. </w:t>
            </w:r>
          </w:p>
          <w:p w:rsidR="00ED66D3" w:rsidRPr="00ED66D3" w:rsidRDefault="00ED66D3" w:rsidP="00ED66D3">
            <w:pPr>
              <w:spacing w:line="276" w:lineRule="auto"/>
              <w:jc w:val="both"/>
              <w:rPr>
                <w:rFonts w:eastAsia="Calibri"/>
                <w:sz w:val="20"/>
                <w:lang w:val="en-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en-CA"/>
              </w:rPr>
            </w:pPr>
            <w:r w:rsidRPr="00ED66D3">
              <w:rPr>
                <w:rFonts w:eastAsia="Calibri"/>
                <w:sz w:val="20"/>
                <w:lang w:val="en-CA"/>
              </w:rPr>
              <w:t>July 8, 2014</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Quebec Superior Court</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(Lacroix J.)</w:t>
            </w:r>
          </w:p>
          <w:p w:rsidR="00ED66D3" w:rsidRPr="00ED66D3" w:rsidRDefault="00480458" w:rsidP="00ED66D3">
            <w:pPr>
              <w:spacing w:line="276" w:lineRule="auto"/>
              <w:jc w:val="both"/>
              <w:rPr>
                <w:rFonts w:eastAsia="Calibri"/>
                <w:sz w:val="20"/>
                <w:lang w:val="en-CA"/>
              </w:rPr>
            </w:pPr>
            <w:hyperlink r:id="rId56" w:history="1">
              <w:r w:rsidR="00ED66D3" w:rsidRPr="005529E3">
                <w:rPr>
                  <w:rFonts w:eastAsia="Calibri"/>
                  <w:color w:val="0000FF" w:themeColor="hyperlink"/>
                  <w:sz w:val="20"/>
                  <w:u w:val="single"/>
                  <w:lang w:val="en-CA"/>
                </w:rPr>
                <w:t>2014 QCCS 4657</w:t>
              </w:r>
            </w:hyperlink>
          </w:p>
          <w:p w:rsidR="00ED66D3" w:rsidRPr="00ED66D3" w:rsidRDefault="00ED66D3" w:rsidP="00ED66D3">
            <w:pPr>
              <w:spacing w:line="276" w:lineRule="auto"/>
              <w:jc w:val="both"/>
              <w:rPr>
                <w:rFonts w:eastAsia="Calibri"/>
                <w:sz w:val="20"/>
                <w:lang w:val="en-CA"/>
              </w:rPr>
            </w:pPr>
          </w:p>
        </w:tc>
        <w:tc>
          <w:tcPr>
            <w:tcW w:w="243" w:type="pct"/>
          </w:tcPr>
          <w:p w:rsidR="00ED66D3" w:rsidRPr="00ED66D3" w:rsidRDefault="00ED66D3" w:rsidP="00ED66D3">
            <w:pPr>
              <w:spacing w:line="276" w:lineRule="auto"/>
              <w:jc w:val="both"/>
              <w:rPr>
                <w:rFonts w:eastAsia="Calibri"/>
                <w:sz w:val="20"/>
                <w:lang w:val="en-CA"/>
              </w:rPr>
            </w:pPr>
          </w:p>
        </w:tc>
        <w:tc>
          <w:tcPr>
            <w:tcW w:w="2330" w:type="pct"/>
          </w:tcPr>
          <w:p w:rsidR="00ED66D3" w:rsidRPr="00ED66D3" w:rsidRDefault="00ED66D3" w:rsidP="00ED66D3">
            <w:pPr>
              <w:spacing w:line="276" w:lineRule="auto"/>
              <w:jc w:val="both"/>
              <w:rPr>
                <w:rFonts w:eastAsia="Calibri"/>
                <w:sz w:val="20"/>
                <w:lang w:val="en-CA"/>
              </w:rPr>
            </w:pPr>
            <w:r w:rsidRPr="00ED66D3">
              <w:rPr>
                <w:rFonts w:eastAsia="Calibri"/>
                <w:sz w:val="20"/>
                <w:lang w:val="en-CA"/>
              </w:rPr>
              <w:t xml:space="preserve">Motion by </w:t>
            </w:r>
            <w:proofErr w:type="spellStart"/>
            <w:r w:rsidRPr="00ED66D3">
              <w:rPr>
                <w:rFonts w:eastAsia="Calibri"/>
                <w:sz w:val="20"/>
                <w:lang w:val="en-CA"/>
              </w:rPr>
              <w:t>Société</w:t>
            </w:r>
            <w:proofErr w:type="spellEnd"/>
            <w:r w:rsidRPr="00ED66D3">
              <w:rPr>
                <w:rFonts w:eastAsia="Calibri"/>
                <w:sz w:val="20"/>
                <w:lang w:val="en-CA"/>
              </w:rPr>
              <w:t xml:space="preserve"> des </w:t>
            </w:r>
            <w:proofErr w:type="spellStart"/>
            <w:r w:rsidRPr="00ED66D3">
              <w:rPr>
                <w:rFonts w:eastAsia="Calibri"/>
                <w:sz w:val="20"/>
                <w:lang w:val="en-CA"/>
              </w:rPr>
              <w:t>traversiers</w:t>
            </w:r>
            <w:proofErr w:type="spellEnd"/>
            <w:r w:rsidRPr="00ED66D3">
              <w:rPr>
                <w:rFonts w:eastAsia="Calibri"/>
                <w:sz w:val="20"/>
                <w:lang w:val="en-CA"/>
              </w:rPr>
              <w:t xml:space="preserve"> du Québec for mandamus and declaratory judgment allowed</w:t>
            </w:r>
          </w:p>
          <w:p w:rsidR="00ED66D3" w:rsidRPr="00ED66D3" w:rsidRDefault="00ED66D3" w:rsidP="00ED66D3">
            <w:pPr>
              <w:spacing w:line="276" w:lineRule="auto"/>
              <w:jc w:val="both"/>
              <w:rPr>
                <w:rFonts w:eastAsia="Calibri"/>
                <w:sz w:val="20"/>
                <w:lang w:val="en-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en-CA"/>
              </w:rPr>
            </w:pPr>
            <w:r w:rsidRPr="00ED66D3">
              <w:rPr>
                <w:rFonts w:eastAsia="Calibri"/>
                <w:sz w:val="20"/>
                <w:lang w:val="en-CA"/>
              </w:rPr>
              <w:t>January 12, 2015</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Quebec Court of Appeal (Québec)</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w:t>
            </w:r>
            <w:proofErr w:type="spellStart"/>
            <w:r w:rsidRPr="00ED66D3">
              <w:rPr>
                <w:rFonts w:eastAsia="Calibri"/>
                <w:sz w:val="20"/>
                <w:lang w:val="en-CA"/>
              </w:rPr>
              <w:t>Rochette</w:t>
            </w:r>
            <w:proofErr w:type="spellEnd"/>
            <w:r w:rsidRPr="00ED66D3">
              <w:rPr>
                <w:rFonts w:eastAsia="Calibri"/>
                <w:sz w:val="20"/>
                <w:lang w:val="en-CA"/>
              </w:rPr>
              <w:t>, Pelletier and Giroux JJ.A.)</w:t>
            </w:r>
          </w:p>
          <w:p w:rsidR="00ED66D3" w:rsidRPr="00ED66D3" w:rsidRDefault="00480458" w:rsidP="00ED66D3">
            <w:pPr>
              <w:spacing w:line="276" w:lineRule="auto"/>
              <w:jc w:val="both"/>
              <w:rPr>
                <w:rFonts w:eastAsia="Calibri"/>
                <w:sz w:val="20"/>
                <w:lang w:val="en-CA"/>
              </w:rPr>
            </w:pPr>
            <w:hyperlink r:id="rId57" w:history="1">
              <w:r w:rsidR="00ED66D3" w:rsidRPr="005529E3">
                <w:rPr>
                  <w:rFonts w:eastAsia="Calibri"/>
                  <w:color w:val="0000FF" w:themeColor="hyperlink"/>
                  <w:sz w:val="20"/>
                  <w:u w:val="single"/>
                  <w:lang w:val="en-CA"/>
                </w:rPr>
                <w:t>2015 QCCA 27</w:t>
              </w:r>
            </w:hyperlink>
          </w:p>
          <w:p w:rsidR="00ED66D3" w:rsidRPr="00ED66D3" w:rsidRDefault="00ED66D3" w:rsidP="00ED66D3">
            <w:pPr>
              <w:spacing w:line="276" w:lineRule="auto"/>
              <w:jc w:val="both"/>
              <w:rPr>
                <w:rFonts w:eastAsia="Calibri"/>
                <w:sz w:val="20"/>
                <w:lang w:val="en-CA"/>
              </w:rPr>
            </w:pPr>
          </w:p>
        </w:tc>
        <w:tc>
          <w:tcPr>
            <w:tcW w:w="243" w:type="pct"/>
          </w:tcPr>
          <w:p w:rsidR="00ED66D3" w:rsidRPr="00ED66D3" w:rsidRDefault="00ED66D3" w:rsidP="00ED66D3">
            <w:pPr>
              <w:spacing w:line="276" w:lineRule="auto"/>
              <w:jc w:val="both"/>
              <w:rPr>
                <w:rFonts w:eastAsia="Calibri"/>
                <w:sz w:val="20"/>
                <w:lang w:val="en-CA"/>
              </w:rPr>
            </w:pPr>
          </w:p>
        </w:tc>
        <w:tc>
          <w:tcPr>
            <w:tcW w:w="2330" w:type="pct"/>
          </w:tcPr>
          <w:p w:rsidR="00ED66D3" w:rsidRPr="00ED66D3" w:rsidRDefault="00ED66D3" w:rsidP="00ED66D3">
            <w:pPr>
              <w:spacing w:line="276" w:lineRule="auto"/>
              <w:jc w:val="both"/>
              <w:rPr>
                <w:rFonts w:eastAsia="Calibri"/>
                <w:sz w:val="20"/>
                <w:lang w:val="en-CA"/>
              </w:rPr>
            </w:pPr>
            <w:r w:rsidRPr="00ED66D3">
              <w:rPr>
                <w:rFonts w:eastAsia="Calibri"/>
                <w:sz w:val="20"/>
                <w:lang w:val="en-CA"/>
              </w:rPr>
              <w:t>Appeal of Municipality of Saint-Augustin and Ms. Stéphanie Kennedy dismissed</w:t>
            </w:r>
          </w:p>
          <w:p w:rsidR="00ED66D3" w:rsidRPr="00ED66D3" w:rsidRDefault="00ED66D3" w:rsidP="00ED66D3">
            <w:pPr>
              <w:spacing w:line="276" w:lineRule="auto"/>
              <w:jc w:val="both"/>
              <w:rPr>
                <w:rFonts w:eastAsia="Calibri"/>
                <w:sz w:val="20"/>
                <w:lang w:val="en-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en-CA"/>
              </w:rPr>
            </w:pPr>
            <w:r w:rsidRPr="00ED66D3">
              <w:rPr>
                <w:rFonts w:eastAsia="Calibri"/>
                <w:sz w:val="20"/>
                <w:lang w:val="en-CA"/>
              </w:rPr>
              <w:t>March 11, 2015</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Supreme Court of Canada</w:t>
            </w:r>
          </w:p>
          <w:p w:rsidR="00ED66D3" w:rsidRPr="00ED66D3" w:rsidRDefault="00ED66D3" w:rsidP="00ED66D3">
            <w:pPr>
              <w:spacing w:line="276" w:lineRule="auto"/>
              <w:jc w:val="both"/>
              <w:rPr>
                <w:rFonts w:eastAsia="Calibri"/>
                <w:sz w:val="20"/>
                <w:lang w:val="en-CA"/>
              </w:rPr>
            </w:pPr>
          </w:p>
        </w:tc>
        <w:tc>
          <w:tcPr>
            <w:tcW w:w="243" w:type="pct"/>
          </w:tcPr>
          <w:p w:rsidR="00ED66D3" w:rsidRPr="00ED66D3" w:rsidRDefault="00ED66D3" w:rsidP="00ED66D3">
            <w:pPr>
              <w:spacing w:line="276" w:lineRule="auto"/>
              <w:jc w:val="both"/>
              <w:rPr>
                <w:rFonts w:eastAsia="Calibri"/>
                <w:sz w:val="20"/>
                <w:lang w:val="en-CA"/>
              </w:rPr>
            </w:pPr>
          </w:p>
        </w:tc>
        <w:tc>
          <w:tcPr>
            <w:tcW w:w="2330" w:type="pct"/>
            <w:hideMark/>
          </w:tcPr>
          <w:p w:rsidR="00ED66D3" w:rsidRPr="00ED66D3" w:rsidRDefault="00ED66D3" w:rsidP="00ED66D3">
            <w:pPr>
              <w:spacing w:line="276" w:lineRule="auto"/>
              <w:jc w:val="both"/>
              <w:rPr>
                <w:rFonts w:eastAsia="Calibri"/>
                <w:sz w:val="20"/>
                <w:lang w:val="en-CA"/>
              </w:rPr>
            </w:pPr>
            <w:r w:rsidRPr="00ED66D3">
              <w:rPr>
                <w:rFonts w:eastAsia="Calibri"/>
                <w:sz w:val="20"/>
                <w:lang w:val="en-CA"/>
              </w:rPr>
              <w:t>Application for leave to appeal filed</w:t>
            </w:r>
          </w:p>
        </w:tc>
      </w:tr>
    </w:tbl>
    <w:p w:rsidR="00ED66D3" w:rsidRPr="00ED66D3" w:rsidRDefault="00ED66D3" w:rsidP="00ED66D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ED66D3" w:rsidRPr="00ED66D3" w:rsidTr="00ED66D3">
        <w:tc>
          <w:tcPr>
            <w:tcW w:w="543" w:type="pct"/>
            <w:hideMark/>
          </w:tcPr>
          <w:p w:rsidR="00ED66D3" w:rsidRPr="00ED66D3" w:rsidRDefault="00ED66D3" w:rsidP="00ED66D3">
            <w:pPr>
              <w:spacing w:line="276" w:lineRule="auto"/>
              <w:jc w:val="both"/>
              <w:rPr>
                <w:rFonts w:eastAsia="Calibri"/>
                <w:sz w:val="20"/>
                <w:lang w:val="fr-CA"/>
              </w:rPr>
            </w:pPr>
            <w:r w:rsidRPr="005529E3">
              <w:rPr>
                <w:rFonts w:eastAsia="Calibri"/>
                <w:b/>
                <w:sz w:val="20"/>
                <w:lang w:val="fr-CA"/>
              </w:rPr>
              <w:t>36340</w:t>
            </w:r>
          </w:p>
        </w:tc>
        <w:tc>
          <w:tcPr>
            <w:tcW w:w="4457" w:type="pct"/>
            <w:gridSpan w:val="3"/>
            <w:hideMark/>
          </w:tcPr>
          <w:p w:rsidR="00ED66D3" w:rsidRPr="00ED66D3" w:rsidRDefault="00ED66D3" w:rsidP="00ED66D3">
            <w:pPr>
              <w:spacing w:line="276" w:lineRule="auto"/>
              <w:jc w:val="both"/>
              <w:rPr>
                <w:rFonts w:eastAsia="Calibri"/>
                <w:b/>
                <w:sz w:val="20"/>
                <w:lang w:val="fr-CA"/>
              </w:rPr>
            </w:pPr>
            <w:r w:rsidRPr="00ED66D3">
              <w:rPr>
                <w:rFonts w:eastAsia="Calibri"/>
                <w:b/>
                <w:sz w:val="20"/>
                <w:lang w:val="fr-CA"/>
              </w:rPr>
              <w:t>Municipalité de Saint-Augustin et Stéphanie Kennedy c. Société des traversiers du Québec, Commission municipale du Québec</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w:t>
            </w:r>
            <w:proofErr w:type="spellStart"/>
            <w:r w:rsidRPr="00ED66D3">
              <w:rPr>
                <w:rFonts w:eastAsia="Calibri"/>
                <w:sz w:val="20"/>
                <w:lang w:val="fr-CA"/>
              </w:rPr>
              <w:t>Qc</w:t>
            </w:r>
            <w:proofErr w:type="spellEnd"/>
            <w:r w:rsidRPr="00ED66D3">
              <w:rPr>
                <w:rFonts w:eastAsia="Calibri"/>
                <w:sz w:val="20"/>
                <w:lang w:val="fr-CA"/>
              </w:rPr>
              <w:t>) (Civile) (Autorisation)</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fr-FR"/>
              </w:rPr>
            </w:pPr>
            <w:r w:rsidRPr="00ED66D3">
              <w:rPr>
                <w:rFonts w:eastAsia="Calibri"/>
                <w:sz w:val="20"/>
                <w:lang w:val="fr-CA"/>
              </w:rPr>
              <w:t>Droit municipal – Règlements – Zonage – Droits acquis – Interprétation d’un règlement de zonage municipal – La Cour d’appel du Québec a-t-elle erré en droit en rejetant l’appel des demanderesses suite au jugement de la juge Lacroix de la Cour supérieure du Québec (district de Québec) rendu le 8 juillet 2014, accueillant la requête en mandamus et en jugement déclaratoire de l’intimée [Société des Traversiers du Québec]? – Sur les questions de fond de l’appel, la juge de première instance a-t-elle erré en refusant d’appliquer les exigences du règlement de zonage municipal quant au lot 11-4, et a-t-elle erré en statuant que le règlement autorisait le projet de construction de l’intimée, et que les « droits acquis » de l’intimée n’avaient pas été abandonnés en raison de discontinuité?</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fr-FR"/>
              </w:rPr>
            </w:pP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fr-CA"/>
              </w:rPr>
            </w:pPr>
            <w:r w:rsidRPr="00ED66D3">
              <w:rPr>
                <w:rFonts w:eastAsia="Calibri"/>
                <w:sz w:val="20"/>
                <w:lang w:val="fr-CA"/>
              </w:rPr>
              <w:t>Selon une entente avec la Province en 2009, la Société des traversiers du Québec (STQ) est désormais responsable pour le service de transport entre les deux rives de la rivière bifurquant la municipalité de Saint-Augustin. La STQ identifie le lot 11-4 comme le meilleur emplacement pour un nouveau projet de traversier. La municipalité refuse d’émettre un certificat de conformité au règlement de zonage municipal, indiquant que les dimensions du lot 11-4 et son utilisation proposée ne sont pas permises. La STQ interjette une requête en mandamus, se cherchant une déclaration quant à la conformité du lot et du projet en vertu de droits acquis.</w:t>
            </w:r>
          </w:p>
          <w:p w:rsidR="00ED66D3" w:rsidRPr="00ED66D3" w:rsidRDefault="00ED66D3" w:rsidP="00ED66D3">
            <w:pPr>
              <w:spacing w:line="276" w:lineRule="auto"/>
              <w:jc w:val="both"/>
              <w:rPr>
                <w:rFonts w:eastAsia="Calibri"/>
                <w:sz w:val="20"/>
                <w:lang w:val="fr-CA"/>
              </w:rPr>
            </w:pPr>
          </w:p>
          <w:p w:rsidR="00ED66D3" w:rsidRPr="00ED66D3" w:rsidRDefault="00ED66D3" w:rsidP="00ED66D3">
            <w:pPr>
              <w:spacing w:line="276" w:lineRule="auto"/>
              <w:jc w:val="both"/>
              <w:rPr>
                <w:rFonts w:eastAsia="Calibri"/>
                <w:sz w:val="20"/>
                <w:lang w:val="fr-FR"/>
              </w:rPr>
            </w:pPr>
            <w:r w:rsidRPr="00ED66D3">
              <w:rPr>
                <w:rFonts w:eastAsia="Calibri"/>
                <w:sz w:val="20"/>
                <w:lang w:val="fr-CA"/>
              </w:rPr>
              <w:lastRenderedPageBreak/>
              <w:t>La Cour supérieure du Québec accueille la requête de la STQ. L’usage proposé par la STQ pour le lot 11-4 n’est pas en cause puisque celui-ci est permis en vertu du règlement, et bien que le lot 11-4 ne soit pas conforme quant à ses dimensions, il possède tout de même des droits acquis selon les dispositions du règlement. La Cour ordonne l’émission d’un certificat indiquant que le projet de la STQ est conforme au règlement, et ordonne l’émission des permis d’autorisation et de construction nécessaires. La Cour d’appel du Québec rejette l’appel de la municipalité, indiquant que le pourvoi ne présentait aucune chance raisonnable de succès.</w:t>
            </w:r>
          </w:p>
          <w:p w:rsidR="00ED66D3" w:rsidRPr="00ED66D3" w:rsidRDefault="00ED66D3" w:rsidP="00ED66D3">
            <w:pPr>
              <w:spacing w:line="276" w:lineRule="auto"/>
              <w:jc w:val="both"/>
              <w:rPr>
                <w:rFonts w:eastAsia="Calibri"/>
                <w:sz w:val="20"/>
                <w:lang w:val="fr-FR"/>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fr-CA"/>
              </w:rPr>
            </w:pPr>
            <w:r w:rsidRPr="00ED66D3">
              <w:rPr>
                <w:rFonts w:eastAsia="Calibri"/>
                <w:sz w:val="20"/>
                <w:lang w:val="fr-CA"/>
              </w:rPr>
              <w:lastRenderedPageBreak/>
              <w:t>Le 8 juillet 2014</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Cour supérieure du Québec</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(La juge Lacroix)</w:t>
            </w:r>
          </w:p>
          <w:p w:rsidR="00ED66D3" w:rsidRPr="00ED66D3" w:rsidRDefault="00480458" w:rsidP="00ED66D3">
            <w:pPr>
              <w:spacing w:line="276" w:lineRule="auto"/>
              <w:jc w:val="both"/>
              <w:rPr>
                <w:rFonts w:eastAsia="Calibri"/>
                <w:sz w:val="20"/>
                <w:lang w:val="fr-CA"/>
              </w:rPr>
            </w:pPr>
            <w:hyperlink r:id="rId58" w:history="1">
              <w:r w:rsidR="00ED66D3" w:rsidRPr="005529E3">
                <w:rPr>
                  <w:rFonts w:eastAsia="Calibri"/>
                  <w:color w:val="0000FF" w:themeColor="hyperlink"/>
                  <w:sz w:val="20"/>
                  <w:u w:val="single"/>
                  <w:lang w:val="fr-CA"/>
                </w:rPr>
                <w:t>2014 QCCS 4657</w:t>
              </w:r>
            </w:hyperlink>
          </w:p>
          <w:p w:rsidR="00ED66D3" w:rsidRPr="00ED66D3" w:rsidRDefault="00ED66D3" w:rsidP="00ED66D3">
            <w:pPr>
              <w:spacing w:line="276" w:lineRule="auto"/>
              <w:jc w:val="both"/>
              <w:rPr>
                <w:rFonts w:eastAsia="Calibri"/>
                <w:sz w:val="20"/>
              </w:rPr>
            </w:pPr>
          </w:p>
        </w:tc>
        <w:tc>
          <w:tcPr>
            <w:tcW w:w="243" w:type="pct"/>
          </w:tcPr>
          <w:p w:rsidR="00ED66D3" w:rsidRPr="00ED66D3" w:rsidRDefault="00ED66D3" w:rsidP="00ED66D3">
            <w:pPr>
              <w:spacing w:line="276" w:lineRule="auto"/>
              <w:jc w:val="both"/>
              <w:rPr>
                <w:rFonts w:eastAsia="Calibri"/>
                <w:sz w:val="20"/>
              </w:rPr>
            </w:pPr>
          </w:p>
        </w:tc>
        <w:tc>
          <w:tcPr>
            <w:tcW w:w="2330" w:type="pct"/>
          </w:tcPr>
          <w:p w:rsidR="00ED66D3" w:rsidRPr="00ED66D3" w:rsidRDefault="00ED66D3" w:rsidP="00ED66D3">
            <w:pPr>
              <w:spacing w:line="276" w:lineRule="auto"/>
              <w:jc w:val="both"/>
              <w:rPr>
                <w:rFonts w:eastAsia="Calibri"/>
                <w:sz w:val="20"/>
                <w:lang w:val="fr-CA"/>
              </w:rPr>
            </w:pPr>
            <w:r w:rsidRPr="00ED66D3">
              <w:rPr>
                <w:rFonts w:eastAsia="Calibri"/>
                <w:sz w:val="20"/>
                <w:lang w:val="fr-CA"/>
              </w:rPr>
              <w:t>Requête de la Société des traversiers du Québec en mandamus et en jugement déclaratoire; accueillie</w:t>
            </w:r>
          </w:p>
          <w:p w:rsidR="00ED66D3" w:rsidRPr="00ED66D3" w:rsidRDefault="00ED66D3" w:rsidP="00ED66D3">
            <w:pPr>
              <w:spacing w:line="276" w:lineRule="auto"/>
              <w:jc w:val="both"/>
              <w:rPr>
                <w:rFonts w:eastAsia="Calibri"/>
                <w:sz w:val="20"/>
                <w:lang w:val="fr-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fr-CA"/>
              </w:rPr>
            </w:pPr>
            <w:r w:rsidRPr="00ED66D3">
              <w:rPr>
                <w:rFonts w:eastAsia="Calibri"/>
                <w:sz w:val="20"/>
                <w:lang w:val="fr-CA"/>
              </w:rPr>
              <w:t>Le 12 janvier 2015</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Cour d’appel du Québec (Québec)</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(Les juges Rochette, Pelletier et Giroux)</w:t>
            </w:r>
          </w:p>
          <w:p w:rsidR="00ED66D3" w:rsidRPr="00ED66D3" w:rsidRDefault="00480458" w:rsidP="00ED66D3">
            <w:pPr>
              <w:spacing w:line="276" w:lineRule="auto"/>
              <w:jc w:val="both"/>
              <w:rPr>
                <w:rFonts w:eastAsia="Calibri"/>
                <w:sz w:val="20"/>
                <w:lang w:val="fr-CA"/>
              </w:rPr>
            </w:pPr>
            <w:hyperlink r:id="rId59" w:history="1">
              <w:r w:rsidR="00ED66D3" w:rsidRPr="005529E3">
                <w:rPr>
                  <w:rFonts w:eastAsia="Calibri"/>
                  <w:color w:val="0000FF" w:themeColor="hyperlink"/>
                  <w:sz w:val="20"/>
                  <w:u w:val="single"/>
                  <w:lang w:val="fr-CA"/>
                </w:rPr>
                <w:t>2015 QCCA 27</w:t>
              </w:r>
            </w:hyperlink>
          </w:p>
          <w:p w:rsidR="00ED66D3" w:rsidRPr="00ED66D3" w:rsidRDefault="00ED66D3" w:rsidP="00ED66D3">
            <w:pPr>
              <w:spacing w:line="276" w:lineRule="auto"/>
              <w:jc w:val="both"/>
              <w:rPr>
                <w:rFonts w:eastAsia="Calibri"/>
                <w:sz w:val="20"/>
                <w:lang w:val="fr-CA"/>
              </w:rPr>
            </w:pPr>
          </w:p>
        </w:tc>
        <w:tc>
          <w:tcPr>
            <w:tcW w:w="243" w:type="pct"/>
          </w:tcPr>
          <w:p w:rsidR="00ED66D3" w:rsidRPr="00ED66D3" w:rsidRDefault="00ED66D3" w:rsidP="00ED66D3">
            <w:pPr>
              <w:spacing w:line="276" w:lineRule="auto"/>
              <w:jc w:val="both"/>
              <w:rPr>
                <w:rFonts w:eastAsia="Calibri"/>
                <w:sz w:val="20"/>
                <w:lang w:val="fr-FR"/>
              </w:rPr>
            </w:pPr>
          </w:p>
        </w:tc>
        <w:tc>
          <w:tcPr>
            <w:tcW w:w="2330" w:type="pct"/>
          </w:tcPr>
          <w:p w:rsidR="00ED66D3" w:rsidRPr="00ED66D3" w:rsidRDefault="00ED66D3" w:rsidP="00ED66D3">
            <w:pPr>
              <w:spacing w:line="276" w:lineRule="auto"/>
              <w:jc w:val="both"/>
              <w:rPr>
                <w:rFonts w:eastAsia="Calibri"/>
                <w:sz w:val="20"/>
                <w:lang w:val="fr-CA"/>
              </w:rPr>
            </w:pPr>
            <w:r w:rsidRPr="00ED66D3">
              <w:rPr>
                <w:rFonts w:eastAsia="Calibri"/>
                <w:sz w:val="20"/>
                <w:lang w:val="fr-CA"/>
              </w:rPr>
              <w:t>Appel de la municipalité de Saint-Augustin et de Madame Stéphanie Kennedy; rejeté</w:t>
            </w:r>
          </w:p>
          <w:p w:rsidR="00ED66D3" w:rsidRPr="00ED66D3" w:rsidRDefault="00ED66D3" w:rsidP="00ED66D3">
            <w:pPr>
              <w:spacing w:line="276" w:lineRule="auto"/>
              <w:jc w:val="both"/>
              <w:rPr>
                <w:rFonts w:eastAsia="Calibri"/>
                <w:sz w:val="20"/>
                <w:lang w:val="fr-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fr-CA"/>
              </w:rPr>
            </w:pPr>
            <w:r w:rsidRPr="00ED66D3">
              <w:rPr>
                <w:rFonts w:eastAsia="Calibri"/>
                <w:sz w:val="20"/>
                <w:lang w:val="fr-CA"/>
              </w:rPr>
              <w:t>Le 11 mars 2015</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Cour suprême du Canada</w:t>
            </w:r>
          </w:p>
          <w:p w:rsidR="00ED66D3" w:rsidRPr="00ED66D3" w:rsidRDefault="00ED66D3" w:rsidP="00ED66D3">
            <w:pPr>
              <w:spacing w:line="276" w:lineRule="auto"/>
              <w:jc w:val="both"/>
              <w:rPr>
                <w:rFonts w:eastAsia="Calibri"/>
                <w:sz w:val="20"/>
                <w:lang w:val="fr-FR"/>
              </w:rPr>
            </w:pPr>
          </w:p>
        </w:tc>
        <w:tc>
          <w:tcPr>
            <w:tcW w:w="243" w:type="pct"/>
          </w:tcPr>
          <w:p w:rsidR="00ED66D3" w:rsidRPr="00ED66D3" w:rsidRDefault="00ED66D3" w:rsidP="00ED66D3">
            <w:pPr>
              <w:spacing w:line="276" w:lineRule="auto"/>
              <w:jc w:val="both"/>
              <w:rPr>
                <w:rFonts w:eastAsia="Calibri"/>
                <w:sz w:val="20"/>
                <w:lang w:val="fr-FR"/>
              </w:rPr>
            </w:pPr>
          </w:p>
        </w:tc>
        <w:tc>
          <w:tcPr>
            <w:tcW w:w="2330" w:type="pct"/>
            <w:hideMark/>
          </w:tcPr>
          <w:p w:rsidR="00ED66D3" w:rsidRPr="00ED66D3" w:rsidRDefault="00ED66D3" w:rsidP="00ED66D3">
            <w:pPr>
              <w:spacing w:line="276" w:lineRule="auto"/>
              <w:jc w:val="both"/>
              <w:rPr>
                <w:rFonts w:eastAsia="Calibri"/>
                <w:sz w:val="20"/>
                <w:lang w:val="fr-CA"/>
              </w:rPr>
            </w:pPr>
            <w:r w:rsidRPr="00ED66D3">
              <w:rPr>
                <w:rFonts w:eastAsia="Calibri"/>
                <w:sz w:val="20"/>
                <w:lang w:val="fr-CA"/>
              </w:rPr>
              <w:t>Demande d’autorisation d’appel déposée</w:t>
            </w:r>
          </w:p>
        </w:tc>
      </w:tr>
    </w:tbl>
    <w:p w:rsidR="00ED66D3" w:rsidRPr="00606DEF" w:rsidRDefault="00ED66D3" w:rsidP="00ED66D3">
      <w:pPr>
        <w:jc w:val="both"/>
        <w:rPr>
          <w:rFonts w:eastAsia="Calibri"/>
          <w:sz w:val="20"/>
          <w:lang w:val="en-CA"/>
        </w:rPr>
      </w:pPr>
    </w:p>
    <w:tbl>
      <w:tblPr>
        <w:tblW w:w="4952" w:type="pct"/>
        <w:tblCellMar>
          <w:left w:w="0" w:type="dxa"/>
          <w:bottom w:w="99" w:type="dxa"/>
          <w:right w:w="0" w:type="dxa"/>
        </w:tblCellMar>
        <w:tblLook w:val="04A0" w:firstRow="1" w:lastRow="0" w:firstColumn="1" w:lastColumn="0" w:noHBand="0" w:noVBand="1"/>
      </w:tblPr>
      <w:tblGrid>
        <w:gridCol w:w="1007"/>
        <w:gridCol w:w="3424"/>
        <w:gridCol w:w="501"/>
        <w:gridCol w:w="4338"/>
      </w:tblGrid>
      <w:tr w:rsidR="00606DEF" w:rsidRPr="00606DEF" w:rsidTr="00606DEF">
        <w:tc>
          <w:tcPr>
            <w:tcW w:w="543" w:type="pct"/>
            <w:hideMark/>
          </w:tcPr>
          <w:p w:rsidR="00606DEF" w:rsidRPr="00606DEF" w:rsidRDefault="00606DEF" w:rsidP="00606DEF">
            <w:pPr>
              <w:spacing w:line="276" w:lineRule="auto"/>
              <w:jc w:val="both"/>
              <w:rPr>
                <w:rFonts w:eastAsia="Calibri"/>
                <w:sz w:val="20"/>
                <w:lang w:val="en-CA"/>
              </w:rPr>
            </w:pPr>
            <w:r w:rsidRPr="00606DEF">
              <w:rPr>
                <w:rFonts w:eastAsia="Calibri"/>
                <w:b/>
                <w:sz w:val="20"/>
                <w:lang w:val="fr-CA"/>
              </w:rPr>
              <w:t>36355</w:t>
            </w:r>
          </w:p>
        </w:tc>
        <w:tc>
          <w:tcPr>
            <w:tcW w:w="4457" w:type="pct"/>
            <w:gridSpan w:val="3"/>
            <w:hideMark/>
          </w:tcPr>
          <w:p w:rsidR="00606DEF" w:rsidRPr="00606DEF" w:rsidRDefault="00606DEF" w:rsidP="00606DEF">
            <w:pPr>
              <w:spacing w:line="276" w:lineRule="auto"/>
              <w:jc w:val="both"/>
              <w:rPr>
                <w:rFonts w:eastAsia="Calibri"/>
                <w:b/>
                <w:sz w:val="20"/>
                <w:lang w:val="en-CA"/>
              </w:rPr>
            </w:pPr>
            <w:proofErr w:type="spellStart"/>
            <w:r w:rsidRPr="00606DEF">
              <w:rPr>
                <w:rFonts w:eastAsia="Calibri"/>
                <w:b/>
                <w:sz w:val="20"/>
                <w:lang w:val="en-CA"/>
              </w:rPr>
              <w:t>Raynald</w:t>
            </w:r>
            <w:proofErr w:type="spellEnd"/>
            <w:r w:rsidRPr="00606DEF">
              <w:rPr>
                <w:rFonts w:eastAsia="Calibri"/>
                <w:b/>
                <w:sz w:val="20"/>
                <w:lang w:val="en-CA"/>
              </w:rPr>
              <w:t xml:space="preserve"> </w:t>
            </w:r>
            <w:proofErr w:type="spellStart"/>
            <w:r w:rsidRPr="00606DEF">
              <w:rPr>
                <w:rFonts w:eastAsia="Calibri"/>
                <w:b/>
                <w:sz w:val="20"/>
                <w:lang w:val="en-CA"/>
              </w:rPr>
              <w:t>Grenier</w:t>
            </w:r>
            <w:proofErr w:type="spellEnd"/>
            <w:r w:rsidRPr="00606DEF">
              <w:rPr>
                <w:rFonts w:eastAsia="Calibri"/>
                <w:b/>
                <w:sz w:val="20"/>
                <w:lang w:val="en-CA"/>
              </w:rPr>
              <w:t xml:space="preserve"> v. Daniel St-</w:t>
            </w:r>
            <w:proofErr w:type="spellStart"/>
            <w:r w:rsidRPr="00606DEF">
              <w:rPr>
                <w:rFonts w:eastAsia="Calibri"/>
                <w:b/>
                <w:sz w:val="20"/>
                <w:lang w:val="en-CA"/>
              </w:rPr>
              <w:t>Hilaire</w:t>
            </w:r>
            <w:proofErr w:type="spellEnd"/>
            <w:r w:rsidRPr="00606DEF">
              <w:rPr>
                <w:rFonts w:eastAsia="Calibri"/>
                <w:b/>
                <w:sz w:val="20"/>
                <w:lang w:val="en-CA"/>
              </w:rPr>
              <w:t xml:space="preserve">, </w:t>
            </w:r>
            <w:proofErr w:type="spellStart"/>
            <w:r w:rsidRPr="00606DEF">
              <w:rPr>
                <w:rFonts w:eastAsia="Calibri"/>
                <w:b/>
                <w:sz w:val="20"/>
                <w:lang w:val="en-CA"/>
              </w:rPr>
              <w:t>Louisette</w:t>
            </w:r>
            <w:proofErr w:type="spellEnd"/>
            <w:r w:rsidRPr="00606DEF">
              <w:rPr>
                <w:rFonts w:eastAsia="Calibri"/>
                <w:b/>
                <w:sz w:val="20"/>
                <w:lang w:val="en-CA"/>
              </w:rPr>
              <w:t xml:space="preserve"> </w:t>
            </w:r>
            <w:proofErr w:type="spellStart"/>
            <w:r w:rsidRPr="00606DEF">
              <w:rPr>
                <w:rFonts w:eastAsia="Calibri"/>
                <w:b/>
                <w:sz w:val="20"/>
                <w:lang w:val="en-CA"/>
              </w:rPr>
              <w:t>Labrecque</w:t>
            </w:r>
            <w:proofErr w:type="spellEnd"/>
          </w:p>
          <w:p w:rsidR="00606DEF" w:rsidRPr="00606DEF" w:rsidRDefault="00606DEF" w:rsidP="00606DEF">
            <w:pPr>
              <w:spacing w:line="276" w:lineRule="auto"/>
              <w:jc w:val="both"/>
              <w:rPr>
                <w:rFonts w:eastAsia="Calibri"/>
                <w:sz w:val="20"/>
                <w:lang w:val="en-CA"/>
              </w:rPr>
            </w:pPr>
            <w:r w:rsidRPr="00606DEF">
              <w:rPr>
                <w:rFonts w:eastAsia="Calibri"/>
                <w:sz w:val="20"/>
                <w:lang w:val="en-CA"/>
              </w:rPr>
              <w:t>(Que.) (Civil) (By Leave)</w:t>
            </w:r>
          </w:p>
        </w:tc>
      </w:tr>
      <w:tr w:rsidR="00606DEF" w:rsidRPr="00606DEF" w:rsidTr="00606DEF">
        <w:tc>
          <w:tcPr>
            <w:tcW w:w="5000" w:type="pct"/>
            <w:gridSpan w:val="4"/>
          </w:tcPr>
          <w:p w:rsidR="00606DEF" w:rsidRPr="00606DEF" w:rsidRDefault="00606DEF" w:rsidP="00606DEF">
            <w:pPr>
              <w:spacing w:line="276" w:lineRule="auto"/>
              <w:jc w:val="both"/>
              <w:rPr>
                <w:rFonts w:eastAsia="Calibri"/>
                <w:sz w:val="20"/>
                <w:lang w:val="en-CA"/>
              </w:rPr>
            </w:pPr>
            <w:r w:rsidRPr="00606DEF">
              <w:rPr>
                <w:rFonts w:eastAsia="Calibri"/>
                <w:sz w:val="20"/>
                <w:lang w:val="en-CA"/>
              </w:rPr>
              <w:t>Judgments and orders – Reasons – Motion to dismiss appeal allowed by Court of Appeal – Motion for reasons and for leave to appeal out of time struck – Sufficiency of reasons – Legal and judicial certainty – Whether decisions to dismiss appeal and to strike motion for leave to appeal out of time and for reasons were well founded and supported by sufficient reasons.</w:t>
            </w:r>
          </w:p>
          <w:p w:rsidR="00606DEF" w:rsidRPr="00606DEF" w:rsidRDefault="00606DEF" w:rsidP="00606DEF">
            <w:pPr>
              <w:spacing w:line="276" w:lineRule="auto"/>
              <w:jc w:val="both"/>
              <w:rPr>
                <w:rFonts w:eastAsia="Calibri"/>
                <w:sz w:val="20"/>
                <w:lang w:val="en-CA"/>
              </w:rPr>
            </w:pPr>
          </w:p>
        </w:tc>
      </w:tr>
      <w:tr w:rsidR="00606DEF" w:rsidRPr="00606DEF" w:rsidTr="00606DEF">
        <w:tc>
          <w:tcPr>
            <w:tcW w:w="5000" w:type="pct"/>
            <w:gridSpan w:val="4"/>
          </w:tcPr>
          <w:p w:rsidR="00606DEF" w:rsidRPr="00606DEF" w:rsidRDefault="00606DEF" w:rsidP="00606DEF">
            <w:pPr>
              <w:spacing w:line="276" w:lineRule="auto"/>
              <w:jc w:val="both"/>
              <w:rPr>
                <w:sz w:val="20"/>
                <w:lang w:val="en-CA" w:eastAsia="en-CA"/>
              </w:rPr>
            </w:pPr>
            <w:r w:rsidRPr="00606DEF">
              <w:rPr>
                <w:sz w:val="20"/>
                <w:lang w:val="en-CA" w:eastAsia="en-CA"/>
              </w:rPr>
              <w:t>Mr. </w:t>
            </w:r>
            <w:proofErr w:type="spellStart"/>
            <w:r w:rsidRPr="00606DEF">
              <w:rPr>
                <w:sz w:val="20"/>
                <w:lang w:val="en-CA" w:eastAsia="en-CA"/>
              </w:rPr>
              <w:t>Grenier</w:t>
            </w:r>
            <w:proofErr w:type="spellEnd"/>
            <w:r w:rsidRPr="00606DEF">
              <w:rPr>
                <w:sz w:val="20"/>
                <w:lang w:val="en-CA" w:eastAsia="en-CA"/>
              </w:rPr>
              <w:t xml:space="preserve">, the applicant, filed a motion in the Court of Quebec for leave to appeal from two decisions of the </w:t>
            </w:r>
            <w:proofErr w:type="spellStart"/>
            <w:r w:rsidRPr="00606DEF">
              <w:rPr>
                <w:sz w:val="20"/>
                <w:lang w:val="en-CA" w:eastAsia="en-CA"/>
              </w:rPr>
              <w:t>Régie</w:t>
            </w:r>
            <w:proofErr w:type="spellEnd"/>
            <w:r w:rsidRPr="00606DEF">
              <w:rPr>
                <w:sz w:val="20"/>
                <w:lang w:val="en-CA" w:eastAsia="en-CA"/>
              </w:rPr>
              <w:t xml:space="preserve"> du </w:t>
            </w:r>
            <w:proofErr w:type="spellStart"/>
            <w:r w:rsidRPr="00606DEF">
              <w:rPr>
                <w:sz w:val="20"/>
                <w:lang w:val="en-CA" w:eastAsia="en-CA"/>
              </w:rPr>
              <w:t>logement</w:t>
            </w:r>
            <w:proofErr w:type="spellEnd"/>
            <w:r w:rsidRPr="00606DEF">
              <w:rPr>
                <w:sz w:val="20"/>
                <w:lang w:val="en-CA" w:eastAsia="en-CA"/>
              </w:rPr>
              <w:t xml:space="preserve"> [Quebec rental board], the first ordering him to carry out work on a dwelling rented to the respondents and to pay an amount as a rent reduction, and the second dismissing his motion in revocation regarding the first decision. </w:t>
            </w:r>
          </w:p>
          <w:p w:rsidR="00606DEF" w:rsidRPr="00606DEF" w:rsidRDefault="00606DEF" w:rsidP="00606DEF">
            <w:pPr>
              <w:spacing w:line="276" w:lineRule="auto"/>
              <w:jc w:val="both"/>
              <w:rPr>
                <w:rFonts w:eastAsia="Calibri"/>
                <w:sz w:val="20"/>
                <w:lang w:val="en-CA"/>
              </w:rPr>
            </w:pPr>
          </w:p>
        </w:tc>
      </w:tr>
      <w:tr w:rsidR="00606DEF" w:rsidRPr="00606DEF" w:rsidTr="00606DEF">
        <w:tc>
          <w:tcPr>
            <w:tcW w:w="2390" w:type="pct"/>
            <w:gridSpan w:val="2"/>
            <w:tcMar>
              <w:top w:w="0" w:type="dxa"/>
              <w:left w:w="0" w:type="dxa"/>
              <w:bottom w:w="0" w:type="dxa"/>
              <w:right w:w="0" w:type="dxa"/>
            </w:tcMar>
          </w:tcPr>
          <w:p w:rsidR="00606DEF" w:rsidRPr="00606DEF" w:rsidRDefault="00606DEF" w:rsidP="00606DEF">
            <w:pPr>
              <w:spacing w:line="276" w:lineRule="auto"/>
              <w:rPr>
                <w:sz w:val="20"/>
                <w:lang w:val="fr-CA" w:eastAsia="en-CA"/>
              </w:rPr>
            </w:pPr>
            <w:proofErr w:type="spellStart"/>
            <w:r w:rsidRPr="00606DEF">
              <w:rPr>
                <w:sz w:val="20"/>
                <w:lang w:val="fr-CA" w:eastAsia="en-CA"/>
              </w:rPr>
              <w:t>September</w:t>
            </w:r>
            <w:proofErr w:type="spellEnd"/>
            <w:r w:rsidRPr="00606DEF">
              <w:rPr>
                <w:sz w:val="20"/>
                <w:lang w:val="fr-CA" w:eastAsia="en-CA"/>
              </w:rPr>
              <w:t xml:space="preserve"> 11, 2013</w:t>
            </w:r>
          </w:p>
          <w:p w:rsidR="00606DEF" w:rsidRPr="00606DEF" w:rsidRDefault="00606DEF" w:rsidP="00606DEF">
            <w:pPr>
              <w:spacing w:line="276" w:lineRule="auto"/>
              <w:rPr>
                <w:sz w:val="20"/>
                <w:lang w:val="fr-CA" w:eastAsia="en-CA"/>
              </w:rPr>
            </w:pPr>
            <w:r w:rsidRPr="00606DEF">
              <w:rPr>
                <w:sz w:val="20"/>
                <w:lang w:val="fr-CA" w:eastAsia="en-CA"/>
              </w:rPr>
              <w:t>Régie du logement du Québec</w:t>
            </w:r>
          </w:p>
          <w:p w:rsidR="00606DEF" w:rsidRPr="00606DEF" w:rsidRDefault="00606DEF" w:rsidP="00606DEF">
            <w:pPr>
              <w:spacing w:line="276" w:lineRule="auto"/>
              <w:rPr>
                <w:sz w:val="20"/>
                <w:lang w:val="en-CA" w:eastAsia="en-CA"/>
              </w:rPr>
            </w:pPr>
            <w:r w:rsidRPr="00606DEF">
              <w:rPr>
                <w:sz w:val="20"/>
                <w:lang w:val="en-CA" w:eastAsia="en-CA"/>
              </w:rPr>
              <w:t>(Commissioner Leclerc)</w:t>
            </w:r>
          </w:p>
          <w:p w:rsidR="00606DEF" w:rsidRPr="00606DEF" w:rsidRDefault="00480458" w:rsidP="00606DEF">
            <w:pPr>
              <w:spacing w:line="276" w:lineRule="auto"/>
              <w:rPr>
                <w:sz w:val="20"/>
                <w:lang w:val="en-CA" w:eastAsia="en-CA"/>
              </w:rPr>
            </w:pPr>
            <w:hyperlink r:id="rId60" w:history="1">
              <w:r w:rsidR="00606DEF" w:rsidRPr="00606DEF">
                <w:rPr>
                  <w:color w:val="0000FF" w:themeColor="hyperlink"/>
                  <w:sz w:val="20"/>
                  <w:u w:val="single"/>
                  <w:lang w:val="en-CA" w:eastAsia="en-CA"/>
                </w:rPr>
                <w:t>2013 QCRDL 30434</w:t>
              </w:r>
            </w:hyperlink>
          </w:p>
          <w:p w:rsidR="00606DEF" w:rsidRPr="00606DEF" w:rsidRDefault="00606DEF" w:rsidP="00606DEF">
            <w:pPr>
              <w:spacing w:line="276" w:lineRule="auto"/>
              <w:rPr>
                <w:sz w:val="20"/>
                <w:lang w:val="en-CA" w:eastAsia="en-CA"/>
              </w:rPr>
            </w:pPr>
          </w:p>
        </w:tc>
        <w:tc>
          <w:tcPr>
            <w:tcW w:w="270" w:type="pct"/>
            <w:tcMar>
              <w:top w:w="0" w:type="dxa"/>
              <w:left w:w="0" w:type="dxa"/>
              <w:bottom w:w="0" w:type="dxa"/>
              <w:right w:w="0" w:type="dxa"/>
            </w:tcMar>
          </w:tcPr>
          <w:p w:rsidR="00606DEF" w:rsidRPr="00606DEF" w:rsidRDefault="00606DEF" w:rsidP="00606DEF">
            <w:pPr>
              <w:spacing w:line="276" w:lineRule="auto"/>
              <w:rPr>
                <w:sz w:val="20"/>
                <w:lang w:val="en-CA" w:eastAsia="en-CA"/>
              </w:rPr>
            </w:pPr>
          </w:p>
        </w:tc>
        <w:tc>
          <w:tcPr>
            <w:tcW w:w="2340" w:type="pct"/>
            <w:tcMar>
              <w:top w:w="0" w:type="dxa"/>
              <w:left w:w="0" w:type="dxa"/>
              <w:bottom w:w="0" w:type="dxa"/>
              <w:right w:w="0" w:type="dxa"/>
            </w:tcMar>
          </w:tcPr>
          <w:p w:rsidR="00606DEF" w:rsidRPr="00606DEF" w:rsidRDefault="00606DEF" w:rsidP="00606DEF">
            <w:pPr>
              <w:spacing w:line="276" w:lineRule="auto"/>
              <w:jc w:val="both"/>
              <w:rPr>
                <w:sz w:val="20"/>
                <w:lang w:val="en-CA" w:eastAsia="en-CA"/>
              </w:rPr>
            </w:pPr>
            <w:r w:rsidRPr="00606DEF">
              <w:rPr>
                <w:sz w:val="20"/>
                <w:lang w:val="en-CA" w:eastAsia="en-CA"/>
              </w:rPr>
              <w:t xml:space="preserve">Application for </w:t>
            </w:r>
            <w:proofErr w:type="spellStart"/>
            <w:r w:rsidRPr="00606DEF">
              <w:rPr>
                <w:sz w:val="20"/>
                <w:lang w:val="en-CA" w:eastAsia="en-CA"/>
              </w:rPr>
              <w:t>resiliation</w:t>
            </w:r>
            <w:proofErr w:type="spellEnd"/>
            <w:r w:rsidRPr="00606DEF">
              <w:rPr>
                <w:sz w:val="20"/>
                <w:lang w:val="en-CA" w:eastAsia="en-CA"/>
              </w:rPr>
              <w:t xml:space="preserve"> of lease, eviction of tenants and recovery of rent dismissed; application for carrying out of work and reduction of rent allowed in part</w:t>
            </w:r>
          </w:p>
          <w:p w:rsidR="00606DEF" w:rsidRPr="00606DEF" w:rsidRDefault="00606DEF" w:rsidP="00606DEF">
            <w:pPr>
              <w:spacing w:line="276" w:lineRule="auto"/>
              <w:jc w:val="both"/>
              <w:rPr>
                <w:sz w:val="20"/>
                <w:lang w:val="en-CA" w:eastAsia="en-CA"/>
              </w:rPr>
            </w:pPr>
          </w:p>
        </w:tc>
      </w:tr>
      <w:tr w:rsidR="00606DEF" w:rsidRPr="00606DEF" w:rsidTr="00606DEF">
        <w:tc>
          <w:tcPr>
            <w:tcW w:w="2390" w:type="pct"/>
            <w:gridSpan w:val="2"/>
            <w:tcMar>
              <w:top w:w="0" w:type="dxa"/>
              <w:left w:w="0" w:type="dxa"/>
              <w:bottom w:w="0" w:type="dxa"/>
              <w:right w:w="0" w:type="dxa"/>
            </w:tcMar>
          </w:tcPr>
          <w:p w:rsidR="00606DEF" w:rsidRPr="00606DEF" w:rsidRDefault="00606DEF" w:rsidP="00606DEF">
            <w:pPr>
              <w:spacing w:line="276" w:lineRule="auto"/>
              <w:rPr>
                <w:sz w:val="20"/>
                <w:lang w:val="fr-CA" w:eastAsia="en-CA"/>
              </w:rPr>
            </w:pPr>
            <w:proofErr w:type="spellStart"/>
            <w:r w:rsidRPr="00606DEF">
              <w:rPr>
                <w:sz w:val="20"/>
                <w:lang w:val="fr-CA" w:eastAsia="en-CA"/>
              </w:rPr>
              <w:t>February</w:t>
            </w:r>
            <w:proofErr w:type="spellEnd"/>
            <w:r w:rsidRPr="00606DEF">
              <w:rPr>
                <w:sz w:val="20"/>
                <w:lang w:val="fr-CA" w:eastAsia="en-CA"/>
              </w:rPr>
              <w:t xml:space="preserve"> 10, 2014</w:t>
            </w:r>
          </w:p>
          <w:p w:rsidR="00606DEF" w:rsidRPr="00606DEF" w:rsidRDefault="00606DEF" w:rsidP="00606DEF">
            <w:pPr>
              <w:spacing w:line="276" w:lineRule="auto"/>
              <w:rPr>
                <w:sz w:val="20"/>
                <w:lang w:val="fr-CA" w:eastAsia="en-CA"/>
              </w:rPr>
            </w:pPr>
            <w:r w:rsidRPr="00606DEF">
              <w:rPr>
                <w:sz w:val="20"/>
                <w:lang w:val="fr-CA" w:eastAsia="en-CA"/>
              </w:rPr>
              <w:t>Régie du logement du Québec</w:t>
            </w:r>
          </w:p>
          <w:p w:rsidR="00606DEF" w:rsidRPr="00606DEF" w:rsidRDefault="00606DEF" w:rsidP="00606DEF">
            <w:pPr>
              <w:spacing w:line="276" w:lineRule="auto"/>
              <w:rPr>
                <w:sz w:val="20"/>
                <w:lang w:val="en-CA" w:eastAsia="en-CA"/>
              </w:rPr>
            </w:pPr>
            <w:r w:rsidRPr="00606DEF">
              <w:rPr>
                <w:sz w:val="20"/>
                <w:lang w:val="en-CA" w:eastAsia="en-CA"/>
              </w:rPr>
              <w:t xml:space="preserve">(Commissioner </w:t>
            </w:r>
            <w:proofErr w:type="spellStart"/>
            <w:r w:rsidRPr="00606DEF">
              <w:rPr>
                <w:sz w:val="20"/>
                <w:lang w:val="en-CA" w:eastAsia="en-CA"/>
              </w:rPr>
              <w:t>Courtemanche</w:t>
            </w:r>
            <w:proofErr w:type="spellEnd"/>
            <w:r w:rsidRPr="00606DEF">
              <w:rPr>
                <w:sz w:val="20"/>
                <w:lang w:val="en-CA" w:eastAsia="en-CA"/>
              </w:rPr>
              <w:t>)</w:t>
            </w:r>
          </w:p>
          <w:p w:rsidR="00606DEF" w:rsidRPr="00606DEF" w:rsidRDefault="00480458" w:rsidP="00606DEF">
            <w:pPr>
              <w:spacing w:line="276" w:lineRule="auto"/>
              <w:rPr>
                <w:sz w:val="20"/>
                <w:lang w:val="en-CA" w:eastAsia="en-CA"/>
              </w:rPr>
            </w:pPr>
            <w:hyperlink r:id="rId61" w:history="1">
              <w:r w:rsidR="00606DEF" w:rsidRPr="00606DEF">
                <w:rPr>
                  <w:color w:val="0000FF" w:themeColor="hyperlink"/>
                  <w:sz w:val="20"/>
                  <w:u w:val="single"/>
                  <w:lang w:val="en-CA" w:eastAsia="en-CA"/>
                </w:rPr>
                <w:t>2014 QCRDL 4567</w:t>
              </w:r>
            </w:hyperlink>
          </w:p>
          <w:p w:rsidR="00606DEF" w:rsidRPr="00606DEF" w:rsidRDefault="00606DEF" w:rsidP="00606DEF">
            <w:pPr>
              <w:spacing w:line="276" w:lineRule="auto"/>
              <w:rPr>
                <w:sz w:val="20"/>
                <w:lang w:val="en-CA" w:eastAsia="en-CA"/>
              </w:rPr>
            </w:pPr>
          </w:p>
        </w:tc>
        <w:tc>
          <w:tcPr>
            <w:tcW w:w="270" w:type="pct"/>
            <w:tcMar>
              <w:top w:w="0" w:type="dxa"/>
              <w:left w:w="0" w:type="dxa"/>
              <w:bottom w:w="0" w:type="dxa"/>
              <w:right w:w="0" w:type="dxa"/>
            </w:tcMar>
          </w:tcPr>
          <w:p w:rsidR="00606DEF" w:rsidRPr="00606DEF" w:rsidRDefault="00606DEF" w:rsidP="00606DEF">
            <w:pPr>
              <w:spacing w:line="276" w:lineRule="auto"/>
              <w:rPr>
                <w:sz w:val="20"/>
                <w:lang w:val="en-CA" w:eastAsia="en-CA"/>
              </w:rPr>
            </w:pPr>
          </w:p>
        </w:tc>
        <w:tc>
          <w:tcPr>
            <w:tcW w:w="2340" w:type="pct"/>
            <w:tcMar>
              <w:top w:w="0" w:type="dxa"/>
              <w:left w:w="0" w:type="dxa"/>
              <w:bottom w:w="0" w:type="dxa"/>
              <w:right w:w="0" w:type="dxa"/>
            </w:tcMar>
            <w:hideMark/>
          </w:tcPr>
          <w:p w:rsidR="00606DEF" w:rsidRPr="00606DEF" w:rsidRDefault="00606DEF" w:rsidP="00606DEF">
            <w:pPr>
              <w:spacing w:line="276" w:lineRule="auto"/>
              <w:jc w:val="both"/>
              <w:rPr>
                <w:sz w:val="20"/>
                <w:lang w:val="en-CA" w:eastAsia="en-CA"/>
              </w:rPr>
            </w:pPr>
            <w:r w:rsidRPr="00606DEF">
              <w:rPr>
                <w:sz w:val="20"/>
                <w:lang w:val="en-CA" w:eastAsia="en-CA"/>
              </w:rPr>
              <w:t>Motion in revocation of decision dated September 11, 2013, dismissed</w:t>
            </w:r>
          </w:p>
        </w:tc>
      </w:tr>
      <w:tr w:rsidR="00606DEF" w:rsidRPr="00606DEF" w:rsidTr="00606DEF">
        <w:tc>
          <w:tcPr>
            <w:tcW w:w="2390" w:type="pct"/>
            <w:gridSpan w:val="2"/>
            <w:tcMar>
              <w:top w:w="0" w:type="dxa"/>
              <w:left w:w="0" w:type="dxa"/>
              <w:bottom w:w="0" w:type="dxa"/>
              <w:right w:w="0" w:type="dxa"/>
            </w:tcMar>
          </w:tcPr>
          <w:p w:rsidR="00606DEF" w:rsidRPr="00606DEF" w:rsidRDefault="00606DEF" w:rsidP="00606DEF">
            <w:pPr>
              <w:spacing w:line="276" w:lineRule="auto"/>
              <w:rPr>
                <w:sz w:val="20"/>
                <w:lang w:val="en-CA" w:eastAsia="en-CA"/>
              </w:rPr>
            </w:pPr>
            <w:r w:rsidRPr="00606DEF">
              <w:rPr>
                <w:sz w:val="20"/>
                <w:lang w:val="en-CA" w:eastAsia="en-CA"/>
              </w:rPr>
              <w:t>June 18, 2014</w:t>
            </w:r>
          </w:p>
          <w:p w:rsidR="00606DEF" w:rsidRPr="00606DEF" w:rsidRDefault="00606DEF" w:rsidP="00606DEF">
            <w:pPr>
              <w:spacing w:line="276" w:lineRule="auto"/>
              <w:rPr>
                <w:sz w:val="20"/>
                <w:lang w:val="en-CA" w:eastAsia="en-CA"/>
              </w:rPr>
            </w:pPr>
            <w:r w:rsidRPr="00606DEF">
              <w:rPr>
                <w:sz w:val="20"/>
                <w:lang w:val="en-CA" w:eastAsia="en-CA"/>
              </w:rPr>
              <w:t>Court of Quebec</w:t>
            </w:r>
          </w:p>
          <w:p w:rsidR="00606DEF" w:rsidRPr="00606DEF" w:rsidRDefault="00606DEF" w:rsidP="00606DEF">
            <w:pPr>
              <w:spacing w:line="276" w:lineRule="auto"/>
              <w:rPr>
                <w:sz w:val="20"/>
                <w:lang w:val="en-CA" w:eastAsia="en-CA"/>
              </w:rPr>
            </w:pPr>
            <w:r w:rsidRPr="00606DEF">
              <w:rPr>
                <w:sz w:val="20"/>
                <w:lang w:val="en-CA" w:eastAsia="en-CA"/>
              </w:rPr>
              <w:t>(Gagnon J.)</w:t>
            </w:r>
          </w:p>
          <w:p w:rsidR="00606DEF" w:rsidRPr="00606DEF" w:rsidRDefault="00480458" w:rsidP="00606DEF">
            <w:pPr>
              <w:spacing w:line="276" w:lineRule="auto"/>
              <w:rPr>
                <w:rFonts w:eastAsia="Calibri"/>
                <w:sz w:val="20"/>
                <w:lang w:val="en-CA"/>
              </w:rPr>
            </w:pPr>
            <w:hyperlink r:id="rId62" w:history="1">
              <w:r w:rsidR="00606DEF" w:rsidRPr="00606DEF">
                <w:rPr>
                  <w:color w:val="0000FF" w:themeColor="hyperlink"/>
                  <w:sz w:val="20"/>
                  <w:u w:val="single"/>
                  <w:lang w:val="en-CA" w:eastAsia="en-CA"/>
                </w:rPr>
                <w:t>2014 QCCQ 5852</w:t>
              </w:r>
            </w:hyperlink>
          </w:p>
          <w:p w:rsidR="00606DEF" w:rsidRPr="00606DEF" w:rsidRDefault="00606DEF" w:rsidP="00606DEF">
            <w:pPr>
              <w:spacing w:line="276" w:lineRule="auto"/>
              <w:rPr>
                <w:sz w:val="20"/>
                <w:lang w:val="en-CA" w:eastAsia="en-CA"/>
              </w:rPr>
            </w:pPr>
          </w:p>
        </w:tc>
        <w:tc>
          <w:tcPr>
            <w:tcW w:w="270" w:type="pct"/>
            <w:tcMar>
              <w:top w:w="0" w:type="dxa"/>
              <w:left w:w="0" w:type="dxa"/>
              <w:bottom w:w="0" w:type="dxa"/>
              <w:right w:w="0" w:type="dxa"/>
            </w:tcMar>
          </w:tcPr>
          <w:p w:rsidR="00606DEF" w:rsidRPr="00606DEF" w:rsidRDefault="00606DEF" w:rsidP="00606DEF">
            <w:pPr>
              <w:spacing w:line="276" w:lineRule="auto"/>
              <w:rPr>
                <w:sz w:val="20"/>
                <w:lang w:val="en-CA" w:eastAsia="en-CA"/>
              </w:rPr>
            </w:pPr>
          </w:p>
        </w:tc>
        <w:tc>
          <w:tcPr>
            <w:tcW w:w="2340" w:type="pct"/>
            <w:tcMar>
              <w:top w:w="0" w:type="dxa"/>
              <w:left w:w="0" w:type="dxa"/>
              <w:bottom w:w="0" w:type="dxa"/>
              <w:right w:w="0" w:type="dxa"/>
            </w:tcMar>
            <w:hideMark/>
          </w:tcPr>
          <w:p w:rsidR="00606DEF" w:rsidRPr="00606DEF" w:rsidRDefault="00606DEF" w:rsidP="00606DEF">
            <w:pPr>
              <w:spacing w:line="276" w:lineRule="auto"/>
              <w:jc w:val="both"/>
              <w:rPr>
                <w:sz w:val="20"/>
                <w:lang w:val="en-CA" w:eastAsia="en-CA"/>
              </w:rPr>
            </w:pPr>
            <w:r w:rsidRPr="00606DEF">
              <w:rPr>
                <w:sz w:val="20"/>
                <w:lang w:val="en-CA" w:eastAsia="en-CA"/>
              </w:rPr>
              <w:t xml:space="preserve">Motion for non-suit and dismissal allowed; motion for leave to appeal from decisions of  </w:t>
            </w:r>
            <w:proofErr w:type="spellStart"/>
            <w:r w:rsidRPr="00606DEF">
              <w:rPr>
                <w:sz w:val="20"/>
                <w:lang w:val="en-CA" w:eastAsia="en-CA"/>
              </w:rPr>
              <w:t>Régie</w:t>
            </w:r>
            <w:proofErr w:type="spellEnd"/>
            <w:r w:rsidRPr="00606DEF">
              <w:rPr>
                <w:sz w:val="20"/>
                <w:lang w:val="en-CA" w:eastAsia="en-CA"/>
              </w:rPr>
              <w:t xml:space="preserve"> du </w:t>
            </w:r>
            <w:proofErr w:type="spellStart"/>
            <w:r w:rsidRPr="00606DEF">
              <w:rPr>
                <w:sz w:val="20"/>
                <w:lang w:val="en-CA" w:eastAsia="en-CA"/>
              </w:rPr>
              <w:t>logement</w:t>
            </w:r>
            <w:proofErr w:type="spellEnd"/>
            <w:r w:rsidRPr="00606DEF">
              <w:rPr>
                <w:sz w:val="20"/>
                <w:lang w:val="en-CA" w:eastAsia="en-CA"/>
              </w:rPr>
              <w:t xml:space="preserve"> dismissed</w:t>
            </w:r>
          </w:p>
        </w:tc>
      </w:tr>
      <w:tr w:rsidR="00606DEF" w:rsidRPr="00606DEF" w:rsidTr="00606DEF">
        <w:tc>
          <w:tcPr>
            <w:tcW w:w="2390" w:type="pct"/>
            <w:gridSpan w:val="2"/>
            <w:tcMar>
              <w:top w:w="0" w:type="dxa"/>
              <w:left w:w="0" w:type="dxa"/>
              <w:bottom w:w="0" w:type="dxa"/>
              <w:right w:w="0" w:type="dxa"/>
            </w:tcMar>
          </w:tcPr>
          <w:p w:rsidR="00606DEF" w:rsidRPr="00606DEF" w:rsidRDefault="00606DEF" w:rsidP="00606DEF">
            <w:pPr>
              <w:spacing w:line="276" w:lineRule="auto"/>
              <w:rPr>
                <w:sz w:val="20"/>
                <w:lang w:val="en-CA" w:eastAsia="en-CA"/>
              </w:rPr>
            </w:pPr>
            <w:r w:rsidRPr="00606DEF">
              <w:rPr>
                <w:sz w:val="20"/>
                <w:lang w:val="en-CA" w:eastAsia="en-CA"/>
              </w:rPr>
              <w:lastRenderedPageBreak/>
              <w:t>September 10, 2014</w:t>
            </w:r>
          </w:p>
          <w:p w:rsidR="00606DEF" w:rsidRPr="00606DEF" w:rsidRDefault="00606DEF" w:rsidP="00606DEF">
            <w:pPr>
              <w:spacing w:line="276" w:lineRule="auto"/>
              <w:rPr>
                <w:sz w:val="20"/>
                <w:lang w:val="en-CA" w:eastAsia="en-CA"/>
              </w:rPr>
            </w:pPr>
            <w:r w:rsidRPr="00606DEF">
              <w:rPr>
                <w:sz w:val="20"/>
                <w:lang w:val="en-CA" w:eastAsia="en-CA"/>
              </w:rPr>
              <w:t>Quebec Superior Court</w:t>
            </w:r>
          </w:p>
          <w:p w:rsidR="00606DEF" w:rsidRPr="00606DEF" w:rsidRDefault="00606DEF" w:rsidP="00606DEF">
            <w:pPr>
              <w:spacing w:line="276" w:lineRule="auto"/>
              <w:rPr>
                <w:sz w:val="20"/>
                <w:lang w:val="en-CA" w:eastAsia="en-CA"/>
              </w:rPr>
            </w:pPr>
            <w:r w:rsidRPr="00606DEF">
              <w:rPr>
                <w:sz w:val="20"/>
                <w:lang w:val="en-CA" w:eastAsia="en-CA"/>
              </w:rPr>
              <w:t>(Paradis J.)</w:t>
            </w:r>
          </w:p>
          <w:p w:rsidR="00606DEF" w:rsidRPr="00606DEF" w:rsidRDefault="00606DEF" w:rsidP="00606DEF">
            <w:pPr>
              <w:spacing w:line="276" w:lineRule="auto"/>
              <w:rPr>
                <w:sz w:val="20"/>
                <w:lang w:val="en-CA" w:eastAsia="en-CA"/>
              </w:rPr>
            </w:pPr>
            <w:r w:rsidRPr="00606DEF">
              <w:rPr>
                <w:sz w:val="20"/>
                <w:lang w:val="en-CA" w:eastAsia="en-CA"/>
              </w:rPr>
              <w:t>200-05-019935-142</w:t>
            </w:r>
          </w:p>
          <w:p w:rsidR="00606DEF" w:rsidRPr="00606DEF" w:rsidRDefault="00606DEF" w:rsidP="00606DEF">
            <w:pPr>
              <w:spacing w:line="276" w:lineRule="auto"/>
              <w:rPr>
                <w:sz w:val="20"/>
                <w:lang w:val="en-CA" w:eastAsia="en-CA"/>
              </w:rPr>
            </w:pPr>
          </w:p>
        </w:tc>
        <w:tc>
          <w:tcPr>
            <w:tcW w:w="270" w:type="pct"/>
            <w:tcMar>
              <w:top w:w="0" w:type="dxa"/>
              <w:left w:w="0" w:type="dxa"/>
              <w:bottom w:w="0" w:type="dxa"/>
              <w:right w:w="0" w:type="dxa"/>
            </w:tcMar>
          </w:tcPr>
          <w:p w:rsidR="00606DEF" w:rsidRPr="00606DEF" w:rsidRDefault="00606DEF" w:rsidP="00606DEF">
            <w:pPr>
              <w:spacing w:line="276" w:lineRule="auto"/>
              <w:rPr>
                <w:sz w:val="20"/>
                <w:lang w:val="en-CA" w:eastAsia="en-CA"/>
              </w:rPr>
            </w:pPr>
          </w:p>
        </w:tc>
        <w:tc>
          <w:tcPr>
            <w:tcW w:w="2340" w:type="pct"/>
            <w:tcMar>
              <w:top w:w="0" w:type="dxa"/>
              <w:left w:w="0" w:type="dxa"/>
              <w:bottom w:w="0" w:type="dxa"/>
              <w:right w:w="0" w:type="dxa"/>
            </w:tcMar>
            <w:hideMark/>
          </w:tcPr>
          <w:p w:rsidR="00606DEF" w:rsidRPr="00606DEF" w:rsidRDefault="00606DEF" w:rsidP="00606DEF">
            <w:pPr>
              <w:spacing w:line="276" w:lineRule="auto"/>
              <w:jc w:val="both"/>
              <w:rPr>
                <w:sz w:val="20"/>
                <w:lang w:val="en-CA" w:eastAsia="en-CA"/>
              </w:rPr>
            </w:pPr>
            <w:r w:rsidRPr="00606DEF">
              <w:rPr>
                <w:sz w:val="20"/>
                <w:lang w:val="en-CA" w:eastAsia="en-CA"/>
              </w:rPr>
              <w:t>Motion for dismissal and damages dismissed; motion for judicial review dismissed</w:t>
            </w:r>
          </w:p>
        </w:tc>
      </w:tr>
      <w:tr w:rsidR="00606DEF" w:rsidRPr="00606DEF" w:rsidTr="00606DEF">
        <w:tc>
          <w:tcPr>
            <w:tcW w:w="2390" w:type="pct"/>
            <w:gridSpan w:val="2"/>
            <w:tcMar>
              <w:top w:w="0" w:type="dxa"/>
              <w:left w:w="0" w:type="dxa"/>
              <w:bottom w:w="0" w:type="dxa"/>
              <w:right w:w="0" w:type="dxa"/>
            </w:tcMar>
          </w:tcPr>
          <w:p w:rsidR="00606DEF" w:rsidRPr="00606DEF" w:rsidRDefault="00606DEF" w:rsidP="00606DEF">
            <w:pPr>
              <w:spacing w:line="276" w:lineRule="auto"/>
              <w:rPr>
                <w:sz w:val="20"/>
                <w:lang w:val="en-CA" w:eastAsia="en-CA"/>
              </w:rPr>
            </w:pPr>
            <w:r w:rsidRPr="00606DEF">
              <w:rPr>
                <w:sz w:val="20"/>
                <w:lang w:val="en-CA" w:eastAsia="en-CA"/>
              </w:rPr>
              <w:t>December 8, 2014</w:t>
            </w:r>
          </w:p>
          <w:p w:rsidR="00606DEF" w:rsidRPr="00606DEF" w:rsidRDefault="00606DEF" w:rsidP="00606DEF">
            <w:pPr>
              <w:spacing w:line="276" w:lineRule="auto"/>
              <w:rPr>
                <w:sz w:val="20"/>
                <w:lang w:val="en-CA" w:eastAsia="en-CA"/>
              </w:rPr>
            </w:pPr>
            <w:r w:rsidRPr="00606DEF">
              <w:rPr>
                <w:sz w:val="20"/>
                <w:lang w:val="en-CA" w:eastAsia="en-CA"/>
              </w:rPr>
              <w:t>Quebec Court of Appeal (Québec)</w:t>
            </w:r>
          </w:p>
          <w:p w:rsidR="00606DEF" w:rsidRPr="00606DEF" w:rsidRDefault="00606DEF" w:rsidP="00606DEF">
            <w:pPr>
              <w:spacing w:line="276" w:lineRule="auto"/>
              <w:rPr>
                <w:sz w:val="20"/>
                <w:lang w:val="en-CA" w:eastAsia="en-CA"/>
              </w:rPr>
            </w:pPr>
            <w:r w:rsidRPr="00606DEF">
              <w:rPr>
                <w:sz w:val="20"/>
                <w:lang w:val="en-CA" w:eastAsia="en-CA"/>
              </w:rPr>
              <w:t>(Thibault, Gagnon and Bouchard JJ.A.)</w:t>
            </w:r>
          </w:p>
          <w:p w:rsidR="00606DEF" w:rsidRPr="00606DEF" w:rsidRDefault="00480458" w:rsidP="00606DEF">
            <w:pPr>
              <w:spacing w:line="276" w:lineRule="auto"/>
              <w:rPr>
                <w:sz w:val="20"/>
                <w:lang w:val="en-CA" w:eastAsia="en-CA"/>
              </w:rPr>
            </w:pPr>
            <w:hyperlink r:id="rId63" w:history="1">
              <w:r w:rsidR="00606DEF" w:rsidRPr="00606DEF">
                <w:rPr>
                  <w:color w:val="0000FF" w:themeColor="hyperlink"/>
                  <w:sz w:val="20"/>
                  <w:u w:val="single"/>
                  <w:lang w:val="en-CA" w:eastAsia="en-CA"/>
                </w:rPr>
                <w:t>2014 QCCA 2240</w:t>
              </w:r>
            </w:hyperlink>
            <w:r w:rsidR="00606DEF" w:rsidRPr="00606DEF">
              <w:rPr>
                <w:sz w:val="20"/>
                <w:lang w:val="en-CA" w:eastAsia="en-CA"/>
              </w:rPr>
              <w:t>; 200-09-008760-149</w:t>
            </w:r>
          </w:p>
          <w:p w:rsidR="00606DEF" w:rsidRPr="00606DEF" w:rsidRDefault="00606DEF" w:rsidP="00606DEF">
            <w:pPr>
              <w:spacing w:line="276" w:lineRule="auto"/>
              <w:rPr>
                <w:sz w:val="20"/>
                <w:lang w:val="en-CA" w:eastAsia="en-CA"/>
              </w:rPr>
            </w:pPr>
          </w:p>
        </w:tc>
        <w:tc>
          <w:tcPr>
            <w:tcW w:w="270" w:type="pct"/>
            <w:tcMar>
              <w:top w:w="0" w:type="dxa"/>
              <w:left w:w="0" w:type="dxa"/>
              <w:bottom w:w="0" w:type="dxa"/>
              <w:right w:w="0" w:type="dxa"/>
            </w:tcMar>
          </w:tcPr>
          <w:p w:rsidR="00606DEF" w:rsidRPr="00606DEF" w:rsidRDefault="00606DEF" w:rsidP="00606DEF">
            <w:pPr>
              <w:spacing w:line="276" w:lineRule="auto"/>
              <w:rPr>
                <w:sz w:val="20"/>
                <w:lang w:val="en-CA" w:eastAsia="en-CA"/>
              </w:rPr>
            </w:pPr>
          </w:p>
        </w:tc>
        <w:tc>
          <w:tcPr>
            <w:tcW w:w="2340" w:type="pct"/>
            <w:tcMar>
              <w:top w:w="0" w:type="dxa"/>
              <w:left w:w="0" w:type="dxa"/>
              <w:bottom w:w="0" w:type="dxa"/>
              <w:right w:w="0" w:type="dxa"/>
            </w:tcMar>
            <w:hideMark/>
          </w:tcPr>
          <w:p w:rsidR="00606DEF" w:rsidRPr="00606DEF" w:rsidRDefault="00606DEF" w:rsidP="00606DEF">
            <w:pPr>
              <w:spacing w:line="276" w:lineRule="auto"/>
              <w:jc w:val="both"/>
              <w:rPr>
                <w:sz w:val="20"/>
                <w:lang w:val="en-CA" w:eastAsia="en-CA"/>
              </w:rPr>
            </w:pPr>
            <w:r w:rsidRPr="00606DEF">
              <w:rPr>
                <w:sz w:val="20"/>
                <w:lang w:val="en-CA" w:eastAsia="en-CA"/>
              </w:rPr>
              <w:t>Motion to dismiss appeal allowed; appeal dismissed</w:t>
            </w:r>
          </w:p>
        </w:tc>
      </w:tr>
      <w:tr w:rsidR="00606DEF" w:rsidRPr="00606DEF" w:rsidTr="00606DEF">
        <w:tc>
          <w:tcPr>
            <w:tcW w:w="2390" w:type="pct"/>
            <w:gridSpan w:val="2"/>
            <w:tcMar>
              <w:top w:w="0" w:type="dxa"/>
              <w:left w:w="0" w:type="dxa"/>
              <w:bottom w:w="0" w:type="dxa"/>
              <w:right w:w="0" w:type="dxa"/>
            </w:tcMar>
          </w:tcPr>
          <w:p w:rsidR="00606DEF" w:rsidRPr="00606DEF" w:rsidRDefault="00606DEF" w:rsidP="00606DEF">
            <w:pPr>
              <w:spacing w:line="276" w:lineRule="auto"/>
              <w:rPr>
                <w:sz w:val="20"/>
                <w:lang w:val="en-CA" w:eastAsia="en-CA"/>
              </w:rPr>
            </w:pPr>
            <w:r w:rsidRPr="00606DEF">
              <w:rPr>
                <w:sz w:val="20"/>
                <w:lang w:val="en-CA" w:eastAsia="en-CA"/>
              </w:rPr>
              <w:t>February 9, 2015</w:t>
            </w:r>
          </w:p>
          <w:p w:rsidR="00606DEF" w:rsidRPr="00606DEF" w:rsidRDefault="00606DEF" w:rsidP="00606DEF">
            <w:pPr>
              <w:spacing w:line="276" w:lineRule="auto"/>
              <w:rPr>
                <w:sz w:val="20"/>
                <w:lang w:val="en-CA" w:eastAsia="en-CA"/>
              </w:rPr>
            </w:pPr>
            <w:r w:rsidRPr="00606DEF">
              <w:rPr>
                <w:sz w:val="20"/>
                <w:lang w:val="en-CA" w:eastAsia="en-CA"/>
              </w:rPr>
              <w:t>Quebec Court of Appeal (Québec)</w:t>
            </w:r>
          </w:p>
          <w:p w:rsidR="00606DEF" w:rsidRPr="00606DEF" w:rsidRDefault="00606DEF" w:rsidP="00606DEF">
            <w:pPr>
              <w:spacing w:line="276" w:lineRule="auto"/>
              <w:rPr>
                <w:sz w:val="20"/>
                <w:lang w:val="en-CA" w:eastAsia="en-CA"/>
              </w:rPr>
            </w:pPr>
            <w:r w:rsidRPr="00606DEF">
              <w:rPr>
                <w:sz w:val="20"/>
                <w:lang w:val="en-CA" w:eastAsia="en-CA"/>
              </w:rPr>
              <w:t>(</w:t>
            </w:r>
            <w:proofErr w:type="spellStart"/>
            <w:r w:rsidRPr="00606DEF">
              <w:rPr>
                <w:sz w:val="20"/>
                <w:lang w:val="en-CA" w:eastAsia="en-CA"/>
              </w:rPr>
              <w:t>Rochette</w:t>
            </w:r>
            <w:proofErr w:type="spellEnd"/>
            <w:r w:rsidRPr="00606DEF">
              <w:rPr>
                <w:sz w:val="20"/>
                <w:lang w:val="en-CA" w:eastAsia="en-CA"/>
              </w:rPr>
              <w:t xml:space="preserve">, </w:t>
            </w:r>
            <w:proofErr w:type="spellStart"/>
            <w:r w:rsidRPr="00606DEF">
              <w:rPr>
                <w:sz w:val="20"/>
                <w:lang w:val="en-CA" w:eastAsia="en-CA"/>
              </w:rPr>
              <w:t>Dutil</w:t>
            </w:r>
            <w:proofErr w:type="spellEnd"/>
            <w:r w:rsidRPr="00606DEF">
              <w:rPr>
                <w:sz w:val="20"/>
                <w:lang w:val="en-CA" w:eastAsia="en-CA"/>
              </w:rPr>
              <w:t xml:space="preserve"> and Gagnon JJ.A.)</w:t>
            </w:r>
          </w:p>
          <w:p w:rsidR="00606DEF" w:rsidRPr="00606DEF" w:rsidRDefault="00480458" w:rsidP="00606DEF">
            <w:pPr>
              <w:spacing w:line="276" w:lineRule="auto"/>
              <w:rPr>
                <w:sz w:val="20"/>
                <w:lang w:val="en-CA" w:eastAsia="en-CA"/>
              </w:rPr>
            </w:pPr>
            <w:hyperlink r:id="rId64" w:history="1">
              <w:r w:rsidR="00606DEF" w:rsidRPr="00606DEF">
                <w:rPr>
                  <w:color w:val="0000FF" w:themeColor="hyperlink"/>
                  <w:sz w:val="20"/>
                  <w:u w:val="single"/>
                  <w:lang w:val="en-CA" w:eastAsia="en-CA"/>
                </w:rPr>
                <w:t>2015 QCCA 240</w:t>
              </w:r>
            </w:hyperlink>
            <w:r w:rsidR="00606DEF" w:rsidRPr="00606DEF">
              <w:rPr>
                <w:sz w:val="20"/>
                <w:lang w:val="en-CA" w:eastAsia="en-CA"/>
              </w:rPr>
              <w:t>; 200-09-008893-148</w:t>
            </w:r>
          </w:p>
          <w:p w:rsidR="00606DEF" w:rsidRPr="00606DEF" w:rsidRDefault="00606DEF" w:rsidP="00606DEF">
            <w:pPr>
              <w:spacing w:line="276" w:lineRule="auto"/>
              <w:rPr>
                <w:sz w:val="20"/>
                <w:lang w:val="en-CA" w:eastAsia="en-CA"/>
              </w:rPr>
            </w:pPr>
          </w:p>
        </w:tc>
        <w:tc>
          <w:tcPr>
            <w:tcW w:w="270" w:type="pct"/>
            <w:tcMar>
              <w:top w:w="0" w:type="dxa"/>
              <w:left w:w="0" w:type="dxa"/>
              <w:bottom w:w="0" w:type="dxa"/>
              <w:right w:w="0" w:type="dxa"/>
            </w:tcMar>
          </w:tcPr>
          <w:p w:rsidR="00606DEF" w:rsidRPr="00606DEF" w:rsidRDefault="00606DEF" w:rsidP="00606DEF">
            <w:pPr>
              <w:spacing w:line="276" w:lineRule="auto"/>
              <w:rPr>
                <w:sz w:val="20"/>
                <w:lang w:val="en-CA" w:eastAsia="en-CA"/>
              </w:rPr>
            </w:pPr>
          </w:p>
        </w:tc>
        <w:tc>
          <w:tcPr>
            <w:tcW w:w="2340" w:type="pct"/>
            <w:tcMar>
              <w:top w:w="0" w:type="dxa"/>
              <w:left w:w="0" w:type="dxa"/>
              <w:bottom w:w="0" w:type="dxa"/>
              <w:right w:w="0" w:type="dxa"/>
            </w:tcMar>
          </w:tcPr>
          <w:p w:rsidR="00606DEF" w:rsidRPr="00606DEF" w:rsidRDefault="00606DEF" w:rsidP="00606DEF">
            <w:pPr>
              <w:spacing w:line="276" w:lineRule="auto"/>
              <w:jc w:val="both"/>
              <w:rPr>
                <w:sz w:val="20"/>
                <w:lang w:val="en-CA" w:eastAsia="en-CA"/>
              </w:rPr>
            </w:pPr>
            <w:r w:rsidRPr="00606DEF">
              <w:rPr>
                <w:sz w:val="20"/>
                <w:lang w:val="en-CA" w:eastAsia="en-CA"/>
              </w:rPr>
              <w:t>Motion for leave to appeal out of time and for reasons struck</w:t>
            </w:r>
          </w:p>
          <w:p w:rsidR="00606DEF" w:rsidRPr="00606DEF" w:rsidRDefault="00606DEF" w:rsidP="00606DEF">
            <w:pPr>
              <w:spacing w:line="276" w:lineRule="auto"/>
              <w:jc w:val="both"/>
              <w:rPr>
                <w:sz w:val="20"/>
                <w:lang w:val="en-CA" w:eastAsia="en-CA"/>
              </w:rPr>
            </w:pPr>
          </w:p>
        </w:tc>
      </w:tr>
      <w:tr w:rsidR="00606DEF" w:rsidRPr="00606DEF" w:rsidTr="00606DEF">
        <w:tc>
          <w:tcPr>
            <w:tcW w:w="2390" w:type="pct"/>
            <w:gridSpan w:val="2"/>
            <w:tcMar>
              <w:top w:w="0" w:type="dxa"/>
              <w:left w:w="0" w:type="dxa"/>
              <w:bottom w:w="0" w:type="dxa"/>
              <w:right w:w="0" w:type="dxa"/>
            </w:tcMar>
            <w:hideMark/>
          </w:tcPr>
          <w:p w:rsidR="00606DEF" w:rsidRPr="00606DEF" w:rsidRDefault="00606DEF" w:rsidP="00606DEF">
            <w:pPr>
              <w:spacing w:line="276" w:lineRule="auto"/>
              <w:rPr>
                <w:sz w:val="20"/>
                <w:lang w:val="en-CA" w:eastAsia="en-CA"/>
              </w:rPr>
            </w:pPr>
            <w:r w:rsidRPr="00606DEF">
              <w:rPr>
                <w:sz w:val="20"/>
                <w:lang w:val="en-CA" w:eastAsia="en-CA"/>
              </w:rPr>
              <w:t>February 24, 2015</w:t>
            </w:r>
          </w:p>
          <w:p w:rsidR="00606DEF" w:rsidRPr="00606DEF" w:rsidRDefault="00606DEF" w:rsidP="00606DEF">
            <w:pPr>
              <w:spacing w:line="276" w:lineRule="auto"/>
              <w:rPr>
                <w:sz w:val="20"/>
                <w:lang w:val="en-CA" w:eastAsia="en-CA"/>
              </w:rPr>
            </w:pPr>
            <w:r w:rsidRPr="00606DEF">
              <w:rPr>
                <w:sz w:val="20"/>
                <w:lang w:val="en-CA" w:eastAsia="en-CA"/>
              </w:rPr>
              <w:t>Supreme Court of Canada</w:t>
            </w:r>
          </w:p>
        </w:tc>
        <w:tc>
          <w:tcPr>
            <w:tcW w:w="270" w:type="pct"/>
            <w:tcMar>
              <w:top w:w="0" w:type="dxa"/>
              <w:left w:w="0" w:type="dxa"/>
              <w:bottom w:w="0" w:type="dxa"/>
              <w:right w:w="0" w:type="dxa"/>
            </w:tcMar>
          </w:tcPr>
          <w:p w:rsidR="00606DEF" w:rsidRPr="00606DEF" w:rsidRDefault="00606DEF" w:rsidP="00606DEF">
            <w:pPr>
              <w:spacing w:line="276" w:lineRule="auto"/>
              <w:rPr>
                <w:sz w:val="20"/>
                <w:lang w:val="en-CA" w:eastAsia="en-CA"/>
              </w:rPr>
            </w:pPr>
          </w:p>
        </w:tc>
        <w:tc>
          <w:tcPr>
            <w:tcW w:w="2340" w:type="pct"/>
            <w:tcMar>
              <w:top w:w="0" w:type="dxa"/>
              <w:left w:w="0" w:type="dxa"/>
              <w:bottom w:w="0" w:type="dxa"/>
              <w:right w:w="0" w:type="dxa"/>
            </w:tcMar>
          </w:tcPr>
          <w:p w:rsidR="00606DEF" w:rsidRPr="00606DEF" w:rsidRDefault="00606DEF" w:rsidP="00606DEF">
            <w:pPr>
              <w:spacing w:line="276" w:lineRule="auto"/>
              <w:jc w:val="both"/>
              <w:rPr>
                <w:sz w:val="20"/>
                <w:lang w:val="en-CA" w:eastAsia="en-CA"/>
              </w:rPr>
            </w:pPr>
            <w:r w:rsidRPr="00606DEF">
              <w:rPr>
                <w:sz w:val="20"/>
                <w:lang w:val="en-CA" w:eastAsia="en-CA"/>
              </w:rPr>
              <w:t>Application for leave to appeal filed</w:t>
            </w:r>
          </w:p>
          <w:p w:rsidR="00606DEF" w:rsidRPr="00606DEF" w:rsidRDefault="00606DEF" w:rsidP="00606DEF">
            <w:pPr>
              <w:spacing w:line="276" w:lineRule="auto"/>
              <w:jc w:val="both"/>
              <w:rPr>
                <w:sz w:val="20"/>
                <w:lang w:val="en-CA" w:eastAsia="en-CA"/>
              </w:rPr>
            </w:pPr>
          </w:p>
        </w:tc>
      </w:tr>
    </w:tbl>
    <w:p w:rsidR="00606DEF" w:rsidRPr="00606DEF" w:rsidRDefault="00606DEF" w:rsidP="00606DEF">
      <w:pPr>
        <w:jc w:val="both"/>
        <w:rPr>
          <w:rFonts w:eastAsia="Calibri"/>
          <w:sz w:val="20"/>
          <w:lang w:val="en-CA"/>
        </w:rPr>
      </w:pPr>
    </w:p>
    <w:p w:rsidR="00606DEF" w:rsidRPr="00606DEF" w:rsidRDefault="00606DEF" w:rsidP="00ED66D3">
      <w:pPr>
        <w:jc w:val="both"/>
        <w:rPr>
          <w:rFonts w:eastAsia="Calibri"/>
          <w:sz w:val="20"/>
          <w:lang w:val="en-CA"/>
        </w:rPr>
      </w:pPr>
    </w:p>
    <w:tbl>
      <w:tblPr>
        <w:tblW w:w="4952" w:type="pct"/>
        <w:tblCellMar>
          <w:left w:w="0" w:type="dxa"/>
          <w:bottom w:w="99" w:type="dxa"/>
          <w:right w:w="0" w:type="dxa"/>
        </w:tblCellMar>
        <w:tblLook w:val="04A0" w:firstRow="1" w:lastRow="0" w:firstColumn="1" w:lastColumn="0" w:noHBand="0" w:noVBand="1"/>
      </w:tblPr>
      <w:tblGrid>
        <w:gridCol w:w="1007"/>
        <w:gridCol w:w="3424"/>
        <w:gridCol w:w="501"/>
        <w:gridCol w:w="4338"/>
      </w:tblGrid>
      <w:tr w:rsidR="00ED66D3" w:rsidRPr="00ED66D3" w:rsidTr="001523B7">
        <w:tc>
          <w:tcPr>
            <w:tcW w:w="543" w:type="pct"/>
            <w:hideMark/>
          </w:tcPr>
          <w:p w:rsidR="00ED66D3" w:rsidRPr="00ED66D3" w:rsidRDefault="00ED66D3" w:rsidP="00ED66D3">
            <w:pPr>
              <w:spacing w:line="276" w:lineRule="auto"/>
              <w:jc w:val="both"/>
              <w:rPr>
                <w:rFonts w:eastAsia="Calibri"/>
                <w:sz w:val="20"/>
                <w:lang w:val="fr-CA"/>
              </w:rPr>
            </w:pPr>
            <w:r w:rsidRPr="005529E3">
              <w:rPr>
                <w:rFonts w:eastAsia="Calibri"/>
                <w:b/>
                <w:sz w:val="20"/>
                <w:lang w:val="fr-CA"/>
              </w:rPr>
              <w:t>36355</w:t>
            </w:r>
          </w:p>
        </w:tc>
        <w:tc>
          <w:tcPr>
            <w:tcW w:w="4457" w:type="pct"/>
            <w:gridSpan w:val="3"/>
            <w:hideMark/>
          </w:tcPr>
          <w:p w:rsidR="00ED66D3" w:rsidRPr="00ED66D3" w:rsidRDefault="00ED66D3" w:rsidP="00ED66D3">
            <w:pPr>
              <w:spacing w:line="276" w:lineRule="auto"/>
              <w:jc w:val="both"/>
              <w:rPr>
                <w:rFonts w:eastAsia="Calibri"/>
                <w:b/>
                <w:sz w:val="20"/>
                <w:lang w:val="fr-CA"/>
              </w:rPr>
            </w:pPr>
            <w:r w:rsidRPr="00ED66D3">
              <w:rPr>
                <w:rFonts w:eastAsia="Calibri"/>
                <w:b/>
                <w:sz w:val="20"/>
                <w:lang w:val="fr-CA"/>
              </w:rPr>
              <w:t xml:space="preserve">Raynald Grenier c. Daniel St-Hilaire, Louisette </w:t>
            </w:r>
            <w:proofErr w:type="spellStart"/>
            <w:r w:rsidRPr="00ED66D3">
              <w:rPr>
                <w:rFonts w:eastAsia="Calibri"/>
                <w:b/>
                <w:sz w:val="20"/>
                <w:lang w:val="fr-CA"/>
              </w:rPr>
              <w:t>Labrecque</w:t>
            </w:r>
            <w:proofErr w:type="spellEnd"/>
          </w:p>
          <w:p w:rsidR="00ED66D3" w:rsidRPr="00ED66D3" w:rsidRDefault="00ED66D3" w:rsidP="00ED66D3">
            <w:pPr>
              <w:spacing w:line="276" w:lineRule="auto"/>
              <w:jc w:val="both"/>
              <w:rPr>
                <w:rFonts w:eastAsia="Calibri"/>
                <w:sz w:val="20"/>
                <w:lang w:val="fr-CA"/>
              </w:rPr>
            </w:pPr>
            <w:r w:rsidRPr="00ED66D3">
              <w:rPr>
                <w:rFonts w:eastAsia="Calibri"/>
                <w:sz w:val="20"/>
                <w:lang w:val="fr-CA"/>
              </w:rPr>
              <w:t>(</w:t>
            </w:r>
            <w:proofErr w:type="spellStart"/>
            <w:r w:rsidRPr="00ED66D3">
              <w:rPr>
                <w:rFonts w:eastAsia="Calibri"/>
                <w:sz w:val="20"/>
                <w:lang w:val="fr-CA"/>
              </w:rPr>
              <w:t>Qc</w:t>
            </w:r>
            <w:proofErr w:type="spellEnd"/>
            <w:r w:rsidRPr="00ED66D3">
              <w:rPr>
                <w:rFonts w:eastAsia="Calibri"/>
                <w:sz w:val="20"/>
                <w:lang w:val="fr-CA"/>
              </w:rPr>
              <w:t>) (Civile) (Autorisation)</w:t>
            </w:r>
          </w:p>
        </w:tc>
      </w:tr>
      <w:tr w:rsidR="00ED66D3" w:rsidRPr="00ED66D3" w:rsidTr="001523B7">
        <w:tc>
          <w:tcPr>
            <w:tcW w:w="5000" w:type="pct"/>
            <w:gridSpan w:val="4"/>
          </w:tcPr>
          <w:p w:rsidR="00ED66D3" w:rsidRPr="00ED66D3" w:rsidRDefault="00ED66D3" w:rsidP="00ED66D3">
            <w:pPr>
              <w:spacing w:line="276" w:lineRule="auto"/>
              <w:jc w:val="both"/>
              <w:rPr>
                <w:rFonts w:eastAsia="Calibri"/>
                <w:sz w:val="20"/>
                <w:lang w:val="fr-CA"/>
              </w:rPr>
            </w:pPr>
            <w:r w:rsidRPr="00ED66D3">
              <w:rPr>
                <w:rFonts w:eastAsia="Calibri"/>
                <w:sz w:val="20"/>
                <w:lang w:val="fr-CA"/>
              </w:rPr>
              <w:t>Jugements et ordonnances – Motifs – Requête en rejet d’appel accueillie à la Cour d’appel – Requête pour motivation et pour permission d’appeler hors délai rayée – Suffisance des motifs – Sécurité juridique et judiciaire – Les décisions de rejeter l’appel et de rayer la requête pour permission d’appeler hors délai et pour motivation étaient-elles suffisamment motivées et bien fondées?</w:t>
            </w:r>
          </w:p>
          <w:p w:rsidR="00ED66D3" w:rsidRPr="00ED66D3" w:rsidRDefault="00ED66D3" w:rsidP="00ED66D3">
            <w:pPr>
              <w:spacing w:line="276" w:lineRule="auto"/>
              <w:jc w:val="both"/>
              <w:rPr>
                <w:rFonts w:eastAsia="Calibri"/>
                <w:sz w:val="20"/>
                <w:lang w:val="fr-CA"/>
              </w:rPr>
            </w:pPr>
          </w:p>
        </w:tc>
      </w:tr>
      <w:tr w:rsidR="00ED66D3" w:rsidRPr="00ED66D3" w:rsidTr="001523B7">
        <w:tc>
          <w:tcPr>
            <w:tcW w:w="5000" w:type="pct"/>
            <w:gridSpan w:val="4"/>
          </w:tcPr>
          <w:p w:rsidR="00ED66D3" w:rsidRPr="00ED66D3" w:rsidRDefault="00ED66D3" w:rsidP="00ED66D3">
            <w:pPr>
              <w:spacing w:line="276" w:lineRule="auto"/>
              <w:jc w:val="both"/>
              <w:rPr>
                <w:sz w:val="20"/>
                <w:lang w:val="fr-CA" w:eastAsia="en-CA"/>
              </w:rPr>
            </w:pPr>
            <w:r w:rsidRPr="00ED66D3">
              <w:rPr>
                <w:sz w:val="20"/>
                <w:lang w:val="fr-CA" w:eastAsia="en-CA"/>
              </w:rPr>
              <w:t xml:space="preserve">Insatisfait d’une décision lui ordonnant d’effectuer des travaux dans le logement loué aux intimés et le condamnant à payer une somme en diminution de loyer, et du rejet de sa demande en rétractation de la décision, M. Grenier, demandeur, dépose une requête à la Cour du Québec pour permission d’en appeler des deux décisions de la Régie du logement. </w:t>
            </w:r>
          </w:p>
          <w:p w:rsidR="00ED66D3" w:rsidRPr="00ED66D3" w:rsidRDefault="00ED66D3" w:rsidP="00ED66D3">
            <w:pPr>
              <w:spacing w:line="276" w:lineRule="auto"/>
              <w:jc w:val="both"/>
              <w:rPr>
                <w:rFonts w:eastAsia="Calibri"/>
                <w:sz w:val="20"/>
                <w:lang w:val="fr-CA"/>
              </w:rPr>
            </w:pPr>
          </w:p>
        </w:tc>
      </w:tr>
      <w:tr w:rsidR="00ED66D3" w:rsidRPr="00ED66D3" w:rsidTr="001523B7">
        <w:tc>
          <w:tcPr>
            <w:tcW w:w="2390" w:type="pct"/>
            <w:gridSpan w:val="2"/>
            <w:tcMar>
              <w:top w:w="0" w:type="dxa"/>
              <w:left w:w="0" w:type="dxa"/>
              <w:bottom w:w="0" w:type="dxa"/>
              <w:right w:w="0" w:type="dxa"/>
            </w:tcMar>
          </w:tcPr>
          <w:p w:rsidR="00ED66D3" w:rsidRPr="00ED66D3" w:rsidRDefault="00ED66D3" w:rsidP="00ED66D3">
            <w:pPr>
              <w:spacing w:line="276" w:lineRule="auto"/>
              <w:rPr>
                <w:sz w:val="20"/>
                <w:lang w:val="fr-CA" w:eastAsia="en-CA"/>
              </w:rPr>
            </w:pPr>
            <w:r w:rsidRPr="00ED66D3">
              <w:rPr>
                <w:sz w:val="20"/>
                <w:lang w:val="fr-CA" w:eastAsia="en-CA"/>
              </w:rPr>
              <w:t>Le 11 septembre 2013</w:t>
            </w:r>
          </w:p>
          <w:p w:rsidR="00ED66D3" w:rsidRPr="00ED66D3" w:rsidRDefault="00ED66D3" w:rsidP="00ED66D3">
            <w:pPr>
              <w:spacing w:line="276" w:lineRule="auto"/>
              <w:rPr>
                <w:sz w:val="20"/>
                <w:lang w:val="fr-CA" w:eastAsia="en-CA"/>
              </w:rPr>
            </w:pPr>
            <w:r w:rsidRPr="00ED66D3">
              <w:rPr>
                <w:sz w:val="20"/>
                <w:lang w:val="fr-CA" w:eastAsia="en-CA"/>
              </w:rPr>
              <w:t>Régie du logement du Québec</w:t>
            </w:r>
          </w:p>
          <w:p w:rsidR="00ED66D3" w:rsidRPr="00ED66D3" w:rsidRDefault="00ED66D3" w:rsidP="00ED66D3">
            <w:pPr>
              <w:spacing w:line="276" w:lineRule="auto"/>
              <w:rPr>
                <w:sz w:val="20"/>
                <w:lang w:val="fr-CA" w:eastAsia="en-CA"/>
              </w:rPr>
            </w:pPr>
            <w:r w:rsidRPr="00ED66D3">
              <w:rPr>
                <w:sz w:val="20"/>
                <w:lang w:val="fr-CA" w:eastAsia="en-CA"/>
              </w:rPr>
              <w:t xml:space="preserve">(La </w:t>
            </w:r>
            <w:proofErr w:type="spellStart"/>
            <w:r w:rsidRPr="00ED66D3">
              <w:rPr>
                <w:sz w:val="20"/>
                <w:lang w:val="fr-CA" w:eastAsia="en-CA"/>
              </w:rPr>
              <w:t>régisseure</w:t>
            </w:r>
            <w:proofErr w:type="spellEnd"/>
            <w:r w:rsidRPr="00ED66D3">
              <w:rPr>
                <w:sz w:val="20"/>
                <w:lang w:val="fr-CA" w:eastAsia="en-CA"/>
              </w:rPr>
              <w:t xml:space="preserve"> Leclerc)</w:t>
            </w:r>
          </w:p>
          <w:p w:rsidR="00ED66D3" w:rsidRPr="00ED66D3" w:rsidRDefault="00480458" w:rsidP="00ED66D3">
            <w:pPr>
              <w:spacing w:line="276" w:lineRule="auto"/>
              <w:rPr>
                <w:sz w:val="20"/>
                <w:lang w:val="fr-CA" w:eastAsia="en-CA"/>
              </w:rPr>
            </w:pPr>
            <w:hyperlink r:id="rId65" w:history="1">
              <w:r w:rsidR="00ED66D3" w:rsidRPr="005529E3">
                <w:rPr>
                  <w:color w:val="0000FF" w:themeColor="hyperlink"/>
                  <w:sz w:val="20"/>
                  <w:u w:val="single"/>
                  <w:lang w:val="fr-CA" w:eastAsia="en-CA"/>
                </w:rPr>
                <w:t>2013 QCRDL 30434</w:t>
              </w:r>
            </w:hyperlink>
          </w:p>
          <w:p w:rsidR="00ED66D3" w:rsidRPr="00ED66D3" w:rsidRDefault="00ED66D3" w:rsidP="00ED66D3">
            <w:pPr>
              <w:spacing w:line="276" w:lineRule="auto"/>
              <w:rPr>
                <w:sz w:val="20"/>
                <w:lang w:val="fr-CA" w:eastAsia="en-CA"/>
              </w:rPr>
            </w:pPr>
          </w:p>
        </w:tc>
        <w:tc>
          <w:tcPr>
            <w:tcW w:w="270" w:type="pct"/>
            <w:tcMar>
              <w:top w:w="0" w:type="dxa"/>
              <w:left w:w="0" w:type="dxa"/>
              <w:bottom w:w="0" w:type="dxa"/>
              <w:right w:w="0" w:type="dxa"/>
            </w:tcMar>
          </w:tcPr>
          <w:p w:rsidR="00ED66D3" w:rsidRPr="00ED66D3" w:rsidRDefault="00ED66D3" w:rsidP="00ED66D3">
            <w:pPr>
              <w:spacing w:line="276" w:lineRule="auto"/>
              <w:rPr>
                <w:sz w:val="20"/>
                <w:lang w:val="fr-CA" w:eastAsia="en-CA"/>
              </w:rPr>
            </w:pPr>
          </w:p>
        </w:tc>
        <w:tc>
          <w:tcPr>
            <w:tcW w:w="2340" w:type="pct"/>
            <w:tcMar>
              <w:top w:w="0" w:type="dxa"/>
              <w:left w:w="0" w:type="dxa"/>
              <w:bottom w:w="0" w:type="dxa"/>
              <w:right w:w="0" w:type="dxa"/>
            </w:tcMar>
          </w:tcPr>
          <w:p w:rsidR="00ED66D3" w:rsidRPr="00ED66D3" w:rsidRDefault="00ED66D3" w:rsidP="00ED66D3">
            <w:pPr>
              <w:spacing w:line="276" w:lineRule="auto"/>
              <w:jc w:val="both"/>
              <w:rPr>
                <w:sz w:val="20"/>
                <w:lang w:val="fr-CA" w:eastAsia="en-CA"/>
              </w:rPr>
            </w:pPr>
            <w:r w:rsidRPr="00ED66D3">
              <w:rPr>
                <w:sz w:val="20"/>
                <w:lang w:val="fr-CA" w:eastAsia="en-CA"/>
              </w:rPr>
              <w:t>Demande en résiliation de bail, en éviction des locataires et en recouvrement du loyer dû rejetée; demande en exécution de travaux et en diminution de loyer accueillie en partie.</w:t>
            </w:r>
          </w:p>
          <w:p w:rsidR="00ED66D3" w:rsidRPr="00ED66D3" w:rsidRDefault="00ED66D3" w:rsidP="00ED66D3">
            <w:pPr>
              <w:spacing w:line="276" w:lineRule="auto"/>
              <w:jc w:val="both"/>
              <w:rPr>
                <w:sz w:val="20"/>
                <w:lang w:val="fr-CA" w:eastAsia="en-CA"/>
              </w:rPr>
            </w:pPr>
          </w:p>
        </w:tc>
      </w:tr>
      <w:tr w:rsidR="00ED66D3" w:rsidRPr="00ED66D3" w:rsidTr="001523B7">
        <w:tc>
          <w:tcPr>
            <w:tcW w:w="2390" w:type="pct"/>
            <w:gridSpan w:val="2"/>
            <w:tcMar>
              <w:top w:w="0" w:type="dxa"/>
              <w:left w:w="0" w:type="dxa"/>
              <w:bottom w:w="0" w:type="dxa"/>
              <w:right w:w="0" w:type="dxa"/>
            </w:tcMar>
          </w:tcPr>
          <w:p w:rsidR="00ED66D3" w:rsidRPr="00ED66D3" w:rsidRDefault="00ED66D3" w:rsidP="00ED66D3">
            <w:pPr>
              <w:spacing w:line="276" w:lineRule="auto"/>
              <w:rPr>
                <w:sz w:val="20"/>
                <w:lang w:val="fr-CA" w:eastAsia="en-CA"/>
              </w:rPr>
            </w:pPr>
            <w:r w:rsidRPr="00ED66D3">
              <w:rPr>
                <w:sz w:val="20"/>
                <w:lang w:val="fr-CA" w:eastAsia="en-CA"/>
              </w:rPr>
              <w:t>Le 10 février 2014</w:t>
            </w:r>
          </w:p>
          <w:p w:rsidR="00ED66D3" w:rsidRPr="00ED66D3" w:rsidRDefault="00ED66D3" w:rsidP="00ED66D3">
            <w:pPr>
              <w:spacing w:line="276" w:lineRule="auto"/>
              <w:rPr>
                <w:sz w:val="20"/>
                <w:lang w:val="fr-CA" w:eastAsia="en-CA"/>
              </w:rPr>
            </w:pPr>
            <w:r w:rsidRPr="00ED66D3">
              <w:rPr>
                <w:sz w:val="20"/>
                <w:lang w:val="fr-CA" w:eastAsia="en-CA"/>
              </w:rPr>
              <w:t>Régie du logement du Québec</w:t>
            </w:r>
          </w:p>
          <w:p w:rsidR="00ED66D3" w:rsidRPr="00ED66D3" w:rsidRDefault="00ED66D3" w:rsidP="00ED66D3">
            <w:pPr>
              <w:spacing w:line="276" w:lineRule="auto"/>
              <w:rPr>
                <w:sz w:val="20"/>
                <w:lang w:val="fr-CA" w:eastAsia="en-CA"/>
              </w:rPr>
            </w:pPr>
            <w:r w:rsidRPr="00ED66D3">
              <w:rPr>
                <w:sz w:val="20"/>
                <w:lang w:val="fr-CA" w:eastAsia="en-CA"/>
              </w:rPr>
              <w:t xml:space="preserve">(La </w:t>
            </w:r>
            <w:proofErr w:type="spellStart"/>
            <w:r w:rsidRPr="00ED66D3">
              <w:rPr>
                <w:sz w:val="20"/>
                <w:lang w:val="fr-CA" w:eastAsia="en-CA"/>
              </w:rPr>
              <w:t>régisseure</w:t>
            </w:r>
            <w:proofErr w:type="spellEnd"/>
            <w:r w:rsidRPr="00ED66D3">
              <w:rPr>
                <w:sz w:val="20"/>
                <w:lang w:val="fr-CA" w:eastAsia="en-CA"/>
              </w:rPr>
              <w:t xml:space="preserve"> </w:t>
            </w:r>
            <w:proofErr w:type="spellStart"/>
            <w:r w:rsidRPr="00ED66D3">
              <w:rPr>
                <w:sz w:val="20"/>
                <w:lang w:val="fr-CA" w:eastAsia="en-CA"/>
              </w:rPr>
              <w:t>Courtemanche</w:t>
            </w:r>
            <w:proofErr w:type="spellEnd"/>
            <w:r w:rsidRPr="00ED66D3">
              <w:rPr>
                <w:sz w:val="20"/>
                <w:lang w:val="fr-CA" w:eastAsia="en-CA"/>
              </w:rPr>
              <w:t>)</w:t>
            </w:r>
          </w:p>
          <w:p w:rsidR="00ED66D3" w:rsidRPr="00ED66D3" w:rsidRDefault="00480458" w:rsidP="00ED66D3">
            <w:pPr>
              <w:spacing w:line="276" w:lineRule="auto"/>
              <w:rPr>
                <w:sz w:val="20"/>
                <w:lang w:val="fr-CA" w:eastAsia="en-CA"/>
              </w:rPr>
            </w:pPr>
            <w:hyperlink r:id="rId66" w:history="1">
              <w:r w:rsidR="00ED66D3" w:rsidRPr="005529E3">
                <w:rPr>
                  <w:color w:val="0000FF" w:themeColor="hyperlink"/>
                  <w:sz w:val="20"/>
                  <w:u w:val="single"/>
                  <w:lang w:val="fr-CA" w:eastAsia="en-CA"/>
                </w:rPr>
                <w:t>2014 QCRDL 4567</w:t>
              </w:r>
            </w:hyperlink>
          </w:p>
          <w:p w:rsidR="00ED66D3" w:rsidRPr="00ED66D3" w:rsidRDefault="00ED66D3" w:rsidP="00ED66D3">
            <w:pPr>
              <w:spacing w:line="276" w:lineRule="auto"/>
              <w:rPr>
                <w:sz w:val="20"/>
                <w:lang w:val="fr-CA" w:eastAsia="en-CA"/>
              </w:rPr>
            </w:pPr>
          </w:p>
        </w:tc>
        <w:tc>
          <w:tcPr>
            <w:tcW w:w="270" w:type="pct"/>
            <w:tcMar>
              <w:top w:w="0" w:type="dxa"/>
              <w:left w:w="0" w:type="dxa"/>
              <w:bottom w:w="0" w:type="dxa"/>
              <w:right w:w="0" w:type="dxa"/>
            </w:tcMar>
          </w:tcPr>
          <w:p w:rsidR="00ED66D3" w:rsidRPr="00ED66D3" w:rsidRDefault="00ED66D3" w:rsidP="00ED66D3">
            <w:pPr>
              <w:spacing w:line="276" w:lineRule="auto"/>
              <w:rPr>
                <w:sz w:val="20"/>
                <w:lang w:val="fr-CA" w:eastAsia="en-CA"/>
              </w:rPr>
            </w:pPr>
          </w:p>
        </w:tc>
        <w:tc>
          <w:tcPr>
            <w:tcW w:w="2340" w:type="pct"/>
            <w:tcMar>
              <w:top w:w="0" w:type="dxa"/>
              <w:left w:w="0" w:type="dxa"/>
              <w:bottom w:w="0" w:type="dxa"/>
              <w:right w:w="0" w:type="dxa"/>
            </w:tcMar>
            <w:hideMark/>
          </w:tcPr>
          <w:p w:rsidR="00ED66D3" w:rsidRPr="00ED66D3" w:rsidRDefault="00ED66D3" w:rsidP="00ED66D3">
            <w:pPr>
              <w:spacing w:line="276" w:lineRule="auto"/>
              <w:jc w:val="both"/>
              <w:rPr>
                <w:sz w:val="20"/>
                <w:lang w:val="fr-CA" w:eastAsia="en-CA"/>
              </w:rPr>
            </w:pPr>
            <w:r w:rsidRPr="00ED66D3">
              <w:rPr>
                <w:sz w:val="20"/>
                <w:lang w:val="fr-CA" w:eastAsia="en-CA"/>
              </w:rPr>
              <w:t>Demande en rétraction de la décision rendue le 11 septembre 2013 rejetée</w:t>
            </w:r>
          </w:p>
        </w:tc>
      </w:tr>
      <w:tr w:rsidR="00ED66D3" w:rsidRPr="00ED66D3" w:rsidTr="001523B7">
        <w:tc>
          <w:tcPr>
            <w:tcW w:w="2390" w:type="pct"/>
            <w:gridSpan w:val="2"/>
            <w:tcMar>
              <w:top w:w="0" w:type="dxa"/>
              <w:left w:w="0" w:type="dxa"/>
              <w:bottom w:w="0" w:type="dxa"/>
              <w:right w:w="0" w:type="dxa"/>
            </w:tcMar>
          </w:tcPr>
          <w:p w:rsidR="00ED66D3" w:rsidRPr="00ED66D3" w:rsidRDefault="00ED66D3" w:rsidP="00ED66D3">
            <w:pPr>
              <w:spacing w:line="276" w:lineRule="auto"/>
              <w:rPr>
                <w:sz w:val="20"/>
                <w:lang w:val="fr-CA" w:eastAsia="en-CA"/>
              </w:rPr>
            </w:pPr>
            <w:r w:rsidRPr="00ED66D3">
              <w:rPr>
                <w:sz w:val="20"/>
                <w:lang w:val="fr-CA" w:eastAsia="en-CA"/>
              </w:rPr>
              <w:t>Le 18 juin 2014</w:t>
            </w:r>
          </w:p>
          <w:p w:rsidR="00ED66D3" w:rsidRPr="00ED66D3" w:rsidRDefault="00ED66D3" w:rsidP="00ED66D3">
            <w:pPr>
              <w:spacing w:line="276" w:lineRule="auto"/>
              <w:rPr>
                <w:sz w:val="20"/>
                <w:lang w:val="fr-CA" w:eastAsia="en-CA"/>
              </w:rPr>
            </w:pPr>
            <w:r w:rsidRPr="00ED66D3">
              <w:rPr>
                <w:sz w:val="20"/>
                <w:lang w:val="fr-CA" w:eastAsia="en-CA"/>
              </w:rPr>
              <w:t>Cour du Québec</w:t>
            </w:r>
          </w:p>
          <w:p w:rsidR="00ED66D3" w:rsidRPr="00ED66D3" w:rsidRDefault="00ED66D3" w:rsidP="00ED66D3">
            <w:pPr>
              <w:spacing w:line="276" w:lineRule="auto"/>
              <w:rPr>
                <w:sz w:val="20"/>
                <w:lang w:val="fr-CA" w:eastAsia="en-CA"/>
              </w:rPr>
            </w:pPr>
            <w:r w:rsidRPr="00ED66D3">
              <w:rPr>
                <w:sz w:val="20"/>
                <w:lang w:val="fr-CA" w:eastAsia="en-CA"/>
              </w:rPr>
              <w:t>(Le juge Gagnon)</w:t>
            </w:r>
          </w:p>
          <w:p w:rsidR="00ED66D3" w:rsidRPr="00ED66D3" w:rsidRDefault="00480458" w:rsidP="00ED66D3">
            <w:pPr>
              <w:spacing w:line="276" w:lineRule="auto"/>
              <w:rPr>
                <w:rFonts w:eastAsia="Calibri"/>
                <w:sz w:val="20"/>
                <w:lang w:val="en-CA"/>
              </w:rPr>
            </w:pPr>
            <w:hyperlink r:id="rId67" w:history="1">
              <w:r w:rsidR="00ED66D3" w:rsidRPr="005529E3">
                <w:rPr>
                  <w:color w:val="0000FF" w:themeColor="hyperlink"/>
                  <w:sz w:val="20"/>
                  <w:u w:val="single"/>
                  <w:lang w:val="en-CA" w:eastAsia="en-CA"/>
                </w:rPr>
                <w:t>2014 QCCQ 5852</w:t>
              </w:r>
            </w:hyperlink>
          </w:p>
          <w:p w:rsidR="00ED66D3" w:rsidRPr="00ED66D3" w:rsidRDefault="00ED66D3" w:rsidP="00ED66D3">
            <w:pPr>
              <w:spacing w:line="276" w:lineRule="auto"/>
              <w:rPr>
                <w:sz w:val="20"/>
                <w:lang w:val="en-CA" w:eastAsia="en-CA"/>
              </w:rPr>
            </w:pPr>
          </w:p>
        </w:tc>
        <w:tc>
          <w:tcPr>
            <w:tcW w:w="270" w:type="pct"/>
            <w:tcMar>
              <w:top w:w="0" w:type="dxa"/>
              <w:left w:w="0" w:type="dxa"/>
              <w:bottom w:w="0" w:type="dxa"/>
              <w:right w:w="0" w:type="dxa"/>
            </w:tcMar>
          </w:tcPr>
          <w:p w:rsidR="00ED66D3" w:rsidRPr="00ED66D3" w:rsidRDefault="00ED66D3" w:rsidP="00ED66D3">
            <w:pPr>
              <w:spacing w:line="276" w:lineRule="auto"/>
              <w:rPr>
                <w:sz w:val="20"/>
                <w:lang w:val="fr-CA" w:eastAsia="en-CA"/>
              </w:rPr>
            </w:pPr>
          </w:p>
        </w:tc>
        <w:tc>
          <w:tcPr>
            <w:tcW w:w="2340" w:type="pct"/>
            <w:tcMar>
              <w:top w:w="0" w:type="dxa"/>
              <w:left w:w="0" w:type="dxa"/>
              <w:bottom w:w="0" w:type="dxa"/>
              <w:right w:w="0" w:type="dxa"/>
            </w:tcMar>
            <w:hideMark/>
          </w:tcPr>
          <w:p w:rsidR="00ED66D3" w:rsidRPr="00ED66D3" w:rsidRDefault="00ED66D3" w:rsidP="00ED66D3">
            <w:pPr>
              <w:spacing w:line="276" w:lineRule="auto"/>
              <w:jc w:val="both"/>
              <w:rPr>
                <w:sz w:val="20"/>
                <w:lang w:val="fr-CA" w:eastAsia="en-CA"/>
              </w:rPr>
            </w:pPr>
            <w:r w:rsidRPr="00ED66D3">
              <w:rPr>
                <w:sz w:val="20"/>
                <w:lang w:val="fr-CA" w:eastAsia="en-CA"/>
              </w:rPr>
              <w:t>Requête en irrecevabilité et en rejet accueillie; requête pour permission d’appeler des décisions de la Régie du logement rejetée</w:t>
            </w:r>
          </w:p>
        </w:tc>
      </w:tr>
      <w:tr w:rsidR="00ED66D3" w:rsidRPr="00ED66D3" w:rsidTr="001523B7">
        <w:tc>
          <w:tcPr>
            <w:tcW w:w="2390" w:type="pct"/>
            <w:gridSpan w:val="2"/>
            <w:tcMar>
              <w:top w:w="0" w:type="dxa"/>
              <w:left w:w="0" w:type="dxa"/>
              <w:bottom w:w="0" w:type="dxa"/>
              <w:right w:w="0" w:type="dxa"/>
            </w:tcMar>
          </w:tcPr>
          <w:p w:rsidR="00ED66D3" w:rsidRPr="00ED66D3" w:rsidRDefault="00ED66D3" w:rsidP="00ED66D3">
            <w:pPr>
              <w:spacing w:line="276" w:lineRule="auto"/>
              <w:rPr>
                <w:sz w:val="20"/>
                <w:lang w:val="fr-CA" w:eastAsia="en-CA"/>
              </w:rPr>
            </w:pPr>
            <w:r w:rsidRPr="00ED66D3">
              <w:rPr>
                <w:sz w:val="20"/>
                <w:lang w:val="fr-CA" w:eastAsia="en-CA"/>
              </w:rPr>
              <w:lastRenderedPageBreak/>
              <w:t>Le 10 septembre 2014</w:t>
            </w:r>
          </w:p>
          <w:p w:rsidR="00ED66D3" w:rsidRPr="00ED66D3" w:rsidRDefault="00ED66D3" w:rsidP="00ED66D3">
            <w:pPr>
              <w:spacing w:line="276" w:lineRule="auto"/>
              <w:rPr>
                <w:sz w:val="20"/>
                <w:lang w:val="fr-CA" w:eastAsia="en-CA"/>
              </w:rPr>
            </w:pPr>
            <w:r w:rsidRPr="00ED66D3">
              <w:rPr>
                <w:sz w:val="20"/>
                <w:lang w:val="fr-CA" w:eastAsia="en-CA"/>
              </w:rPr>
              <w:t>Cour supérieure du Québec</w:t>
            </w:r>
          </w:p>
          <w:p w:rsidR="00ED66D3" w:rsidRPr="00ED66D3" w:rsidRDefault="00ED66D3" w:rsidP="00ED66D3">
            <w:pPr>
              <w:spacing w:line="276" w:lineRule="auto"/>
              <w:rPr>
                <w:sz w:val="20"/>
                <w:lang w:val="fr-CA" w:eastAsia="en-CA"/>
              </w:rPr>
            </w:pPr>
            <w:r w:rsidRPr="00ED66D3">
              <w:rPr>
                <w:sz w:val="20"/>
                <w:lang w:val="fr-CA" w:eastAsia="en-CA"/>
              </w:rPr>
              <w:t>(Le juge Paradis)</w:t>
            </w:r>
          </w:p>
          <w:p w:rsidR="00ED66D3" w:rsidRPr="00ED66D3" w:rsidRDefault="00ED66D3" w:rsidP="00ED66D3">
            <w:pPr>
              <w:spacing w:line="276" w:lineRule="auto"/>
              <w:rPr>
                <w:sz w:val="20"/>
                <w:lang w:val="fr-CA" w:eastAsia="en-CA"/>
              </w:rPr>
            </w:pPr>
            <w:r w:rsidRPr="00ED66D3">
              <w:rPr>
                <w:sz w:val="20"/>
                <w:lang w:val="fr-CA" w:eastAsia="en-CA"/>
              </w:rPr>
              <w:t>200-05-019935-142</w:t>
            </w:r>
          </w:p>
          <w:p w:rsidR="00ED66D3" w:rsidRPr="00ED66D3" w:rsidRDefault="00ED66D3" w:rsidP="00ED66D3">
            <w:pPr>
              <w:spacing w:line="276" w:lineRule="auto"/>
              <w:rPr>
                <w:sz w:val="20"/>
                <w:lang w:val="fr-CA" w:eastAsia="en-CA"/>
              </w:rPr>
            </w:pPr>
          </w:p>
        </w:tc>
        <w:tc>
          <w:tcPr>
            <w:tcW w:w="270" w:type="pct"/>
            <w:tcMar>
              <w:top w:w="0" w:type="dxa"/>
              <w:left w:w="0" w:type="dxa"/>
              <w:bottom w:w="0" w:type="dxa"/>
              <w:right w:w="0" w:type="dxa"/>
            </w:tcMar>
          </w:tcPr>
          <w:p w:rsidR="00ED66D3" w:rsidRPr="00ED66D3" w:rsidRDefault="00ED66D3" w:rsidP="00ED66D3">
            <w:pPr>
              <w:spacing w:line="276" w:lineRule="auto"/>
              <w:rPr>
                <w:sz w:val="20"/>
                <w:lang w:val="fr-CA" w:eastAsia="en-CA"/>
              </w:rPr>
            </w:pPr>
          </w:p>
        </w:tc>
        <w:tc>
          <w:tcPr>
            <w:tcW w:w="2340" w:type="pct"/>
            <w:tcMar>
              <w:top w:w="0" w:type="dxa"/>
              <w:left w:w="0" w:type="dxa"/>
              <w:bottom w:w="0" w:type="dxa"/>
              <w:right w:w="0" w:type="dxa"/>
            </w:tcMar>
            <w:hideMark/>
          </w:tcPr>
          <w:p w:rsidR="00ED66D3" w:rsidRPr="00ED66D3" w:rsidRDefault="00ED66D3" w:rsidP="00ED66D3">
            <w:pPr>
              <w:spacing w:line="276" w:lineRule="auto"/>
              <w:jc w:val="both"/>
              <w:rPr>
                <w:sz w:val="20"/>
                <w:lang w:val="fr-CA" w:eastAsia="en-CA"/>
              </w:rPr>
            </w:pPr>
            <w:r w:rsidRPr="00ED66D3">
              <w:rPr>
                <w:sz w:val="20"/>
                <w:lang w:val="fr-CA" w:eastAsia="en-CA"/>
              </w:rPr>
              <w:t>Requête en rejet et en dommages rejetée;  requête en révision judiciaire rejetée</w:t>
            </w:r>
          </w:p>
        </w:tc>
      </w:tr>
      <w:tr w:rsidR="00ED66D3" w:rsidRPr="00ED66D3" w:rsidTr="001523B7">
        <w:tc>
          <w:tcPr>
            <w:tcW w:w="2390" w:type="pct"/>
            <w:gridSpan w:val="2"/>
            <w:tcMar>
              <w:top w:w="0" w:type="dxa"/>
              <w:left w:w="0" w:type="dxa"/>
              <w:bottom w:w="0" w:type="dxa"/>
              <w:right w:w="0" w:type="dxa"/>
            </w:tcMar>
          </w:tcPr>
          <w:p w:rsidR="00ED66D3" w:rsidRPr="00ED66D3" w:rsidRDefault="00ED66D3" w:rsidP="00ED66D3">
            <w:pPr>
              <w:spacing w:line="276" w:lineRule="auto"/>
              <w:rPr>
                <w:sz w:val="20"/>
                <w:lang w:val="fr-CA" w:eastAsia="en-CA"/>
              </w:rPr>
            </w:pPr>
            <w:r w:rsidRPr="00ED66D3">
              <w:rPr>
                <w:sz w:val="20"/>
                <w:lang w:val="fr-CA" w:eastAsia="en-CA"/>
              </w:rPr>
              <w:t>Le 8 décembre 2014</w:t>
            </w:r>
          </w:p>
          <w:p w:rsidR="00ED66D3" w:rsidRPr="00ED66D3" w:rsidRDefault="00ED66D3" w:rsidP="00ED66D3">
            <w:pPr>
              <w:spacing w:line="276" w:lineRule="auto"/>
              <w:rPr>
                <w:sz w:val="20"/>
                <w:lang w:val="fr-CA" w:eastAsia="en-CA"/>
              </w:rPr>
            </w:pPr>
            <w:r w:rsidRPr="00ED66D3">
              <w:rPr>
                <w:sz w:val="20"/>
                <w:lang w:val="fr-CA" w:eastAsia="en-CA"/>
              </w:rPr>
              <w:t>Cour d’appel du Québec (Québec)</w:t>
            </w:r>
          </w:p>
          <w:p w:rsidR="00ED66D3" w:rsidRPr="00ED66D3" w:rsidRDefault="00ED66D3" w:rsidP="00ED66D3">
            <w:pPr>
              <w:spacing w:line="276" w:lineRule="auto"/>
              <w:rPr>
                <w:sz w:val="20"/>
                <w:lang w:val="fr-CA" w:eastAsia="en-CA"/>
              </w:rPr>
            </w:pPr>
            <w:r w:rsidRPr="00ED66D3">
              <w:rPr>
                <w:sz w:val="20"/>
                <w:lang w:val="fr-CA" w:eastAsia="en-CA"/>
              </w:rPr>
              <w:t>(Les juges Thibault, Gagnon et Bouchard)</w:t>
            </w:r>
          </w:p>
          <w:p w:rsidR="00ED66D3" w:rsidRPr="00ED66D3" w:rsidRDefault="00480458" w:rsidP="00ED66D3">
            <w:pPr>
              <w:spacing w:line="276" w:lineRule="auto"/>
              <w:rPr>
                <w:sz w:val="20"/>
                <w:lang w:val="en-CA" w:eastAsia="en-CA"/>
              </w:rPr>
            </w:pPr>
            <w:hyperlink r:id="rId68" w:history="1">
              <w:r w:rsidR="00ED66D3" w:rsidRPr="005529E3">
                <w:rPr>
                  <w:color w:val="0000FF" w:themeColor="hyperlink"/>
                  <w:sz w:val="20"/>
                  <w:u w:val="single"/>
                  <w:lang w:val="en-CA" w:eastAsia="en-CA"/>
                </w:rPr>
                <w:t>2014 QCCA 2240</w:t>
              </w:r>
            </w:hyperlink>
            <w:r w:rsidR="00ED66D3" w:rsidRPr="00ED66D3">
              <w:rPr>
                <w:sz w:val="20"/>
                <w:lang w:val="en-CA" w:eastAsia="en-CA"/>
              </w:rPr>
              <w:t>; 200-09-008760-149</w:t>
            </w:r>
          </w:p>
          <w:p w:rsidR="00ED66D3" w:rsidRPr="00ED66D3" w:rsidRDefault="00ED66D3" w:rsidP="00ED66D3">
            <w:pPr>
              <w:spacing w:line="276" w:lineRule="auto"/>
              <w:rPr>
                <w:sz w:val="20"/>
                <w:lang w:val="fr-CA" w:eastAsia="en-CA"/>
              </w:rPr>
            </w:pPr>
          </w:p>
        </w:tc>
        <w:tc>
          <w:tcPr>
            <w:tcW w:w="270" w:type="pct"/>
            <w:tcMar>
              <w:top w:w="0" w:type="dxa"/>
              <w:left w:w="0" w:type="dxa"/>
              <w:bottom w:w="0" w:type="dxa"/>
              <w:right w:w="0" w:type="dxa"/>
            </w:tcMar>
          </w:tcPr>
          <w:p w:rsidR="00ED66D3" w:rsidRPr="00ED66D3" w:rsidRDefault="00ED66D3" w:rsidP="00ED66D3">
            <w:pPr>
              <w:spacing w:line="276" w:lineRule="auto"/>
              <w:rPr>
                <w:sz w:val="20"/>
                <w:lang w:val="fr-CA" w:eastAsia="en-CA"/>
              </w:rPr>
            </w:pPr>
          </w:p>
        </w:tc>
        <w:tc>
          <w:tcPr>
            <w:tcW w:w="2340" w:type="pct"/>
            <w:tcMar>
              <w:top w:w="0" w:type="dxa"/>
              <w:left w:w="0" w:type="dxa"/>
              <w:bottom w:w="0" w:type="dxa"/>
              <w:right w:w="0" w:type="dxa"/>
            </w:tcMar>
            <w:hideMark/>
          </w:tcPr>
          <w:p w:rsidR="00ED66D3" w:rsidRPr="00ED66D3" w:rsidRDefault="00ED66D3" w:rsidP="00ED66D3">
            <w:pPr>
              <w:spacing w:line="276" w:lineRule="auto"/>
              <w:jc w:val="both"/>
              <w:rPr>
                <w:sz w:val="20"/>
                <w:lang w:val="fr-CA" w:eastAsia="en-CA"/>
              </w:rPr>
            </w:pPr>
            <w:r w:rsidRPr="00ED66D3">
              <w:rPr>
                <w:sz w:val="20"/>
                <w:lang w:val="fr-CA" w:eastAsia="en-CA"/>
              </w:rPr>
              <w:t>Requête en rejet d’appel accueillie; appel rejeté</w:t>
            </w:r>
          </w:p>
        </w:tc>
      </w:tr>
      <w:tr w:rsidR="00ED66D3" w:rsidRPr="00ED66D3" w:rsidTr="001523B7">
        <w:tc>
          <w:tcPr>
            <w:tcW w:w="2390" w:type="pct"/>
            <w:gridSpan w:val="2"/>
            <w:tcMar>
              <w:top w:w="0" w:type="dxa"/>
              <w:left w:w="0" w:type="dxa"/>
              <w:bottom w:w="0" w:type="dxa"/>
              <w:right w:w="0" w:type="dxa"/>
            </w:tcMar>
          </w:tcPr>
          <w:p w:rsidR="00ED66D3" w:rsidRPr="00ED66D3" w:rsidRDefault="00ED66D3" w:rsidP="00ED66D3">
            <w:pPr>
              <w:spacing w:line="276" w:lineRule="auto"/>
              <w:rPr>
                <w:sz w:val="20"/>
                <w:lang w:val="fr-CA" w:eastAsia="en-CA"/>
              </w:rPr>
            </w:pPr>
            <w:r w:rsidRPr="00ED66D3">
              <w:rPr>
                <w:sz w:val="20"/>
                <w:lang w:val="fr-CA" w:eastAsia="en-CA"/>
              </w:rPr>
              <w:t>Le 9 février 2015</w:t>
            </w:r>
          </w:p>
          <w:p w:rsidR="00ED66D3" w:rsidRPr="00ED66D3" w:rsidRDefault="00ED66D3" w:rsidP="00ED66D3">
            <w:pPr>
              <w:spacing w:line="276" w:lineRule="auto"/>
              <w:rPr>
                <w:sz w:val="20"/>
                <w:lang w:val="fr-CA" w:eastAsia="en-CA"/>
              </w:rPr>
            </w:pPr>
            <w:r w:rsidRPr="00ED66D3">
              <w:rPr>
                <w:sz w:val="20"/>
                <w:lang w:val="fr-CA" w:eastAsia="en-CA"/>
              </w:rPr>
              <w:t>Cour d’appel du Québec (Québec)</w:t>
            </w:r>
          </w:p>
          <w:p w:rsidR="00ED66D3" w:rsidRPr="00ED66D3" w:rsidRDefault="00ED66D3" w:rsidP="00ED66D3">
            <w:pPr>
              <w:spacing w:line="276" w:lineRule="auto"/>
              <w:rPr>
                <w:sz w:val="20"/>
                <w:lang w:val="fr-CA" w:eastAsia="en-CA"/>
              </w:rPr>
            </w:pPr>
            <w:r w:rsidRPr="00ED66D3">
              <w:rPr>
                <w:sz w:val="20"/>
                <w:lang w:val="fr-CA" w:eastAsia="en-CA"/>
              </w:rPr>
              <w:t xml:space="preserve">(Les juges Rochette, </w:t>
            </w:r>
            <w:proofErr w:type="spellStart"/>
            <w:r w:rsidRPr="00ED66D3">
              <w:rPr>
                <w:sz w:val="20"/>
                <w:lang w:val="fr-CA" w:eastAsia="en-CA"/>
              </w:rPr>
              <w:t>Dutil</w:t>
            </w:r>
            <w:proofErr w:type="spellEnd"/>
            <w:r w:rsidRPr="00ED66D3">
              <w:rPr>
                <w:sz w:val="20"/>
                <w:lang w:val="fr-CA" w:eastAsia="en-CA"/>
              </w:rPr>
              <w:t xml:space="preserve"> et Gagnon)</w:t>
            </w:r>
          </w:p>
          <w:p w:rsidR="00ED66D3" w:rsidRPr="00ED66D3" w:rsidRDefault="00480458" w:rsidP="00ED66D3">
            <w:pPr>
              <w:spacing w:line="276" w:lineRule="auto"/>
              <w:rPr>
                <w:sz w:val="20"/>
                <w:lang w:val="fr-CA" w:eastAsia="en-CA"/>
              </w:rPr>
            </w:pPr>
            <w:hyperlink r:id="rId69" w:history="1">
              <w:r w:rsidR="00ED66D3" w:rsidRPr="005529E3">
                <w:rPr>
                  <w:color w:val="0000FF" w:themeColor="hyperlink"/>
                  <w:sz w:val="20"/>
                  <w:u w:val="single"/>
                  <w:lang w:val="en-CA" w:eastAsia="en-CA"/>
                </w:rPr>
                <w:t>2015 QCCA 240</w:t>
              </w:r>
            </w:hyperlink>
            <w:r w:rsidR="00ED66D3" w:rsidRPr="00ED66D3">
              <w:rPr>
                <w:sz w:val="20"/>
                <w:lang w:val="en-CA" w:eastAsia="en-CA"/>
              </w:rPr>
              <w:t xml:space="preserve">; </w:t>
            </w:r>
            <w:r w:rsidR="00ED66D3" w:rsidRPr="00ED66D3">
              <w:rPr>
                <w:sz w:val="20"/>
                <w:lang w:val="fr-CA" w:eastAsia="en-CA"/>
              </w:rPr>
              <w:t>200-09-008893-148</w:t>
            </w:r>
          </w:p>
          <w:p w:rsidR="00ED66D3" w:rsidRPr="00ED66D3" w:rsidRDefault="00ED66D3" w:rsidP="00ED66D3">
            <w:pPr>
              <w:spacing w:line="276" w:lineRule="auto"/>
              <w:rPr>
                <w:sz w:val="20"/>
                <w:lang w:val="fr-CA" w:eastAsia="en-CA"/>
              </w:rPr>
            </w:pPr>
          </w:p>
        </w:tc>
        <w:tc>
          <w:tcPr>
            <w:tcW w:w="270" w:type="pct"/>
            <w:tcMar>
              <w:top w:w="0" w:type="dxa"/>
              <w:left w:w="0" w:type="dxa"/>
              <w:bottom w:w="0" w:type="dxa"/>
              <w:right w:w="0" w:type="dxa"/>
            </w:tcMar>
          </w:tcPr>
          <w:p w:rsidR="00ED66D3" w:rsidRPr="00ED66D3" w:rsidRDefault="00ED66D3" w:rsidP="00ED66D3">
            <w:pPr>
              <w:spacing w:line="276" w:lineRule="auto"/>
              <w:rPr>
                <w:sz w:val="20"/>
                <w:lang w:val="fr-CA" w:eastAsia="en-CA"/>
              </w:rPr>
            </w:pPr>
          </w:p>
        </w:tc>
        <w:tc>
          <w:tcPr>
            <w:tcW w:w="2340" w:type="pct"/>
            <w:tcMar>
              <w:top w:w="0" w:type="dxa"/>
              <w:left w:w="0" w:type="dxa"/>
              <w:bottom w:w="0" w:type="dxa"/>
              <w:right w:w="0" w:type="dxa"/>
            </w:tcMar>
          </w:tcPr>
          <w:p w:rsidR="00ED66D3" w:rsidRPr="00ED66D3" w:rsidRDefault="00ED66D3" w:rsidP="00ED66D3">
            <w:pPr>
              <w:spacing w:line="276" w:lineRule="auto"/>
              <w:jc w:val="both"/>
              <w:rPr>
                <w:sz w:val="20"/>
                <w:lang w:val="fr-CA" w:eastAsia="en-CA"/>
              </w:rPr>
            </w:pPr>
            <w:r w:rsidRPr="00ED66D3">
              <w:rPr>
                <w:sz w:val="20"/>
                <w:lang w:val="fr-CA" w:eastAsia="en-CA"/>
              </w:rPr>
              <w:t>Requête pour permission d’appeler hors délai et pour motivation rayée</w:t>
            </w:r>
          </w:p>
          <w:p w:rsidR="00ED66D3" w:rsidRPr="00ED66D3" w:rsidRDefault="00ED66D3" w:rsidP="00ED66D3">
            <w:pPr>
              <w:spacing w:line="276" w:lineRule="auto"/>
              <w:jc w:val="both"/>
              <w:rPr>
                <w:sz w:val="20"/>
                <w:lang w:val="fr-CA" w:eastAsia="en-CA"/>
              </w:rPr>
            </w:pPr>
          </w:p>
        </w:tc>
      </w:tr>
      <w:tr w:rsidR="00ED66D3" w:rsidRPr="00ED66D3" w:rsidTr="001523B7">
        <w:tc>
          <w:tcPr>
            <w:tcW w:w="2390" w:type="pct"/>
            <w:gridSpan w:val="2"/>
            <w:tcMar>
              <w:top w:w="0" w:type="dxa"/>
              <w:left w:w="0" w:type="dxa"/>
              <w:bottom w:w="0" w:type="dxa"/>
              <w:right w:w="0" w:type="dxa"/>
            </w:tcMar>
            <w:hideMark/>
          </w:tcPr>
          <w:p w:rsidR="00ED66D3" w:rsidRPr="00ED66D3" w:rsidRDefault="00ED66D3" w:rsidP="00ED66D3">
            <w:pPr>
              <w:spacing w:line="276" w:lineRule="auto"/>
              <w:rPr>
                <w:sz w:val="20"/>
                <w:lang w:val="fr-CA" w:eastAsia="en-CA"/>
              </w:rPr>
            </w:pPr>
            <w:r w:rsidRPr="00ED66D3">
              <w:rPr>
                <w:sz w:val="20"/>
                <w:lang w:val="fr-CA" w:eastAsia="en-CA"/>
              </w:rPr>
              <w:t>Le 24 février 2015</w:t>
            </w:r>
          </w:p>
          <w:p w:rsidR="00ED66D3" w:rsidRPr="00ED66D3" w:rsidRDefault="00ED66D3" w:rsidP="00ED66D3">
            <w:pPr>
              <w:spacing w:line="276" w:lineRule="auto"/>
              <w:rPr>
                <w:sz w:val="20"/>
                <w:lang w:val="fr-CA" w:eastAsia="en-CA"/>
              </w:rPr>
            </w:pPr>
            <w:r w:rsidRPr="00ED66D3">
              <w:rPr>
                <w:sz w:val="20"/>
                <w:lang w:val="fr-CA" w:eastAsia="en-CA"/>
              </w:rPr>
              <w:t>Cour suprême du Canada</w:t>
            </w:r>
          </w:p>
        </w:tc>
        <w:tc>
          <w:tcPr>
            <w:tcW w:w="270" w:type="pct"/>
            <w:tcMar>
              <w:top w:w="0" w:type="dxa"/>
              <w:left w:w="0" w:type="dxa"/>
              <w:bottom w:w="0" w:type="dxa"/>
              <w:right w:w="0" w:type="dxa"/>
            </w:tcMar>
          </w:tcPr>
          <w:p w:rsidR="00ED66D3" w:rsidRPr="00ED66D3" w:rsidRDefault="00ED66D3" w:rsidP="00ED66D3">
            <w:pPr>
              <w:spacing w:line="276" w:lineRule="auto"/>
              <w:rPr>
                <w:sz w:val="20"/>
                <w:lang w:val="fr-CA" w:eastAsia="en-CA"/>
              </w:rPr>
            </w:pPr>
          </w:p>
        </w:tc>
        <w:tc>
          <w:tcPr>
            <w:tcW w:w="2340" w:type="pct"/>
            <w:tcMar>
              <w:top w:w="0" w:type="dxa"/>
              <w:left w:w="0" w:type="dxa"/>
              <w:bottom w:w="0" w:type="dxa"/>
              <w:right w:w="0" w:type="dxa"/>
            </w:tcMar>
          </w:tcPr>
          <w:p w:rsidR="00ED66D3" w:rsidRPr="00ED66D3" w:rsidRDefault="00ED66D3" w:rsidP="00ED66D3">
            <w:pPr>
              <w:spacing w:line="276" w:lineRule="auto"/>
              <w:jc w:val="both"/>
              <w:rPr>
                <w:sz w:val="20"/>
                <w:lang w:val="fr-CA" w:eastAsia="en-CA"/>
              </w:rPr>
            </w:pPr>
            <w:r w:rsidRPr="00ED66D3">
              <w:rPr>
                <w:sz w:val="20"/>
                <w:lang w:val="fr-CA" w:eastAsia="en-CA"/>
              </w:rPr>
              <w:t>Demande d’autorisation d’appel déposée</w:t>
            </w:r>
          </w:p>
          <w:p w:rsidR="00ED66D3" w:rsidRPr="00ED66D3" w:rsidRDefault="00ED66D3" w:rsidP="00ED66D3">
            <w:pPr>
              <w:spacing w:line="276" w:lineRule="auto"/>
              <w:jc w:val="both"/>
              <w:rPr>
                <w:sz w:val="20"/>
                <w:lang w:val="fr-CA" w:eastAsia="en-CA"/>
              </w:rPr>
            </w:pPr>
          </w:p>
        </w:tc>
      </w:tr>
    </w:tbl>
    <w:p w:rsidR="00ED66D3" w:rsidRDefault="00ED66D3" w:rsidP="00ED66D3">
      <w:pPr>
        <w:jc w:val="both"/>
        <w:rPr>
          <w:rFonts w:eastAsia="Calibri"/>
          <w:sz w:val="20"/>
          <w:lang w:val="fr-CA"/>
        </w:rPr>
      </w:pPr>
    </w:p>
    <w:p w:rsidR="009C21EE" w:rsidRPr="00ED66D3" w:rsidRDefault="009C21EE" w:rsidP="00ED66D3">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ED66D3" w:rsidRPr="00ED66D3" w:rsidTr="00ED66D3">
        <w:tc>
          <w:tcPr>
            <w:tcW w:w="543" w:type="pct"/>
            <w:hideMark/>
          </w:tcPr>
          <w:p w:rsidR="00ED66D3" w:rsidRPr="00ED66D3" w:rsidRDefault="00ED66D3" w:rsidP="00ED66D3">
            <w:pPr>
              <w:spacing w:line="276" w:lineRule="auto"/>
              <w:jc w:val="both"/>
              <w:rPr>
                <w:rFonts w:eastAsia="Calibri"/>
                <w:sz w:val="20"/>
                <w:lang w:val="en-CA"/>
              </w:rPr>
            </w:pPr>
            <w:r w:rsidRPr="005529E3">
              <w:rPr>
                <w:rFonts w:eastAsia="Calibri"/>
                <w:b/>
                <w:sz w:val="20"/>
                <w:lang w:val="en-CA"/>
              </w:rPr>
              <w:t>36361</w:t>
            </w:r>
          </w:p>
        </w:tc>
        <w:tc>
          <w:tcPr>
            <w:tcW w:w="4457" w:type="pct"/>
            <w:gridSpan w:val="3"/>
            <w:hideMark/>
          </w:tcPr>
          <w:p w:rsidR="00ED66D3" w:rsidRPr="00ED66D3" w:rsidRDefault="00ED66D3" w:rsidP="00ED66D3">
            <w:pPr>
              <w:spacing w:line="276" w:lineRule="auto"/>
              <w:jc w:val="both"/>
              <w:rPr>
                <w:rFonts w:eastAsia="Calibri"/>
                <w:b/>
                <w:sz w:val="20"/>
                <w:lang w:val="en-CA"/>
              </w:rPr>
            </w:pPr>
            <w:r w:rsidRPr="00ED66D3">
              <w:rPr>
                <w:rFonts w:eastAsia="Calibri"/>
                <w:b/>
                <w:sz w:val="20"/>
                <w:lang w:val="en-CA"/>
              </w:rPr>
              <w:t>Tong Sang Lai v. Minister of Public Safety and Emergency Preparedness</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(FC) (Civil) (By Leave)</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en-CA"/>
              </w:rPr>
            </w:pPr>
            <w:r w:rsidRPr="00ED66D3">
              <w:rPr>
                <w:rFonts w:eastAsia="Calibri"/>
                <w:sz w:val="20"/>
                <w:lang w:val="en-CA"/>
              </w:rPr>
              <w:t xml:space="preserve">Immigration law – Inadmissibility and removal – Applicant found to be inadmissible to Canada on reasonable grounds to believe that he had been engaged in pattern of criminal activity outside of Canada that if committed inside Canada would constitute an indictable offence – What is the legal test for certifying a question of general importance pursuant to s. 74(d) of the </w:t>
            </w:r>
            <w:r w:rsidRPr="00ED66D3">
              <w:rPr>
                <w:rFonts w:eastAsia="Calibri"/>
                <w:i/>
                <w:sz w:val="20"/>
                <w:lang w:val="en-CA"/>
              </w:rPr>
              <w:t>Immigration and Refugee Protection Act</w:t>
            </w:r>
            <w:r w:rsidRPr="00ED66D3">
              <w:rPr>
                <w:rFonts w:eastAsia="Calibri"/>
                <w:sz w:val="20"/>
                <w:lang w:val="en-CA"/>
              </w:rPr>
              <w:t>, S.C. 2001, c. 27? – Whether the phrase “furtherance of the commission of an offence outside Canada that, if committed in Canada would institute such an offence” in s. 37(1)(a) requires evidence of the elements of a specific foreign offence, an equivalency analysis and a finding of dual criminality between the foreign offence and an indictable offence in Canada.</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en-CA"/>
              </w:rPr>
            </w:pP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en-CA"/>
              </w:rPr>
            </w:pPr>
            <w:r w:rsidRPr="00ED66D3">
              <w:rPr>
                <w:rFonts w:eastAsia="Calibri"/>
                <w:sz w:val="20"/>
                <w:lang w:val="en-CA"/>
              </w:rPr>
              <w:t xml:space="preserve">The applicant, his wife and three children were landed in Canada as permanent residents on October 28, 1996. Mr. Lai was a citizen of Macau of Portuguese descent and has not acquired Canadian citizenship. It was alleged by the Minister of Public Safety and Emergency Preparedness that pursuant to s. 37(1)(a) of the </w:t>
            </w:r>
            <w:r w:rsidRPr="00ED66D3">
              <w:rPr>
                <w:rFonts w:eastAsia="Calibri"/>
                <w:i/>
                <w:sz w:val="20"/>
                <w:lang w:val="en-CA"/>
              </w:rPr>
              <w:t>IRPA</w:t>
            </w:r>
            <w:r w:rsidRPr="00ED66D3">
              <w:rPr>
                <w:rFonts w:eastAsia="Calibri"/>
                <w:sz w:val="20"/>
                <w:lang w:val="en-CA"/>
              </w:rPr>
              <w:t xml:space="preserve">, Mr. Lai was inadmissible to Canada for having been a member of a criminal organization, known as the </w:t>
            </w:r>
            <w:proofErr w:type="spellStart"/>
            <w:r w:rsidRPr="00ED66D3">
              <w:rPr>
                <w:rFonts w:eastAsia="Calibri"/>
                <w:sz w:val="20"/>
                <w:lang w:val="en-CA"/>
              </w:rPr>
              <w:t>Shui</w:t>
            </w:r>
            <w:proofErr w:type="spellEnd"/>
            <w:r w:rsidRPr="00ED66D3">
              <w:rPr>
                <w:rFonts w:eastAsia="Calibri"/>
                <w:sz w:val="20"/>
                <w:lang w:val="en-CA"/>
              </w:rPr>
              <w:t xml:space="preserve"> Fong triad in Macau.</w:t>
            </w:r>
          </w:p>
          <w:p w:rsidR="00ED66D3" w:rsidRPr="00ED66D3" w:rsidRDefault="00ED66D3" w:rsidP="00ED66D3">
            <w:pPr>
              <w:spacing w:line="276" w:lineRule="auto"/>
              <w:jc w:val="both"/>
              <w:rPr>
                <w:rFonts w:eastAsia="Calibri"/>
                <w:sz w:val="20"/>
                <w:lang w:val="en-CA"/>
              </w:rPr>
            </w:pPr>
          </w:p>
        </w:tc>
      </w:tr>
      <w:tr w:rsidR="00ED66D3" w:rsidRPr="00ED66D3" w:rsidTr="009C21EE">
        <w:trPr>
          <w:trHeight w:val="432"/>
        </w:trPr>
        <w:tc>
          <w:tcPr>
            <w:tcW w:w="2427" w:type="pct"/>
            <w:gridSpan w:val="2"/>
          </w:tcPr>
          <w:p w:rsidR="00ED66D3" w:rsidRPr="00ED66D3" w:rsidRDefault="00ED66D3" w:rsidP="00ED66D3">
            <w:pPr>
              <w:spacing w:line="276" w:lineRule="auto"/>
              <w:jc w:val="both"/>
              <w:rPr>
                <w:rFonts w:eastAsia="Calibri"/>
                <w:sz w:val="20"/>
                <w:lang w:val="en-CA"/>
              </w:rPr>
            </w:pPr>
            <w:r w:rsidRPr="00ED66D3">
              <w:rPr>
                <w:rFonts w:eastAsia="Calibri"/>
                <w:sz w:val="20"/>
                <w:lang w:val="en-CA"/>
              </w:rPr>
              <w:t>August 12, 2013</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Immigration and Refugee Board of Canada</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(Geoff Rempel, Panel member)</w:t>
            </w:r>
          </w:p>
          <w:p w:rsidR="00ED66D3" w:rsidRPr="00ED66D3" w:rsidRDefault="00ED66D3" w:rsidP="009C21EE">
            <w:pPr>
              <w:jc w:val="both"/>
              <w:rPr>
                <w:rFonts w:eastAsia="Calibri"/>
                <w:sz w:val="20"/>
                <w:lang w:val="en-CA"/>
              </w:rPr>
            </w:pPr>
            <w:r w:rsidRPr="00ED66D3">
              <w:rPr>
                <w:rFonts w:eastAsia="Calibri"/>
                <w:sz w:val="20"/>
                <w:lang w:val="en-CA"/>
              </w:rPr>
              <w:t>Unreported</w:t>
            </w:r>
          </w:p>
          <w:p w:rsidR="00ED66D3" w:rsidRPr="00ED66D3" w:rsidRDefault="00ED66D3" w:rsidP="00ED66D3">
            <w:pPr>
              <w:spacing w:line="276" w:lineRule="auto"/>
              <w:jc w:val="both"/>
              <w:rPr>
                <w:rFonts w:eastAsia="Calibri"/>
                <w:sz w:val="20"/>
                <w:lang w:val="en-CA"/>
              </w:rPr>
            </w:pPr>
          </w:p>
        </w:tc>
        <w:tc>
          <w:tcPr>
            <w:tcW w:w="243" w:type="pct"/>
          </w:tcPr>
          <w:p w:rsidR="00ED66D3" w:rsidRPr="00ED66D3" w:rsidRDefault="00ED66D3" w:rsidP="00ED66D3">
            <w:pPr>
              <w:spacing w:line="276" w:lineRule="auto"/>
              <w:jc w:val="both"/>
              <w:rPr>
                <w:rFonts w:eastAsia="Calibri"/>
                <w:sz w:val="20"/>
                <w:lang w:val="en-CA"/>
              </w:rPr>
            </w:pPr>
          </w:p>
        </w:tc>
        <w:tc>
          <w:tcPr>
            <w:tcW w:w="2330" w:type="pct"/>
            <w:hideMark/>
          </w:tcPr>
          <w:p w:rsidR="00ED66D3" w:rsidRPr="00ED66D3" w:rsidRDefault="00ED66D3" w:rsidP="00ED66D3">
            <w:pPr>
              <w:spacing w:line="276" w:lineRule="auto"/>
              <w:jc w:val="both"/>
              <w:rPr>
                <w:rFonts w:eastAsia="Calibri"/>
                <w:sz w:val="20"/>
                <w:lang w:val="en-CA"/>
              </w:rPr>
            </w:pPr>
            <w:r w:rsidRPr="00ED66D3">
              <w:rPr>
                <w:rFonts w:eastAsia="Calibri"/>
                <w:sz w:val="20"/>
                <w:lang w:val="en-CA"/>
              </w:rPr>
              <w:t>Board decision to issue deportation order</w:t>
            </w: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en-CA"/>
              </w:rPr>
            </w:pPr>
            <w:r w:rsidRPr="00ED66D3">
              <w:rPr>
                <w:rFonts w:eastAsia="Calibri"/>
                <w:sz w:val="20"/>
                <w:lang w:val="en-CA"/>
              </w:rPr>
              <w:t>March 17, 2014</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Federal Court</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(Hughes J.)</w:t>
            </w:r>
          </w:p>
          <w:p w:rsidR="00ED66D3" w:rsidRPr="00ED66D3" w:rsidRDefault="00480458" w:rsidP="00ED66D3">
            <w:pPr>
              <w:spacing w:line="276" w:lineRule="auto"/>
              <w:jc w:val="both"/>
              <w:rPr>
                <w:rFonts w:eastAsia="Calibri"/>
                <w:sz w:val="20"/>
                <w:lang w:val="en-CA"/>
              </w:rPr>
            </w:pPr>
            <w:hyperlink r:id="rId70" w:history="1">
              <w:r w:rsidR="00ED66D3" w:rsidRPr="005529E3">
                <w:rPr>
                  <w:rFonts w:eastAsia="Calibri"/>
                  <w:color w:val="0000FF" w:themeColor="hyperlink"/>
                  <w:sz w:val="20"/>
                  <w:u w:val="single"/>
                  <w:lang w:val="en-CA"/>
                </w:rPr>
                <w:t>2014 FC 258</w:t>
              </w:r>
            </w:hyperlink>
          </w:p>
          <w:p w:rsidR="00ED66D3" w:rsidRPr="00ED66D3" w:rsidRDefault="00ED66D3" w:rsidP="00ED66D3">
            <w:pPr>
              <w:spacing w:line="276" w:lineRule="auto"/>
              <w:jc w:val="both"/>
              <w:rPr>
                <w:rFonts w:eastAsia="Calibri"/>
                <w:sz w:val="20"/>
                <w:lang w:val="en-CA"/>
              </w:rPr>
            </w:pPr>
          </w:p>
        </w:tc>
        <w:tc>
          <w:tcPr>
            <w:tcW w:w="243" w:type="pct"/>
          </w:tcPr>
          <w:p w:rsidR="00ED66D3" w:rsidRPr="00ED66D3" w:rsidRDefault="00ED66D3" w:rsidP="00ED66D3">
            <w:pPr>
              <w:spacing w:line="276" w:lineRule="auto"/>
              <w:jc w:val="both"/>
              <w:rPr>
                <w:rFonts w:eastAsia="Calibri"/>
                <w:sz w:val="20"/>
                <w:lang w:val="en-CA"/>
              </w:rPr>
            </w:pPr>
          </w:p>
        </w:tc>
        <w:tc>
          <w:tcPr>
            <w:tcW w:w="2330" w:type="pct"/>
          </w:tcPr>
          <w:p w:rsidR="00ED66D3" w:rsidRPr="00ED66D3" w:rsidRDefault="00ED66D3" w:rsidP="00ED66D3">
            <w:pPr>
              <w:spacing w:line="276" w:lineRule="auto"/>
              <w:jc w:val="both"/>
              <w:rPr>
                <w:rFonts w:eastAsia="Calibri"/>
                <w:sz w:val="20"/>
                <w:lang w:val="en-CA"/>
              </w:rPr>
            </w:pPr>
            <w:r w:rsidRPr="00ED66D3">
              <w:rPr>
                <w:rFonts w:eastAsia="Calibri"/>
                <w:sz w:val="20"/>
                <w:lang w:val="en-CA"/>
              </w:rPr>
              <w:t>Applicant’s appeal dismissed; question certified</w:t>
            </w:r>
          </w:p>
          <w:p w:rsidR="00ED66D3" w:rsidRPr="00ED66D3" w:rsidRDefault="00ED66D3" w:rsidP="00ED66D3">
            <w:pPr>
              <w:spacing w:line="276" w:lineRule="auto"/>
              <w:jc w:val="both"/>
              <w:rPr>
                <w:rFonts w:eastAsia="Calibri"/>
                <w:sz w:val="20"/>
                <w:lang w:val="en-CA"/>
              </w:rPr>
            </w:pPr>
          </w:p>
          <w:p w:rsidR="00ED66D3" w:rsidRPr="00ED66D3" w:rsidRDefault="00ED66D3" w:rsidP="00ED66D3">
            <w:pPr>
              <w:spacing w:line="276" w:lineRule="auto"/>
              <w:jc w:val="both"/>
              <w:rPr>
                <w:rFonts w:eastAsia="Calibri"/>
                <w:sz w:val="20"/>
                <w:lang w:val="en-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en-CA"/>
              </w:rPr>
            </w:pPr>
            <w:r w:rsidRPr="00ED66D3">
              <w:rPr>
                <w:rFonts w:eastAsia="Calibri"/>
                <w:sz w:val="20"/>
                <w:lang w:val="en-CA"/>
              </w:rPr>
              <w:t>January 27, 2015</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Federal Court of Appeal</w:t>
            </w:r>
          </w:p>
          <w:p w:rsidR="00ED66D3" w:rsidRPr="00ED66D3" w:rsidRDefault="00ED66D3" w:rsidP="00ED66D3">
            <w:pPr>
              <w:spacing w:line="276" w:lineRule="auto"/>
              <w:jc w:val="both"/>
              <w:rPr>
                <w:rFonts w:eastAsia="Calibri"/>
                <w:sz w:val="20"/>
                <w:lang w:val="en-CA"/>
              </w:rPr>
            </w:pPr>
            <w:r w:rsidRPr="00ED66D3">
              <w:rPr>
                <w:rFonts w:eastAsia="Calibri"/>
                <w:sz w:val="20"/>
                <w:lang w:val="en-CA"/>
              </w:rPr>
              <w:lastRenderedPageBreak/>
              <w:t xml:space="preserve">(Noël, Dawson and </w:t>
            </w:r>
            <w:proofErr w:type="spellStart"/>
            <w:r w:rsidRPr="00ED66D3">
              <w:rPr>
                <w:rFonts w:eastAsia="Calibri"/>
                <w:sz w:val="20"/>
                <w:lang w:val="en-CA"/>
              </w:rPr>
              <w:t>Trudel</w:t>
            </w:r>
            <w:proofErr w:type="spellEnd"/>
            <w:r w:rsidRPr="00ED66D3">
              <w:rPr>
                <w:rFonts w:eastAsia="Calibri"/>
                <w:sz w:val="20"/>
                <w:lang w:val="en-CA"/>
              </w:rPr>
              <w:t xml:space="preserve"> JJ.A.)</w:t>
            </w:r>
          </w:p>
          <w:p w:rsidR="00ED66D3" w:rsidRPr="00ED66D3" w:rsidRDefault="00ED66D3" w:rsidP="00ED66D3">
            <w:pPr>
              <w:spacing w:line="276" w:lineRule="auto"/>
              <w:jc w:val="both"/>
              <w:rPr>
                <w:rFonts w:eastAsia="Calibri"/>
                <w:sz w:val="20"/>
                <w:lang w:val="en-CA"/>
              </w:rPr>
            </w:pPr>
          </w:p>
        </w:tc>
        <w:tc>
          <w:tcPr>
            <w:tcW w:w="243" w:type="pct"/>
          </w:tcPr>
          <w:p w:rsidR="00ED66D3" w:rsidRPr="00ED66D3" w:rsidRDefault="00ED66D3" w:rsidP="00ED66D3">
            <w:pPr>
              <w:spacing w:line="276" w:lineRule="auto"/>
              <w:jc w:val="both"/>
              <w:rPr>
                <w:rFonts w:eastAsia="Calibri"/>
                <w:sz w:val="20"/>
                <w:lang w:val="en-CA"/>
              </w:rPr>
            </w:pPr>
          </w:p>
        </w:tc>
        <w:tc>
          <w:tcPr>
            <w:tcW w:w="2330" w:type="pct"/>
          </w:tcPr>
          <w:p w:rsidR="00ED66D3" w:rsidRPr="00ED66D3" w:rsidRDefault="00ED66D3" w:rsidP="00ED66D3">
            <w:pPr>
              <w:spacing w:line="276" w:lineRule="auto"/>
              <w:jc w:val="both"/>
              <w:rPr>
                <w:rFonts w:eastAsia="Calibri"/>
                <w:sz w:val="20"/>
                <w:lang w:val="en-CA"/>
              </w:rPr>
            </w:pPr>
            <w:r w:rsidRPr="00ED66D3">
              <w:rPr>
                <w:rFonts w:eastAsia="Calibri"/>
                <w:sz w:val="20"/>
                <w:lang w:val="en-CA"/>
              </w:rPr>
              <w:t>Applicant’s appeal dismissed; unnecessary to certify question</w:t>
            </w:r>
          </w:p>
          <w:p w:rsidR="00ED66D3" w:rsidRPr="00ED66D3" w:rsidRDefault="00ED66D3" w:rsidP="00ED66D3">
            <w:pPr>
              <w:spacing w:line="276" w:lineRule="auto"/>
              <w:jc w:val="both"/>
              <w:rPr>
                <w:rFonts w:eastAsia="Calibri"/>
                <w:sz w:val="20"/>
                <w:lang w:val="en-CA"/>
              </w:rPr>
            </w:pPr>
          </w:p>
          <w:p w:rsidR="00ED66D3" w:rsidRPr="00ED66D3" w:rsidRDefault="00ED66D3" w:rsidP="00ED66D3">
            <w:pPr>
              <w:spacing w:line="276" w:lineRule="auto"/>
              <w:jc w:val="both"/>
              <w:rPr>
                <w:rFonts w:eastAsia="Calibri"/>
                <w:sz w:val="20"/>
                <w:lang w:val="en-CA"/>
              </w:rPr>
            </w:pPr>
          </w:p>
        </w:tc>
      </w:tr>
      <w:tr w:rsidR="00ED66D3" w:rsidRPr="00ED66D3" w:rsidTr="00ED66D3">
        <w:tc>
          <w:tcPr>
            <w:tcW w:w="2427" w:type="pct"/>
            <w:gridSpan w:val="2"/>
            <w:hideMark/>
          </w:tcPr>
          <w:p w:rsidR="00ED66D3" w:rsidRPr="00ED66D3" w:rsidRDefault="00ED66D3" w:rsidP="00ED66D3">
            <w:pPr>
              <w:spacing w:line="276" w:lineRule="auto"/>
              <w:jc w:val="both"/>
              <w:rPr>
                <w:rFonts w:eastAsia="Calibri"/>
                <w:sz w:val="20"/>
                <w:lang w:val="en-CA"/>
              </w:rPr>
            </w:pPr>
            <w:r w:rsidRPr="00ED66D3">
              <w:rPr>
                <w:rFonts w:eastAsia="Calibri"/>
                <w:sz w:val="20"/>
                <w:lang w:val="en-CA"/>
              </w:rPr>
              <w:lastRenderedPageBreak/>
              <w:t>March 26, 2015</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Supreme Court of Canada</w:t>
            </w:r>
          </w:p>
        </w:tc>
        <w:tc>
          <w:tcPr>
            <w:tcW w:w="243" w:type="pct"/>
          </w:tcPr>
          <w:p w:rsidR="00ED66D3" w:rsidRPr="00ED66D3" w:rsidRDefault="00ED66D3" w:rsidP="00ED66D3">
            <w:pPr>
              <w:spacing w:line="276" w:lineRule="auto"/>
              <w:jc w:val="both"/>
              <w:rPr>
                <w:rFonts w:eastAsia="Calibri"/>
                <w:sz w:val="20"/>
                <w:lang w:val="en-CA"/>
              </w:rPr>
            </w:pPr>
          </w:p>
        </w:tc>
        <w:tc>
          <w:tcPr>
            <w:tcW w:w="2330" w:type="pct"/>
          </w:tcPr>
          <w:p w:rsidR="00ED66D3" w:rsidRPr="00ED66D3" w:rsidRDefault="00ED66D3" w:rsidP="00ED66D3">
            <w:pPr>
              <w:spacing w:line="276" w:lineRule="auto"/>
              <w:jc w:val="both"/>
              <w:rPr>
                <w:rFonts w:eastAsia="Calibri"/>
                <w:sz w:val="20"/>
                <w:lang w:val="en-CA"/>
              </w:rPr>
            </w:pPr>
            <w:r w:rsidRPr="00ED66D3">
              <w:rPr>
                <w:rFonts w:eastAsia="Calibri"/>
                <w:sz w:val="20"/>
                <w:lang w:val="en-CA"/>
              </w:rPr>
              <w:t>Application for leave to appeal filed</w:t>
            </w:r>
          </w:p>
          <w:p w:rsidR="00ED66D3" w:rsidRPr="00ED66D3" w:rsidRDefault="00ED66D3" w:rsidP="00ED66D3">
            <w:pPr>
              <w:spacing w:line="276" w:lineRule="auto"/>
              <w:jc w:val="both"/>
              <w:rPr>
                <w:rFonts w:eastAsia="Calibri"/>
                <w:sz w:val="20"/>
                <w:lang w:val="en-CA"/>
              </w:rPr>
            </w:pPr>
          </w:p>
        </w:tc>
      </w:tr>
    </w:tbl>
    <w:p w:rsidR="00ED66D3" w:rsidRDefault="00ED66D3" w:rsidP="00ED66D3">
      <w:pPr>
        <w:jc w:val="both"/>
        <w:rPr>
          <w:rFonts w:eastAsia="Calibri"/>
          <w:sz w:val="20"/>
          <w:lang w:val="en-CA"/>
        </w:rPr>
      </w:pPr>
    </w:p>
    <w:p w:rsidR="009C21EE" w:rsidRPr="00ED66D3" w:rsidRDefault="009C21EE" w:rsidP="00ED66D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ED66D3" w:rsidRPr="00ED66D3" w:rsidTr="00ED66D3">
        <w:tc>
          <w:tcPr>
            <w:tcW w:w="543" w:type="pct"/>
            <w:hideMark/>
          </w:tcPr>
          <w:p w:rsidR="00ED66D3" w:rsidRPr="00ED66D3" w:rsidRDefault="00ED66D3" w:rsidP="00ED66D3">
            <w:pPr>
              <w:spacing w:line="276" w:lineRule="auto"/>
              <w:jc w:val="both"/>
              <w:rPr>
                <w:rFonts w:eastAsia="Calibri"/>
                <w:sz w:val="20"/>
                <w:lang w:val="fr-CA"/>
              </w:rPr>
            </w:pPr>
            <w:r w:rsidRPr="005529E3">
              <w:rPr>
                <w:rFonts w:eastAsia="Calibri"/>
                <w:b/>
                <w:sz w:val="20"/>
                <w:lang w:val="fr-CA"/>
              </w:rPr>
              <w:t>36361</w:t>
            </w:r>
          </w:p>
        </w:tc>
        <w:tc>
          <w:tcPr>
            <w:tcW w:w="4457" w:type="pct"/>
            <w:gridSpan w:val="3"/>
            <w:hideMark/>
          </w:tcPr>
          <w:p w:rsidR="00ED66D3" w:rsidRPr="00ED66D3" w:rsidRDefault="00ED66D3" w:rsidP="00ED66D3">
            <w:pPr>
              <w:spacing w:line="276" w:lineRule="auto"/>
              <w:jc w:val="both"/>
              <w:rPr>
                <w:rFonts w:eastAsia="Calibri"/>
                <w:b/>
                <w:sz w:val="20"/>
                <w:lang w:val="fr-CA"/>
              </w:rPr>
            </w:pPr>
            <w:r w:rsidRPr="00ED66D3">
              <w:rPr>
                <w:rFonts w:eastAsia="Calibri"/>
                <w:b/>
                <w:sz w:val="20"/>
                <w:lang w:val="fr-CA"/>
              </w:rPr>
              <w:t>Tong Sang Lai c. Ministre de la Sécurité publique et de la protection civile</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(CF) (Civile) (Sur autorisation)</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fr-CA"/>
              </w:rPr>
            </w:pPr>
            <w:r w:rsidRPr="00ED66D3">
              <w:rPr>
                <w:rFonts w:eastAsia="Calibri"/>
                <w:sz w:val="20"/>
                <w:lang w:val="fr-CA"/>
              </w:rPr>
              <w:t>Droit de l’immigration – Interdiction de territoire et renvoi – Demandeur déclaré interdit de territoire en raison de l’existence de motifs raisonnables de croire qu’il avait participé à des activités faisant partie d’un plan d’activités criminelles hors du Canada, qui, commises au Canada, constitueraient une infraction punissable par mise en accusation – Quel est le critère juridique applicable à la certification d’une question grave de portée générale visée à l’al. 74</w:t>
            </w:r>
            <w:r w:rsidRPr="00ED66D3">
              <w:rPr>
                <w:rFonts w:eastAsia="Calibri"/>
                <w:i/>
                <w:sz w:val="20"/>
                <w:lang w:val="fr-CA"/>
              </w:rPr>
              <w:t>d</w:t>
            </w:r>
            <w:r w:rsidRPr="00ED66D3">
              <w:rPr>
                <w:rFonts w:eastAsia="Calibri"/>
                <w:sz w:val="20"/>
                <w:lang w:val="fr-CA"/>
              </w:rPr>
              <w:t xml:space="preserve">) de la </w:t>
            </w:r>
            <w:r w:rsidRPr="00ED66D3">
              <w:rPr>
                <w:rFonts w:eastAsia="Calibri"/>
                <w:i/>
                <w:sz w:val="20"/>
                <w:lang w:val="fr-CA"/>
              </w:rPr>
              <w:t>Loi sur l’immigration et la protection des réfugiés</w:t>
            </w:r>
            <w:r w:rsidRPr="00ED66D3">
              <w:rPr>
                <w:rFonts w:eastAsia="Calibri"/>
                <w:sz w:val="20"/>
                <w:lang w:val="fr-CA"/>
              </w:rPr>
              <w:t xml:space="preserve">, L.C. 2001, c. 27? – L’expression « [en vue] </w:t>
            </w:r>
            <w:r w:rsidRPr="00ED66D3">
              <w:rPr>
                <w:rFonts w:eastAsia="Calibri"/>
                <w:sz w:val="20"/>
                <w:lang w:val="fr-FR"/>
              </w:rPr>
              <w:t>de la perpétration, hors du Canada, d’une infraction qui, commise au Canada, constituerait une telle infraction » qui figure à l’al. </w:t>
            </w:r>
            <w:r w:rsidRPr="00ED66D3">
              <w:rPr>
                <w:rFonts w:eastAsia="Calibri"/>
                <w:sz w:val="20"/>
                <w:lang w:val="fr-CA"/>
              </w:rPr>
              <w:t>37(1)</w:t>
            </w:r>
            <w:r w:rsidRPr="00ED66D3">
              <w:rPr>
                <w:rFonts w:eastAsia="Calibri"/>
                <w:i/>
                <w:sz w:val="20"/>
                <w:lang w:val="fr-CA"/>
              </w:rPr>
              <w:t>a</w:t>
            </w:r>
            <w:r w:rsidRPr="00ED66D3">
              <w:rPr>
                <w:rFonts w:eastAsia="Calibri"/>
                <w:sz w:val="20"/>
                <w:lang w:val="fr-CA"/>
              </w:rPr>
              <w:t>) nécessite-t-elle la preuve des éléments de l’infraction précise dans l’autre pays, une analyse d’équivalence et une conclusion quant à la nature criminelle de l’infraction dans l’autre pays comparée à une infraction punissable par mise en accusation au Canada?</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fr-CA"/>
              </w:rPr>
            </w:pP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fr-CA"/>
              </w:rPr>
            </w:pPr>
            <w:r w:rsidRPr="00ED66D3">
              <w:rPr>
                <w:rFonts w:eastAsia="Calibri"/>
                <w:sz w:val="20"/>
                <w:lang w:val="fr-CA"/>
              </w:rPr>
              <w:t xml:space="preserve">Le demandeur, son épouse et ses trois enfants ont été admis au Canada à titre de résidents permanents le 28 octobre 1996. M. Lai, qui était un citoyen de Macao de souche </w:t>
            </w:r>
            <w:proofErr w:type="spellStart"/>
            <w:r w:rsidRPr="00ED66D3">
              <w:rPr>
                <w:rFonts w:eastAsia="Calibri"/>
                <w:sz w:val="20"/>
                <w:lang w:val="fr-CA"/>
              </w:rPr>
              <w:t>portuguaise</w:t>
            </w:r>
            <w:proofErr w:type="spellEnd"/>
            <w:r w:rsidRPr="00ED66D3">
              <w:rPr>
                <w:rFonts w:eastAsia="Calibri"/>
                <w:sz w:val="20"/>
                <w:lang w:val="fr-CA"/>
              </w:rPr>
              <w:t>, n’a pas obtenu la citoyenneté canadienne. Le ministre de la Sécurité publique et de la protection civile affirme que M. Lai est interdit de territoire aux termes de l’al. 37(1)</w:t>
            </w:r>
            <w:r w:rsidRPr="00ED66D3">
              <w:rPr>
                <w:rFonts w:eastAsia="Calibri"/>
                <w:i/>
                <w:sz w:val="20"/>
                <w:lang w:val="fr-CA"/>
              </w:rPr>
              <w:t>a</w:t>
            </w:r>
            <w:r w:rsidRPr="00ED66D3">
              <w:rPr>
                <w:rFonts w:eastAsia="Calibri"/>
                <w:sz w:val="20"/>
                <w:lang w:val="fr-CA"/>
              </w:rPr>
              <w:t xml:space="preserve">) de la </w:t>
            </w:r>
            <w:r w:rsidRPr="00ED66D3">
              <w:rPr>
                <w:rFonts w:eastAsia="Calibri"/>
                <w:i/>
                <w:sz w:val="20"/>
                <w:lang w:val="fr-CA"/>
              </w:rPr>
              <w:t>LIRP</w:t>
            </w:r>
            <w:r w:rsidRPr="00ED66D3">
              <w:rPr>
                <w:rFonts w:eastAsia="Calibri"/>
                <w:sz w:val="20"/>
                <w:lang w:val="fr-CA"/>
              </w:rPr>
              <w:t xml:space="preserve"> pour avoir fait partie d’une organisation criminelle, Shui </w:t>
            </w:r>
            <w:proofErr w:type="spellStart"/>
            <w:r w:rsidRPr="00ED66D3">
              <w:rPr>
                <w:rFonts w:eastAsia="Calibri"/>
                <w:sz w:val="20"/>
                <w:lang w:val="fr-CA"/>
              </w:rPr>
              <w:t>Fong</w:t>
            </w:r>
            <w:proofErr w:type="spellEnd"/>
            <w:r w:rsidRPr="00ED66D3">
              <w:rPr>
                <w:rFonts w:eastAsia="Calibri"/>
                <w:sz w:val="20"/>
                <w:lang w:val="fr-CA"/>
              </w:rPr>
              <w:t xml:space="preserve">, une triade qui sévit à Macao.  </w:t>
            </w:r>
          </w:p>
          <w:p w:rsidR="00ED66D3" w:rsidRPr="00ED66D3" w:rsidRDefault="00ED66D3" w:rsidP="00ED66D3">
            <w:pPr>
              <w:spacing w:line="276" w:lineRule="auto"/>
              <w:jc w:val="both"/>
              <w:rPr>
                <w:rFonts w:eastAsia="Calibri"/>
                <w:sz w:val="20"/>
                <w:lang w:val="fr-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fr-CA"/>
              </w:rPr>
            </w:pPr>
            <w:r w:rsidRPr="00ED66D3">
              <w:rPr>
                <w:rFonts w:eastAsia="Calibri"/>
                <w:sz w:val="20"/>
                <w:lang w:val="fr-CA"/>
              </w:rPr>
              <w:t>12 août 2013</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Commission de l’immigration et du statut de réfugié du Canada</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 xml:space="preserve">(commissaire Geoff </w:t>
            </w:r>
            <w:proofErr w:type="spellStart"/>
            <w:r w:rsidRPr="00ED66D3">
              <w:rPr>
                <w:rFonts w:eastAsia="Calibri"/>
                <w:sz w:val="20"/>
                <w:lang w:val="fr-CA"/>
              </w:rPr>
              <w:t>Rempel</w:t>
            </w:r>
            <w:proofErr w:type="spellEnd"/>
            <w:r w:rsidRPr="00ED66D3">
              <w:rPr>
                <w:rFonts w:eastAsia="Calibri"/>
                <w:sz w:val="20"/>
                <w:lang w:val="fr-CA"/>
              </w:rPr>
              <w:t>)</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Inédit</w:t>
            </w:r>
          </w:p>
          <w:p w:rsidR="00ED66D3" w:rsidRPr="00ED66D3" w:rsidRDefault="00ED66D3" w:rsidP="00ED66D3">
            <w:pPr>
              <w:spacing w:line="276" w:lineRule="auto"/>
              <w:jc w:val="both"/>
              <w:rPr>
                <w:rFonts w:eastAsia="Calibri"/>
                <w:sz w:val="20"/>
                <w:lang w:val="fr-CA"/>
              </w:rPr>
            </w:pPr>
          </w:p>
        </w:tc>
        <w:tc>
          <w:tcPr>
            <w:tcW w:w="243" w:type="pct"/>
          </w:tcPr>
          <w:p w:rsidR="00ED66D3" w:rsidRPr="00ED66D3" w:rsidRDefault="00ED66D3" w:rsidP="00ED66D3">
            <w:pPr>
              <w:spacing w:line="276" w:lineRule="auto"/>
              <w:jc w:val="both"/>
              <w:rPr>
                <w:rFonts w:eastAsia="Calibri"/>
                <w:sz w:val="20"/>
                <w:lang w:val="fr-CA"/>
              </w:rPr>
            </w:pPr>
          </w:p>
        </w:tc>
        <w:tc>
          <w:tcPr>
            <w:tcW w:w="2330" w:type="pct"/>
            <w:hideMark/>
          </w:tcPr>
          <w:p w:rsidR="00ED66D3" w:rsidRPr="00ED66D3" w:rsidRDefault="00ED66D3" w:rsidP="00ED66D3">
            <w:pPr>
              <w:spacing w:line="276" w:lineRule="auto"/>
              <w:jc w:val="both"/>
              <w:rPr>
                <w:rFonts w:eastAsia="Calibri"/>
                <w:sz w:val="20"/>
                <w:lang w:val="fr-CA"/>
              </w:rPr>
            </w:pPr>
            <w:r w:rsidRPr="00ED66D3">
              <w:rPr>
                <w:rFonts w:eastAsia="Calibri"/>
                <w:sz w:val="20"/>
                <w:lang w:val="fr-CA"/>
              </w:rPr>
              <w:t>Mesure d’expulsion</w:t>
            </w: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fr-CA"/>
              </w:rPr>
            </w:pPr>
            <w:r w:rsidRPr="00ED66D3">
              <w:rPr>
                <w:rFonts w:eastAsia="Calibri"/>
                <w:sz w:val="20"/>
                <w:lang w:val="fr-CA"/>
              </w:rPr>
              <w:t>17 mars 2014</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Cour fédérale</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(Juge Hughes)</w:t>
            </w:r>
          </w:p>
          <w:p w:rsidR="00ED66D3" w:rsidRPr="00ED66D3" w:rsidRDefault="00480458" w:rsidP="00ED66D3">
            <w:pPr>
              <w:spacing w:line="276" w:lineRule="auto"/>
              <w:jc w:val="both"/>
              <w:rPr>
                <w:rFonts w:eastAsia="Calibri"/>
                <w:sz w:val="20"/>
                <w:lang w:val="fr-CA"/>
              </w:rPr>
            </w:pPr>
            <w:hyperlink r:id="rId71" w:history="1">
              <w:r w:rsidR="00ED66D3" w:rsidRPr="005529E3">
                <w:rPr>
                  <w:rFonts w:eastAsia="Calibri"/>
                  <w:color w:val="0000FF" w:themeColor="hyperlink"/>
                  <w:sz w:val="20"/>
                  <w:u w:val="single"/>
                  <w:lang w:val="fr-CA"/>
                </w:rPr>
                <w:t>2014 FC 258</w:t>
              </w:r>
            </w:hyperlink>
          </w:p>
          <w:p w:rsidR="00ED66D3" w:rsidRPr="00ED66D3" w:rsidRDefault="00ED66D3" w:rsidP="00ED66D3">
            <w:pPr>
              <w:spacing w:line="276" w:lineRule="auto"/>
              <w:jc w:val="both"/>
              <w:rPr>
                <w:rFonts w:eastAsia="Calibri"/>
                <w:sz w:val="20"/>
                <w:lang w:val="fr-CA"/>
              </w:rPr>
            </w:pPr>
          </w:p>
        </w:tc>
        <w:tc>
          <w:tcPr>
            <w:tcW w:w="243" w:type="pct"/>
          </w:tcPr>
          <w:p w:rsidR="00ED66D3" w:rsidRPr="00ED66D3" w:rsidRDefault="00ED66D3" w:rsidP="00ED66D3">
            <w:pPr>
              <w:spacing w:line="276" w:lineRule="auto"/>
              <w:jc w:val="both"/>
              <w:rPr>
                <w:rFonts w:eastAsia="Calibri"/>
                <w:sz w:val="20"/>
                <w:lang w:val="fr-CA"/>
              </w:rPr>
            </w:pPr>
          </w:p>
        </w:tc>
        <w:tc>
          <w:tcPr>
            <w:tcW w:w="2330" w:type="pct"/>
          </w:tcPr>
          <w:p w:rsidR="00ED66D3" w:rsidRPr="00ED66D3" w:rsidRDefault="00ED66D3" w:rsidP="00ED66D3">
            <w:pPr>
              <w:spacing w:line="276" w:lineRule="auto"/>
              <w:jc w:val="both"/>
              <w:rPr>
                <w:rFonts w:eastAsia="Calibri"/>
                <w:sz w:val="20"/>
                <w:lang w:val="fr-CA"/>
              </w:rPr>
            </w:pPr>
            <w:r w:rsidRPr="00ED66D3">
              <w:rPr>
                <w:rFonts w:eastAsia="Calibri"/>
                <w:sz w:val="20"/>
                <w:lang w:val="fr-CA"/>
              </w:rPr>
              <w:t>Rejet de l’appel interjeté par le demandeur; certification d’une question</w:t>
            </w:r>
          </w:p>
          <w:p w:rsidR="00ED66D3" w:rsidRPr="00ED66D3" w:rsidRDefault="00ED66D3" w:rsidP="00ED66D3">
            <w:pPr>
              <w:spacing w:line="276" w:lineRule="auto"/>
              <w:jc w:val="both"/>
              <w:rPr>
                <w:rFonts w:eastAsia="Calibri"/>
                <w:sz w:val="20"/>
                <w:lang w:val="fr-CA"/>
              </w:rPr>
            </w:pPr>
          </w:p>
          <w:p w:rsidR="00ED66D3" w:rsidRPr="00ED66D3" w:rsidRDefault="00ED66D3" w:rsidP="00ED66D3">
            <w:pPr>
              <w:spacing w:line="276" w:lineRule="auto"/>
              <w:jc w:val="both"/>
              <w:rPr>
                <w:rFonts w:eastAsia="Calibri"/>
                <w:sz w:val="20"/>
                <w:lang w:val="fr-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fr-CA"/>
              </w:rPr>
            </w:pPr>
            <w:r w:rsidRPr="00ED66D3">
              <w:rPr>
                <w:rFonts w:eastAsia="Calibri"/>
                <w:sz w:val="20"/>
                <w:lang w:val="fr-CA"/>
              </w:rPr>
              <w:t>27 janvier 2015</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Cour d’appel fédérale</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(Juges Noël, Dawson et Trudel)</w:t>
            </w:r>
          </w:p>
          <w:p w:rsidR="00ED66D3" w:rsidRPr="00ED66D3" w:rsidRDefault="00ED66D3" w:rsidP="00ED66D3">
            <w:pPr>
              <w:spacing w:line="276" w:lineRule="auto"/>
              <w:jc w:val="both"/>
              <w:rPr>
                <w:rFonts w:eastAsia="Calibri"/>
                <w:sz w:val="20"/>
                <w:lang w:val="fr-CA"/>
              </w:rPr>
            </w:pPr>
          </w:p>
        </w:tc>
        <w:tc>
          <w:tcPr>
            <w:tcW w:w="243" w:type="pct"/>
          </w:tcPr>
          <w:p w:rsidR="00ED66D3" w:rsidRPr="00ED66D3" w:rsidRDefault="00ED66D3" w:rsidP="00ED66D3">
            <w:pPr>
              <w:spacing w:line="276" w:lineRule="auto"/>
              <w:jc w:val="both"/>
              <w:rPr>
                <w:rFonts w:eastAsia="Calibri"/>
                <w:sz w:val="20"/>
                <w:lang w:val="fr-CA"/>
              </w:rPr>
            </w:pPr>
          </w:p>
        </w:tc>
        <w:tc>
          <w:tcPr>
            <w:tcW w:w="2330" w:type="pct"/>
          </w:tcPr>
          <w:p w:rsidR="00ED66D3" w:rsidRPr="00ED66D3" w:rsidRDefault="00ED66D3" w:rsidP="00ED66D3">
            <w:pPr>
              <w:spacing w:line="276" w:lineRule="auto"/>
              <w:jc w:val="both"/>
              <w:rPr>
                <w:rFonts w:eastAsia="Calibri"/>
                <w:sz w:val="20"/>
                <w:lang w:val="fr-CA"/>
              </w:rPr>
            </w:pPr>
            <w:r w:rsidRPr="00ED66D3">
              <w:rPr>
                <w:rFonts w:eastAsia="Calibri"/>
                <w:sz w:val="20"/>
                <w:lang w:val="fr-CA"/>
              </w:rPr>
              <w:t>Rejet de l’appel interjeté par le demandeur; décision quant à la certification inutile d’une question</w:t>
            </w:r>
          </w:p>
          <w:p w:rsidR="00ED66D3" w:rsidRPr="00ED66D3" w:rsidRDefault="00ED66D3" w:rsidP="00ED66D3">
            <w:pPr>
              <w:spacing w:line="276" w:lineRule="auto"/>
              <w:jc w:val="both"/>
              <w:rPr>
                <w:rFonts w:eastAsia="Calibri"/>
                <w:sz w:val="20"/>
                <w:lang w:val="fr-CA"/>
              </w:rPr>
            </w:pPr>
          </w:p>
          <w:p w:rsidR="00ED66D3" w:rsidRPr="00ED66D3" w:rsidRDefault="00ED66D3" w:rsidP="00ED66D3">
            <w:pPr>
              <w:spacing w:line="276" w:lineRule="auto"/>
              <w:jc w:val="both"/>
              <w:rPr>
                <w:rFonts w:eastAsia="Calibri"/>
                <w:sz w:val="20"/>
                <w:lang w:val="fr-CA"/>
              </w:rPr>
            </w:pPr>
          </w:p>
        </w:tc>
      </w:tr>
      <w:tr w:rsidR="00ED66D3" w:rsidRPr="00ED66D3" w:rsidTr="00ED66D3">
        <w:tc>
          <w:tcPr>
            <w:tcW w:w="2427" w:type="pct"/>
            <w:gridSpan w:val="2"/>
            <w:hideMark/>
          </w:tcPr>
          <w:p w:rsidR="00ED66D3" w:rsidRPr="00ED66D3" w:rsidRDefault="00ED66D3" w:rsidP="00ED66D3">
            <w:pPr>
              <w:spacing w:line="276" w:lineRule="auto"/>
              <w:jc w:val="both"/>
              <w:rPr>
                <w:rFonts w:eastAsia="Calibri"/>
                <w:sz w:val="20"/>
                <w:lang w:val="fr-CA"/>
              </w:rPr>
            </w:pPr>
            <w:r w:rsidRPr="00ED66D3">
              <w:rPr>
                <w:rFonts w:eastAsia="Calibri"/>
                <w:sz w:val="20"/>
                <w:lang w:val="fr-CA"/>
              </w:rPr>
              <w:t>26 mars 2015</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Cour suprême du Canada</w:t>
            </w:r>
          </w:p>
        </w:tc>
        <w:tc>
          <w:tcPr>
            <w:tcW w:w="243" w:type="pct"/>
          </w:tcPr>
          <w:p w:rsidR="00ED66D3" w:rsidRPr="00ED66D3" w:rsidRDefault="00ED66D3" w:rsidP="00ED66D3">
            <w:pPr>
              <w:spacing w:line="276" w:lineRule="auto"/>
              <w:jc w:val="both"/>
              <w:rPr>
                <w:rFonts w:eastAsia="Calibri"/>
                <w:sz w:val="20"/>
                <w:lang w:val="fr-CA"/>
              </w:rPr>
            </w:pPr>
          </w:p>
        </w:tc>
        <w:tc>
          <w:tcPr>
            <w:tcW w:w="2330" w:type="pct"/>
          </w:tcPr>
          <w:p w:rsidR="00ED66D3" w:rsidRPr="00ED66D3" w:rsidRDefault="00ED66D3" w:rsidP="00ED66D3">
            <w:pPr>
              <w:spacing w:line="276" w:lineRule="auto"/>
              <w:jc w:val="both"/>
              <w:rPr>
                <w:rFonts w:eastAsia="Calibri"/>
                <w:sz w:val="20"/>
                <w:lang w:val="fr-CA"/>
              </w:rPr>
            </w:pPr>
            <w:r w:rsidRPr="00ED66D3">
              <w:rPr>
                <w:rFonts w:eastAsia="Calibri"/>
                <w:sz w:val="20"/>
                <w:lang w:val="fr-CA"/>
              </w:rPr>
              <w:t>Dépôt de la demande d’autorisation d’appel</w:t>
            </w:r>
          </w:p>
          <w:p w:rsidR="00ED66D3" w:rsidRPr="00ED66D3" w:rsidRDefault="00ED66D3" w:rsidP="00ED66D3">
            <w:pPr>
              <w:spacing w:line="276" w:lineRule="auto"/>
              <w:jc w:val="both"/>
              <w:rPr>
                <w:rFonts w:eastAsia="Calibri"/>
                <w:sz w:val="20"/>
                <w:lang w:val="fr-CA"/>
              </w:rPr>
            </w:pPr>
          </w:p>
        </w:tc>
      </w:tr>
    </w:tbl>
    <w:p w:rsidR="00ED66D3" w:rsidRDefault="00ED66D3" w:rsidP="00ED66D3">
      <w:pPr>
        <w:jc w:val="both"/>
        <w:rPr>
          <w:rFonts w:eastAsia="Calibri"/>
          <w:sz w:val="20"/>
          <w:lang w:val="fr-CA"/>
        </w:rPr>
      </w:pPr>
    </w:p>
    <w:p w:rsidR="009C21EE" w:rsidRPr="00ED66D3" w:rsidRDefault="009C21EE" w:rsidP="00ED66D3">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ED66D3" w:rsidRPr="00ED66D3" w:rsidTr="00ED66D3">
        <w:tc>
          <w:tcPr>
            <w:tcW w:w="543" w:type="pct"/>
            <w:hideMark/>
          </w:tcPr>
          <w:p w:rsidR="00ED66D3" w:rsidRPr="00ED66D3" w:rsidRDefault="00ED66D3" w:rsidP="00ED66D3">
            <w:pPr>
              <w:spacing w:line="276" w:lineRule="auto"/>
              <w:jc w:val="both"/>
              <w:rPr>
                <w:rFonts w:eastAsia="Calibri"/>
                <w:sz w:val="20"/>
                <w:lang w:val="en-CA"/>
              </w:rPr>
            </w:pPr>
            <w:r w:rsidRPr="005529E3">
              <w:rPr>
                <w:rFonts w:eastAsia="Calibri"/>
                <w:b/>
                <w:sz w:val="20"/>
                <w:lang w:val="en-CA"/>
              </w:rPr>
              <w:t>36432</w:t>
            </w:r>
          </w:p>
        </w:tc>
        <w:tc>
          <w:tcPr>
            <w:tcW w:w="4457" w:type="pct"/>
            <w:gridSpan w:val="3"/>
            <w:hideMark/>
          </w:tcPr>
          <w:p w:rsidR="00ED66D3" w:rsidRPr="00ED66D3" w:rsidRDefault="00ED66D3" w:rsidP="00ED66D3">
            <w:pPr>
              <w:spacing w:line="276" w:lineRule="auto"/>
              <w:jc w:val="both"/>
              <w:rPr>
                <w:rFonts w:eastAsia="Calibri"/>
                <w:b/>
                <w:sz w:val="20"/>
                <w:lang w:val="en-CA"/>
              </w:rPr>
            </w:pPr>
            <w:r w:rsidRPr="00ED66D3">
              <w:rPr>
                <w:rFonts w:eastAsia="Calibri"/>
                <w:b/>
                <w:sz w:val="20"/>
                <w:lang w:val="en-CA"/>
              </w:rPr>
              <w:t xml:space="preserve">Mary </w:t>
            </w:r>
            <w:proofErr w:type="spellStart"/>
            <w:r w:rsidRPr="00ED66D3">
              <w:rPr>
                <w:rFonts w:eastAsia="Calibri"/>
                <w:b/>
                <w:sz w:val="20"/>
                <w:lang w:val="en-CA"/>
              </w:rPr>
              <w:t>Hodutu</w:t>
            </w:r>
            <w:proofErr w:type="spellEnd"/>
            <w:r w:rsidRPr="00ED66D3">
              <w:rPr>
                <w:rFonts w:eastAsia="Calibri"/>
                <w:b/>
                <w:sz w:val="20"/>
                <w:lang w:val="en-CA"/>
              </w:rPr>
              <w:t xml:space="preserve"> v. Joseph Bulger, Bohdan </w:t>
            </w:r>
            <w:proofErr w:type="spellStart"/>
            <w:r w:rsidRPr="00ED66D3">
              <w:rPr>
                <w:rFonts w:eastAsia="Calibri"/>
                <w:b/>
                <w:sz w:val="20"/>
                <w:lang w:val="en-CA"/>
              </w:rPr>
              <w:t>Kryshtalskyj</w:t>
            </w:r>
            <w:proofErr w:type="spellEnd"/>
            <w:r w:rsidRPr="00ED66D3">
              <w:rPr>
                <w:rFonts w:eastAsia="Calibri"/>
                <w:b/>
                <w:sz w:val="20"/>
                <w:lang w:val="en-CA"/>
              </w:rPr>
              <w:t xml:space="preserve">, Karl Lederman, </w:t>
            </w:r>
            <w:proofErr w:type="spellStart"/>
            <w:r w:rsidRPr="00ED66D3">
              <w:rPr>
                <w:rFonts w:eastAsia="Calibri"/>
                <w:b/>
                <w:sz w:val="20"/>
                <w:lang w:val="en-CA"/>
              </w:rPr>
              <w:t>Jolanta</w:t>
            </w:r>
            <w:proofErr w:type="spellEnd"/>
            <w:r w:rsidRPr="00ED66D3">
              <w:rPr>
                <w:rFonts w:eastAsia="Calibri"/>
                <w:b/>
                <w:sz w:val="20"/>
                <w:lang w:val="en-CA"/>
              </w:rPr>
              <w:t xml:space="preserve"> Maj, John Kennedy, Jack </w:t>
            </w:r>
            <w:proofErr w:type="spellStart"/>
            <w:r w:rsidRPr="00ED66D3">
              <w:rPr>
                <w:rFonts w:eastAsia="Calibri"/>
                <w:b/>
                <w:sz w:val="20"/>
                <w:lang w:val="en-CA"/>
              </w:rPr>
              <w:t>Zosky</w:t>
            </w:r>
            <w:proofErr w:type="spellEnd"/>
            <w:r w:rsidRPr="00ED66D3">
              <w:rPr>
                <w:rFonts w:eastAsia="Calibri"/>
                <w:b/>
                <w:sz w:val="20"/>
                <w:lang w:val="en-CA"/>
              </w:rPr>
              <w:t xml:space="preserve">, Dr. Andy Wong, Dr. Giovanni </w:t>
            </w:r>
            <w:proofErr w:type="spellStart"/>
            <w:r w:rsidRPr="00ED66D3">
              <w:rPr>
                <w:rFonts w:eastAsia="Calibri"/>
                <w:b/>
                <w:sz w:val="20"/>
                <w:lang w:val="en-CA"/>
              </w:rPr>
              <w:t>Delevadova</w:t>
            </w:r>
            <w:proofErr w:type="spellEnd"/>
            <w:r w:rsidRPr="00ED66D3">
              <w:rPr>
                <w:rFonts w:eastAsia="Calibri"/>
                <w:b/>
                <w:sz w:val="20"/>
                <w:lang w:val="en-CA"/>
              </w:rPr>
              <w:t xml:space="preserve">, Dr. Paul Hu, Dr. Carmen </w:t>
            </w:r>
            <w:proofErr w:type="spellStart"/>
            <w:r w:rsidRPr="00ED66D3">
              <w:rPr>
                <w:rFonts w:eastAsia="Calibri"/>
                <w:b/>
                <w:sz w:val="20"/>
                <w:lang w:val="en-CA"/>
              </w:rPr>
              <w:t>Petrikowski</w:t>
            </w:r>
            <w:proofErr w:type="spellEnd"/>
            <w:r w:rsidRPr="00ED66D3">
              <w:rPr>
                <w:rFonts w:eastAsia="Calibri"/>
                <w:b/>
                <w:sz w:val="20"/>
                <w:lang w:val="en-CA"/>
              </w:rPr>
              <w:t xml:space="preserve">, Dr. David Rawson and Victor </w:t>
            </w:r>
            <w:proofErr w:type="spellStart"/>
            <w:r w:rsidRPr="00ED66D3">
              <w:rPr>
                <w:rFonts w:eastAsia="Calibri"/>
                <w:b/>
                <w:sz w:val="20"/>
                <w:lang w:val="en-CA"/>
              </w:rPr>
              <w:t>Moncarz</w:t>
            </w:r>
            <w:proofErr w:type="spellEnd"/>
          </w:p>
          <w:p w:rsidR="00ED66D3" w:rsidRPr="00ED66D3" w:rsidRDefault="00ED66D3" w:rsidP="00ED66D3">
            <w:pPr>
              <w:spacing w:line="276" w:lineRule="auto"/>
              <w:jc w:val="both"/>
              <w:rPr>
                <w:rFonts w:eastAsia="Calibri"/>
                <w:sz w:val="20"/>
                <w:lang w:val="en-CA"/>
              </w:rPr>
            </w:pPr>
            <w:r w:rsidRPr="00ED66D3">
              <w:rPr>
                <w:rFonts w:eastAsia="Calibri"/>
                <w:sz w:val="20"/>
                <w:lang w:val="en-CA"/>
              </w:rPr>
              <w:lastRenderedPageBreak/>
              <w:t>(Ont.) (Civil) (By Leave)</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en-CA"/>
              </w:rPr>
            </w:pPr>
            <w:r w:rsidRPr="00ED66D3">
              <w:rPr>
                <w:rFonts w:eastAsia="Calibri"/>
                <w:sz w:val="20"/>
                <w:lang w:val="en-CA"/>
              </w:rPr>
              <w:lastRenderedPageBreak/>
              <w:t>Torts – Negligence – Professions – Limitation of actions – Whether the erroneous installment of infected implants caused chronic and acute pain to the Applicant – Whether this led to a series of unsuccessful, immoral, and unethical treatments by successive dentists on the basis of referrals.</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en-CA"/>
              </w:rPr>
            </w:pP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en-CA"/>
              </w:rPr>
            </w:pPr>
            <w:r w:rsidRPr="00ED66D3">
              <w:rPr>
                <w:rFonts w:eastAsia="Calibri"/>
                <w:sz w:val="20"/>
                <w:lang w:val="en-CA"/>
              </w:rPr>
              <w:t xml:space="preserve">The Applicant, Ms. </w:t>
            </w:r>
            <w:proofErr w:type="spellStart"/>
            <w:r w:rsidRPr="00ED66D3">
              <w:rPr>
                <w:rFonts w:eastAsia="Calibri"/>
                <w:sz w:val="20"/>
                <w:lang w:val="en-CA"/>
              </w:rPr>
              <w:t>Hodutu</w:t>
            </w:r>
            <w:proofErr w:type="spellEnd"/>
            <w:r w:rsidRPr="00ED66D3">
              <w:rPr>
                <w:rFonts w:eastAsia="Calibri"/>
                <w:sz w:val="20"/>
                <w:lang w:val="en-CA"/>
              </w:rPr>
              <w:t xml:space="preserve"> commenced a claim against the Respondent, dental surgeons claiming that the dental implants inserted by them caused her pain and infection. She stated that her pain ceased when the implants were removed in June 2006. Ms. </w:t>
            </w:r>
            <w:proofErr w:type="spellStart"/>
            <w:r w:rsidRPr="00ED66D3">
              <w:rPr>
                <w:rFonts w:eastAsia="Calibri"/>
                <w:sz w:val="20"/>
                <w:lang w:val="en-CA"/>
              </w:rPr>
              <w:t>Hodutu</w:t>
            </w:r>
            <w:proofErr w:type="spellEnd"/>
            <w:r w:rsidRPr="00ED66D3">
              <w:rPr>
                <w:rFonts w:eastAsia="Calibri"/>
                <w:sz w:val="20"/>
                <w:lang w:val="en-CA"/>
              </w:rPr>
              <w:t xml:space="preserve"> commenced her action against the Respondents on February 5, 2013 alleging professional negligence and medical malpractice. The Respondents brought a motion to strike her claim asserting, among other things, that the claim was statute barred by the </w:t>
            </w:r>
            <w:r w:rsidRPr="00ED66D3">
              <w:rPr>
                <w:rFonts w:eastAsia="Calibri"/>
                <w:i/>
                <w:sz w:val="20"/>
                <w:lang w:val="en-CA"/>
              </w:rPr>
              <w:t>Limitations Act, 2002</w:t>
            </w:r>
            <w:r w:rsidRPr="00ED66D3">
              <w:rPr>
                <w:rFonts w:eastAsia="Calibri"/>
                <w:sz w:val="20"/>
                <w:lang w:val="en-CA"/>
              </w:rPr>
              <w:t xml:space="preserve">, S.O. 2002, c. 24, Sched. B. </w:t>
            </w:r>
          </w:p>
          <w:p w:rsidR="00ED66D3" w:rsidRPr="00ED66D3" w:rsidRDefault="00ED66D3" w:rsidP="00ED66D3">
            <w:pPr>
              <w:spacing w:line="276" w:lineRule="auto"/>
              <w:jc w:val="both"/>
              <w:rPr>
                <w:rFonts w:eastAsia="Calibri"/>
                <w:sz w:val="20"/>
                <w:lang w:val="en-CA"/>
              </w:rPr>
            </w:pPr>
          </w:p>
          <w:p w:rsidR="00ED66D3" w:rsidRPr="00ED66D3" w:rsidRDefault="00ED66D3" w:rsidP="00ED66D3">
            <w:pPr>
              <w:spacing w:line="276" w:lineRule="auto"/>
              <w:jc w:val="both"/>
              <w:rPr>
                <w:rFonts w:eastAsia="Calibri"/>
                <w:sz w:val="20"/>
                <w:lang w:val="en-CA"/>
              </w:rPr>
            </w:pPr>
            <w:r w:rsidRPr="00ED66D3">
              <w:rPr>
                <w:rFonts w:eastAsia="Calibri"/>
                <w:sz w:val="20"/>
                <w:lang w:val="en-CA"/>
              </w:rPr>
              <w:t>The motions judge struck her claim and her appeal was dismissed.</w:t>
            </w:r>
          </w:p>
          <w:p w:rsidR="00ED66D3" w:rsidRPr="00ED66D3" w:rsidRDefault="00ED66D3" w:rsidP="00ED66D3">
            <w:pPr>
              <w:spacing w:line="276" w:lineRule="auto"/>
              <w:jc w:val="both"/>
              <w:rPr>
                <w:rFonts w:eastAsia="Calibri"/>
                <w:sz w:val="20"/>
                <w:lang w:val="en-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en-CA"/>
              </w:rPr>
            </w:pPr>
            <w:r w:rsidRPr="00ED66D3">
              <w:rPr>
                <w:rFonts w:eastAsia="Calibri"/>
                <w:sz w:val="20"/>
                <w:lang w:val="en-CA"/>
              </w:rPr>
              <w:t>March 5, 2014</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Ontario Superior Court of Justice</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(Mew J.)</w:t>
            </w:r>
          </w:p>
          <w:p w:rsidR="00ED66D3" w:rsidRPr="00ED66D3" w:rsidRDefault="00ED66D3" w:rsidP="00ED66D3">
            <w:pPr>
              <w:spacing w:line="276" w:lineRule="auto"/>
              <w:jc w:val="both"/>
              <w:rPr>
                <w:rFonts w:eastAsia="Calibri"/>
                <w:sz w:val="20"/>
                <w:lang w:val="en-CA"/>
              </w:rPr>
            </w:pPr>
          </w:p>
        </w:tc>
        <w:tc>
          <w:tcPr>
            <w:tcW w:w="243" w:type="pct"/>
          </w:tcPr>
          <w:p w:rsidR="00ED66D3" w:rsidRPr="00ED66D3" w:rsidRDefault="00ED66D3" w:rsidP="00ED66D3">
            <w:pPr>
              <w:spacing w:line="276" w:lineRule="auto"/>
              <w:jc w:val="both"/>
              <w:rPr>
                <w:rFonts w:eastAsia="Calibri"/>
                <w:sz w:val="20"/>
                <w:lang w:val="en-CA"/>
              </w:rPr>
            </w:pPr>
          </w:p>
        </w:tc>
        <w:tc>
          <w:tcPr>
            <w:tcW w:w="2330" w:type="pct"/>
          </w:tcPr>
          <w:p w:rsidR="00ED66D3" w:rsidRPr="00ED66D3" w:rsidRDefault="00ED66D3" w:rsidP="00ED66D3">
            <w:pPr>
              <w:spacing w:line="276" w:lineRule="auto"/>
              <w:jc w:val="both"/>
              <w:rPr>
                <w:rFonts w:eastAsia="Calibri"/>
                <w:sz w:val="20"/>
                <w:lang w:val="en-CA"/>
              </w:rPr>
            </w:pPr>
            <w:r w:rsidRPr="00ED66D3">
              <w:rPr>
                <w:rFonts w:eastAsia="Calibri"/>
                <w:sz w:val="20"/>
                <w:lang w:val="en-CA"/>
              </w:rPr>
              <w:t>Applicant’s statement of claim struck out without leave to amend</w:t>
            </w:r>
          </w:p>
          <w:p w:rsidR="00ED66D3" w:rsidRPr="00ED66D3" w:rsidRDefault="00ED66D3" w:rsidP="00ED66D3">
            <w:pPr>
              <w:spacing w:line="276" w:lineRule="auto"/>
              <w:jc w:val="both"/>
              <w:rPr>
                <w:rFonts w:eastAsia="Calibri"/>
                <w:sz w:val="20"/>
                <w:lang w:val="en-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en-CA"/>
              </w:rPr>
            </w:pPr>
            <w:r w:rsidRPr="00ED66D3">
              <w:rPr>
                <w:rFonts w:eastAsia="Calibri"/>
                <w:sz w:val="20"/>
                <w:lang w:val="en-CA"/>
              </w:rPr>
              <w:t>March 3, 2015</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Court of Appeal for Ontario</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w:t>
            </w:r>
            <w:proofErr w:type="spellStart"/>
            <w:r w:rsidRPr="00ED66D3">
              <w:rPr>
                <w:rFonts w:eastAsia="Calibri"/>
                <w:sz w:val="20"/>
                <w:lang w:val="en-CA"/>
              </w:rPr>
              <w:t>Lauwers</w:t>
            </w:r>
            <w:proofErr w:type="spellEnd"/>
            <w:r w:rsidRPr="00ED66D3">
              <w:rPr>
                <w:rFonts w:eastAsia="Calibri"/>
                <w:sz w:val="20"/>
                <w:lang w:val="en-CA"/>
              </w:rPr>
              <w:t xml:space="preserve">, Hourigan and </w:t>
            </w:r>
            <w:proofErr w:type="spellStart"/>
            <w:r w:rsidRPr="00ED66D3">
              <w:rPr>
                <w:rFonts w:eastAsia="Calibri"/>
                <w:sz w:val="20"/>
                <w:lang w:val="en-CA"/>
              </w:rPr>
              <w:t>Pardu</w:t>
            </w:r>
            <w:proofErr w:type="spellEnd"/>
            <w:r w:rsidRPr="00ED66D3">
              <w:rPr>
                <w:rFonts w:eastAsia="Calibri"/>
                <w:sz w:val="20"/>
                <w:lang w:val="en-CA"/>
              </w:rPr>
              <w:t xml:space="preserve"> JJ.A.)</w:t>
            </w:r>
          </w:p>
          <w:p w:rsidR="00ED66D3" w:rsidRPr="00ED66D3" w:rsidRDefault="00480458" w:rsidP="00ED66D3">
            <w:pPr>
              <w:spacing w:line="276" w:lineRule="auto"/>
              <w:jc w:val="both"/>
              <w:rPr>
                <w:rFonts w:eastAsia="Calibri"/>
                <w:sz w:val="20"/>
                <w:lang w:val="en-CA"/>
              </w:rPr>
            </w:pPr>
            <w:hyperlink r:id="rId72" w:history="1">
              <w:r w:rsidR="00ED66D3" w:rsidRPr="005529E3">
                <w:rPr>
                  <w:rFonts w:eastAsia="Calibri"/>
                  <w:color w:val="0000FF" w:themeColor="hyperlink"/>
                  <w:sz w:val="20"/>
                  <w:u w:val="single"/>
                  <w:lang w:val="en-CA"/>
                </w:rPr>
                <w:t>2015 ONCA 160</w:t>
              </w:r>
            </w:hyperlink>
            <w:r w:rsidR="00ED66D3" w:rsidRPr="00ED66D3">
              <w:rPr>
                <w:rFonts w:eastAsia="Calibri"/>
                <w:sz w:val="20"/>
                <w:lang w:val="en-CA"/>
              </w:rPr>
              <w:t>; C59287</w:t>
            </w:r>
          </w:p>
          <w:p w:rsidR="00ED66D3" w:rsidRPr="00ED66D3" w:rsidRDefault="00ED66D3" w:rsidP="00ED66D3">
            <w:pPr>
              <w:spacing w:line="276" w:lineRule="auto"/>
              <w:jc w:val="both"/>
              <w:rPr>
                <w:rFonts w:eastAsia="Calibri"/>
                <w:sz w:val="20"/>
                <w:lang w:val="en-CA"/>
              </w:rPr>
            </w:pPr>
          </w:p>
        </w:tc>
        <w:tc>
          <w:tcPr>
            <w:tcW w:w="243" w:type="pct"/>
          </w:tcPr>
          <w:p w:rsidR="00ED66D3" w:rsidRPr="00ED66D3" w:rsidRDefault="00ED66D3" w:rsidP="00ED66D3">
            <w:pPr>
              <w:spacing w:line="276" w:lineRule="auto"/>
              <w:jc w:val="both"/>
              <w:rPr>
                <w:rFonts w:eastAsia="Calibri"/>
                <w:sz w:val="20"/>
                <w:lang w:val="en-CA"/>
              </w:rPr>
            </w:pPr>
          </w:p>
        </w:tc>
        <w:tc>
          <w:tcPr>
            <w:tcW w:w="2330" w:type="pct"/>
          </w:tcPr>
          <w:p w:rsidR="00ED66D3" w:rsidRPr="00ED66D3" w:rsidRDefault="00ED66D3" w:rsidP="00ED66D3">
            <w:pPr>
              <w:spacing w:line="276" w:lineRule="auto"/>
              <w:jc w:val="both"/>
              <w:rPr>
                <w:rFonts w:eastAsia="Calibri"/>
                <w:sz w:val="20"/>
                <w:lang w:val="en-CA"/>
              </w:rPr>
            </w:pPr>
            <w:r w:rsidRPr="00ED66D3">
              <w:rPr>
                <w:rFonts w:eastAsia="Calibri"/>
                <w:sz w:val="20"/>
                <w:lang w:val="en-CA"/>
              </w:rPr>
              <w:t>Appeal dismissed</w:t>
            </w:r>
          </w:p>
          <w:p w:rsidR="00ED66D3" w:rsidRPr="00ED66D3" w:rsidRDefault="00ED66D3" w:rsidP="00ED66D3">
            <w:pPr>
              <w:spacing w:line="276" w:lineRule="auto"/>
              <w:jc w:val="both"/>
              <w:rPr>
                <w:rFonts w:eastAsia="Calibri"/>
                <w:sz w:val="20"/>
                <w:lang w:val="en-CA"/>
              </w:rPr>
            </w:pPr>
          </w:p>
        </w:tc>
      </w:tr>
      <w:tr w:rsidR="00ED66D3" w:rsidRPr="00ED66D3" w:rsidTr="00ED66D3">
        <w:tc>
          <w:tcPr>
            <w:tcW w:w="2427" w:type="pct"/>
            <w:gridSpan w:val="2"/>
            <w:hideMark/>
          </w:tcPr>
          <w:p w:rsidR="00ED66D3" w:rsidRPr="00ED66D3" w:rsidRDefault="00ED66D3" w:rsidP="00ED66D3">
            <w:pPr>
              <w:spacing w:line="276" w:lineRule="auto"/>
              <w:jc w:val="both"/>
              <w:rPr>
                <w:rFonts w:eastAsia="Calibri"/>
                <w:sz w:val="20"/>
                <w:lang w:val="en-CA"/>
              </w:rPr>
            </w:pPr>
            <w:r w:rsidRPr="00ED66D3">
              <w:rPr>
                <w:rFonts w:eastAsia="Calibri"/>
                <w:sz w:val="20"/>
                <w:lang w:val="en-CA"/>
              </w:rPr>
              <w:t>April 28, 2015</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Supreme Court of Canada</w:t>
            </w:r>
          </w:p>
        </w:tc>
        <w:tc>
          <w:tcPr>
            <w:tcW w:w="243" w:type="pct"/>
          </w:tcPr>
          <w:p w:rsidR="00ED66D3" w:rsidRPr="00ED66D3" w:rsidRDefault="00ED66D3" w:rsidP="00ED66D3">
            <w:pPr>
              <w:spacing w:line="276" w:lineRule="auto"/>
              <w:jc w:val="both"/>
              <w:rPr>
                <w:rFonts w:eastAsia="Calibri"/>
                <w:sz w:val="20"/>
                <w:lang w:val="en-CA"/>
              </w:rPr>
            </w:pPr>
          </w:p>
        </w:tc>
        <w:tc>
          <w:tcPr>
            <w:tcW w:w="2330" w:type="pct"/>
          </w:tcPr>
          <w:p w:rsidR="00ED66D3" w:rsidRPr="00ED66D3" w:rsidRDefault="00ED66D3" w:rsidP="00ED66D3">
            <w:pPr>
              <w:spacing w:line="276" w:lineRule="auto"/>
              <w:jc w:val="both"/>
              <w:rPr>
                <w:rFonts w:eastAsia="Calibri"/>
                <w:sz w:val="20"/>
                <w:lang w:val="en-CA"/>
              </w:rPr>
            </w:pPr>
            <w:r w:rsidRPr="00ED66D3">
              <w:rPr>
                <w:rFonts w:eastAsia="Calibri"/>
                <w:sz w:val="20"/>
                <w:lang w:val="en-CA"/>
              </w:rPr>
              <w:t>Application for leave to appeal filed</w:t>
            </w:r>
          </w:p>
          <w:p w:rsidR="00ED66D3" w:rsidRPr="00ED66D3" w:rsidRDefault="00ED66D3" w:rsidP="00ED66D3">
            <w:pPr>
              <w:spacing w:line="276" w:lineRule="auto"/>
              <w:jc w:val="both"/>
              <w:rPr>
                <w:rFonts w:eastAsia="Calibri"/>
                <w:sz w:val="20"/>
                <w:lang w:val="en-CA"/>
              </w:rPr>
            </w:pPr>
          </w:p>
        </w:tc>
      </w:tr>
    </w:tbl>
    <w:p w:rsidR="00ED66D3" w:rsidRDefault="00ED66D3" w:rsidP="00ED66D3">
      <w:pPr>
        <w:jc w:val="both"/>
        <w:rPr>
          <w:rFonts w:eastAsia="Calibri"/>
          <w:sz w:val="20"/>
          <w:lang w:val="en-CA"/>
        </w:rPr>
      </w:pPr>
    </w:p>
    <w:p w:rsidR="009C21EE" w:rsidRPr="00ED66D3" w:rsidRDefault="009C21EE" w:rsidP="00ED66D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ED66D3" w:rsidRPr="00ED66D3" w:rsidTr="00ED66D3">
        <w:tc>
          <w:tcPr>
            <w:tcW w:w="543" w:type="pct"/>
            <w:hideMark/>
          </w:tcPr>
          <w:p w:rsidR="00ED66D3" w:rsidRPr="00ED66D3" w:rsidRDefault="00ED66D3" w:rsidP="00ED66D3">
            <w:pPr>
              <w:spacing w:line="276" w:lineRule="auto"/>
              <w:jc w:val="both"/>
              <w:rPr>
                <w:rFonts w:eastAsia="Calibri"/>
                <w:sz w:val="20"/>
                <w:lang w:val="fr-CA"/>
              </w:rPr>
            </w:pPr>
            <w:r w:rsidRPr="005529E3">
              <w:rPr>
                <w:rFonts w:eastAsia="Calibri"/>
                <w:b/>
                <w:sz w:val="20"/>
                <w:lang w:val="fr-CA"/>
              </w:rPr>
              <w:t>36432</w:t>
            </w:r>
          </w:p>
        </w:tc>
        <w:tc>
          <w:tcPr>
            <w:tcW w:w="4457" w:type="pct"/>
            <w:gridSpan w:val="3"/>
            <w:hideMark/>
          </w:tcPr>
          <w:p w:rsidR="00ED66D3" w:rsidRPr="00ED66D3" w:rsidRDefault="00ED66D3" w:rsidP="00ED66D3">
            <w:pPr>
              <w:spacing w:line="276" w:lineRule="auto"/>
              <w:jc w:val="both"/>
              <w:rPr>
                <w:rFonts w:eastAsia="Calibri"/>
                <w:b/>
                <w:sz w:val="20"/>
                <w:lang w:val="fr-CA"/>
              </w:rPr>
            </w:pPr>
            <w:r w:rsidRPr="00ED66D3">
              <w:rPr>
                <w:rFonts w:eastAsia="Calibri"/>
                <w:b/>
                <w:sz w:val="20"/>
                <w:lang w:val="fr-CA"/>
              </w:rPr>
              <w:t xml:space="preserve">Mary </w:t>
            </w:r>
            <w:proofErr w:type="spellStart"/>
            <w:r w:rsidRPr="00ED66D3">
              <w:rPr>
                <w:rFonts w:eastAsia="Calibri"/>
                <w:b/>
                <w:sz w:val="20"/>
                <w:lang w:val="fr-CA"/>
              </w:rPr>
              <w:t>Hodutu</w:t>
            </w:r>
            <w:proofErr w:type="spellEnd"/>
            <w:r w:rsidRPr="00ED66D3">
              <w:rPr>
                <w:rFonts w:eastAsia="Calibri"/>
                <w:b/>
                <w:sz w:val="20"/>
                <w:lang w:val="fr-CA"/>
              </w:rPr>
              <w:t xml:space="preserve"> c. Joseph </w:t>
            </w:r>
            <w:proofErr w:type="spellStart"/>
            <w:r w:rsidRPr="00ED66D3">
              <w:rPr>
                <w:rFonts w:eastAsia="Calibri"/>
                <w:b/>
                <w:sz w:val="20"/>
                <w:lang w:val="fr-CA"/>
              </w:rPr>
              <w:t>Bulger</w:t>
            </w:r>
            <w:proofErr w:type="spellEnd"/>
            <w:r w:rsidRPr="00ED66D3">
              <w:rPr>
                <w:rFonts w:eastAsia="Calibri"/>
                <w:b/>
                <w:sz w:val="20"/>
                <w:lang w:val="fr-CA"/>
              </w:rPr>
              <w:t xml:space="preserve">, Bohdan </w:t>
            </w:r>
            <w:proofErr w:type="spellStart"/>
            <w:r w:rsidRPr="00ED66D3">
              <w:rPr>
                <w:rFonts w:eastAsia="Calibri"/>
                <w:b/>
                <w:sz w:val="20"/>
                <w:lang w:val="fr-CA"/>
              </w:rPr>
              <w:t>Kryshtalskyj</w:t>
            </w:r>
            <w:proofErr w:type="spellEnd"/>
            <w:r w:rsidRPr="00ED66D3">
              <w:rPr>
                <w:rFonts w:eastAsia="Calibri"/>
                <w:b/>
                <w:sz w:val="20"/>
                <w:lang w:val="fr-CA"/>
              </w:rPr>
              <w:t xml:space="preserve">, Karl </w:t>
            </w:r>
            <w:proofErr w:type="spellStart"/>
            <w:r w:rsidRPr="00ED66D3">
              <w:rPr>
                <w:rFonts w:eastAsia="Calibri"/>
                <w:b/>
                <w:sz w:val="20"/>
                <w:lang w:val="fr-CA"/>
              </w:rPr>
              <w:t>Lederman</w:t>
            </w:r>
            <w:proofErr w:type="spellEnd"/>
            <w:r w:rsidRPr="00ED66D3">
              <w:rPr>
                <w:rFonts w:eastAsia="Calibri"/>
                <w:b/>
                <w:sz w:val="20"/>
                <w:lang w:val="fr-CA"/>
              </w:rPr>
              <w:t xml:space="preserve">, </w:t>
            </w:r>
            <w:proofErr w:type="spellStart"/>
            <w:r w:rsidRPr="00ED66D3">
              <w:rPr>
                <w:rFonts w:eastAsia="Calibri"/>
                <w:b/>
                <w:sz w:val="20"/>
                <w:lang w:val="fr-CA"/>
              </w:rPr>
              <w:t>Jolanta</w:t>
            </w:r>
            <w:proofErr w:type="spellEnd"/>
            <w:r w:rsidRPr="00ED66D3">
              <w:rPr>
                <w:rFonts w:eastAsia="Calibri"/>
                <w:b/>
                <w:sz w:val="20"/>
                <w:lang w:val="fr-CA"/>
              </w:rPr>
              <w:t xml:space="preserve"> Maj, John Kennedy, Jack </w:t>
            </w:r>
            <w:proofErr w:type="spellStart"/>
            <w:r w:rsidRPr="00ED66D3">
              <w:rPr>
                <w:rFonts w:eastAsia="Calibri"/>
                <w:b/>
                <w:sz w:val="20"/>
                <w:lang w:val="fr-CA"/>
              </w:rPr>
              <w:t>Zosky</w:t>
            </w:r>
            <w:proofErr w:type="spellEnd"/>
            <w:r w:rsidRPr="00ED66D3">
              <w:rPr>
                <w:rFonts w:eastAsia="Calibri"/>
                <w:b/>
                <w:sz w:val="20"/>
                <w:lang w:val="fr-CA"/>
              </w:rPr>
              <w:t xml:space="preserve">, les docteurs Andy Wong, Giovanni </w:t>
            </w:r>
            <w:proofErr w:type="spellStart"/>
            <w:r w:rsidRPr="00ED66D3">
              <w:rPr>
                <w:rFonts w:eastAsia="Calibri"/>
                <w:b/>
                <w:sz w:val="20"/>
                <w:lang w:val="fr-CA"/>
              </w:rPr>
              <w:t>Delevadova</w:t>
            </w:r>
            <w:proofErr w:type="spellEnd"/>
            <w:r w:rsidRPr="00ED66D3">
              <w:rPr>
                <w:rFonts w:eastAsia="Calibri"/>
                <w:b/>
                <w:sz w:val="20"/>
                <w:lang w:val="fr-CA"/>
              </w:rPr>
              <w:t xml:space="preserve">, Paul Hu, Carmen </w:t>
            </w:r>
            <w:proofErr w:type="spellStart"/>
            <w:r w:rsidRPr="00ED66D3">
              <w:rPr>
                <w:rFonts w:eastAsia="Calibri"/>
                <w:b/>
                <w:sz w:val="20"/>
                <w:lang w:val="fr-CA"/>
              </w:rPr>
              <w:t>Petrikowski</w:t>
            </w:r>
            <w:proofErr w:type="spellEnd"/>
            <w:r w:rsidRPr="00ED66D3">
              <w:rPr>
                <w:rFonts w:eastAsia="Calibri"/>
                <w:b/>
                <w:sz w:val="20"/>
                <w:lang w:val="fr-CA"/>
              </w:rPr>
              <w:t xml:space="preserve"> et David Rawson et Victor </w:t>
            </w:r>
            <w:proofErr w:type="spellStart"/>
            <w:r w:rsidRPr="00ED66D3">
              <w:rPr>
                <w:rFonts w:eastAsia="Calibri"/>
                <w:b/>
                <w:sz w:val="20"/>
                <w:lang w:val="fr-CA"/>
              </w:rPr>
              <w:t>Moncarz</w:t>
            </w:r>
            <w:proofErr w:type="spellEnd"/>
          </w:p>
          <w:p w:rsidR="00ED66D3" w:rsidRPr="00ED66D3" w:rsidRDefault="00ED66D3" w:rsidP="00ED66D3">
            <w:pPr>
              <w:spacing w:line="276" w:lineRule="auto"/>
              <w:jc w:val="both"/>
              <w:rPr>
                <w:rFonts w:eastAsia="Calibri"/>
                <w:sz w:val="20"/>
                <w:lang w:val="fr-CA"/>
              </w:rPr>
            </w:pPr>
            <w:r w:rsidRPr="00ED66D3">
              <w:rPr>
                <w:rFonts w:eastAsia="Calibri"/>
                <w:sz w:val="20"/>
                <w:lang w:val="fr-CA"/>
              </w:rPr>
              <w:t>(Ont.) (Civile) (Sur autorisation)</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fr-CA"/>
              </w:rPr>
            </w:pPr>
            <w:r w:rsidRPr="00ED66D3">
              <w:rPr>
                <w:rFonts w:eastAsia="Calibri"/>
                <w:sz w:val="20"/>
                <w:lang w:val="fr-CA"/>
              </w:rPr>
              <w:t>Responsabilité délictuelle – Négligence – Professions – Prescription des actions – L’installation erronée d’implants infectés a-t-elle causé des douleurs chroniques et aiguës à la demanderesse? – Cette situation a-t-elle mené à une série de traitements inefficaces, immoraux et contraires à la déontologie administrés par les dentistes successifs sur le fondement de recommandations?</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fr-CA"/>
              </w:rPr>
            </w:pP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fr-CA"/>
              </w:rPr>
            </w:pPr>
            <w:r w:rsidRPr="00ED66D3">
              <w:rPr>
                <w:rFonts w:eastAsia="Calibri"/>
                <w:sz w:val="20"/>
                <w:lang w:val="fr-CA"/>
              </w:rPr>
              <w:t xml:space="preserve">La demanderesse, Mme </w:t>
            </w:r>
            <w:proofErr w:type="spellStart"/>
            <w:r w:rsidRPr="00ED66D3">
              <w:rPr>
                <w:rFonts w:eastAsia="Calibri"/>
                <w:sz w:val="20"/>
                <w:lang w:val="fr-CA"/>
              </w:rPr>
              <w:t>Hodutu</w:t>
            </w:r>
            <w:proofErr w:type="spellEnd"/>
            <w:r w:rsidRPr="00ED66D3">
              <w:rPr>
                <w:rFonts w:eastAsia="Calibri"/>
                <w:sz w:val="20"/>
                <w:lang w:val="fr-CA"/>
              </w:rPr>
              <w:t xml:space="preserve"> a introduit une instance contre les intimés, des chirurgiens-dentistes, alléguant que les implants dentaires qu’ils avaient posés lui causaient de la douleur et de l’infection. Elle a affirmé que sa douleur a cessé lorsque les implants ont été enlevés en juin 2006. Madame </w:t>
            </w:r>
            <w:proofErr w:type="spellStart"/>
            <w:r w:rsidRPr="00ED66D3">
              <w:rPr>
                <w:rFonts w:eastAsia="Calibri"/>
                <w:sz w:val="20"/>
                <w:lang w:val="fr-CA"/>
              </w:rPr>
              <w:t>Hodutu</w:t>
            </w:r>
            <w:proofErr w:type="spellEnd"/>
            <w:r w:rsidRPr="00ED66D3">
              <w:rPr>
                <w:rFonts w:eastAsia="Calibri"/>
                <w:sz w:val="20"/>
                <w:lang w:val="fr-CA"/>
              </w:rPr>
              <w:t xml:space="preserve"> a intenté son action contre les intimés le 5 février 2013, alléguant la négligence professionnelle et la faute médicale. Les intimés ont présenté une motion en radiation de sa demande, plaidant notamment que l’action était prescrite par la </w:t>
            </w:r>
            <w:r w:rsidRPr="00ED66D3">
              <w:rPr>
                <w:rFonts w:eastAsia="Calibri"/>
                <w:i/>
                <w:sz w:val="20"/>
                <w:lang w:val="fr-CA"/>
              </w:rPr>
              <w:t>Loi de 2002 sur la prescription des actions</w:t>
            </w:r>
            <w:r w:rsidRPr="00ED66D3">
              <w:rPr>
                <w:rFonts w:eastAsia="Calibri"/>
                <w:sz w:val="20"/>
                <w:lang w:val="fr-CA"/>
              </w:rPr>
              <w:t xml:space="preserve">, L.O. 2002, ch. 24, </w:t>
            </w:r>
            <w:proofErr w:type="spellStart"/>
            <w:r w:rsidRPr="00ED66D3">
              <w:rPr>
                <w:rFonts w:eastAsia="Calibri"/>
                <w:sz w:val="20"/>
                <w:lang w:val="fr-CA"/>
              </w:rPr>
              <w:t>ann</w:t>
            </w:r>
            <w:proofErr w:type="spellEnd"/>
            <w:r w:rsidRPr="00ED66D3">
              <w:rPr>
                <w:rFonts w:eastAsia="Calibri"/>
                <w:sz w:val="20"/>
                <w:lang w:val="fr-CA"/>
              </w:rPr>
              <w:t xml:space="preserve">. B. </w:t>
            </w:r>
          </w:p>
          <w:p w:rsidR="00ED66D3" w:rsidRPr="00ED66D3" w:rsidRDefault="00ED66D3" w:rsidP="00ED66D3">
            <w:pPr>
              <w:spacing w:line="276" w:lineRule="auto"/>
              <w:jc w:val="both"/>
              <w:rPr>
                <w:rFonts w:eastAsia="Calibri"/>
                <w:sz w:val="20"/>
                <w:lang w:val="fr-CA"/>
              </w:rPr>
            </w:pPr>
          </w:p>
          <w:p w:rsidR="00ED66D3" w:rsidRPr="00ED66D3" w:rsidRDefault="00ED66D3" w:rsidP="00ED66D3">
            <w:pPr>
              <w:spacing w:line="276" w:lineRule="auto"/>
              <w:jc w:val="both"/>
              <w:rPr>
                <w:rFonts w:eastAsia="Calibri"/>
                <w:sz w:val="20"/>
                <w:lang w:val="fr-CA"/>
              </w:rPr>
            </w:pPr>
            <w:r w:rsidRPr="00ED66D3">
              <w:rPr>
                <w:rFonts w:eastAsia="Calibri"/>
                <w:sz w:val="20"/>
                <w:lang w:val="fr-CA"/>
              </w:rPr>
              <w:t>Le juge saisi de la motion a radié sa demande et son appel a été rejeté.</w:t>
            </w:r>
          </w:p>
          <w:p w:rsidR="00ED66D3" w:rsidRPr="00ED66D3" w:rsidRDefault="00ED66D3" w:rsidP="00ED66D3">
            <w:pPr>
              <w:spacing w:line="276" w:lineRule="auto"/>
              <w:jc w:val="both"/>
              <w:rPr>
                <w:rFonts w:eastAsia="Calibri"/>
                <w:sz w:val="20"/>
                <w:lang w:val="fr-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fr-CA"/>
              </w:rPr>
            </w:pPr>
            <w:r w:rsidRPr="00ED66D3">
              <w:rPr>
                <w:rFonts w:eastAsia="Calibri"/>
                <w:sz w:val="20"/>
                <w:lang w:val="fr-CA"/>
              </w:rPr>
              <w:lastRenderedPageBreak/>
              <w:t>5 mars 2014</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Cour supérieure de justice de l’Ontario</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(Juge Mew)</w:t>
            </w:r>
          </w:p>
          <w:p w:rsidR="00ED66D3" w:rsidRPr="00ED66D3" w:rsidRDefault="00ED66D3" w:rsidP="00ED66D3">
            <w:pPr>
              <w:spacing w:line="276" w:lineRule="auto"/>
              <w:jc w:val="both"/>
              <w:rPr>
                <w:rFonts w:eastAsia="Calibri"/>
                <w:sz w:val="20"/>
                <w:lang w:val="fr-CA"/>
              </w:rPr>
            </w:pPr>
          </w:p>
        </w:tc>
        <w:tc>
          <w:tcPr>
            <w:tcW w:w="243" w:type="pct"/>
          </w:tcPr>
          <w:p w:rsidR="00ED66D3" w:rsidRPr="00ED66D3" w:rsidRDefault="00ED66D3" w:rsidP="00ED66D3">
            <w:pPr>
              <w:spacing w:line="276" w:lineRule="auto"/>
              <w:jc w:val="both"/>
              <w:rPr>
                <w:rFonts w:eastAsia="Calibri"/>
                <w:sz w:val="20"/>
                <w:lang w:val="fr-CA"/>
              </w:rPr>
            </w:pPr>
          </w:p>
        </w:tc>
        <w:tc>
          <w:tcPr>
            <w:tcW w:w="2330" w:type="pct"/>
          </w:tcPr>
          <w:p w:rsidR="00ED66D3" w:rsidRPr="00ED66D3" w:rsidRDefault="00ED66D3" w:rsidP="00ED66D3">
            <w:pPr>
              <w:spacing w:line="276" w:lineRule="auto"/>
              <w:jc w:val="both"/>
              <w:rPr>
                <w:rFonts w:eastAsia="Calibri"/>
                <w:sz w:val="20"/>
                <w:lang w:val="fr-CA"/>
              </w:rPr>
            </w:pPr>
            <w:r w:rsidRPr="00ED66D3">
              <w:rPr>
                <w:rFonts w:eastAsia="Calibri"/>
                <w:sz w:val="20"/>
                <w:lang w:val="fr-CA"/>
              </w:rPr>
              <w:t>Radiation de la déclaration de la demanderesse sans autorisation de la modifier</w:t>
            </w:r>
          </w:p>
          <w:p w:rsidR="00ED66D3" w:rsidRPr="00ED66D3" w:rsidRDefault="00ED66D3" w:rsidP="00ED66D3">
            <w:pPr>
              <w:spacing w:line="276" w:lineRule="auto"/>
              <w:jc w:val="both"/>
              <w:rPr>
                <w:rFonts w:eastAsia="Calibri"/>
                <w:sz w:val="20"/>
                <w:lang w:val="fr-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fr-CA"/>
              </w:rPr>
            </w:pPr>
            <w:r w:rsidRPr="00ED66D3">
              <w:rPr>
                <w:rFonts w:eastAsia="Calibri"/>
                <w:sz w:val="20"/>
                <w:lang w:val="fr-CA"/>
              </w:rPr>
              <w:t>3 mars 2015</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Cour d’appel de l’Ontario</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 xml:space="preserve">(Juges </w:t>
            </w:r>
            <w:proofErr w:type="spellStart"/>
            <w:r w:rsidRPr="00ED66D3">
              <w:rPr>
                <w:rFonts w:eastAsia="Calibri"/>
                <w:sz w:val="20"/>
                <w:lang w:val="fr-CA"/>
              </w:rPr>
              <w:t>Lauwers</w:t>
            </w:r>
            <w:proofErr w:type="spellEnd"/>
            <w:r w:rsidRPr="00ED66D3">
              <w:rPr>
                <w:rFonts w:eastAsia="Calibri"/>
                <w:sz w:val="20"/>
                <w:lang w:val="fr-CA"/>
              </w:rPr>
              <w:t xml:space="preserve">, </w:t>
            </w:r>
            <w:proofErr w:type="spellStart"/>
            <w:r w:rsidRPr="00ED66D3">
              <w:rPr>
                <w:rFonts w:eastAsia="Calibri"/>
                <w:sz w:val="20"/>
                <w:lang w:val="fr-CA"/>
              </w:rPr>
              <w:t>Hourigan</w:t>
            </w:r>
            <w:proofErr w:type="spellEnd"/>
            <w:r w:rsidRPr="00ED66D3">
              <w:rPr>
                <w:rFonts w:eastAsia="Calibri"/>
                <w:sz w:val="20"/>
                <w:lang w:val="fr-CA"/>
              </w:rPr>
              <w:t xml:space="preserve"> et </w:t>
            </w:r>
            <w:proofErr w:type="spellStart"/>
            <w:r w:rsidRPr="00ED66D3">
              <w:rPr>
                <w:rFonts w:eastAsia="Calibri"/>
                <w:sz w:val="20"/>
                <w:lang w:val="fr-CA"/>
              </w:rPr>
              <w:t>Pardu</w:t>
            </w:r>
            <w:proofErr w:type="spellEnd"/>
            <w:r w:rsidRPr="00ED66D3">
              <w:rPr>
                <w:rFonts w:eastAsia="Calibri"/>
                <w:sz w:val="20"/>
                <w:lang w:val="fr-CA"/>
              </w:rPr>
              <w:t>)</w:t>
            </w:r>
          </w:p>
          <w:p w:rsidR="00ED66D3" w:rsidRPr="00ED66D3" w:rsidRDefault="00480458" w:rsidP="00ED66D3">
            <w:pPr>
              <w:spacing w:line="276" w:lineRule="auto"/>
              <w:jc w:val="both"/>
              <w:rPr>
                <w:rFonts w:eastAsia="Calibri"/>
                <w:sz w:val="20"/>
                <w:lang w:val="fr-CA"/>
              </w:rPr>
            </w:pPr>
            <w:hyperlink r:id="rId73" w:history="1">
              <w:r w:rsidR="00ED66D3" w:rsidRPr="005529E3">
                <w:rPr>
                  <w:rFonts w:eastAsia="Calibri"/>
                  <w:color w:val="0000FF" w:themeColor="hyperlink"/>
                  <w:sz w:val="20"/>
                  <w:u w:val="single"/>
                  <w:lang w:val="fr-CA"/>
                </w:rPr>
                <w:t>2015 ONCA 160</w:t>
              </w:r>
            </w:hyperlink>
            <w:r w:rsidR="00ED66D3" w:rsidRPr="00ED66D3">
              <w:rPr>
                <w:rFonts w:eastAsia="Calibri"/>
                <w:sz w:val="20"/>
                <w:lang w:val="fr-CA"/>
              </w:rPr>
              <w:t>; C59287</w:t>
            </w:r>
          </w:p>
          <w:p w:rsidR="00ED66D3" w:rsidRPr="00ED66D3" w:rsidRDefault="00ED66D3" w:rsidP="00ED66D3">
            <w:pPr>
              <w:spacing w:line="276" w:lineRule="auto"/>
              <w:jc w:val="both"/>
              <w:rPr>
                <w:rFonts w:eastAsia="Calibri"/>
                <w:sz w:val="20"/>
                <w:lang w:val="fr-CA"/>
              </w:rPr>
            </w:pPr>
          </w:p>
        </w:tc>
        <w:tc>
          <w:tcPr>
            <w:tcW w:w="243" w:type="pct"/>
          </w:tcPr>
          <w:p w:rsidR="00ED66D3" w:rsidRPr="00ED66D3" w:rsidRDefault="00ED66D3" w:rsidP="00ED66D3">
            <w:pPr>
              <w:spacing w:line="276" w:lineRule="auto"/>
              <w:jc w:val="both"/>
              <w:rPr>
                <w:rFonts w:eastAsia="Calibri"/>
                <w:sz w:val="20"/>
                <w:lang w:val="fr-CA"/>
              </w:rPr>
            </w:pPr>
          </w:p>
        </w:tc>
        <w:tc>
          <w:tcPr>
            <w:tcW w:w="2330" w:type="pct"/>
          </w:tcPr>
          <w:p w:rsidR="00ED66D3" w:rsidRPr="00ED66D3" w:rsidRDefault="00ED66D3" w:rsidP="00ED66D3">
            <w:pPr>
              <w:spacing w:line="276" w:lineRule="auto"/>
              <w:jc w:val="both"/>
              <w:rPr>
                <w:rFonts w:eastAsia="Calibri"/>
                <w:sz w:val="20"/>
                <w:lang w:val="fr-CA"/>
              </w:rPr>
            </w:pPr>
            <w:r w:rsidRPr="00ED66D3">
              <w:rPr>
                <w:rFonts w:eastAsia="Calibri"/>
                <w:sz w:val="20"/>
                <w:lang w:val="fr-CA"/>
              </w:rPr>
              <w:t>Rejet de l’appel</w:t>
            </w:r>
          </w:p>
          <w:p w:rsidR="00ED66D3" w:rsidRPr="00ED66D3" w:rsidRDefault="00ED66D3" w:rsidP="00ED66D3">
            <w:pPr>
              <w:spacing w:line="276" w:lineRule="auto"/>
              <w:jc w:val="both"/>
              <w:rPr>
                <w:rFonts w:eastAsia="Calibri"/>
                <w:sz w:val="20"/>
                <w:lang w:val="fr-CA"/>
              </w:rPr>
            </w:pPr>
          </w:p>
        </w:tc>
      </w:tr>
      <w:tr w:rsidR="00ED66D3" w:rsidRPr="00ED66D3" w:rsidTr="00ED66D3">
        <w:tc>
          <w:tcPr>
            <w:tcW w:w="2427" w:type="pct"/>
            <w:gridSpan w:val="2"/>
            <w:hideMark/>
          </w:tcPr>
          <w:p w:rsidR="00ED66D3" w:rsidRPr="00ED66D3" w:rsidRDefault="00ED66D3" w:rsidP="00ED66D3">
            <w:pPr>
              <w:spacing w:line="276" w:lineRule="auto"/>
              <w:jc w:val="both"/>
              <w:rPr>
                <w:rFonts w:eastAsia="Calibri"/>
                <w:sz w:val="20"/>
                <w:lang w:val="fr-CA"/>
              </w:rPr>
            </w:pPr>
            <w:r w:rsidRPr="00ED66D3">
              <w:rPr>
                <w:rFonts w:eastAsia="Calibri"/>
                <w:sz w:val="20"/>
                <w:lang w:val="fr-CA"/>
              </w:rPr>
              <w:t>28 avril 2015</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Cour suprême du Canada</w:t>
            </w:r>
          </w:p>
        </w:tc>
        <w:tc>
          <w:tcPr>
            <w:tcW w:w="243" w:type="pct"/>
          </w:tcPr>
          <w:p w:rsidR="00ED66D3" w:rsidRPr="00ED66D3" w:rsidRDefault="00ED66D3" w:rsidP="00ED66D3">
            <w:pPr>
              <w:spacing w:line="276" w:lineRule="auto"/>
              <w:jc w:val="both"/>
              <w:rPr>
                <w:rFonts w:eastAsia="Calibri"/>
                <w:sz w:val="20"/>
                <w:lang w:val="fr-CA"/>
              </w:rPr>
            </w:pPr>
          </w:p>
        </w:tc>
        <w:tc>
          <w:tcPr>
            <w:tcW w:w="2330" w:type="pct"/>
          </w:tcPr>
          <w:p w:rsidR="00ED66D3" w:rsidRPr="00ED66D3" w:rsidRDefault="00ED66D3" w:rsidP="00ED66D3">
            <w:pPr>
              <w:spacing w:line="276" w:lineRule="auto"/>
              <w:jc w:val="both"/>
              <w:rPr>
                <w:rFonts w:eastAsia="Calibri"/>
                <w:sz w:val="20"/>
                <w:lang w:val="fr-CA"/>
              </w:rPr>
            </w:pPr>
            <w:r w:rsidRPr="00ED66D3">
              <w:rPr>
                <w:rFonts w:eastAsia="Calibri"/>
                <w:sz w:val="20"/>
                <w:lang w:val="fr-CA"/>
              </w:rPr>
              <w:t>Dépôt de la demande d’autorisation d’appel</w:t>
            </w:r>
          </w:p>
          <w:p w:rsidR="00ED66D3" w:rsidRPr="00ED66D3" w:rsidRDefault="00ED66D3" w:rsidP="00ED66D3">
            <w:pPr>
              <w:spacing w:line="276" w:lineRule="auto"/>
              <w:jc w:val="both"/>
              <w:rPr>
                <w:rFonts w:eastAsia="Calibri"/>
                <w:sz w:val="20"/>
                <w:lang w:val="fr-CA"/>
              </w:rPr>
            </w:pPr>
          </w:p>
        </w:tc>
      </w:tr>
    </w:tbl>
    <w:p w:rsidR="00ED66D3" w:rsidRDefault="00ED66D3" w:rsidP="00ED66D3">
      <w:pPr>
        <w:jc w:val="both"/>
        <w:rPr>
          <w:rFonts w:eastAsia="Calibri"/>
          <w:sz w:val="20"/>
          <w:lang w:val="fr-CA"/>
        </w:rPr>
      </w:pPr>
    </w:p>
    <w:p w:rsidR="009C21EE" w:rsidRPr="00ED66D3" w:rsidRDefault="009C21EE" w:rsidP="00ED66D3">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ED66D3" w:rsidRPr="00ED66D3" w:rsidTr="00ED66D3">
        <w:tc>
          <w:tcPr>
            <w:tcW w:w="543" w:type="pct"/>
            <w:hideMark/>
          </w:tcPr>
          <w:p w:rsidR="00ED66D3" w:rsidRPr="00ED66D3" w:rsidRDefault="00ED66D3" w:rsidP="00ED66D3">
            <w:pPr>
              <w:spacing w:line="276" w:lineRule="auto"/>
              <w:jc w:val="both"/>
              <w:rPr>
                <w:rFonts w:eastAsia="Calibri"/>
                <w:sz w:val="20"/>
                <w:lang w:val="en-CA"/>
              </w:rPr>
            </w:pPr>
            <w:r w:rsidRPr="005529E3">
              <w:rPr>
                <w:rFonts w:eastAsia="Calibri"/>
                <w:b/>
                <w:sz w:val="20"/>
                <w:lang w:val="en-CA"/>
              </w:rPr>
              <w:t>36457</w:t>
            </w:r>
          </w:p>
        </w:tc>
        <w:tc>
          <w:tcPr>
            <w:tcW w:w="4457" w:type="pct"/>
            <w:gridSpan w:val="3"/>
            <w:hideMark/>
          </w:tcPr>
          <w:p w:rsidR="00ED66D3" w:rsidRPr="00ED66D3" w:rsidRDefault="00ED66D3" w:rsidP="00ED66D3">
            <w:pPr>
              <w:spacing w:line="276" w:lineRule="auto"/>
              <w:jc w:val="both"/>
              <w:rPr>
                <w:rFonts w:eastAsia="Calibri"/>
                <w:b/>
                <w:sz w:val="20"/>
                <w:lang w:val="en-CA"/>
              </w:rPr>
            </w:pPr>
            <w:r w:rsidRPr="00ED66D3">
              <w:rPr>
                <w:rFonts w:eastAsia="Calibri"/>
                <w:b/>
                <w:sz w:val="20"/>
                <w:lang w:val="en-CA"/>
              </w:rPr>
              <w:t>Her Majesty the Queen v. J.K.</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(N.L.) (Criminal) (By Leave)</w:t>
            </w:r>
          </w:p>
        </w:tc>
      </w:tr>
      <w:tr w:rsidR="00ED66D3" w:rsidRPr="00ED66D3" w:rsidTr="00ED66D3">
        <w:tc>
          <w:tcPr>
            <w:tcW w:w="5000" w:type="pct"/>
            <w:gridSpan w:val="4"/>
          </w:tcPr>
          <w:p w:rsidR="00ED66D3" w:rsidRPr="00ED66D3" w:rsidRDefault="00ED66D3" w:rsidP="00ED66D3">
            <w:pPr>
              <w:spacing w:line="276" w:lineRule="auto"/>
              <w:jc w:val="both"/>
              <w:rPr>
                <w:rFonts w:eastAsia="Calibri"/>
                <w:smallCaps/>
                <w:sz w:val="20"/>
                <w:lang w:val="en-CA"/>
              </w:rPr>
            </w:pPr>
            <w:r w:rsidRPr="00ED66D3">
              <w:rPr>
                <w:rFonts w:eastAsia="Calibri"/>
                <w:smallCaps/>
                <w:sz w:val="20"/>
                <w:lang w:val="en-CA"/>
              </w:rPr>
              <w:t>(Publication ban in case) (Publication ban on party)</w:t>
            </w:r>
          </w:p>
          <w:p w:rsidR="00ED66D3" w:rsidRPr="00ED66D3" w:rsidRDefault="00ED66D3" w:rsidP="00ED66D3">
            <w:pPr>
              <w:spacing w:line="276" w:lineRule="auto"/>
              <w:jc w:val="both"/>
              <w:rPr>
                <w:rFonts w:eastAsia="Calibri"/>
                <w:sz w:val="20"/>
                <w:lang w:val="en-CA"/>
              </w:rPr>
            </w:pP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en-CA"/>
              </w:rPr>
            </w:pPr>
            <w:r w:rsidRPr="00ED66D3">
              <w:rPr>
                <w:rFonts w:eastAsia="Calibri"/>
                <w:sz w:val="20"/>
                <w:lang w:val="en-CA"/>
              </w:rPr>
              <w:t>Criminal law – Evidence – Assessment of Credibility – Whether the Court of Appeal erred in law by failing to accord proper deference to the trial judge’s factual findings and assessment of credibility – Whether the Court of Appeal erred in law by raising the new issue of the trial judge’s application of the doctrine of reasonable doubt and not giving counsel a proper opportunity to address the issue before overturning the conviction and ordering a new trial based upon that issue – Whether the Court of Appeal erred in law in its interpretation and application of the doctrine of reasonable doubt as it related to the trial judge’s assessment of the evidence and reasons for conviction.</w:t>
            </w:r>
          </w:p>
          <w:p w:rsidR="00ED66D3" w:rsidRPr="00ED66D3" w:rsidRDefault="00ED66D3" w:rsidP="00ED66D3">
            <w:pPr>
              <w:spacing w:line="276" w:lineRule="auto"/>
              <w:jc w:val="both"/>
              <w:rPr>
                <w:rFonts w:eastAsia="Calibri"/>
                <w:sz w:val="20"/>
                <w:lang w:val="en-CA"/>
              </w:rPr>
            </w:pP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en-CA"/>
              </w:rPr>
            </w:pPr>
            <w:r w:rsidRPr="00ED66D3">
              <w:rPr>
                <w:rFonts w:eastAsia="Calibri"/>
                <w:sz w:val="20"/>
                <w:lang w:val="en-CA"/>
              </w:rPr>
              <w:t xml:space="preserve">The respondent was charged with committing a sexual assault contrary to s. 271(1) of the </w:t>
            </w:r>
            <w:r w:rsidRPr="00ED66D3">
              <w:rPr>
                <w:rFonts w:eastAsia="Calibri"/>
                <w:i/>
                <w:sz w:val="20"/>
                <w:lang w:val="en-CA"/>
              </w:rPr>
              <w:t>Criminal Code</w:t>
            </w:r>
            <w:r w:rsidRPr="00ED66D3">
              <w:rPr>
                <w:rFonts w:eastAsia="Calibri"/>
                <w:sz w:val="20"/>
                <w:lang w:val="en-CA"/>
              </w:rPr>
              <w:t>. The respondent was convicted at trial. The Court of Appeal allowed the appeal, set aside the conviction and ordered a new trial.</w:t>
            </w:r>
          </w:p>
          <w:p w:rsidR="00ED66D3" w:rsidRPr="00ED66D3" w:rsidRDefault="00ED66D3" w:rsidP="00ED66D3">
            <w:pPr>
              <w:spacing w:line="276" w:lineRule="auto"/>
              <w:jc w:val="both"/>
              <w:rPr>
                <w:rFonts w:eastAsia="Calibri"/>
                <w:sz w:val="20"/>
                <w:lang w:val="en-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en-CA"/>
              </w:rPr>
            </w:pPr>
            <w:r w:rsidRPr="00ED66D3">
              <w:rPr>
                <w:rFonts w:eastAsia="Calibri"/>
                <w:sz w:val="20"/>
                <w:lang w:val="en-CA"/>
              </w:rPr>
              <w:t>June 29, 2012</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 xml:space="preserve">Supreme Court of Newfoundland &amp; Labrador, </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Trial Division</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(Fry J.)</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2012 NLTD(G) 101</w:t>
            </w:r>
          </w:p>
          <w:p w:rsidR="00ED66D3" w:rsidRPr="005529E3" w:rsidRDefault="00480458" w:rsidP="00ED66D3">
            <w:pPr>
              <w:spacing w:line="276" w:lineRule="auto"/>
              <w:jc w:val="both"/>
              <w:rPr>
                <w:rFonts w:eastAsia="Calibri"/>
                <w:sz w:val="20"/>
                <w:lang w:val="en-CA"/>
              </w:rPr>
            </w:pPr>
            <w:hyperlink r:id="rId74" w:history="1">
              <w:r w:rsidR="00ED66D3" w:rsidRPr="005529E3">
                <w:rPr>
                  <w:color w:val="0000FF"/>
                  <w:sz w:val="20"/>
                  <w:u w:val="single"/>
                  <w:lang w:val="en-CA"/>
                </w:rPr>
                <w:t>http://canlii.ca/t/frws5</w:t>
              </w:r>
            </w:hyperlink>
          </w:p>
          <w:p w:rsidR="00ED66D3" w:rsidRPr="00ED66D3" w:rsidRDefault="00ED66D3" w:rsidP="00ED66D3">
            <w:pPr>
              <w:spacing w:line="276" w:lineRule="auto"/>
              <w:jc w:val="both"/>
              <w:rPr>
                <w:rFonts w:eastAsia="Calibri"/>
                <w:sz w:val="20"/>
                <w:lang w:val="en-CA"/>
              </w:rPr>
            </w:pPr>
          </w:p>
        </w:tc>
        <w:tc>
          <w:tcPr>
            <w:tcW w:w="243" w:type="pct"/>
          </w:tcPr>
          <w:p w:rsidR="00ED66D3" w:rsidRPr="00ED66D3" w:rsidRDefault="00ED66D3" w:rsidP="00ED66D3">
            <w:pPr>
              <w:spacing w:line="276" w:lineRule="auto"/>
              <w:jc w:val="both"/>
              <w:rPr>
                <w:rFonts w:eastAsia="Calibri"/>
                <w:sz w:val="20"/>
                <w:lang w:val="en-CA"/>
              </w:rPr>
            </w:pPr>
          </w:p>
        </w:tc>
        <w:tc>
          <w:tcPr>
            <w:tcW w:w="2330" w:type="pct"/>
          </w:tcPr>
          <w:p w:rsidR="00ED66D3" w:rsidRPr="00ED66D3" w:rsidRDefault="00ED66D3" w:rsidP="00ED66D3">
            <w:pPr>
              <w:spacing w:line="276" w:lineRule="auto"/>
              <w:jc w:val="both"/>
              <w:rPr>
                <w:rFonts w:eastAsia="Calibri"/>
                <w:sz w:val="20"/>
                <w:lang w:val="en-CA"/>
              </w:rPr>
            </w:pPr>
            <w:r w:rsidRPr="00ED66D3">
              <w:rPr>
                <w:rFonts w:eastAsia="Calibri"/>
                <w:sz w:val="20"/>
                <w:lang w:val="en-CA"/>
              </w:rPr>
              <w:t>Conviction: sexual assault</w:t>
            </w:r>
          </w:p>
          <w:p w:rsidR="00ED66D3" w:rsidRPr="00ED66D3" w:rsidRDefault="00ED66D3" w:rsidP="00ED66D3">
            <w:pPr>
              <w:spacing w:line="276" w:lineRule="auto"/>
              <w:jc w:val="both"/>
              <w:rPr>
                <w:rFonts w:eastAsia="Calibri"/>
                <w:sz w:val="20"/>
                <w:lang w:val="en-CA"/>
              </w:rPr>
            </w:pPr>
          </w:p>
          <w:p w:rsidR="00ED66D3" w:rsidRPr="00ED66D3" w:rsidRDefault="00ED66D3" w:rsidP="00ED66D3">
            <w:pPr>
              <w:spacing w:line="276" w:lineRule="auto"/>
              <w:jc w:val="both"/>
              <w:rPr>
                <w:rFonts w:eastAsia="Calibri"/>
                <w:sz w:val="20"/>
                <w:lang w:val="en-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en-CA"/>
              </w:rPr>
            </w:pPr>
            <w:r w:rsidRPr="00ED66D3">
              <w:rPr>
                <w:rFonts w:eastAsia="Calibri"/>
                <w:sz w:val="20"/>
                <w:lang w:val="en-CA"/>
              </w:rPr>
              <w:t>March 30, 2015</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 xml:space="preserve">Supreme Court of Newfoundland and </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Labrador - Court of Appeal</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(Rowe, White, Harrington JJ.A.)</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2015 NLCA 14; 13/19</w:t>
            </w:r>
          </w:p>
          <w:p w:rsidR="00ED66D3" w:rsidRPr="005529E3" w:rsidRDefault="00480458" w:rsidP="00ED66D3">
            <w:pPr>
              <w:spacing w:line="276" w:lineRule="auto"/>
              <w:jc w:val="both"/>
              <w:rPr>
                <w:rFonts w:eastAsia="Calibri"/>
                <w:sz w:val="20"/>
                <w:lang w:val="en-CA"/>
              </w:rPr>
            </w:pPr>
            <w:hyperlink r:id="rId75" w:history="1">
              <w:r w:rsidR="00ED66D3" w:rsidRPr="005529E3">
                <w:rPr>
                  <w:rFonts w:eastAsia="Calibri"/>
                  <w:color w:val="0000FF" w:themeColor="hyperlink"/>
                  <w:sz w:val="20"/>
                  <w:u w:val="single"/>
                  <w:lang w:val="en-CA"/>
                </w:rPr>
                <w:t>http://canlii.ca/t/ggxlj</w:t>
              </w:r>
            </w:hyperlink>
          </w:p>
          <w:p w:rsidR="00ED66D3" w:rsidRPr="00ED66D3" w:rsidRDefault="00ED66D3" w:rsidP="00ED66D3">
            <w:pPr>
              <w:spacing w:line="276" w:lineRule="auto"/>
              <w:jc w:val="both"/>
              <w:rPr>
                <w:rFonts w:eastAsia="Calibri"/>
                <w:sz w:val="20"/>
                <w:lang w:val="en-CA"/>
              </w:rPr>
            </w:pPr>
          </w:p>
        </w:tc>
        <w:tc>
          <w:tcPr>
            <w:tcW w:w="243" w:type="pct"/>
          </w:tcPr>
          <w:p w:rsidR="00ED66D3" w:rsidRPr="00ED66D3" w:rsidRDefault="00ED66D3" w:rsidP="00ED66D3">
            <w:pPr>
              <w:spacing w:line="276" w:lineRule="auto"/>
              <w:jc w:val="both"/>
              <w:rPr>
                <w:rFonts w:eastAsia="Calibri"/>
                <w:sz w:val="20"/>
                <w:lang w:val="en-CA"/>
              </w:rPr>
            </w:pPr>
          </w:p>
        </w:tc>
        <w:tc>
          <w:tcPr>
            <w:tcW w:w="2330" w:type="pct"/>
          </w:tcPr>
          <w:p w:rsidR="00ED66D3" w:rsidRPr="00ED66D3" w:rsidRDefault="00ED66D3" w:rsidP="00ED66D3">
            <w:pPr>
              <w:spacing w:line="276" w:lineRule="auto"/>
              <w:jc w:val="both"/>
              <w:rPr>
                <w:rFonts w:eastAsia="Calibri"/>
                <w:sz w:val="20"/>
                <w:lang w:val="en-CA"/>
              </w:rPr>
            </w:pPr>
            <w:r w:rsidRPr="00ED66D3">
              <w:rPr>
                <w:rFonts w:eastAsia="Calibri"/>
                <w:sz w:val="20"/>
                <w:lang w:val="en-CA"/>
              </w:rPr>
              <w:t>Appeal allowed: conviction set aside, new trial ordered</w:t>
            </w:r>
          </w:p>
          <w:p w:rsidR="00ED66D3" w:rsidRPr="00ED66D3" w:rsidRDefault="00ED66D3" w:rsidP="00ED66D3">
            <w:pPr>
              <w:spacing w:line="276" w:lineRule="auto"/>
              <w:jc w:val="both"/>
              <w:rPr>
                <w:rFonts w:eastAsia="Calibri"/>
                <w:sz w:val="20"/>
                <w:lang w:val="en-CA"/>
              </w:rPr>
            </w:pPr>
          </w:p>
          <w:p w:rsidR="00ED66D3" w:rsidRPr="00ED66D3" w:rsidRDefault="00ED66D3" w:rsidP="00ED66D3">
            <w:pPr>
              <w:spacing w:line="276" w:lineRule="auto"/>
              <w:jc w:val="both"/>
              <w:rPr>
                <w:rFonts w:eastAsia="Calibri"/>
                <w:sz w:val="20"/>
                <w:lang w:val="en-CA"/>
              </w:rPr>
            </w:pPr>
          </w:p>
        </w:tc>
      </w:tr>
      <w:tr w:rsidR="00ED66D3" w:rsidRPr="00ED66D3" w:rsidTr="00ED66D3">
        <w:tc>
          <w:tcPr>
            <w:tcW w:w="2427" w:type="pct"/>
            <w:gridSpan w:val="2"/>
            <w:hideMark/>
          </w:tcPr>
          <w:p w:rsidR="00ED66D3" w:rsidRPr="00ED66D3" w:rsidRDefault="00ED66D3" w:rsidP="00ED66D3">
            <w:pPr>
              <w:spacing w:line="276" w:lineRule="auto"/>
              <w:jc w:val="both"/>
              <w:rPr>
                <w:rFonts w:eastAsia="Calibri"/>
                <w:sz w:val="20"/>
                <w:lang w:val="en-CA"/>
              </w:rPr>
            </w:pPr>
            <w:r w:rsidRPr="00ED66D3">
              <w:rPr>
                <w:rFonts w:eastAsia="Calibri"/>
                <w:sz w:val="20"/>
                <w:lang w:val="en-CA"/>
              </w:rPr>
              <w:t>May 28, 2015</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Supreme Court of Canada</w:t>
            </w:r>
          </w:p>
        </w:tc>
        <w:tc>
          <w:tcPr>
            <w:tcW w:w="243" w:type="pct"/>
          </w:tcPr>
          <w:p w:rsidR="00ED66D3" w:rsidRPr="00ED66D3" w:rsidRDefault="00ED66D3" w:rsidP="00ED66D3">
            <w:pPr>
              <w:spacing w:line="276" w:lineRule="auto"/>
              <w:jc w:val="both"/>
              <w:rPr>
                <w:rFonts w:eastAsia="Calibri"/>
                <w:sz w:val="20"/>
                <w:lang w:val="en-CA"/>
              </w:rPr>
            </w:pPr>
          </w:p>
        </w:tc>
        <w:tc>
          <w:tcPr>
            <w:tcW w:w="2330" w:type="pct"/>
          </w:tcPr>
          <w:p w:rsidR="00ED66D3" w:rsidRPr="00ED66D3" w:rsidRDefault="00ED66D3" w:rsidP="00ED66D3">
            <w:pPr>
              <w:spacing w:line="276" w:lineRule="auto"/>
              <w:jc w:val="both"/>
              <w:rPr>
                <w:rFonts w:eastAsia="Calibri"/>
                <w:sz w:val="20"/>
                <w:lang w:val="en-CA"/>
              </w:rPr>
            </w:pPr>
            <w:r w:rsidRPr="00ED66D3">
              <w:rPr>
                <w:rFonts w:eastAsia="Calibri"/>
                <w:sz w:val="20"/>
                <w:lang w:val="en-CA"/>
              </w:rPr>
              <w:t>Application for leave to appeal filed</w:t>
            </w:r>
          </w:p>
          <w:p w:rsidR="00ED66D3" w:rsidRPr="00ED66D3" w:rsidRDefault="00ED66D3" w:rsidP="00ED66D3">
            <w:pPr>
              <w:spacing w:line="276" w:lineRule="auto"/>
              <w:jc w:val="both"/>
              <w:rPr>
                <w:rFonts w:eastAsia="Calibri"/>
                <w:sz w:val="20"/>
                <w:lang w:val="en-CA"/>
              </w:rPr>
            </w:pPr>
          </w:p>
        </w:tc>
      </w:tr>
    </w:tbl>
    <w:p w:rsidR="00ED66D3" w:rsidRDefault="00ED66D3" w:rsidP="00ED66D3">
      <w:pPr>
        <w:jc w:val="both"/>
        <w:rPr>
          <w:rFonts w:eastAsia="Calibri"/>
          <w:sz w:val="20"/>
          <w:lang w:val="en-CA"/>
        </w:rPr>
      </w:pPr>
    </w:p>
    <w:p w:rsidR="009C21EE" w:rsidRPr="00ED66D3" w:rsidRDefault="009C21EE" w:rsidP="00ED66D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ED66D3" w:rsidRPr="00ED66D3" w:rsidTr="00ED66D3">
        <w:tc>
          <w:tcPr>
            <w:tcW w:w="543" w:type="pct"/>
            <w:hideMark/>
          </w:tcPr>
          <w:p w:rsidR="00ED66D3" w:rsidRPr="00ED66D3" w:rsidRDefault="00ED66D3" w:rsidP="00ED66D3">
            <w:pPr>
              <w:spacing w:line="276" w:lineRule="auto"/>
              <w:jc w:val="both"/>
              <w:rPr>
                <w:rFonts w:eastAsia="Calibri"/>
                <w:sz w:val="20"/>
                <w:lang w:val="fr-CA"/>
              </w:rPr>
            </w:pPr>
            <w:r w:rsidRPr="005529E3">
              <w:rPr>
                <w:rFonts w:eastAsia="Calibri"/>
                <w:b/>
                <w:sz w:val="20"/>
                <w:lang w:val="fr-CA"/>
              </w:rPr>
              <w:t>36457</w:t>
            </w:r>
          </w:p>
        </w:tc>
        <w:tc>
          <w:tcPr>
            <w:tcW w:w="4457" w:type="pct"/>
            <w:gridSpan w:val="3"/>
            <w:hideMark/>
          </w:tcPr>
          <w:p w:rsidR="00ED66D3" w:rsidRPr="00ED66D3" w:rsidRDefault="00ED66D3" w:rsidP="00ED66D3">
            <w:pPr>
              <w:spacing w:line="276" w:lineRule="auto"/>
              <w:jc w:val="both"/>
              <w:rPr>
                <w:rFonts w:eastAsia="Calibri"/>
                <w:b/>
                <w:sz w:val="20"/>
                <w:lang w:val="fr-CA"/>
              </w:rPr>
            </w:pPr>
            <w:r w:rsidRPr="00ED66D3">
              <w:rPr>
                <w:rFonts w:eastAsia="Calibri"/>
                <w:b/>
                <w:sz w:val="20"/>
                <w:lang w:val="fr-CA"/>
              </w:rPr>
              <w:t>Sa Majesté la Reine c. J.K.</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(T.-N.-L.) (Criminelle) (Sur autorisation)</w:t>
            </w:r>
          </w:p>
        </w:tc>
      </w:tr>
      <w:tr w:rsidR="00ED66D3" w:rsidRPr="00ED66D3" w:rsidTr="00ED66D3">
        <w:tc>
          <w:tcPr>
            <w:tcW w:w="5000" w:type="pct"/>
            <w:gridSpan w:val="4"/>
          </w:tcPr>
          <w:p w:rsidR="00ED66D3" w:rsidRPr="00ED66D3" w:rsidRDefault="00ED66D3" w:rsidP="00ED66D3">
            <w:pPr>
              <w:spacing w:line="276" w:lineRule="auto"/>
              <w:jc w:val="both"/>
              <w:rPr>
                <w:rFonts w:eastAsia="Calibri"/>
                <w:smallCaps/>
                <w:sz w:val="20"/>
                <w:lang w:val="fr-CA"/>
              </w:rPr>
            </w:pPr>
            <w:r w:rsidRPr="00ED66D3">
              <w:rPr>
                <w:rFonts w:eastAsia="Calibri"/>
                <w:smallCaps/>
                <w:sz w:val="20"/>
                <w:lang w:val="fr-CA"/>
              </w:rPr>
              <w:t>(Ordonnance de non-publication dans le dossier) (Ordonnance de non-publication visant une partie)</w:t>
            </w:r>
          </w:p>
          <w:p w:rsidR="00ED66D3" w:rsidRPr="00ED66D3" w:rsidRDefault="00ED66D3" w:rsidP="00ED66D3">
            <w:pPr>
              <w:spacing w:line="276" w:lineRule="auto"/>
              <w:jc w:val="both"/>
              <w:rPr>
                <w:rFonts w:eastAsia="Calibri"/>
                <w:sz w:val="20"/>
                <w:lang w:val="fr-CA"/>
              </w:rPr>
            </w:pP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fr-CA"/>
              </w:rPr>
            </w:pPr>
            <w:r w:rsidRPr="00ED66D3">
              <w:rPr>
                <w:rFonts w:eastAsia="Calibri"/>
                <w:sz w:val="20"/>
                <w:lang w:val="fr-CA"/>
              </w:rPr>
              <w:t>Droit criminel – Preuve – Appréciation de la crédibilité – La Cour d’appel a-t-elle commis une erreur de droit en ne faisant pas preuve de la déférence voulue à l’égard des conclusions de fait de la juge de première instance et de son appréciation de la crédibilité? – La Cour d’appel a-t-elle commis une erreur de droit en soulevant une nouvelle question, c’est-à-dire l’application par la juge du procès de la règle du doute raisonnable, et en n’ayant pas donné aux avocats la possibilité de traiter la question avant d’infirmer la déclaration de culpabilité et d’ordonner un nouveau procès sur le fondement de cette question? – La Cour d’appel a-t-elle commis une erreur de droit dans son interprétation et son application de la règle du doute raisonnable en ce qui concerne l’appréciation de la preuve par la juge du procès et des motifs pour lesquels elle a déclaré l’accusé coupable?</w:t>
            </w:r>
          </w:p>
          <w:p w:rsidR="00ED66D3" w:rsidRPr="00ED66D3" w:rsidRDefault="00ED66D3" w:rsidP="00ED66D3">
            <w:pPr>
              <w:spacing w:line="276" w:lineRule="auto"/>
              <w:jc w:val="both"/>
              <w:rPr>
                <w:rFonts w:eastAsia="Calibri"/>
                <w:sz w:val="20"/>
                <w:lang w:val="fr-CA"/>
              </w:rPr>
            </w:pP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fr-CA"/>
              </w:rPr>
            </w:pPr>
            <w:r w:rsidRPr="00ED66D3">
              <w:rPr>
                <w:rFonts w:eastAsia="Calibri"/>
                <w:sz w:val="20"/>
                <w:lang w:val="fr-CA"/>
              </w:rPr>
              <w:t xml:space="preserve">L’intimé a été accusé d’agression sexuelle en vertu du par. 271(1) du </w:t>
            </w:r>
            <w:r w:rsidRPr="00ED66D3">
              <w:rPr>
                <w:rFonts w:eastAsia="Calibri"/>
                <w:i/>
                <w:sz w:val="20"/>
                <w:lang w:val="fr-CA"/>
              </w:rPr>
              <w:t>Code criminel</w:t>
            </w:r>
            <w:r w:rsidRPr="00ED66D3">
              <w:rPr>
                <w:rFonts w:eastAsia="Calibri"/>
                <w:sz w:val="20"/>
                <w:lang w:val="fr-CA"/>
              </w:rPr>
              <w:t>. L’intimé a été déclaré coupable à l’issue d’un procès. La Cour d’appel a accueilli l’appel, annulé la déclaration de culpabilité et ordonné un nouveau procès.</w:t>
            </w:r>
          </w:p>
          <w:p w:rsidR="00ED66D3" w:rsidRPr="00ED66D3" w:rsidRDefault="00ED66D3" w:rsidP="00ED66D3">
            <w:pPr>
              <w:spacing w:line="276" w:lineRule="auto"/>
              <w:jc w:val="both"/>
              <w:rPr>
                <w:rFonts w:eastAsia="Calibri"/>
                <w:sz w:val="20"/>
                <w:lang w:val="fr-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fr-CA"/>
              </w:rPr>
            </w:pPr>
            <w:r w:rsidRPr="00ED66D3">
              <w:rPr>
                <w:rFonts w:eastAsia="Calibri"/>
                <w:sz w:val="20"/>
                <w:lang w:val="fr-CA"/>
              </w:rPr>
              <w:t>29 juin 2012</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 xml:space="preserve">Cour suprême de Terre-Neuve-et-Labrador, </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Section de première instance</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(Juge Fry)</w:t>
            </w:r>
          </w:p>
          <w:p w:rsidR="00ED66D3" w:rsidRPr="00ED66D3" w:rsidRDefault="00ED66D3" w:rsidP="00ED66D3">
            <w:pPr>
              <w:spacing w:line="276" w:lineRule="auto"/>
              <w:jc w:val="both"/>
              <w:rPr>
                <w:rFonts w:eastAsia="Calibri"/>
                <w:sz w:val="20"/>
              </w:rPr>
            </w:pPr>
            <w:r w:rsidRPr="00ED66D3">
              <w:rPr>
                <w:rFonts w:eastAsia="Calibri"/>
                <w:sz w:val="20"/>
              </w:rPr>
              <w:t>2012 NLTD(G) 101</w:t>
            </w:r>
          </w:p>
          <w:p w:rsidR="00ED66D3" w:rsidRPr="005529E3" w:rsidRDefault="00480458" w:rsidP="00ED66D3">
            <w:pPr>
              <w:spacing w:line="276" w:lineRule="auto"/>
              <w:jc w:val="both"/>
              <w:rPr>
                <w:rFonts w:eastAsia="Calibri"/>
                <w:sz w:val="20"/>
                <w:lang w:val="en-CA"/>
              </w:rPr>
            </w:pPr>
            <w:hyperlink r:id="rId76" w:history="1">
              <w:r w:rsidR="00ED66D3" w:rsidRPr="005529E3">
                <w:rPr>
                  <w:color w:val="0000FF"/>
                  <w:sz w:val="20"/>
                  <w:u w:val="single"/>
                </w:rPr>
                <w:t>http://canlii.ca/t/frws5</w:t>
              </w:r>
            </w:hyperlink>
          </w:p>
          <w:p w:rsidR="00ED66D3" w:rsidRPr="00ED66D3" w:rsidRDefault="00ED66D3" w:rsidP="00ED66D3">
            <w:pPr>
              <w:spacing w:line="276" w:lineRule="auto"/>
              <w:jc w:val="both"/>
              <w:rPr>
                <w:rFonts w:eastAsia="Calibri"/>
                <w:sz w:val="20"/>
                <w:lang w:val="en-CA"/>
              </w:rPr>
            </w:pPr>
          </w:p>
        </w:tc>
        <w:tc>
          <w:tcPr>
            <w:tcW w:w="243" w:type="pct"/>
          </w:tcPr>
          <w:p w:rsidR="00ED66D3" w:rsidRPr="00ED66D3" w:rsidRDefault="00ED66D3" w:rsidP="00ED66D3">
            <w:pPr>
              <w:spacing w:line="276" w:lineRule="auto"/>
              <w:jc w:val="both"/>
              <w:rPr>
                <w:rFonts w:eastAsia="Calibri"/>
                <w:sz w:val="20"/>
              </w:rPr>
            </w:pPr>
          </w:p>
        </w:tc>
        <w:tc>
          <w:tcPr>
            <w:tcW w:w="2330" w:type="pct"/>
          </w:tcPr>
          <w:p w:rsidR="00ED66D3" w:rsidRPr="00ED66D3" w:rsidRDefault="00ED66D3" w:rsidP="00ED66D3">
            <w:pPr>
              <w:spacing w:line="276" w:lineRule="auto"/>
              <w:jc w:val="both"/>
              <w:rPr>
                <w:rFonts w:eastAsia="Calibri"/>
                <w:sz w:val="20"/>
                <w:lang w:val="fr-CA"/>
              </w:rPr>
            </w:pPr>
            <w:r w:rsidRPr="00ED66D3">
              <w:rPr>
                <w:rFonts w:eastAsia="Calibri"/>
                <w:sz w:val="20"/>
                <w:lang w:val="fr-CA"/>
              </w:rPr>
              <w:t>Déclaration de culpabilité d’agression sexuelle</w:t>
            </w:r>
          </w:p>
          <w:p w:rsidR="00ED66D3" w:rsidRPr="00ED66D3" w:rsidRDefault="00ED66D3" w:rsidP="00ED66D3">
            <w:pPr>
              <w:spacing w:line="276" w:lineRule="auto"/>
              <w:jc w:val="both"/>
              <w:rPr>
                <w:rFonts w:eastAsia="Calibri"/>
                <w:sz w:val="20"/>
                <w:lang w:val="fr-CA"/>
              </w:rPr>
            </w:pPr>
          </w:p>
          <w:p w:rsidR="00ED66D3" w:rsidRPr="00ED66D3" w:rsidRDefault="00ED66D3" w:rsidP="00ED66D3">
            <w:pPr>
              <w:spacing w:line="276" w:lineRule="auto"/>
              <w:jc w:val="both"/>
              <w:rPr>
                <w:rFonts w:eastAsia="Calibri"/>
                <w:sz w:val="20"/>
                <w:lang w:val="fr-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fr-CA"/>
              </w:rPr>
            </w:pPr>
            <w:r w:rsidRPr="00ED66D3">
              <w:rPr>
                <w:rFonts w:eastAsia="Calibri"/>
                <w:sz w:val="20"/>
                <w:lang w:val="fr-CA"/>
              </w:rPr>
              <w:t>30 mars 2015</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Cour suprême de Terre-Neuve-et-Labrador Cour d’appel</w:t>
            </w:r>
          </w:p>
          <w:p w:rsidR="00ED66D3" w:rsidRPr="00ED66D3" w:rsidRDefault="00ED66D3" w:rsidP="00ED66D3">
            <w:pPr>
              <w:spacing w:line="276" w:lineRule="auto"/>
              <w:jc w:val="both"/>
              <w:rPr>
                <w:rFonts w:eastAsia="Calibri"/>
                <w:sz w:val="20"/>
              </w:rPr>
            </w:pPr>
            <w:r w:rsidRPr="00ED66D3">
              <w:rPr>
                <w:rFonts w:eastAsia="Calibri"/>
                <w:sz w:val="20"/>
              </w:rPr>
              <w:t>(</w:t>
            </w:r>
            <w:proofErr w:type="spellStart"/>
            <w:r w:rsidRPr="00ED66D3">
              <w:rPr>
                <w:rFonts w:eastAsia="Calibri"/>
                <w:sz w:val="20"/>
              </w:rPr>
              <w:t>Juges</w:t>
            </w:r>
            <w:proofErr w:type="spellEnd"/>
            <w:r w:rsidRPr="00ED66D3">
              <w:rPr>
                <w:rFonts w:eastAsia="Calibri"/>
                <w:sz w:val="20"/>
              </w:rPr>
              <w:t xml:space="preserve"> Rowe, White et Harrington)</w:t>
            </w:r>
          </w:p>
          <w:p w:rsidR="00ED66D3" w:rsidRPr="00ED66D3" w:rsidRDefault="00ED66D3" w:rsidP="00ED66D3">
            <w:pPr>
              <w:spacing w:line="276" w:lineRule="auto"/>
              <w:jc w:val="both"/>
              <w:rPr>
                <w:rFonts w:eastAsia="Calibri"/>
                <w:sz w:val="20"/>
              </w:rPr>
            </w:pPr>
            <w:r w:rsidRPr="00ED66D3">
              <w:rPr>
                <w:rFonts w:eastAsia="Calibri"/>
                <w:sz w:val="20"/>
              </w:rPr>
              <w:t>2015 NLCA 14; 13/19</w:t>
            </w:r>
          </w:p>
          <w:p w:rsidR="00ED66D3" w:rsidRPr="005529E3" w:rsidRDefault="00480458" w:rsidP="00ED66D3">
            <w:pPr>
              <w:spacing w:line="276" w:lineRule="auto"/>
              <w:jc w:val="both"/>
              <w:rPr>
                <w:rFonts w:eastAsia="Calibri"/>
                <w:sz w:val="20"/>
                <w:lang w:val="en-CA"/>
              </w:rPr>
            </w:pPr>
            <w:hyperlink r:id="rId77" w:history="1">
              <w:r w:rsidR="00ED66D3" w:rsidRPr="005529E3">
                <w:rPr>
                  <w:rFonts w:eastAsia="Calibri"/>
                  <w:color w:val="0000FF" w:themeColor="hyperlink"/>
                  <w:sz w:val="20"/>
                  <w:u w:val="single"/>
                </w:rPr>
                <w:t>http://canlii.ca/t/ggxlj</w:t>
              </w:r>
            </w:hyperlink>
          </w:p>
          <w:p w:rsidR="00ED66D3" w:rsidRPr="00ED66D3" w:rsidRDefault="00ED66D3" w:rsidP="00ED66D3">
            <w:pPr>
              <w:spacing w:line="276" w:lineRule="auto"/>
              <w:jc w:val="both"/>
              <w:rPr>
                <w:rFonts w:eastAsia="Calibri"/>
                <w:sz w:val="20"/>
                <w:lang w:val="en-CA"/>
              </w:rPr>
            </w:pPr>
          </w:p>
        </w:tc>
        <w:tc>
          <w:tcPr>
            <w:tcW w:w="243" w:type="pct"/>
          </w:tcPr>
          <w:p w:rsidR="00ED66D3" w:rsidRPr="00ED66D3" w:rsidRDefault="00ED66D3" w:rsidP="00ED66D3">
            <w:pPr>
              <w:spacing w:line="276" w:lineRule="auto"/>
              <w:jc w:val="both"/>
              <w:rPr>
                <w:rFonts w:eastAsia="Calibri"/>
                <w:sz w:val="20"/>
              </w:rPr>
            </w:pPr>
          </w:p>
        </w:tc>
        <w:tc>
          <w:tcPr>
            <w:tcW w:w="2330" w:type="pct"/>
          </w:tcPr>
          <w:p w:rsidR="00ED66D3" w:rsidRPr="00ED66D3" w:rsidRDefault="00ED66D3" w:rsidP="00ED66D3">
            <w:pPr>
              <w:spacing w:line="276" w:lineRule="auto"/>
              <w:jc w:val="both"/>
              <w:rPr>
                <w:rFonts w:eastAsia="Calibri"/>
                <w:sz w:val="20"/>
                <w:lang w:val="fr-CA"/>
              </w:rPr>
            </w:pPr>
            <w:r w:rsidRPr="00ED66D3">
              <w:rPr>
                <w:rFonts w:eastAsia="Calibri"/>
                <w:sz w:val="20"/>
                <w:lang w:val="fr-CA"/>
              </w:rPr>
              <w:t>Arrêt accueillant l’appel, annulant la déclaration de culpabilité et ordonnant un nouveau procès</w:t>
            </w:r>
          </w:p>
          <w:p w:rsidR="00ED66D3" w:rsidRPr="00ED66D3" w:rsidRDefault="00ED66D3" w:rsidP="00ED66D3">
            <w:pPr>
              <w:spacing w:line="276" w:lineRule="auto"/>
              <w:jc w:val="both"/>
              <w:rPr>
                <w:rFonts w:eastAsia="Calibri"/>
                <w:sz w:val="20"/>
                <w:lang w:val="fr-CA"/>
              </w:rPr>
            </w:pPr>
          </w:p>
          <w:p w:rsidR="00ED66D3" w:rsidRPr="00ED66D3" w:rsidRDefault="00ED66D3" w:rsidP="00ED66D3">
            <w:pPr>
              <w:spacing w:line="276" w:lineRule="auto"/>
              <w:jc w:val="both"/>
              <w:rPr>
                <w:rFonts w:eastAsia="Calibri"/>
                <w:sz w:val="20"/>
                <w:lang w:val="fr-CA"/>
              </w:rPr>
            </w:pPr>
          </w:p>
        </w:tc>
      </w:tr>
      <w:tr w:rsidR="00ED66D3" w:rsidRPr="00ED66D3" w:rsidTr="00ED66D3">
        <w:tc>
          <w:tcPr>
            <w:tcW w:w="2427" w:type="pct"/>
            <w:gridSpan w:val="2"/>
            <w:hideMark/>
          </w:tcPr>
          <w:p w:rsidR="00ED66D3" w:rsidRPr="00ED66D3" w:rsidRDefault="00ED66D3" w:rsidP="00ED66D3">
            <w:pPr>
              <w:spacing w:line="276" w:lineRule="auto"/>
              <w:jc w:val="both"/>
              <w:rPr>
                <w:rFonts w:eastAsia="Calibri"/>
                <w:sz w:val="20"/>
                <w:lang w:val="fr-CA"/>
              </w:rPr>
            </w:pPr>
            <w:r w:rsidRPr="00ED66D3">
              <w:rPr>
                <w:rFonts w:eastAsia="Calibri"/>
                <w:sz w:val="20"/>
                <w:lang w:val="fr-CA"/>
              </w:rPr>
              <w:t>28 mai 2015</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Cour suprême du Canada</w:t>
            </w:r>
          </w:p>
        </w:tc>
        <w:tc>
          <w:tcPr>
            <w:tcW w:w="243" w:type="pct"/>
          </w:tcPr>
          <w:p w:rsidR="00ED66D3" w:rsidRPr="00ED66D3" w:rsidRDefault="00ED66D3" w:rsidP="00ED66D3">
            <w:pPr>
              <w:spacing w:line="276" w:lineRule="auto"/>
              <w:jc w:val="both"/>
              <w:rPr>
                <w:rFonts w:eastAsia="Calibri"/>
                <w:sz w:val="20"/>
                <w:lang w:val="fr-CA"/>
              </w:rPr>
            </w:pPr>
          </w:p>
        </w:tc>
        <w:tc>
          <w:tcPr>
            <w:tcW w:w="2330" w:type="pct"/>
            <w:hideMark/>
          </w:tcPr>
          <w:p w:rsidR="00ED66D3" w:rsidRPr="00ED66D3" w:rsidRDefault="00ED66D3" w:rsidP="00ED66D3">
            <w:pPr>
              <w:spacing w:line="276" w:lineRule="auto"/>
              <w:jc w:val="both"/>
              <w:rPr>
                <w:rFonts w:eastAsia="Calibri"/>
                <w:sz w:val="20"/>
                <w:lang w:val="fr-CA"/>
              </w:rPr>
            </w:pPr>
            <w:r w:rsidRPr="00ED66D3">
              <w:rPr>
                <w:rFonts w:eastAsia="Calibri"/>
                <w:sz w:val="20"/>
                <w:lang w:val="fr-CA"/>
              </w:rPr>
              <w:t>Dépôt de la demande d’autorisation d’appel</w:t>
            </w:r>
          </w:p>
        </w:tc>
      </w:tr>
    </w:tbl>
    <w:p w:rsidR="00ED66D3" w:rsidRDefault="00ED66D3" w:rsidP="00ED66D3">
      <w:pPr>
        <w:jc w:val="both"/>
        <w:rPr>
          <w:rFonts w:eastAsia="Calibri"/>
          <w:sz w:val="20"/>
          <w:lang w:val="fr-CA"/>
        </w:rPr>
      </w:pPr>
    </w:p>
    <w:p w:rsidR="009C21EE" w:rsidRPr="00ED66D3" w:rsidRDefault="009C21EE" w:rsidP="00ED66D3">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ED66D3" w:rsidRPr="00ED66D3" w:rsidTr="001523B7">
        <w:tc>
          <w:tcPr>
            <w:tcW w:w="542" w:type="pct"/>
          </w:tcPr>
          <w:p w:rsidR="00ED66D3" w:rsidRPr="00ED66D3" w:rsidRDefault="00ED66D3" w:rsidP="00ED66D3">
            <w:pPr>
              <w:jc w:val="both"/>
              <w:rPr>
                <w:rFonts w:eastAsiaTheme="minorHAnsi"/>
                <w:sz w:val="20"/>
                <w:lang w:val="en-CA"/>
              </w:rPr>
            </w:pPr>
            <w:r w:rsidRPr="005529E3">
              <w:rPr>
                <w:rFonts w:eastAsiaTheme="minorHAnsi"/>
                <w:b/>
                <w:sz w:val="20"/>
                <w:lang w:val="en-CA"/>
              </w:rPr>
              <w:t>36366</w:t>
            </w:r>
          </w:p>
        </w:tc>
        <w:tc>
          <w:tcPr>
            <w:tcW w:w="4458" w:type="pct"/>
            <w:gridSpan w:val="3"/>
          </w:tcPr>
          <w:p w:rsidR="00ED66D3" w:rsidRPr="00ED66D3" w:rsidRDefault="00ED66D3" w:rsidP="00ED66D3">
            <w:pPr>
              <w:jc w:val="both"/>
              <w:rPr>
                <w:rFonts w:eastAsiaTheme="minorHAnsi"/>
                <w:b/>
                <w:sz w:val="20"/>
                <w:lang w:val="en-CA"/>
              </w:rPr>
            </w:pPr>
            <w:r w:rsidRPr="00ED66D3">
              <w:rPr>
                <w:rFonts w:eastAsiaTheme="minorHAnsi"/>
                <w:b/>
                <w:sz w:val="20"/>
                <w:lang w:val="en-CA"/>
              </w:rPr>
              <w:t xml:space="preserve">Northbridge General Insurance Corporation (previously named Lombard General Insurance Company of Canada) v. </w:t>
            </w:r>
            <w:proofErr w:type="spellStart"/>
            <w:r w:rsidRPr="00ED66D3">
              <w:rPr>
                <w:rFonts w:eastAsiaTheme="minorHAnsi"/>
                <w:b/>
                <w:sz w:val="20"/>
                <w:lang w:val="en-CA"/>
              </w:rPr>
              <w:t>Cirvek</w:t>
            </w:r>
            <w:proofErr w:type="spellEnd"/>
            <w:r w:rsidRPr="00ED66D3">
              <w:rPr>
                <w:rFonts w:eastAsiaTheme="minorHAnsi"/>
                <w:b/>
                <w:sz w:val="20"/>
                <w:lang w:val="en-CA"/>
              </w:rPr>
              <w:t xml:space="preserve"> Fund I, L.P., </w:t>
            </w:r>
            <w:proofErr w:type="spellStart"/>
            <w:r w:rsidRPr="00ED66D3">
              <w:rPr>
                <w:rFonts w:eastAsiaTheme="minorHAnsi"/>
                <w:b/>
                <w:sz w:val="20"/>
                <w:lang w:val="en-CA"/>
              </w:rPr>
              <w:t>Kevric</w:t>
            </w:r>
            <w:proofErr w:type="spellEnd"/>
            <w:r w:rsidRPr="00ED66D3">
              <w:rPr>
                <w:rFonts w:eastAsiaTheme="minorHAnsi"/>
                <w:b/>
                <w:sz w:val="20"/>
                <w:lang w:val="en-CA"/>
              </w:rPr>
              <w:t xml:space="preserve"> Ontario Real Estate Corporation, Bloor/Avenue Road Investment Inc.</w:t>
            </w:r>
          </w:p>
          <w:p w:rsidR="00ED66D3" w:rsidRPr="00ED66D3" w:rsidRDefault="00ED66D3" w:rsidP="00ED66D3">
            <w:pPr>
              <w:jc w:val="both"/>
              <w:rPr>
                <w:rFonts w:eastAsiaTheme="minorHAnsi"/>
                <w:sz w:val="20"/>
                <w:lang w:val="en-CA"/>
              </w:rPr>
            </w:pPr>
            <w:r w:rsidRPr="00ED66D3">
              <w:rPr>
                <w:rFonts w:eastAsiaTheme="minorHAnsi"/>
                <w:sz w:val="20"/>
                <w:lang w:val="en-CA"/>
              </w:rPr>
              <w:t>(Que.) (Civil) (By Leave)</w:t>
            </w:r>
          </w:p>
        </w:tc>
      </w:tr>
      <w:tr w:rsidR="00ED66D3" w:rsidRPr="00ED66D3" w:rsidTr="001523B7">
        <w:tc>
          <w:tcPr>
            <w:tcW w:w="5000" w:type="pct"/>
            <w:gridSpan w:val="4"/>
          </w:tcPr>
          <w:p w:rsidR="00ED66D3" w:rsidRPr="00ED66D3" w:rsidRDefault="00ED66D3" w:rsidP="00ED66D3">
            <w:pPr>
              <w:jc w:val="both"/>
              <w:rPr>
                <w:rFonts w:eastAsiaTheme="minorHAnsi"/>
                <w:sz w:val="20"/>
                <w:lang w:val="en-CA"/>
              </w:rPr>
            </w:pPr>
            <w:r w:rsidRPr="00ED66D3">
              <w:rPr>
                <w:sz w:val="20"/>
                <w:lang w:val="en-CA" w:eastAsia="en-CA"/>
              </w:rPr>
              <w:t xml:space="preserve">Insurance – Liability insurance – Insurer’s duty to defend – Coverage under insurance policy – Action against insured for injury arising out of eviction – Reimbursement of insured for fees incurred to defend action – Whether insurance contract could apply in absence of fortuitous or contingent element – Whether insurance policy had to apply – Whether court can rely on facts </w:t>
            </w:r>
            <w:r w:rsidRPr="00ED66D3">
              <w:rPr>
                <w:i/>
                <w:sz w:val="20"/>
                <w:lang w:val="en-CA" w:eastAsia="en-CA"/>
              </w:rPr>
              <w:t>post facto</w:t>
            </w:r>
            <w:r w:rsidRPr="00ED66D3">
              <w:rPr>
                <w:sz w:val="20"/>
                <w:lang w:val="en-CA" w:eastAsia="en-CA"/>
              </w:rPr>
              <w:t>, if they are then known, to determine insurer’s duty to defend insured.</w:t>
            </w:r>
          </w:p>
        </w:tc>
      </w:tr>
      <w:tr w:rsidR="00ED66D3" w:rsidRPr="00ED66D3" w:rsidTr="001523B7">
        <w:tc>
          <w:tcPr>
            <w:tcW w:w="5000" w:type="pct"/>
            <w:gridSpan w:val="4"/>
          </w:tcPr>
          <w:p w:rsidR="00ED66D3" w:rsidRPr="00ED66D3" w:rsidRDefault="00ED66D3" w:rsidP="00ED66D3">
            <w:pPr>
              <w:jc w:val="both"/>
              <w:rPr>
                <w:rFonts w:eastAsiaTheme="minorHAnsi"/>
                <w:sz w:val="20"/>
                <w:lang w:val="en-CA"/>
              </w:rPr>
            </w:pPr>
          </w:p>
        </w:tc>
      </w:tr>
      <w:tr w:rsidR="00ED66D3" w:rsidRPr="00ED66D3" w:rsidTr="001523B7">
        <w:tc>
          <w:tcPr>
            <w:tcW w:w="5000" w:type="pct"/>
            <w:gridSpan w:val="4"/>
          </w:tcPr>
          <w:p w:rsidR="00ED66D3" w:rsidRPr="00ED66D3" w:rsidRDefault="00ED66D3" w:rsidP="00ED66D3">
            <w:pPr>
              <w:jc w:val="both"/>
              <w:rPr>
                <w:sz w:val="20"/>
                <w:lang w:val="en-CA" w:eastAsia="en-CA"/>
              </w:rPr>
            </w:pPr>
            <w:r w:rsidRPr="00ED66D3">
              <w:rPr>
                <w:sz w:val="20"/>
                <w:lang w:val="en-CA" w:eastAsia="en-CA"/>
              </w:rPr>
              <w:t xml:space="preserve">In 2009, an action for an injunction and damages was brought in Ontario against </w:t>
            </w:r>
            <w:proofErr w:type="spellStart"/>
            <w:r w:rsidRPr="00ED66D3">
              <w:rPr>
                <w:sz w:val="20"/>
                <w:lang w:val="en-CA" w:eastAsia="en-CA"/>
              </w:rPr>
              <w:t>Cirvek</w:t>
            </w:r>
            <w:proofErr w:type="spellEnd"/>
            <w:r w:rsidRPr="00ED66D3">
              <w:rPr>
                <w:sz w:val="20"/>
                <w:lang w:val="en-CA" w:eastAsia="en-CA"/>
              </w:rPr>
              <w:t xml:space="preserve"> Fund I, L.P., and its two subsidiaries, </w:t>
            </w:r>
            <w:proofErr w:type="spellStart"/>
            <w:r w:rsidRPr="00ED66D3">
              <w:rPr>
                <w:sz w:val="20"/>
                <w:lang w:val="en-CA" w:eastAsia="en-CA"/>
              </w:rPr>
              <w:t>Kevric</w:t>
            </w:r>
            <w:proofErr w:type="spellEnd"/>
            <w:r w:rsidRPr="00ED66D3">
              <w:rPr>
                <w:sz w:val="20"/>
                <w:lang w:val="en-CA" w:eastAsia="en-CA"/>
              </w:rPr>
              <w:t xml:space="preserve"> Ontario Real Estate Corporation and Bloor/Avenue Road Investment Inc. (hereinafter “</w:t>
            </w:r>
            <w:proofErr w:type="spellStart"/>
            <w:r w:rsidRPr="00ED66D3">
              <w:rPr>
                <w:sz w:val="20"/>
                <w:lang w:val="en-CA" w:eastAsia="en-CA"/>
              </w:rPr>
              <w:t>Cirvek</w:t>
            </w:r>
            <w:proofErr w:type="spellEnd"/>
            <w:r w:rsidRPr="00ED66D3">
              <w:rPr>
                <w:sz w:val="20"/>
                <w:lang w:val="en-CA" w:eastAsia="en-CA"/>
              </w:rPr>
              <w:t xml:space="preserve">”), </w:t>
            </w:r>
            <w:r w:rsidRPr="00ED66D3">
              <w:rPr>
                <w:sz w:val="20"/>
                <w:lang w:val="en-CA" w:eastAsia="en-CA"/>
              </w:rPr>
              <w:lastRenderedPageBreak/>
              <w:t xml:space="preserve">by residents who were upset that </w:t>
            </w:r>
            <w:proofErr w:type="spellStart"/>
            <w:r w:rsidRPr="00ED66D3">
              <w:rPr>
                <w:sz w:val="20"/>
                <w:lang w:val="en-CA" w:eastAsia="en-CA"/>
              </w:rPr>
              <w:t>Cirvek</w:t>
            </w:r>
            <w:proofErr w:type="spellEnd"/>
            <w:r w:rsidRPr="00ED66D3">
              <w:rPr>
                <w:sz w:val="20"/>
                <w:lang w:val="en-CA" w:eastAsia="en-CA"/>
              </w:rPr>
              <w:t xml:space="preserve"> had exercised its right to terminate their short</w:t>
            </w:r>
            <w:r w:rsidRPr="00ED66D3">
              <w:rPr>
                <w:sz w:val="20"/>
                <w:lang w:val="en-CA" w:eastAsia="en-CA"/>
              </w:rPr>
              <w:noBreakHyphen/>
              <w:t xml:space="preserve">term leases for parking spaces in the basement of a residential and commercial building. </w:t>
            </w:r>
          </w:p>
          <w:p w:rsidR="00ED66D3" w:rsidRPr="00ED66D3" w:rsidRDefault="00ED66D3" w:rsidP="00ED66D3">
            <w:pPr>
              <w:jc w:val="both"/>
              <w:rPr>
                <w:sz w:val="20"/>
                <w:lang w:val="en-CA" w:eastAsia="en-CA"/>
              </w:rPr>
            </w:pPr>
          </w:p>
          <w:p w:rsidR="00ED66D3" w:rsidRPr="00ED66D3" w:rsidRDefault="00ED66D3" w:rsidP="00ED66D3">
            <w:pPr>
              <w:jc w:val="both"/>
              <w:rPr>
                <w:sz w:val="20"/>
                <w:lang w:val="en-CA" w:eastAsia="en-CA"/>
              </w:rPr>
            </w:pPr>
            <w:r w:rsidRPr="00ED66D3">
              <w:rPr>
                <w:sz w:val="20"/>
                <w:lang w:val="en-CA" w:eastAsia="en-CA"/>
              </w:rPr>
              <w:t xml:space="preserve">After being given proper notice of the action brought against </w:t>
            </w:r>
            <w:proofErr w:type="spellStart"/>
            <w:r w:rsidRPr="00ED66D3">
              <w:rPr>
                <w:sz w:val="20"/>
                <w:lang w:val="en-CA" w:eastAsia="en-CA"/>
              </w:rPr>
              <w:t>Cirvek</w:t>
            </w:r>
            <w:proofErr w:type="spellEnd"/>
            <w:r w:rsidRPr="00ED66D3">
              <w:rPr>
                <w:sz w:val="20"/>
                <w:lang w:val="en-CA" w:eastAsia="en-CA"/>
              </w:rPr>
              <w:t xml:space="preserve">, the Northbridge General Insurance Corporation refused to take up </w:t>
            </w:r>
            <w:proofErr w:type="spellStart"/>
            <w:r w:rsidRPr="00ED66D3">
              <w:rPr>
                <w:sz w:val="20"/>
                <w:lang w:val="en-CA" w:eastAsia="en-CA"/>
              </w:rPr>
              <w:t>Cirvek’s</w:t>
            </w:r>
            <w:proofErr w:type="spellEnd"/>
            <w:r w:rsidRPr="00ED66D3">
              <w:rPr>
                <w:sz w:val="20"/>
                <w:lang w:val="en-CA" w:eastAsia="en-CA"/>
              </w:rPr>
              <w:t xml:space="preserve"> defence. </w:t>
            </w:r>
            <w:proofErr w:type="spellStart"/>
            <w:r w:rsidRPr="00ED66D3">
              <w:rPr>
                <w:sz w:val="20"/>
                <w:lang w:val="en-CA" w:eastAsia="en-CA"/>
              </w:rPr>
              <w:t>Cirvek</w:t>
            </w:r>
            <w:proofErr w:type="spellEnd"/>
            <w:r w:rsidRPr="00ED66D3">
              <w:rPr>
                <w:sz w:val="20"/>
                <w:lang w:val="en-CA" w:eastAsia="en-CA"/>
              </w:rPr>
              <w:t xml:space="preserve"> therefore hired its own counsel, at its expense, to assert its rights in a timely manner. </w:t>
            </w:r>
          </w:p>
          <w:p w:rsidR="00ED66D3" w:rsidRPr="00ED66D3" w:rsidRDefault="00ED66D3" w:rsidP="00ED66D3">
            <w:pPr>
              <w:jc w:val="both"/>
              <w:rPr>
                <w:sz w:val="20"/>
                <w:lang w:val="en-CA" w:eastAsia="en-CA"/>
              </w:rPr>
            </w:pPr>
          </w:p>
          <w:p w:rsidR="00ED66D3" w:rsidRPr="00ED66D3" w:rsidRDefault="00ED66D3" w:rsidP="00ED66D3">
            <w:pPr>
              <w:jc w:val="both"/>
              <w:rPr>
                <w:rFonts w:eastAsiaTheme="minorHAnsi"/>
                <w:sz w:val="20"/>
                <w:lang w:val="en-CA"/>
              </w:rPr>
            </w:pPr>
            <w:r w:rsidRPr="00ED66D3">
              <w:rPr>
                <w:sz w:val="20"/>
                <w:lang w:val="en-CA" w:eastAsia="en-CA"/>
              </w:rPr>
              <w:t xml:space="preserve">Barely seven months later, at the end of the Ontario proceedings, </w:t>
            </w:r>
            <w:proofErr w:type="spellStart"/>
            <w:r w:rsidRPr="00ED66D3">
              <w:rPr>
                <w:sz w:val="20"/>
                <w:lang w:val="en-CA" w:eastAsia="en-CA"/>
              </w:rPr>
              <w:t>Cirvek</w:t>
            </w:r>
            <w:proofErr w:type="spellEnd"/>
            <w:r w:rsidRPr="00ED66D3">
              <w:rPr>
                <w:sz w:val="20"/>
                <w:lang w:val="en-CA" w:eastAsia="en-CA"/>
              </w:rPr>
              <w:t xml:space="preserve">, which had been successful, brought a motion in the Quebec Superior Court alleging that, based on its insurance policy, Northbridge had a duty to defend it. </w:t>
            </w:r>
            <w:proofErr w:type="spellStart"/>
            <w:r w:rsidRPr="00ED66D3">
              <w:rPr>
                <w:sz w:val="20"/>
                <w:lang w:val="en-CA" w:eastAsia="en-CA"/>
              </w:rPr>
              <w:t>Cirvek</w:t>
            </w:r>
            <w:proofErr w:type="spellEnd"/>
            <w:r w:rsidRPr="00ED66D3">
              <w:rPr>
                <w:sz w:val="20"/>
                <w:lang w:val="en-CA" w:eastAsia="en-CA"/>
              </w:rPr>
              <w:t xml:space="preserve"> therefore claimed reimbursement of the counsel and expert fees incurred to defend the action brought against it, which amounted to $1,880,382.98.</w:t>
            </w:r>
          </w:p>
          <w:p w:rsidR="00ED66D3" w:rsidRPr="00ED66D3" w:rsidRDefault="00ED66D3" w:rsidP="00ED66D3">
            <w:pPr>
              <w:jc w:val="both"/>
              <w:rPr>
                <w:rFonts w:eastAsiaTheme="minorHAnsi"/>
                <w:sz w:val="20"/>
                <w:lang w:val="en-CA"/>
              </w:rPr>
            </w:pPr>
          </w:p>
        </w:tc>
      </w:tr>
      <w:tr w:rsidR="00ED66D3" w:rsidRPr="00ED66D3" w:rsidTr="001523B7">
        <w:tblPrEx>
          <w:tblCellMar>
            <w:bottom w:w="0" w:type="dxa"/>
          </w:tblCellMar>
        </w:tblPrEx>
        <w:tc>
          <w:tcPr>
            <w:tcW w:w="2390" w:type="pct"/>
            <w:gridSpan w:val="2"/>
          </w:tcPr>
          <w:p w:rsidR="00ED66D3" w:rsidRPr="00ED66D3" w:rsidRDefault="00ED66D3" w:rsidP="00ED66D3">
            <w:pPr>
              <w:jc w:val="both"/>
              <w:rPr>
                <w:rFonts w:eastAsiaTheme="minorHAnsi"/>
                <w:sz w:val="20"/>
                <w:lang w:val="en-CA"/>
              </w:rPr>
            </w:pPr>
            <w:r w:rsidRPr="00ED66D3">
              <w:rPr>
                <w:rFonts w:eastAsiaTheme="minorHAnsi"/>
                <w:sz w:val="20"/>
                <w:lang w:val="en-CA"/>
              </w:rPr>
              <w:lastRenderedPageBreak/>
              <w:t>June 12, 2013</w:t>
            </w:r>
          </w:p>
          <w:p w:rsidR="00ED66D3" w:rsidRPr="00ED66D3" w:rsidRDefault="00ED66D3" w:rsidP="00ED66D3">
            <w:pPr>
              <w:jc w:val="both"/>
              <w:rPr>
                <w:rFonts w:eastAsiaTheme="minorHAnsi"/>
                <w:sz w:val="20"/>
                <w:lang w:val="en-CA"/>
              </w:rPr>
            </w:pPr>
            <w:r w:rsidRPr="00ED66D3">
              <w:rPr>
                <w:rFonts w:eastAsiaTheme="minorHAnsi"/>
                <w:sz w:val="20"/>
                <w:lang w:val="en-CA"/>
              </w:rPr>
              <w:t>Quebec Superior Court</w:t>
            </w:r>
          </w:p>
          <w:p w:rsidR="00ED66D3" w:rsidRPr="00ED66D3" w:rsidRDefault="00ED66D3" w:rsidP="00ED66D3">
            <w:pPr>
              <w:jc w:val="both"/>
              <w:rPr>
                <w:rFonts w:eastAsiaTheme="minorHAnsi"/>
                <w:sz w:val="20"/>
                <w:lang w:val="en-CA"/>
              </w:rPr>
            </w:pPr>
            <w:r w:rsidRPr="00ED66D3">
              <w:rPr>
                <w:rFonts w:eastAsiaTheme="minorHAnsi"/>
                <w:sz w:val="20"/>
                <w:lang w:val="en-CA"/>
              </w:rPr>
              <w:t>(</w:t>
            </w:r>
            <w:proofErr w:type="spellStart"/>
            <w:r w:rsidRPr="00ED66D3">
              <w:rPr>
                <w:rFonts w:eastAsiaTheme="minorHAnsi"/>
                <w:sz w:val="20"/>
                <w:lang w:val="en-CA"/>
              </w:rPr>
              <w:t>Sansfaçon</w:t>
            </w:r>
            <w:proofErr w:type="spellEnd"/>
            <w:r w:rsidRPr="00ED66D3">
              <w:rPr>
                <w:rFonts w:eastAsiaTheme="minorHAnsi"/>
                <w:sz w:val="20"/>
                <w:lang w:val="en-CA"/>
              </w:rPr>
              <w:t xml:space="preserve"> J.)</w:t>
            </w:r>
          </w:p>
          <w:p w:rsidR="00ED66D3" w:rsidRPr="00ED66D3" w:rsidRDefault="00480458" w:rsidP="00ED66D3">
            <w:pPr>
              <w:jc w:val="both"/>
              <w:rPr>
                <w:rFonts w:eastAsiaTheme="minorHAnsi"/>
                <w:sz w:val="20"/>
                <w:lang w:val="en-CA"/>
              </w:rPr>
            </w:pPr>
            <w:hyperlink r:id="rId78" w:history="1">
              <w:r w:rsidR="00ED66D3" w:rsidRPr="005529E3">
                <w:rPr>
                  <w:rFonts w:eastAsiaTheme="minorHAnsi"/>
                  <w:color w:val="0000FF" w:themeColor="hyperlink"/>
                  <w:sz w:val="20"/>
                  <w:u w:val="single"/>
                  <w:lang w:val="en-CA"/>
                </w:rPr>
                <w:t>2013 QCCS 2620</w:t>
              </w:r>
            </w:hyperlink>
          </w:p>
          <w:p w:rsidR="00ED66D3" w:rsidRPr="00ED66D3" w:rsidRDefault="00ED66D3" w:rsidP="00ED66D3">
            <w:pPr>
              <w:jc w:val="both"/>
              <w:rPr>
                <w:rFonts w:eastAsiaTheme="minorHAnsi"/>
                <w:sz w:val="20"/>
                <w:lang w:val="en-CA"/>
              </w:rPr>
            </w:pPr>
          </w:p>
        </w:tc>
        <w:tc>
          <w:tcPr>
            <w:tcW w:w="270" w:type="pct"/>
          </w:tcPr>
          <w:p w:rsidR="00ED66D3" w:rsidRPr="00ED66D3" w:rsidRDefault="00ED66D3" w:rsidP="00ED66D3">
            <w:pPr>
              <w:jc w:val="both"/>
              <w:rPr>
                <w:rFonts w:eastAsiaTheme="minorHAnsi"/>
                <w:sz w:val="20"/>
                <w:lang w:val="en-CA"/>
              </w:rPr>
            </w:pPr>
          </w:p>
        </w:tc>
        <w:tc>
          <w:tcPr>
            <w:tcW w:w="2340" w:type="pct"/>
          </w:tcPr>
          <w:p w:rsidR="00ED66D3" w:rsidRPr="00ED66D3" w:rsidRDefault="00ED66D3" w:rsidP="00ED66D3">
            <w:pPr>
              <w:jc w:val="both"/>
              <w:rPr>
                <w:rFonts w:eastAsiaTheme="minorHAnsi"/>
                <w:sz w:val="20"/>
                <w:lang w:val="en-CA"/>
              </w:rPr>
            </w:pPr>
            <w:r w:rsidRPr="00ED66D3">
              <w:rPr>
                <w:rFonts w:eastAsiaTheme="minorHAnsi"/>
                <w:sz w:val="20"/>
                <w:lang w:val="en-CA"/>
              </w:rPr>
              <w:t>Respondents’ claim allowed in part; applicant ordered to pay respondents $964,811.98</w:t>
            </w:r>
          </w:p>
          <w:p w:rsidR="00ED66D3" w:rsidRPr="00ED66D3" w:rsidRDefault="00ED66D3" w:rsidP="00ED66D3">
            <w:pPr>
              <w:jc w:val="both"/>
              <w:rPr>
                <w:rFonts w:eastAsiaTheme="minorHAnsi"/>
                <w:sz w:val="20"/>
                <w:lang w:val="en-CA"/>
              </w:rPr>
            </w:pPr>
          </w:p>
        </w:tc>
      </w:tr>
      <w:tr w:rsidR="00ED66D3" w:rsidRPr="00ED66D3" w:rsidTr="001523B7">
        <w:tblPrEx>
          <w:tblCellMar>
            <w:bottom w:w="0" w:type="dxa"/>
          </w:tblCellMar>
        </w:tblPrEx>
        <w:tc>
          <w:tcPr>
            <w:tcW w:w="2390" w:type="pct"/>
            <w:gridSpan w:val="2"/>
          </w:tcPr>
          <w:p w:rsidR="00ED66D3" w:rsidRPr="00ED66D3" w:rsidRDefault="00ED66D3" w:rsidP="00ED66D3">
            <w:pPr>
              <w:jc w:val="both"/>
              <w:rPr>
                <w:rFonts w:eastAsiaTheme="minorHAnsi"/>
                <w:sz w:val="20"/>
                <w:lang w:val="en-CA"/>
              </w:rPr>
            </w:pPr>
            <w:r w:rsidRPr="00ED66D3">
              <w:rPr>
                <w:rFonts w:eastAsiaTheme="minorHAnsi"/>
                <w:sz w:val="20"/>
                <w:lang w:val="en-CA"/>
              </w:rPr>
              <w:t>January 30, 2015</w:t>
            </w:r>
          </w:p>
          <w:p w:rsidR="00ED66D3" w:rsidRPr="00ED66D3" w:rsidRDefault="00ED66D3" w:rsidP="00ED66D3">
            <w:pPr>
              <w:jc w:val="both"/>
              <w:rPr>
                <w:rFonts w:eastAsiaTheme="minorHAnsi"/>
                <w:sz w:val="20"/>
                <w:lang w:val="en-CA"/>
              </w:rPr>
            </w:pPr>
            <w:r w:rsidRPr="00ED66D3">
              <w:rPr>
                <w:rFonts w:eastAsiaTheme="minorHAnsi"/>
                <w:sz w:val="20"/>
                <w:lang w:val="en-CA"/>
              </w:rPr>
              <w:t>Quebec Court of Appeal (Montréal)</w:t>
            </w:r>
          </w:p>
          <w:p w:rsidR="00ED66D3" w:rsidRPr="00ED66D3" w:rsidRDefault="00ED66D3" w:rsidP="00ED66D3">
            <w:pPr>
              <w:jc w:val="both"/>
              <w:rPr>
                <w:rFonts w:eastAsiaTheme="minorHAnsi"/>
                <w:sz w:val="20"/>
                <w:lang w:val="en-CA"/>
              </w:rPr>
            </w:pPr>
            <w:r w:rsidRPr="00ED66D3">
              <w:rPr>
                <w:rFonts w:eastAsiaTheme="minorHAnsi"/>
                <w:sz w:val="20"/>
                <w:lang w:val="en-CA"/>
              </w:rPr>
              <w:t xml:space="preserve">(Bouchard, Savard and </w:t>
            </w:r>
            <w:proofErr w:type="spellStart"/>
            <w:r w:rsidRPr="00ED66D3">
              <w:rPr>
                <w:rFonts w:eastAsiaTheme="minorHAnsi"/>
                <w:sz w:val="20"/>
                <w:lang w:val="en-CA"/>
              </w:rPr>
              <w:t>Vauclair</w:t>
            </w:r>
            <w:proofErr w:type="spellEnd"/>
            <w:r w:rsidRPr="00ED66D3">
              <w:rPr>
                <w:rFonts w:eastAsiaTheme="minorHAnsi"/>
                <w:sz w:val="20"/>
                <w:lang w:val="en-CA"/>
              </w:rPr>
              <w:t xml:space="preserve"> JJ.A.)</w:t>
            </w:r>
          </w:p>
          <w:p w:rsidR="00ED66D3" w:rsidRPr="00ED66D3" w:rsidRDefault="00480458" w:rsidP="00ED66D3">
            <w:pPr>
              <w:jc w:val="both"/>
              <w:rPr>
                <w:rFonts w:eastAsiaTheme="minorHAnsi"/>
                <w:sz w:val="20"/>
                <w:lang w:val="en-CA"/>
              </w:rPr>
            </w:pPr>
            <w:hyperlink r:id="rId79" w:history="1">
              <w:r w:rsidR="00ED66D3" w:rsidRPr="005529E3">
                <w:rPr>
                  <w:rFonts w:eastAsiaTheme="minorHAnsi"/>
                  <w:color w:val="0000FF" w:themeColor="hyperlink"/>
                  <w:sz w:val="20"/>
                  <w:u w:val="single"/>
                  <w:lang w:val="en-CA"/>
                </w:rPr>
                <w:t>2015 QCCA 168</w:t>
              </w:r>
            </w:hyperlink>
            <w:r w:rsidR="00ED66D3" w:rsidRPr="00ED66D3">
              <w:rPr>
                <w:rFonts w:eastAsiaTheme="minorHAnsi"/>
                <w:sz w:val="20"/>
                <w:lang w:val="en-CA"/>
              </w:rPr>
              <w:t>; 500-09-023724-131</w:t>
            </w:r>
          </w:p>
          <w:p w:rsidR="00ED66D3" w:rsidRPr="00ED66D3" w:rsidRDefault="00ED66D3" w:rsidP="00ED66D3">
            <w:pPr>
              <w:jc w:val="both"/>
              <w:rPr>
                <w:rFonts w:eastAsiaTheme="minorHAnsi"/>
                <w:sz w:val="20"/>
                <w:lang w:val="en-CA"/>
              </w:rPr>
            </w:pPr>
          </w:p>
        </w:tc>
        <w:tc>
          <w:tcPr>
            <w:tcW w:w="270" w:type="pct"/>
          </w:tcPr>
          <w:p w:rsidR="00ED66D3" w:rsidRPr="00ED66D3" w:rsidRDefault="00ED66D3" w:rsidP="00ED66D3">
            <w:pPr>
              <w:jc w:val="both"/>
              <w:rPr>
                <w:rFonts w:eastAsiaTheme="minorHAnsi"/>
                <w:sz w:val="20"/>
                <w:lang w:val="en-CA"/>
              </w:rPr>
            </w:pPr>
          </w:p>
        </w:tc>
        <w:tc>
          <w:tcPr>
            <w:tcW w:w="2340" w:type="pct"/>
          </w:tcPr>
          <w:p w:rsidR="00ED66D3" w:rsidRPr="00ED66D3" w:rsidRDefault="00ED66D3" w:rsidP="00ED66D3">
            <w:pPr>
              <w:jc w:val="both"/>
              <w:rPr>
                <w:rFonts w:eastAsiaTheme="minorHAnsi"/>
                <w:sz w:val="20"/>
                <w:lang w:val="en-CA"/>
              </w:rPr>
            </w:pPr>
            <w:r w:rsidRPr="00ED66D3">
              <w:rPr>
                <w:rFonts w:eastAsiaTheme="minorHAnsi"/>
                <w:sz w:val="20"/>
                <w:lang w:val="en-CA"/>
              </w:rPr>
              <w:t>Appeal dismissed</w:t>
            </w:r>
          </w:p>
          <w:p w:rsidR="00ED66D3" w:rsidRPr="00ED66D3" w:rsidRDefault="00ED66D3" w:rsidP="00ED66D3">
            <w:pPr>
              <w:jc w:val="both"/>
              <w:rPr>
                <w:rFonts w:eastAsiaTheme="minorHAnsi"/>
                <w:sz w:val="20"/>
                <w:lang w:val="en-CA"/>
              </w:rPr>
            </w:pPr>
          </w:p>
        </w:tc>
      </w:tr>
      <w:tr w:rsidR="00ED66D3" w:rsidRPr="00ED66D3" w:rsidTr="001523B7">
        <w:tblPrEx>
          <w:tblCellMar>
            <w:bottom w:w="0" w:type="dxa"/>
          </w:tblCellMar>
        </w:tblPrEx>
        <w:tc>
          <w:tcPr>
            <w:tcW w:w="2390" w:type="pct"/>
            <w:gridSpan w:val="2"/>
          </w:tcPr>
          <w:p w:rsidR="00ED66D3" w:rsidRPr="00ED66D3" w:rsidRDefault="00ED66D3" w:rsidP="00ED66D3">
            <w:pPr>
              <w:jc w:val="both"/>
              <w:rPr>
                <w:rFonts w:eastAsiaTheme="minorHAnsi"/>
                <w:sz w:val="20"/>
                <w:lang w:val="en-CA"/>
              </w:rPr>
            </w:pPr>
            <w:r w:rsidRPr="00ED66D3">
              <w:rPr>
                <w:rFonts w:eastAsiaTheme="minorHAnsi"/>
                <w:sz w:val="20"/>
                <w:lang w:val="en-CA"/>
              </w:rPr>
              <w:t>March 30, 2015</w:t>
            </w:r>
          </w:p>
          <w:p w:rsidR="00ED66D3" w:rsidRPr="00ED66D3" w:rsidRDefault="00ED66D3" w:rsidP="00ED66D3">
            <w:pPr>
              <w:jc w:val="both"/>
              <w:rPr>
                <w:rFonts w:eastAsiaTheme="minorHAnsi"/>
                <w:sz w:val="20"/>
                <w:lang w:val="en-CA"/>
              </w:rPr>
            </w:pPr>
            <w:r w:rsidRPr="00ED66D3">
              <w:rPr>
                <w:rFonts w:eastAsiaTheme="minorHAnsi"/>
                <w:sz w:val="20"/>
                <w:lang w:val="en-CA"/>
              </w:rPr>
              <w:t>Supreme Court of Canada</w:t>
            </w:r>
          </w:p>
          <w:p w:rsidR="00ED66D3" w:rsidRPr="00ED66D3" w:rsidRDefault="00ED66D3" w:rsidP="00ED66D3">
            <w:pPr>
              <w:jc w:val="both"/>
              <w:rPr>
                <w:rFonts w:eastAsiaTheme="minorHAnsi"/>
                <w:sz w:val="20"/>
                <w:lang w:val="en-CA"/>
              </w:rPr>
            </w:pPr>
          </w:p>
        </w:tc>
        <w:tc>
          <w:tcPr>
            <w:tcW w:w="270" w:type="pct"/>
          </w:tcPr>
          <w:p w:rsidR="00ED66D3" w:rsidRPr="00ED66D3" w:rsidRDefault="00ED66D3" w:rsidP="00ED66D3">
            <w:pPr>
              <w:jc w:val="both"/>
              <w:rPr>
                <w:rFonts w:eastAsiaTheme="minorHAnsi"/>
                <w:sz w:val="20"/>
                <w:lang w:val="en-CA"/>
              </w:rPr>
            </w:pPr>
          </w:p>
        </w:tc>
        <w:tc>
          <w:tcPr>
            <w:tcW w:w="2340" w:type="pct"/>
          </w:tcPr>
          <w:p w:rsidR="00ED66D3" w:rsidRPr="00ED66D3" w:rsidRDefault="00ED66D3" w:rsidP="00ED66D3">
            <w:pPr>
              <w:jc w:val="both"/>
              <w:rPr>
                <w:rFonts w:eastAsiaTheme="minorHAnsi"/>
                <w:sz w:val="20"/>
                <w:lang w:val="en-CA"/>
              </w:rPr>
            </w:pPr>
            <w:r w:rsidRPr="00ED66D3">
              <w:rPr>
                <w:rFonts w:eastAsiaTheme="minorHAnsi"/>
                <w:sz w:val="20"/>
                <w:lang w:val="en-CA"/>
              </w:rPr>
              <w:t>Application for leave to appeal filed</w:t>
            </w:r>
          </w:p>
          <w:p w:rsidR="00ED66D3" w:rsidRPr="00ED66D3" w:rsidRDefault="00ED66D3" w:rsidP="00ED66D3">
            <w:pPr>
              <w:jc w:val="both"/>
              <w:rPr>
                <w:rFonts w:eastAsiaTheme="minorHAnsi"/>
                <w:sz w:val="20"/>
                <w:lang w:val="en-CA"/>
              </w:rPr>
            </w:pPr>
          </w:p>
        </w:tc>
      </w:tr>
    </w:tbl>
    <w:p w:rsidR="00ED66D3" w:rsidRPr="00ED66D3" w:rsidRDefault="00ED66D3" w:rsidP="00ED66D3">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ED66D3" w:rsidRPr="00ED66D3" w:rsidTr="001523B7">
        <w:tc>
          <w:tcPr>
            <w:tcW w:w="542" w:type="pct"/>
          </w:tcPr>
          <w:p w:rsidR="00ED66D3" w:rsidRPr="00ED66D3" w:rsidRDefault="00ED66D3" w:rsidP="00ED66D3">
            <w:pPr>
              <w:jc w:val="both"/>
              <w:rPr>
                <w:rFonts w:eastAsiaTheme="minorHAnsi"/>
                <w:sz w:val="20"/>
                <w:lang w:val="fr-CA"/>
              </w:rPr>
            </w:pPr>
            <w:r w:rsidRPr="005529E3">
              <w:rPr>
                <w:rFonts w:eastAsiaTheme="minorHAnsi"/>
                <w:b/>
                <w:sz w:val="20"/>
                <w:lang w:val="en-CA"/>
              </w:rPr>
              <w:t>36366</w:t>
            </w:r>
          </w:p>
        </w:tc>
        <w:tc>
          <w:tcPr>
            <w:tcW w:w="4458" w:type="pct"/>
            <w:gridSpan w:val="3"/>
          </w:tcPr>
          <w:p w:rsidR="00ED66D3" w:rsidRPr="00ED66D3" w:rsidRDefault="00ED66D3" w:rsidP="00ED66D3">
            <w:pPr>
              <w:jc w:val="both"/>
              <w:rPr>
                <w:rFonts w:eastAsiaTheme="minorHAnsi"/>
                <w:b/>
                <w:sz w:val="20"/>
                <w:lang w:val="fr-CA"/>
              </w:rPr>
            </w:pPr>
            <w:r w:rsidRPr="00ED66D3">
              <w:rPr>
                <w:rFonts w:eastAsiaTheme="minorHAnsi"/>
                <w:b/>
                <w:sz w:val="20"/>
                <w:lang w:val="fr-CA"/>
              </w:rPr>
              <w:t xml:space="preserve">Société d’assurance générale </w:t>
            </w:r>
            <w:proofErr w:type="spellStart"/>
            <w:r w:rsidRPr="00ED66D3">
              <w:rPr>
                <w:rFonts w:eastAsiaTheme="minorHAnsi"/>
                <w:b/>
                <w:sz w:val="20"/>
                <w:lang w:val="fr-CA"/>
              </w:rPr>
              <w:t>Northbridge</w:t>
            </w:r>
            <w:proofErr w:type="spellEnd"/>
            <w:r w:rsidRPr="00ED66D3">
              <w:rPr>
                <w:rFonts w:eastAsiaTheme="minorHAnsi"/>
                <w:b/>
                <w:sz w:val="20"/>
                <w:lang w:val="fr-CA"/>
              </w:rPr>
              <w:t xml:space="preserve"> (anciennement connue sous le nom Lombard General </w:t>
            </w:r>
            <w:proofErr w:type="spellStart"/>
            <w:r w:rsidRPr="00ED66D3">
              <w:rPr>
                <w:rFonts w:eastAsiaTheme="minorHAnsi"/>
                <w:b/>
                <w:sz w:val="20"/>
                <w:lang w:val="fr-CA"/>
              </w:rPr>
              <w:t>Insurance</w:t>
            </w:r>
            <w:proofErr w:type="spellEnd"/>
            <w:r w:rsidRPr="00ED66D3">
              <w:rPr>
                <w:rFonts w:eastAsiaTheme="minorHAnsi"/>
                <w:b/>
                <w:sz w:val="20"/>
                <w:lang w:val="fr-CA"/>
              </w:rPr>
              <w:t xml:space="preserve"> </w:t>
            </w:r>
            <w:proofErr w:type="spellStart"/>
            <w:r w:rsidRPr="00ED66D3">
              <w:rPr>
                <w:rFonts w:eastAsiaTheme="minorHAnsi"/>
                <w:b/>
                <w:sz w:val="20"/>
                <w:lang w:val="fr-CA"/>
              </w:rPr>
              <w:t>Company</w:t>
            </w:r>
            <w:proofErr w:type="spellEnd"/>
            <w:r w:rsidRPr="00ED66D3">
              <w:rPr>
                <w:rFonts w:eastAsiaTheme="minorHAnsi"/>
                <w:b/>
                <w:sz w:val="20"/>
                <w:lang w:val="fr-CA"/>
              </w:rPr>
              <w:t xml:space="preserve"> of Canada) c. Fonds </w:t>
            </w:r>
            <w:proofErr w:type="spellStart"/>
            <w:r w:rsidRPr="00ED66D3">
              <w:rPr>
                <w:rFonts w:eastAsiaTheme="minorHAnsi"/>
                <w:b/>
                <w:sz w:val="20"/>
                <w:lang w:val="fr-CA"/>
              </w:rPr>
              <w:t>Cirvek</w:t>
            </w:r>
            <w:proofErr w:type="spellEnd"/>
            <w:r w:rsidRPr="00ED66D3">
              <w:rPr>
                <w:rFonts w:eastAsiaTheme="minorHAnsi"/>
                <w:b/>
                <w:sz w:val="20"/>
                <w:lang w:val="fr-CA"/>
              </w:rPr>
              <w:t xml:space="preserve"> I , S.E.C., Corporation immobilière </w:t>
            </w:r>
            <w:proofErr w:type="spellStart"/>
            <w:r w:rsidRPr="00ED66D3">
              <w:rPr>
                <w:rFonts w:eastAsiaTheme="minorHAnsi"/>
                <w:b/>
                <w:sz w:val="20"/>
                <w:lang w:val="fr-CA"/>
              </w:rPr>
              <w:t>Kevric</w:t>
            </w:r>
            <w:proofErr w:type="spellEnd"/>
            <w:r w:rsidRPr="00ED66D3">
              <w:rPr>
                <w:rFonts w:eastAsiaTheme="minorHAnsi"/>
                <w:b/>
                <w:sz w:val="20"/>
                <w:lang w:val="fr-CA"/>
              </w:rPr>
              <w:t xml:space="preserve"> Inc., Investissement </w:t>
            </w:r>
            <w:proofErr w:type="spellStart"/>
            <w:r w:rsidRPr="00ED66D3">
              <w:rPr>
                <w:rFonts w:eastAsiaTheme="minorHAnsi"/>
                <w:b/>
                <w:sz w:val="20"/>
                <w:lang w:val="fr-CA"/>
              </w:rPr>
              <w:t>Bloor</w:t>
            </w:r>
            <w:proofErr w:type="spellEnd"/>
            <w:r w:rsidRPr="00ED66D3">
              <w:rPr>
                <w:rFonts w:eastAsiaTheme="minorHAnsi"/>
                <w:b/>
                <w:sz w:val="20"/>
                <w:lang w:val="fr-CA"/>
              </w:rPr>
              <w:t>/Avenue Road Inc.</w:t>
            </w:r>
          </w:p>
          <w:p w:rsidR="00ED66D3" w:rsidRPr="00ED66D3" w:rsidRDefault="00ED66D3" w:rsidP="00ED66D3">
            <w:pPr>
              <w:jc w:val="both"/>
              <w:rPr>
                <w:rFonts w:eastAsiaTheme="minorHAnsi"/>
                <w:sz w:val="20"/>
                <w:lang w:val="fr-CA"/>
              </w:rPr>
            </w:pPr>
            <w:r w:rsidRPr="00ED66D3">
              <w:rPr>
                <w:rFonts w:eastAsiaTheme="minorHAnsi"/>
                <w:sz w:val="20"/>
                <w:lang w:val="fr-CA"/>
              </w:rPr>
              <w:t>(</w:t>
            </w:r>
            <w:proofErr w:type="spellStart"/>
            <w:r w:rsidRPr="00ED66D3">
              <w:rPr>
                <w:rFonts w:eastAsiaTheme="minorHAnsi"/>
                <w:sz w:val="20"/>
                <w:lang w:val="fr-CA"/>
              </w:rPr>
              <w:t>Qc</w:t>
            </w:r>
            <w:proofErr w:type="spellEnd"/>
            <w:r w:rsidRPr="00ED66D3">
              <w:rPr>
                <w:rFonts w:eastAsiaTheme="minorHAnsi"/>
                <w:sz w:val="20"/>
                <w:lang w:val="fr-CA"/>
              </w:rPr>
              <w:t>) (Civile) (Autorisation)</w:t>
            </w:r>
          </w:p>
        </w:tc>
      </w:tr>
      <w:tr w:rsidR="00ED66D3" w:rsidRPr="00ED66D3" w:rsidTr="001523B7">
        <w:tc>
          <w:tcPr>
            <w:tcW w:w="5000" w:type="pct"/>
            <w:gridSpan w:val="4"/>
          </w:tcPr>
          <w:p w:rsidR="00ED66D3" w:rsidRPr="00ED66D3" w:rsidRDefault="00ED66D3" w:rsidP="00ED66D3">
            <w:pPr>
              <w:jc w:val="both"/>
              <w:rPr>
                <w:rFonts w:eastAsiaTheme="minorHAnsi"/>
                <w:sz w:val="20"/>
                <w:lang w:val="fr-CA"/>
              </w:rPr>
            </w:pPr>
            <w:r w:rsidRPr="00ED66D3">
              <w:rPr>
                <w:sz w:val="20"/>
                <w:lang w:val="fr-CA" w:eastAsia="en-CA"/>
              </w:rPr>
              <w:t xml:space="preserve">Assurances – Assurance de responsabilité – Obligation de défendre de l’assureur – Couverture sous la police d’assurance – Poursuite contre l’assuré pour préjudice découlant d’une éviction – Remboursement à l’assuré des honoraires engagés pour se défendre contre la poursuite intentée – Le contrat d’assurance pouvait-il trouver application en l’absence d’élément fortuit ou aléatoire? – La police d’assurance devait-elle s’appliquer? – Un tribunal peut-il se baser sur les faits </w:t>
            </w:r>
            <w:r w:rsidRPr="00ED66D3">
              <w:rPr>
                <w:i/>
                <w:sz w:val="20"/>
                <w:lang w:val="fr-CA" w:eastAsia="en-CA"/>
              </w:rPr>
              <w:t>post facto</w:t>
            </w:r>
            <w:r w:rsidRPr="00ED66D3">
              <w:rPr>
                <w:sz w:val="20"/>
                <w:lang w:val="fr-CA" w:eastAsia="en-CA"/>
              </w:rPr>
              <w:t>, s’ils sont alors connus, pour déterminer l’obligation de défendre d’un assureur envers son assuré?</w:t>
            </w:r>
          </w:p>
        </w:tc>
      </w:tr>
      <w:tr w:rsidR="00ED66D3" w:rsidRPr="00ED66D3" w:rsidTr="001523B7">
        <w:tc>
          <w:tcPr>
            <w:tcW w:w="5000" w:type="pct"/>
            <w:gridSpan w:val="4"/>
          </w:tcPr>
          <w:p w:rsidR="00ED66D3" w:rsidRPr="00ED66D3" w:rsidRDefault="00ED66D3" w:rsidP="00ED66D3">
            <w:pPr>
              <w:jc w:val="both"/>
              <w:rPr>
                <w:rFonts w:eastAsiaTheme="minorHAnsi"/>
                <w:sz w:val="20"/>
                <w:lang w:val="fr-CA"/>
              </w:rPr>
            </w:pPr>
          </w:p>
        </w:tc>
      </w:tr>
      <w:tr w:rsidR="00ED66D3" w:rsidRPr="00ED66D3" w:rsidTr="001523B7">
        <w:tc>
          <w:tcPr>
            <w:tcW w:w="5000" w:type="pct"/>
            <w:gridSpan w:val="4"/>
          </w:tcPr>
          <w:p w:rsidR="00ED66D3" w:rsidRPr="00ED66D3" w:rsidRDefault="00ED66D3" w:rsidP="00ED66D3">
            <w:pPr>
              <w:jc w:val="both"/>
              <w:rPr>
                <w:sz w:val="20"/>
                <w:lang w:val="fr-CA" w:eastAsia="en-CA"/>
              </w:rPr>
            </w:pPr>
            <w:r w:rsidRPr="00ED66D3">
              <w:rPr>
                <w:sz w:val="20"/>
                <w:lang w:val="fr-CA" w:eastAsia="en-CA"/>
              </w:rPr>
              <w:t xml:space="preserve">En 2009, un recours en injonction et en dommages-intérêts est entrepris en Ontario contre </w:t>
            </w:r>
            <w:proofErr w:type="spellStart"/>
            <w:r w:rsidRPr="00ED66D3">
              <w:rPr>
                <w:sz w:val="20"/>
                <w:lang w:val="fr-CA" w:eastAsia="en-CA"/>
              </w:rPr>
              <w:t>Cirvek</w:t>
            </w:r>
            <w:proofErr w:type="spellEnd"/>
            <w:r w:rsidRPr="00ED66D3">
              <w:rPr>
                <w:sz w:val="20"/>
                <w:lang w:val="fr-CA" w:eastAsia="en-CA"/>
              </w:rPr>
              <w:t xml:space="preserve"> </w:t>
            </w:r>
            <w:proofErr w:type="spellStart"/>
            <w:r w:rsidRPr="00ED66D3">
              <w:rPr>
                <w:sz w:val="20"/>
                <w:lang w:val="fr-CA" w:eastAsia="en-CA"/>
              </w:rPr>
              <w:t>Fund</w:t>
            </w:r>
            <w:proofErr w:type="spellEnd"/>
            <w:r w:rsidRPr="00ED66D3">
              <w:rPr>
                <w:sz w:val="20"/>
                <w:lang w:val="fr-CA" w:eastAsia="en-CA"/>
              </w:rPr>
              <w:t xml:space="preserve"> I, L.P. et ses deux filiales </w:t>
            </w:r>
            <w:proofErr w:type="spellStart"/>
            <w:r w:rsidRPr="00ED66D3">
              <w:rPr>
                <w:sz w:val="20"/>
                <w:lang w:val="fr-CA" w:eastAsia="en-CA"/>
              </w:rPr>
              <w:t>Kevric</w:t>
            </w:r>
            <w:proofErr w:type="spellEnd"/>
            <w:r w:rsidRPr="00ED66D3">
              <w:rPr>
                <w:sz w:val="20"/>
                <w:lang w:val="fr-CA" w:eastAsia="en-CA"/>
              </w:rPr>
              <w:t xml:space="preserve"> Ontario Real </w:t>
            </w:r>
            <w:proofErr w:type="spellStart"/>
            <w:r w:rsidRPr="00ED66D3">
              <w:rPr>
                <w:sz w:val="20"/>
                <w:lang w:val="fr-CA" w:eastAsia="en-CA"/>
              </w:rPr>
              <w:t>Estate</w:t>
            </w:r>
            <w:proofErr w:type="spellEnd"/>
            <w:r w:rsidRPr="00ED66D3">
              <w:rPr>
                <w:sz w:val="20"/>
                <w:lang w:val="fr-CA" w:eastAsia="en-CA"/>
              </w:rPr>
              <w:t xml:space="preserve"> Corporation et </w:t>
            </w:r>
            <w:proofErr w:type="spellStart"/>
            <w:r w:rsidRPr="00ED66D3">
              <w:rPr>
                <w:sz w:val="20"/>
                <w:lang w:val="fr-CA" w:eastAsia="en-CA"/>
              </w:rPr>
              <w:t>Bloor</w:t>
            </w:r>
            <w:proofErr w:type="spellEnd"/>
            <w:r w:rsidRPr="00ED66D3">
              <w:rPr>
                <w:sz w:val="20"/>
                <w:lang w:val="fr-CA" w:eastAsia="en-CA"/>
              </w:rPr>
              <w:t xml:space="preserve"> Avenue Road Investment Inc. (ci-après « </w:t>
            </w:r>
            <w:proofErr w:type="spellStart"/>
            <w:r w:rsidRPr="00ED66D3">
              <w:rPr>
                <w:sz w:val="20"/>
                <w:lang w:val="fr-CA" w:eastAsia="en-CA"/>
              </w:rPr>
              <w:t>Cirvek</w:t>
            </w:r>
            <w:proofErr w:type="spellEnd"/>
            <w:r w:rsidRPr="00ED66D3">
              <w:rPr>
                <w:sz w:val="20"/>
                <w:lang w:val="fr-CA" w:eastAsia="en-CA"/>
              </w:rPr>
              <w:t xml:space="preserve"> ») par des résidents mécontents qu’elles se soient prévalues de leur faculté de résilier leurs baux à court terme pour les espaces de stationnement situés au sous-sol de l’immeuble à vocation résidentielle et commerciale. </w:t>
            </w:r>
          </w:p>
          <w:p w:rsidR="00ED66D3" w:rsidRPr="00ED66D3" w:rsidRDefault="00ED66D3" w:rsidP="00ED66D3">
            <w:pPr>
              <w:jc w:val="both"/>
              <w:rPr>
                <w:sz w:val="20"/>
                <w:lang w:val="fr-CA" w:eastAsia="en-CA"/>
              </w:rPr>
            </w:pPr>
          </w:p>
          <w:p w:rsidR="00ED66D3" w:rsidRPr="00ED66D3" w:rsidRDefault="00ED66D3" w:rsidP="00ED66D3">
            <w:pPr>
              <w:jc w:val="both"/>
              <w:rPr>
                <w:sz w:val="20"/>
                <w:lang w:val="fr-CA" w:eastAsia="en-CA"/>
              </w:rPr>
            </w:pPr>
            <w:r w:rsidRPr="00ED66D3">
              <w:rPr>
                <w:sz w:val="20"/>
                <w:lang w:val="fr-CA" w:eastAsia="en-CA"/>
              </w:rPr>
              <w:t xml:space="preserve">Dûment avisée du recours entrepris contre </w:t>
            </w:r>
            <w:proofErr w:type="spellStart"/>
            <w:r w:rsidRPr="00ED66D3">
              <w:rPr>
                <w:sz w:val="20"/>
                <w:lang w:val="fr-CA" w:eastAsia="en-CA"/>
              </w:rPr>
              <w:t>Cirvek</w:t>
            </w:r>
            <w:proofErr w:type="spellEnd"/>
            <w:r w:rsidRPr="00ED66D3">
              <w:rPr>
                <w:sz w:val="20"/>
                <w:lang w:val="fr-CA" w:eastAsia="en-CA"/>
              </w:rPr>
              <w:t xml:space="preserve">, la Société d’assurance générale </w:t>
            </w:r>
            <w:proofErr w:type="spellStart"/>
            <w:r w:rsidRPr="00ED66D3">
              <w:rPr>
                <w:sz w:val="20"/>
                <w:lang w:val="fr-CA" w:eastAsia="en-CA"/>
              </w:rPr>
              <w:t>Northbridge</w:t>
            </w:r>
            <w:proofErr w:type="spellEnd"/>
            <w:r w:rsidRPr="00ED66D3">
              <w:rPr>
                <w:sz w:val="20"/>
                <w:lang w:val="fr-CA" w:eastAsia="en-CA"/>
              </w:rPr>
              <w:t xml:space="preserve"> refuse toutefois de prendre fait et cause pour </w:t>
            </w:r>
            <w:proofErr w:type="spellStart"/>
            <w:r w:rsidRPr="00ED66D3">
              <w:rPr>
                <w:sz w:val="20"/>
                <w:lang w:val="fr-CA" w:eastAsia="en-CA"/>
              </w:rPr>
              <w:t>Cirvek</w:t>
            </w:r>
            <w:proofErr w:type="spellEnd"/>
            <w:r w:rsidRPr="00ED66D3">
              <w:rPr>
                <w:sz w:val="20"/>
                <w:lang w:val="fr-CA" w:eastAsia="en-CA"/>
              </w:rPr>
              <w:t xml:space="preserve">. Ainsi, cette dernière retient à ses frais ses propres procureurs afin de faire valoir ses droits en temps utile. </w:t>
            </w:r>
          </w:p>
          <w:p w:rsidR="00ED66D3" w:rsidRPr="00ED66D3" w:rsidRDefault="00ED66D3" w:rsidP="00ED66D3">
            <w:pPr>
              <w:jc w:val="both"/>
              <w:rPr>
                <w:sz w:val="20"/>
                <w:lang w:val="fr-CA" w:eastAsia="en-CA"/>
              </w:rPr>
            </w:pPr>
          </w:p>
          <w:p w:rsidR="00ED66D3" w:rsidRPr="00ED66D3" w:rsidRDefault="00ED66D3" w:rsidP="00ED66D3">
            <w:pPr>
              <w:jc w:val="both"/>
              <w:rPr>
                <w:rFonts w:eastAsiaTheme="minorHAnsi"/>
                <w:sz w:val="20"/>
                <w:lang w:val="fr-CA"/>
              </w:rPr>
            </w:pPr>
            <w:r w:rsidRPr="00ED66D3">
              <w:rPr>
                <w:sz w:val="20"/>
                <w:lang w:val="fr-CA" w:eastAsia="en-CA"/>
              </w:rPr>
              <w:t xml:space="preserve">À peine sept moins plus tard, au terme des procédures ontariennes, </w:t>
            </w:r>
            <w:proofErr w:type="spellStart"/>
            <w:r w:rsidRPr="00ED66D3">
              <w:rPr>
                <w:sz w:val="20"/>
                <w:lang w:val="fr-CA" w:eastAsia="en-CA"/>
              </w:rPr>
              <w:t>Cirvek</w:t>
            </w:r>
            <w:proofErr w:type="spellEnd"/>
            <w:r w:rsidRPr="00ED66D3">
              <w:rPr>
                <w:sz w:val="20"/>
                <w:lang w:val="fr-CA" w:eastAsia="en-CA"/>
              </w:rPr>
              <w:t xml:space="preserve">, qui a obtenu gain de cause, introduit une requête à la Cour supérieure du Québec, prétendant qu’au regard de sa police d’assurance, </w:t>
            </w:r>
            <w:proofErr w:type="spellStart"/>
            <w:r w:rsidRPr="00ED66D3">
              <w:rPr>
                <w:sz w:val="20"/>
                <w:lang w:val="fr-CA" w:eastAsia="en-CA"/>
              </w:rPr>
              <w:t>Northbridge</w:t>
            </w:r>
            <w:proofErr w:type="spellEnd"/>
            <w:r w:rsidRPr="00ED66D3">
              <w:rPr>
                <w:sz w:val="20"/>
                <w:lang w:val="fr-CA" w:eastAsia="en-CA"/>
              </w:rPr>
              <w:t xml:space="preserve"> avait l’obligation de la défendre. </w:t>
            </w:r>
            <w:proofErr w:type="spellStart"/>
            <w:r w:rsidRPr="00ED66D3">
              <w:rPr>
                <w:sz w:val="20"/>
                <w:lang w:val="fr-CA" w:eastAsia="en-CA"/>
              </w:rPr>
              <w:t>Cirvek</w:t>
            </w:r>
            <w:proofErr w:type="spellEnd"/>
            <w:r w:rsidRPr="00ED66D3">
              <w:rPr>
                <w:sz w:val="20"/>
                <w:lang w:val="fr-CA" w:eastAsia="en-CA"/>
              </w:rPr>
              <w:t xml:space="preserve"> réclame donc le remboursement des honoraires d’avocats et d’experts engagés afin de se défendre de la poursuite intentée contre elle, ce qui correspond à une somme de 1 880 382,98 $.</w:t>
            </w:r>
          </w:p>
          <w:p w:rsidR="00ED66D3" w:rsidRPr="00ED66D3" w:rsidRDefault="00ED66D3" w:rsidP="00ED66D3">
            <w:pPr>
              <w:jc w:val="both"/>
              <w:rPr>
                <w:rFonts w:eastAsiaTheme="minorHAnsi"/>
                <w:sz w:val="20"/>
                <w:lang w:val="fr-CA"/>
              </w:rPr>
            </w:pPr>
          </w:p>
        </w:tc>
      </w:tr>
      <w:tr w:rsidR="00ED66D3" w:rsidRPr="00ED66D3" w:rsidTr="001523B7">
        <w:tblPrEx>
          <w:tblCellMar>
            <w:bottom w:w="0" w:type="dxa"/>
          </w:tblCellMar>
        </w:tblPrEx>
        <w:tc>
          <w:tcPr>
            <w:tcW w:w="2390" w:type="pct"/>
            <w:gridSpan w:val="2"/>
          </w:tcPr>
          <w:p w:rsidR="00ED66D3" w:rsidRPr="00ED66D3" w:rsidRDefault="00ED66D3" w:rsidP="00ED66D3">
            <w:pPr>
              <w:jc w:val="both"/>
              <w:rPr>
                <w:rFonts w:eastAsiaTheme="minorHAnsi"/>
                <w:sz w:val="20"/>
                <w:lang w:val="fr-CA"/>
              </w:rPr>
            </w:pPr>
            <w:r w:rsidRPr="00ED66D3">
              <w:rPr>
                <w:rFonts w:eastAsiaTheme="minorHAnsi"/>
                <w:sz w:val="20"/>
                <w:lang w:val="fr-CA"/>
              </w:rPr>
              <w:t>Le 12 juin 2013</w:t>
            </w:r>
          </w:p>
          <w:p w:rsidR="00ED66D3" w:rsidRPr="00ED66D3" w:rsidRDefault="00ED66D3" w:rsidP="00ED66D3">
            <w:pPr>
              <w:jc w:val="both"/>
              <w:rPr>
                <w:rFonts w:eastAsiaTheme="minorHAnsi"/>
                <w:sz w:val="20"/>
                <w:lang w:val="fr-CA"/>
              </w:rPr>
            </w:pPr>
            <w:r w:rsidRPr="00ED66D3">
              <w:rPr>
                <w:rFonts w:eastAsiaTheme="minorHAnsi"/>
                <w:sz w:val="20"/>
                <w:lang w:val="fr-CA"/>
              </w:rPr>
              <w:t>Cour supérieure du Québec</w:t>
            </w:r>
          </w:p>
          <w:p w:rsidR="00ED66D3" w:rsidRPr="00ED66D3" w:rsidRDefault="00ED66D3" w:rsidP="00ED66D3">
            <w:pPr>
              <w:jc w:val="both"/>
              <w:rPr>
                <w:rFonts w:eastAsiaTheme="minorHAnsi"/>
                <w:sz w:val="20"/>
                <w:lang w:val="fr-CA"/>
              </w:rPr>
            </w:pPr>
            <w:r w:rsidRPr="00ED66D3">
              <w:rPr>
                <w:rFonts w:eastAsiaTheme="minorHAnsi"/>
                <w:sz w:val="20"/>
                <w:lang w:val="fr-CA"/>
              </w:rPr>
              <w:t xml:space="preserve">(Le juge </w:t>
            </w:r>
            <w:proofErr w:type="spellStart"/>
            <w:r w:rsidRPr="00ED66D3">
              <w:rPr>
                <w:rFonts w:eastAsiaTheme="minorHAnsi"/>
                <w:sz w:val="20"/>
                <w:lang w:val="fr-CA"/>
              </w:rPr>
              <w:t>Sansfaçon</w:t>
            </w:r>
            <w:proofErr w:type="spellEnd"/>
            <w:r w:rsidRPr="00ED66D3">
              <w:rPr>
                <w:rFonts w:eastAsiaTheme="minorHAnsi"/>
                <w:sz w:val="20"/>
                <w:lang w:val="fr-CA"/>
              </w:rPr>
              <w:t>)</w:t>
            </w:r>
          </w:p>
          <w:p w:rsidR="00ED66D3" w:rsidRPr="00ED66D3" w:rsidRDefault="00480458" w:rsidP="00ED66D3">
            <w:pPr>
              <w:jc w:val="both"/>
              <w:rPr>
                <w:rFonts w:eastAsiaTheme="minorHAnsi"/>
                <w:sz w:val="20"/>
                <w:lang w:val="fr-CA"/>
              </w:rPr>
            </w:pPr>
            <w:hyperlink r:id="rId80" w:history="1">
              <w:r w:rsidR="00ED66D3" w:rsidRPr="005529E3">
                <w:rPr>
                  <w:rFonts w:eastAsiaTheme="minorHAnsi"/>
                  <w:color w:val="0000FF" w:themeColor="hyperlink"/>
                  <w:sz w:val="20"/>
                  <w:u w:val="single"/>
                  <w:lang w:val="fr-CA"/>
                </w:rPr>
                <w:t>2013 QCCS 2620</w:t>
              </w:r>
            </w:hyperlink>
          </w:p>
          <w:p w:rsidR="00ED66D3" w:rsidRPr="00ED66D3" w:rsidRDefault="00ED66D3" w:rsidP="00ED66D3">
            <w:pPr>
              <w:jc w:val="both"/>
              <w:rPr>
                <w:rFonts w:eastAsiaTheme="minorHAnsi"/>
                <w:sz w:val="20"/>
                <w:lang w:val="fr-CA"/>
              </w:rPr>
            </w:pPr>
          </w:p>
        </w:tc>
        <w:tc>
          <w:tcPr>
            <w:tcW w:w="270" w:type="pct"/>
          </w:tcPr>
          <w:p w:rsidR="00ED66D3" w:rsidRPr="00ED66D3" w:rsidRDefault="00ED66D3" w:rsidP="00ED66D3">
            <w:pPr>
              <w:jc w:val="both"/>
              <w:rPr>
                <w:rFonts w:eastAsiaTheme="minorHAnsi"/>
                <w:sz w:val="20"/>
                <w:lang w:val="fr-CA"/>
              </w:rPr>
            </w:pPr>
          </w:p>
        </w:tc>
        <w:tc>
          <w:tcPr>
            <w:tcW w:w="2340" w:type="pct"/>
          </w:tcPr>
          <w:p w:rsidR="00ED66D3" w:rsidRPr="00ED66D3" w:rsidRDefault="00ED66D3" w:rsidP="00ED66D3">
            <w:pPr>
              <w:jc w:val="both"/>
              <w:rPr>
                <w:rFonts w:eastAsiaTheme="minorHAnsi"/>
                <w:sz w:val="20"/>
                <w:lang w:val="fr-CA"/>
              </w:rPr>
            </w:pPr>
            <w:r w:rsidRPr="00ED66D3">
              <w:rPr>
                <w:rFonts w:eastAsiaTheme="minorHAnsi"/>
                <w:sz w:val="20"/>
                <w:lang w:val="fr-CA"/>
              </w:rPr>
              <w:t>Réclamation des intimées accueillie en partie; condamnation de la demanderesse à payer une somme de 964 811,98 $ aux intimées</w:t>
            </w:r>
          </w:p>
          <w:p w:rsidR="00ED66D3" w:rsidRPr="00ED66D3" w:rsidRDefault="00ED66D3" w:rsidP="00ED66D3">
            <w:pPr>
              <w:jc w:val="both"/>
              <w:rPr>
                <w:rFonts w:eastAsiaTheme="minorHAnsi"/>
                <w:sz w:val="20"/>
                <w:lang w:val="fr-CA"/>
              </w:rPr>
            </w:pPr>
          </w:p>
        </w:tc>
      </w:tr>
      <w:tr w:rsidR="00ED66D3" w:rsidRPr="00ED66D3" w:rsidTr="001523B7">
        <w:tblPrEx>
          <w:tblCellMar>
            <w:bottom w:w="0" w:type="dxa"/>
          </w:tblCellMar>
        </w:tblPrEx>
        <w:tc>
          <w:tcPr>
            <w:tcW w:w="2390" w:type="pct"/>
            <w:gridSpan w:val="2"/>
          </w:tcPr>
          <w:p w:rsidR="00ED66D3" w:rsidRPr="00ED66D3" w:rsidRDefault="00ED66D3" w:rsidP="00ED66D3">
            <w:pPr>
              <w:jc w:val="both"/>
              <w:rPr>
                <w:rFonts w:eastAsiaTheme="minorHAnsi"/>
                <w:sz w:val="20"/>
                <w:lang w:val="fr-CA"/>
              </w:rPr>
            </w:pPr>
            <w:r w:rsidRPr="00ED66D3">
              <w:rPr>
                <w:rFonts w:eastAsiaTheme="minorHAnsi"/>
                <w:sz w:val="20"/>
                <w:lang w:val="fr-CA"/>
              </w:rPr>
              <w:lastRenderedPageBreak/>
              <w:t>Le 30 janvier 2015</w:t>
            </w:r>
          </w:p>
          <w:p w:rsidR="00ED66D3" w:rsidRPr="00ED66D3" w:rsidRDefault="00ED66D3" w:rsidP="00ED66D3">
            <w:pPr>
              <w:jc w:val="both"/>
              <w:rPr>
                <w:rFonts w:eastAsiaTheme="minorHAnsi"/>
                <w:sz w:val="20"/>
                <w:lang w:val="fr-CA"/>
              </w:rPr>
            </w:pPr>
            <w:r w:rsidRPr="00ED66D3">
              <w:rPr>
                <w:rFonts w:eastAsiaTheme="minorHAnsi"/>
                <w:sz w:val="20"/>
                <w:lang w:val="fr-CA"/>
              </w:rPr>
              <w:t>Cour d’appel du Québec (Montréal)</w:t>
            </w:r>
          </w:p>
          <w:p w:rsidR="00ED66D3" w:rsidRPr="00ED66D3" w:rsidRDefault="00ED66D3" w:rsidP="00ED66D3">
            <w:pPr>
              <w:jc w:val="both"/>
              <w:rPr>
                <w:rFonts w:eastAsiaTheme="minorHAnsi"/>
                <w:sz w:val="20"/>
                <w:lang w:val="fr-CA"/>
              </w:rPr>
            </w:pPr>
            <w:r w:rsidRPr="00ED66D3">
              <w:rPr>
                <w:rFonts w:eastAsiaTheme="minorHAnsi"/>
                <w:sz w:val="20"/>
                <w:lang w:val="fr-CA"/>
              </w:rPr>
              <w:t xml:space="preserve">(Les juges Bouchard, Savard et </w:t>
            </w:r>
            <w:proofErr w:type="spellStart"/>
            <w:r w:rsidRPr="00ED66D3">
              <w:rPr>
                <w:rFonts w:eastAsiaTheme="minorHAnsi"/>
                <w:sz w:val="20"/>
                <w:lang w:val="fr-CA"/>
              </w:rPr>
              <w:t>Vauclair</w:t>
            </w:r>
            <w:proofErr w:type="spellEnd"/>
            <w:r w:rsidRPr="00ED66D3">
              <w:rPr>
                <w:rFonts w:eastAsiaTheme="minorHAnsi"/>
                <w:sz w:val="20"/>
                <w:lang w:val="fr-CA"/>
              </w:rPr>
              <w:t>)</w:t>
            </w:r>
          </w:p>
          <w:p w:rsidR="00ED66D3" w:rsidRPr="00ED66D3" w:rsidRDefault="00480458" w:rsidP="00ED66D3">
            <w:pPr>
              <w:jc w:val="both"/>
              <w:rPr>
                <w:rFonts w:eastAsiaTheme="minorHAnsi"/>
                <w:sz w:val="20"/>
                <w:lang w:val="fr-CA"/>
              </w:rPr>
            </w:pPr>
            <w:hyperlink r:id="rId81" w:history="1">
              <w:r w:rsidR="00ED66D3" w:rsidRPr="005529E3">
                <w:rPr>
                  <w:rFonts w:eastAsiaTheme="minorHAnsi"/>
                  <w:color w:val="0000FF" w:themeColor="hyperlink"/>
                  <w:sz w:val="20"/>
                  <w:u w:val="single"/>
                  <w:lang w:val="fr-CA"/>
                </w:rPr>
                <w:t>2015 QCCA 168</w:t>
              </w:r>
            </w:hyperlink>
            <w:r w:rsidR="00ED66D3" w:rsidRPr="00ED66D3">
              <w:rPr>
                <w:rFonts w:eastAsiaTheme="minorHAnsi"/>
                <w:sz w:val="20"/>
                <w:lang w:val="fr-CA"/>
              </w:rPr>
              <w:t>; 500-09-023724-131</w:t>
            </w:r>
          </w:p>
          <w:p w:rsidR="00ED66D3" w:rsidRPr="00ED66D3" w:rsidRDefault="00ED66D3" w:rsidP="00ED66D3">
            <w:pPr>
              <w:jc w:val="both"/>
              <w:rPr>
                <w:rFonts w:eastAsiaTheme="minorHAnsi"/>
                <w:sz w:val="20"/>
                <w:lang w:val="fr-CA"/>
              </w:rPr>
            </w:pPr>
          </w:p>
        </w:tc>
        <w:tc>
          <w:tcPr>
            <w:tcW w:w="270" w:type="pct"/>
          </w:tcPr>
          <w:p w:rsidR="00ED66D3" w:rsidRPr="00ED66D3" w:rsidRDefault="00ED66D3" w:rsidP="00ED66D3">
            <w:pPr>
              <w:jc w:val="both"/>
              <w:rPr>
                <w:rFonts w:eastAsiaTheme="minorHAnsi"/>
                <w:sz w:val="20"/>
                <w:lang w:val="fr-CA"/>
              </w:rPr>
            </w:pPr>
          </w:p>
        </w:tc>
        <w:tc>
          <w:tcPr>
            <w:tcW w:w="2340" w:type="pct"/>
          </w:tcPr>
          <w:p w:rsidR="00ED66D3" w:rsidRPr="00ED66D3" w:rsidRDefault="00ED66D3" w:rsidP="00ED66D3">
            <w:pPr>
              <w:jc w:val="both"/>
              <w:rPr>
                <w:rFonts w:eastAsiaTheme="minorHAnsi"/>
                <w:sz w:val="20"/>
                <w:lang w:val="fr-CA"/>
              </w:rPr>
            </w:pPr>
            <w:r w:rsidRPr="00ED66D3">
              <w:rPr>
                <w:rFonts w:eastAsiaTheme="minorHAnsi"/>
                <w:sz w:val="20"/>
                <w:lang w:val="fr-CA"/>
              </w:rPr>
              <w:t>Appel rejeté</w:t>
            </w:r>
          </w:p>
          <w:p w:rsidR="00ED66D3" w:rsidRPr="00ED66D3" w:rsidRDefault="00ED66D3" w:rsidP="00ED66D3">
            <w:pPr>
              <w:jc w:val="both"/>
              <w:rPr>
                <w:rFonts w:eastAsiaTheme="minorHAnsi"/>
                <w:sz w:val="20"/>
                <w:lang w:val="fr-CA"/>
              </w:rPr>
            </w:pPr>
          </w:p>
        </w:tc>
      </w:tr>
      <w:tr w:rsidR="00ED66D3" w:rsidRPr="00ED66D3" w:rsidTr="001523B7">
        <w:tblPrEx>
          <w:tblCellMar>
            <w:bottom w:w="0" w:type="dxa"/>
          </w:tblCellMar>
        </w:tblPrEx>
        <w:tc>
          <w:tcPr>
            <w:tcW w:w="2390" w:type="pct"/>
            <w:gridSpan w:val="2"/>
          </w:tcPr>
          <w:p w:rsidR="00ED66D3" w:rsidRPr="00ED66D3" w:rsidRDefault="00ED66D3" w:rsidP="00ED66D3">
            <w:pPr>
              <w:jc w:val="both"/>
              <w:rPr>
                <w:rFonts w:eastAsiaTheme="minorHAnsi"/>
                <w:sz w:val="20"/>
                <w:lang w:val="fr-CA"/>
              </w:rPr>
            </w:pPr>
            <w:r w:rsidRPr="00ED66D3">
              <w:rPr>
                <w:rFonts w:eastAsiaTheme="minorHAnsi"/>
                <w:sz w:val="20"/>
                <w:lang w:val="fr-CA"/>
              </w:rPr>
              <w:t>Le 30 mars 2015</w:t>
            </w:r>
          </w:p>
          <w:p w:rsidR="00ED66D3" w:rsidRPr="00ED66D3" w:rsidRDefault="00ED66D3" w:rsidP="00ED66D3">
            <w:pPr>
              <w:jc w:val="both"/>
              <w:rPr>
                <w:rFonts w:eastAsiaTheme="minorHAnsi"/>
                <w:sz w:val="20"/>
                <w:lang w:val="fr-CA"/>
              </w:rPr>
            </w:pPr>
            <w:r w:rsidRPr="00ED66D3">
              <w:rPr>
                <w:rFonts w:eastAsiaTheme="minorHAnsi"/>
                <w:sz w:val="20"/>
                <w:lang w:val="fr-CA"/>
              </w:rPr>
              <w:t>Cour suprême du Canada</w:t>
            </w:r>
          </w:p>
          <w:p w:rsidR="00ED66D3" w:rsidRPr="00ED66D3" w:rsidRDefault="00ED66D3" w:rsidP="00ED66D3">
            <w:pPr>
              <w:jc w:val="both"/>
              <w:rPr>
                <w:rFonts w:eastAsiaTheme="minorHAnsi"/>
                <w:sz w:val="20"/>
                <w:lang w:val="fr-CA"/>
              </w:rPr>
            </w:pPr>
          </w:p>
        </w:tc>
        <w:tc>
          <w:tcPr>
            <w:tcW w:w="270" w:type="pct"/>
          </w:tcPr>
          <w:p w:rsidR="00ED66D3" w:rsidRPr="00ED66D3" w:rsidRDefault="00ED66D3" w:rsidP="00ED66D3">
            <w:pPr>
              <w:jc w:val="both"/>
              <w:rPr>
                <w:rFonts w:eastAsiaTheme="minorHAnsi"/>
                <w:sz w:val="20"/>
                <w:lang w:val="fr-CA"/>
              </w:rPr>
            </w:pPr>
          </w:p>
        </w:tc>
        <w:tc>
          <w:tcPr>
            <w:tcW w:w="2340" w:type="pct"/>
          </w:tcPr>
          <w:p w:rsidR="00ED66D3" w:rsidRPr="00ED66D3" w:rsidRDefault="00ED66D3" w:rsidP="00ED66D3">
            <w:pPr>
              <w:jc w:val="both"/>
              <w:rPr>
                <w:rFonts w:eastAsiaTheme="minorHAnsi"/>
                <w:sz w:val="20"/>
                <w:lang w:val="fr-CA"/>
              </w:rPr>
            </w:pPr>
            <w:r w:rsidRPr="00ED66D3">
              <w:rPr>
                <w:rFonts w:eastAsiaTheme="minorHAnsi"/>
                <w:sz w:val="20"/>
                <w:lang w:val="fr-CA"/>
              </w:rPr>
              <w:t>Demande d’autorisation d’appel déposée</w:t>
            </w:r>
          </w:p>
          <w:p w:rsidR="00ED66D3" w:rsidRPr="00ED66D3" w:rsidRDefault="00ED66D3" w:rsidP="00ED66D3">
            <w:pPr>
              <w:jc w:val="both"/>
              <w:rPr>
                <w:rFonts w:eastAsiaTheme="minorHAnsi"/>
                <w:sz w:val="20"/>
                <w:lang w:val="fr-CA"/>
              </w:rPr>
            </w:pPr>
          </w:p>
        </w:tc>
      </w:tr>
    </w:tbl>
    <w:p w:rsidR="00ED66D3" w:rsidRPr="00ED66D3" w:rsidRDefault="00ED66D3" w:rsidP="00ED66D3">
      <w:pPr>
        <w:jc w:val="both"/>
        <w:rPr>
          <w:rFonts w:eastAsiaTheme="minorHAns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ED66D3" w:rsidRPr="00ED66D3" w:rsidTr="00ED66D3">
        <w:tc>
          <w:tcPr>
            <w:tcW w:w="543" w:type="pct"/>
            <w:hideMark/>
          </w:tcPr>
          <w:p w:rsidR="00ED66D3" w:rsidRPr="00ED66D3" w:rsidRDefault="00ED66D3" w:rsidP="00ED66D3">
            <w:pPr>
              <w:spacing w:line="276" w:lineRule="auto"/>
              <w:jc w:val="both"/>
              <w:rPr>
                <w:rFonts w:eastAsia="Calibri"/>
                <w:sz w:val="20"/>
                <w:lang w:val="en-CA"/>
              </w:rPr>
            </w:pPr>
            <w:r w:rsidRPr="005529E3">
              <w:rPr>
                <w:rFonts w:eastAsia="Calibri"/>
                <w:b/>
                <w:sz w:val="20"/>
                <w:lang w:val="fr-CA"/>
              </w:rPr>
              <w:t>36362</w:t>
            </w:r>
          </w:p>
        </w:tc>
        <w:tc>
          <w:tcPr>
            <w:tcW w:w="4457" w:type="pct"/>
            <w:gridSpan w:val="3"/>
            <w:hideMark/>
          </w:tcPr>
          <w:p w:rsidR="00ED66D3" w:rsidRPr="00ED66D3" w:rsidRDefault="00ED66D3" w:rsidP="00ED66D3">
            <w:pPr>
              <w:spacing w:line="276" w:lineRule="auto"/>
              <w:jc w:val="both"/>
              <w:rPr>
                <w:rFonts w:eastAsia="Calibri"/>
                <w:b/>
                <w:sz w:val="20"/>
                <w:lang w:val="en-CA"/>
              </w:rPr>
            </w:pPr>
            <w:r w:rsidRPr="00ED66D3">
              <w:rPr>
                <w:rFonts w:eastAsia="Calibri"/>
                <w:b/>
                <w:sz w:val="20"/>
                <w:lang w:val="en-CA"/>
              </w:rPr>
              <w:t xml:space="preserve">Lawrence </w:t>
            </w:r>
            <w:proofErr w:type="spellStart"/>
            <w:r w:rsidRPr="00ED66D3">
              <w:rPr>
                <w:rFonts w:eastAsia="Calibri"/>
                <w:b/>
                <w:sz w:val="20"/>
                <w:lang w:val="en-CA"/>
              </w:rPr>
              <w:t>Klepper</w:t>
            </w:r>
            <w:proofErr w:type="spellEnd"/>
            <w:r w:rsidRPr="00ED66D3">
              <w:rPr>
                <w:rFonts w:eastAsia="Calibri"/>
                <w:b/>
                <w:sz w:val="20"/>
                <w:lang w:val="en-CA"/>
              </w:rPr>
              <w:t xml:space="preserve"> v. City of Westmount</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(Que.) (Civil) (By Leave)</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en-CA"/>
              </w:rPr>
            </w:pPr>
            <w:r w:rsidRPr="00ED66D3">
              <w:rPr>
                <w:rFonts w:eastAsia="Calibri"/>
                <w:sz w:val="20"/>
                <w:lang w:val="en-CA"/>
              </w:rPr>
              <w:t>Administrative law</w:t>
            </w:r>
            <w:r w:rsidRPr="00ED66D3">
              <w:rPr>
                <w:rFonts w:eastAsia="Calibri"/>
                <w:i/>
                <w:sz w:val="20"/>
                <w:lang w:val="en-CA"/>
              </w:rPr>
              <w:t xml:space="preserve"> </w:t>
            </w:r>
            <w:r w:rsidRPr="00ED66D3">
              <w:rPr>
                <w:rFonts w:eastAsia="Calibri"/>
                <w:sz w:val="20"/>
                <w:lang w:val="en-CA"/>
              </w:rPr>
              <w:t>–</w:t>
            </w:r>
            <w:r w:rsidRPr="00ED66D3">
              <w:rPr>
                <w:rFonts w:eastAsia="Calibri"/>
                <w:i/>
                <w:sz w:val="20"/>
                <w:lang w:val="en-CA"/>
              </w:rPr>
              <w:t xml:space="preserve"> Charter of human rights and freedoms</w:t>
            </w:r>
            <w:r w:rsidRPr="00ED66D3">
              <w:rPr>
                <w:rFonts w:eastAsia="Calibri"/>
                <w:sz w:val="20"/>
                <w:lang w:val="en-CA"/>
              </w:rPr>
              <w:t xml:space="preserve"> – Right to privacy – Municipal law – By</w:t>
            </w:r>
            <w:r w:rsidRPr="00ED66D3">
              <w:rPr>
                <w:rFonts w:eastAsia="Calibri"/>
                <w:sz w:val="20"/>
                <w:lang w:val="en-CA"/>
              </w:rPr>
              <w:noBreakHyphen/>
              <w:t>laws – Tickets for repeated violations of municipal by</w:t>
            </w:r>
            <w:r w:rsidRPr="00ED66D3">
              <w:rPr>
                <w:rFonts w:eastAsia="Calibri"/>
                <w:sz w:val="20"/>
                <w:lang w:val="en-CA"/>
              </w:rPr>
              <w:noBreakHyphen/>
              <w:t>law – Surveillance and shadowing – Whether shadowing by municipality for purpose of enforcing its municipal by</w:t>
            </w:r>
            <w:r w:rsidRPr="00ED66D3">
              <w:rPr>
                <w:rFonts w:eastAsia="Calibri"/>
                <w:sz w:val="20"/>
                <w:lang w:val="en-CA"/>
              </w:rPr>
              <w:noBreakHyphen/>
              <w:t xml:space="preserve">laws constitutes unlawful interference with right to privacy that every person has under </w:t>
            </w:r>
            <w:r w:rsidRPr="00ED66D3">
              <w:rPr>
                <w:rFonts w:eastAsia="Calibri"/>
                <w:i/>
                <w:sz w:val="20"/>
                <w:lang w:val="en-CA"/>
              </w:rPr>
              <w:t>Charter of human rights and freedoms</w:t>
            </w:r>
            <w:r w:rsidRPr="00ED66D3">
              <w:rPr>
                <w:rFonts w:eastAsia="Calibri"/>
                <w:sz w:val="20"/>
                <w:lang w:val="en-CA"/>
              </w:rPr>
              <w:t xml:space="preserve"> – Whether interference with right to privacy justified under s. 9.1 of </w:t>
            </w:r>
            <w:r w:rsidRPr="00ED66D3">
              <w:rPr>
                <w:rFonts w:eastAsia="Calibri"/>
                <w:i/>
                <w:sz w:val="20"/>
                <w:lang w:val="en-CA"/>
              </w:rPr>
              <w:t>Charter</w:t>
            </w:r>
            <w:r w:rsidRPr="00ED66D3">
              <w:rPr>
                <w:rFonts w:eastAsia="Calibri"/>
                <w:sz w:val="20"/>
                <w:lang w:val="en-CA"/>
              </w:rPr>
              <w:t xml:space="preserve"> – Whether such shadowing, done outside municipality’s boundaries, also constitutes abuse of rights – Whether </w:t>
            </w:r>
            <w:proofErr w:type="spellStart"/>
            <w:r w:rsidRPr="00ED66D3">
              <w:rPr>
                <w:rFonts w:eastAsia="Calibri"/>
                <w:i/>
                <w:sz w:val="20"/>
                <w:lang w:val="en-CA"/>
              </w:rPr>
              <w:t>audi</w:t>
            </w:r>
            <w:proofErr w:type="spellEnd"/>
            <w:r w:rsidRPr="00ED66D3">
              <w:rPr>
                <w:rFonts w:eastAsia="Calibri"/>
                <w:i/>
                <w:sz w:val="20"/>
                <w:lang w:val="en-CA"/>
              </w:rPr>
              <w:t xml:space="preserve"> alteram partem</w:t>
            </w:r>
            <w:r w:rsidRPr="00ED66D3">
              <w:rPr>
                <w:rFonts w:eastAsia="Calibri"/>
                <w:sz w:val="20"/>
                <w:lang w:val="en-CA"/>
              </w:rPr>
              <w:t xml:space="preserve"> rule violated where court declares question irrelevant in context of trial but makes that question one of cornerstones of its judgment.</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en-CA"/>
              </w:rPr>
            </w:pP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en-CA"/>
              </w:rPr>
            </w:pPr>
            <w:r w:rsidRPr="00ED66D3">
              <w:rPr>
                <w:rFonts w:eastAsia="Calibri"/>
                <w:sz w:val="20"/>
                <w:lang w:val="en-CA"/>
              </w:rPr>
              <w:t>In May 2011, the respondent City of Westmount brought a second action for an injunction against the applicant Lawrence </w:t>
            </w:r>
            <w:proofErr w:type="spellStart"/>
            <w:r w:rsidRPr="00ED66D3">
              <w:rPr>
                <w:rFonts w:eastAsia="Calibri"/>
                <w:sz w:val="20"/>
                <w:lang w:val="en-CA"/>
              </w:rPr>
              <w:t>Klepper</w:t>
            </w:r>
            <w:proofErr w:type="spellEnd"/>
            <w:r w:rsidRPr="00ED66D3">
              <w:rPr>
                <w:rFonts w:eastAsia="Calibri"/>
                <w:sz w:val="20"/>
                <w:lang w:val="en-CA"/>
              </w:rPr>
              <w:t xml:space="preserve"> to require him to stop feeding wild animals on City land contrary to a municipal by</w:t>
            </w:r>
            <w:r w:rsidRPr="00ED66D3">
              <w:rPr>
                <w:rFonts w:eastAsia="Calibri"/>
                <w:sz w:val="20"/>
                <w:lang w:val="en-CA"/>
              </w:rPr>
              <w:noBreakHyphen/>
              <w:t>law. The action followed numerous statements of offence issued to the applicant, which had no deterrent effect on him, and the applicant’s formal written undertaking not to feed animals any more subject to having an order of injunction made against him, which was the reason the City had discontinued its first action for an injunction.</w:t>
            </w:r>
          </w:p>
          <w:p w:rsidR="00ED66D3" w:rsidRPr="00ED66D3" w:rsidRDefault="00ED66D3" w:rsidP="00ED66D3">
            <w:pPr>
              <w:spacing w:line="276" w:lineRule="auto"/>
              <w:jc w:val="both"/>
              <w:rPr>
                <w:rFonts w:eastAsia="Calibri"/>
                <w:sz w:val="20"/>
                <w:lang w:val="en-CA"/>
              </w:rPr>
            </w:pPr>
          </w:p>
          <w:p w:rsidR="00ED66D3" w:rsidRPr="00ED66D3" w:rsidRDefault="00ED66D3" w:rsidP="00ED66D3">
            <w:pPr>
              <w:spacing w:line="276" w:lineRule="auto"/>
              <w:jc w:val="both"/>
              <w:rPr>
                <w:rFonts w:eastAsia="Calibri"/>
                <w:sz w:val="20"/>
                <w:lang w:val="en-CA"/>
              </w:rPr>
            </w:pPr>
            <w:r w:rsidRPr="00ED66D3">
              <w:rPr>
                <w:rFonts w:eastAsia="Calibri"/>
                <w:sz w:val="20"/>
                <w:lang w:val="en-CA"/>
              </w:rPr>
              <w:t>Shortly before the trial, the City again discontinued its action for an injunction, noting that the applicant had ceased his prohibited activities nearly two years earlier. The applicant decided to go forward with his cross demand anyway, alleging abuse of rights because of the close surveillance and shadowing conducted against him. He claimed punitive and moral damages for interference with his right to privacy and dignity.</w:t>
            </w:r>
          </w:p>
          <w:p w:rsidR="00ED66D3" w:rsidRPr="00ED66D3" w:rsidRDefault="00ED66D3" w:rsidP="00ED66D3">
            <w:pPr>
              <w:spacing w:line="276" w:lineRule="auto"/>
              <w:jc w:val="both"/>
              <w:rPr>
                <w:rFonts w:eastAsia="Calibri"/>
                <w:sz w:val="20"/>
                <w:lang w:val="en-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en-CA"/>
              </w:rPr>
            </w:pPr>
            <w:r w:rsidRPr="00ED66D3">
              <w:rPr>
                <w:rFonts w:eastAsia="Calibri"/>
                <w:sz w:val="20"/>
                <w:lang w:val="en-CA"/>
              </w:rPr>
              <w:t>July 2, 2013</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Quebec Superior Court</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w:t>
            </w:r>
            <w:proofErr w:type="spellStart"/>
            <w:r w:rsidRPr="00ED66D3">
              <w:rPr>
                <w:rFonts w:eastAsia="Calibri"/>
                <w:sz w:val="20"/>
                <w:lang w:val="en-CA"/>
              </w:rPr>
              <w:t>Mongeon</w:t>
            </w:r>
            <w:proofErr w:type="spellEnd"/>
            <w:r w:rsidRPr="00ED66D3">
              <w:rPr>
                <w:rFonts w:eastAsia="Calibri"/>
                <w:sz w:val="20"/>
                <w:lang w:val="en-CA"/>
              </w:rPr>
              <w:t xml:space="preserve"> J.)</w:t>
            </w:r>
          </w:p>
          <w:p w:rsidR="00ED66D3" w:rsidRPr="00ED66D3" w:rsidRDefault="00480458" w:rsidP="00ED66D3">
            <w:pPr>
              <w:spacing w:line="276" w:lineRule="auto"/>
              <w:jc w:val="both"/>
              <w:rPr>
                <w:rFonts w:eastAsia="Calibri"/>
                <w:sz w:val="20"/>
                <w:lang w:val="en-CA"/>
              </w:rPr>
            </w:pPr>
            <w:hyperlink r:id="rId82" w:history="1">
              <w:r w:rsidR="00ED66D3" w:rsidRPr="005529E3">
                <w:rPr>
                  <w:rFonts w:eastAsia="Calibri"/>
                  <w:color w:val="0000FF" w:themeColor="hyperlink"/>
                  <w:sz w:val="20"/>
                  <w:u w:val="single"/>
                  <w:lang w:val="en-CA"/>
                </w:rPr>
                <w:t>2013 QCCS 2972</w:t>
              </w:r>
            </w:hyperlink>
          </w:p>
          <w:p w:rsidR="00ED66D3" w:rsidRPr="00ED66D3" w:rsidRDefault="00ED66D3" w:rsidP="00ED66D3">
            <w:pPr>
              <w:spacing w:line="276" w:lineRule="auto"/>
              <w:jc w:val="both"/>
              <w:rPr>
                <w:rFonts w:eastAsia="Calibri"/>
                <w:sz w:val="20"/>
                <w:lang w:val="en-CA"/>
              </w:rPr>
            </w:pPr>
          </w:p>
        </w:tc>
        <w:tc>
          <w:tcPr>
            <w:tcW w:w="243" w:type="pct"/>
          </w:tcPr>
          <w:p w:rsidR="00ED66D3" w:rsidRPr="00ED66D3" w:rsidRDefault="00ED66D3" w:rsidP="00ED66D3">
            <w:pPr>
              <w:spacing w:line="276" w:lineRule="auto"/>
              <w:jc w:val="both"/>
              <w:rPr>
                <w:rFonts w:eastAsia="Calibri"/>
                <w:sz w:val="20"/>
                <w:lang w:val="en-CA"/>
              </w:rPr>
            </w:pPr>
          </w:p>
        </w:tc>
        <w:tc>
          <w:tcPr>
            <w:tcW w:w="2330" w:type="pct"/>
            <w:hideMark/>
          </w:tcPr>
          <w:p w:rsidR="00ED66D3" w:rsidRPr="00ED66D3" w:rsidRDefault="00ED66D3" w:rsidP="00ED66D3">
            <w:pPr>
              <w:spacing w:line="276" w:lineRule="auto"/>
              <w:jc w:val="both"/>
              <w:rPr>
                <w:rFonts w:eastAsia="Calibri"/>
                <w:sz w:val="20"/>
                <w:lang w:val="en-CA"/>
              </w:rPr>
            </w:pPr>
            <w:r w:rsidRPr="00ED66D3">
              <w:rPr>
                <w:rFonts w:eastAsia="Calibri"/>
                <w:sz w:val="20"/>
                <w:lang w:val="en-CA"/>
              </w:rPr>
              <w:t>Cross demand for damages dismissed; permanent injunction proceeding discontinued</w:t>
            </w: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en-CA"/>
              </w:rPr>
            </w:pPr>
            <w:r w:rsidRPr="00ED66D3">
              <w:rPr>
                <w:rFonts w:eastAsia="Calibri"/>
                <w:sz w:val="20"/>
                <w:lang w:val="en-CA"/>
              </w:rPr>
              <w:t>January 29, 2015</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Quebec Court of Appeal (Montréal)</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 xml:space="preserve">(Bouchard, Savard and </w:t>
            </w:r>
            <w:proofErr w:type="spellStart"/>
            <w:r w:rsidRPr="00ED66D3">
              <w:rPr>
                <w:rFonts w:eastAsia="Calibri"/>
                <w:sz w:val="20"/>
                <w:lang w:val="en-CA"/>
              </w:rPr>
              <w:t>Vauclair</w:t>
            </w:r>
            <w:proofErr w:type="spellEnd"/>
            <w:r w:rsidRPr="00ED66D3">
              <w:rPr>
                <w:rFonts w:eastAsia="Calibri"/>
                <w:sz w:val="20"/>
                <w:lang w:val="en-CA"/>
              </w:rPr>
              <w:t xml:space="preserve"> JJ.A.)</w:t>
            </w:r>
          </w:p>
          <w:p w:rsidR="00ED66D3" w:rsidRPr="00ED66D3" w:rsidRDefault="00480458" w:rsidP="00ED66D3">
            <w:pPr>
              <w:spacing w:line="276" w:lineRule="auto"/>
              <w:jc w:val="both"/>
              <w:rPr>
                <w:rFonts w:eastAsia="Calibri"/>
                <w:sz w:val="20"/>
                <w:lang w:val="en-CA"/>
              </w:rPr>
            </w:pPr>
            <w:hyperlink r:id="rId83" w:history="1">
              <w:r w:rsidR="00ED66D3" w:rsidRPr="005529E3">
                <w:rPr>
                  <w:rFonts w:eastAsia="Calibri"/>
                  <w:color w:val="0000FF" w:themeColor="hyperlink"/>
                  <w:sz w:val="20"/>
                  <w:u w:val="single"/>
                  <w:lang w:val="en-CA"/>
                </w:rPr>
                <w:t>2015 QCCA 169</w:t>
              </w:r>
            </w:hyperlink>
            <w:r w:rsidR="00ED66D3" w:rsidRPr="00ED66D3">
              <w:rPr>
                <w:rFonts w:eastAsia="Calibri"/>
                <w:sz w:val="20"/>
                <w:lang w:val="en-CA"/>
              </w:rPr>
              <w:t>; 500-09-023794-134</w:t>
            </w:r>
          </w:p>
          <w:p w:rsidR="00ED66D3" w:rsidRPr="00ED66D3" w:rsidRDefault="00ED66D3" w:rsidP="00ED66D3">
            <w:pPr>
              <w:spacing w:line="276" w:lineRule="auto"/>
              <w:jc w:val="both"/>
              <w:rPr>
                <w:rFonts w:eastAsia="Calibri"/>
                <w:sz w:val="20"/>
                <w:lang w:val="en-CA"/>
              </w:rPr>
            </w:pPr>
          </w:p>
        </w:tc>
        <w:tc>
          <w:tcPr>
            <w:tcW w:w="243" w:type="pct"/>
          </w:tcPr>
          <w:p w:rsidR="00ED66D3" w:rsidRPr="00ED66D3" w:rsidRDefault="00ED66D3" w:rsidP="00ED66D3">
            <w:pPr>
              <w:spacing w:line="276" w:lineRule="auto"/>
              <w:jc w:val="both"/>
              <w:rPr>
                <w:rFonts w:eastAsia="Calibri"/>
                <w:sz w:val="20"/>
                <w:lang w:val="en-CA"/>
              </w:rPr>
            </w:pPr>
          </w:p>
        </w:tc>
        <w:tc>
          <w:tcPr>
            <w:tcW w:w="2330" w:type="pct"/>
          </w:tcPr>
          <w:p w:rsidR="00ED66D3" w:rsidRPr="00ED66D3" w:rsidRDefault="00ED66D3" w:rsidP="00ED66D3">
            <w:pPr>
              <w:spacing w:line="276" w:lineRule="auto"/>
              <w:jc w:val="both"/>
              <w:rPr>
                <w:rFonts w:eastAsia="Calibri"/>
                <w:sz w:val="20"/>
                <w:lang w:val="en-CA"/>
              </w:rPr>
            </w:pPr>
            <w:r w:rsidRPr="00ED66D3">
              <w:rPr>
                <w:rFonts w:eastAsia="Calibri"/>
                <w:sz w:val="20"/>
                <w:lang w:val="en-CA"/>
              </w:rPr>
              <w:t>Appeal dismissed; motion to adduce new evidence dismissed</w:t>
            </w:r>
          </w:p>
          <w:p w:rsidR="00ED66D3" w:rsidRPr="00ED66D3" w:rsidRDefault="00ED66D3" w:rsidP="00ED66D3">
            <w:pPr>
              <w:spacing w:line="276" w:lineRule="auto"/>
              <w:jc w:val="both"/>
              <w:rPr>
                <w:rFonts w:eastAsia="Calibri"/>
                <w:sz w:val="20"/>
                <w:lang w:val="en-CA"/>
              </w:rPr>
            </w:pPr>
          </w:p>
        </w:tc>
      </w:tr>
      <w:tr w:rsidR="00ED66D3" w:rsidRPr="00ED66D3" w:rsidTr="00ED66D3">
        <w:tc>
          <w:tcPr>
            <w:tcW w:w="2427" w:type="pct"/>
            <w:gridSpan w:val="2"/>
            <w:hideMark/>
          </w:tcPr>
          <w:p w:rsidR="00ED66D3" w:rsidRPr="00ED66D3" w:rsidRDefault="00ED66D3" w:rsidP="00ED66D3">
            <w:pPr>
              <w:spacing w:line="276" w:lineRule="auto"/>
              <w:jc w:val="both"/>
              <w:rPr>
                <w:rFonts w:eastAsia="Calibri"/>
                <w:sz w:val="20"/>
                <w:lang w:val="en-CA"/>
              </w:rPr>
            </w:pPr>
            <w:r w:rsidRPr="00ED66D3">
              <w:rPr>
                <w:rFonts w:eastAsia="Calibri"/>
                <w:sz w:val="20"/>
                <w:lang w:val="en-CA"/>
              </w:rPr>
              <w:t>March 27, 2015</w:t>
            </w:r>
          </w:p>
          <w:p w:rsidR="00ED66D3" w:rsidRPr="00ED66D3" w:rsidRDefault="00ED66D3" w:rsidP="00ED66D3">
            <w:pPr>
              <w:spacing w:line="276" w:lineRule="auto"/>
              <w:jc w:val="both"/>
              <w:rPr>
                <w:rFonts w:eastAsia="Calibri"/>
                <w:sz w:val="20"/>
                <w:lang w:val="en-CA"/>
              </w:rPr>
            </w:pPr>
            <w:r w:rsidRPr="00ED66D3">
              <w:rPr>
                <w:rFonts w:eastAsia="Calibri"/>
                <w:sz w:val="20"/>
                <w:lang w:val="en-CA"/>
              </w:rPr>
              <w:t>Supreme Court of Canada</w:t>
            </w:r>
          </w:p>
        </w:tc>
        <w:tc>
          <w:tcPr>
            <w:tcW w:w="243" w:type="pct"/>
          </w:tcPr>
          <w:p w:rsidR="00ED66D3" w:rsidRPr="00ED66D3" w:rsidRDefault="00ED66D3" w:rsidP="00ED66D3">
            <w:pPr>
              <w:spacing w:line="276" w:lineRule="auto"/>
              <w:jc w:val="both"/>
              <w:rPr>
                <w:rFonts w:eastAsia="Calibri"/>
                <w:sz w:val="20"/>
                <w:lang w:val="en-CA"/>
              </w:rPr>
            </w:pPr>
          </w:p>
        </w:tc>
        <w:tc>
          <w:tcPr>
            <w:tcW w:w="2330" w:type="pct"/>
          </w:tcPr>
          <w:p w:rsidR="00ED66D3" w:rsidRPr="00ED66D3" w:rsidRDefault="00ED66D3" w:rsidP="00ED66D3">
            <w:pPr>
              <w:spacing w:line="276" w:lineRule="auto"/>
              <w:jc w:val="both"/>
              <w:rPr>
                <w:rFonts w:eastAsia="Calibri"/>
                <w:sz w:val="20"/>
                <w:lang w:val="en-CA"/>
              </w:rPr>
            </w:pPr>
            <w:r w:rsidRPr="00ED66D3">
              <w:rPr>
                <w:rFonts w:eastAsia="Calibri"/>
                <w:sz w:val="20"/>
                <w:lang w:val="en-CA"/>
              </w:rPr>
              <w:t>Application for leave to appeal filed</w:t>
            </w:r>
          </w:p>
          <w:p w:rsidR="00ED66D3" w:rsidRPr="00ED66D3" w:rsidRDefault="00ED66D3" w:rsidP="00ED66D3">
            <w:pPr>
              <w:spacing w:line="276" w:lineRule="auto"/>
              <w:jc w:val="both"/>
              <w:rPr>
                <w:rFonts w:eastAsia="Calibri"/>
                <w:sz w:val="20"/>
                <w:lang w:val="en-CA"/>
              </w:rPr>
            </w:pPr>
          </w:p>
        </w:tc>
      </w:tr>
    </w:tbl>
    <w:p w:rsidR="00ED66D3" w:rsidRDefault="00ED66D3" w:rsidP="00ED66D3">
      <w:pPr>
        <w:jc w:val="both"/>
        <w:rPr>
          <w:rFonts w:eastAsia="Calibri"/>
          <w:sz w:val="20"/>
          <w:lang w:val="en-CA"/>
        </w:rPr>
      </w:pPr>
    </w:p>
    <w:p w:rsidR="009C21EE" w:rsidRPr="00ED66D3" w:rsidRDefault="009C21EE" w:rsidP="00ED66D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ED66D3" w:rsidRPr="00ED66D3" w:rsidTr="00ED66D3">
        <w:tc>
          <w:tcPr>
            <w:tcW w:w="543" w:type="pct"/>
            <w:hideMark/>
          </w:tcPr>
          <w:p w:rsidR="00ED66D3" w:rsidRPr="00ED66D3" w:rsidRDefault="00ED66D3" w:rsidP="00ED66D3">
            <w:pPr>
              <w:spacing w:line="276" w:lineRule="auto"/>
              <w:jc w:val="both"/>
              <w:rPr>
                <w:rFonts w:eastAsia="Calibri"/>
                <w:sz w:val="20"/>
                <w:lang w:val="fr-CA"/>
              </w:rPr>
            </w:pPr>
            <w:r w:rsidRPr="005529E3">
              <w:rPr>
                <w:rFonts w:eastAsia="Calibri"/>
                <w:b/>
                <w:sz w:val="20"/>
                <w:lang w:val="fr-CA"/>
              </w:rPr>
              <w:t>36362</w:t>
            </w:r>
          </w:p>
        </w:tc>
        <w:tc>
          <w:tcPr>
            <w:tcW w:w="4457" w:type="pct"/>
            <w:gridSpan w:val="3"/>
            <w:hideMark/>
          </w:tcPr>
          <w:p w:rsidR="00ED66D3" w:rsidRPr="00ED66D3" w:rsidRDefault="00ED66D3" w:rsidP="00ED66D3">
            <w:pPr>
              <w:spacing w:line="276" w:lineRule="auto"/>
              <w:jc w:val="both"/>
              <w:rPr>
                <w:rFonts w:eastAsia="Calibri"/>
                <w:b/>
                <w:sz w:val="20"/>
                <w:lang w:val="en-CA"/>
              </w:rPr>
            </w:pPr>
            <w:r w:rsidRPr="00ED66D3">
              <w:rPr>
                <w:rFonts w:eastAsia="Calibri"/>
                <w:b/>
                <w:sz w:val="20"/>
                <w:lang w:val="en-CA"/>
              </w:rPr>
              <w:t xml:space="preserve">Lawrence </w:t>
            </w:r>
            <w:proofErr w:type="spellStart"/>
            <w:r w:rsidRPr="00ED66D3">
              <w:rPr>
                <w:rFonts w:eastAsia="Calibri"/>
                <w:b/>
                <w:sz w:val="20"/>
                <w:lang w:val="en-CA"/>
              </w:rPr>
              <w:t>Klepper</w:t>
            </w:r>
            <w:proofErr w:type="spellEnd"/>
            <w:r w:rsidRPr="00ED66D3">
              <w:rPr>
                <w:rFonts w:eastAsia="Calibri"/>
                <w:b/>
                <w:sz w:val="20"/>
                <w:lang w:val="en-CA"/>
              </w:rPr>
              <w:t xml:space="preserve"> c. Ville de Westmount</w:t>
            </w:r>
          </w:p>
          <w:p w:rsidR="00ED66D3" w:rsidRPr="00ED66D3" w:rsidRDefault="00ED66D3" w:rsidP="00ED66D3">
            <w:pPr>
              <w:spacing w:line="276" w:lineRule="auto"/>
              <w:jc w:val="both"/>
              <w:rPr>
                <w:rFonts w:eastAsia="Calibri"/>
                <w:sz w:val="20"/>
                <w:lang w:val="fr-CA"/>
              </w:rPr>
            </w:pPr>
            <w:r w:rsidRPr="00ED66D3">
              <w:rPr>
                <w:rFonts w:eastAsia="Calibri"/>
                <w:sz w:val="20"/>
                <w:lang w:val="fr-CA"/>
              </w:rPr>
              <w:lastRenderedPageBreak/>
              <w:t>(</w:t>
            </w:r>
            <w:proofErr w:type="spellStart"/>
            <w:r w:rsidRPr="00ED66D3">
              <w:rPr>
                <w:rFonts w:eastAsia="Calibri"/>
                <w:sz w:val="20"/>
                <w:lang w:val="fr-CA"/>
              </w:rPr>
              <w:t>Qc</w:t>
            </w:r>
            <w:proofErr w:type="spellEnd"/>
            <w:r w:rsidRPr="00ED66D3">
              <w:rPr>
                <w:rFonts w:eastAsia="Calibri"/>
                <w:sz w:val="20"/>
                <w:lang w:val="fr-CA"/>
              </w:rPr>
              <w:t>) (Civile) (Autorisation)</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fr-CA"/>
              </w:rPr>
            </w:pPr>
            <w:r w:rsidRPr="00ED66D3">
              <w:rPr>
                <w:rFonts w:eastAsia="Calibri"/>
                <w:sz w:val="20"/>
                <w:lang w:val="fr-CA"/>
              </w:rPr>
              <w:lastRenderedPageBreak/>
              <w:t>Doit administratif</w:t>
            </w:r>
            <w:r w:rsidRPr="00ED66D3">
              <w:rPr>
                <w:rFonts w:eastAsia="Calibri"/>
                <w:i/>
                <w:sz w:val="20"/>
                <w:lang w:val="fr-CA"/>
              </w:rPr>
              <w:t xml:space="preserve"> </w:t>
            </w:r>
            <w:r w:rsidRPr="00ED66D3">
              <w:rPr>
                <w:rFonts w:eastAsia="Calibri"/>
                <w:sz w:val="20"/>
                <w:lang w:val="fr-CA"/>
              </w:rPr>
              <w:t xml:space="preserve">– </w:t>
            </w:r>
            <w:r w:rsidRPr="00ED66D3">
              <w:rPr>
                <w:rFonts w:eastAsia="Calibri"/>
                <w:i/>
                <w:sz w:val="20"/>
                <w:lang w:val="fr-CA"/>
              </w:rPr>
              <w:t>Charte des droits et libertés de la personne</w:t>
            </w:r>
            <w:r w:rsidRPr="00ED66D3">
              <w:rPr>
                <w:rFonts w:eastAsia="Calibri"/>
                <w:sz w:val="20"/>
                <w:lang w:val="fr-CA"/>
              </w:rPr>
              <w:t xml:space="preserve"> – Droit à la vie privée – Droit municipal – Règlements – Contraventions pour violations répétées à un règlement municipal – Surveillance et filature – La filature faite par une municipalité dans le but de faire respecter sa règlementation municipale constitue-t-elle une atteinte illicite au droit à la vie privée dont bénéficie toute personne en vertu de la </w:t>
            </w:r>
            <w:r w:rsidRPr="00ED66D3">
              <w:rPr>
                <w:rFonts w:eastAsia="Calibri"/>
                <w:i/>
                <w:sz w:val="20"/>
                <w:lang w:val="fr-CA"/>
              </w:rPr>
              <w:t>Charte des droits et libertés de la personne</w:t>
            </w:r>
            <w:r w:rsidRPr="00ED66D3">
              <w:rPr>
                <w:rFonts w:eastAsia="Calibri"/>
                <w:sz w:val="20"/>
                <w:lang w:val="fr-CA"/>
              </w:rPr>
              <w:t xml:space="preserve">? – L’atteinte au droit à la vie privée est-elle justifiée en vertu de l’art. 9.1 de la </w:t>
            </w:r>
            <w:r w:rsidRPr="00ED66D3">
              <w:rPr>
                <w:rFonts w:eastAsia="Calibri"/>
                <w:i/>
                <w:sz w:val="20"/>
                <w:lang w:val="fr-CA"/>
              </w:rPr>
              <w:t>Charte</w:t>
            </w:r>
            <w:r w:rsidRPr="00ED66D3">
              <w:rPr>
                <w:rFonts w:eastAsia="Calibri"/>
                <w:sz w:val="20"/>
                <w:lang w:val="fr-CA"/>
              </w:rPr>
              <w:t xml:space="preserve">? – Une telle filature, effectuée à l’extérieur des limites du territoire de la municipalité, constitue-t-elle également un abus de droit? – Le fait pour un tribunal de déclarer une question non pertinente dans le cadre du procès et de faire de cette question une des pierres angulaires de son jugement constitue-t-il une violation de la règle </w:t>
            </w:r>
            <w:proofErr w:type="spellStart"/>
            <w:r w:rsidRPr="00ED66D3">
              <w:rPr>
                <w:rFonts w:eastAsia="Calibri"/>
                <w:i/>
                <w:sz w:val="20"/>
                <w:lang w:val="fr-CA"/>
              </w:rPr>
              <w:t>audi</w:t>
            </w:r>
            <w:proofErr w:type="spellEnd"/>
            <w:r w:rsidRPr="00ED66D3">
              <w:rPr>
                <w:rFonts w:eastAsia="Calibri"/>
                <w:i/>
                <w:sz w:val="20"/>
                <w:lang w:val="fr-CA"/>
              </w:rPr>
              <w:t xml:space="preserve"> </w:t>
            </w:r>
            <w:proofErr w:type="spellStart"/>
            <w:r w:rsidRPr="00ED66D3">
              <w:rPr>
                <w:rFonts w:eastAsia="Calibri"/>
                <w:i/>
                <w:sz w:val="20"/>
                <w:lang w:val="fr-CA"/>
              </w:rPr>
              <w:t>alteram</w:t>
            </w:r>
            <w:proofErr w:type="spellEnd"/>
            <w:r w:rsidRPr="00ED66D3">
              <w:rPr>
                <w:rFonts w:eastAsia="Calibri"/>
                <w:i/>
                <w:sz w:val="20"/>
                <w:lang w:val="fr-CA"/>
              </w:rPr>
              <w:t xml:space="preserve"> </w:t>
            </w:r>
            <w:proofErr w:type="spellStart"/>
            <w:r w:rsidRPr="00ED66D3">
              <w:rPr>
                <w:rFonts w:eastAsia="Calibri"/>
                <w:i/>
                <w:sz w:val="20"/>
                <w:lang w:val="fr-CA"/>
              </w:rPr>
              <w:t>partem</w:t>
            </w:r>
            <w:proofErr w:type="spellEnd"/>
            <w:r w:rsidRPr="00ED66D3">
              <w:rPr>
                <w:rFonts w:eastAsia="Calibri"/>
                <w:sz w:val="20"/>
                <w:lang w:val="fr-CA"/>
              </w:rPr>
              <w:t>?</w:t>
            </w: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fr-CA"/>
              </w:rPr>
            </w:pPr>
          </w:p>
        </w:tc>
      </w:tr>
      <w:tr w:rsidR="00ED66D3" w:rsidRPr="00ED66D3" w:rsidTr="00ED66D3">
        <w:tc>
          <w:tcPr>
            <w:tcW w:w="5000" w:type="pct"/>
            <w:gridSpan w:val="4"/>
          </w:tcPr>
          <w:p w:rsidR="00ED66D3" w:rsidRPr="00ED66D3" w:rsidRDefault="00ED66D3" w:rsidP="00ED66D3">
            <w:pPr>
              <w:spacing w:line="276" w:lineRule="auto"/>
              <w:jc w:val="both"/>
              <w:rPr>
                <w:rFonts w:eastAsia="Calibri"/>
                <w:sz w:val="20"/>
                <w:lang w:val="fr-CA"/>
              </w:rPr>
            </w:pPr>
            <w:r w:rsidRPr="00ED66D3">
              <w:rPr>
                <w:rFonts w:eastAsia="Calibri"/>
                <w:sz w:val="20"/>
                <w:lang w:val="fr-CA"/>
              </w:rPr>
              <w:t>En mai 2011, la Ville de Westmount, intimée, intente un second recours en injonction contre M. Lawrence Klepper, demandeur, afin de lui enjoindre de cesser de nourrir des animaux sauvages sur le terrain de la Ville en violation d’un règlement municipal. Ce recours fait suite à de nombreux constats d’infraction remis au demandeur, lesquels n’ont eu aucun effet dissuasif à son endroit, et à son engagement écrit formel de ne plus nourrir d’animaux à nouveau sous peine qu’une ordonnance d’injonction soit alors rendue contre lui, raison pour laquelle la Ville s’était désistée de son premier recours en injonction.</w:t>
            </w:r>
          </w:p>
          <w:p w:rsidR="00ED66D3" w:rsidRPr="00ED66D3" w:rsidRDefault="00ED66D3" w:rsidP="00ED66D3">
            <w:pPr>
              <w:spacing w:line="276" w:lineRule="auto"/>
              <w:jc w:val="both"/>
              <w:rPr>
                <w:rFonts w:eastAsia="Calibri"/>
                <w:sz w:val="20"/>
                <w:lang w:val="fr-CA"/>
              </w:rPr>
            </w:pPr>
          </w:p>
          <w:p w:rsidR="00ED66D3" w:rsidRPr="00ED66D3" w:rsidRDefault="00ED66D3" w:rsidP="00ED66D3">
            <w:pPr>
              <w:spacing w:line="276" w:lineRule="auto"/>
              <w:jc w:val="both"/>
              <w:rPr>
                <w:rFonts w:eastAsia="Calibri"/>
                <w:sz w:val="20"/>
                <w:lang w:val="fr-CA"/>
              </w:rPr>
            </w:pPr>
            <w:r w:rsidRPr="00ED66D3">
              <w:rPr>
                <w:rFonts w:eastAsia="Calibri"/>
                <w:sz w:val="20"/>
                <w:lang w:val="fr-CA"/>
              </w:rPr>
              <w:t>Peu avant le procès, constatant que le demandeur a cessé ses activités prohibées depuis près de deux ans, la Ville se désiste de nouveau de son recours en injonction. Le demandeur décide tout de même d’aller de l’avant avec sa demande reconventionnelle, alléguant un abus de droit en raison de la surveillance étroite et de la filature exercées contre lui. Il réclame des dommages-intérêts punitifs et moraux pour atteinte à son droit à la vie privée et à la dignité.</w:t>
            </w:r>
          </w:p>
          <w:p w:rsidR="00ED66D3" w:rsidRPr="00ED66D3" w:rsidRDefault="00ED66D3" w:rsidP="00ED66D3">
            <w:pPr>
              <w:spacing w:line="276" w:lineRule="auto"/>
              <w:jc w:val="both"/>
              <w:rPr>
                <w:rFonts w:eastAsia="Calibri"/>
                <w:sz w:val="20"/>
                <w:lang w:val="fr-CA"/>
              </w:rPr>
            </w:pP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fr-CA"/>
              </w:rPr>
            </w:pPr>
            <w:r w:rsidRPr="00ED66D3">
              <w:rPr>
                <w:rFonts w:eastAsia="Calibri"/>
                <w:sz w:val="20"/>
                <w:lang w:val="fr-CA"/>
              </w:rPr>
              <w:t>Le 2 juillet 2013</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Cour supérieure du Québec</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 xml:space="preserve">(Le juge </w:t>
            </w:r>
            <w:proofErr w:type="spellStart"/>
            <w:r w:rsidRPr="00ED66D3">
              <w:rPr>
                <w:rFonts w:eastAsia="Calibri"/>
                <w:sz w:val="20"/>
                <w:lang w:val="fr-CA"/>
              </w:rPr>
              <w:t>Mongeon</w:t>
            </w:r>
            <w:proofErr w:type="spellEnd"/>
            <w:r w:rsidRPr="00ED66D3">
              <w:rPr>
                <w:rFonts w:eastAsia="Calibri"/>
                <w:sz w:val="20"/>
                <w:lang w:val="fr-CA"/>
              </w:rPr>
              <w:t>)</w:t>
            </w:r>
          </w:p>
          <w:p w:rsidR="00ED66D3" w:rsidRPr="00ED66D3" w:rsidRDefault="00480458" w:rsidP="00ED66D3">
            <w:pPr>
              <w:spacing w:line="276" w:lineRule="auto"/>
              <w:jc w:val="both"/>
              <w:rPr>
                <w:rFonts w:eastAsia="Calibri"/>
                <w:sz w:val="20"/>
                <w:lang w:val="en-CA"/>
              </w:rPr>
            </w:pPr>
            <w:hyperlink r:id="rId84" w:history="1">
              <w:r w:rsidR="00ED66D3" w:rsidRPr="005529E3">
                <w:rPr>
                  <w:rFonts w:eastAsia="Calibri"/>
                  <w:color w:val="0000FF" w:themeColor="hyperlink"/>
                  <w:sz w:val="20"/>
                  <w:u w:val="single"/>
                  <w:lang w:val="en-CA"/>
                </w:rPr>
                <w:t>2013 QCCS 2972</w:t>
              </w:r>
            </w:hyperlink>
          </w:p>
          <w:p w:rsidR="00ED66D3" w:rsidRPr="00ED66D3" w:rsidRDefault="00ED66D3" w:rsidP="00ED66D3">
            <w:pPr>
              <w:spacing w:line="276" w:lineRule="auto"/>
              <w:jc w:val="both"/>
              <w:rPr>
                <w:rFonts w:eastAsia="Calibri"/>
                <w:sz w:val="20"/>
                <w:lang w:val="fr-CA"/>
              </w:rPr>
            </w:pPr>
          </w:p>
        </w:tc>
        <w:tc>
          <w:tcPr>
            <w:tcW w:w="243" w:type="pct"/>
          </w:tcPr>
          <w:p w:rsidR="00ED66D3" w:rsidRPr="00ED66D3" w:rsidRDefault="00ED66D3" w:rsidP="00ED66D3">
            <w:pPr>
              <w:spacing w:line="276" w:lineRule="auto"/>
              <w:jc w:val="both"/>
              <w:rPr>
                <w:rFonts w:eastAsia="Calibri"/>
                <w:sz w:val="20"/>
                <w:lang w:val="fr-CA"/>
              </w:rPr>
            </w:pPr>
          </w:p>
        </w:tc>
        <w:tc>
          <w:tcPr>
            <w:tcW w:w="2330" w:type="pct"/>
            <w:hideMark/>
          </w:tcPr>
          <w:p w:rsidR="00ED66D3" w:rsidRPr="00ED66D3" w:rsidRDefault="00ED66D3" w:rsidP="00ED66D3">
            <w:pPr>
              <w:spacing w:line="276" w:lineRule="auto"/>
              <w:jc w:val="both"/>
              <w:rPr>
                <w:rFonts w:eastAsia="Calibri"/>
                <w:sz w:val="20"/>
                <w:lang w:val="fr-CA"/>
              </w:rPr>
            </w:pPr>
            <w:r w:rsidRPr="00ED66D3">
              <w:rPr>
                <w:rFonts w:eastAsia="Calibri"/>
                <w:sz w:val="20"/>
                <w:lang w:val="fr-CA"/>
              </w:rPr>
              <w:t>Demande reconventionnelle en dommages-intérêts rejetée; désistement de la procédure en injonction permanente</w:t>
            </w:r>
          </w:p>
        </w:tc>
      </w:tr>
      <w:tr w:rsidR="00ED66D3" w:rsidRPr="00ED66D3" w:rsidTr="00ED66D3">
        <w:tc>
          <w:tcPr>
            <w:tcW w:w="2427" w:type="pct"/>
            <w:gridSpan w:val="2"/>
          </w:tcPr>
          <w:p w:rsidR="00ED66D3" w:rsidRPr="00ED66D3" w:rsidRDefault="00ED66D3" w:rsidP="00ED66D3">
            <w:pPr>
              <w:spacing w:line="276" w:lineRule="auto"/>
              <w:jc w:val="both"/>
              <w:rPr>
                <w:rFonts w:eastAsia="Calibri"/>
                <w:sz w:val="20"/>
                <w:lang w:val="fr-CA"/>
              </w:rPr>
            </w:pPr>
            <w:r w:rsidRPr="00ED66D3">
              <w:rPr>
                <w:rFonts w:eastAsia="Calibri"/>
                <w:sz w:val="20"/>
                <w:lang w:val="fr-CA"/>
              </w:rPr>
              <w:t>Le 29 janvier 2015</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Cour d’appel du Québec (Montréal)</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 xml:space="preserve">(Les juges Bouchard, Savard et </w:t>
            </w:r>
            <w:proofErr w:type="spellStart"/>
            <w:r w:rsidRPr="00ED66D3">
              <w:rPr>
                <w:rFonts w:eastAsia="Calibri"/>
                <w:sz w:val="20"/>
                <w:lang w:val="fr-CA"/>
              </w:rPr>
              <w:t>Vauclair</w:t>
            </w:r>
            <w:proofErr w:type="spellEnd"/>
            <w:r w:rsidRPr="00ED66D3">
              <w:rPr>
                <w:rFonts w:eastAsia="Calibri"/>
                <w:sz w:val="20"/>
                <w:lang w:val="fr-CA"/>
              </w:rPr>
              <w:t>)</w:t>
            </w:r>
          </w:p>
          <w:p w:rsidR="00ED66D3" w:rsidRPr="00ED66D3" w:rsidRDefault="00480458" w:rsidP="00ED66D3">
            <w:pPr>
              <w:spacing w:line="276" w:lineRule="auto"/>
              <w:jc w:val="both"/>
              <w:rPr>
                <w:rFonts w:eastAsia="Calibri"/>
                <w:sz w:val="20"/>
                <w:lang w:val="en-CA"/>
              </w:rPr>
            </w:pPr>
            <w:hyperlink r:id="rId85" w:history="1">
              <w:r w:rsidR="00ED66D3" w:rsidRPr="005529E3">
                <w:rPr>
                  <w:rFonts w:eastAsia="Calibri"/>
                  <w:color w:val="0000FF" w:themeColor="hyperlink"/>
                  <w:sz w:val="20"/>
                  <w:u w:val="single"/>
                  <w:lang w:val="en-CA"/>
                </w:rPr>
                <w:t>2015 QCCA 169</w:t>
              </w:r>
            </w:hyperlink>
            <w:r w:rsidR="00ED66D3" w:rsidRPr="00ED66D3">
              <w:rPr>
                <w:rFonts w:eastAsia="Calibri"/>
                <w:sz w:val="20"/>
                <w:lang w:val="en-CA"/>
              </w:rPr>
              <w:t>; 500-09-023794-134</w:t>
            </w:r>
          </w:p>
          <w:p w:rsidR="00ED66D3" w:rsidRPr="00ED66D3" w:rsidRDefault="00ED66D3" w:rsidP="00ED66D3">
            <w:pPr>
              <w:spacing w:line="276" w:lineRule="auto"/>
              <w:jc w:val="both"/>
              <w:rPr>
                <w:rFonts w:eastAsia="Calibri"/>
                <w:sz w:val="20"/>
                <w:lang w:val="fr-CA"/>
              </w:rPr>
            </w:pPr>
          </w:p>
        </w:tc>
        <w:tc>
          <w:tcPr>
            <w:tcW w:w="243" w:type="pct"/>
          </w:tcPr>
          <w:p w:rsidR="00ED66D3" w:rsidRPr="00ED66D3" w:rsidRDefault="00ED66D3" w:rsidP="00ED66D3">
            <w:pPr>
              <w:spacing w:line="276" w:lineRule="auto"/>
              <w:jc w:val="both"/>
              <w:rPr>
                <w:rFonts w:eastAsia="Calibri"/>
                <w:sz w:val="20"/>
                <w:lang w:val="fr-CA"/>
              </w:rPr>
            </w:pPr>
          </w:p>
        </w:tc>
        <w:tc>
          <w:tcPr>
            <w:tcW w:w="2330" w:type="pct"/>
          </w:tcPr>
          <w:p w:rsidR="00ED66D3" w:rsidRPr="00ED66D3" w:rsidRDefault="00ED66D3" w:rsidP="00ED66D3">
            <w:pPr>
              <w:spacing w:line="276" w:lineRule="auto"/>
              <w:jc w:val="both"/>
              <w:rPr>
                <w:rFonts w:eastAsia="Calibri"/>
                <w:sz w:val="20"/>
                <w:lang w:val="fr-CA"/>
              </w:rPr>
            </w:pPr>
            <w:r w:rsidRPr="00ED66D3">
              <w:rPr>
                <w:rFonts w:eastAsia="Calibri"/>
                <w:sz w:val="20"/>
                <w:lang w:val="fr-CA"/>
              </w:rPr>
              <w:t>Appel rejeté; requête pour preuve nouvelle rejetée</w:t>
            </w:r>
          </w:p>
          <w:p w:rsidR="00ED66D3" w:rsidRPr="00ED66D3" w:rsidRDefault="00ED66D3" w:rsidP="00ED66D3">
            <w:pPr>
              <w:spacing w:line="276" w:lineRule="auto"/>
              <w:jc w:val="both"/>
              <w:rPr>
                <w:rFonts w:eastAsia="Calibri"/>
                <w:sz w:val="20"/>
                <w:lang w:val="fr-CA"/>
              </w:rPr>
            </w:pPr>
          </w:p>
        </w:tc>
      </w:tr>
      <w:tr w:rsidR="00ED66D3" w:rsidRPr="00ED66D3" w:rsidTr="00ED66D3">
        <w:tc>
          <w:tcPr>
            <w:tcW w:w="2427" w:type="pct"/>
            <w:gridSpan w:val="2"/>
            <w:hideMark/>
          </w:tcPr>
          <w:p w:rsidR="00ED66D3" w:rsidRPr="00ED66D3" w:rsidRDefault="00ED66D3" w:rsidP="00ED66D3">
            <w:pPr>
              <w:spacing w:line="276" w:lineRule="auto"/>
              <w:jc w:val="both"/>
              <w:rPr>
                <w:rFonts w:eastAsia="Calibri"/>
                <w:sz w:val="20"/>
                <w:lang w:val="fr-CA"/>
              </w:rPr>
            </w:pPr>
            <w:r w:rsidRPr="00ED66D3">
              <w:rPr>
                <w:rFonts w:eastAsia="Calibri"/>
                <w:sz w:val="20"/>
                <w:lang w:val="fr-CA"/>
              </w:rPr>
              <w:t>Le 27 mars 2015</w:t>
            </w:r>
          </w:p>
          <w:p w:rsidR="00ED66D3" w:rsidRPr="00ED66D3" w:rsidRDefault="00ED66D3" w:rsidP="00ED66D3">
            <w:pPr>
              <w:spacing w:line="276" w:lineRule="auto"/>
              <w:jc w:val="both"/>
              <w:rPr>
                <w:rFonts w:eastAsia="Calibri"/>
                <w:sz w:val="20"/>
                <w:lang w:val="fr-CA"/>
              </w:rPr>
            </w:pPr>
            <w:r w:rsidRPr="00ED66D3">
              <w:rPr>
                <w:rFonts w:eastAsia="Calibri"/>
                <w:sz w:val="20"/>
                <w:lang w:val="fr-CA"/>
              </w:rPr>
              <w:t>Cour suprême du Canada</w:t>
            </w:r>
          </w:p>
        </w:tc>
        <w:tc>
          <w:tcPr>
            <w:tcW w:w="243" w:type="pct"/>
          </w:tcPr>
          <w:p w:rsidR="00ED66D3" w:rsidRPr="00ED66D3" w:rsidRDefault="00ED66D3" w:rsidP="00ED66D3">
            <w:pPr>
              <w:spacing w:line="276" w:lineRule="auto"/>
              <w:jc w:val="both"/>
              <w:rPr>
                <w:rFonts w:eastAsia="Calibri"/>
                <w:sz w:val="20"/>
                <w:lang w:val="fr-CA"/>
              </w:rPr>
            </w:pPr>
          </w:p>
        </w:tc>
        <w:tc>
          <w:tcPr>
            <w:tcW w:w="2330" w:type="pct"/>
          </w:tcPr>
          <w:p w:rsidR="00ED66D3" w:rsidRPr="00ED66D3" w:rsidRDefault="00ED66D3" w:rsidP="00ED66D3">
            <w:pPr>
              <w:spacing w:line="276" w:lineRule="auto"/>
              <w:jc w:val="both"/>
              <w:rPr>
                <w:rFonts w:eastAsia="Calibri"/>
                <w:sz w:val="20"/>
                <w:lang w:val="fr-CA"/>
              </w:rPr>
            </w:pPr>
            <w:r w:rsidRPr="00ED66D3">
              <w:rPr>
                <w:rFonts w:eastAsia="Calibri"/>
                <w:sz w:val="20"/>
                <w:lang w:val="fr-CA"/>
              </w:rPr>
              <w:t>Demande d'autorisation d'appel déposée</w:t>
            </w:r>
          </w:p>
          <w:p w:rsidR="00ED66D3" w:rsidRPr="00ED66D3" w:rsidRDefault="00ED66D3" w:rsidP="00ED66D3">
            <w:pPr>
              <w:spacing w:line="276" w:lineRule="auto"/>
              <w:jc w:val="both"/>
              <w:rPr>
                <w:rFonts w:eastAsia="Calibri"/>
                <w:sz w:val="20"/>
                <w:lang w:val="fr-CA"/>
              </w:rPr>
            </w:pPr>
          </w:p>
        </w:tc>
      </w:tr>
    </w:tbl>
    <w:p w:rsidR="00ED66D3" w:rsidRDefault="00ED66D3" w:rsidP="00ED66D3">
      <w:pPr>
        <w:jc w:val="both"/>
        <w:rPr>
          <w:rFonts w:eastAsia="Calibri"/>
          <w:sz w:val="20"/>
          <w:lang w:val="fr-CA"/>
        </w:rPr>
      </w:pPr>
    </w:p>
    <w:p w:rsidR="009C21EE" w:rsidRPr="00ED66D3" w:rsidRDefault="009C21EE" w:rsidP="00ED66D3">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529E3" w:rsidRPr="005529E3" w:rsidTr="005529E3">
        <w:tc>
          <w:tcPr>
            <w:tcW w:w="543" w:type="pct"/>
            <w:hideMark/>
          </w:tcPr>
          <w:p w:rsidR="005529E3" w:rsidRPr="005529E3" w:rsidRDefault="005529E3" w:rsidP="005529E3">
            <w:pPr>
              <w:spacing w:line="276" w:lineRule="auto"/>
              <w:jc w:val="both"/>
              <w:rPr>
                <w:rFonts w:eastAsia="Calibri"/>
                <w:sz w:val="20"/>
                <w:lang w:val="en-CA"/>
              </w:rPr>
            </w:pPr>
            <w:r w:rsidRPr="005529E3">
              <w:rPr>
                <w:rFonts w:eastAsia="Calibri"/>
                <w:b/>
                <w:sz w:val="20"/>
                <w:lang w:val="en-CA"/>
              </w:rPr>
              <w:t>36415</w:t>
            </w:r>
          </w:p>
        </w:tc>
        <w:tc>
          <w:tcPr>
            <w:tcW w:w="4457" w:type="pct"/>
            <w:gridSpan w:val="3"/>
            <w:hideMark/>
          </w:tcPr>
          <w:p w:rsidR="005529E3" w:rsidRPr="005529E3" w:rsidRDefault="005529E3" w:rsidP="005529E3">
            <w:pPr>
              <w:spacing w:line="276" w:lineRule="auto"/>
              <w:jc w:val="both"/>
              <w:rPr>
                <w:rFonts w:eastAsia="Calibri"/>
                <w:b/>
                <w:sz w:val="20"/>
                <w:lang w:val="en-CA"/>
              </w:rPr>
            </w:pPr>
            <w:r w:rsidRPr="005529E3">
              <w:rPr>
                <w:rFonts w:eastAsia="Calibri"/>
                <w:b/>
                <w:sz w:val="20"/>
                <w:lang w:val="en-CA"/>
              </w:rPr>
              <w:t>John Turmel v. Her Majesty the Queen</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(FC) (Civil) (By Leave)</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r w:rsidRPr="005529E3">
              <w:rPr>
                <w:rFonts w:eastAsia="Calibri"/>
                <w:sz w:val="20"/>
                <w:lang w:val="en-CA"/>
              </w:rPr>
              <w:t xml:space="preserve">Civil procedure – Case management – Numerous plaintiffs seeking declaration that medical marihuana regulatory regime unconstitutional – Federal Court ordering stay of all actions with exception of one – Applicant attempting to file motion for summary judgment – Federal Court directing Registry not to accept motion for filing – Federal Court of Appeal directing Appeal Registry not to accept applicant’s appeal for filing – Whether </w:t>
            </w:r>
            <w:r w:rsidRPr="005529E3">
              <w:rPr>
                <w:rFonts w:eastAsia="Calibri"/>
                <w:i/>
                <w:sz w:val="20"/>
                <w:lang w:val="en-CA"/>
              </w:rPr>
              <w:t xml:space="preserve">Aga Khan v. </w:t>
            </w:r>
            <w:proofErr w:type="spellStart"/>
            <w:r w:rsidRPr="005529E3">
              <w:rPr>
                <w:rFonts w:eastAsia="Calibri"/>
                <w:i/>
                <w:sz w:val="20"/>
                <w:lang w:val="en-CA"/>
              </w:rPr>
              <w:t>Tajkin</w:t>
            </w:r>
            <w:proofErr w:type="spellEnd"/>
            <w:r w:rsidRPr="005529E3">
              <w:rPr>
                <w:rFonts w:eastAsia="Calibri"/>
                <w:sz w:val="20"/>
                <w:lang w:val="en-CA"/>
              </w:rPr>
              <w:t xml:space="preserve">, 2012 FCA 238 decision bars appeals of a direction by a </w:t>
            </w:r>
            <w:proofErr w:type="spellStart"/>
            <w:r w:rsidRPr="005529E3">
              <w:rPr>
                <w:rFonts w:eastAsia="Calibri"/>
                <w:sz w:val="20"/>
                <w:lang w:val="en-CA"/>
              </w:rPr>
              <w:t>prothonotary</w:t>
            </w:r>
            <w:proofErr w:type="spellEnd"/>
            <w:r w:rsidRPr="005529E3">
              <w:rPr>
                <w:rFonts w:eastAsia="Calibri"/>
                <w:sz w:val="20"/>
                <w:lang w:val="en-CA"/>
              </w:rPr>
              <w:t>, not appeals of direction by a judge.</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r w:rsidRPr="005529E3">
              <w:rPr>
                <w:rFonts w:eastAsia="Calibri"/>
                <w:sz w:val="20"/>
                <w:lang w:val="en-CA"/>
              </w:rPr>
              <w:lastRenderedPageBreak/>
              <w:t xml:space="preserve">Since February, 2014, more than 270 unrepresented plaintiffs, including the applicant, have filed almost identical claims in the Federal Court, seeking declarations that Canada’s new medical marihuana regulatory regime is unconstitutional. The Federal Court stayed all of these actions pending a final disposition in the one action that had been selected to proceed. In December, 2014, the applicant filed a motion for summary judgment in his case.  </w:t>
            </w:r>
          </w:p>
          <w:p w:rsidR="005529E3" w:rsidRPr="005529E3" w:rsidRDefault="005529E3" w:rsidP="005529E3">
            <w:pPr>
              <w:spacing w:line="276" w:lineRule="auto"/>
              <w:jc w:val="both"/>
              <w:rPr>
                <w:rFonts w:eastAsia="Calibri"/>
                <w:sz w:val="20"/>
                <w:lang w:val="en-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en-CA"/>
              </w:rPr>
            </w:pPr>
            <w:r w:rsidRPr="005529E3">
              <w:rPr>
                <w:rFonts w:eastAsia="Calibri"/>
                <w:sz w:val="20"/>
                <w:lang w:val="en-CA"/>
              </w:rPr>
              <w:t>January 5,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Federal Court</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(Phelan J.)</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Unreported</w:t>
            </w:r>
          </w:p>
          <w:p w:rsidR="005529E3" w:rsidRPr="005529E3" w:rsidRDefault="005529E3" w:rsidP="005529E3">
            <w:pPr>
              <w:spacing w:line="276" w:lineRule="auto"/>
              <w:jc w:val="both"/>
              <w:rPr>
                <w:rFonts w:eastAsia="Calibri"/>
                <w:sz w:val="20"/>
                <w:lang w:val="en-CA"/>
              </w:rPr>
            </w:pP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Direction to Federal Court Registry not to accept applicant’s motion record</w:t>
            </w:r>
          </w:p>
          <w:p w:rsidR="005529E3" w:rsidRPr="005529E3" w:rsidRDefault="005529E3" w:rsidP="005529E3">
            <w:pPr>
              <w:spacing w:line="276" w:lineRule="auto"/>
              <w:jc w:val="both"/>
              <w:rPr>
                <w:rFonts w:eastAsia="Calibri"/>
                <w:sz w:val="20"/>
                <w:lang w:val="en-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en-CA"/>
              </w:rPr>
            </w:pPr>
            <w:r w:rsidRPr="005529E3">
              <w:rPr>
                <w:rFonts w:eastAsia="Calibri"/>
                <w:sz w:val="20"/>
                <w:lang w:val="en-CA"/>
              </w:rPr>
              <w:t>February 13,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Federal Court of Appeal</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(Dawson J.A.)</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Unreported</w:t>
            </w:r>
          </w:p>
          <w:p w:rsidR="005529E3" w:rsidRPr="005529E3" w:rsidRDefault="005529E3" w:rsidP="005529E3">
            <w:pPr>
              <w:spacing w:line="276" w:lineRule="auto"/>
              <w:jc w:val="both"/>
              <w:rPr>
                <w:rFonts w:eastAsia="Calibri"/>
                <w:sz w:val="20"/>
                <w:lang w:val="en-CA"/>
              </w:rPr>
            </w:pP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Direction to Federal Court Appeal Registry not to accept applicant’s notice of appeal for filing</w:t>
            </w:r>
          </w:p>
          <w:p w:rsidR="005529E3" w:rsidRPr="005529E3" w:rsidRDefault="005529E3" w:rsidP="005529E3">
            <w:pPr>
              <w:spacing w:line="276" w:lineRule="auto"/>
              <w:jc w:val="both"/>
              <w:rPr>
                <w:rFonts w:eastAsia="Calibri"/>
                <w:sz w:val="20"/>
                <w:lang w:val="en-CA"/>
              </w:rPr>
            </w:pPr>
          </w:p>
        </w:tc>
      </w:tr>
      <w:tr w:rsidR="005529E3" w:rsidRPr="005529E3" w:rsidTr="005529E3">
        <w:tc>
          <w:tcPr>
            <w:tcW w:w="2427" w:type="pct"/>
            <w:gridSpan w:val="2"/>
            <w:hideMark/>
          </w:tcPr>
          <w:p w:rsidR="005529E3" w:rsidRPr="005529E3" w:rsidRDefault="005529E3" w:rsidP="005529E3">
            <w:pPr>
              <w:spacing w:line="276" w:lineRule="auto"/>
              <w:jc w:val="both"/>
              <w:rPr>
                <w:rFonts w:eastAsia="Calibri"/>
                <w:sz w:val="20"/>
                <w:lang w:val="en-CA"/>
              </w:rPr>
            </w:pPr>
            <w:r w:rsidRPr="005529E3">
              <w:rPr>
                <w:rFonts w:eastAsia="Calibri"/>
                <w:sz w:val="20"/>
                <w:lang w:val="en-CA"/>
              </w:rPr>
              <w:t>April 13,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Supreme Court of Canada</w:t>
            </w: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Application for leave to appeal filed</w:t>
            </w:r>
          </w:p>
          <w:p w:rsidR="005529E3" w:rsidRPr="005529E3" w:rsidRDefault="005529E3" w:rsidP="005529E3">
            <w:pPr>
              <w:spacing w:line="276" w:lineRule="auto"/>
              <w:jc w:val="both"/>
              <w:rPr>
                <w:rFonts w:eastAsia="Calibri"/>
                <w:sz w:val="20"/>
                <w:lang w:val="en-CA"/>
              </w:rPr>
            </w:pPr>
          </w:p>
        </w:tc>
      </w:tr>
    </w:tbl>
    <w:p w:rsidR="005529E3" w:rsidRDefault="005529E3" w:rsidP="005529E3">
      <w:pPr>
        <w:jc w:val="both"/>
        <w:rPr>
          <w:rFonts w:eastAsia="Calibri"/>
          <w:sz w:val="20"/>
          <w:lang w:val="en-CA"/>
        </w:rPr>
      </w:pPr>
    </w:p>
    <w:p w:rsidR="009C21EE" w:rsidRPr="005529E3" w:rsidRDefault="009C21EE" w:rsidP="005529E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529E3" w:rsidRPr="005529E3" w:rsidTr="005529E3">
        <w:tc>
          <w:tcPr>
            <w:tcW w:w="543" w:type="pct"/>
            <w:hideMark/>
          </w:tcPr>
          <w:p w:rsidR="005529E3" w:rsidRPr="005529E3" w:rsidRDefault="005529E3" w:rsidP="005529E3">
            <w:pPr>
              <w:spacing w:line="276" w:lineRule="auto"/>
              <w:jc w:val="both"/>
              <w:rPr>
                <w:rFonts w:eastAsia="Calibri"/>
                <w:sz w:val="20"/>
                <w:lang w:val="fr-CA"/>
              </w:rPr>
            </w:pPr>
            <w:r w:rsidRPr="005529E3">
              <w:rPr>
                <w:rFonts w:eastAsia="Calibri"/>
                <w:b/>
                <w:sz w:val="20"/>
                <w:lang w:val="fr-CA"/>
              </w:rPr>
              <w:t>36415</w:t>
            </w:r>
          </w:p>
        </w:tc>
        <w:tc>
          <w:tcPr>
            <w:tcW w:w="4457" w:type="pct"/>
            <w:gridSpan w:val="3"/>
            <w:hideMark/>
          </w:tcPr>
          <w:p w:rsidR="005529E3" w:rsidRPr="005529E3" w:rsidRDefault="005529E3" w:rsidP="005529E3">
            <w:pPr>
              <w:spacing w:line="276" w:lineRule="auto"/>
              <w:jc w:val="both"/>
              <w:rPr>
                <w:rFonts w:eastAsia="Calibri"/>
                <w:b/>
                <w:sz w:val="20"/>
                <w:lang w:val="fr-CA"/>
              </w:rPr>
            </w:pPr>
            <w:r w:rsidRPr="005529E3">
              <w:rPr>
                <w:rFonts w:eastAsia="Calibri"/>
                <w:b/>
                <w:sz w:val="20"/>
                <w:lang w:val="fr-CA"/>
              </w:rPr>
              <w:t>John Turmel c. Sa Majesté la Reine</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(CF) (Civile) (Sur autorisation)</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Procédure civile – Gestion de l’instance – De nombreux demandeurs sollicitent un jugement déclarant que le régime de réglementation de la marihuana à des fins médicales est inconstitutionnel – La Cour fédérale a ordonné la suspension de toutes les actions à l’exception d’une seule – Le demandeur tente de déposer une requête en jugement sommaire – La Cour fédérale a ordonné au greffe de ne pas accepter la requête en vue de son dépôt – La Cour d’appel fédérale a ordonné au greffe d’appel ne pas accepter l’appel du demandeur en vue de son dépôt – L’arrêt </w:t>
            </w:r>
            <w:r w:rsidRPr="005529E3">
              <w:rPr>
                <w:rFonts w:eastAsia="Calibri"/>
                <w:i/>
                <w:sz w:val="20"/>
                <w:lang w:val="fr-CA"/>
              </w:rPr>
              <w:t xml:space="preserve">Aga Khan c. </w:t>
            </w:r>
            <w:proofErr w:type="spellStart"/>
            <w:r w:rsidRPr="005529E3">
              <w:rPr>
                <w:rFonts w:eastAsia="Calibri"/>
                <w:i/>
                <w:sz w:val="20"/>
                <w:lang w:val="fr-CA"/>
              </w:rPr>
              <w:t>Tajkin</w:t>
            </w:r>
            <w:proofErr w:type="spellEnd"/>
            <w:r w:rsidRPr="005529E3">
              <w:rPr>
                <w:rFonts w:eastAsia="Calibri"/>
                <w:sz w:val="20"/>
                <w:lang w:val="fr-CA"/>
              </w:rPr>
              <w:t>, 2012 CAF 238 rend-il irrecevable les appels de directives d’un protonotaire, mais non les appels de directives d’un juge?</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Depuis février 2014, plus de 270 demandeurs non représentés, y compris le demandeur en l’espèce, ont déposé des demandes pratiquement identiques en Cour fédérale, sollicitant des jugements déclarant que le nouveau régime canadien de réglementation de la marihuana à des fins médicales est inconstitutionnel. La Cour fédérale a suspendu toutes ces actions en attendant qu’il soit définitivement statué sur l’action choisie pour aller de l’avant. En décembre 2014, le demandeur a déposé une requête en jugement sommaire dans son dossier.  </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t>5 janvier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fédérale</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(Juge Phelan)</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Non publié</w:t>
            </w:r>
          </w:p>
          <w:p w:rsidR="005529E3" w:rsidRPr="005529E3" w:rsidRDefault="005529E3" w:rsidP="005529E3">
            <w:pPr>
              <w:spacing w:line="276" w:lineRule="auto"/>
              <w:jc w:val="both"/>
              <w:rPr>
                <w:rFonts w:eastAsia="Calibri"/>
                <w:sz w:val="20"/>
                <w:lang w:val="fr-CA"/>
              </w:rPr>
            </w:pP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Directive au greffe de la Cour fédérale de ne pas accepter le dossier de requête du demandeur</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t>13 février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d’appel fédérale</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(Juge Dawson)</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Non publié</w:t>
            </w:r>
          </w:p>
          <w:p w:rsidR="005529E3" w:rsidRPr="005529E3" w:rsidRDefault="005529E3" w:rsidP="005529E3">
            <w:pPr>
              <w:spacing w:line="276" w:lineRule="auto"/>
              <w:jc w:val="both"/>
              <w:rPr>
                <w:rFonts w:eastAsia="Calibri"/>
                <w:sz w:val="20"/>
                <w:lang w:val="fr-CA"/>
              </w:rPr>
            </w:pP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Directive au greffe de la Cour d’appel fédérale de ne pas accepter l’avis d’appel du demandeur en vue de son dépôt</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hideMark/>
          </w:tcPr>
          <w:p w:rsidR="005529E3" w:rsidRPr="005529E3" w:rsidRDefault="005529E3" w:rsidP="005529E3">
            <w:pPr>
              <w:spacing w:line="276" w:lineRule="auto"/>
              <w:jc w:val="both"/>
              <w:rPr>
                <w:rFonts w:eastAsia="Calibri"/>
                <w:sz w:val="20"/>
                <w:lang w:val="fr-CA"/>
              </w:rPr>
            </w:pPr>
            <w:r w:rsidRPr="005529E3">
              <w:rPr>
                <w:rFonts w:eastAsia="Calibri"/>
                <w:sz w:val="20"/>
                <w:lang w:val="fr-CA"/>
              </w:rPr>
              <w:lastRenderedPageBreak/>
              <w:t>13 avril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suprême du Canada</w:t>
            </w: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Dépôt de la demande d’autorisation d’appel</w:t>
            </w:r>
          </w:p>
          <w:p w:rsidR="005529E3" w:rsidRPr="005529E3" w:rsidRDefault="005529E3" w:rsidP="005529E3">
            <w:pPr>
              <w:spacing w:line="276" w:lineRule="auto"/>
              <w:jc w:val="both"/>
              <w:rPr>
                <w:rFonts w:eastAsia="Calibri"/>
                <w:sz w:val="20"/>
                <w:lang w:val="fr-CA"/>
              </w:rPr>
            </w:pPr>
          </w:p>
        </w:tc>
      </w:tr>
    </w:tbl>
    <w:p w:rsidR="005529E3" w:rsidRDefault="005529E3" w:rsidP="005529E3">
      <w:pPr>
        <w:jc w:val="both"/>
        <w:rPr>
          <w:rFonts w:eastAsia="Calibri"/>
          <w:sz w:val="20"/>
          <w:lang w:val="fr-CA"/>
        </w:rPr>
      </w:pPr>
    </w:p>
    <w:p w:rsidR="009C21EE" w:rsidRPr="005529E3" w:rsidRDefault="009C21EE" w:rsidP="005529E3">
      <w:pPr>
        <w:jc w:val="both"/>
        <w:rPr>
          <w:rFonts w:eastAsia="Calibri"/>
          <w:sz w:val="20"/>
          <w:lang w:val="fr-CA"/>
        </w:rPr>
      </w:pPr>
    </w:p>
    <w:tbl>
      <w:tblPr>
        <w:tblW w:w="5000" w:type="pct"/>
        <w:tblCellMar>
          <w:left w:w="0" w:type="dxa"/>
          <w:bottom w:w="99" w:type="dxa"/>
          <w:right w:w="0" w:type="dxa"/>
        </w:tblCellMar>
        <w:tblLook w:val="04A0" w:firstRow="1" w:lastRow="0" w:firstColumn="1" w:lastColumn="0" w:noHBand="0" w:noVBand="1"/>
      </w:tblPr>
      <w:tblGrid>
        <w:gridCol w:w="988"/>
        <w:gridCol w:w="3441"/>
        <w:gridCol w:w="610"/>
        <w:gridCol w:w="4321"/>
      </w:tblGrid>
      <w:tr w:rsidR="005529E3" w:rsidRPr="005529E3" w:rsidTr="005529E3">
        <w:tc>
          <w:tcPr>
            <w:tcW w:w="528" w:type="pct"/>
            <w:hideMark/>
          </w:tcPr>
          <w:p w:rsidR="005529E3" w:rsidRPr="005529E3" w:rsidRDefault="005529E3" w:rsidP="005529E3">
            <w:pPr>
              <w:spacing w:line="276" w:lineRule="auto"/>
              <w:jc w:val="both"/>
              <w:rPr>
                <w:rFonts w:eastAsia="Calibri"/>
                <w:sz w:val="20"/>
                <w:lang w:val="en-CA"/>
              </w:rPr>
            </w:pPr>
            <w:r w:rsidRPr="005529E3">
              <w:rPr>
                <w:rFonts w:eastAsia="Calibri"/>
                <w:b/>
                <w:sz w:val="20"/>
                <w:lang w:val="en-CA"/>
              </w:rPr>
              <w:t>36348</w:t>
            </w:r>
          </w:p>
        </w:tc>
        <w:tc>
          <w:tcPr>
            <w:tcW w:w="4472" w:type="pct"/>
            <w:gridSpan w:val="3"/>
            <w:hideMark/>
          </w:tcPr>
          <w:p w:rsidR="005529E3" w:rsidRPr="005529E3" w:rsidRDefault="005529E3" w:rsidP="005529E3">
            <w:pPr>
              <w:spacing w:line="276" w:lineRule="auto"/>
              <w:jc w:val="both"/>
              <w:rPr>
                <w:rFonts w:eastAsia="Calibri"/>
                <w:b/>
                <w:sz w:val="20"/>
                <w:lang w:val="en-CA"/>
              </w:rPr>
            </w:pPr>
            <w:r w:rsidRPr="005529E3">
              <w:rPr>
                <w:rFonts w:eastAsia="Calibri"/>
                <w:b/>
                <w:sz w:val="20"/>
                <w:lang w:val="en-CA"/>
              </w:rPr>
              <w:t xml:space="preserve">Kelly </w:t>
            </w:r>
            <w:proofErr w:type="spellStart"/>
            <w:r w:rsidRPr="005529E3">
              <w:rPr>
                <w:rFonts w:eastAsia="Calibri"/>
                <w:b/>
                <w:sz w:val="20"/>
                <w:lang w:val="en-CA"/>
              </w:rPr>
              <w:t>Amram</w:t>
            </w:r>
            <w:proofErr w:type="spellEnd"/>
            <w:r w:rsidRPr="005529E3">
              <w:rPr>
                <w:rFonts w:eastAsia="Calibri"/>
                <w:b/>
                <w:sz w:val="20"/>
                <w:lang w:val="en-CA"/>
              </w:rPr>
              <w:t xml:space="preserve"> v. Rogers Communications Inc., Rogers Communication G.P., Fido Solutions Inc.</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(Que.) (Civil) (By Leave)</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r w:rsidRPr="005529E3">
              <w:rPr>
                <w:rFonts w:eastAsia="Calibri"/>
                <w:sz w:val="20"/>
                <w:lang w:val="en-CA"/>
              </w:rPr>
              <w:t xml:space="preserve">Civil procedure – Class actions – Group definition – Group members not residing in Quebec – Jurisdiction of Quebec Superior Court to authorize national class action – Whether courts below erred in refusing to authorize national class action – </w:t>
            </w:r>
            <w:r w:rsidRPr="005529E3">
              <w:rPr>
                <w:rFonts w:eastAsia="Calibri"/>
                <w:i/>
                <w:sz w:val="20"/>
                <w:lang w:val="en-CA"/>
              </w:rPr>
              <w:t>Civil Code of Québec</w:t>
            </w:r>
            <w:r w:rsidRPr="005529E3">
              <w:rPr>
                <w:rFonts w:eastAsia="Calibri"/>
                <w:sz w:val="20"/>
                <w:lang w:val="en-CA"/>
              </w:rPr>
              <w:t>, CQLR, c. C</w:t>
            </w:r>
            <w:r w:rsidRPr="005529E3">
              <w:rPr>
                <w:rFonts w:eastAsia="Calibri"/>
                <w:sz w:val="20"/>
                <w:lang w:val="en-CA"/>
              </w:rPr>
              <w:noBreakHyphen/>
              <w:t>1991, art. 3148.</w:t>
            </w:r>
          </w:p>
          <w:p w:rsidR="005529E3" w:rsidRPr="005529E3" w:rsidRDefault="005529E3" w:rsidP="005529E3">
            <w:pPr>
              <w:spacing w:line="276" w:lineRule="auto"/>
              <w:jc w:val="both"/>
              <w:rPr>
                <w:rFonts w:eastAsia="Calibri"/>
                <w:sz w:val="20"/>
                <w:lang w:val="en-CA"/>
              </w:rPr>
            </w:pPr>
          </w:p>
        </w:tc>
      </w:tr>
      <w:tr w:rsidR="005529E3" w:rsidRPr="005529E3" w:rsidTr="005529E3">
        <w:tc>
          <w:tcPr>
            <w:tcW w:w="5000" w:type="pct"/>
            <w:gridSpan w:val="4"/>
            <w:hideMark/>
          </w:tcPr>
          <w:p w:rsidR="005529E3" w:rsidRPr="005529E3" w:rsidRDefault="005529E3" w:rsidP="005529E3">
            <w:pPr>
              <w:spacing w:line="276" w:lineRule="auto"/>
              <w:jc w:val="both"/>
              <w:rPr>
                <w:rFonts w:eastAsia="Calibri"/>
                <w:sz w:val="20"/>
                <w:lang w:val="en-CA"/>
              </w:rPr>
            </w:pPr>
            <w:r w:rsidRPr="005529E3">
              <w:rPr>
                <w:rFonts w:eastAsia="Calibri"/>
                <w:sz w:val="20"/>
                <w:lang w:val="en-CA"/>
              </w:rPr>
              <w:t>The courts below authorized a class action against the respondents on behalf of a group that included all customers of the respondents residing in Quebec, but they refused to authorize a national action that also included non</w:t>
            </w:r>
            <w:r w:rsidRPr="005529E3">
              <w:rPr>
                <w:rFonts w:eastAsia="Calibri"/>
                <w:sz w:val="20"/>
                <w:lang w:val="en-CA"/>
              </w:rPr>
              <w:noBreakHyphen/>
              <w:t xml:space="preserve">residents. The applicant is challenging those decisions. </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p>
        </w:tc>
      </w:tr>
      <w:tr w:rsidR="005529E3" w:rsidRPr="005529E3" w:rsidTr="005529E3">
        <w:tc>
          <w:tcPr>
            <w:tcW w:w="2366" w:type="pct"/>
            <w:gridSpan w:val="2"/>
            <w:tcMar>
              <w:top w:w="0" w:type="dxa"/>
              <w:left w:w="0" w:type="dxa"/>
              <w:bottom w:w="0" w:type="dxa"/>
              <w:right w:w="0" w:type="dxa"/>
            </w:tcMar>
          </w:tcPr>
          <w:p w:rsidR="005529E3" w:rsidRPr="005529E3" w:rsidRDefault="005529E3" w:rsidP="005529E3">
            <w:pPr>
              <w:spacing w:line="276" w:lineRule="auto"/>
              <w:jc w:val="both"/>
              <w:rPr>
                <w:rFonts w:eastAsia="Calibri"/>
                <w:sz w:val="20"/>
                <w:lang w:val="en-CA"/>
              </w:rPr>
            </w:pPr>
            <w:r w:rsidRPr="005529E3">
              <w:rPr>
                <w:rFonts w:eastAsia="Calibri"/>
                <w:sz w:val="20"/>
                <w:lang w:val="en-CA"/>
              </w:rPr>
              <w:t>July 27, 2012</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Quebec Superior Court</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(Emery J.)</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2012 QCCS 4453</w:t>
            </w:r>
          </w:p>
          <w:p w:rsidR="005529E3" w:rsidRPr="005529E3" w:rsidRDefault="005529E3" w:rsidP="005529E3">
            <w:pPr>
              <w:spacing w:line="276" w:lineRule="auto"/>
              <w:jc w:val="both"/>
              <w:rPr>
                <w:rFonts w:eastAsia="Calibri"/>
                <w:sz w:val="20"/>
                <w:lang w:val="en-CA"/>
              </w:rPr>
            </w:pPr>
          </w:p>
        </w:tc>
        <w:tc>
          <w:tcPr>
            <w:tcW w:w="326" w:type="pct"/>
            <w:tcMar>
              <w:top w:w="0" w:type="dxa"/>
              <w:left w:w="0" w:type="dxa"/>
              <w:bottom w:w="0" w:type="dxa"/>
              <w:right w:w="0" w:type="dxa"/>
            </w:tcMar>
          </w:tcPr>
          <w:p w:rsidR="005529E3" w:rsidRPr="005529E3" w:rsidRDefault="005529E3" w:rsidP="005529E3">
            <w:pPr>
              <w:spacing w:line="276" w:lineRule="auto"/>
              <w:jc w:val="both"/>
              <w:rPr>
                <w:rFonts w:eastAsia="Calibri"/>
                <w:sz w:val="20"/>
                <w:lang w:val="en-CA"/>
              </w:rPr>
            </w:pPr>
          </w:p>
        </w:tc>
        <w:tc>
          <w:tcPr>
            <w:tcW w:w="2308" w:type="pct"/>
            <w:tcMar>
              <w:top w:w="0" w:type="dxa"/>
              <w:left w:w="0" w:type="dxa"/>
              <w:bottom w:w="0" w:type="dxa"/>
              <w:right w:w="0" w:type="dxa"/>
            </w:tcMar>
          </w:tcPr>
          <w:p w:rsidR="005529E3" w:rsidRPr="005529E3" w:rsidRDefault="005529E3" w:rsidP="005529E3">
            <w:pPr>
              <w:spacing w:line="276" w:lineRule="auto"/>
              <w:jc w:val="both"/>
              <w:rPr>
                <w:rFonts w:eastAsia="Calibri"/>
                <w:sz w:val="20"/>
                <w:lang w:val="en-CA"/>
              </w:rPr>
            </w:pPr>
            <w:r w:rsidRPr="005529E3">
              <w:rPr>
                <w:rFonts w:eastAsia="Calibri"/>
                <w:sz w:val="20"/>
                <w:lang w:val="en-CA"/>
              </w:rPr>
              <w:t>Class action authorized against Rogers Communications Inc., Rogers Communication G.P.</w:t>
            </w:r>
          </w:p>
          <w:p w:rsidR="005529E3" w:rsidRPr="005529E3" w:rsidRDefault="005529E3" w:rsidP="005529E3">
            <w:pPr>
              <w:spacing w:line="276" w:lineRule="auto"/>
              <w:jc w:val="both"/>
              <w:rPr>
                <w:rFonts w:eastAsia="Calibri"/>
                <w:sz w:val="20"/>
                <w:lang w:val="en-CA"/>
              </w:rPr>
            </w:pPr>
          </w:p>
        </w:tc>
      </w:tr>
      <w:tr w:rsidR="005529E3" w:rsidRPr="005529E3" w:rsidTr="005529E3">
        <w:tc>
          <w:tcPr>
            <w:tcW w:w="2366" w:type="pct"/>
            <w:gridSpan w:val="2"/>
            <w:tcMar>
              <w:top w:w="0" w:type="dxa"/>
              <w:left w:w="0" w:type="dxa"/>
              <w:bottom w:w="0" w:type="dxa"/>
              <w:right w:w="0" w:type="dxa"/>
            </w:tcMar>
          </w:tcPr>
          <w:p w:rsidR="005529E3" w:rsidRPr="005529E3" w:rsidRDefault="005529E3" w:rsidP="005529E3">
            <w:pPr>
              <w:spacing w:line="276" w:lineRule="auto"/>
              <w:jc w:val="both"/>
              <w:rPr>
                <w:rFonts w:eastAsia="Calibri"/>
                <w:sz w:val="20"/>
                <w:lang w:val="en-CA"/>
              </w:rPr>
            </w:pPr>
            <w:r w:rsidRPr="005529E3">
              <w:rPr>
                <w:rFonts w:eastAsia="Calibri"/>
                <w:sz w:val="20"/>
                <w:lang w:val="en-CA"/>
              </w:rPr>
              <w:t>January 22,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Quebec Court of Appeal (Montréal)</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(Pelletier, </w:t>
            </w:r>
            <w:proofErr w:type="spellStart"/>
            <w:r w:rsidRPr="005529E3">
              <w:rPr>
                <w:rFonts w:eastAsia="Calibri"/>
                <w:sz w:val="20"/>
                <w:lang w:val="fr-CA"/>
              </w:rPr>
              <w:t>Kasirer</w:t>
            </w:r>
            <w:proofErr w:type="spellEnd"/>
            <w:r w:rsidRPr="005529E3">
              <w:rPr>
                <w:rFonts w:eastAsia="Calibri"/>
                <w:sz w:val="20"/>
                <w:lang w:val="fr-CA"/>
              </w:rPr>
              <w:t xml:space="preserve"> and Levesque JJ.A.)</w:t>
            </w:r>
          </w:p>
          <w:p w:rsidR="005529E3" w:rsidRPr="005529E3" w:rsidRDefault="00480458" w:rsidP="005529E3">
            <w:pPr>
              <w:spacing w:line="276" w:lineRule="auto"/>
              <w:jc w:val="both"/>
              <w:rPr>
                <w:rFonts w:eastAsia="Calibri"/>
                <w:sz w:val="20"/>
                <w:lang w:val="en-CA"/>
              </w:rPr>
            </w:pPr>
            <w:hyperlink r:id="rId86" w:history="1">
              <w:r w:rsidR="005529E3" w:rsidRPr="005529E3">
                <w:rPr>
                  <w:rFonts w:eastAsia="Calibri"/>
                  <w:color w:val="0000FF" w:themeColor="hyperlink"/>
                  <w:sz w:val="20"/>
                  <w:u w:val="single"/>
                  <w:lang w:val="en-CA"/>
                </w:rPr>
                <w:t>2015 QCCA 105</w:t>
              </w:r>
            </w:hyperlink>
          </w:p>
          <w:p w:rsidR="005529E3" w:rsidRPr="005529E3" w:rsidRDefault="005529E3" w:rsidP="005529E3">
            <w:pPr>
              <w:spacing w:line="276" w:lineRule="auto"/>
              <w:jc w:val="both"/>
              <w:rPr>
                <w:rFonts w:eastAsia="Calibri"/>
                <w:sz w:val="20"/>
                <w:lang w:val="en-CA"/>
              </w:rPr>
            </w:pPr>
          </w:p>
        </w:tc>
        <w:tc>
          <w:tcPr>
            <w:tcW w:w="326" w:type="pct"/>
            <w:tcMar>
              <w:top w:w="0" w:type="dxa"/>
              <w:left w:w="0" w:type="dxa"/>
              <w:bottom w:w="0" w:type="dxa"/>
              <w:right w:w="0" w:type="dxa"/>
            </w:tcMar>
          </w:tcPr>
          <w:p w:rsidR="005529E3" w:rsidRPr="005529E3" w:rsidRDefault="005529E3" w:rsidP="005529E3">
            <w:pPr>
              <w:spacing w:line="276" w:lineRule="auto"/>
              <w:jc w:val="both"/>
              <w:rPr>
                <w:rFonts w:eastAsia="Calibri"/>
                <w:sz w:val="20"/>
                <w:lang w:val="en-CA"/>
              </w:rPr>
            </w:pPr>
          </w:p>
        </w:tc>
        <w:tc>
          <w:tcPr>
            <w:tcW w:w="2308" w:type="pct"/>
            <w:tcMar>
              <w:top w:w="0" w:type="dxa"/>
              <w:left w:w="0" w:type="dxa"/>
              <w:bottom w:w="0" w:type="dxa"/>
              <w:right w:w="0" w:type="dxa"/>
            </w:tcMar>
          </w:tcPr>
          <w:p w:rsidR="005529E3" w:rsidRPr="005529E3" w:rsidRDefault="005529E3" w:rsidP="005529E3">
            <w:pPr>
              <w:spacing w:line="276" w:lineRule="auto"/>
              <w:jc w:val="both"/>
              <w:rPr>
                <w:rFonts w:eastAsia="Calibri"/>
                <w:sz w:val="20"/>
                <w:lang w:val="en-CA"/>
              </w:rPr>
            </w:pPr>
            <w:r w:rsidRPr="005529E3">
              <w:rPr>
                <w:rFonts w:eastAsia="Calibri"/>
                <w:sz w:val="20"/>
                <w:lang w:val="en-CA"/>
              </w:rPr>
              <w:t>Appeal allowed in part; class action authorized against Fido Solutions Inc.</w:t>
            </w:r>
          </w:p>
          <w:p w:rsidR="005529E3" w:rsidRPr="005529E3" w:rsidRDefault="005529E3" w:rsidP="005529E3">
            <w:pPr>
              <w:spacing w:line="276" w:lineRule="auto"/>
              <w:jc w:val="both"/>
              <w:rPr>
                <w:rFonts w:eastAsia="Calibri"/>
                <w:sz w:val="20"/>
                <w:lang w:val="en-CA"/>
              </w:rPr>
            </w:pPr>
          </w:p>
        </w:tc>
      </w:tr>
      <w:tr w:rsidR="005529E3" w:rsidRPr="005529E3" w:rsidTr="005529E3">
        <w:tc>
          <w:tcPr>
            <w:tcW w:w="2366" w:type="pct"/>
            <w:gridSpan w:val="2"/>
            <w:tcMar>
              <w:top w:w="0" w:type="dxa"/>
              <w:left w:w="0" w:type="dxa"/>
              <w:bottom w:w="0" w:type="dxa"/>
              <w:right w:w="0" w:type="dxa"/>
            </w:tcMar>
            <w:hideMark/>
          </w:tcPr>
          <w:p w:rsidR="005529E3" w:rsidRPr="005529E3" w:rsidRDefault="005529E3" w:rsidP="005529E3">
            <w:pPr>
              <w:spacing w:line="276" w:lineRule="auto"/>
              <w:jc w:val="both"/>
              <w:rPr>
                <w:rFonts w:eastAsia="Calibri"/>
                <w:sz w:val="20"/>
                <w:lang w:val="en-CA"/>
              </w:rPr>
            </w:pPr>
            <w:r w:rsidRPr="005529E3">
              <w:rPr>
                <w:rFonts w:eastAsia="Calibri"/>
                <w:sz w:val="20"/>
                <w:lang w:val="en-CA"/>
              </w:rPr>
              <w:t>March 19,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Supreme Court of Canada</w:t>
            </w:r>
          </w:p>
        </w:tc>
        <w:tc>
          <w:tcPr>
            <w:tcW w:w="326" w:type="pct"/>
            <w:tcMar>
              <w:top w:w="0" w:type="dxa"/>
              <w:left w:w="0" w:type="dxa"/>
              <w:bottom w:w="0" w:type="dxa"/>
              <w:right w:w="0" w:type="dxa"/>
            </w:tcMar>
          </w:tcPr>
          <w:p w:rsidR="005529E3" w:rsidRPr="005529E3" w:rsidRDefault="005529E3" w:rsidP="005529E3">
            <w:pPr>
              <w:spacing w:line="276" w:lineRule="auto"/>
              <w:jc w:val="both"/>
              <w:rPr>
                <w:rFonts w:eastAsia="Calibri"/>
                <w:sz w:val="20"/>
                <w:lang w:val="en-CA"/>
              </w:rPr>
            </w:pPr>
          </w:p>
        </w:tc>
        <w:tc>
          <w:tcPr>
            <w:tcW w:w="2308" w:type="pct"/>
            <w:tcMar>
              <w:top w:w="0" w:type="dxa"/>
              <w:left w:w="0" w:type="dxa"/>
              <w:bottom w:w="0" w:type="dxa"/>
              <w:right w:w="0" w:type="dxa"/>
            </w:tcMar>
          </w:tcPr>
          <w:p w:rsidR="005529E3" w:rsidRPr="005529E3" w:rsidRDefault="005529E3" w:rsidP="005529E3">
            <w:pPr>
              <w:spacing w:line="276" w:lineRule="auto"/>
              <w:jc w:val="both"/>
              <w:rPr>
                <w:rFonts w:eastAsia="Calibri"/>
                <w:sz w:val="20"/>
                <w:lang w:val="en-CA"/>
              </w:rPr>
            </w:pPr>
            <w:r w:rsidRPr="005529E3">
              <w:rPr>
                <w:rFonts w:eastAsia="Calibri"/>
                <w:sz w:val="20"/>
                <w:lang w:val="en-CA"/>
              </w:rPr>
              <w:t>Application for leave to appeal filed</w:t>
            </w:r>
          </w:p>
          <w:p w:rsidR="005529E3" w:rsidRPr="005529E3" w:rsidRDefault="005529E3" w:rsidP="005529E3">
            <w:pPr>
              <w:spacing w:line="276" w:lineRule="auto"/>
              <w:jc w:val="both"/>
              <w:rPr>
                <w:rFonts w:eastAsia="Calibri"/>
                <w:sz w:val="20"/>
                <w:lang w:val="en-CA"/>
              </w:rPr>
            </w:pPr>
          </w:p>
        </w:tc>
      </w:tr>
    </w:tbl>
    <w:p w:rsidR="005529E3" w:rsidRDefault="005529E3" w:rsidP="005529E3">
      <w:pPr>
        <w:jc w:val="both"/>
        <w:rPr>
          <w:rFonts w:eastAsia="Calibri"/>
          <w:sz w:val="20"/>
          <w:lang w:val="en-CA"/>
        </w:rPr>
      </w:pPr>
    </w:p>
    <w:p w:rsidR="009C21EE" w:rsidRPr="005529E3" w:rsidRDefault="009C21EE" w:rsidP="005529E3">
      <w:pPr>
        <w:jc w:val="both"/>
        <w:rPr>
          <w:rFonts w:eastAsia="Calibri"/>
          <w:sz w:val="20"/>
          <w:lang w:val="en-CA"/>
        </w:rPr>
      </w:pPr>
    </w:p>
    <w:tbl>
      <w:tblPr>
        <w:tblW w:w="5000" w:type="pct"/>
        <w:tblCellMar>
          <w:left w:w="0" w:type="dxa"/>
          <w:bottom w:w="99" w:type="dxa"/>
          <w:right w:w="0" w:type="dxa"/>
        </w:tblCellMar>
        <w:tblLook w:val="04A0" w:firstRow="1" w:lastRow="0" w:firstColumn="1" w:lastColumn="0" w:noHBand="0" w:noVBand="1"/>
      </w:tblPr>
      <w:tblGrid>
        <w:gridCol w:w="988"/>
        <w:gridCol w:w="3441"/>
        <w:gridCol w:w="610"/>
        <w:gridCol w:w="4321"/>
      </w:tblGrid>
      <w:tr w:rsidR="005529E3" w:rsidRPr="005529E3" w:rsidTr="005529E3">
        <w:tc>
          <w:tcPr>
            <w:tcW w:w="528" w:type="pct"/>
            <w:hideMark/>
          </w:tcPr>
          <w:p w:rsidR="005529E3" w:rsidRPr="005529E3" w:rsidRDefault="005529E3" w:rsidP="005529E3">
            <w:pPr>
              <w:spacing w:line="276" w:lineRule="auto"/>
              <w:jc w:val="both"/>
              <w:rPr>
                <w:rFonts w:eastAsia="Calibri"/>
                <w:sz w:val="20"/>
                <w:lang w:val="en-CA"/>
              </w:rPr>
            </w:pPr>
            <w:r w:rsidRPr="005529E3">
              <w:rPr>
                <w:rFonts w:eastAsia="Calibri"/>
                <w:b/>
                <w:sz w:val="20"/>
                <w:lang w:val="en-CA"/>
              </w:rPr>
              <w:t>36348</w:t>
            </w:r>
          </w:p>
        </w:tc>
        <w:tc>
          <w:tcPr>
            <w:tcW w:w="4472" w:type="pct"/>
            <w:gridSpan w:val="3"/>
            <w:hideMark/>
          </w:tcPr>
          <w:p w:rsidR="005529E3" w:rsidRPr="005529E3" w:rsidRDefault="005529E3" w:rsidP="005529E3">
            <w:pPr>
              <w:spacing w:line="276" w:lineRule="auto"/>
              <w:jc w:val="both"/>
              <w:rPr>
                <w:rFonts w:eastAsia="Calibri"/>
                <w:b/>
                <w:sz w:val="20"/>
                <w:lang w:val="en-CA"/>
              </w:rPr>
            </w:pPr>
            <w:r w:rsidRPr="005529E3">
              <w:rPr>
                <w:rFonts w:eastAsia="Calibri"/>
                <w:b/>
                <w:sz w:val="20"/>
                <w:lang w:val="en-CA"/>
              </w:rPr>
              <w:t xml:space="preserve">Kelly </w:t>
            </w:r>
            <w:proofErr w:type="spellStart"/>
            <w:r w:rsidRPr="005529E3">
              <w:rPr>
                <w:rFonts w:eastAsia="Calibri"/>
                <w:b/>
                <w:sz w:val="20"/>
                <w:lang w:val="en-CA"/>
              </w:rPr>
              <w:t>Amram</w:t>
            </w:r>
            <w:proofErr w:type="spellEnd"/>
            <w:r w:rsidRPr="005529E3">
              <w:rPr>
                <w:rFonts w:eastAsia="Calibri"/>
                <w:b/>
                <w:sz w:val="20"/>
                <w:lang w:val="en-CA"/>
              </w:rPr>
              <w:t xml:space="preserve"> c. Rogers Communications Inc., Rogers Communication </w:t>
            </w:r>
            <w:proofErr w:type="spellStart"/>
            <w:r w:rsidRPr="005529E3">
              <w:rPr>
                <w:rFonts w:eastAsia="Calibri"/>
                <w:b/>
                <w:sz w:val="20"/>
                <w:lang w:val="en-CA"/>
              </w:rPr>
              <w:t>s.e.n.c</w:t>
            </w:r>
            <w:proofErr w:type="spellEnd"/>
            <w:r w:rsidRPr="005529E3">
              <w:rPr>
                <w:rFonts w:eastAsia="Calibri"/>
                <w:b/>
                <w:sz w:val="20"/>
                <w:lang w:val="en-CA"/>
              </w:rPr>
              <w:t>., Fido Solutions Inc.</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(Qc) (</w:t>
            </w:r>
            <w:proofErr w:type="spellStart"/>
            <w:r w:rsidRPr="005529E3">
              <w:rPr>
                <w:rFonts w:eastAsia="Calibri"/>
                <w:sz w:val="20"/>
                <w:lang w:val="en-CA"/>
              </w:rPr>
              <w:t>Civile</w:t>
            </w:r>
            <w:proofErr w:type="spellEnd"/>
            <w:r w:rsidRPr="005529E3">
              <w:rPr>
                <w:rFonts w:eastAsia="Calibri"/>
                <w:sz w:val="20"/>
                <w:lang w:val="en-CA"/>
              </w:rPr>
              <w:t>) (</w:t>
            </w:r>
            <w:proofErr w:type="spellStart"/>
            <w:r w:rsidRPr="005529E3">
              <w:rPr>
                <w:rFonts w:eastAsia="Calibri"/>
                <w:sz w:val="20"/>
                <w:lang w:val="en-CA"/>
              </w:rPr>
              <w:t>Autorisation</w:t>
            </w:r>
            <w:proofErr w:type="spellEnd"/>
            <w:r w:rsidRPr="005529E3">
              <w:rPr>
                <w:rFonts w:eastAsia="Calibri"/>
                <w:sz w:val="20"/>
                <w:lang w:val="en-CA"/>
              </w:rPr>
              <w:t>)</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Procédure civile – Recours collectifs – Définition du groupe – Membres du groupe ne résidant pas au Québec – Compétence de la Cour supérieure du Québec d’autoriser un recours collectif national – Les tribunaux inférieurs ont-ils fait erreur en refusant d’autoriser un recours collectif national? – </w:t>
            </w:r>
            <w:r w:rsidRPr="005529E3">
              <w:rPr>
                <w:rFonts w:eastAsia="Calibri"/>
                <w:i/>
                <w:sz w:val="20"/>
                <w:lang w:val="fr-CA"/>
              </w:rPr>
              <w:t>Code civil du Québec</w:t>
            </w:r>
            <w:r w:rsidRPr="005529E3">
              <w:rPr>
                <w:rFonts w:eastAsia="Calibri"/>
                <w:sz w:val="20"/>
                <w:lang w:val="fr-CA"/>
              </w:rPr>
              <w:t>, RLRQ, c. C-1991, art. 3148.</w:t>
            </w:r>
          </w:p>
          <w:p w:rsidR="005529E3" w:rsidRPr="005529E3" w:rsidRDefault="005529E3" w:rsidP="005529E3">
            <w:pPr>
              <w:spacing w:line="276" w:lineRule="auto"/>
              <w:jc w:val="both"/>
              <w:rPr>
                <w:rFonts w:eastAsia="Calibri"/>
                <w:sz w:val="20"/>
                <w:lang w:val="fr-CA"/>
              </w:rPr>
            </w:pPr>
          </w:p>
        </w:tc>
      </w:tr>
      <w:tr w:rsidR="005529E3" w:rsidRPr="005529E3" w:rsidTr="005529E3">
        <w:tc>
          <w:tcPr>
            <w:tcW w:w="5000" w:type="pct"/>
            <w:gridSpan w:val="4"/>
            <w:hideMark/>
          </w:tcPr>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Les tribunaux inférieurs ont autorisé un recours collectif contre les intimées pour le compte d’un groupe incluant tous les clients des intimées qui résident au Québec, mais ils refusent toutefois d’autoriser un recours national incluant également les non-résidents. La demanderesse conteste ces décisions. </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p>
        </w:tc>
      </w:tr>
      <w:tr w:rsidR="005529E3" w:rsidRPr="005529E3" w:rsidTr="005529E3">
        <w:tc>
          <w:tcPr>
            <w:tcW w:w="2366" w:type="pct"/>
            <w:gridSpan w:val="2"/>
            <w:tcMar>
              <w:top w:w="0" w:type="dxa"/>
              <w:left w:w="0" w:type="dxa"/>
              <w:bottom w:w="0" w:type="dxa"/>
              <w:right w:w="0" w:type="dxa"/>
            </w:tcMar>
          </w:tcPr>
          <w:p w:rsidR="005529E3" w:rsidRPr="005529E3" w:rsidRDefault="005529E3" w:rsidP="005529E3">
            <w:pPr>
              <w:spacing w:line="276" w:lineRule="auto"/>
              <w:jc w:val="both"/>
              <w:rPr>
                <w:rFonts w:eastAsia="Calibri"/>
                <w:sz w:val="20"/>
                <w:lang w:val="fr-CA"/>
              </w:rPr>
            </w:pPr>
            <w:r w:rsidRPr="005529E3">
              <w:rPr>
                <w:rFonts w:eastAsia="Calibri"/>
                <w:sz w:val="20"/>
                <w:lang w:val="fr-CA"/>
              </w:rPr>
              <w:t>Le 27 juillet 2012</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supérieure du Québec</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 xml:space="preserve">(Le </w:t>
            </w:r>
            <w:proofErr w:type="spellStart"/>
            <w:r w:rsidRPr="005529E3">
              <w:rPr>
                <w:rFonts w:eastAsia="Calibri"/>
                <w:sz w:val="20"/>
                <w:lang w:val="en-CA"/>
              </w:rPr>
              <w:t>juge</w:t>
            </w:r>
            <w:proofErr w:type="spellEnd"/>
            <w:r w:rsidRPr="005529E3">
              <w:rPr>
                <w:rFonts w:eastAsia="Calibri"/>
                <w:sz w:val="20"/>
                <w:lang w:val="en-CA"/>
              </w:rPr>
              <w:t xml:space="preserve"> Emery)</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2012 QCCS 4453</w:t>
            </w:r>
          </w:p>
          <w:p w:rsidR="005529E3" w:rsidRPr="005529E3" w:rsidRDefault="005529E3" w:rsidP="005529E3">
            <w:pPr>
              <w:spacing w:line="276" w:lineRule="auto"/>
              <w:jc w:val="both"/>
              <w:rPr>
                <w:rFonts w:eastAsia="Calibri"/>
                <w:sz w:val="20"/>
                <w:lang w:val="en-CA"/>
              </w:rPr>
            </w:pPr>
          </w:p>
        </w:tc>
        <w:tc>
          <w:tcPr>
            <w:tcW w:w="326" w:type="pct"/>
            <w:tcMar>
              <w:top w:w="0" w:type="dxa"/>
              <w:left w:w="0" w:type="dxa"/>
              <w:bottom w:w="0" w:type="dxa"/>
              <w:right w:w="0" w:type="dxa"/>
            </w:tcMar>
          </w:tcPr>
          <w:p w:rsidR="005529E3" w:rsidRPr="005529E3" w:rsidRDefault="005529E3" w:rsidP="005529E3">
            <w:pPr>
              <w:spacing w:line="276" w:lineRule="auto"/>
              <w:jc w:val="both"/>
              <w:rPr>
                <w:rFonts w:eastAsia="Calibri"/>
                <w:sz w:val="20"/>
                <w:lang w:val="en-CA"/>
              </w:rPr>
            </w:pPr>
          </w:p>
        </w:tc>
        <w:tc>
          <w:tcPr>
            <w:tcW w:w="2308" w:type="pct"/>
            <w:tcMar>
              <w:top w:w="0" w:type="dxa"/>
              <w:left w:w="0" w:type="dxa"/>
              <w:bottom w:w="0" w:type="dxa"/>
              <w:right w:w="0" w:type="dxa"/>
            </w:tcMar>
          </w:tcPr>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Recours collectif autorisé contre Rogers Communications Inc., Rogers Communication </w:t>
            </w:r>
            <w:proofErr w:type="spellStart"/>
            <w:r w:rsidRPr="005529E3">
              <w:rPr>
                <w:rFonts w:eastAsia="Calibri"/>
                <w:sz w:val="20"/>
                <w:lang w:val="fr-CA"/>
              </w:rPr>
              <w:t>s.e.n.c</w:t>
            </w:r>
            <w:proofErr w:type="spellEnd"/>
            <w:r w:rsidRPr="005529E3">
              <w:rPr>
                <w:rFonts w:eastAsia="Calibri"/>
                <w:sz w:val="20"/>
                <w:lang w:val="fr-CA"/>
              </w:rPr>
              <w:t>.</w:t>
            </w:r>
          </w:p>
          <w:p w:rsidR="005529E3" w:rsidRPr="005529E3" w:rsidRDefault="005529E3" w:rsidP="005529E3">
            <w:pPr>
              <w:spacing w:line="276" w:lineRule="auto"/>
              <w:jc w:val="both"/>
              <w:rPr>
                <w:rFonts w:eastAsia="Calibri"/>
                <w:sz w:val="20"/>
                <w:lang w:val="fr-CA"/>
              </w:rPr>
            </w:pPr>
          </w:p>
        </w:tc>
      </w:tr>
      <w:tr w:rsidR="005529E3" w:rsidRPr="005529E3" w:rsidTr="005529E3">
        <w:tc>
          <w:tcPr>
            <w:tcW w:w="2366" w:type="pct"/>
            <w:gridSpan w:val="2"/>
            <w:tcMar>
              <w:top w:w="0" w:type="dxa"/>
              <w:left w:w="0" w:type="dxa"/>
              <w:bottom w:w="0" w:type="dxa"/>
              <w:right w:w="0" w:type="dxa"/>
            </w:tcMar>
          </w:tcPr>
          <w:p w:rsidR="005529E3" w:rsidRPr="005529E3" w:rsidRDefault="005529E3" w:rsidP="005529E3">
            <w:pPr>
              <w:spacing w:line="276" w:lineRule="auto"/>
              <w:jc w:val="both"/>
              <w:rPr>
                <w:rFonts w:eastAsia="Calibri"/>
                <w:sz w:val="20"/>
                <w:lang w:val="fr-CA"/>
              </w:rPr>
            </w:pPr>
            <w:r w:rsidRPr="005529E3">
              <w:rPr>
                <w:rFonts w:eastAsia="Calibri"/>
                <w:sz w:val="20"/>
                <w:lang w:val="fr-CA"/>
              </w:rPr>
              <w:t>Le 22 janvier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d’appel du Québec (Montréal)</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(Les juges Pelletier, </w:t>
            </w:r>
            <w:proofErr w:type="spellStart"/>
            <w:r w:rsidRPr="005529E3">
              <w:rPr>
                <w:rFonts w:eastAsia="Calibri"/>
                <w:sz w:val="20"/>
                <w:lang w:val="fr-CA"/>
              </w:rPr>
              <w:t>Kasirer</w:t>
            </w:r>
            <w:proofErr w:type="spellEnd"/>
            <w:r w:rsidRPr="005529E3">
              <w:rPr>
                <w:rFonts w:eastAsia="Calibri"/>
                <w:sz w:val="20"/>
                <w:lang w:val="fr-CA"/>
              </w:rPr>
              <w:t xml:space="preserve"> et Levesque)</w:t>
            </w:r>
          </w:p>
          <w:p w:rsidR="005529E3" w:rsidRPr="005529E3" w:rsidRDefault="00480458" w:rsidP="005529E3">
            <w:pPr>
              <w:spacing w:line="276" w:lineRule="auto"/>
              <w:jc w:val="both"/>
              <w:rPr>
                <w:rFonts w:eastAsia="Calibri"/>
                <w:sz w:val="20"/>
                <w:lang w:val="en-CA"/>
              </w:rPr>
            </w:pPr>
            <w:hyperlink r:id="rId87" w:history="1">
              <w:r w:rsidR="005529E3" w:rsidRPr="005529E3">
                <w:rPr>
                  <w:rFonts w:eastAsia="Calibri"/>
                  <w:color w:val="0000FF" w:themeColor="hyperlink"/>
                  <w:sz w:val="20"/>
                  <w:u w:val="single"/>
                  <w:lang w:val="en-CA"/>
                </w:rPr>
                <w:t>2015 QCCA 105</w:t>
              </w:r>
            </w:hyperlink>
          </w:p>
          <w:p w:rsidR="005529E3" w:rsidRPr="005529E3" w:rsidRDefault="005529E3" w:rsidP="005529E3">
            <w:pPr>
              <w:spacing w:line="276" w:lineRule="auto"/>
              <w:jc w:val="both"/>
              <w:rPr>
                <w:rFonts w:eastAsia="Calibri"/>
                <w:sz w:val="20"/>
                <w:lang w:val="en-CA"/>
              </w:rPr>
            </w:pPr>
          </w:p>
        </w:tc>
        <w:tc>
          <w:tcPr>
            <w:tcW w:w="326" w:type="pct"/>
            <w:tcMar>
              <w:top w:w="0" w:type="dxa"/>
              <w:left w:w="0" w:type="dxa"/>
              <w:bottom w:w="0" w:type="dxa"/>
              <w:right w:w="0" w:type="dxa"/>
            </w:tcMar>
          </w:tcPr>
          <w:p w:rsidR="005529E3" w:rsidRPr="005529E3" w:rsidRDefault="005529E3" w:rsidP="005529E3">
            <w:pPr>
              <w:spacing w:line="276" w:lineRule="auto"/>
              <w:jc w:val="both"/>
              <w:rPr>
                <w:rFonts w:eastAsia="Calibri"/>
                <w:sz w:val="20"/>
                <w:lang w:val="en-CA"/>
              </w:rPr>
            </w:pPr>
          </w:p>
        </w:tc>
        <w:tc>
          <w:tcPr>
            <w:tcW w:w="2308" w:type="pct"/>
            <w:tcMar>
              <w:top w:w="0" w:type="dxa"/>
              <w:left w:w="0" w:type="dxa"/>
              <w:bottom w:w="0" w:type="dxa"/>
              <w:right w:w="0" w:type="dxa"/>
            </w:tcMar>
          </w:tcPr>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Appel accueilli en partie; recours collectif autorisé contre </w:t>
            </w:r>
            <w:proofErr w:type="spellStart"/>
            <w:r w:rsidRPr="005529E3">
              <w:rPr>
                <w:rFonts w:eastAsia="Calibri"/>
                <w:sz w:val="20"/>
                <w:lang w:val="fr-CA"/>
              </w:rPr>
              <w:t>Fido</w:t>
            </w:r>
            <w:proofErr w:type="spellEnd"/>
            <w:r w:rsidRPr="005529E3">
              <w:rPr>
                <w:rFonts w:eastAsia="Calibri"/>
                <w:sz w:val="20"/>
                <w:lang w:val="fr-CA"/>
              </w:rPr>
              <w:t xml:space="preserve"> Solutions Inc.</w:t>
            </w:r>
          </w:p>
          <w:p w:rsidR="005529E3" w:rsidRPr="005529E3" w:rsidRDefault="005529E3" w:rsidP="005529E3">
            <w:pPr>
              <w:spacing w:line="276" w:lineRule="auto"/>
              <w:jc w:val="both"/>
              <w:rPr>
                <w:rFonts w:eastAsia="Calibri"/>
                <w:sz w:val="20"/>
                <w:lang w:val="fr-CA"/>
              </w:rPr>
            </w:pPr>
          </w:p>
        </w:tc>
      </w:tr>
      <w:tr w:rsidR="005529E3" w:rsidRPr="005529E3" w:rsidTr="005529E3">
        <w:tc>
          <w:tcPr>
            <w:tcW w:w="2366" w:type="pct"/>
            <w:gridSpan w:val="2"/>
            <w:tcMar>
              <w:top w:w="0" w:type="dxa"/>
              <w:left w:w="0" w:type="dxa"/>
              <w:bottom w:w="0" w:type="dxa"/>
              <w:right w:w="0" w:type="dxa"/>
            </w:tcMar>
            <w:hideMark/>
          </w:tcPr>
          <w:p w:rsidR="005529E3" w:rsidRPr="005529E3" w:rsidRDefault="005529E3" w:rsidP="005529E3">
            <w:pPr>
              <w:spacing w:line="276" w:lineRule="auto"/>
              <w:jc w:val="both"/>
              <w:rPr>
                <w:rFonts w:eastAsia="Calibri"/>
                <w:sz w:val="20"/>
                <w:lang w:val="fr-CA"/>
              </w:rPr>
            </w:pPr>
            <w:r w:rsidRPr="005529E3">
              <w:rPr>
                <w:rFonts w:eastAsia="Calibri"/>
                <w:sz w:val="20"/>
                <w:lang w:val="fr-CA"/>
              </w:rPr>
              <w:lastRenderedPageBreak/>
              <w:t>Le 19 mars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suprême du Canada</w:t>
            </w:r>
          </w:p>
        </w:tc>
        <w:tc>
          <w:tcPr>
            <w:tcW w:w="326" w:type="pct"/>
            <w:tcMar>
              <w:top w:w="0" w:type="dxa"/>
              <w:left w:w="0" w:type="dxa"/>
              <w:bottom w:w="0" w:type="dxa"/>
              <w:right w:w="0" w:type="dxa"/>
            </w:tcMar>
          </w:tcPr>
          <w:p w:rsidR="005529E3" w:rsidRPr="005529E3" w:rsidRDefault="005529E3" w:rsidP="005529E3">
            <w:pPr>
              <w:spacing w:line="276" w:lineRule="auto"/>
              <w:jc w:val="both"/>
              <w:rPr>
                <w:rFonts w:eastAsia="Calibri"/>
                <w:sz w:val="20"/>
                <w:lang w:val="fr-CA"/>
              </w:rPr>
            </w:pPr>
          </w:p>
        </w:tc>
        <w:tc>
          <w:tcPr>
            <w:tcW w:w="2308" w:type="pct"/>
            <w:tcMar>
              <w:top w:w="0" w:type="dxa"/>
              <w:left w:w="0" w:type="dxa"/>
              <w:bottom w:w="0" w:type="dxa"/>
              <w:right w:w="0" w:type="dxa"/>
            </w:tcMar>
          </w:tcPr>
          <w:p w:rsidR="005529E3" w:rsidRPr="005529E3" w:rsidRDefault="005529E3" w:rsidP="005529E3">
            <w:pPr>
              <w:spacing w:line="276" w:lineRule="auto"/>
              <w:jc w:val="both"/>
              <w:rPr>
                <w:rFonts w:eastAsia="Calibri"/>
                <w:sz w:val="20"/>
                <w:lang w:val="en-CA"/>
              </w:rPr>
            </w:pPr>
            <w:proofErr w:type="spellStart"/>
            <w:r w:rsidRPr="005529E3">
              <w:rPr>
                <w:rFonts w:eastAsia="Calibri"/>
                <w:sz w:val="20"/>
                <w:lang w:val="en-CA"/>
              </w:rPr>
              <w:t>Demande</w:t>
            </w:r>
            <w:proofErr w:type="spellEnd"/>
            <w:r w:rsidRPr="005529E3">
              <w:rPr>
                <w:rFonts w:eastAsia="Calibri"/>
                <w:sz w:val="20"/>
                <w:lang w:val="en-CA"/>
              </w:rPr>
              <w:t xml:space="preserve"> </w:t>
            </w:r>
            <w:proofErr w:type="spellStart"/>
            <w:r w:rsidRPr="005529E3">
              <w:rPr>
                <w:rFonts w:eastAsia="Calibri"/>
                <w:sz w:val="20"/>
                <w:lang w:val="en-CA"/>
              </w:rPr>
              <w:t>d’autorisation</w:t>
            </w:r>
            <w:proofErr w:type="spellEnd"/>
            <w:r w:rsidRPr="005529E3">
              <w:rPr>
                <w:rFonts w:eastAsia="Calibri"/>
                <w:sz w:val="20"/>
                <w:lang w:val="en-CA"/>
              </w:rPr>
              <w:t xml:space="preserve"> </w:t>
            </w:r>
            <w:proofErr w:type="spellStart"/>
            <w:r w:rsidRPr="005529E3">
              <w:rPr>
                <w:rFonts w:eastAsia="Calibri"/>
                <w:sz w:val="20"/>
                <w:lang w:val="en-CA"/>
              </w:rPr>
              <w:t>d’appel</w:t>
            </w:r>
            <w:proofErr w:type="spellEnd"/>
            <w:r w:rsidRPr="005529E3">
              <w:rPr>
                <w:rFonts w:eastAsia="Calibri"/>
                <w:sz w:val="20"/>
                <w:lang w:val="en-CA"/>
              </w:rPr>
              <w:t xml:space="preserve"> </w:t>
            </w:r>
            <w:proofErr w:type="spellStart"/>
            <w:r w:rsidRPr="005529E3">
              <w:rPr>
                <w:rFonts w:eastAsia="Calibri"/>
                <w:sz w:val="20"/>
                <w:lang w:val="en-CA"/>
              </w:rPr>
              <w:t>déposée</w:t>
            </w:r>
            <w:proofErr w:type="spellEnd"/>
          </w:p>
          <w:p w:rsidR="005529E3" w:rsidRPr="005529E3" w:rsidRDefault="005529E3" w:rsidP="005529E3">
            <w:pPr>
              <w:spacing w:line="276" w:lineRule="auto"/>
              <w:jc w:val="both"/>
              <w:rPr>
                <w:rFonts w:eastAsia="Calibri"/>
                <w:sz w:val="20"/>
                <w:lang w:val="en-CA"/>
              </w:rPr>
            </w:pPr>
          </w:p>
        </w:tc>
      </w:tr>
    </w:tbl>
    <w:p w:rsidR="005529E3" w:rsidRDefault="005529E3" w:rsidP="005529E3">
      <w:pPr>
        <w:jc w:val="both"/>
        <w:rPr>
          <w:rFonts w:eastAsia="Calibri"/>
          <w:sz w:val="20"/>
          <w:lang w:val="en-CA"/>
        </w:rPr>
      </w:pPr>
    </w:p>
    <w:p w:rsidR="009C21EE" w:rsidRPr="005529E3" w:rsidRDefault="009C21EE" w:rsidP="005529E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529E3" w:rsidRPr="005529E3" w:rsidTr="005529E3">
        <w:tc>
          <w:tcPr>
            <w:tcW w:w="543" w:type="pct"/>
            <w:hideMark/>
          </w:tcPr>
          <w:p w:rsidR="005529E3" w:rsidRPr="005529E3" w:rsidRDefault="005529E3" w:rsidP="005529E3">
            <w:pPr>
              <w:spacing w:line="276" w:lineRule="auto"/>
              <w:jc w:val="both"/>
              <w:rPr>
                <w:rFonts w:eastAsia="Calibri"/>
                <w:sz w:val="20"/>
                <w:lang w:val="en-CA"/>
              </w:rPr>
            </w:pPr>
            <w:r w:rsidRPr="005529E3">
              <w:rPr>
                <w:rFonts w:eastAsia="Calibri"/>
                <w:b/>
                <w:sz w:val="20"/>
                <w:lang w:val="fr-CA"/>
              </w:rPr>
              <w:t>36446</w:t>
            </w:r>
          </w:p>
        </w:tc>
        <w:tc>
          <w:tcPr>
            <w:tcW w:w="4457" w:type="pct"/>
            <w:gridSpan w:val="3"/>
          </w:tcPr>
          <w:p w:rsidR="005529E3" w:rsidRPr="005529E3" w:rsidRDefault="005529E3" w:rsidP="005529E3">
            <w:pPr>
              <w:spacing w:line="276" w:lineRule="auto"/>
              <w:jc w:val="both"/>
              <w:rPr>
                <w:rFonts w:eastAsia="Calibri"/>
                <w:b/>
                <w:sz w:val="20"/>
                <w:lang w:val="en-CA"/>
              </w:rPr>
            </w:pPr>
            <w:r w:rsidRPr="005529E3">
              <w:rPr>
                <w:rFonts w:eastAsia="Calibri"/>
                <w:b/>
                <w:sz w:val="20"/>
                <w:lang w:val="en-CA"/>
              </w:rPr>
              <w:t xml:space="preserve">Christiane Lévesque v. Sylvie </w:t>
            </w:r>
            <w:proofErr w:type="spellStart"/>
            <w:r w:rsidRPr="005529E3">
              <w:rPr>
                <w:rFonts w:eastAsia="Calibri"/>
                <w:b/>
                <w:sz w:val="20"/>
                <w:lang w:val="en-CA"/>
              </w:rPr>
              <w:t>Marcotte</w:t>
            </w:r>
            <w:proofErr w:type="spellEnd"/>
            <w:r w:rsidRPr="005529E3">
              <w:rPr>
                <w:rFonts w:eastAsia="Calibri"/>
                <w:b/>
                <w:sz w:val="20"/>
                <w:lang w:val="en-CA"/>
              </w:rPr>
              <w:t xml:space="preserve">, Hélène Julien, Louis Julien and </w:t>
            </w:r>
            <w:proofErr w:type="spellStart"/>
            <w:r w:rsidRPr="005529E3">
              <w:rPr>
                <w:rFonts w:eastAsia="Calibri"/>
                <w:b/>
                <w:sz w:val="20"/>
                <w:lang w:val="en-CA"/>
              </w:rPr>
              <w:t>Hydrotech</w:t>
            </w:r>
            <w:proofErr w:type="spellEnd"/>
            <w:r w:rsidRPr="005529E3">
              <w:rPr>
                <w:rFonts w:eastAsia="Calibri"/>
                <w:b/>
                <w:sz w:val="20"/>
                <w:lang w:val="en-CA"/>
              </w:rPr>
              <w:t xml:space="preserve"> Experts-</w:t>
            </w:r>
            <w:proofErr w:type="spellStart"/>
            <w:r w:rsidRPr="005529E3">
              <w:rPr>
                <w:rFonts w:eastAsia="Calibri"/>
                <w:b/>
                <w:sz w:val="20"/>
                <w:lang w:val="en-CA"/>
              </w:rPr>
              <w:t>Conseil</w:t>
            </w:r>
            <w:proofErr w:type="spellEnd"/>
            <w:r w:rsidRPr="005529E3">
              <w:rPr>
                <w:rFonts w:eastAsia="Calibri"/>
                <w:b/>
                <w:sz w:val="20"/>
                <w:lang w:val="en-CA"/>
              </w:rPr>
              <w:t xml:space="preserve"> </w:t>
            </w:r>
            <w:proofErr w:type="spellStart"/>
            <w:r w:rsidRPr="005529E3">
              <w:rPr>
                <w:rFonts w:eastAsia="Calibri"/>
                <w:b/>
                <w:sz w:val="20"/>
                <w:lang w:val="en-CA"/>
              </w:rPr>
              <w:t>inc.</w:t>
            </w:r>
            <w:proofErr w:type="spellEnd"/>
            <w:r w:rsidRPr="005529E3">
              <w:rPr>
                <w:rFonts w:eastAsia="Calibri"/>
                <w:b/>
                <w:sz w:val="20"/>
                <w:lang w:val="en-CA"/>
              </w:rPr>
              <w:t xml:space="preserve">, Marcel </w:t>
            </w:r>
            <w:proofErr w:type="spellStart"/>
            <w:r w:rsidRPr="005529E3">
              <w:rPr>
                <w:rFonts w:eastAsia="Calibri"/>
                <w:b/>
                <w:sz w:val="20"/>
                <w:lang w:val="en-CA"/>
              </w:rPr>
              <w:t>Frenette</w:t>
            </w:r>
            <w:proofErr w:type="spellEnd"/>
            <w:r w:rsidRPr="005529E3">
              <w:rPr>
                <w:rFonts w:eastAsia="Calibri"/>
                <w:b/>
                <w:sz w:val="20"/>
                <w:lang w:val="en-CA"/>
              </w:rPr>
              <w:t xml:space="preserve">, Canadian National Railway Company </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(Que.) (Civil) (By Leave)</w:t>
            </w:r>
          </w:p>
          <w:p w:rsidR="005529E3" w:rsidRPr="005529E3" w:rsidRDefault="005529E3" w:rsidP="005529E3">
            <w:pPr>
              <w:spacing w:line="276" w:lineRule="auto"/>
              <w:jc w:val="both"/>
              <w:rPr>
                <w:rFonts w:eastAsia="Calibri"/>
                <w:sz w:val="20"/>
                <w:lang w:val="en-CA"/>
              </w:rPr>
            </w:pPr>
          </w:p>
        </w:tc>
      </w:tr>
      <w:tr w:rsidR="005529E3" w:rsidRPr="005529E3" w:rsidTr="005529E3">
        <w:tc>
          <w:tcPr>
            <w:tcW w:w="5000" w:type="pct"/>
            <w:gridSpan w:val="4"/>
            <w:hideMark/>
          </w:tcPr>
          <w:p w:rsidR="005529E3" w:rsidRPr="005529E3" w:rsidRDefault="005529E3" w:rsidP="005529E3">
            <w:pPr>
              <w:spacing w:line="276" w:lineRule="auto"/>
              <w:jc w:val="both"/>
              <w:rPr>
                <w:rFonts w:eastAsia="Calibri"/>
                <w:sz w:val="20"/>
                <w:lang w:val="en-CA"/>
              </w:rPr>
            </w:pPr>
            <w:r w:rsidRPr="005529E3">
              <w:rPr>
                <w:rFonts w:eastAsia="Calibri"/>
                <w:sz w:val="20"/>
                <w:lang w:val="en-CA"/>
              </w:rPr>
              <w:t xml:space="preserve">Civil procedure – Superintending and reforming power of Superior Court – Whether, under art. 846 of </w:t>
            </w:r>
            <w:r w:rsidRPr="005529E3">
              <w:rPr>
                <w:rFonts w:eastAsia="Calibri"/>
                <w:i/>
                <w:sz w:val="20"/>
                <w:lang w:val="en-CA"/>
              </w:rPr>
              <w:t>Code of Civil Procedure</w:t>
            </w:r>
            <w:r w:rsidRPr="005529E3">
              <w:rPr>
                <w:rFonts w:eastAsia="Calibri"/>
                <w:sz w:val="20"/>
                <w:lang w:val="en-CA"/>
              </w:rPr>
              <w:t>, CQLR c. C</w:t>
            </w:r>
            <w:r w:rsidRPr="005529E3">
              <w:rPr>
                <w:rFonts w:eastAsia="Calibri"/>
                <w:sz w:val="20"/>
                <w:lang w:val="en-CA"/>
              </w:rPr>
              <w:noBreakHyphen/>
              <w:t>25.01, Superior Court can review decision of another Superior Court judge ending litigation through final decision – Applicable standard of review.</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r w:rsidRPr="005529E3">
              <w:rPr>
                <w:rFonts w:eastAsia="Calibri"/>
                <w:sz w:val="20"/>
                <w:lang w:val="en-CA"/>
              </w:rPr>
              <w:t xml:space="preserve">In 2014, the Superior Court found that the </w:t>
            </w:r>
            <w:proofErr w:type="spellStart"/>
            <w:r w:rsidRPr="005529E3">
              <w:rPr>
                <w:rFonts w:eastAsia="Calibri"/>
                <w:sz w:val="20"/>
                <w:lang w:val="en-CA"/>
              </w:rPr>
              <w:t>immovables</w:t>
            </w:r>
            <w:proofErr w:type="spellEnd"/>
            <w:r w:rsidRPr="005529E3">
              <w:rPr>
                <w:rFonts w:eastAsia="Calibri"/>
                <w:sz w:val="20"/>
                <w:lang w:val="en-CA"/>
              </w:rPr>
              <w:t xml:space="preserve"> of the respondents Sylvie </w:t>
            </w:r>
            <w:proofErr w:type="spellStart"/>
            <w:r w:rsidRPr="005529E3">
              <w:rPr>
                <w:rFonts w:eastAsia="Calibri"/>
                <w:sz w:val="20"/>
                <w:lang w:val="en-CA"/>
              </w:rPr>
              <w:t>Marcotte</w:t>
            </w:r>
            <w:proofErr w:type="spellEnd"/>
            <w:r w:rsidRPr="005529E3">
              <w:rPr>
                <w:rFonts w:eastAsia="Calibri"/>
                <w:sz w:val="20"/>
                <w:lang w:val="en-CA"/>
              </w:rPr>
              <w:t xml:space="preserve">, Hélène Julien, Louis Julien and </w:t>
            </w:r>
            <w:proofErr w:type="spellStart"/>
            <w:r w:rsidRPr="005529E3">
              <w:rPr>
                <w:rFonts w:eastAsia="Calibri"/>
                <w:sz w:val="20"/>
                <w:lang w:val="en-CA"/>
              </w:rPr>
              <w:t>Hydrotech</w:t>
            </w:r>
            <w:proofErr w:type="spellEnd"/>
            <w:r w:rsidRPr="005529E3">
              <w:rPr>
                <w:rFonts w:eastAsia="Calibri"/>
                <w:sz w:val="20"/>
                <w:lang w:val="en-CA"/>
              </w:rPr>
              <w:t xml:space="preserve"> Experts-</w:t>
            </w:r>
            <w:proofErr w:type="spellStart"/>
            <w:r w:rsidRPr="005529E3">
              <w:rPr>
                <w:rFonts w:eastAsia="Calibri"/>
                <w:sz w:val="20"/>
                <w:lang w:val="en-CA"/>
              </w:rPr>
              <w:t>Conseil</w:t>
            </w:r>
            <w:proofErr w:type="spellEnd"/>
            <w:r w:rsidRPr="005529E3">
              <w:rPr>
                <w:rFonts w:eastAsia="Calibri"/>
                <w:sz w:val="20"/>
                <w:lang w:val="en-CA"/>
              </w:rPr>
              <w:t xml:space="preserve"> </w:t>
            </w:r>
            <w:proofErr w:type="spellStart"/>
            <w:r w:rsidRPr="005529E3">
              <w:rPr>
                <w:rFonts w:eastAsia="Calibri"/>
                <w:sz w:val="20"/>
                <w:lang w:val="en-CA"/>
              </w:rPr>
              <w:t>inc.</w:t>
            </w:r>
            <w:proofErr w:type="spellEnd"/>
            <w:r w:rsidRPr="005529E3">
              <w:rPr>
                <w:rFonts w:eastAsia="Calibri"/>
                <w:sz w:val="20"/>
                <w:lang w:val="en-CA"/>
              </w:rPr>
              <w:t xml:space="preserve"> had a pedestrian and vehicular right of way on a private road that crossed the property of the applicant Ms. Lévesque, among others. The Court of Appeal allowed the respondents’ motion to dismiss and dismissed the appeal brought by Ms. Lévesque on the ground that it had no reasonable chance of success. Ms. Lévesque did not apply for leave to appeal to the Supreme Court from the Court of Appeal’s judgment. Instead, she filed a motion for judicial review with the Superior Court, asking it to authorize the action for [</w:t>
            </w:r>
            <w:r w:rsidRPr="005529E3">
              <w:rPr>
                <w:rFonts w:eastAsia="Calibri"/>
                <w:smallCaps/>
                <w:sz w:val="20"/>
                <w:lang w:val="en-CA"/>
              </w:rPr>
              <w:t>translation</w:t>
            </w:r>
            <w:r w:rsidRPr="005529E3">
              <w:rPr>
                <w:rFonts w:eastAsia="Calibri"/>
                <w:sz w:val="20"/>
                <w:lang w:val="en-CA"/>
              </w:rPr>
              <w:t>] “lack of jurisdiction” and to order the parties to “stay the execution of the judgment” of the Superior Court finding the right of way. The Superior Court dismissed the motion on the ground that a Superior Court judge has no superintending or reforming power over another judge on the same court unless an exception is clearly set out in legislation. It ordered Ms. Lévesque to pay the respondents extrajudicial fees on the ground that she had acted recklessly by bringing the motion. The Court of Appeal dismissed the motion for leave to appeal filed by Ms. Lévesque.</w:t>
            </w:r>
          </w:p>
          <w:p w:rsidR="005529E3" w:rsidRPr="005529E3" w:rsidRDefault="005529E3" w:rsidP="005529E3">
            <w:pPr>
              <w:spacing w:line="276" w:lineRule="auto"/>
              <w:jc w:val="both"/>
              <w:rPr>
                <w:rFonts w:eastAsia="Calibri"/>
                <w:sz w:val="20"/>
                <w:lang w:val="en-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en-CA"/>
              </w:rPr>
            </w:pPr>
            <w:r w:rsidRPr="005529E3">
              <w:rPr>
                <w:rFonts w:eastAsia="Calibri"/>
                <w:sz w:val="20"/>
                <w:lang w:val="en-CA"/>
              </w:rPr>
              <w:t>March 9,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Quebec Superior Court</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(de Blois J.)</w:t>
            </w:r>
          </w:p>
          <w:p w:rsidR="005529E3" w:rsidRPr="005529E3" w:rsidRDefault="00480458" w:rsidP="005529E3">
            <w:pPr>
              <w:spacing w:line="276" w:lineRule="auto"/>
              <w:jc w:val="both"/>
              <w:rPr>
                <w:rFonts w:eastAsia="Calibri"/>
                <w:sz w:val="20"/>
                <w:lang w:val="en-CA"/>
              </w:rPr>
            </w:pPr>
            <w:hyperlink r:id="rId88" w:history="1">
              <w:r w:rsidR="005529E3" w:rsidRPr="005529E3">
                <w:rPr>
                  <w:rFonts w:eastAsia="Calibri"/>
                  <w:color w:val="0000FF" w:themeColor="hyperlink"/>
                  <w:sz w:val="20"/>
                  <w:u w:val="single"/>
                  <w:lang w:val="en-CA"/>
                </w:rPr>
                <w:t>2015 QCCS 1008</w:t>
              </w:r>
            </w:hyperlink>
          </w:p>
          <w:p w:rsidR="005529E3" w:rsidRPr="005529E3" w:rsidRDefault="005529E3" w:rsidP="005529E3">
            <w:pPr>
              <w:spacing w:line="276" w:lineRule="auto"/>
              <w:jc w:val="both"/>
              <w:rPr>
                <w:rFonts w:eastAsia="Calibri"/>
                <w:sz w:val="20"/>
                <w:lang w:val="en-CA"/>
              </w:rPr>
            </w:pP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Motion for judicial review dismissed</w:t>
            </w:r>
          </w:p>
          <w:p w:rsidR="005529E3" w:rsidRPr="005529E3" w:rsidRDefault="005529E3" w:rsidP="005529E3">
            <w:pPr>
              <w:spacing w:line="276" w:lineRule="auto"/>
              <w:jc w:val="both"/>
              <w:rPr>
                <w:rFonts w:eastAsia="Calibri"/>
                <w:sz w:val="20"/>
                <w:lang w:val="en-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en-CA"/>
              </w:rPr>
            </w:pPr>
            <w:r w:rsidRPr="005529E3">
              <w:rPr>
                <w:rFonts w:eastAsia="Calibri"/>
                <w:sz w:val="20"/>
                <w:lang w:val="en-CA"/>
              </w:rPr>
              <w:t>March 30,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Quebec Court of Appeal (Québec)</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w:t>
            </w:r>
            <w:proofErr w:type="spellStart"/>
            <w:r w:rsidRPr="005529E3">
              <w:rPr>
                <w:rFonts w:eastAsia="Calibri"/>
                <w:sz w:val="20"/>
                <w:lang w:val="en-CA"/>
              </w:rPr>
              <w:t>Dutil</w:t>
            </w:r>
            <w:proofErr w:type="spellEnd"/>
            <w:r w:rsidRPr="005529E3">
              <w:rPr>
                <w:rFonts w:eastAsia="Calibri"/>
                <w:sz w:val="20"/>
                <w:lang w:val="en-CA"/>
              </w:rPr>
              <w:t xml:space="preserve"> J.A.)</w:t>
            </w:r>
          </w:p>
          <w:p w:rsidR="005529E3" w:rsidRPr="005529E3" w:rsidRDefault="00480458" w:rsidP="005529E3">
            <w:pPr>
              <w:spacing w:line="276" w:lineRule="auto"/>
              <w:jc w:val="both"/>
              <w:rPr>
                <w:rFonts w:eastAsia="Calibri"/>
                <w:sz w:val="20"/>
                <w:lang w:val="en-CA"/>
              </w:rPr>
            </w:pPr>
            <w:hyperlink r:id="rId89" w:history="1">
              <w:r w:rsidR="005529E3" w:rsidRPr="005529E3">
                <w:rPr>
                  <w:rFonts w:eastAsia="Calibri"/>
                  <w:color w:val="0000FF" w:themeColor="hyperlink"/>
                  <w:sz w:val="20"/>
                  <w:u w:val="single"/>
                  <w:lang w:val="en-CA"/>
                </w:rPr>
                <w:t>2015 QCCA 555</w:t>
              </w:r>
            </w:hyperlink>
          </w:p>
          <w:p w:rsidR="005529E3" w:rsidRPr="005529E3" w:rsidRDefault="005529E3" w:rsidP="005529E3">
            <w:pPr>
              <w:spacing w:line="276" w:lineRule="auto"/>
              <w:jc w:val="both"/>
              <w:rPr>
                <w:rFonts w:eastAsia="Calibri"/>
                <w:sz w:val="20"/>
                <w:lang w:val="en-CA"/>
              </w:rPr>
            </w:pP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Motion for leave to appeal dismissed</w:t>
            </w:r>
          </w:p>
          <w:p w:rsidR="005529E3" w:rsidRPr="005529E3" w:rsidRDefault="005529E3" w:rsidP="005529E3">
            <w:pPr>
              <w:spacing w:line="276" w:lineRule="auto"/>
              <w:jc w:val="both"/>
              <w:rPr>
                <w:rFonts w:eastAsia="Calibri"/>
                <w:sz w:val="20"/>
                <w:lang w:val="en-CA"/>
              </w:rPr>
            </w:pPr>
          </w:p>
        </w:tc>
      </w:tr>
      <w:tr w:rsidR="005529E3" w:rsidRPr="005529E3" w:rsidTr="005529E3">
        <w:tc>
          <w:tcPr>
            <w:tcW w:w="2427" w:type="pct"/>
            <w:gridSpan w:val="2"/>
            <w:hideMark/>
          </w:tcPr>
          <w:p w:rsidR="005529E3" w:rsidRPr="005529E3" w:rsidRDefault="005529E3" w:rsidP="005529E3">
            <w:pPr>
              <w:spacing w:line="276" w:lineRule="auto"/>
              <w:jc w:val="both"/>
              <w:rPr>
                <w:rFonts w:eastAsia="Calibri"/>
                <w:sz w:val="20"/>
                <w:lang w:val="en-CA"/>
              </w:rPr>
            </w:pPr>
            <w:r w:rsidRPr="005529E3">
              <w:rPr>
                <w:rFonts w:eastAsia="Calibri"/>
                <w:sz w:val="20"/>
                <w:lang w:val="en-CA"/>
              </w:rPr>
              <w:t>May 22,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Supreme Court of Canada</w:t>
            </w: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Application for leave to appeal filed</w:t>
            </w:r>
          </w:p>
          <w:p w:rsidR="005529E3" w:rsidRPr="005529E3" w:rsidRDefault="005529E3" w:rsidP="005529E3">
            <w:pPr>
              <w:spacing w:line="276" w:lineRule="auto"/>
              <w:jc w:val="both"/>
              <w:rPr>
                <w:rFonts w:eastAsia="Calibri"/>
                <w:sz w:val="20"/>
                <w:lang w:val="en-CA"/>
              </w:rPr>
            </w:pPr>
          </w:p>
        </w:tc>
      </w:tr>
    </w:tbl>
    <w:p w:rsidR="005529E3" w:rsidRDefault="005529E3" w:rsidP="005529E3">
      <w:pPr>
        <w:jc w:val="both"/>
        <w:rPr>
          <w:rFonts w:eastAsia="Calibri"/>
          <w:sz w:val="20"/>
          <w:lang w:val="en-CA"/>
        </w:rPr>
      </w:pPr>
    </w:p>
    <w:p w:rsidR="009C21EE" w:rsidRPr="005529E3" w:rsidRDefault="009C21EE" w:rsidP="005529E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529E3" w:rsidRPr="005529E3" w:rsidTr="005529E3">
        <w:tc>
          <w:tcPr>
            <w:tcW w:w="543" w:type="pct"/>
            <w:hideMark/>
          </w:tcPr>
          <w:p w:rsidR="005529E3" w:rsidRPr="005529E3" w:rsidRDefault="005529E3" w:rsidP="005529E3">
            <w:pPr>
              <w:spacing w:line="276" w:lineRule="auto"/>
              <w:jc w:val="both"/>
              <w:rPr>
                <w:rFonts w:eastAsia="Calibri"/>
                <w:sz w:val="20"/>
                <w:lang w:val="fr-CA"/>
              </w:rPr>
            </w:pPr>
            <w:r w:rsidRPr="005529E3">
              <w:rPr>
                <w:rFonts w:eastAsia="Calibri"/>
                <w:b/>
                <w:sz w:val="20"/>
                <w:lang w:val="fr-CA"/>
              </w:rPr>
              <w:t>36446</w:t>
            </w:r>
          </w:p>
        </w:tc>
        <w:tc>
          <w:tcPr>
            <w:tcW w:w="4457" w:type="pct"/>
            <w:gridSpan w:val="3"/>
          </w:tcPr>
          <w:p w:rsidR="005529E3" w:rsidRPr="005529E3" w:rsidRDefault="005529E3" w:rsidP="005529E3">
            <w:pPr>
              <w:spacing w:line="276" w:lineRule="auto"/>
              <w:jc w:val="both"/>
              <w:rPr>
                <w:rFonts w:eastAsia="Calibri"/>
                <w:b/>
                <w:sz w:val="20"/>
                <w:lang w:val="fr-CA"/>
              </w:rPr>
            </w:pPr>
            <w:r w:rsidRPr="005529E3">
              <w:rPr>
                <w:rFonts w:eastAsia="Calibri"/>
                <w:b/>
                <w:sz w:val="20"/>
                <w:lang w:val="fr-CA"/>
              </w:rPr>
              <w:t xml:space="preserve">Christiane Lévesque c. Sylvie Marcotte, Hélène Julien, Louis Julien et </w:t>
            </w:r>
            <w:proofErr w:type="spellStart"/>
            <w:r w:rsidRPr="005529E3">
              <w:rPr>
                <w:rFonts w:eastAsia="Calibri"/>
                <w:b/>
                <w:sz w:val="20"/>
                <w:lang w:val="fr-CA"/>
              </w:rPr>
              <w:t>Hyrotech</w:t>
            </w:r>
            <w:proofErr w:type="spellEnd"/>
            <w:r w:rsidRPr="005529E3">
              <w:rPr>
                <w:rFonts w:eastAsia="Calibri"/>
                <w:b/>
                <w:sz w:val="20"/>
                <w:lang w:val="fr-CA"/>
              </w:rPr>
              <w:t xml:space="preserve"> Experts-Conseil </w:t>
            </w:r>
            <w:proofErr w:type="spellStart"/>
            <w:r w:rsidRPr="005529E3">
              <w:rPr>
                <w:rFonts w:eastAsia="Calibri"/>
                <w:b/>
                <w:sz w:val="20"/>
                <w:lang w:val="fr-CA"/>
              </w:rPr>
              <w:t>inc.</w:t>
            </w:r>
            <w:proofErr w:type="spellEnd"/>
            <w:r w:rsidRPr="005529E3">
              <w:rPr>
                <w:rFonts w:eastAsia="Calibri"/>
                <w:b/>
                <w:sz w:val="20"/>
                <w:lang w:val="fr-CA"/>
              </w:rPr>
              <w:t xml:space="preserve">, Marcel </w:t>
            </w:r>
            <w:proofErr w:type="spellStart"/>
            <w:r w:rsidRPr="005529E3">
              <w:rPr>
                <w:rFonts w:eastAsia="Calibri"/>
                <w:b/>
                <w:sz w:val="20"/>
                <w:lang w:val="fr-CA"/>
              </w:rPr>
              <w:t>Frenette</w:t>
            </w:r>
            <w:proofErr w:type="spellEnd"/>
            <w:r w:rsidRPr="005529E3">
              <w:rPr>
                <w:rFonts w:eastAsia="Calibri"/>
                <w:b/>
                <w:sz w:val="20"/>
                <w:lang w:val="fr-CA"/>
              </w:rPr>
              <w:t>, Compagnie canadienne des chemins de fer nationaux</w:t>
            </w:r>
          </w:p>
          <w:p w:rsidR="005529E3" w:rsidRPr="005529E3" w:rsidRDefault="005529E3" w:rsidP="009C21EE">
            <w:pPr>
              <w:spacing w:line="276" w:lineRule="auto"/>
              <w:jc w:val="both"/>
              <w:rPr>
                <w:rFonts w:eastAsia="Calibri"/>
                <w:sz w:val="20"/>
                <w:lang w:val="fr-CA"/>
              </w:rPr>
            </w:pPr>
            <w:r w:rsidRPr="005529E3">
              <w:rPr>
                <w:rFonts w:eastAsia="Calibri"/>
                <w:sz w:val="20"/>
                <w:lang w:val="fr-CA"/>
              </w:rPr>
              <w:t>(</w:t>
            </w:r>
            <w:proofErr w:type="spellStart"/>
            <w:r w:rsidRPr="005529E3">
              <w:rPr>
                <w:rFonts w:eastAsia="Calibri"/>
                <w:sz w:val="20"/>
                <w:lang w:val="fr-CA"/>
              </w:rPr>
              <w:t>Qc</w:t>
            </w:r>
            <w:proofErr w:type="spellEnd"/>
            <w:r w:rsidRPr="005529E3">
              <w:rPr>
                <w:rFonts w:eastAsia="Calibri"/>
                <w:sz w:val="20"/>
                <w:lang w:val="fr-CA"/>
              </w:rPr>
              <w:t>) (Civile) (Autorisation)</w:t>
            </w:r>
          </w:p>
        </w:tc>
      </w:tr>
      <w:tr w:rsidR="005529E3" w:rsidRPr="005529E3" w:rsidTr="005529E3">
        <w:tc>
          <w:tcPr>
            <w:tcW w:w="5000" w:type="pct"/>
            <w:gridSpan w:val="4"/>
            <w:hideMark/>
          </w:tcPr>
          <w:p w:rsidR="005529E3" w:rsidRPr="005529E3" w:rsidRDefault="005529E3" w:rsidP="005529E3">
            <w:pPr>
              <w:spacing w:line="276" w:lineRule="auto"/>
              <w:jc w:val="both"/>
              <w:rPr>
                <w:rFonts w:eastAsia="Calibri"/>
                <w:sz w:val="20"/>
                <w:lang w:val="fr-CA"/>
              </w:rPr>
            </w:pPr>
            <w:r w:rsidRPr="005529E3">
              <w:rPr>
                <w:rFonts w:eastAsia="Calibri"/>
                <w:sz w:val="20"/>
                <w:lang w:val="fr-CA"/>
              </w:rPr>
              <w:lastRenderedPageBreak/>
              <w:t xml:space="preserve">Procédure civile – Pouvoir de surveillance et de contrôle de la Cour supérieure – La Cour supérieure peut-elle, selon l’art. 846 du </w:t>
            </w:r>
            <w:r w:rsidRPr="005529E3">
              <w:rPr>
                <w:rFonts w:eastAsia="Calibri"/>
                <w:i/>
                <w:sz w:val="20"/>
                <w:lang w:val="fr-CA"/>
              </w:rPr>
              <w:t>Code de procédure civile</w:t>
            </w:r>
            <w:r w:rsidRPr="005529E3">
              <w:rPr>
                <w:rFonts w:eastAsia="Calibri"/>
                <w:sz w:val="20"/>
                <w:lang w:val="fr-CA"/>
              </w:rPr>
              <w:t>, RLRQ c C-25.01, réviser une décision d’un autre juge de la Cour supérieure ayant mis fin à un litige par une décision finale? – Quelle est la norme de décision applicable en la matière?</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En 2014, la Cour supérieure a déclaré que les immeubles des intimés Sylvie Marcotte, Hélène Julien, Louis Julien et </w:t>
            </w:r>
            <w:proofErr w:type="spellStart"/>
            <w:r w:rsidRPr="005529E3">
              <w:rPr>
                <w:rFonts w:eastAsia="Calibri"/>
                <w:sz w:val="20"/>
                <w:lang w:val="fr-CA"/>
              </w:rPr>
              <w:t>Hydrotech</w:t>
            </w:r>
            <w:proofErr w:type="spellEnd"/>
            <w:r w:rsidRPr="005529E3">
              <w:rPr>
                <w:rFonts w:eastAsia="Calibri"/>
                <w:sz w:val="20"/>
                <w:lang w:val="fr-CA"/>
              </w:rPr>
              <w:t xml:space="preserve"> Experts-Conseil </w:t>
            </w:r>
            <w:proofErr w:type="spellStart"/>
            <w:r w:rsidRPr="005529E3">
              <w:rPr>
                <w:rFonts w:eastAsia="Calibri"/>
                <w:sz w:val="20"/>
                <w:lang w:val="fr-CA"/>
              </w:rPr>
              <w:t>inc.</w:t>
            </w:r>
            <w:proofErr w:type="spellEnd"/>
            <w:r w:rsidRPr="005529E3">
              <w:rPr>
                <w:rFonts w:eastAsia="Calibri"/>
                <w:sz w:val="20"/>
                <w:lang w:val="fr-CA"/>
              </w:rPr>
              <w:t xml:space="preserve"> bénéficiaient d’une servitude de passage à pied et en voiture, dans un chemin privé qui traversait notamment la propriété de Mme Lévesque, demanderesse. La Cour d’appel a accueilli la requête en rejet présentée par les intimés et a rejeté l’appel interjeté par Mme Lévesque au motif qu’il ne présentait aucune chance raisonnable de succès. Madame Lévesque n’a pas demandé l’autorisation d’appeler à la Cour suprême du jugement de la Cour d’appel. Elle a plutôt déposé une requête en révision judiciaire en Cour supérieure, demandant à cette dernière d’autoriser le recours pour « défaut de compétence » et d’ordonner aux parties de « surseoir à l’exécution du jugement » de la Cour supérieure déclarant la servitude. La Cour supérieure a rejeté la requête au motif qu’un juge de la Cour supérieure n’a aucun pouvoir de contrôle ou de surveillance sur un autre juge de la même cour, sauf exception clairement exprimée dans la loi. Elle a condamné Mme Lévesque à payer aux intimés des honoraires extrajudiciaires au motif que cette première avait agi avec témérité en introduisant la requête. La Cour d’appel a rejeté la requête pour permission d’appeler déposée par Mme Lévesque.</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t>Le 9 mars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supérieure du Québec</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(Le juge de Blois)</w:t>
            </w:r>
          </w:p>
          <w:p w:rsidR="005529E3" w:rsidRPr="005529E3" w:rsidRDefault="00480458" w:rsidP="005529E3">
            <w:pPr>
              <w:spacing w:line="276" w:lineRule="auto"/>
              <w:jc w:val="both"/>
              <w:rPr>
                <w:rFonts w:eastAsia="Calibri"/>
                <w:sz w:val="20"/>
                <w:lang w:val="fr-CA"/>
              </w:rPr>
            </w:pPr>
            <w:hyperlink r:id="rId90" w:history="1">
              <w:r w:rsidR="005529E3" w:rsidRPr="005529E3">
                <w:rPr>
                  <w:rFonts w:eastAsia="Calibri"/>
                  <w:color w:val="0000FF" w:themeColor="hyperlink"/>
                  <w:sz w:val="20"/>
                  <w:u w:val="single"/>
                  <w:lang w:val="fr-CA"/>
                </w:rPr>
                <w:t>2015 QCCS 1008</w:t>
              </w:r>
            </w:hyperlink>
          </w:p>
          <w:p w:rsidR="005529E3" w:rsidRPr="005529E3" w:rsidRDefault="005529E3" w:rsidP="005529E3">
            <w:pPr>
              <w:spacing w:line="276" w:lineRule="auto"/>
              <w:jc w:val="both"/>
              <w:rPr>
                <w:rFonts w:eastAsia="Calibri"/>
                <w:sz w:val="20"/>
                <w:lang w:val="fr-CA"/>
              </w:rPr>
            </w:pP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Requête en révision judiciaire rejetée</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t>Le 30 mars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d’appel du Québec (Québec)</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(La juge </w:t>
            </w:r>
            <w:proofErr w:type="spellStart"/>
            <w:r w:rsidRPr="005529E3">
              <w:rPr>
                <w:rFonts w:eastAsia="Calibri"/>
                <w:sz w:val="20"/>
                <w:lang w:val="fr-CA"/>
              </w:rPr>
              <w:t>Dutil</w:t>
            </w:r>
            <w:proofErr w:type="spellEnd"/>
            <w:r w:rsidRPr="005529E3">
              <w:rPr>
                <w:rFonts w:eastAsia="Calibri"/>
                <w:sz w:val="20"/>
                <w:lang w:val="fr-CA"/>
              </w:rPr>
              <w:t>)</w:t>
            </w:r>
          </w:p>
          <w:p w:rsidR="005529E3" w:rsidRPr="005529E3" w:rsidRDefault="00480458" w:rsidP="005529E3">
            <w:pPr>
              <w:spacing w:line="276" w:lineRule="auto"/>
              <w:jc w:val="both"/>
              <w:rPr>
                <w:rFonts w:eastAsia="Calibri"/>
                <w:sz w:val="20"/>
                <w:lang w:val="fr-CA"/>
              </w:rPr>
            </w:pPr>
            <w:hyperlink r:id="rId91" w:history="1">
              <w:r w:rsidR="005529E3" w:rsidRPr="005529E3">
                <w:rPr>
                  <w:rFonts w:eastAsia="Calibri"/>
                  <w:color w:val="0000FF" w:themeColor="hyperlink"/>
                  <w:sz w:val="20"/>
                  <w:u w:val="single"/>
                  <w:lang w:val="fr-CA"/>
                </w:rPr>
                <w:t>2015 QCCA 555</w:t>
              </w:r>
            </w:hyperlink>
          </w:p>
          <w:p w:rsidR="005529E3" w:rsidRPr="005529E3" w:rsidRDefault="005529E3" w:rsidP="005529E3">
            <w:pPr>
              <w:spacing w:line="276" w:lineRule="auto"/>
              <w:jc w:val="both"/>
              <w:rPr>
                <w:rFonts w:eastAsia="Calibri"/>
                <w:sz w:val="20"/>
              </w:rPr>
            </w:pPr>
          </w:p>
        </w:tc>
        <w:tc>
          <w:tcPr>
            <w:tcW w:w="243" w:type="pct"/>
          </w:tcPr>
          <w:p w:rsidR="005529E3" w:rsidRPr="005529E3" w:rsidRDefault="005529E3" w:rsidP="005529E3">
            <w:pPr>
              <w:spacing w:line="276" w:lineRule="auto"/>
              <w:jc w:val="both"/>
              <w:rPr>
                <w:rFonts w:eastAsia="Calibri"/>
                <w:sz w:val="20"/>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Requête pour permission d’appeler rejetée</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hideMark/>
          </w:tcPr>
          <w:p w:rsidR="005529E3" w:rsidRPr="005529E3" w:rsidRDefault="005529E3" w:rsidP="005529E3">
            <w:pPr>
              <w:spacing w:line="276" w:lineRule="auto"/>
              <w:jc w:val="both"/>
              <w:rPr>
                <w:rFonts w:eastAsia="Calibri"/>
                <w:sz w:val="20"/>
                <w:lang w:val="fr-CA"/>
              </w:rPr>
            </w:pPr>
            <w:r w:rsidRPr="005529E3">
              <w:rPr>
                <w:rFonts w:eastAsia="Calibri"/>
                <w:sz w:val="20"/>
                <w:lang w:val="fr-CA"/>
              </w:rPr>
              <w:t>Le 22 mai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suprême du Canada</w:t>
            </w: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Demande d'autorisation d'appel déposée</w:t>
            </w:r>
          </w:p>
          <w:p w:rsidR="005529E3" w:rsidRPr="005529E3" w:rsidRDefault="005529E3" w:rsidP="005529E3">
            <w:pPr>
              <w:spacing w:line="276" w:lineRule="auto"/>
              <w:jc w:val="both"/>
              <w:rPr>
                <w:rFonts w:eastAsia="Calibri"/>
                <w:sz w:val="20"/>
                <w:lang w:val="fr-CA"/>
              </w:rPr>
            </w:pPr>
          </w:p>
        </w:tc>
      </w:tr>
    </w:tbl>
    <w:p w:rsidR="005529E3" w:rsidRDefault="005529E3" w:rsidP="005529E3">
      <w:pPr>
        <w:jc w:val="both"/>
        <w:rPr>
          <w:rFonts w:eastAsia="Calibri"/>
          <w:sz w:val="20"/>
          <w:lang w:val="fr-CA"/>
        </w:rPr>
      </w:pPr>
    </w:p>
    <w:p w:rsidR="009C21EE" w:rsidRPr="005529E3" w:rsidRDefault="009C21EE" w:rsidP="005529E3">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529E3" w:rsidRPr="005529E3" w:rsidTr="005529E3">
        <w:tc>
          <w:tcPr>
            <w:tcW w:w="543" w:type="pct"/>
            <w:hideMark/>
          </w:tcPr>
          <w:p w:rsidR="005529E3" w:rsidRPr="005529E3" w:rsidRDefault="005529E3" w:rsidP="005529E3">
            <w:pPr>
              <w:spacing w:line="276" w:lineRule="auto"/>
              <w:jc w:val="both"/>
              <w:rPr>
                <w:rFonts w:eastAsia="Calibri"/>
                <w:sz w:val="20"/>
                <w:lang w:val="en-CA"/>
              </w:rPr>
            </w:pPr>
            <w:r w:rsidRPr="005529E3">
              <w:rPr>
                <w:rFonts w:eastAsia="Calibri"/>
                <w:b/>
                <w:sz w:val="20"/>
                <w:lang w:val="fr-CA"/>
              </w:rPr>
              <w:t>36418</w:t>
            </w:r>
          </w:p>
        </w:tc>
        <w:tc>
          <w:tcPr>
            <w:tcW w:w="4457" w:type="pct"/>
            <w:gridSpan w:val="3"/>
          </w:tcPr>
          <w:p w:rsidR="005529E3" w:rsidRPr="005529E3" w:rsidRDefault="005529E3" w:rsidP="005529E3">
            <w:pPr>
              <w:spacing w:line="276" w:lineRule="auto"/>
              <w:jc w:val="both"/>
              <w:rPr>
                <w:rFonts w:eastAsia="Calibri"/>
                <w:b/>
                <w:sz w:val="20"/>
                <w:lang w:val="en-CA"/>
              </w:rPr>
            </w:pPr>
            <w:r w:rsidRPr="005529E3">
              <w:rPr>
                <w:rFonts w:eastAsia="Calibri"/>
                <w:b/>
                <w:sz w:val="20"/>
                <w:lang w:val="en-CA"/>
              </w:rPr>
              <w:t xml:space="preserve">Jacques Thibault v. Daniel </w:t>
            </w:r>
            <w:proofErr w:type="spellStart"/>
            <w:r w:rsidRPr="005529E3">
              <w:rPr>
                <w:rFonts w:eastAsia="Calibri"/>
                <w:b/>
                <w:sz w:val="20"/>
                <w:lang w:val="en-CA"/>
              </w:rPr>
              <w:t>Cloutier</w:t>
            </w:r>
            <w:proofErr w:type="spellEnd"/>
          </w:p>
          <w:p w:rsidR="005529E3" w:rsidRPr="005529E3" w:rsidRDefault="005529E3" w:rsidP="009C21EE">
            <w:pPr>
              <w:spacing w:line="276" w:lineRule="auto"/>
              <w:jc w:val="both"/>
              <w:rPr>
                <w:rFonts w:eastAsia="Calibri"/>
                <w:sz w:val="20"/>
                <w:lang w:val="en-CA"/>
              </w:rPr>
            </w:pPr>
            <w:r w:rsidRPr="005529E3">
              <w:rPr>
                <w:rFonts w:eastAsia="Calibri"/>
                <w:sz w:val="20"/>
                <w:lang w:val="en-CA"/>
              </w:rPr>
              <w:t>(Que.) (Civil) (By Leave)</w:t>
            </w:r>
          </w:p>
        </w:tc>
      </w:tr>
      <w:tr w:rsidR="005529E3" w:rsidRPr="005529E3" w:rsidTr="005529E3">
        <w:tc>
          <w:tcPr>
            <w:tcW w:w="5000" w:type="pct"/>
            <w:gridSpan w:val="4"/>
            <w:hideMark/>
          </w:tcPr>
          <w:p w:rsidR="005529E3" w:rsidRPr="005529E3" w:rsidRDefault="005529E3" w:rsidP="005529E3">
            <w:pPr>
              <w:spacing w:line="276" w:lineRule="auto"/>
              <w:jc w:val="both"/>
              <w:rPr>
                <w:rFonts w:eastAsia="Calibri"/>
                <w:sz w:val="20"/>
                <w:lang w:val="en-CA"/>
              </w:rPr>
            </w:pPr>
            <w:r w:rsidRPr="005529E3">
              <w:rPr>
                <w:rFonts w:eastAsia="Calibri"/>
                <w:iCs/>
                <w:sz w:val="20"/>
                <w:lang w:val="en-CA"/>
              </w:rPr>
              <w:t xml:space="preserve">Civil procedure – Compulsory execution – Seizure in execution – Motion to oppose seizure – Executory condemnation – Establishment of balance – Whether clerk of Superior Court can lawfully issue writ of seizure of person’s property in execution even though judgment for which execution sought contains no condemnation, except to costs, since it contains only declaratory conclusion in relation to third party – Whether opposition to seizure under </w:t>
            </w:r>
            <w:r w:rsidRPr="005529E3">
              <w:rPr>
                <w:rFonts w:eastAsia="Calibri"/>
                <w:sz w:val="20"/>
                <w:lang w:val="en-CA"/>
              </w:rPr>
              <w:t xml:space="preserve">art. 596 </w:t>
            </w:r>
            <w:r w:rsidRPr="005529E3">
              <w:rPr>
                <w:rFonts w:eastAsia="Calibri"/>
                <w:i/>
                <w:sz w:val="20"/>
                <w:lang w:val="en-CA"/>
              </w:rPr>
              <w:t>C.C.P.</w:t>
            </w:r>
            <w:r w:rsidRPr="005529E3">
              <w:rPr>
                <w:rFonts w:eastAsia="Calibri"/>
                <w:sz w:val="20"/>
                <w:lang w:val="en-CA"/>
              </w:rPr>
              <w:t xml:space="preserve"> is useful proceeding to have seizure annulled and dismissed.</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r w:rsidRPr="005529E3">
              <w:rPr>
                <w:rFonts w:eastAsia="Calibri"/>
                <w:sz w:val="20"/>
                <w:lang w:val="en-CA"/>
              </w:rPr>
              <w:t xml:space="preserve">In October 2009, </w:t>
            </w:r>
            <w:proofErr w:type="spellStart"/>
            <w:r w:rsidRPr="005529E3">
              <w:rPr>
                <w:rFonts w:eastAsia="Calibri"/>
                <w:sz w:val="20"/>
                <w:lang w:val="en-CA"/>
              </w:rPr>
              <w:t>Barakett</w:t>
            </w:r>
            <w:proofErr w:type="spellEnd"/>
            <w:r w:rsidRPr="005529E3">
              <w:rPr>
                <w:rFonts w:eastAsia="Calibri"/>
                <w:sz w:val="20"/>
                <w:lang w:val="en-CA"/>
              </w:rPr>
              <w:t> J. of the Superior Court ordered the liquidation of an undeclared partnership that had existed between the applicant Jacques Thibault and the respondent Daniel </w:t>
            </w:r>
            <w:proofErr w:type="spellStart"/>
            <w:r w:rsidRPr="005529E3">
              <w:rPr>
                <w:rFonts w:eastAsia="Calibri"/>
                <w:sz w:val="20"/>
                <w:lang w:val="en-CA"/>
              </w:rPr>
              <w:t>Cloutier</w:t>
            </w:r>
            <w:proofErr w:type="spellEnd"/>
            <w:r w:rsidRPr="005529E3">
              <w:rPr>
                <w:rFonts w:eastAsia="Calibri"/>
                <w:sz w:val="20"/>
                <w:lang w:val="en-CA"/>
              </w:rPr>
              <w:t>. According to the conclusions of the judgment, Mr. Thibault had to render an account of his administration of the partnership and its property, since the judge found that he had unlawfully profited from an invention of Mr. </w:t>
            </w:r>
            <w:proofErr w:type="spellStart"/>
            <w:r w:rsidRPr="005529E3">
              <w:rPr>
                <w:rFonts w:eastAsia="Calibri"/>
                <w:sz w:val="20"/>
                <w:lang w:val="en-CA"/>
              </w:rPr>
              <w:t>Cloutier’s</w:t>
            </w:r>
            <w:proofErr w:type="spellEnd"/>
            <w:r w:rsidRPr="005529E3">
              <w:rPr>
                <w:rFonts w:eastAsia="Calibri"/>
                <w:sz w:val="20"/>
                <w:lang w:val="en-CA"/>
              </w:rPr>
              <w:t xml:space="preserve"> (</w:t>
            </w:r>
            <w:hyperlink r:id="rId92" w:history="1">
              <w:r w:rsidRPr="005529E3">
                <w:rPr>
                  <w:rFonts w:eastAsia="Calibri"/>
                  <w:color w:val="0000FF" w:themeColor="hyperlink"/>
                  <w:sz w:val="20"/>
                  <w:u w:val="single"/>
                  <w:lang w:val="en-CA"/>
                </w:rPr>
                <w:t>2009 QCCS 4881</w:t>
              </w:r>
            </w:hyperlink>
            <w:r w:rsidRPr="005529E3">
              <w:rPr>
                <w:rFonts w:eastAsia="Calibri"/>
                <w:sz w:val="20"/>
                <w:lang w:val="en-CA"/>
              </w:rPr>
              <w:t xml:space="preserve">). </w:t>
            </w:r>
          </w:p>
          <w:p w:rsidR="005529E3" w:rsidRPr="005529E3" w:rsidRDefault="005529E3" w:rsidP="005529E3">
            <w:pPr>
              <w:spacing w:line="276" w:lineRule="auto"/>
              <w:jc w:val="both"/>
              <w:rPr>
                <w:rFonts w:eastAsia="Calibri"/>
                <w:sz w:val="20"/>
                <w:lang w:val="en-CA"/>
              </w:rPr>
            </w:pPr>
          </w:p>
          <w:p w:rsidR="005529E3" w:rsidRPr="005529E3" w:rsidRDefault="005529E3" w:rsidP="005529E3">
            <w:pPr>
              <w:spacing w:line="276" w:lineRule="auto"/>
              <w:jc w:val="both"/>
              <w:rPr>
                <w:rFonts w:eastAsia="Calibri"/>
                <w:sz w:val="20"/>
                <w:lang w:val="en-CA"/>
              </w:rPr>
            </w:pPr>
            <w:r w:rsidRPr="005529E3">
              <w:rPr>
                <w:rFonts w:eastAsia="Calibri"/>
                <w:sz w:val="20"/>
                <w:lang w:val="en-CA"/>
              </w:rPr>
              <w:lastRenderedPageBreak/>
              <w:t xml:space="preserve">Following the judgment rendered by </w:t>
            </w:r>
            <w:proofErr w:type="spellStart"/>
            <w:r w:rsidRPr="005529E3">
              <w:rPr>
                <w:rFonts w:eastAsia="Calibri"/>
                <w:sz w:val="20"/>
                <w:lang w:val="en-CA"/>
              </w:rPr>
              <w:t>Émond</w:t>
            </w:r>
            <w:proofErr w:type="spellEnd"/>
            <w:r w:rsidRPr="005529E3">
              <w:rPr>
                <w:rFonts w:eastAsia="Calibri"/>
                <w:sz w:val="20"/>
                <w:lang w:val="en-CA"/>
              </w:rPr>
              <w:t> J. in February 2013 on the proceeding for an accounting (</w:t>
            </w:r>
            <w:hyperlink r:id="rId93" w:history="1">
              <w:r w:rsidRPr="005529E3">
                <w:rPr>
                  <w:rFonts w:eastAsia="Calibri"/>
                  <w:color w:val="0000FF" w:themeColor="hyperlink"/>
                  <w:sz w:val="20"/>
                  <w:u w:val="single"/>
                  <w:lang w:val="en-CA"/>
                </w:rPr>
                <w:t>2013 QCCS 673</w:t>
              </w:r>
            </w:hyperlink>
            <w:r w:rsidRPr="005529E3">
              <w:rPr>
                <w:rFonts w:eastAsia="Calibri"/>
                <w:sz w:val="20"/>
                <w:lang w:val="en-CA"/>
              </w:rPr>
              <w:t xml:space="preserve">), a writ of seizure of immovable property in execution was issued in June 2014 against the property of Mr. Thibault, who filed a motion to oppose the seizure. He argued that </w:t>
            </w:r>
            <w:proofErr w:type="spellStart"/>
            <w:r w:rsidRPr="005529E3">
              <w:rPr>
                <w:rFonts w:eastAsia="Calibri"/>
                <w:sz w:val="20"/>
                <w:lang w:val="en-CA"/>
              </w:rPr>
              <w:t>Émond</w:t>
            </w:r>
            <w:proofErr w:type="spellEnd"/>
            <w:r w:rsidRPr="005529E3">
              <w:rPr>
                <w:rFonts w:eastAsia="Calibri"/>
                <w:sz w:val="20"/>
                <w:lang w:val="en-CA"/>
              </w:rPr>
              <w:t> J.’s judgment contained no condemnation or conclusion against him, since the main conclusion concerned the profits generated by his spouse’s company ($110,816), which had produced and marketed the invention in question. He argued that he had not personally received any profits and that the $110,816 and the $6,466.80 in interest therefore had to be withdrawn from the writ of seizure by garnishment.</w:t>
            </w:r>
          </w:p>
          <w:p w:rsidR="005529E3" w:rsidRPr="005529E3" w:rsidRDefault="005529E3" w:rsidP="005529E3">
            <w:pPr>
              <w:spacing w:line="276" w:lineRule="auto"/>
              <w:jc w:val="both"/>
              <w:rPr>
                <w:rFonts w:eastAsia="Calibri"/>
                <w:sz w:val="20"/>
                <w:lang w:val="en-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en-CA"/>
              </w:rPr>
            </w:pPr>
            <w:r w:rsidRPr="005529E3">
              <w:rPr>
                <w:rFonts w:eastAsia="Calibri"/>
                <w:sz w:val="20"/>
                <w:lang w:val="en-CA"/>
              </w:rPr>
              <w:lastRenderedPageBreak/>
              <w:t>December 16, 2014</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Quebec Superior Court</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(Tessier Couture J.)</w:t>
            </w:r>
          </w:p>
          <w:p w:rsidR="005529E3" w:rsidRPr="005529E3" w:rsidRDefault="00480458" w:rsidP="005529E3">
            <w:pPr>
              <w:spacing w:line="276" w:lineRule="auto"/>
              <w:jc w:val="both"/>
              <w:rPr>
                <w:rFonts w:eastAsia="Calibri"/>
                <w:sz w:val="20"/>
                <w:lang w:val="en-CA"/>
              </w:rPr>
            </w:pPr>
            <w:hyperlink r:id="rId94" w:history="1">
              <w:r w:rsidR="005529E3" w:rsidRPr="005529E3">
                <w:rPr>
                  <w:rFonts w:eastAsia="Calibri"/>
                  <w:color w:val="0000FF" w:themeColor="hyperlink"/>
                  <w:sz w:val="20"/>
                  <w:u w:val="single"/>
                  <w:lang w:val="en-CA"/>
                </w:rPr>
                <w:t>2014 QCCS 6676</w:t>
              </w:r>
            </w:hyperlink>
          </w:p>
          <w:p w:rsidR="005529E3" w:rsidRPr="005529E3" w:rsidRDefault="005529E3" w:rsidP="005529E3">
            <w:pPr>
              <w:spacing w:line="276" w:lineRule="auto"/>
              <w:jc w:val="both"/>
              <w:rPr>
                <w:rFonts w:eastAsia="Calibri"/>
                <w:sz w:val="20"/>
                <w:lang w:val="en-CA"/>
              </w:rPr>
            </w:pP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Motion to oppose seizure of immovable property dismissed and declared improper</w:t>
            </w:r>
          </w:p>
          <w:p w:rsidR="005529E3" w:rsidRPr="005529E3" w:rsidRDefault="005529E3" w:rsidP="005529E3">
            <w:pPr>
              <w:spacing w:line="276" w:lineRule="auto"/>
              <w:jc w:val="both"/>
              <w:rPr>
                <w:rFonts w:eastAsia="Calibri"/>
                <w:sz w:val="20"/>
                <w:lang w:val="en-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en-CA"/>
              </w:rPr>
            </w:pPr>
            <w:r w:rsidRPr="005529E3">
              <w:rPr>
                <w:rFonts w:eastAsia="Calibri"/>
                <w:sz w:val="20"/>
                <w:lang w:val="en-CA"/>
              </w:rPr>
              <w:t>March 5,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Quebec Court of Appeal (Québec)</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(Giroux J.A.)</w:t>
            </w:r>
          </w:p>
          <w:p w:rsidR="005529E3" w:rsidRPr="005529E3" w:rsidRDefault="00480458" w:rsidP="005529E3">
            <w:pPr>
              <w:spacing w:line="276" w:lineRule="auto"/>
              <w:jc w:val="both"/>
              <w:rPr>
                <w:rFonts w:eastAsia="Calibri"/>
                <w:sz w:val="20"/>
                <w:lang w:val="en-CA"/>
              </w:rPr>
            </w:pPr>
            <w:hyperlink r:id="rId95" w:history="1">
              <w:r w:rsidR="005529E3" w:rsidRPr="005529E3">
                <w:rPr>
                  <w:rFonts w:eastAsia="Calibri"/>
                  <w:color w:val="0000FF" w:themeColor="hyperlink"/>
                  <w:sz w:val="20"/>
                  <w:u w:val="single"/>
                  <w:lang w:val="en-CA"/>
                </w:rPr>
                <w:t>2015 QCCA 417</w:t>
              </w:r>
            </w:hyperlink>
            <w:r w:rsidR="005529E3" w:rsidRPr="005529E3">
              <w:rPr>
                <w:rFonts w:eastAsia="Calibri"/>
                <w:sz w:val="20"/>
                <w:lang w:val="en-CA"/>
              </w:rPr>
              <w:t>; 200-09-008920-156</w:t>
            </w:r>
          </w:p>
          <w:p w:rsidR="005529E3" w:rsidRPr="005529E3" w:rsidRDefault="005529E3" w:rsidP="005529E3">
            <w:pPr>
              <w:spacing w:line="276" w:lineRule="auto"/>
              <w:jc w:val="both"/>
              <w:rPr>
                <w:rFonts w:eastAsia="Calibri"/>
                <w:sz w:val="20"/>
                <w:lang w:val="en-CA"/>
              </w:rPr>
            </w:pP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Motion for leave to appeal dismissed</w:t>
            </w:r>
          </w:p>
          <w:p w:rsidR="005529E3" w:rsidRPr="005529E3" w:rsidRDefault="005529E3" w:rsidP="005529E3">
            <w:pPr>
              <w:spacing w:line="276" w:lineRule="auto"/>
              <w:jc w:val="both"/>
              <w:rPr>
                <w:rFonts w:eastAsia="Calibri"/>
                <w:sz w:val="20"/>
                <w:lang w:val="en-CA"/>
              </w:rPr>
            </w:pPr>
          </w:p>
        </w:tc>
      </w:tr>
      <w:tr w:rsidR="005529E3" w:rsidRPr="005529E3" w:rsidTr="005529E3">
        <w:tc>
          <w:tcPr>
            <w:tcW w:w="2427" w:type="pct"/>
            <w:gridSpan w:val="2"/>
            <w:hideMark/>
          </w:tcPr>
          <w:p w:rsidR="005529E3" w:rsidRPr="005529E3" w:rsidRDefault="005529E3" w:rsidP="005529E3">
            <w:pPr>
              <w:spacing w:line="276" w:lineRule="auto"/>
              <w:jc w:val="both"/>
              <w:rPr>
                <w:rFonts w:eastAsia="Calibri"/>
                <w:sz w:val="20"/>
                <w:lang w:val="en-CA"/>
              </w:rPr>
            </w:pPr>
            <w:r w:rsidRPr="005529E3">
              <w:rPr>
                <w:rFonts w:eastAsia="Calibri"/>
                <w:sz w:val="20"/>
                <w:lang w:val="en-CA"/>
              </w:rPr>
              <w:t>May 4,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Supreme Court of Canada</w:t>
            </w: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Application for leave to appeal filed</w:t>
            </w:r>
          </w:p>
          <w:p w:rsidR="005529E3" w:rsidRPr="005529E3" w:rsidRDefault="005529E3" w:rsidP="005529E3">
            <w:pPr>
              <w:spacing w:line="276" w:lineRule="auto"/>
              <w:jc w:val="both"/>
              <w:rPr>
                <w:rFonts w:eastAsia="Calibri"/>
                <w:sz w:val="20"/>
                <w:lang w:val="en-CA"/>
              </w:rPr>
            </w:pPr>
          </w:p>
        </w:tc>
      </w:tr>
    </w:tbl>
    <w:p w:rsidR="005529E3" w:rsidRDefault="005529E3" w:rsidP="005529E3">
      <w:pPr>
        <w:jc w:val="both"/>
        <w:rPr>
          <w:rFonts w:eastAsia="Calibri"/>
          <w:sz w:val="20"/>
          <w:lang w:val="en-CA"/>
        </w:rPr>
      </w:pPr>
    </w:p>
    <w:p w:rsidR="009C21EE" w:rsidRPr="005529E3" w:rsidRDefault="009C21EE" w:rsidP="005529E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529E3" w:rsidRPr="005529E3" w:rsidTr="005529E3">
        <w:tc>
          <w:tcPr>
            <w:tcW w:w="543" w:type="pct"/>
            <w:hideMark/>
          </w:tcPr>
          <w:p w:rsidR="005529E3" w:rsidRPr="005529E3" w:rsidRDefault="005529E3" w:rsidP="005529E3">
            <w:pPr>
              <w:spacing w:line="276" w:lineRule="auto"/>
              <w:jc w:val="both"/>
              <w:rPr>
                <w:rFonts w:eastAsia="Calibri"/>
                <w:sz w:val="20"/>
                <w:lang w:val="fr-CA"/>
              </w:rPr>
            </w:pPr>
            <w:r w:rsidRPr="005529E3">
              <w:rPr>
                <w:rFonts w:eastAsia="Calibri"/>
                <w:b/>
                <w:sz w:val="20"/>
                <w:lang w:val="fr-CA"/>
              </w:rPr>
              <w:t>36418</w:t>
            </w:r>
          </w:p>
        </w:tc>
        <w:tc>
          <w:tcPr>
            <w:tcW w:w="4457" w:type="pct"/>
            <w:gridSpan w:val="3"/>
          </w:tcPr>
          <w:p w:rsidR="005529E3" w:rsidRPr="005529E3" w:rsidRDefault="005529E3" w:rsidP="005529E3">
            <w:pPr>
              <w:spacing w:line="276" w:lineRule="auto"/>
              <w:jc w:val="both"/>
              <w:rPr>
                <w:rFonts w:eastAsia="Calibri"/>
                <w:b/>
                <w:sz w:val="20"/>
                <w:lang w:val="fr-CA"/>
              </w:rPr>
            </w:pPr>
            <w:r w:rsidRPr="005529E3">
              <w:rPr>
                <w:rFonts w:eastAsia="Calibri"/>
                <w:b/>
                <w:sz w:val="20"/>
                <w:lang w:val="fr-CA"/>
              </w:rPr>
              <w:t>Jacques Thibault c. Daniel Cloutier</w:t>
            </w:r>
          </w:p>
          <w:p w:rsidR="005529E3" w:rsidRPr="005529E3" w:rsidRDefault="005529E3" w:rsidP="009C21EE">
            <w:pPr>
              <w:spacing w:line="276" w:lineRule="auto"/>
              <w:jc w:val="both"/>
              <w:rPr>
                <w:rFonts w:eastAsia="Calibri"/>
                <w:sz w:val="20"/>
                <w:lang w:val="fr-CA"/>
              </w:rPr>
            </w:pPr>
            <w:r w:rsidRPr="005529E3">
              <w:rPr>
                <w:rFonts w:eastAsia="Calibri"/>
                <w:sz w:val="20"/>
                <w:lang w:val="fr-CA"/>
              </w:rPr>
              <w:t>(</w:t>
            </w:r>
            <w:proofErr w:type="spellStart"/>
            <w:r w:rsidRPr="005529E3">
              <w:rPr>
                <w:rFonts w:eastAsia="Calibri"/>
                <w:sz w:val="20"/>
                <w:lang w:val="fr-CA"/>
              </w:rPr>
              <w:t>Qc</w:t>
            </w:r>
            <w:proofErr w:type="spellEnd"/>
            <w:r w:rsidRPr="005529E3">
              <w:rPr>
                <w:rFonts w:eastAsia="Calibri"/>
                <w:sz w:val="20"/>
                <w:lang w:val="fr-CA"/>
              </w:rPr>
              <w:t>) (Civile) (Autorisation)</w:t>
            </w:r>
          </w:p>
        </w:tc>
      </w:tr>
      <w:tr w:rsidR="005529E3" w:rsidRPr="005529E3" w:rsidTr="005529E3">
        <w:tc>
          <w:tcPr>
            <w:tcW w:w="5000" w:type="pct"/>
            <w:gridSpan w:val="4"/>
            <w:hideMark/>
          </w:tcPr>
          <w:p w:rsidR="005529E3" w:rsidRPr="005529E3" w:rsidRDefault="005529E3" w:rsidP="005529E3">
            <w:pPr>
              <w:spacing w:line="276" w:lineRule="auto"/>
              <w:jc w:val="both"/>
              <w:rPr>
                <w:rFonts w:eastAsia="Calibri"/>
                <w:sz w:val="20"/>
                <w:lang w:val="fr-CA"/>
              </w:rPr>
            </w:pPr>
            <w:r w:rsidRPr="005529E3">
              <w:rPr>
                <w:rFonts w:eastAsia="Calibri"/>
                <w:iCs/>
                <w:sz w:val="20"/>
                <w:lang w:val="fr-CA"/>
              </w:rPr>
              <w:t xml:space="preserve">Procédure civile – Exécution forcée – Saisie-exécution – Requête en opposition à la saisie – Condamnation exécutoire – Établissement du reliquat – Le greffier de la Cour supérieure peut-il émettre légalement un bref de saisie-exécution sur les biens d’une personne, alors que le jugement dont l’exécution est recherchée ne comporte aucune condamnation, sauf quant aux dépens, n’ayant qu’une conclusion déclaratoire à l’égard d’un tiers? – </w:t>
            </w:r>
            <w:r w:rsidRPr="005529E3">
              <w:rPr>
                <w:rFonts w:eastAsia="Calibri"/>
                <w:sz w:val="20"/>
                <w:lang w:val="fr-CA"/>
              </w:rPr>
              <w:t xml:space="preserve">L’opposition à la saisie en vertu de l’art. 596 </w:t>
            </w:r>
            <w:proofErr w:type="spellStart"/>
            <w:r w:rsidRPr="005529E3">
              <w:rPr>
                <w:rFonts w:eastAsia="Calibri"/>
                <w:i/>
                <w:sz w:val="20"/>
                <w:lang w:val="fr-CA"/>
              </w:rPr>
              <w:t>C.p.c</w:t>
            </w:r>
            <w:proofErr w:type="spellEnd"/>
            <w:r w:rsidRPr="005529E3">
              <w:rPr>
                <w:rFonts w:eastAsia="Calibri"/>
                <w:i/>
                <w:sz w:val="20"/>
                <w:lang w:val="fr-CA"/>
              </w:rPr>
              <w:t>.</w:t>
            </w:r>
            <w:r w:rsidRPr="005529E3">
              <w:rPr>
                <w:rFonts w:eastAsia="Calibri"/>
                <w:sz w:val="20"/>
                <w:lang w:val="fr-CA"/>
              </w:rPr>
              <w:t>, pour conclure à l’annulation et au rejet de la saisie, est-elle une procédure utile?</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En octobre 2009, le juge </w:t>
            </w:r>
            <w:proofErr w:type="spellStart"/>
            <w:r w:rsidRPr="005529E3">
              <w:rPr>
                <w:rFonts w:eastAsia="Calibri"/>
                <w:sz w:val="20"/>
                <w:lang w:val="fr-CA"/>
              </w:rPr>
              <w:t>Barakett</w:t>
            </w:r>
            <w:proofErr w:type="spellEnd"/>
            <w:r w:rsidRPr="005529E3">
              <w:rPr>
                <w:rFonts w:eastAsia="Calibri"/>
                <w:sz w:val="20"/>
                <w:lang w:val="fr-CA"/>
              </w:rPr>
              <w:t xml:space="preserve"> de la Cour supérieure ordonne la liquidation d’une société en participation ayant existé entre M. Jacques Thibault, demandeur, et M. Daniel Cloutier, intimé. Suivant les conclusions du jugement, M. Thibault doit rendre compte de son administration de la société et de ses biens, le juge estimant que celui-ci a illégalement tiré profit d’une invention qui était celle de M. Cloutier (</w:t>
            </w:r>
            <w:hyperlink r:id="rId96" w:history="1">
              <w:r w:rsidRPr="005529E3">
                <w:rPr>
                  <w:rFonts w:eastAsia="Calibri"/>
                  <w:color w:val="0000FF" w:themeColor="hyperlink"/>
                  <w:sz w:val="20"/>
                  <w:u w:val="single"/>
                  <w:lang w:val="fr-CA"/>
                </w:rPr>
                <w:t>2009 QCCS 4881</w:t>
              </w:r>
            </w:hyperlink>
            <w:r w:rsidRPr="005529E3">
              <w:rPr>
                <w:rFonts w:eastAsia="Calibri"/>
                <w:sz w:val="20"/>
                <w:lang w:val="fr-CA"/>
              </w:rPr>
              <w:t xml:space="preserve">). </w:t>
            </w:r>
          </w:p>
          <w:p w:rsidR="005529E3" w:rsidRPr="005529E3" w:rsidRDefault="005529E3" w:rsidP="005529E3">
            <w:pPr>
              <w:spacing w:line="276" w:lineRule="auto"/>
              <w:jc w:val="both"/>
              <w:rPr>
                <w:rFonts w:eastAsia="Calibri"/>
                <w:sz w:val="20"/>
                <w:lang w:val="fr-CA"/>
              </w:rPr>
            </w:pPr>
          </w:p>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Suivant le jugement sur l’instance en reddition de compte rendu par le juge </w:t>
            </w:r>
            <w:proofErr w:type="spellStart"/>
            <w:r w:rsidRPr="005529E3">
              <w:rPr>
                <w:rFonts w:eastAsia="Calibri"/>
                <w:sz w:val="20"/>
                <w:lang w:val="fr-CA"/>
              </w:rPr>
              <w:t>Émond</w:t>
            </w:r>
            <w:proofErr w:type="spellEnd"/>
            <w:r w:rsidRPr="005529E3">
              <w:rPr>
                <w:rFonts w:eastAsia="Calibri"/>
                <w:sz w:val="20"/>
                <w:lang w:val="fr-CA"/>
              </w:rPr>
              <w:t xml:space="preserve"> en février 2013 (</w:t>
            </w:r>
            <w:hyperlink r:id="rId97" w:history="1">
              <w:r w:rsidRPr="005529E3">
                <w:rPr>
                  <w:rFonts w:eastAsia="Calibri"/>
                  <w:color w:val="0000FF" w:themeColor="hyperlink"/>
                  <w:sz w:val="20"/>
                  <w:u w:val="single"/>
                  <w:lang w:val="fr-CA"/>
                </w:rPr>
                <w:t>2013 QCCS 673</w:t>
              </w:r>
            </w:hyperlink>
            <w:r w:rsidRPr="005529E3">
              <w:rPr>
                <w:rFonts w:eastAsia="Calibri"/>
                <w:sz w:val="20"/>
                <w:lang w:val="fr-CA"/>
              </w:rPr>
              <w:t xml:space="preserve">), un bref de saisie-exécution immobilière est émis en juin 2014 sur les biens de M. Thibault, lequel présente une requête en opposition à la saisie. Il prétend que le jugement rendu par le juge </w:t>
            </w:r>
            <w:proofErr w:type="spellStart"/>
            <w:r w:rsidRPr="005529E3">
              <w:rPr>
                <w:rFonts w:eastAsia="Calibri"/>
                <w:sz w:val="20"/>
                <w:lang w:val="fr-CA"/>
              </w:rPr>
              <w:t>Émond</w:t>
            </w:r>
            <w:proofErr w:type="spellEnd"/>
            <w:r w:rsidRPr="005529E3">
              <w:rPr>
                <w:rFonts w:eastAsia="Calibri"/>
                <w:sz w:val="20"/>
                <w:lang w:val="fr-CA"/>
              </w:rPr>
              <w:t xml:space="preserve"> ne contient aucune condamnation et conclusion contre lui, la conclusion principale concernant les profits générés par la société de son épouse (110 816 $), laquelle a produit et mis en marché l’invention en question. Il soutient qu’il n’a personnellement touché aucun profit et donc, que le montant de 110 816 $ ainsi que les intérêts de 6 466,80 $ doivent être distraits du bref de saisie-arrêt.</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t>Le 16 décembre 2014</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supérieure du Québec</w:t>
            </w:r>
          </w:p>
          <w:p w:rsidR="005529E3" w:rsidRPr="005529E3" w:rsidRDefault="005529E3" w:rsidP="005529E3">
            <w:pPr>
              <w:spacing w:line="276" w:lineRule="auto"/>
              <w:jc w:val="both"/>
              <w:rPr>
                <w:rFonts w:eastAsia="Calibri"/>
                <w:sz w:val="20"/>
                <w:lang w:val="fr-CA"/>
              </w:rPr>
            </w:pPr>
            <w:r w:rsidRPr="005529E3">
              <w:rPr>
                <w:rFonts w:eastAsia="Calibri"/>
                <w:sz w:val="20"/>
                <w:lang w:val="fr-CA"/>
              </w:rPr>
              <w:lastRenderedPageBreak/>
              <w:t>(La juge Tessier Couture)</w:t>
            </w:r>
          </w:p>
          <w:p w:rsidR="005529E3" w:rsidRPr="005529E3" w:rsidRDefault="00480458" w:rsidP="005529E3">
            <w:pPr>
              <w:spacing w:line="276" w:lineRule="auto"/>
              <w:jc w:val="both"/>
              <w:rPr>
                <w:rFonts w:eastAsia="Calibri"/>
                <w:sz w:val="20"/>
                <w:lang w:val="fr-CA"/>
              </w:rPr>
            </w:pPr>
            <w:hyperlink r:id="rId98" w:history="1">
              <w:r w:rsidR="005529E3" w:rsidRPr="005529E3">
                <w:rPr>
                  <w:rFonts w:eastAsia="Calibri"/>
                  <w:color w:val="0000FF" w:themeColor="hyperlink"/>
                  <w:sz w:val="20"/>
                  <w:u w:val="single"/>
                  <w:lang w:val="fr-CA"/>
                </w:rPr>
                <w:t>2014 QCCS 6676</w:t>
              </w:r>
            </w:hyperlink>
          </w:p>
          <w:p w:rsidR="005529E3" w:rsidRPr="005529E3" w:rsidRDefault="005529E3" w:rsidP="005529E3">
            <w:pPr>
              <w:spacing w:line="276" w:lineRule="auto"/>
              <w:jc w:val="both"/>
              <w:rPr>
                <w:rFonts w:eastAsia="Calibri"/>
                <w:sz w:val="20"/>
                <w:lang w:val="fr-CA"/>
              </w:rPr>
            </w:pP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Requête en opposition à la saisie immobilière rejetée et déclarée abusive</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lastRenderedPageBreak/>
              <w:t>Le 5 mars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d’appel du Québec (Québec)</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(Le juge Giroux)</w:t>
            </w:r>
          </w:p>
          <w:p w:rsidR="005529E3" w:rsidRPr="005529E3" w:rsidRDefault="00480458" w:rsidP="005529E3">
            <w:pPr>
              <w:spacing w:line="276" w:lineRule="auto"/>
              <w:jc w:val="both"/>
              <w:rPr>
                <w:rFonts w:eastAsia="Calibri"/>
                <w:sz w:val="20"/>
                <w:lang w:val="fr-CA"/>
              </w:rPr>
            </w:pPr>
            <w:hyperlink r:id="rId99" w:history="1">
              <w:r w:rsidR="005529E3" w:rsidRPr="005529E3">
                <w:rPr>
                  <w:rFonts w:eastAsia="Calibri"/>
                  <w:color w:val="0000FF" w:themeColor="hyperlink"/>
                  <w:sz w:val="20"/>
                  <w:u w:val="single"/>
                  <w:lang w:val="fr-CA"/>
                </w:rPr>
                <w:t>2015 QCCA 417</w:t>
              </w:r>
            </w:hyperlink>
            <w:r w:rsidR="005529E3" w:rsidRPr="005529E3">
              <w:rPr>
                <w:rFonts w:eastAsia="Calibri"/>
                <w:sz w:val="20"/>
                <w:lang w:val="fr-CA"/>
              </w:rPr>
              <w:t>; 200-09-008920-156</w:t>
            </w:r>
          </w:p>
          <w:p w:rsidR="005529E3" w:rsidRPr="005529E3" w:rsidRDefault="005529E3" w:rsidP="005529E3">
            <w:pPr>
              <w:spacing w:line="276" w:lineRule="auto"/>
              <w:jc w:val="both"/>
              <w:rPr>
                <w:rFonts w:eastAsia="Calibri"/>
                <w:sz w:val="20"/>
              </w:rPr>
            </w:pPr>
          </w:p>
        </w:tc>
        <w:tc>
          <w:tcPr>
            <w:tcW w:w="243" w:type="pct"/>
          </w:tcPr>
          <w:p w:rsidR="005529E3" w:rsidRPr="005529E3" w:rsidRDefault="005529E3" w:rsidP="005529E3">
            <w:pPr>
              <w:spacing w:line="276" w:lineRule="auto"/>
              <w:jc w:val="both"/>
              <w:rPr>
                <w:rFonts w:eastAsia="Calibri"/>
                <w:sz w:val="20"/>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Requête pour autorisation d’appel rejetée</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hideMark/>
          </w:tcPr>
          <w:p w:rsidR="005529E3" w:rsidRPr="005529E3" w:rsidRDefault="005529E3" w:rsidP="005529E3">
            <w:pPr>
              <w:spacing w:line="276" w:lineRule="auto"/>
              <w:jc w:val="both"/>
              <w:rPr>
                <w:rFonts w:eastAsia="Calibri"/>
                <w:sz w:val="20"/>
                <w:lang w:val="fr-CA"/>
              </w:rPr>
            </w:pPr>
            <w:r w:rsidRPr="005529E3">
              <w:rPr>
                <w:rFonts w:eastAsia="Calibri"/>
                <w:sz w:val="20"/>
                <w:lang w:val="fr-CA"/>
              </w:rPr>
              <w:t>Le 4 mai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suprême du Canada</w:t>
            </w: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Demande d'autorisation d'appel déposée</w:t>
            </w:r>
          </w:p>
          <w:p w:rsidR="005529E3" w:rsidRPr="005529E3" w:rsidRDefault="005529E3" w:rsidP="005529E3">
            <w:pPr>
              <w:spacing w:line="276" w:lineRule="auto"/>
              <w:jc w:val="both"/>
              <w:rPr>
                <w:rFonts w:eastAsia="Calibri"/>
                <w:sz w:val="20"/>
                <w:lang w:val="fr-CA"/>
              </w:rPr>
            </w:pPr>
          </w:p>
        </w:tc>
      </w:tr>
    </w:tbl>
    <w:p w:rsidR="005529E3" w:rsidRDefault="005529E3" w:rsidP="005529E3">
      <w:pPr>
        <w:jc w:val="both"/>
        <w:rPr>
          <w:rFonts w:eastAsia="Calibri"/>
          <w:sz w:val="20"/>
          <w:lang w:val="fr-CA"/>
        </w:rPr>
      </w:pPr>
    </w:p>
    <w:p w:rsidR="009C21EE" w:rsidRPr="005529E3" w:rsidRDefault="009C21EE" w:rsidP="005529E3">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529E3" w:rsidRPr="005529E3" w:rsidTr="005529E3">
        <w:tc>
          <w:tcPr>
            <w:tcW w:w="543" w:type="pct"/>
            <w:hideMark/>
          </w:tcPr>
          <w:p w:rsidR="005529E3" w:rsidRPr="005529E3" w:rsidRDefault="005529E3" w:rsidP="005529E3">
            <w:pPr>
              <w:spacing w:line="276" w:lineRule="auto"/>
              <w:jc w:val="both"/>
              <w:rPr>
                <w:rFonts w:eastAsia="Calibri"/>
                <w:sz w:val="20"/>
                <w:lang w:val="en-CA"/>
              </w:rPr>
            </w:pPr>
            <w:r w:rsidRPr="005529E3">
              <w:rPr>
                <w:rFonts w:eastAsia="Calibri"/>
                <w:b/>
                <w:sz w:val="20"/>
                <w:lang w:val="en-CA"/>
              </w:rPr>
              <w:t>36441</w:t>
            </w:r>
          </w:p>
        </w:tc>
        <w:tc>
          <w:tcPr>
            <w:tcW w:w="4457" w:type="pct"/>
            <w:gridSpan w:val="3"/>
            <w:hideMark/>
          </w:tcPr>
          <w:p w:rsidR="005529E3" w:rsidRPr="005529E3" w:rsidRDefault="005529E3" w:rsidP="005529E3">
            <w:pPr>
              <w:spacing w:line="276" w:lineRule="auto"/>
              <w:jc w:val="both"/>
              <w:rPr>
                <w:rFonts w:eastAsia="Calibri"/>
                <w:b/>
                <w:sz w:val="20"/>
                <w:lang w:val="en-CA"/>
              </w:rPr>
            </w:pPr>
            <w:r w:rsidRPr="005529E3">
              <w:rPr>
                <w:rFonts w:eastAsia="Calibri"/>
                <w:b/>
                <w:sz w:val="20"/>
                <w:lang w:val="en-CA"/>
              </w:rPr>
              <w:t>Fang Hu v. Her Majesty the Queen</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(Alta.) (Criminal) (By Leave)</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r w:rsidRPr="005529E3">
              <w:rPr>
                <w:rFonts w:eastAsia="Calibri"/>
                <w:i/>
                <w:sz w:val="20"/>
                <w:lang w:val="en-CA"/>
              </w:rPr>
              <w:t>Charter of Rights and Freedoms</w:t>
            </w:r>
            <w:r w:rsidRPr="005529E3">
              <w:rPr>
                <w:rFonts w:eastAsia="Calibri"/>
                <w:sz w:val="20"/>
                <w:lang w:val="en-CA"/>
              </w:rPr>
              <w:t xml:space="preserve"> – Criminal law – Whether the trial judge erred in law and erred in her findings of credibility – Whether the applicant’s </w:t>
            </w:r>
            <w:r w:rsidRPr="005529E3">
              <w:rPr>
                <w:rFonts w:eastAsia="Calibri"/>
                <w:i/>
                <w:sz w:val="20"/>
                <w:lang w:val="en-CA"/>
              </w:rPr>
              <w:t>Charter</w:t>
            </w:r>
            <w:r w:rsidRPr="005529E3">
              <w:rPr>
                <w:rFonts w:eastAsia="Calibri"/>
                <w:sz w:val="20"/>
                <w:lang w:val="en-CA"/>
              </w:rPr>
              <w:t xml:space="preserve"> rights were violated during the trial – Whether the summary conviction appeal judge erred by allowing the appeal in part – </w:t>
            </w:r>
            <w:r w:rsidRPr="005529E3">
              <w:rPr>
                <w:rFonts w:eastAsia="Calibri"/>
                <w:i/>
                <w:sz w:val="20"/>
                <w:lang w:val="en-CA"/>
              </w:rPr>
              <w:t>Charter</w:t>
            </w:r>
            <w:r w:rsidRPr="005529E3">
              <w:rPr>
                <w:rFonts w:eastAsia="Calibri"/>
                <w:sz w:val="20"/>
                <w:lang w:val="en-CA"/>
              </w:rPr>
              <w:t>, ss. 2, 10(g), 12, 15(1), 24(2), 27, 28.</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r w:rsidRPr="005529E3">
              <w:rPr>
                <w:rFonts w:eastAsia="Calibri"/>
                <w:sz w:val="20"/>
                <w:lang w:val="en-CA"/>
              </w:rPr>
              <w:t>The applicant was convicted of sexual assault, was found not criminally responsible and was detained for two and one-half months. A Queen’s Bench judge, sitting as a summary conviction appeal court, allowed the applicant’s appeal in part, substituting a conviction for common assault and a sentence of time served. The Court of Appeal dismissed the applicant’s application for leave to appeal.</w:t>
            </w:r>
          </w:p>
          <w:p w:rsidR="005529E3" w:rsidRPr="005529E3" w:rsidRDefault="005529E3" w:rsidP="005529E3">
            <w:pPr>
              <w:spacing w:line="276" w:lineRule="auto"/>
              <w:jc w:val="both"/>
              <w:rPr>
                <w:rFonts w:eastAsia="Calibri"/>
                <w:sz w:val="20"/>
                <w:lang w:val="en-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en-CA"/>
              </w:rPr>
            </w:pPr>
            <w:r w:rsidRPr="005529E3">
              <w:rPr>
                <w:rFonts w:eastAsia="Calibri"/>
                <w:sz w:val="20"/>
                <w:lang w:val="en-CA"/>
              </w:rPr>
              <w:t>November 5, 2014</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Provincial Court of Alberta</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(Carminati  P.C.J.)</w:t>
            </w:r>
          </w:p>
          <w:p w:rsidR="005529E3" w:rsidRPr="005529E3" w:rsidRDefault="005529E3" w:rsidP="005529E3">
            <w:pPr>
              <w:spacing w:line="276" w:lineRule="auto"/>
              <w:jc w:val="both"/>
              <w:rPr>
                <w:rFonts w:eastAsia="Calibri"/>
                <w:sz w:val="20"/>
                <w:lang w:val="en-CA"/>
              </w:rPr>
            </w:pP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Conviction: sexual assault</w:t>
            </w:r>
          </w:p>
          <w:p w:rsidR="005529E3" w:rsidRPr="005529E3" w:rsidRDefault="005529E3" w:rsidP="005529E3">
            <w:pPr>
              <w:spacing w:line="276" w:lineRule="auto"/>
              <w:jc w:val="both"/>
              <w:rPr>
                <w:rFonts w:eastAsia="Calibri"/>
                <w:sz w:val="20"/>
                <w:lang w:val="en-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en-CA"/>
              </w:rPr>
            </w:pPr>
            <w:r w:rsidRPr="005529E3">
              <w:rPr>
                <w:rFonts w:eastAsia="Calibri"/>
                <w:sz w:val="20"/>
                <w:lang w:val="en-CA"/>
              </w:rPr>
              <w:t>February 19,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Court of Queen’s Bench of Alberta</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w:t>
            </w:r>
            <w:proofErr w:type="spellStart"/>
            <w:r w:rsidRPr="005529E3">
              <w:rPr>
                <w:rFonts w:eastAsia="Calibri"/>
                <w:sz w:val="20"/>
                <w:lang w:val="en-CA"/>
              </w:rPr>
              <w:t>Ouellete</w:t>
            </w:r>
            <w:proofErr w:type="spellEnd"/>
            <w:r w:rsidRPr="005529E3">
              <w:rPr>
                <w:rFonts w:eastAsia="Calibri"/>
                <w:sz w:val="20"/>
                <w:lang w:val="en-CA"/>
              </w:rPr>
              <w:t xml:space="preserve"> J.)</w:t>
            </w:r>
          </w:p>
          <w:p w:rsidR="005529E3" w:rsidRPr="005529E3" w:rsidRDefault="005529E3" w:rsidP="005529E3">
            <w:pPr>
              <w:spacing w:line="276" w:lineRule="auto"/>
              <w:jc w:val="both"/>
              <w:rPr>
                <w:rFonts w:eastAsia="Calibri"/>
                <w:sz w:val="20"/>
                <w:lang w:val="en-CA"/>
              </w:rPr>
            </w:pPr>
          </w:p>
        </w:tc>
        <w:tc>
          <w:tcPr>
            <w:tcW w:w="243" w:type="pct"/>
          </w:tcPr>
          <w:p w:rsidR="005529E3" w:rsidRPr="005529E3" w:rsidRDefault="005529E3" w:rsidP="005529E3">
            <w:pPr>
              <w:spacing w:line="276" w:lineRule="auto"/>
              <w:jc w:val="both"/>
              <w:rPr>
                <w:rFonts w:eastAsia="Calibri"/>
                <w:sz w:val="20"/>
                <w:lang w:val="en-CA"/>
              </w:rPr>
            </w:pPr>
          </w:p>
        </w:tc>
        <w:tc>
          <w:tcPr>
            <w:tcW w:w="2330" w:type="pct"/>
            <w:hideMark/>
          </w:tcPr>
          <w:p w:rsidR="005529E3" w:rsidRPr="005529E3" w:rsidRDefault="005529E3" w:rsidP="005529E3">
            <w:pPr>
              <w:spacing w:line="276" w:lineRule="auto"/>
              <w:jc w:val="both"/>
              <w:rPr>
                <w:rFonts w:eastAsia="Calibri"/>
                <w:sz w:val="20"/>
                <w:lang w:val="en-CA"/>
              </w:rPr>
            </w:pPr>
            <w:r w:rsidRPr="005529E3">
              <w:rPr>
                <w:rFonts w:eastAsia="Calibri"/>
                <w:sz w:val="20"/>
                <w:lang w:val="en-CA"/>
              </w:rPr>
              <w:t>Appeal allowed in part, substituting a conviction for common assault and a sentence of time served</w:t>
            </w: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en-CA"/>
              </w:rPr>
            </w:pPr>
            <w:r w:rsidRPr="005529E3">
              <w:rPr>
                <w:rFonts w:eastAsia="Calibri"/>
                <w:sz w:val="20"/>
                <w:lang w:val="en-CA"/>
              </w:rPr>
              <w:t>April 7,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Court of Appeal of Alberta (Edmonton)</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w:t>
            </w:r>
            <w:proofErr w:type="spellStart"/>
            <w:r w:rsidRPr="005529E3">
              <w:rPr>
                <w:rFonts w:eastAsia="Calibri"/>
                <w:sz w:val="20"/>
                <w:lang w:val="en-CA"/>
              </w:rPr>
              <w:t>Costigan</w:t>
            </w:r>
            <w:proofErr w:type="spellEnd"/>
            <w:r w:rsidRPr="005529E3">
              <w:rPr>
                <w:rFonts w:eastAsia="Calibri"/>
                <w:sz w:val="20"/>
                <w:lang w:val="en-CA"/>
              </w:rPr>
              <w:t xml:space="preserve"> J.A.)</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2015 ABCA 128, 1503-0070-A</w:t>
            </w:r>
          </w:p>
          <w:p w:rsidR="005529E3" w:rsidRPr="005529E3" w:rsidRDefault="00480458" w:rsidP="005529E3">
            <w:pPr>
              <w:spacing w:line="276" w:lineRule="auto"/>
              <w:jc w:val="both"/>
              <w:rPr>
                <w:rFonts w:eastAsia="Calibri"/>
                <w:sz w:val="20"/>
                <w:lang w:val="en-CA"/>
              </w:rPr>
            </w:pPr>
            <w:hyperlink r:id="rId100" w:history="1">
              <w:r w:rsidR="005529E3" w:rsidRPr="005529E3">
                <w:rPr>
                  <w:color w:val="0000FF"/>
                  <w:sz w:val="20"/>
                  <w:u w:val="single"/>
                  <w:lang w:val="en-CA"/>
                </w:rPr>
                <w:t>http://canlii.ca/t/gh1jk</w:t>
              </w:r>
            </w:hyperlink>
          </w:p>
          <w:p w:rsidR="005529E3" w:rsidRPr="005529E3" w:rsidRDefault="005529E3" w:rsidP="005529E3">
            <w:pPr>
              <w:spacing w:line="276" w:lineRule="auto"/>
              <w:jc w:val="both"/>
              <w:rPr>
                <w:rFonts w:eastAsia="Calibri"/>
                <w:sz w:val="20"/>
                <w:lang w:val="en-CA"/>
              </w:rPr>
            </w:pP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Application for leave to appeal dismissed</w:t>
            </w:r>
          </w:p>
          <w:p w:rsidR="005529E3" w:rsidRPr="005529E3" w:rsidRDefault="005529E3" w:rsidP="005529E3">
            <w:pPr>
              <w:spacing w:line="276" w:lineRule="auto"/>
              <w:jc w:val="both"/>
              <w:rPr>
                <w:rFonts w:eastAsia="Calibri"/>
                <w:sz w:val="20"/>
                <w:lang w:val="en-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en-CA"/>
              </w:rPr>
            </w:pPr>
            <w:r w:rsidRPr="005529E3">
              <w:rPr>
                <w:rFonts w:eastAsia="Calibri"/>
                <w:sz w:val="20"/>
                <w:lang w:val="en-CA"/>
              </w:rPr>
              <w:t>May 12,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Supreme Court of Canada</w:t>
            </w:r>
          </w:p>
          <w:p w:rsidR="005529E3" w:rsidRPr="005529E3" w:rsidRDefault="005529E3" w:rsidP="005529E3">
            <w:pPr>
              <w:spacing w:line="276" w:lineRule="auto"/>
              <w:jc w:val="both"/>
              <w:rPr>
                <w:rFonts w:eastAsia="Calibri"/>
                <w:sz w:val="20"/>
                <w:lang w:val="en-CA"/>
              </w:rPr>
            </w:pP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Application for leave to appeal filed</w:t>
            </w:r>
          </w:p>
          <w:p w:rsidR="005529E3" w:rsidRPr="005529E3" w:rsidRDefault="005529E3" w:rsidP="005529E3">
            <w:pPr>
              <w:spacing w:line="276" w:lineRule="auto"/>
              <w:jc w:val="both"/>
              <w:rPr>
                <w:rFonts w:eastAsia="Calibri"/>
                <w:sz w:val="20"/>
                <w:lang w:val="en-CA"/>
              </w:rPr>
            </w:pPr>
          </w:p>
        </w:tc>
      </w:tr>
    </w:tbl>
    <w:p w:rsidR="005529E3" w:rsidRPr="005529E3" w:rsidRDefault="005529E3" w:rsidP="005529E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529E3" w:rsidRPr="005529E3" w:rsidTr="005529E3">
        <w:tc>
          <w:tcPr>
            <w:tcW w:w="543" w:type="pct"/>
            <w:hideMark/>
          </w:tcPr>
          <w:p w:rsidR="005529E3" w:rsidRPr="005529E3" w:rsidRDefault="005529E3" w:rsidP="005529E3">
            <w:pPr>
              <w:spacing w:line="276" w:lineRule="auto"/>
              <w:jc w:val="both"/>
              <w:rPr>
                <w:rFonts w:eastAsia="Calibri"/>
                <w:sz w:val="20"/>
                <w:lang w:val="fr-CA"/>
              </w:rPr>
            </w:pPr>
            <w:r w:rsidRPr="005529E3">
              <w:rPr>
                <w:rFonts w:eastAsia="Calibri"/>
                <w:b/>
                <w:sz w:val="20"/>
                <w:lang w:val="fr-CA"/>
              </w:rPr>
              <w:t>36441</w:t>
            </w:r>
          </w:p>
        </w:tc>
        <w:tc>
          <w:tcPr>
            <w:tcW w:w="4457" w:type="pct"/>
            <w:gridSpan w:val="3"/>
            <w:hideMark/>
          </w:tcPr>
          <w:p w:rsidR="005529E3" w:rsidRPr="005529E3" w:rsidRDefault="005529E3" w:rsidP="005529E3">
            <w:pPr>
              <w:spacing w:line="276" w:lineRule="auto"/>
              <w:jc w:val="both"/>
              <w:rPr>
                <w:rFonts w:eastAsia="Calibri"/>
                <w:b/>
                <w:sz w:val="20"/>
                <w:lang w:val="fr-CA"/>
              </w:rPr>
            </w:pPr>
            <w:r w:rsidRPr="005529E3">
              <w:rPr>
                <w:rFonts w:eastAsia="Calibri"/>
                <w:b/>
                <w:sz w:val="20"/>
                <w:lang w:val="fr-CA"/>
              </w:rPr>
              <w:t>Fang Hu c. Sa Majesté la Reine</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w:t>
            </w:r>
            <w:proofErr w:type="spellStart"/>
            <w:r w:rsidRPr="005529E3">
              <w:rPr>
                <w:rFonts w:eastAsia="Calibri"/>
                <w:sz w:val="20"/>
                <w:lang w:val="fr-CA"/>
              </w:rPr>
              <w:t>Alb</w:t>
            </w:r>
            <w:proofErr w:type="spellEnd"/>
            <w:r w:rsidRPr="005529E3">
              <w:rPr>
                <w:rFonts w:eastAsia="Calibri"/>
                <w:sz w:val="20"/>
                <w:lang w:val="fr-CA"/>
              </w:rPr>
              <w:t>.) (Criminelle) (Sur autorisation)</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r w:rsidRPr="005529E3">
              <w:rPr>
                <w:rFonts w:eastAsia="Calibri"/>
                <w:i/>
                <w:sz w:val="20"/>
                <w:lang w:val="fr-CA"/>
              </w:rPr>
              <w:lastRenderedPageBreak/>
              <w:t>Charte des droits et libertés</w:t>
            </w:r>
            <w:r w:rsidRPr="005529E3">
              <w:rPr>
                <w:rFonts w:eastAsia="Calibri"/>
                <w:sz w:val="20"/>
                <w:lang w:val="fr-CA"/>
              </w:rPr>
              <w:t xml:space="preserve"> – Droit criminel – La juge du procès a-t-elle commis une erreur de droit et une erreur dans ses conclusions relatives à la crédibilité? – Les droits que la </w:t>
            </w:r>
            <w:r w:rsidRPr="005529E3">
              <w:rPr>
                <w:rFonts w:eastAsia="Calibri"/>
                <w:i/>
                <w:sz w:val="20"/>
                <w:lang w:val="fr-CA"/>
              </w:rPr>
              <w:t>Charte</w:t>
            </w:r>
            <w:r w:rsidRPr="005529E3">
              <w:rPr>
                <w:rFonts w:eastAsia="Calibri"/>
                <w:sz w:val="20"/>
                <w:lang w:val="fr-CA"/>
              </w:rPr>
              <w:t xml:space="preserve"> garantit au demandeur ont-ils été violés pendant le procès? – Le juge d’appel en matière de poursuites sommaires </w:t>
            </w:r>
            <w:proofErr w:type="spellStart"/>
            <w:r w:rsidRPr="005529E3">
              <w:rPr>
                <w:rFonts w:eastAsia="Calibri"/>
                <w:sz w:val="20"/>
                <w:lang w:val="fr-CA"/>
              </w:rPr>
              <w:t>a-t-il</w:t>
            </w:r>
            <w:proofErr w:type="spellEnd"/>
            <w:r w:rsidRPr="005529E3">
              <w:rPr>
                <w:rFonts w:eastAsia="Calibri"/>
                <w:sz w:val="20"/>
                <w:lang w:val="fr-CA"/>
              </w:rPr>
              <w:t xml:space="preserve"> eu tort d’avoir accueilli l’appel en partie? – </w:t>
            </w:r>
            <w:r w:rsidRPr="005529E3">
              <w:rPr>
                <w:rFonts w:eastAsia="Calibri"/>
                <w:i/>
                <w:sz w:val="20"/>
                <w:lang w:val="fr-CA"/>
              </w:rPr>
              <w:t>Charte</w:t>
            </w:r>
            <w:r w:rsidRPr="005529E3">
              <w:rPr>
                <w:rFonts w:eastAsia="Calibri"/>
                <w:sz w:val="20"/>
                <w:lang w:val="fr-CA"/>
              </w:rPr>
              <w:t>, art. 2, 10</w:t>
            </w:r>
            <w:r w:rsidRPr="005529E3">
              <w:rPr>
                <w:rFonts w:eastAsia="Calibri"/>
                <w:i/>
                <w:sz w:val="20"/>
                <w:lang w:val="fr-CA"/>
              </w:rPr>
              <w:t>g</w:t>
            </w:r>
            <w:r w:rsidRPr="005529E3">
              <w:rPr>
                <w:rFonts w:eastAsia="Calibri"/>
                <w:sz w:val="20"/>
                <w:lang w:val="fr-CA"/>
              </w:rPr>
              <w:t>), 12, 15(1), 24(2), 27, 28.</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r w:rsidRPr="005529E3">
              <w:rPr>
                <w:rFonts w:eastAsia="Calibri"/>
                <w:sz w:val="20"/>
                <w:lang w:val="fr-CA"/>
              </w:rPr>
              <w:t>Le demandeur a été déclaré coupable d’agression sexuelle, jugé non criminellement responsable et détenu pendant deux mois et demi. Un juge de la Cour du Banc de la Reine, siégeant comme tribunal d’appel en matière de poursuites sommaires, a accueilli l’appel du demandeur en partie, substituant une condamnation pour voies de fait simples et une peine correspondant à la période de détention purgée. La Cour d’appel a rejeté la demande d’autorisation d’appel présentée par le demandeur.</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t>5 novembre 2014</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provinciale de l’Alberta</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(Juge </w:t>
            </w:r>
            <w:proofErr w:type="spellStart"/>
            <w:r w:rsidRPr="005529E3">
              <w:rPr>
                <w:rFonts w:eastAsia="Calibri"/>
                <w:sz w:val="20"/>
                <w:lang w:val="fr-CA"/>
              </w:rPr>
              <w:t>Carminati</w:t>
            </w:r>
            <w:proofErr w:type="spellEnd"/>
            <w:r w:rsidRPr="005529E3">
              <w:rPr>
                <w:rFonts w:eastAsia="Calibri"/>
                <w:sz w:val="20"/>
                <w:lang w:val="fr-CA"/>
              </w:rPr>
              <w:t>)</w:t>
            </w:r>
          </w:p>
          <w:p w:rsidR="005529E3" w:rsidRPr="005529E3" w:rsidRDefault="005529E3" w:rsidP="005529E3">
            <w:pPr>
              <w:spacing w:line="276" w:lineRule="auto"/>
              <w:jc w:val="both"/>
              <w:rPr>
                <w:rFonts w:eastAsia="Calibri"/>
                <w:sz w:val="20"/>
                <w:lang w:val="fr-CA"/>
              </w:rPr>
            </w:pP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Déclaration de culpabilité : agression sexuelle</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t>19 février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du Banc de la Reine de l’Alberta</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(Juge Ouellette)</w:t>
            </w:r>
          </w:p>
          <w:p w:rsidR="005529E3" w:rsidRPr="005529E3" w:rsidRDefault="005529E3" w:rsidP="005529E3">
            <w:pPr>
              <w:spacing w:line="276" w:lineRule="auto"/>
              <w:jc w:val="both"/>
              <w:rPr>
                <w:rFonts w:eastAsia="Calibri"/>
                <w:sz w:val="20"/>
                <w:lang w:val="fr-CA"/>
              </w:rPr>
            </w:pPr>
          </w:p>
        </w:tc>
        <w:tc>
          <w:tcPr>
            <w:tcW w:w="243" w:type="pct"/>
          </w:tcPr>
          <w:p w:rsidR="005529E3" w:rsidRPr="005529E3" w:rsidRDefault="005529E3" w:rsidP="005529E3">
            <w:pPr>
              <w:spacing w:line="276" w:lineRule="auto"/>
              <w:jc w:val="both"/>
              <w:rPr>
                <w:rFonts w:eastAsia="Calibri"/>
                <w:sz w:val="20"/>
                <w:lang w:val="fr-CA"/>
              </w:rPr>
            </w:pPr>
          </w:p>
        </w:tc>
        <w:tc>
          <w:tcPr>
            <w:tcW w:w="2330" w:type="pct"/>
            <w:hideMark/>
          </w:tcPr>
          <w:p w:rsidR="005529E3" w:rsidRDefault="005529E3" w:rsidP="005529E3">
            <w:pPr>
              <w:spacing w:line="276" w:lineRule="auto"/>
              <w:jc w:val="both"/>
              <w:rPr>
                <w:rFonts w:eastAsia="Calibri"/>
                <w:sz w:val="20"/>
                <w:lang w:val="fr-CA"/>
              </w:rPr>
            </w:pPr>
            <w:r w:rsidRPr="005529E3">
              <w:rPr>
                <w:rFonts w:eastAsia="Calibri"/>
                <w:sz w:val="20"/>
                <w:lang w:val="fr-CA"/>
              </w:rPr>
              <w:t>Jugement accueillant l’appel en partie, substituant une déclaration de culpabilité de voies de fait simples et une peine correspondante à la période de détention purgée</w:t>
            </w:r>
          </w:p>
          <w:p w:rsidR="009C21EE" w:rsidRPr="005529E3" w:rsidRDefault="009C21EE"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t>7 avril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d’appel de l’Alberta (Edmonton)</w:t>
            </w:r>
          </w:p>
          <w:p w:rsidR="005529E3" w:rsidRPr="005529E3" w:rsidRDefault="005529E3" w:rsidP="005529E3">
            <w:pPr>
              <w:spacing w:line="276" w:lineRule="auto"/>
              <w:jc w:val="both"/>
              <w:rPr>
                <w:rFonts w:eastAsia="Calibri"/>
                <w:sz w:val="20"/>
              </w:rPr>
            </w:pPr>
            <w:r w:rsidRPr="005529E3">
              <w:rPr>
                <w:rFonts w:eastAsia="Calibri"/>
                <w:sz w:val="20"/>
              </w:rPr>
              <w:t>(</w:t>
            </w:r>
            <w:proofErr w:type="spellStart"/>
            <w:r w:rsidRPr="005529E3">
              <w:rPr>
                <w:rFonts w:eastAsia="Calibri"/>
                <w:sz w:val="20"/>
              </w:rPr>
              <w:t>Juge</w:t>
            </w:r>
            <w:proofErr w:type="spellEnd"/>
            <w:r w:rsidRPr="005529E3">
              <w:rPr>
                <w:rFonts w:eastAsia="Calibri"/>
                <w:sz w:val="20"/>
              </w:rPr>
              <w:t xml:space="preserve"> </w:t>
            </w:r>
            <w:proofErr w:type="spellStart"/>
            <w:r w:rsidRPr="005529E3">
              <w:rPr>
                <w:rFonts w:eastAsia="Calibri"/>
                <w:sz w:val="20"/>
              </w:rPr>
              <w:t>Costigan</w:t>
            </w:r>
            <w:proofErr w:type="spellEnd"/>
            <w:r w:rsidRPr="005529E3">
              <w:rPr>
                <w:rFonts w:eastAsia="Calibri"/>
                <w:sz w:val="20"/>
              </w:rPr>
              <w:t>)</w:t>
            </w:r>
          </w:p>
          <w:p w:rsidR="005529E3" w:rsidRPr="005529E3" w:rsidRDefault="005529E3" w:rsidP="005529E3">
            <w:pPr>
              <w:spacing w:line="276" w:lineRule="auto"/>
              <w:jc w:val="both"/>
              <w:rPr>
                <w:rFonts w:eastAsia="Calibri"/>
                <w:sz w:val="20"/>
              </w:rPr>
            </w:pPr>
            <w:r w:rsidRPr="005529E3">
              <w:rPr>
                <w:rFonts w:eastAsia="Calibri"/>
                <w:sz w:val="20"/>
              </w:rPr>
              <w:t>2015 ABCA 128, 1503-0070-A</w:t>
            </w:r>
          </w:p>
          <w:p w:rsidR="005529E3" w:rsidRPr="005529E3" w:rsidRDefault="00480458" w:rsidP="005529E3">
            <w:pPr>
              <w:spacing w:line="276" w:lineRule="auto"/>
              <w:jc w:val="both"/>
              <w:rPr>
                <w:rFonts w:eastAsia="Calibri"/>
                <w:sz w:val="20"/>
              </w:rPr>
            </w:pPr>
            <w:hyperlink r:id="rId101" w:history="1">
              <w:r w:rsidR="005529E3" w:rsidRPr="005529E3">
                <w:rPr>
                  <w:color w:val="0000FF"/>
                  <w:sz w:val="20"/>
                  <w:u w:val="single"/>
                </w:rPr>
                <w:t>http://canlii.ca/t/gh1jk</w:t>
              </w:r>
            </w:hyperlink>
          </w:p>
          <w:p w:rsidR="005529E3" w:rsidRPr="005529E3" w:rsidRDefault="005529E3" w:rsidP="005529E3">
            <w:pPr>
              <w:spacing w:line="276" w:lineRule="auto"/>
              <w:jc w:val="both"/>
              <w:rPr>
                <w:rFonts w:eastAsia="Calibri"/>
                <w:sz w:val="20"/>
              </w:rPr>
            </w:pPr>
          </w:p>
        </w:tc>
        <w:tc>
          <w:tcPr>
            <w:tcW w:w="243" w:type="pct"/>
          </w:tcPr>
          <w:p w:rsidR="005529E3" w:rsidRPr="005529E3" w:rsidRDefault="005529E3" w:rsidP="005529E3">
            <w:pPr>
              <w:spacing w:line="276" w:lineRule="auto"/>
              <w:jc w:val="both"/>
              <w:rPr>
                <w:rFonts w:eastAsia="Calibri"/>
                <w:sz w:val="20"/>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Rejet de la demande d’autorisation d’appel</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t>12 mai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suprême du Canada</w:t>
            </w:r>
          </w:p>
          <w:p w:rsidR="005529E3" w:rsidRPr="005529E3" w:rsidRDefault="005529E3" w:rsidP="005529E3">
            <w:pPr>
              <w:spacing w:line="276" w:lineRule="auto"/>
              <w:jc w:val="both"/>
              <w:rPr>
                <w:rFonts w:eastAsia="Calibri"/>
                <w:sz w:val="20"/>
                <w:lang w:val="fr-CA"/>
              </w:rPr>
            </w:pP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Dépôt de la demande d’autorisation d’appel</w:t>
            </w:r>
          </w:p>
          <w:p w:rsidR="005529E3" w:rsidRPr="005529E3" w:rsidRDefault="005529E3" w:rsidP="005529E3">
            <w:pPr>
              <w:spacing w:line="276" w:lineRule="auto"/>
              <w:jc w:val="both"/>
              <w:rPr>
                <w:rFonts w:eastAsia="Calibri"/>
                <w:sz w:val="20"/>
                <w:lang w:val="fr-CA"/>
              </w:rPr>
            </w:pPr>
          </w:p>
        </w:tc>
      </w:tr>
    </w:tbl>
    <w:p w:rsidR="005529E3" w:rsidRPr="005529E3" w:rsidRDefault="005529E3" w:rsidP="005529E3">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529E3" w:rsidRPr="005529E3" w:rsidTr="005529E3">
        <w:tc>
          <w:tcPr>
            <w:tcW w:w="543" w:type="pct"/>
            <w:hideMark/>
          </w:tcPr>
          <w:p w:rsidR="005529E3" w:rsidRPr="005529E3" w:rsidRDefault="005529E3" w:rsidP="005529E3">
            <w:pPr>
              <w:spacing w:line="276" w:lineRule="auto"/>
              <w:jc w:val="both"/>
              <w:rPr>
                <w:rFonts w:eastAsia="Calibri"/>
                <w:sz w:val="20"/>
                <w:lang w:val="en-CA"/>
              </w:rPr>
            </w:pPr>
            <w:r w:rsidRPr="005529E3">
              <w:rPr>
                <w:rFonts w:eastAsia="Calibri"/>
                <w:b/>
                <w:sz w:val="20"/>
                <w:lang w:val="en-CA"/>
              </w:rPr>
              <w:t>36413</w:t>
            </w:r>
          </w:p>
        </w:tc>
        <w:tc>
          <w:tcPr>
            <w:tcW w:w="4457" w:type="pct"/>
            <w:gridSpan w:val="3"/>
            <w:hideMark/>
          </w:tcPr>
          <w:p w:rsidR="005529E3" w:rsidRPr="005529E3" w:rsidRDefault="005529E3" w:rsidP="005529E3">
            <w:pPr>
              <w:spacing w:line="276" w:lineRule="auto"/>
              <w:jc w:val="both"/>
              <w:rPr>
                <w:rFonts w:eastAsia="Calibri"/>
                <w:b/>
                <w:sz w:val="20"/>
                <w:lang w:val="en-CA"/>
              </w:rPr>
            </w:pPr>
            <w:r w:rsidRPr="005529E3">
              <w:rPr>
                <w:rFonts w:eastAsia="Calibri"/>
                <w:b/>
                <w:sz w:val="20"/>
                <w:lang w:val="en-CA"/>
              </w:rPr>
              <w:t>B.S.A. Diagnostics Limited v. Ministry of the Attorney General and Ministry of Health</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(Ont.) (Civil) (By Leave)</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r w:rsidRPr="005529E3">
              <w:rPr>
                <w:rFonts w:eastAsia="Calibri"/>
                <w:sz w:val="20"/>
                <w:lang w:val="en-CA"/>
              </w:rPr>
              <w:t xml:space="preserve">Administrative law – Boards and tribunals – Health Services Appeal and Review Board – Judicial review – Standard of review – Decision to eliminate vascular ultrasounds from list of services applicant was licensed to provide – Applicant’s Requests for Hearing dismissed for delay and mootness – What is nature of the administrative law question decided in </w:t>
            </w:r>
            <w:proofErr w:type="spellStart"/>
            <w:r w:rsidRPr="005529E3">
              <w:rPr>
                <w:rFonts w:eastAsia="Calibri"/>
                <w:i/>
                <w:sz w:val="20"/>
                <w:lang w:val="en-CA"/>
              </w:rPr>
              <w:t>Blencoe</w:t>
            </w:r>
            <w:proofErr w:type="spellEnd"/>
            <w:r w:rsidRPr="005529E3">
              <w:rPr>
                <w:rFonts w:eastAsia="Calibri"/>
                <w:i/>
                <w:sz w:val="20"/>
                <w:lang w:val="en-CA"/>
              </w:rPr>
              <w:t xml:space="preserve"> v. British Columbia (Human Rights Commission), </w:t>
            </w:r>
            <w:r w:rsidRPr="005529E3">
              <w:rPr>
                <w:rFonts w:eastAsia="Calibri"/>
                <w:sz w:val="20"/>
                <w:lang w:val="en-CA"/>
              </w:rPr>
              <w:t xml:space="preserve">2000 SCC 44? – Is </w:t>
            </w:r>
            <w:proofErr w:type="spellStart"/>
            <w:r w:rsidRPr="005529E3">
              <w:rPr>
                <w:rFonts w:eastAsia="Calibri"/>
                <w:i/>
                <w:sz w:val="20"/>
                <w:lang w:val="en-CA"/>
              </w:rPr>
              <w:t>Blencoe</w:t>
            </w:r>
            <w:proofErr w:type="spellEnd"/>
            <w:r w:rsidRPr="005529E3">
              <w:rPr>
                <w:rFonts w:eastAsia="Calibri"/>
                <w:sz w:val="20"/>
                <w:lang w:val="en-CA"/>
              </w:rPr>
              <w:t xml:space="preserve"> question one of general law of central importance to legal system as a whole, and how is this determined? – Is a tribunal interpreting its home statue or one closely connected to its function when it answers this question? – If yes, and tribunal is presumed to have relative expertise, has that presumption been rebutted as a result of concurrent jurisdiction of tribunals and courts to address this question?</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en-CA"/>
              </w:rPr>
            </w:pPr>
            <w:r w:rsidRPr="005529E3">
              <w:rPr>
                <w:rFonts w:eastAsia="Calibri"/>
                <w:sz w:val="20"/>
                <w:lang w:val="en-CA"/>
              </w:rPr>
              <w:t xml:space="preserve">B.S.A. Diagnostics Limited (“BSA”) is a health facility providing diagnostic radiology services for a fee, and has licences to operate its facilities under the </w:t>
            </w:r>
            <w:r w:rsidRPr="005529E3">
              <w:rPr>
                <w:rFonts w:eastAsia="Calibri"/>
                <w:i/>
                <w:sz w:val="20"/>
                <w:lang w:val="en-CA"/>
              </w:rPr>
              <w:t>Independent Health Facilities Act</w:t>
            </w:r>
            <w:r w:rsidRPr="005529E3">
              <w:rPr>
                <w:rFonts w:eastAsia="Calibri"/>
                <w:sz w:val="20"/>
                <w:lang w:val="en-CA"/>
              </w:rPr>
              <w:t>, R.S.O. 1990, c. I.3 (“</w:t>
            </w:r>
            <w:r w:rsidRPr="005529E3">
              <w:rPr>
                <w:rFonts w:eastAsia="Calibri"/>
                <w:i/>
                <w:sz w:val="20"/>
                <w:lang w:val="en-CA"/>
              </w:rPr>
              <w:t>IHFA</w:t>
            </w:r>
            <w:r w:rsidRPr="005529E3">
              <w:rPr>
                <w:rFonts w:eastAsia="Calibri"/>
                <w:sz w:val="20"/>
                <w:lang w:val="en-CA"/>
              </w:rPr>
              <w:t xml:space="preserve">”). The Director of Independent Health Facilities issued BSA notices in 1998, advising that its licences would be amended to eliminate vascular ultrasounds from the list of services it could provide at two of its facilities as they were not </w:t>
            </w:r>
            <w:r w:rsidRPr="005529E3">
              <w:rPr>
                <w:rFonts w:eastAsia="Calibri"/>
                <w:sz w:val="20"/>
                <w:lang w:val="en-CA"/>
              </w:rPr>
              <w:lastRenderedPageBreak/>
              <w:t>being provided in accordance with the IHFA. In May, 1999, BSA served two Requests for Hearing on the Health Services Appeal and Review Board challenging the Director’s decision. In the ensuing years a number of steps were taken in that appeal process but a hearing date was never set. In August, 2011, the parties signed Minutes of Settlement in which the Director agreed to add the vascular ultrasound services back into to each licence, on the condition that BSA would first provide the Director with certain information. Approximately a year later, BSA advised that it would not provide the Director with any of this information. The Director brought a motion for an order dismissing BSA’s Requests for Hearing.</w:t>
            </w:r>
          </w:p>
          <w:p w:rsidR="005529E3" w:rsidRPr="005529E3" w:rsidRDefault="005529E3" w:rsidP="005529E3">
            <w:pPr>
              <w:spacing w:line="276" w:lineRule="auto"/>
              <w:jc w:val="both"/>
              <w:rPr>
                <w:rFonts w:eastAsia="Calibri"/>
                <w:sz w:val="20"/>
                <w:lang w:val="en-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en-CA"/>
              </w:rPr>
            </w:pPr>
            <w:r w:rsidRPr="005529E3">
              <w:rPr>
                <w:rFonts w:eastAsia="Calibri"/>
                <w:sz w:val="20"/>
                <w:lang w:val="en-CA"/>
              </w:rPr>
              <w:lastRenderedPageBreak/>
              <w:t>November 15, 2013</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Health Services Appeal and Review Board</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w:t>
            </w:r>
            <w:proofErr w:type="spellStart"/>
            <w:r w:rsidRPr="005529E3">
              <w:rPr>
                <w:rFonts w:eastAsia="Calibri"/>
                <w:sz w:val="20"/>
                <w:lang w:val="en-CA"/>
              </w:rPr>
              <w:t>Jovanovic</w:t>
            </w:r>
            <w:proofErr w:type="spellEnd"/>
            <w:r w:rsidRPr="005529E3">
              <w:rPr>
                <w:rFonts w:eastAsia="Calibri"/>
                <w:sz w:val="20"/>
                <w:lang w:val="en-CA"/>
              </w:rPr>
              <w:t xml:space="preserve">, </w:t>
            </w:r>
            <w:proofErr w:type="spellStart"/>
            <w:r w:rsidRPr="005529E3">
              <w:rPr>
                <w:rFonts w:eastAsia="Calibri"/>
                <w:sz w:val="20"/>
                <w:lang w:val="en-CA"/>
              </w:rPr>
              <w:t>Farha</w:t>
            </w:r>
            <w:proofErr w:type="spellEnd"/>
            <w:r w:rsidRPr="005529E3">
              <w:rPr>
                <w:rFonts w:eastAsia="Calibri"/>
                <w:sz w:val="20"/>
                <w:lang w:val="en-CA"/>
              </w:rPr>
              <w:t xml:space="preserve"> Vice-Chairs and Bates, </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Member)</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Unreported</w:t>
            </w:r>
          </w:p>
          <w:p w:rsidR="005529E3" w:rsidRPr="005529E3" w:rsidRDefault="005529E3" w:rsidP="005529E3">
            <w:pPr>
              <w:spacing w:line="276" w:lineRule="auto"/>
              <w:jc w:val="both"/>
              <w:rPr>
                <w:rFonts w:eastAsia="Calibri"/>
                <w:sz w:val="20"/>
                <w:lang w:val="en-CA"/>
              </w:rPr>
            </w:pPr>
          </w:p>
        </w:tc>
        <w:tc>
          <w:tcPr>
            <w:tcW w:w="243" w:type="pct"/>
          </w:tcPr>
          <w:p w:rsidR="005529E3" w:rsidRPr="005529E3" w:rsidRDefault="005529E3" w:rsidP="005529E3">
            <w:pPr>
              <w:spacing w:line="276" w:lineRule="auto"/>
              <w:jc w:val="both"/>
              <w:rPr>
                <w:rFonts w:eastAsia="Calibri"/>
                <w:sz w:val="20"/>
                <w:lang w:val="en-CA"/>
              </w:rPr>
            </w:pPr>
          </w:p>
        </w:tc>
        <w:tc>
          <w:tcPr>
            <w:tcW w:w="2330" w:type="pct"/>
            <w:hideMark/>
          </w:tcPr>
          <w:p w:rsidR="005529E3" w:rsidRPr="005529E3" w:rsidRDefault="005529E3" w:rsidP="005529E3">
            <w:pPr>
              <w:spacing w:line="276" w:lineRule="auto"/>
              <w:jc w:val="both"/>
              <w:rPr>
                <w:rFonts w:eastAsia="Calibri"/>
                <w:sz w:val="20"/>
                <w:lang w:val="en-CA"/>
              </w:rPr>
            </w:pPr>
            <w:r w:rsidRPr="005529E3">
              <w:rPr>
                <w:rFonts w:eastAsia="Calibri"/>
                <w:sz w:val="20"/>
                <w:lang w:val="en-CA"/>
              </w:rPr>
              <w:t>Applicant’s Requests for Hearing dismissed</w:t>
            </w: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en-CA"/>
              </w:rPr>
            </w:pPr>
            <w:r w:rsidRPr="005529E3">
              <w:rPr>
                <w:rFonts w:eastAsia="Calibri"/>
                <w:sz w:val="20"/>
                <w:lang w:val="en-CA"/>
              </w:rPr>
              <w:t>October 27, 2014</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Ontario Superior Court of Justice</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(Divisional Court)</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w:t>
            </w:r>
            <w:proofErr w:type="spellStart"/>
            <w:r w:rsidRPr="005529E3">
              <w:rPr>
                <w:rFonts w:eastAsia="Calibri"/>
                <w:sz w:val="20"/>
                <w:lang w:val="en-CA"/>
              </w:rPr>
              <w:t>Horkins</w:t>
            </w:r>
            <w:proofErr w:type="spellEnd"/>
            <w:r w:rsidRPr="005529E3">
              <w:rPr>
                <w:rFonts w:eastAsia="Calibri"/>
                <w:sz w:val="20"/>
                <w:lang w:val="en-CA"/>
              </w:rPr>
              <w:t>, Harvison Young and Grace JJ.)</w:t>
            </w:r>
          </w:p>
          <w:p w:rsidR="005529E3" w:rsidRPr="005529E3" w:rsidRDefault="00480458" w:rsidP="005529E3">
            <w:pPr>
              <w:spacing w:line="276" w:lineRule="auto"/>
              <w:jc w:val="both"/>
              <w:rPr>
                <w:rFonts w:eastAsia="Calibri"/>
                <w:sz w:val="20"/>
                <w:lang w:val="en-CA"/>
              </w:rPr>
            </w:pPr>
            <w:hyperlink r:id="rId102" w:history="1">
              <w:r w:rsidR="005529E3" w:rsidRPr="005529E3">
                <w:rPr>
                  <w:rFonts w:eastAsia="Calibri"/>
                  <w:color w:val="0000FF" w:themeColor="hyperlink"/>
                  <w:sz w:val="20"/>
                  <w:u w:val="single"/>
                  <w:lang w:val="en-CA"/>
                </w:rPr>
                <w:t>2014 ONSC 6054</w:t>
              </w:r>
            </w:hyperlink>
          </w:p>
          <w:p w:rsidR="005529E3" w:rsidRPr="005529E3" w:rsidRDefault="005529E3" w:rsidP="005529E3">
            <w:pPr>
              <w:spacing w:line="276" w:lineRule="auto"/>
              <w:jc w:val="both"/>
              <w:rPr>
                <w:rFonts w:eastAsia="Calibri"/>
                <w:sz w:val="20"/>
                <w:lang w:val="en-CA"/>
              </w:rPr>
            </w:pP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Applicant’s application for leave to appeal dismissed</w:t>
            </w:r>
          </w:p>
          <w:p w:rsidR="005529E3" w:rsidRPr="005529E3" w:rsidRDefault="005529E3" w:rsidP="005529E3">
            <w:pPr>
              <w:spacing w:line="276" w:lineRule="auto"/>
              <w:jc w:val="both"/>
              <w:rPr>
                <w:rFonts w:eastAsia="Calibri"/>
                <w:sz w:val="20"/>
                <w:lang w:val="en-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en-CA"/>
              </w:rPr>
            </w:pPr>
            <w:r w:rsidRPr="005529E3">
              <w:rPr>
                <w:rFonts w:eastAsia="Calibri"/>
                <w:sz w:val="20"/>
                <w:lang w:val="en-CA"/>
              </w:rPr>
              <w:t>March 4,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Court of Appeal for Ontario</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w:t>
            </w:r>
            <w:proofErr w:type="spellStart"/>
            <w:r w:rsidRPr="005529E3">
              <w:rPr>
                <w:rFonts w:eastAsia="Calibri"/>
                <w:sz w:val="20"/>
                <w:lang w:val="en-CA"/>
              </w:rPr>
              <w:t>Lauwers</w:t>
            </w:r>
            <w:proofErr w:type="spellEnd"/>
            <w:r w:rsidRPr="005529E3">
              <w:rPr>
                <w:rFonts w:eastAsia="Calibri"/>
                <w:sz w:val="20"/>
                <w:lang w:val="en-CA"/>
              </w:rPr>
              <w:t xml:space="preserve">, Hourigan and </w:t>
            </w:r>
            <w:proofErr w:type="spellStart"/>
            <w:r w:rsidRPr="005529E3">
              <w:rPr>
                <w:rFonts w:eastAsia="Calibri"/>
                <w:sz w:val="20"/>
                <w:lang w:val="en-CA"/>
              </w:rPr>
              <w:t>Pardu</w:t>
            </w:r>
            <w:proofErr w:type="spellEnd"/>
            <w:r w:rsidRPr="005529E3">
              <w:rPr>
                <w:rFonts w:eastAsia="Calibri"/>
                <w:sz w:val="20"/>
                <w:lang w:val="en-CA"/>
              </w:rPr>
              <w:t xml:space="preserve"> JJ.A.)</w:t>
            </w:r>
          </w:p>
          <w:p w:rsidR="005529E3" w:rsidRPr="005529E3" w:rsidRDefault="005529E3" w:rsidP="005529E3">
            <w:pPr>
              <w:spacing w:line="276" w:lineRule="auto"/>
              <w:jc w:val="both"/>
              <w:rPr>
                <w:rFonts w:eastAsia="Calibri"/>
                <w:sz w:val="20"/>
                <w:lang w:val="en-CA"/>
              </w:rPr>
            </w:pP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Appeal dismissed</w:t>
            </w:r>
          </w:p>
          <w:p w:rsidR="005529E3" w:rsidRPr="005529E3" w:rsidRDefault="005529E3" w:rsidP="005529E3">
            <w:pPr>
              <w:spacing w:line="276" w:lineRule="auto"/>
              <w:jc w:val="both"/>
              <w:rPr>
                <w:rFonts w:eastAsia="Calibri"/>
                <w:sz w:val="20"/>
                <w:lang w:val="en-CA"/>
              </w:rPr>
            </w:pPr>
          </w:p>
        </w:tc>
      </w:tr>
      <w:tr w:rsidR="005529E3" w:rsidRPr="005529E3" w:rsidTr="005529E3">
        <w:trPr>
          <w:trHeight w:val="80"/>
        </w:trPr>
        <w:tc>
          <w:tcPr>
            <w:tcW w:w="2427" w:type="pct"/>
            <w:gridSpan w:val="2"/>
            <w:hideMark/>
          </w:tcPr>
          <w:p w:rsidR="005529E3" w:rsidRPr="005529E3" w:rsidRDefault="005529E3" w:rsidP="005529E3">
            <w:pPr>
              <w:spacing w:line="276" w:lineRule="auto"/>
              <w:jc w:val="both"/>
              <w:rPr>
                <w:rFonts w:eastAsia="Calibri"/>
                <w:sz w:val="20"/>
                <w:lang w:val="en-CA"/>
              </w:rPr>
            </w:pPr>
            <w:r w:rsidRPr="005529E3">
              <w:rPr>
                <w:rFonts w:eastAsia="Calibri"/>
                <w:sz w:val="20"/>
                <w:lang w:val="en-CA"/>
              </w:rPr>
              <w:t>May 1, 2015</w:t>
            </w:r>
          </w:p>
          <w:p w:rsidR="005529E3" w:rsidRPr="005529E3" w:rsidRDefault="005529E3" w:rsidP="005529E3">
            <w:pPr>
              <w:spacing w:line="276" w:lineRule="auto"/>
              <w:jc w:val="both"/>
              <w:rPr>
                <w:rFonts w:eastAsia="Calibri"/>
                <w:sz w:val="20"/>
                <w:lang w:val="en-CA"/>
              </w:rPr>
            </w:pPr>
            <w:r w:rsidRPr="005529E3">
              <w:rPr>
                <w:rFonts w:eastAsia="Calibri"/>
                <w:sz w:val="20"/>
                <w:lang w:val="en-CA"/>
              </w:rPr>
              <w:t>Supreme Court of Canada</w:t>
            </w:r>
          </w:p>
        </w:tc>
        <w:tc>
          <w:tcPr>
            <w:tcW w:w="243" w:type="pct"/>
          </w:tcPr>
          <w:p w:rsidR="005529E3" w:rsidRPr="005529E3" w:rsidRDefault="005529E3" w:rsidP="005529E3">
            <w:pPr>
              <w:spacing w:line="276" w:lineRule="auto"/>
              <w:jc w:val="both"/>
              <w:rPr>
                <w:rFonts w:eastAsia="Calibri"/>
                <w:sz w:val="20"/>
                <w:lang w:val="en-CA"/>
              </w:rPr>
            </w:pPr>
          </w:p>
        </w:tc>
        <w:tc>
          <w:tcPr>
            <w:tcW w:w="2330" w:type="pct"/>
          </w:tcPr>
          <w:p w:rsidR="005529E3" w:rsidRPr="005529E3" w:rsidRDefault="005529E3" w:rsidP="005529E3">
            <w:pPr>
              <w:spacing w:line="276" w:lineRule="auto"/>
              <w:jc w:val="both"/>
              <w:rPr>
                <w:rFonts w:eastAsia="Calibri"/>
                <w:sz w:val="20"/>
                <w:lang w:val="en-CA"/>
              </w:rPr>
            </w:pPr>
            <w:r w:rsidRPr="005529E3">
              <w:rPr>
                <w:rFonts w:eastAsia="Calibri"/>
                <w:sz w:val="20"/>
                <w:lang w:val="en-CA"/>
              </w:rPr>
              <w:t>Application for leave to appeal filed</w:t>
            </w:r>
          </w:p>
          <w:p w:rsidR="005529E3" w:rsidRPr="005529E3" w:rsidRDefault="005529E3" w:rsidP="005529E3">
            <w:pPr>
              <w:spacing w:line="276" w:lineRule="auto"/>
              <w:jc w:val="both"/>
              <w:rPr>
                <w:rFonts w:eastAsia="Calibri"/>
                <w:sz w:val="20"/>
                <w:lang w:val="en-CA"/>
              </w:rPr>
            </w:pPr>
          </w:p>
        </w:tc>
      </w:tr>
    </w:tbl>
    <w:p w:rsidR="005529E3" w:rsidRDefault="005529E3" w:rsidP="005529E3">
      <w:pPr>
        <w:jc w:val="both"/>
        <w:rPr>
          <w:rFonts w:eastAsia="Calibri"/>
          <w:sz w:val="20"/>
          <w:lang w:val="en-CA"/>
        </w:rPr>
      </w:pPr>
    </w:p>
    <w:p w:rsidR="009C21EE" w:rsidRPr="005529E3" w:rsidRDefault="009C21EE" w:rsidP="005529E3">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529E3" w:rsidRPr="005529E3" w:rsidTr="005529E3">
        <w:tc>
          <w:tcPr>
            <w:tcW w:w="543" w:type="pct"/>
            <w:hideMark/>
          </w:tcPr>
          <w:p w:rsidR="005529E3" w:rsidRPr="005529E3" w:rsidRDefault="005529E3" w:rsidP="005529E3">
            <w:pPr>
              <w:spacing w:line="276" w:lineRule="auto"/>
              <w:jc w:val="both"/>
              <w:rPr>
                <w:rFonts w:eastAsia="Calibri"/>
                <w:sz w:val="20"/>
                <w:lang w:val="fr-CA"/>
              </w:rPr>
            </w:pPr>
            <w:r w:rsidRPr="005529E3">
              <w:rPr>
                <w:rFonts w:eastAsia="Calibri"/>
                <w:b/>
                <w:sz w:val="20"/>
                <w:lang w:val="fr-CA"/>
              </w:rPr>
              <w:t>36413</w:t>
            </w:r>
          </w:p>
        </w:tc>
        <w:tc>
          <w:tcPr>
            <w:tcW w:w="4457" w:type="pct"/>
            <w:gridSpan w:val="3"/>
            <w:hideMark/>
          </w:tcPr>
          <w:p w:rsidR="005529E3" w:rsidRPr="005529E3" w:rsidRDefault="005529E3" w:rsidP="005529E3">
            <w:pPr>
              <w:spacing w:line="276" w:lineRule="auto"/>
              <w:jc w:val="both"/>
              <w:rPr>
                <w:rFonts w:eastAsia="Calibri"/>
                <w:b/>
                <w:sz w:val="20"/>
                <w:lang w:val="fr-CA"/>
              </w:rPr>
            </w:pPr>
            <w:r w:rsidRPr="005529E3">
              <w:rPr>
                <w:rFonts w:eastAsia="Calibri"/>
                <w:b/>
                <w:sz w:val="20"/>
                <w:lang w:val="fr-CA"/>
              </w:rPr>
              <w:t>B.S.A. Diagnostics Limited c. Ministère du Procureur général et ministère de la Santé</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(Ont.) (Civile) (Sur autorisation)</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Droit administratif – Organismes et tribunaux administratifs – Commission d’appel et de révision des services de santé – Contrôle judiciaire – Norme de contrôle – Décision d’éliminer l’échographie vasculaire de la liste des services que la demanderesse était autorisée à fournir – Les demandes d’audience présentées par la demanderesse ont été rejetées pour cause de retard et en raison de leur caractère théorique – Quelle est la nature de la question de droit administratif tranchée dans l’arrêt </w:t>
            </w:r>
            <w:proofErr w:type="spellStart"/>
            <w:r w:rsidRPr="005529E3">
              <w:rPr>
                <w:rFonts w:eastAsia="Calibri"/>
                <w:i/>
                <w:sz w:val="20"/>
                <w:lang w:val="fr-CA"/>
              </w:rPr>
              <w:t>Blencoe</w:t>
            </w:r>
            <w:proofErr w:type="spellEnd"/>
            <w:r w:rsidRPr="005529E3">
              <w:rPr>
                <w:rFonts w:eastAsia="Calibri"/>
                <w:i/>
                <w:sz w:val="20"/>
                <w:lang w:val="fr-CA"/>
              </w:rPr>
              <w:t xml:space="preserve"> c. Colombie-Britannique (</w:t>
            </w:r>
            <w:proofErr w:type="spellStart"/>
            <w:r w:rsidRPr="005529E3">
              <w:rPr>
                <w:rFonts w:eastAsia="Calibri"/>
                <w:i/>
                <w:sz w:val="20"/>
                <w:lang w:val="fr-CA"/>
              </w:rPr>
              <w:t>Human</w:t>
            </w:r>
            <w:proofErr w:type="spellEnd"/>
            <w:r w:rsidRPr="005529E3">
              <w:rPr>
                <w:rFonts w:eastAsia="Calibri"/>
                <w:i/>
                <w:sz w:val="20"/>
                <w:lang w:val="fr-CA"/>
              </w:rPr>
              <w:t xml:space="preserve"> </w:t>
            </w:r>
            <w:proofErr w:type="spellStart"/>
            <w:r w:rsidRPr="005529E3">
              <w:rPr>
                <w:rFonts w:eastAsia="Calibri"/>
                <w:i/>
                <w:sz w:val="20"/>
                <w:lang w:val="fr-CA"/>
              </w:rPr>
              <w:t>Rights</w:t>
            </w:r>
            <w:proofErr w:type="spellEnd"/>
            <w:r w:rsidRPr="005529E3">
              <w:rPr>
                <w:rFonts w:eastAsia="Calibri"/>
                <w:i/>
                <w:sz w:val="20"/>
                <w:lang w:val="fr-CA"/>
              </w:rPr>
              <w:t xml:space="preserve"> Commission), </w:t>
            </w:r>
            <w:r w:rsidRPr="005529E3">
              <w:rPr>
                <w:rFonts w:eastAsia="Calibri"/>
                <w:sz w:val="20"/>
                <w:lang w:val="fr-CA"/>
              </w:rPr>
              <w:t xml:space="preserve">2000 CSC 44? – La question tranchée dans </w:t>
            </w:r>
            <w:proofErr w:type="spellStart"/>
            <w:r w:rsidRPr="005529E3">
              <w:rPr>
                <w:rFonts w:eastAsia="Calibri"/>
                <w:i/>
                <w:sz w:val="20"/>
                <w:lang w:val="fr-CA"/>
              </w:rPr>
              <w:t>Blencoe</w:t>
            </w:r>
            <w:proofErr w:type="spellEnd"/>
            <w:r w:rsidRPr="005529E3">
              <w:rPr>
                <w:rFonts w:eastAsia="Calibri"/>
                <w:sz w:val="20"/>
                <w:lang w:val="fr-CA"/>
              </w:rPr>
              <w:t xml:space="preserve"> est-elle une question de droit général qui revêt une importance primordiale pour le système juridique dans son ensemble et comment fait-on pour le savoir? – Un tribunal administratif se trouve-t-il à interpréter sa loi constitutive ou une loi étroitement liée à son mandat lorsqu’il répond à cette question?  – Dans l’affirmative, et où le tribunal administratif est présumé avoir une expertise relative, la présomption a-t-elle été réfutée en raison de la compétence concurrente de tribunaux administratifs et judiciaires de traiter cette question?</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B.S.A. Diagnostics Limited (« BSA ») est un établissement de santé qui fournit des services de radiodiagnostic à titre onéreux, et possède des permis d’exploitation de ses établissements sous le régime de la </w:t>
            </w:r>
            <w:r w:rsidRPr="005529E3">
              <w:rPr>
                <w:rFonts w:eastAsia="Calibri"/>
                <w:i/>
                <w:sz w:val="20"/>
                <w:lang w:val="fr-CA"/>
              </w:rPr>
              <w:t>Loi sur les établissements de santé autonomes</w:t>
            </w:r>
            <w:r w:rsidRPr="005529E3">
              <w:rPr>
                <w:rFonts w:eastAsia="Calibri"/>
                <w:sz w:val="20"/>
                <w:lang w:val="fr-CA"/>
              </w:rPr>
              <w:t>, L.R.O. 1990, ch. I.3 (« </w:t>
            </w:r>
            <w:r w:rsidRPr="005529E3">
              <w:rPr>
                <w:rFonts w:eastAsia="Calibri"/>
                <w:i/>
                <w:sz w:val="20"/>
                <w:lang w:val="fr-CA"/>
              </w:rPr>
              <w:t>LÉSA</w:t>
            </w:r>
            <w:r w:rsidRPr="005529E3">
              <w:rPr>
                <w:rFonts w:eastAsia="Calibri"/>
                <w:sz w:val="20"/>
                <w:lang w:val="fr-CA"/>
              </w:rPr>
              <w:t xml:space="preserve"> »). En 1998, le directeur des établissements de santé autonomes a délivré des avis à BSA, l’informant que ses permis allaient être modifiés pour éliminer l’échographie vasculaire de </w:t>
            </w:r>
            <w:r w:rsidRPr="005529E3">
              <w:rPr>
                <w:rFonts w:eastAsia="Calibri"/>
                <w:sz w:val="20"/>
                <w:lang w:val="fr-CA"/>
              </w:rPr>
              <w:lastRenderedPageBreak/>
              <w:t xml:space="preserve">la liste des services qu’elle pouvait fournir conformément à la </w:t>
            </w:r>
            <w:r w:rsidRPr="005529E3">
              <w:rPr>
                <w:rFonts w:eastAsia="Calibri"/>
                <w:i/>
                <w:sz w:val="20"/>
                <w:lang w:val="fr-CA"/>
              </w:rPr>
              <w:t>LÉSA</w:t>
            </w:r>
            <w:r w:rsidRPr="005529E3">
              <w:rPr>
                <w:rFonts w:eastAsia="Calibri"/>
                <w:sz w:val="20"/>
                <w:lang w:val="fr-CA"/>
              </w:rPr>
              <w:t>. En mai 1999, BSA a signifié deux demandes d’audience à la Commission d’appel et de révision des services de santé, contestant la décision du directeur. Au cours des années qui ont suivi, un certain nombre de démarches ont été effectuées dans ce processus d’appel, mais une date d’audience n’a jamais été fixée. En août 2011, les parties ont signé un procès-verbal de transaction dans lequel le directeur acceptait de rajouter les services d’échographie vasculaire dans chacun des permis, pourvu que BSA fournisse d’abord certains renseignements au directeur. Environ un an plus tard, BSA a fait savoir qu’elle ne fournirait pas ces renseignements au directeur. Le directeur a présenté une motion en vue d’obtenir une ordonnance de rejet des demandes d’audience de BSA.</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lastRenderedPageBreak/>
              <w:t>15 novembre 2013</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Commission d’appel et de révision des services de santé</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(Vice-présidents Jovanovic et </w:t>
            </w:r>
            <w:proofErr w:type="spellStart"/>
            <w:r w:rsidRPr="005529E3">
              <w:rPr>
                <w:rFonts w:eastAsia="Calibri"/>
                <w:sz w:val="20"/>
                <w:lang w:val="fr-CA"/>
              </w:rPr>
              <w:t>Farha</w:t>
            </w:r>
            <w:proofErr w:type="spellEnd"/>
            <w:r w:rsidRPr="005529E3">
              <w:rPr>
                <w:rFonts w:eastAsia="Calibri"/>
                <w:sz w:val="20"/>
                <w:lang w:val="fr-CA"/>
              </w:rPr>
              <w:t>, commissaire Bates)</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Non publié</w:t>
            </w:r>
          </w:p>
          <w:p w:rsidR="005529E3" w:rsidRPr="005529E3" w:rsidRDefault="005529E3" w:rsidP="005529E3">
            <w:pPr>
              <w:spacing w:line="276" w:lineRule="auto"/>
              <w:jc w:val="both"/>
              <w:rPr>
                <w:rFonts w:eastAsia="Calibri"/>
                <w:sz w:val="20"/>
                <w:lang w:val="fr-CA"/>
              </w:rPr>
            </w:pPr>
          </w:p>
        </w:tc>
        <w:tc>
          <w:tcPr>
            <w:tcW w:w="243" w:type="pct"/>
          </w:tcPr>
          <w:p w:rsidR="005529E3" w:rsidRPr="005529E3" w:rsidRDefault="005529E3" w:rsidP="005529E3">
            <w:pPr>
              <w:spacing w:line="276" w:lineRule="auto"/>
              <w:jc w:val="both"/>
              <w:rPr>
                <w:rFonts w:eastAsia="Calibri"/>
                <w:sz w:val="20"/>
                <w:lang w:val="fr-CA"/>
              </w:rPr>
            </w:pPr>
          </w:p>
        </w:tc>
        <w:tc>
          <w:tcPr>
            <w:tcW w:w="2330" w:type="pct"/>
            <w:hideMark/>
          </w:tcPr>
          <w:p w:rsidR="005529E3" w:rsidRPr="005529E3" w:rsidRDefault="005529E3" w:rsidP="005529E3">
            <w:pPr>
              <w:spacing w:line="276" w:lineRule="auto"/>
              <w:jc w:val="both"/>
              <w:rPr>
                <w:rFonts w:eastAsia="Calibri"/>
                <w:sz w:val="20"/>
                <w:lang w:val="fr-CA"/>
              </w:rPr>
            </w:pPr>
            <w:r w:rsidRPr="005529E3">
              <w:rPr>
                <w:rFonts w:eastAsia="Calibri"/>
                <w:sz w:val="20"/>
                <w:lang w:val="fr-CA"/>
              </w:rPr>
              <w:t>Rejet des demandes d’audience de la demanderesse</w:t>
            </w: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t>27 octobre 2014</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supérieure de justice de l’Ontario</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divisionnaire)</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(Juges </w:t>
            </w:r>
            <w:proofErr w:type="spellStart"/>
            <w:r w:rsidRPr="005529E3">
              <w:rPr>
                <w:rFonts w:eastAsia="Calibri"/>
                <w:sz w:val="20"/>
                <w:lang w:val="fr-CA"/>
              </w:rPr>
              <w:t>Horkins</w:t>
            </w:r>
            <w:proofErr w:type="spellEnd"/>
            <w:r w:rsidRPr="005529E3">
              <w:rPr>
                <w:rFonts w:eastAsia="Calibri"/>
                <w:sz w:val="20"/>
                <w:lang w:val="fr-CA"/>
              </w:rPr>
              <w:t xml:space="preserve">, </w:t>
            </w:r>
            <w:proofErr w:type="spellStart"/>
            <w:r w:rsidRPr="005529E3">
              <w:rPr>
                <w:rFonts w:eastAsia="Calibri"/>
                <w:sz w:val="20"/>
                <w:lang w:val="fr-CA"/>
              </w:rPr>
              <w:t>Harvison</w:t>
            </w:r>
            <w:proofErr w:type="spellEnd"/>
            <w:r w:rsidRPr="005529E3">
              <w:rPr>
                <w:rFonts w:eastAsia="Calibri"/>
                <w:sz w:val="20"/>
                <w:lang w:val="fr-CA"/>
              </w:rPr>
              <w:t xml:space="preserve"> Young et Grace)</w:t>
            </w:r>
          </w:p>
          <w:p w:rsidR="005529E3" w:rsidRPr="005529E3" w:rsidRDefault="00480458" w:rsidP="005529E3">
            <w:pPr>
              <w:spacing w:line="276" w:lineRule="auto"/>
              <w:jc w:val="both"/>
              <w:rPr>
                <w:rFonts w:eastAsia="Calibri"/>
                <w:sz w:val="20"/>
                <w:lang w:val="fr-CA"/>
              </w:rPr>
            </w:pPr>
            <w:hyperlink r:id="rId103" w:history="1">
              <w:r w:rsidR="005529E3" w:rsidRPr="005529E3">
                <w:rPr>
                  <w:rFonts w:eastAsia="Calibri"/>
                  <w:color w:val="0000FF" w:themeColor="hyperlink"/>
                  <w:sz w:val="20"/>
                  <w:u w:val="single"/>
                  <w:lang w:val="fr-CA"/>
                </w:rPr>
                <w:t>2014 ONSC 6054</w:t>
              </w:r>
            </w:hyperlink>
          </w:p>
          <w:p w:rsidR="005529E3" w:rsidRPr="005529E3" w:rsidRDefault="005529E3" w:rsidP="005529E3">
            <w:pPr>
              <w:spacing w:line="276" w:lineRule="auto"/>
              <w:jc w:val="both"/>
              <w:rPr>
                <w:rFonts w:eastAsia="Calibri"/>
                <w:sz w:val="20"/>
                <w:lang w:val="fr-CA"/>
              </w:rPr>
            </w:pP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Rejet de la demande d’autorisation d’appel de la demanderesse</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t>4 mars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d’appel de l’Ontario</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(Juges </w:t>
            </w:r>
            <w:proofErr w:type="spellStart"/>
            <w:r w:rsidRPr="005529E3">
              <w:rPr>
                <w:rFonts w:eastAsia="Calibri"/>
                <w:sz w:val="20"/>
                <w:lang w:val="fr-CA"/>
              </w:rPr>
              <w:t>Lauwers</w:t>
            </w:r>
            <w:proofErr w:type="spellEnd"/>
            <w:r w:rsidRPr="005529E3">
              <w:rPr>
                <w:rFonts w:eastAsia="Calibri"/>
                <w:sz w:val="20"/>
                <w:lang w:val="fr-CA"/>
              </w:rPr>
              <w:t xml:space="preserve">, </w:t>
            </w:r>
            <w:proofErr w:type="spellStart"/>
            <w:r w:rsidRPr="005529E3">
              <w:rPr>
                <w:rFonts w:eastAsia="Calibri"/>
                <w:sz w:val="20"/>
                <w:lang w:val="fr-CA"/>
              </w:rPr>
              <w:t>Hourigan</w:t>
            </w:r>
            <w:proofErr w:type="spellEnd"/>
            <w:r w:rsidRPr="005529E3">
              <w:rPr>
                <w:rFonts w:eastAsia="Calibri"/>
                <w:sz w:val="20"/>
                <w:lang w:val="fr-CA"/>
              </w:rPr>
              <w:t xml:space="preserve"> et </w:t>
            </w:r>
            <w:proofErr w:type="spellStart"/>
            <w:r w:rsidRPr="005529E3">
              <w:rPr>
                <w:rFonts w:eastAsia="Calibri"/>
                <w:sz w:val="20"/>
                <w:lang w:val="fr-CA"/>
              </w:rPr>
              <w:t>Pardu</w:t>
            </w:r>
            <w:proofErr w:type="spellEnd"/>
            <w:r w:rsidRPr="005529E3">
              <w:rPr>
                <w:rFonts w:eastAsia="Calibri"/>
                <w:sz w:val="20"/>
                <w:lang w:val="fr-CA"/>
              </w:rPr>
              <w:t>)</w:t>
            </w:r>
          </w:p>
          <w:p w:rsidR="005529E3" w:rsidRPr="005529E3" w:rsidRDefault="005529E3" w:rsidP="005529E3">
            <w:pPr>
              <w:spacing w:line="276" w:lineRule="auto"/>
              <w:jc w:val="both"/>
              <w:rPr>
                <w:rFonts w:eastAsia="Calibri"/>
                <w:sz w:val="20"/>
                <w:lang w:val="fr-CA"/>
              </w:rPr>
            </w:pP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Rejet de l’appel</w:t>
            </w:r>
          </w:p>
          <w:p w:rsidR="005529E3" w:rsidRPr="005529E3" w:rsidRDefault="005529E3" w:rsidP="005529E3">
            <w:pPr>
              <w:spacing w:line="276" w:lineRule="auto"/>
              <w:jc w:val="both"/>
              <w:rPr>
                <w:rFonts w:eastAsia="Calibri"/>
                <w:sz w:val="20"/>
                <w:lang w:val="fr-CA"/>
              </w:rPr>
            </w:pPr>
          </w:p>
        </w:tc>
      </w:tr>
      <w:tr w:rsidR="005529E3" w:rsidRPr="005529E3" w:rsidTr="005529E3">
        <w:trPr>
          <w:trHeight w:val="80"/>
        </w:trPr>
        <w:tc>
          <w:tcPr>
            <w:tcW w:w="2427" w:type="pct"/>
            <w:gridSpan w:val="2"/>
            <w:hideMark/>
          </w:tcPr>
          <w:p w:rsidR="005529E3" w:rsidRPr="005529E3" w:rsidRDefault="005529E3" w:rsidP="005529E3">
            <w:pPr>
              <w:spacing w:line="276" w:lineRule="auto"/>
              <w:jc w:val="both"/>
              <w:rPr>
                <w:rFonts w:eastAsia="Calibri"/>
                <w:sz w:val="20"/>
                <w:lang w:val="fr-CA"/>
              </w:rPr>
            </w:pPr>
            <w:r w:rsidRPr="005529E3">
              <w:rPr>
                <w:rFonts w:eastAsia="Calibri"/>
                <w:sz w:val="20"/>
                <w:lang w:val="fr-CA"/>
              </w:rPr>
              <w:t>1</w:t>
            </w:r>
            <w:r w:rsidRPr="005529E3">
              <w:rPr>
                <w:rFonts w:eastAsia="Calibri"/>
                <w:sz w:val="20"/>
                <w:vertAlign w:val="superscript"/>
                <w:lang w:val="fr-CA"/>
              </w:rPr>
              <w:t>er</w:t>
            </w:r>
            <w:r w:rsidRPr="005529E3">
              <w:rPr>
                <w:rFonts w:eastAsia="Calibri"/>
                <w:sz w:val="20"/>
                <w:lang w:val="fr-CA"/>
              </w:rPr>
              <w:t xml:space="preserve"> mai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suprême du Canada</w:t>
            </w: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Dépôt de la demande d’autorisation d’appel</w:t>
            </w:r>
          </w:p>
          <w:p w:rsidR="005529E3" w:rsidRPr="005529E3" w:rsidRDefault="005529E3" w:rsidP="005529E3">
            <w:pPr>
              <w:spacing w:line="276" w:lineRule="auto"/>
              <w:jc w:val="both"/>
              <w:rPr>
                <w:rFonts w:eastAsia="Calibri"/>
                <w:sz w:val="20"/>
                <w:lang w:val="fr-CA"/>
              </w:rPr>
            </w:pPr>
          </w:p>
        </w:tc>
      </w:tr>
    </w:tbl>
    <w:p w:rsidR="005529E3" w:rsidRDefault="005529E3" w:rsidP="005529E3">
      <w:pPr>
        <w:jc w:val="both"/>
        <w:rPr>
          <w:rFonts w:eastAsia="Calibri"/>
          <w:sz w:val="20"/>
          <w:lang w:val="fr-CA"/>
        </w:rPr>
      </w:pPr>
    </w:p>
    <w:p w:rsidR="009C21EE" w:rsidRPr="005529E3" w:rsidRDefault="009C21EE" w:rsidP="005529E3">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29E3" w:rsidRPr="005529E3" w:rsidTr="00193609">
        <w:tc>
          <w:tcPr>
            <w:tcW w:w="543" w:type="pct"/>
          </w:tcPr>
          <w:p w:rsidR="005529E3" w:rsidRPr="005529E3" w:rsidRDefault="005529E3" w:rsidP="005529E3">
            <w:pPr>
              <w:jc w:val="both"/>
              <w:rPr>
                <w:rFonts w:eastAsiaTheme="minorHAnsi"/>
                <w:sz w:val="20"/>
                <w:lang w:val="en-CA"/>
              </w:rPr>
            </w:pPr>
            <w:r w:rsidRPr="005529E3">
              <w:rPr>
                <w:rFonts w:eastAsiaTheme="minorHAnsi"/>
                <w:b/>
                <w:sz w:val="20"/>
                <w:lang w:val="en-CA"/>
              </w:rPr>
              <w:t>36420</w:t>
            </w:r>
          </w:p>
        </w:tc>
        <w:tc>
          <w:tcPr>
            <w:tcW w:w="4457" w:type="pct"/>
            <w:gridSpan w:val="3"/>
          </w:tcPr>
          <w:p w:rsidR="005529E3" w:rsidRPr="005529E3" w:rsidRDefault="005529E3" w:rsidP="005529E3">
            <w:pPr>
              <w:jc w:val="both"/>
              <w:rPr>
                <w:rFonts w:eastAsiaTheme="minorHAnsi"/>
                <w:b/>
                <w:sz w:val="20"/>
                <w:lang w:val="en-CA"/>
              </w:rPr>
            </w:pPr>
            <w:r w:rsidRPr="005529E3">
              <w:rPr>
                <w:rFonts w:eastAsiaTheme="minorHAnsi"/>
                <w:b/>
                <w:sz w:val="20"/>
                <w:lang w:val="en-CA"/>
              </w:rPr>
              <w:t>Peter Donaldson v. Western Grain By-Products Storage Ltd.</w:t>
            </w:r>
          </w:p>
          <w:p w:rsidR="005529E3" w:rsidRPr="005529E3" w:rsidRDefault="005529E3" w:rsidP="005529E3">
            <w:pPr>
              <w:jc w:val="both"/>
              <w:rPr>
                <w:rFonts w:eastAsiaTheme="minorHAnsi"/>
                <w:sz w:val="20"/>
                <w:lang w:val="en-CA"/>
              </w:rPr>
            </w:pPr>
            <w:r w:rsidRPr="005529E3">
              <w:rPr>
                <w:rFonts w:eastAsiaTheme="minorHAnsi"/>
                <w:sz w:val="20"/>
                <w:lang w:val="en-CA"/>
              </w:rPr>
              <w:t>(FC) (Civil) (By Leave)</w:t>
            </w:r>
          </w:p>
        </w:tc>
      </w:tr>
      <w:tr w:rsidR="005529E3" w:rsidRPr="005529E3" w:rsidTr="00193609">
        <w:tc>
          <w:tcPr>
            <w:tcW w:w="5000" w:type="pct"/>
            <w:gridSpan w:val="4"/>
          </w:tcPr>
          <w:p w:rsidR="005529E3" w:rsidRPr="005529E3" w:rsidRDefault="005529E3" w:rsidP="005529E3">
            <w:pPr>
              <w:jc w:val="both"/>
              <w:rPr>
                <w:rFonts w:eastAsiaTheme="minorHAnsi"/>
                <w:sz w:val="20"/>
                <w:lang w:val="en-CA"/>
              </w:rPr>
            </w:pPr>
            <w:r w:rsidRPr="005529E3">
              <w:rPr>
                <w:rFonts w:eastAsiaTheme="minorHAnsi"/>
                <w:sz w:val="20"/>
                <w:lang w:val="en-CA"/>
              </w:rPr>
              <w:t>Employment law – Unjust dismissal – Administrative law – Judicial review – Standard of review – Did the Federal Court of Appeal identify the proper standard of review and apply it correctly – Did the Federal Court of Appeal err when it held that the adjudicator’s decision was unreasonable – Did the Federal Court of Appeal err when it held an employer has the right to request medical information related to the general wellness of an employee.</w:t>
            </w:r>
          </w:p>
        </w:tc>
      </w:tr>
      <w:tr w:rsidR="005529E3" w:rsidRPr="005529E3" w:rsidTr="00193609">
        <w:tc>
          <w:tcPr>
            <w:tcW w:w="5000" w:type="pct"/>
            <w:gridSpan w:val="4"/>
          </w:tcPr>
          <w:p w:rsidR="005529E3" w:rsidRPr="005529E3" w:rsidRDefault="005529E3" w:rsidP="005529E3">
            <w:pPr>
              <w:jc w:val="both"/>
              <w:rPr>
                <w:rFonts w:eastAsiaTheme="minorHAnsi"/>
                <w:sz w:val="20"/>
                <w:lang w:val="en-CA"/>
              </w:rPr>
            </w:pPr>
          </w:p>
        </w:tc>
      </w:tr>
      <w:tr w:rsidR="005529E3" w:rsidRPr="005529E3" w:rsidTr="00193609">
        <w:tc>
          <w:tcPr>
            <w:tcW w:w="5000" w:type="pct"/>
            <w:gridSpan w:val="4"/>
          </w:tcPr>
          <w:p w:rsidR="005529E3" w:rsidRPr="005529E3" w:rsidRDefault="005529E3" w:rsidP="005529E3">
            <w:pPr>
              <w:jc w:val="both"/>
              <w:rPr>
                <w:rFonts w:eastAsiaTheme="minorHAnsi"/>
                <w:sz w:val="20"/>
                <w:lang w:val="en-CA"/>
              </w:rPr>
            </w:pPr>
            <w:r w:rsidRPr="005529E3">
              <w:rPr>
                <w:rFonts w:eastAsiaTheme="minorHAnsi"/>
                <w:sz w:val="20"/>
                <w:lang w:val="en-CA"/>
              </w:rPr>
              <w:t xml:space="preserve">The applicant worked at the respondent’s grain terminal in Thunder Bay, Ontario for approximately 20 years. In May 2007, he left work ill, complaining of abdominal pain and vomiting, and was hospitalized for 10 days. He told the respondent his doctor advised that he could not return to work due to health concerns. He made a claim with the Workplace Safety and Insurance Board, claiming his symptoms may have resulted from a toxic reaction to grain dust. Upon learning that his claim was denied, the applicant attended work with a handwritten, two-line note from his family physician, indicating “Mr. Donaldson is now capable of returning to his job &amp; employment at Western Grain”. The respondent’s principal indicated he could not return to work until he presented a better doctor’s note as to his fitness level in relation to his duties and the work environment. Approximately a week later, the applicant was one of five employees temporarily laid off due to the slower shipping season. </w:t>
            </w:r>
          </w:p>
          <w:p w:rsidR="005529E3" w:rsidRPr="005529E3" w:rsidRDefault="005529E3" w:rsidP="005529E3">
            <w:pPr>
              <w:jc w:val="both"/>
              <w:rPr>
                <w:rFonts w:eastAsiaTheme="minorHAnsi"/>
                <w:sz w:val="20"/>
                <w:lang w:val="en-CA"/>
              </w:rPr>
            </w:pPr>
          </w:p>
          <w:p w:rsidR="005529E3" w:rsidRPr="005529E3" w:rsidRDefault="005529E3" w:rsidP="005529E3">
            <w:pPr>
              <w:jc w:val="both"/>
              <w:rPr>
                <w:rFonts w:eastAsiaTheme="minorHAnsi"/>
                <w:sz w:val="20"/>
                <w:lang w:val="en-CA"/>
              </w:rPr>
            </w:pPr>
            <w:r w:rsidRPr="005529E3">
              <w:rPr>
                <w:rFonts w:eastAsiaTheme="minorHAnsi"/>
                <w:sz w:val="20"/>
                <w:lang w:val="en-CA"/>
              </w:rPr>
              <w:t xml:space="preserve">The applicant filed a complaint with Human Resources and Social Development Canada claiming he had been unjustly dismissed. An adjudicator appointed under Division XIV of the </w:t>
            </w:r>
            <w:r w:rsidRPr="005529E3">
              <w:rPr>
                <w:rFonts w:eastAsiaTheme="minorHAnsi"/>
                <w:i/>
                <w:sz w:val="20"/>
                <w:lang w:val="en-CA"/>
              </w:rPr>
              <w:t>Canada Labour Code</w:t>
            </w:r>
            <w:r w:rsidRPr="005529E3">
              <w:rPr>
                <w:rFonts w:eastAsiaTheme="minorHAnsi"/>
                <w:sz w:val="20"/>
                <w:lang w:val="en-CA"/>
              </w:rPr>
              <w:t xml:space="preserve">, R.S.C. 1985, c. L-2 held the respondent liable for unjust constructive dismissal. The Federal Court allowed the respondent’s application </w:t>
            </w:r>
            <w:r w:rsidRPr="005529E3">
              <w:rPr>
                <w:rFonts w:eastAsiaTheme="minorHAnsi"/>
                <w:sz w:val="20"/>
                <w:lang w:val="en-CA"/>
              </w:rPr>
              <w:lastRenderedPageBreak/>
              <w:t>for judicial review, holding that the adjudicator’s decision was unreasonable and must be set aside. The Federal Court of Appeal agreed and dismissed the appeal.</w:t>
            </w:r>
          </w:p>
          <w:p w:rsidR="005529E3" w:rsidRPr="005529E3" w:rsidRDefault="005529E3" w:rsidP="005529E3">
            <w:pPr>
              <w:jc w:val="both"/>
              <w:rPr>
                <w:rFonts w:eastAsiaTheme="minorHAnsi"/>
                <w:sz w:val="20"/>
                <w:lang w:val="en-CA"/>
              </w:rPr>
            </w:pPr>
          </w:p>
        </w:tc>
      </w:tr>
      <w:tr w:rsidR="005529E3" w:rsidRPr="005529E3" w:rsidTr="00193609">
        <w:tc>
          <w:tcPr>
            <w:tcW w:w="2427" w:type="pct"/>
            <w:gridSpan w:val="2"/>
          </w:tcPr>
          <w:p w:rsidR="005529E3" w:rsidRPr="005529E3" w:rsidRDefault="005529E3" w:rsidP="005529E3">
            <w:pPr>
              <w:jc w:val="both"/>
              <w:rPr>
                <w:rFonts w:eastAsiaTheme="minorHAnsi"/>
                <w:sz w:val="20"/>
                <w:lang w:val="en-CA"/>
              </w:rPr>
            </w:pPr>
            <w:r w:rsidRPr="005529E3">
              <w:rPr>
                <w:rFonts w:eastAsiaTheme="minorHAnsi"/>
                <w:sz w:val="20"/>
                <w:lang w:val="en-CA"/>
              </w:rPr>
              <w:lastRenderedPageBreak/>
              <w:t>June 21, 2012</w:t>
            </w:r>
          </w:p>
          <w:p w:rsidR="005529E3" w:rsidRPr="005529E3" w:rsidRDefault="005529E3" w:rsidP="005529E3">
            <w:pPr>
              <w:jc w:val="both"/>
              <w:rPr>
                <w:rFonts w:eastAsiaTheme="minorHAnsi"/>
                <w:sz w:val="20"/>
                <w:lang w:val="en-CA"/>
              </w:rPr>
            </w:pPr>
            <w:r w:rsidRPr="005529E3">
              <w:rPr>
                <w:rFonts w:eastAsiaTheme="minorHAnsi"/>
                <w:sz w:val="20"/>
                <w:lang w:val="en-CA"/>
              </w:rPr>
              <w:t>Federal Court</w:t>
            </w:r>
          </w:p>
          <w:p w:rsidR="005529E3" w:rsidRPr="005529E3" w:rsidRDefault="005529E3" w:rsidP="005529E3">
            <w:pPr>
              <w:jc w:val="both"/>
              <w:rPr>
                <w:rFonts w:eastAsiaTheme="minorHAnsi"/>
                <w:sz w:val="20"/>
                <w:lang w:val="en-CA"/>
              </w:rPr>
            </w:pPr>
            <w:r w:rsidRPr="005529E3">
              <w:rPr>
                <w:rFonts w:eastAsiaTheme="minorHAnsi"/>
                <w:sz w:val="20"/>
                <w:lang w:val="en-CA"/>
              </w:rPr>
              <w:t>(Campbell J.)</w:t>
            </w:r>
          </w:p>
          <w:p w:rsidR="005529E3" w:rsidRPr="005529E3" w:rsidRDefault="00480458" w:rsidP="005529E3">
            <w:pPr>
              <w:jc w:val="both"/>
              <w:rPr>
                <w:rFonts w:eastAsiaTheme="minorHAnsi"/>
                <w:sz w:val="20"/>
                <w:lang w:val="en-CA"/>
              </w:rPr>
            </w:pPr>
            <w:hyperlink r:id="rId104" w:history="1">
              <w:r w:rsidR="005529E3" w:rsidRPr="005529E3">
                <w:rPr>
                  <w:rFonts w:eastAsiaTheme="minorHAnsi"/>
                  <w:color w:val="0000FF" w:themeColor="hyperlink"/>
                  <w:sz w:val="20"/>
                  <w:u w:val="single"/>
                  <w:lang w:val="en-CA"/>
                </w:rPr>
                <w:t>2012  FC 804</w:t>
              </w:r>
            </w:hyperlink>
          </w:p>
          <w:p w:rsidR="005529E3" w:rsidRPr="005529E3" w:rsidRDefault="005529E3" w:rsidP="005529E3">
            <w:pPr>
              <w:jc w:val="both"/>
              <w:rPr>
                <w:rFonts w:eastAsiaTheme="minorHAnsi"/>
                <w:sz w:val="20"/>
                <w:lang w:val="en-CA"/>
              </w:rPr>
            </w:pPr>
          </w:p>
        </w:tc>
        <w:tc>
          <w:tcPr>
            <w:tcW w:w="243" w:type="pct"/>
          </w:tcPr>
          <w:p w:rsidR="005529E3" w:rsidRPr="005529E3" w:rsidRDefault="005529E3" w:rsidP="005529E3">
            <w:pPr>
              <w:jc w:val="both"/>
              <w:rPr>
                <w:rFonts w:eastAsiaTheme="minorHAnsi"/>
                <w:sz w:val="20"/>
                <w:lang w:val="en-CA"/>
              </w:rPr>
            </w:pPr>
          </w:p>
        </w:tc>
        <w:tc>
          <w:tcPr>
            <w:tcW w:w="2330" w:type="pct"/>
          </w:tcPr>
          <w:p w:rsidR="005529E3" w:rsidRPr="005529E3" w:rsidRDefault="005529E3" w:rsidP="005529E3">
            <w:pPr>
              <w:jc w:val="both"/>
              <w:rPr>
                <w:rFonts w:eastAsiaTheme="minorHAnsi"/>
                <w:sz w:val="20"/>
                <w:lang w:val="en-CA"/>
              </w:rPr>
            </w:pPr>
            <w:r w:rsidRPr="005529E3">
              <w:rPr>
                <w:rFonts w:eastAsiaTheme="minorHAnsi"/>
                <w:sz w:val="20"/>
                <w:lang w:val="en-CA"/>
              </w:rPr>
              <w:t>Application for judicial review allowed; arbitrator’s decision holding employer liable for unjust dismissal set aside</w:t>
            </w:r>
          </w:p>
          <w:p w:rsidR="005529E3" w:rsidRPr="005529E3" w:rsidRDefault="005529E3" w:rsidP="005529E3">
            <w:pPr>
              <w:jc w:val="both"/>
              <w:rPr>
                <w:rFonts w:eastAsiaTheme="minorHAnsi"/>
                <w:sz w:val="20"/>
                <w:lang w:val="en-CA"/>
              </w:rPr>
            </w:pPr>
          </w:p>
        </w:tc>
      </w:tr>
      <w:tr w:rsidR="005529E3" w:rsidRPr="005529E3" w:rsidTr="00193609">
        <w:tc>
          <w:tcPr>
            <w:tcW w:w="2427" w:type="pct"/>
            <w:gridSpan w:val="2"/>
          </w:tcPr>
          <w:p w:rsidR="005529E3" w:rsidRPr="005529E3" w:rsidRDefault="005529E3" w:rsidP="005529E3">
            <w:pPr>
              <w:jc w:val="both"/>
              <w:rPr>
                <w:rFonts w:eastAsiaTheme="minorHAnsi"/>
                <w:sz w:val="20"/>
                <w:lang w:val="en-CA"/>
              </w:rPr>
            </w:pPr>
            <w:r w:rsidRPr="005529E3">
              <w:rPr>
                <w:rFonts w:eastAsiaTheme="minorHAnsi"/>
                <w:sz w:val="20"/>
                <w:lang w:val="en-CA"/>
              </w:rPr>
              <w:t>March 4, 2015</w:t>
            </w:r>
          </w:p>
          <w:p w:rsidR="005529E3" w:rsidRPr="005529E3" w:rsidRDefault="005529E3" w:rsidP="005529E3">
            <w:pPr>
              <w:jc w:val="both"/>
              <w:rPr>
                <w:rFonts w:eastAsiaTheme="minorHAnsi"/>
                <w:sz w:val="20"/>
                <w:lang w:val="en-CA"/>
              </w:rPr>
            </w:pPr>
            <w:r w:rsidRPr="005529E3">
              <w:rPr>
                <w:rFonts w:eastAsiaTheme="minorHAnsi"/>
                <w:sz w:val="20"/>
                <w:lang w:val="en-CA"/>
              </w:rPr>
              <w:t>Federal Court of Appeal</w:t>
            </w:r>
          </w:p>
          <w:p w:rsidR="005529E3" w:rsidRPr="005529E3" w:rsidRDefault="005529E3" w:rsidP="005529E3">
            <w:pPr>
              <w:jc w:val="both"/>
              <w:rPr>
                <w:rFonts w:eastAsiaTheme="minorHAnsi"/>
                <w:sz w:val="20"/>
                <w:lang w:val="en-CA"/>
              </w:rPr>
            </w:pPr>
            <w:r w:rsidRPr="005529E3">
              <w:rPr>
                <w:rFonts w:eastAsiaTheme="minorHAnsi"/>
                <w:sz w:val="20"/>
                <w:lang w:val="en-CA"/>
              </w:rPr>
              <w:t>(Gauthier, Near and Scott JJ.A.)</w:t>
            </w:r>
          </w:p>
          <w:p w:rsidR="005529E3" w:rsidRPr="005529E3" w:rsidRDefault="00480458" w:rsidP="005529E3">
            <w:pPr>
              <w:jc w:val="both"/>
              <w:rPr>
                <w:rFonts w:eastAsiaTheme="minorHAnsi"/>
                <w:sz w:val="20"/>
                <w:lang w:val="en-CA"/>
              </w:rPr>
            </w:pPr>
            <w:hyperlink r:id="rId105" w:history="1">
              <w:r w:rsidR="005529E3" w:rsidRPr="005529E3">
                <w:rPr>
                  <w:rFonts w:eastAsiaTheme="minorHAnsi"/>
                  <w:color w:val="0000FF" w:themeColor="hyperlink"/>
                  <w:sz w:val="20"/>
                  <w:u w:val="single"/>
                  <w:lang w:val="en-CA"/>
                </w:rPr>
                <w:t>2015 FCA 62</w:t>
              </w:r>
            </w:hyperlink>
          </w:p>
          <w:p w:rsidR="005529E3" w:rsidRPr="005529E3" w:rsidRDefault="005529E3" w:rsidP="005529E3">
            <w:pPr>
              <w:jc w:val="both"/>
              <w:rPr>
                <w:rFonts w:eastAsiaTheme="minorHAnsi"/>
                <w:sz w:val="20"/>
                <w:lang w:val="en-CA"/>
              </w:rPr>
            </w:pPr>
          </w:p>
        </w:tc>
        <w:tc>
          <w:tcPr>
            <w:tcW w:w="243" w:type="pct"/>
          </w:tcPr>
          <w:p w:rsidR="005529E3" w:rsidRPr="005529E3" w:rsidRDefault="005529E3" w:rsidP="005529E3">
            <w:pPr>
              <w:jc w:val="both"/>
              <w:rPr>
                <w:rFonts w:eastAsiaTheme="minorHAnsi"/>
                <w:sz w:val="20"/>
                <w:lang w:val="en-CA"/>
              </w:rPr>
            </w:pPr>
          </w:p>
        </w:tc>
        <w:tc>
          <w:tcPr>
            <w:tcW w:w="2330" w:type="pct"/>
          </w:tcPr>
          <w:p w:rsidR="005529E3" w:rsidRPr="005529E3" w:rsidRDefault="005529E3" w:rsidP="005529E3">
            <w:pPr>
              <w:jc w:val="both"/>
              <w:rPr>
                <w:rFonts w:eastAsiaTheme="minorHAnsi"/>
                <w:sz w:val="20"/>
                <w:lang w:val="en-CA"/>
              </w:rPr>
            </w:pPr>
            <w:r w:rsidRPr="005529E3">
              <w:rPr>
                <w:rFonts w:eastAsiaTheme="minorHAnsi"/>
                <w:sz w:val="20"/>
                <w:lang w:val="en-CA"/>
              </w:rPr>
              <w:t>Appeal dismissed</w:t>
            </w:r>
          </w:p>
          <w:p w:rsidR="005529E3" w:rsidRPr="005529E3" w:rsidRDefault="005529E3" w:rsidP="005529E3">
            <w:pPr>
              <w:jc w:val="both"/>
              <w:rPr>
                <w:rFonts w:eastAsiaTheme="minorHAnsi"/>
                <w:sz w:val="20"/>
                <w:lang w:val="en-CA"/>
              </w:rPr>
            </w:pPr>
          </w:p>
        </w:tc>
      </w:tr>
      <w:tr w:rsidR="005529E3" w:rsidRPr="005529E3" w:rsidTr="00193609">
        <w:tc>
          <w:tcPr>
            <w:tcW w:w="2427" w:type="pct"/>
            <w:gridSpan w:val="2"/>
          </w:tcPr>
          <w:p w:rsidR="005529E3" w:rsidRPr="005529E3" w:rsidRDefault="005529E3" w:rsidP="005529E3">
            <w:pPr>
              <w:jc w:val="both"/>
              <w:rPr>
                <w:rFonts w:eastAsiaTheme="minorHAnsi"/>
                <w:sz w:val="20"/>
                <w:lang w:val="en-CA"/>
              </w:rPr>
            </w:pPr>
            <w:r w:rsidRPr="005529E3">
              <w:rPr>
                <w:rFonts w:eastAsiaTheme="minorHAnsi"/>
                <w:sz w:val="20"/>
                <w:lang w:val="en-CA"/>
              </w:rPr>
              <w:t>May 4, 2015</w:t>
            </w:r>
          </w:p>
          <w:p w:rsidR="005529E3" w:rsidRPr="005529E3" w:rsidRDefault="005529E3" w:rsidP="005529E3">
            <w:pPr>
              <w:jc w:val="both"/>
              <w:rPr>
                <w:rFonts w:eastAsiaTheme="minorHAnsi"/>
                <w:sz w:val="20"/>
                <w:lang w:val="en-CA"/>
              </w:rPr>
            </w:pPr>
            <w:r w:rsidRPr="005529E3">
              <w:rPr>
                <w:rFonts w:eastAsiaTheme="minorHAnsi"/>
                <w:sz w:val="20"/>
                <w:lang w:val="en-CA"/>
              </w:rPr>
              <w:t>Supreme Court of Canada</w:t>
            </w:r>
          </w:p>
          <w:p w:rsidR="005529E3" w:rsidRPr="005529E3" w:rsidRDefault="005529E3" w:rsidP="005529E3">
            <w:pPr>
              <w:jc w:val="both"/>
              <w:rPr>
                <w:rFonts w:eastAsiaTheme="minorHAnsi"/>
                <w:sz w:val="20"/>
                <w:lang w:val="en-CA"/>
              </w:rPr>
            </w:pPr>
          </w:p>
        </w:tc>
        <w:tc>
          <w:tcPr>
            <w:tcW w:w="243" w:type="pct"/>
          </w:tcPr>
          <w:p w:rsidR="005529E3" w:rsidRPr="005529E3" w:rsidRDefault="005529E3" w:rsidP="005529E3">
            <w:pPr>
              <w:jc w:val="both"/>
              <w:rPr>
                <w:rFonts w:eastAsiaTheme="minorHAnsi"/>
                <w:sz w:val="20"/>
                <w:lang w:val="en-CA"/>
              </w:rPr>
            </w:pPr>
          </w:p>
        </w:tc>
        <w:tc>
          <w:tcPr>
            <w:tcW w:w="2330" w:type="pct"/>
          </w:tcPr>
          <w:p w:rsidR="005529E3" w:rsidRPr="005529E3" w:rsidRDefault="005529E3" w:rsidP="005529E3">
            <w:pPr>
              <w:jc w:val="both"/>
              <w:rPr>
                <w:rFonts w:eastAsiaTheme="minorHAnsi"/>
                <w:sz w:val="20"/>
                <w:lang w:val="en-CA"/>
              </w:rPr>
            </w:pPr>
            <w:r w:rsidRPr="005529E3">
              <w:rPr>
                <w:rFonts w:eastAsiaTheme="minorHAnsi"/>
                <w:sz w:val="20"/>
                <w:lang w:val="en-CA"/>
              </w:rPr>
              <w:t>Application for leave to appeal filed</w:t>
            </w:r>
          </w:p>
          <w:p w:rsidR="005529E3" w:rsidRPr="005529E3" w:rsidRDefault="005529E3" w:rsidP="005529E3">
            <w:pPr>
              <w:jc w:val="both"/>
              <w:rPr>
                <w:rFonts w:eastAsiaTheme="minorHAnsi"/>
                <w:sz w:val="20"/>
                <w:lang w:val="en-CA"/>
              </w:rPr>
            </w:pPr>
          </w:p>
        </w:tc>
      </w:tr>
    </w:tbl>
    <w:p w:rsidR="005529E3" w:rsidRPr="005529E3" w:rsidRDefault="005529E3" w:rsidP="005529E3">
      <w:pPr>
        <w:jc w:val="both"/>
        <w:rPr>
          <w:rFonts w:eastAsiaTheme="minorHAns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529E3" w:rsidRPr="005529E3" w:rsidTr="005529E3">
        <w:tc>
          <w:tcPr>
            <w:tcW w:w="543" w:type="pct"/>
            <w:hideMark/>
          </w:tcPr>
          <w:p w:rsidR="005529E3" w:rsidRPr="005529E3" w:rsidRDefault="005529E3" w:rsidP="005529E3">
            <w:pPr>
              <w:spacing w:line="276" w:lineRule="auto"/>
              <w:jc w:val="both"/>
              <w:rPr>
                <w:rFonts w:eastAsia="Calibri"/>
                <w:sz w:val="20"/>
                <w:lang w:val="fr-CA"/>
              </w:rPr>
            </w:pPr>
            <w:r w:rsidRPr="005529E3">
              <w:rPr>
                <w:rFonts w:eastAsia="Calibri"/>
                <w:b/>
                <w:sz w:val="20"/>
                <w:lang w:val="fr-CA"/>
              </w:rPr>
              <w:t>36420</w:t>
            </w:r>
          </w:p>
        </w:tc>
        <w:tc>
          <w:tcPr>
            <w:tcW w:w="4457" w:type="pct"/>
            <w:gridSpan w:val="3"/>
            <w:hideMark/>
          </w:tcPr>
          <w:p w:rsidR="005529E3" w:rsidRPr="005529E3" w:rsidRDefault="005529E3" w:rsidP="005529E3">
            <w:pPr>
              <w:spacing w:line="276" w:lineRule="auto"/>
              <w:jc w:val="both"/>
              <w:rPr>
                <w:rFonts w:eastAsia="Calibri"/>
                <w:b/>
                <w:sz w:val="20"/>
              </w:rPr>
            </w:pPr>
            <w:r w:rsidRPr="005529E3">
              <w:rPr>
                <w:rFonts w:eastAsia="Calibri"/>
                <w:b/>
                <w:sz w:val="20"/>
              </w:rPr>
              <w:t>Peter Donaldson c. Western Grain By-Products Storage Ltd.</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(CF) (Civile) (Sur autorisation)</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r w:rsidRPr="005529E3">
              <w:rPr>
                <w:rFonts w:eastAsia="Calibri"/>
                <w:sz w:val="20"/>
                <w:lang w:val="fr-CA"/>
              </w:rPr>
              <w:t>Droit de l’emploi – Congédiement injustifié – Droit administratif – Contrôle judiciaire – Norme de contrôle – La Cour d’appel fédérale a-t-elle identifié la bonne norme de contrôle et l’a-t-elle appliqué correctement? – La Cour d’appel fédérale a-t-elle eu tort de conclure que la décision de l’arbitre était déraisonnable? – La Cour d’appel fédérale a-t-elle eu tort de conclure qu’un employeur a le droit de demander des renseignements médicaux liés au bien-être général d’un employé?</w:t>
            </w: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p>
        </w:tc>
      </w:tr>
      <w:tr w:rsidR="005529E3" w:rsidRPr="005529E3" w:rsidTr="005529E3">
        <w:tc>
          <w:tcPr>
            <w:tcW w:w="5000" w:type="pct"/>
            <w:gridSpan w:val="4"/>
          </w:tcPr>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Le demandeur travaillait au terminal céréalier de l’intimée à </w:t>
            </w:r>
            <w:proofErr w:type="spellStart"/>
            <w:r w:rsidRPr="005529E3">
              <w:rPr>
                <w:rFonts w:eastAsia="Calibri"/>
                <w:sz w:val="20"/>
                <w:lang w:val="fr-CA"/>
              </w:rPr>
              <w:t>Thunder</w:t>
            </w:r>
            <w:proofErr w:type="spellEnd"/>
            <w:r w:rsidRPr="005529E3">
              <w:rPr>
                <w:rFonts w:eastAsia="Calibri"/>
                <w:sz w:val="20"/>
                <w:lang w:val="fr-CA"/>
              </w:rPr>
              <w:t xml:space="preserve"> </w:t>
            </w:r>
            <w:proofErr w:type="spellStart"/>
            <w:r w:rsidRPr="005529E3">
              <w:rPr>
                <w:rFonts w:eastAsia="Calibri"/>
                <w:sz w:val="20"/>
                <w:lang w:val="fr-CA"/>
              </w:rPr>
              <w:t>Bay</w:t>
            </w:r>
            <w:proofErr w:type="spellEnd"/>
            <w:r w:rsidRPr="005529E3">
              <w:rPr>
                <w:rFonts w:eastAsia="Calibri"/>
                <w:sz w:val="20"/>
                <w:lang w:val="fr-CA"/>
              </w:rPr>
              <w:t xml:space="preserve"> (Ontario) depuis environ 20 ans. En mai 2007, il a quitté le travail, malade, se plaignant de douleurs abdominales et de vomissements, et il a été hospitalisé pendant 10 jours. Il a informé l’intimée que son médecin lui avait dit qu’il ne pouvait pas revenir au travail en raison de problèmes de santé. Il a présenté une demande à la Commission de la sécurité professionnelle et de l’assurance contre les accidents du travail, affirmant que ses symptômes ont pu résulter d’une réaction toxique à la poussière de grains. Lorsqu’il a appris que sa demande avait été rejetée, le demandeur s’est rendu au travail avec un billet manuscrit de deux lignes de son médecin de famille, indiquant que [</w:t>
            </w:r>
            <w:r w:rsidRPr="005529E3">
              <w:rPr>
                <w:rFonts w:eastAsia="Calibri"/>
                <w:smallCaps/>
                <w:sz w:val="20"/>
                <w:lang w:val="fr-CA"/>
              </w:rPr>
              <w:t>traduction</w:t>
            </w:r>
            <w:r w:rsidRPr="005529E3">
              <w:rPr>
                <w:rFonts w:eastAsia="Calibri"/>
                <w:sz w:val="20"/>
                <w:lang w:val="fr-CA"/>
              </w:rPr>
              <w:t xml:space="preserve">] « M. Donaldson est maintenant apte à réintégrer son emploi auprès de Western Grain ». Le dirigeant de l’intimée lui a fait savoir qu’il ne pouvait pas revenir travailler tant qu’il ne présentait pas un billet de médecin plus détaillé au sujet de son degré d’aptitude par rapport à ses fonctions et au milieu de travail. Environ une semaine plus tard, le demandeur était l’un des cinq employés mis en disponibilité en raison d’une saison de transport maritime ralenti. </w:t>
            </w:r>
          </w:p>
          <w:p w:rsidR="005529E3" w:rsidRPr="005529E3" w:rsidRDefault="005529E3" w:rsidP="005529E3">
            <w:pPr>
              <w:spacing w:line="276" w:lineRule="auto"/>
              <w:jc w:val="both"/>
              <w:rPr>
                <w:rFonts w:eastAsia="Calibri"/>
                <w:sz w:val="20"/>
                <w:lang w:val="fr-CA"/>
              </w:rPr>
            </w:pPr>
          </w:p>
          <w:p w:rsidR="005529E3" w:rsidRPr="005529E3" w:rsidRDefault="005529E3" w:rsidP="005529E3">
            <w:pPr>
              <w:spacing w:line="276" w:lineRule="auto"/>
              <w:jc w:val="both"/>
              <w:rPr>
                <w:rFonts w:eastAsia="Calibri"/>
                <w:sz w:val="20"/>
                <w:lang w:val="fr-CA"/>
              </w:rPr>
            </w:pPr>
            <w:r w:rsidRPr="005529E3">
              <w:rPr>
                <w:rFonts w:eastAsia="Calibri"/>
                <w:sz w:val="20"/>
                <w:lang w:val="fr-CA"/>
              </w:rPr>
              <w:t xml:space="preserve">Le demandeur a déposé une plainte à Ressources humaines et Développement social Canada, alléguant avoir été injustement congédié. Un arbitre nommé en application de la Section XIV du </w:t>
            </w:r>
            <w:r w:rsidRPr="005529E3">
              <w:rPr>
                <w:rFonts w:eastAsia="Calibri"/>
                <w:i/>
                <w:sz w:val="20"/>
                <w:lang w:val="fr-CA"/>
              </w:rPr>
              <w:t>Code canadien du travail</w:t>
            </w:r>
            <w:r w:rsidRPr="005529E3">
              <w:rPr>
                <w:rFonts w:eastAsia="Calibri"/>
                <w:sz w:val="20"/>
                <w:lang w:val="fr-CA"/>
              </w:rPr>
              <w:t>, L.R.C. 1985, ch. L-2 a tenu l’intimée responsable de congédiement déguisé injustifié. La Cour fédérale a accueilli la demande de contrôle judiciaire présentée par l’intimée, statuant que la décision de l’arbitre était déraisonnable et qu’elle devait être annulée. La Cour d’appel fédérale s’est dite d’accord et a rejeté l’appel.</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t>21 juin 2012</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fédérale</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(Juge Campbell)</w:t>
            </w:r>
          </w:p>
          <w:p w:rsidR="005529E3" w:rsidRPr="005529E3" w:rsidRDefault="00480458" w:rsidP="005529E3">
            <w:pPr>
              <w:spacing w:line="276" w:lineRule="auto"/>
              <w:jc w:val="both"/>
              <w:rPr>
                <w:rFonts w:eastAsia="Calibri"/>
                <w:sz w:val="20"/>
                <w:lang w:val="fr-CA"/>
              </w:rPr>
            </w:pPr>
            <w:hyperlink r:id="rId106" w:history="1">
              <w:r w:rsidR="005529E3" w:rsidRPr="005529E3">
                <w:rPr>
                  <w:rFonts w:eastAsia="Calibri"/>
                  <w:color w:val="0000FF" w:themeColor="hyperlink"/>
                  <w:sz w:val="20"/>
                  <w:u w:val="single"/>
                  <w:lang w:val="fr-CA"/>
                </w:rPr>
                <w:t>2012  FC 804</w:t>
              </w:r>
            </w:hyperlink>
          </w:p>
          <w:p w:rsidR="005529E3" w:rsidRPr="005529E3" w:rsidRDefault="005529E3" w:rsidP="005529E3">
            <w:pPr>
              <w:spacing w:line="276" w:lineRule="auto"/>
              <w:jc w:val="both"/>
              <w:rPr>
                <w:rFonts w:eastAsia="Calibri"/>
                <w:sz w:val="20"/>
                <w:lang w:val="fr-CA"/>
              </w:rPr>
            </w:pP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Jugement accueillant la demande de contrôle judiciaire; annulation de la décision de l’arbitre tenant l’employeur responsable de congédiement injustifié</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lastRenderedPageBreak/>
              <w:t>4 mars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d’appel fédérale</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(Juges Gauthier, Near et Scott)</w:t>
            </w:r>
          </w:p>
          <w:p w:rsidR="005529E3" w:rsidRPr="005529E3" w:rsidRDefault="00480458" w:rsidP="005529E3">
            <w:pPr>
              <w:spacing w:line="276" w:lineRule="auto"/>
              <w:jc w:val="both"/>
              <w:rPr>
                <w:rFonts w:eastAsia="Calibri"/>
                <w:sz w:val="20"/>
                <w:lang w:val="fr-CA"/>
              </w:rPr>
            </w:pPr>
            <w:hyperlink r:id="rId107" w:history="1">
              <w:r w:rsidR="005529E3" w:rsidRPr="005529E3">
                <w:rPr>
                  <w:rFonts w:eastAsia="Calibri"/>
                  <w:color w:val="0000FF" w:themeColor="hyperlink"/>
                  <w:sz w:val="20"/>
                  <w:u w:val="single"/>
                  <w:lang w:val="fr-CA"/>
                </w:rPr>
                <w:t>2015 FCA 62</w:t>
              </w:r>
            </w:hyperlink>
          </w:p>
          <w:p w:rsidR="005529E3" w:rsidRPr="005529E3" w:rsidRDefault="005529E3" w:rsidP="005529E3">
            <w:pPr>
              <w:spacing w:line="276" w:lineRule="auto"/>
              <w:jc w:val="both"/>
              <w:rPr>
                <w:rFonts w:eastAsia="Calibri"/>
                <w:sz w:val="20"/>
                <w:lang w:val="fr-CA"/>
              </w:rPr>
            </w:pP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Rejet de l’appel</w:t>
            </w:r>
          </w:p>
          <w:p w:rsidR="005529E3" w:rsidRPr="005529E3" w:rsidRDefault="005529E3" w:rsidP="005529E3">
            <w:pPr>
              <w:spacing w:line="276" w:lineRule="auto"/>
              <w:jc w:val="both"/>
              <w:rPr>
                <w:rFonts w:eastAsia="Calibri"/>
                <w:sz w:val="20"/>
                <w:lang w:val="fr-CA"/>
              </w:rPr>
            </w:pPr>
          </w:p>
        </w:tc>
      </w:tr>
      <w:tr w:rsidR="005529E3" w:rsidRPr="005529E3" w:rsidTr="005529E3">
        <w:tc>
          <w:tcPr>
            <w:tcW w:w="2427" w:type="pct"/>
            <w:gridSpan w:val="2"/>
          </w:tcPr>
          <w:p w:rsidR="005529E3" w:rsidRPr="005529E3" w:rsidRDefault="005529E3" w:rsidP="005529E3">
            <w:pPr>
              <w:spacing w:line="276" w:lineRule="auto"/>
              <w:jc w:val="both"/>
              <w:rPr>
                <w:rFonts w:eastAsia="Calibri"/>
                <w:sz w:val="20"/>
                <w:lang w:val="fr-CA"/>
              </w:rPr>
            </w:pPr>
            <w:r w:rsidRPr="005529E3">
              <w:rPr>
                <w:rFonts w:eastAsia="Calibri"/>
                <w:sz w:val="20"/>
                <w:lang w:val="fr-CA"/>
              </w:rPr>
              <w:t>4 mai 2015</w:t>
            </w:r>
          </w:p>
          <w:p w:rsidR="005529E3" w:rsidRPr="005529E3" w:rsidRDefault="005529E3" w:rsidP="005529E3">
            <w:pPr>
              <w:spacing w:line="276" w:lineRule="auto"/>
              <w:jc w:val="both"/>
              <w:rPr>
                <w:rFonts w:eastAsia="Calibri"/>
                <w:sz w:val="20"/>
                <w:lang w:val="fr-CA"/>
              </w:rPr>
            </w:pPr>
            <w:r w:rsidRPr="005529E3">
              <w:rPr>
                <w:rFonts w:eastAsia="Calibri"/>
                <w:sz w:val="20"/>
                <w:lang w:val="fr-CA"/>
              </w:rPr>
              <w:t>Cour suprême du Canada</w:t>
            </w:r>
          </w:p>
          <w:p w:rsidR="005529E3" w:rsidRPr="005529E3" w:rsidRDefault="005529E3" w:rsidP="005529E3">
            <w:pPr>
              <w:spacing w:line="276" w:lineRule="auto"/>
              <w:jc w:val="both"/>
              <w:rPr>
                <w:rFonts w:eastAsia="Calibri"/>
                <w:sz w:val="20"/>
                <w:lang w:val="fr-CA"/>
              </w:rPr>
            </w:pPr>
          </w:p>
        </w:tc>
        <w:tc>
          <w:tcPr>
            <w:tcW w:w="243" w:type="pct"/>
          </w:tcPr>
          <w:p w:rsidR="005529E3" w:rsidRPr="005529E3" w:rsidRDefault="005529E3" w:rsidP="005529E3">
            <w:pPr>
              <w:spacing w:line="276" w:lineRule="auto"/>
              <w:jc w:val="both"/>
              <w:rPr>
                <w:rFonts w:eastAsia="Calibri"/>
                <w:sz w:val="20"/>
                <w:lang w:val="fr-CA"/>
              </w:rPr>
            </w:pPr>
          </w:p>
        </w:tc>
        <w:tc>
          <w:tcPr>
            <w:tcW w:w="2330" w:type="pct"/>
          </w:tcPr>
          <w:p w:rsidR="005529E3" w:rsidRPr="005529E3" w:rsidRDefault="005529E3" w:rsidP="005529E3">
            <w:pPr>
              <w:spacing w:line="276" w:lineRule="auto"/>
              <w:jc w:val="both"/>
              <w:rPr>
                <w:rFonts w:eastAsia="Calibri"/>
                <w:sz w:val="20"/>
                <w:lang w:val="fr-CA"/>
              </w:rPr>
            </w:pPr>
            <w:r w:rsidRPr="005529E3">
              <w:rPr>
                <w:rFonts w:eastAsia="Calibri"/>
                <w:sz w:val="20"/>
                <w:lang w:val="fr-CA"/>
              </w:rPr>
              <w:t>Dépôt de la demande d’autorisation d’appel</w:t>
            </w:r>
          </w:p>
          <w:p w:rsidR="005529E3" w:rsidRPr="005529E3" w:rsidRDefault="005529E3" w:rsidP="005529E3">
            <w:pPr>
              <w:spacing w:line="276" w:lineRule="auto"/>
              <w:jc w:val="both"/>
              <w:rPr>
                <w:rFonts w:eastAsia="Calibri"/>
                <w:sz w:val="20"/>
                <w:lang w:val="fr-CA"/>
              </w:rPr>
            </w:pPr>
          </w:p>
        </w:tc>
      </w:tr>
    </w:tbl>
    <w:p w:rsidR="00D9725B" w:rsidRDefault="00D9725B" w:rsidP="00E14D31">
      <w:pPr>
        <w:ind w:left="360" w:hanging="360"/>
        <w:rPr>
          <w:sz w:val="20"/>
          <w:lang w:val="fr-CA"/>
        </w:rPr>
      </w:pPr>
    </w:p>
    <w:p w:rsidR="00ED66D3" w:rsidRPr="005529E3" w:rsidRDefault="00ED66D3" w:rsidP="00E14D31">
      <w:pPr>
        <w:ind w:left="360" w:hanging="360"/>
        <w:rPr>
          <w:sz w:val="20"/>
          <w:lang w:val="fr-CA"/>
        </w:rPr>
      </w:pPr>
    </w:p>
    <w:p w:rsidR="009550BB" w:rsidRPr="005529E3" w:rsidRDefault="009550BB" w:rsidP="009550BB">
      <w:pPr>
        <w:ind w:left="360" w:hanging="360"/>
        <w:jc w:val="both"/>
        <w:rPr>
          <w:sz w:val="20"/>
          <w:lang w:val="fr-CA"/>
        </w:rPr>
      </w:pPr>
    </w:p>
    <w:p w:rsidR="00D3344A" w:rsidRPr="004B4D42" w:rsidRDefault="00D3344A" w:rsidP="00D3344A">
      <w:pPr>
        <w:widowControl w:val="0"/>
        <w:outlineLvl w:val="0"/>
      </w:pPr>
      <w:r w:rsidRPr="004B4D42">
        <w:t xml:space="preserve">Supreme Court of Canada / Cour </w:t>
      </w:r>
      <w:proofErr w:type="spellStart"/>
      <w:r w:rsidRPr="004B4D42">
        <w:t>suprême</w:t>
      </w:r>
      <w:proofErr w:type="spellEnd"/>
      <w:r w:rsidRPr="004B4D42">
        <w:t xml:space="preserve"> du Canada : </w:t>
      </w:r>
    </w:p>
    <w:p w:rsidR="00D3344A" w:rsidRPr="004B4D42" w:rsidRDefault="00480458" w:rsidP="00D3344A">
      <w:pPr>
        <w:widowControl w:val="0"/>
        <w:outlineLvl w:val="0"/>
        <w:rPr>
          <w:u w:val="single"/>
        </w:rPr>
      </w:pPr>
      <w:hyperlink r:id="rId108"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F6251B" w:rsidRPr="004B4D42" w:rsidRDefault="00F6251B" w:rsidP="005C1453">
      <w:pPr>
        <w:pStyle w:val="Footer"/>
        <w:ind w:left="2160"/>
        <w:rPr>
          <w:sz w:val="20"/>
          <w:lang w:val="fr-CA"/>
        </w:rPr>
      </w:pPr>
      <w:r w:rsidRPr="004B4D42">
        <w:rPr>
          <w:color w:val="A6A6A6"/>
          <w:sz w:val="16"/>
          <w:szCs w:val="16"/>
          <w:lang w:val="fr-CA"/>
        </w:rPr>
        <w:t xml:space="preserve"> </w:t>
      </w:r>
    </w:p>
    <w:sectPr w:rsidR="00F6251B" w:rsidRPr="004B4D42" w:rsidSect="00524822">
      <w:headerReference w:type="even" r:id="rId109"/>
      <w:headerReference w:type="default" r:id="rId110"/>
      <w:footerReference w:type="even" r:id="rId111"/>
      <w:footerReference w:type="default" r:id="rId112"/>
      <w:headerReference w:type="first" r:id="rId113"/>
      <w:footerReference w:type="first" r:id="rId11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09" w:rsidRDefault="00193609" w:rsidP="0034178A">
      <w:r>
        <w:separator/>
      </w:r>
    </w:p>
  </w:endnote>
  <w:endnote w:type="continuationSeparator" w:id="0">
    <w:p w:rsidR="00193609" w:rsidRDefault="00193609"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B7" w:rsidRDefault="00850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09" w:rsidRPr="00EF33BF" w:rsidRDefault="00193609"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B7" w:rsidRDefault="0085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09" w:rsidRDefault="00193609" w:rsidP="0034178A">
      <w:r>
        <w:separator/>
      </w:r>
    </w:p>
  </w:footnote>
  <w:footnote w:type="continuationSeparator" w:id="0">
    <w:p w:rsidR="00193609" w:rsidRDefault="00193609"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B7" w:rsidRDefault="00850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B7" w:rsidRDefault="00850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B7" w:rsidRDefault="00850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3B7"/>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02B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3609"/>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376"/>
    <w:rsid w:val="00227A81"/>
    <w:rsid w:val="00231427"/>
    <w:rsid w:val="00231B27"/>
    <w:rsid w:val="00233057"/>
    <w:rsid w:val="00234A3D"/>
    <w:rsid w:val="00235ACB"/>
    <w:rsid w:val="00236EEA"/>
    <w:rsid w:val="002407C6"/>
    <w:rsid w:val="00241714"/>
    <w:rsid w:val="00243D06"/>
    <w:rsid w:val="00244CDD"/>
    <w:rsid w:val="00245302"/>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957"/>
    <w:rsid w:val="003E7471"/>
    <w:rsid w:val="003E7F59"/>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841"/>
    <w:rsid w:val="00423732"/>
    <w:rsid w:val="00425B31"/>
    <w:rsid w:val="00426976"/>
    <w:rsid w:val="00427722"/>
    <w:rsid w:val="00427F4F"/>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1097"/>
    <w:rsid w:val="00463A9F"/>
    <w:rsid w:val="00463CEF"/>
    <w:rsid w:val="00463DEF"/>
    <w:rsid w:val="00464FEE"/>
    <w:rsid w:val="004672B7"/>
    <w:rsid w:val="00467391"/>
    <w:rsid w:val="004706A0"/>
    <w:rsid w:val="00472190"/>
    <w:rsid w:val="004724BF"/>
    <w:rsid w:val="00472695"/>
    <w:rsid w:val="00474D9B"/>
    <w:rsid w:val="004775E8"/>
    <w:rsid w:val="0048045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29E3"/>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F4197"/>
    <w:rsid w:val="005F4C67"/>
    <w:rsid w:val="005F5163"/>
    <w:rsid w:val="005F52C6"/>
    <w:rsid w:val="006067DB"/>
    <w:rsid w:val="00606DEF"/>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03A0"/>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F01"/>
    <w:rsid w:val="007F155F"/>
    <w:rsid w:val="007F22ED"/>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05B7"/>
    <w:rsid w:val="0085127E"/>
    <w:rsid w:val="008517C6"/>
    <w:rsid w:val="00852898"/>
    <w:rsid w:val="008534CC"/>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561D"/>
    <w:rsid w:val="008C62EC"/>
    <w:rsid w:val="008D0BE4"/>
    <w:rsid w:val="008D19DB"/>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1B38"/>
    <w:rsid w:val="009C205F"/>
    <w:rsid w:val="009C21EE"/>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5355"/>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66EC5"/>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3B29"/>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9725B"/>
    <w:rsid w:val="00DA17B0"/>
    <w:rsid w:val="00DA2C00"/>
    <w:rsid w:val="00DA33EC"/>
    <w:rsid w:val="00DA3F09"/>
    <w:rsid w:val="00DA5E1F"/>
    <w:rsid w:val="00DA6D82"/>
    <w:rsid w:val="00DB0023"/>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2B62"/>
    <w:rsid w:val="00E841D8"/>
    <w:rsid w:val="00E858D9"/>
    <w:rsid w:val="00E85DC1"/>
    <w:rsid w:val="00E862F4"/>
    <w:rsid w:val="00E9032B"/>
    <w:rsid w:val="00E90B5E"/>
    <w:rsid w:val="00E92DE1"/>
    <w:rsid w:val="00E93717"/>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D66D3"/>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26C6"/>
    <w:rsid w:val="00F63405"/>
    <w:rsid w:val="00F64156"/>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033">
      <w:bodyDiv w:val="1"/>
      <w:marLeft w:val="0"/>
      <w:marRight w:val="0"/>
      <w:marTop w:val="0"/>
      <w:marBottom w:val="0"/>
      <w:divBdr>
        <w:top w:val="none" w:sz="0" w:space="0" w:color="auto"/>
        <w:left w:val="none" w:sz="0" w:space="0" w:color="auto"/>
        <w:bottom w:val="none" w:sz="0" w:space="0" w:color="auto"/>
        <w:right w:val="none" w:sz="0" w:space="0" w:color="auto"/>
      </w:divBdr>
    </w:div>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29578882">
      <w:bodyDiv w:val="1"/>
      <w:marLeft w:val="0"/>
      <w:marRight w:val="0"/>
      <w:marTop w:val="0"/>
      <w:marBottom w:val="0"/>
      <w:divBdr>
        <w:top w:val="none" w:sz="0" w:space="0" w:color="auto"/>
        <w:left w:val="none" w:sz="0" w:space="0" w:color="auto"/>
        <w:bottom w:val="none" w:sz="0" w:space="0" w:color="auto"/>
        <w:right w:val="none" w:sz="0" w:space="0" w:color="auto"/>
      </w:divBdr>
    </w:div>
    <w:div w:id="3135107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50622604">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7106490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71979502">
      <w:bodyDiv w:val="1"/>
      <w:marLeft w:val="0"/>
      <w:marRight w:val="0"/>
      <w:marTop w:val="0"/>
      <w:marBottom w:val="0"/>
      <w:divBdr>
        <w:top w:val="none" w:sz="0" w:space="0" w:color="auto"/>
        <w:left w:val="none" w:sz="0" w:space="0" w:color="auto"/>
        <w:bottom w:val="none" w:sz="0" w:space="0" w:color="auto"/>
        <w:right w:val="none" w:sz="0" w:space="0" w:color="auto"/>
      </w:divBdr>
    </w:div>
    <w:div w:id="312872124">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83721966">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47431850">
      <w:bodyDiv w:val="1"/>
      <w:marLeft w:val="0"/>
      <w:marRight w:val="0"/>
      <w:marTop w:val="0"/>
      <w:marBottom w:val="0"/>
      <w:divBdr>
        <w:top w:val="none" w:sz="0" w:space="0" w:color="auto"/>
        <w:left w:val="none" w:sz="0" w:space="0" w:color="auto"/>
        <w:bottom w:val="none" w:sz="0" w:space="0" w:color="auto"/>
        <w:right w:val="none" w:sz="0" w:space="0" w:color="auto"/>
      </w:divBdr>
    </w:div>
    <w:div w:id="450438337">
      <w:bodyDiv w:val="1"/>
      <w:marLeft w:val="0"/>
      <w:marRight w:val="0"/>
      <w:marTop w:val="0"/>
      <w:marBottom w:val="0"/>
      <w:divBdr>
        <w:top w:val="none" w:sz="0" w:space="0" w:color="auto"/>
        <w:left w:val="none" w:sz="0" w:space="0" w:color="auto"/>
        <w:bottom w:val="none" w:sz="0" w:space="0" w:color="auto"/>
        <w:right w:val="none" w:sz="0" w:space="0" w:color="auto"/>
      </w:divBdr>
    </w:div>
    <w:div w:id="451437709">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89711537">
      <w:bodyDiv w:val="1"/>
      <w:marLeft w:val="0"/>
      <w:marRight w:val="0"/>
      <w:marTop w:val="0"/>
      <w:marBottom w:val="0"/>
      <w:divBdr>
        <w:top w:val="none" w:sz="0" w:space="0" w:color="auto"/>
        <w:left w:val="none" w:sz="0" w:space="0" w:color="auto"/>
        <w:bottom w:val="none" w:sz="0" w:space="0" w:color="auto"/>
        <w:right w:val="none" w:sz="0" w:space="0" w:color="auto"/>
      </w:divBdr>
    </w:div>
    <w:div w:id="509952165">
      <w:bodyDiv w:val="1"/>
      <w:marLeft w:val="0"/>
      <w:marRight w:val="0"/>
      <w:marTop w:val="0"/>
      <w:marBottom w:val="0"/>
      <w:divBdr>
        <w:top w:val="none" w:sz="0" w:space="0" w:color="auto"/>
        <w:left w:val="none" w:sz="0" w:space="0" w:color="auto"/>
        <w:bottom w:val="none" w:sz="0" w:space="0" w:color="auto"/>
        <w:right w:val="none" w:sz="0" w:space="0" w:color="auto"/>
      </w:divBdr>
    </w:div>
    <w:div w:id="567309145">
      <w:bodyDiv w:val="1"/>
      <w:marLeft w:val="0"/>
      <w:marRight w:val="0"/>
      <w:marTop w:val="0"/>
      <w:marBottom w:val="0"/>
      <w:divBdr>
        <w:top w:val="none" w:sz="0" w:space="0" w:color="auto"/>
        <w:left w:val="none" w:sz="0" w:space="0" w:color="auto"/>
        <w:bottom w:val="none" w:sz="0" w:space="0" w:color="auto"/>
        <w:right w:val="none" w:sz="0" w:space="0" w:color="auto"/>
      </w:divBdr>
    </w:div>
    <w:div w:id="582838344">
      <w:bodyDiv w:val="1"/>
      <w:marLeft w:val="0"/>
      <w:marRight w:val="0"/>
      <w:marTop w:val="0"/>
      <w:marBottom w:val="0"/>
      <w:divBdr>
        <w:top w:val="none" w:sz="0" w:space="0" w:color="auto"/>
        <w:left w:val="none" w:sz="0" w:space="0" w:color="auto"/>
        <w:bottom w:val="none" w:sz="0" w:space="0" w:color="auto"/>
        <w:right w:val="none" w:sz="0" w:space="0" w:color="auto"/>
      </w:divBdr>
    </w:div>
    <w:div w:id="601036891">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9167506">
      <w:bodyDiv w:val="1"/>
      <w:marLeft w:val="0"/>
      <w:marRight w:val="0"/>
      <w:marTop w:val="0"/>
      <w:marBottom w:val="0"/>
      <w:divBdr>
        <w:top w:val="none" w:sz="0" w:space="0" w:color="auto"/>
        <w:left w:val="none" w:sz="0" w:space="0" w:color="auto"/>
        <w:bottom w:val="none" w:sz="0" w:space="0" w:color="auto"/>
        <w:right w:val="none" w:sz="0" w:space="0" w:color="auto"/>
      </w:divBdr>
    </w:div>
    <w:div w:id="632446405">
      <w:bodyDiv w:val="1"/>
      <w:marLeft w:val="0"/>
      <w:marRight w:val="0"/>
      <w:marTop w:val="0"/>
      <w:marBottom w:val="0"/>
      <w:divBdr>
        <w:top w:val="none" w:sz="0" w:space="0" w:color="auto"/>
        <w:left w:val="none" w:sz="0" w:space="0" w:color="auto"/>
        <w:bottom w:val="none" w:sz="0" w:space="0" w:color="auto"/>
        <w:right w:val="none" w:sz="0" w:space="0" w:color="auto"/>
      </w:divBdr>
    </w:div>
    <w:div w:id="636421740">
      <w:bodyDiv w:val="1"/>
      <w:marLeft w:val="0"/>
      <w:marRight w:val="0"/>
      <w:marTop w:val="0"/>
      <w:marBottom w:val="0"/>
      <w:divBdr>
        <w:top w:val="none" w:sz="0" w:space="0" w:color="auto"/>
        <w:left w:val="none" w:sz="0" w:space="0" w:color="auto"/>
        <w:bottom w:val="none" w:sz="0" w:space="0" w:color="auto"/>
        <w:right w:val="none" w:sz="0" w:space="0" w:color="auto"/>
      </w:divBdr>
    </w:div>
    <w:div w:id="687366538">
      <w:bodyDiv w:val="1"/>
      <w:marLeft w:val="0"/>
      <w:marRight w:val="0"/>
      <w:marTop w:val="0"/>
      <w:marBottom w:val="0"/>
      <w:divBdr>
        <w:top w:val="none" w:sz="0" w:space="0" w:color="auto"/>
        <w:left w:val="none" w:sz="0" w:space="0" w:color="auto"/>
        <w:bottom w:val="none" w:sz="0" w:space="0" w:color="auto"/>
        <w:right w:val="none" w:sz="0" w:space="0" w:color="auto"/>
      </w:divBdr>
    </w:div>
    <w:div w:id="693651811">
      <w:bodyDiv w:val="1"/>
      <w:marLeft w:val="0"/>
      <w:marRight w:val="0"/>
      <w:marTop w:val="0"/>
      <w:marBottom w:val="0"/>
      <w:divBdr>
        <w:top w:val="none" w:sz="0" w:space="0" w:color="auto"/>
        <w:left w:val="none" w:sz="0" w:space="0" w:color="auto"/>
        <w:bottom w:val="none" w:sz="0" w:space="0" w:color="auto"/>
        <w:right w:val="none" w:sz="0" w:space="0" w:color="auto"/>
      </w:divBdr>
    </w:div>
    <w:div w:id="701978358">
      <w:bodyDiv w:val="1"/>
      <w:marLeft w:val="0"/>
      <w:marRight w:val="0"/>
      <w:marTop w:val="0"/>
      <w:marBottom w:val="0"/>
      <w:divBdr>
        <w:top w:val="none" w:sz="0" w:space="0" w:color="auto"/>
        <w:left w:val="none" w:sz="0" w:space="0" w:color="auto"/>
        <w:bottom w:val="none" w:sz="0" w:space="0" w:color="auto"/>
        <w:right w:val="none" w:sz="0" w:space="0" w:color="auto"/>
      </w:divBdr>
    </w:div>
    <w:div w:id="724372449">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70508297">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64368477">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84103286">
      <w:bodyDiv w:val="1"/>
      <w:marLeft w:val="0"/>
      <w:marRight w:val="0"/>
      <w:marTop w:val="0"/>
      <w:marBottom w:val="0"/>
      <w:divBdr>
        <w:top w:val="none" w:sz="0" w:space="0" w:color="auto"/>
        <w:left w:val="none" w:sz="0" w:space="0" w:color="auto"/>
        <w:bottom w:val="none" w:sz="0" w:space="0" w:color="auto"/>
        <w:right w:val="none" w:sz="0" w:space="0" w:color="auto"/>
      </w:divBdr>
    </w:div>
    <w:div w:id="894658658">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15867587">
      <w:bodyDiv w:val="1"/>
      <w:marLeft w:val="0"/>
      <w:marRight w:val="0"/>
      <w:marTop w:val="0"/>
      <w:marBottom w:val="0"/>
      <w:divBdr>
        <w:top w:val="none" w:sz="0" w:space="0" w:color="auto"/>
        <w:left w:val="none" w:sz="0" w:space="0" w:color="auto"/>
        <w:bottom w:val="none" w:sz="0" w:space="0" w:color="auto"/>
        <w:right w:val="none" w:sz="0" w:space="0" w:color="auto"/>
      </w:divBdr>
    </w:div>
    <w:div w:id="918710044">
      <w:bodyDiv w:val="1"/>
      <w:marLeft w:val="0"/>
      <w:marRight w:val="0"/>
      <w:marTop w:val="0"/>
      <w:marBottom w:val="0"/>
      <w:divBdr>
        <w:top w:val="none" w:sz="0" w:space="0" w:color="auto"/>
        <w:left w:val="none" w:sz="0" w:space="0" w:color="auto"/>
        <w:bottom w:val="none" w:sz="0" w:space="0" w:color="auto"/>
        <w:right w:val="none" w:sz="0" w:space="0" w:color="auto"/>
      </w:divBdr>
    </w:div>
    <w:div w:id="1020156673">
      <w:bodyDiv w:val="1"/>
      <w:marLeft w:val="0"/>
      <w:marRight w:val="0"/>
      <w:marTop w:val="0"/>
      <w:marBottom w:val="0"/>
      <w:divBdr>
        <w:top w:val="none" w:sz="0" w:space="0" w:color="auto"/>
        <w:left w:val="none" w:sz="0" w:space="0" w:color="auto"/>
        <w:bottom w:val="none" w:sz="0" w:space="0" w:color="auto"/>
        <w:right w:val="none" w:sz="0" w:space="0" w:color="auto"/>
      </w:divBdr>
    </w:div>
    <w:div w:id="1023436749">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52194172">
      <w:bodyDiv w:val="1"/>
      <w:marLeft w:val="0"/>
      <w:marRight w:val="0"/>
      <w:marTop w:val="0"/>
      <w:marBottom w:val="0"/>
      <w:divBdr>
        <w:top w:val="none" w:sz="0" w:space="0" w:color="auto"/>
        <w:left w:val="none" w:sz="0" w:space="0" w:color="auto"/>
        <w:bottom w:val="none" w:sz="0" w:space="0" w:color="auto"/>
        <w:right w:val="none" w:sz="0" w:space="0" w:color="auto"/>
      </w:divBdr>
    </w:div>
    <w:div w:id="1055083269">
      <w:bodyDiv w:val="1"/>
      <w:marLeft w:val="0"/>
      <w:marRight w:val="0"/>
      <w:marTop w:val="0"/>
      <w:marBottom w:val="0"/>
      <w:divBdr>
        <w:top w:val="none" w:sz="0" w:space="0" w:color="auto"/>
        <w:left w:val="none" w:sz="0" w:space="0" w:color="auto"/>
        <w:bottom w:val="none" w:sz="0" w:space="0" w:color="auto"/>
        <w:right w:val="none" w:sz="0" w:space="0" w:color="auto"/>
      </w:divBdr>
    </w:div>
    <w:div w:id="1065645905">
      <w:bodyDiv w:val="1"/>
      <w:marLeft w:val="0"/>
      <w:marRight w:val="0"/>
      <w:marTop w:val="0"/>
      <w:marBottom w:val="0"/>
      <w:divBdr>
        <w:top w:val="none" w:sz="0" w:space="0" w:color="auto"/>
        <w:left w:val="none" w:sz="0" w:space="0" w:color="auto"/>
        <w:bottom w:val="none" w:sz="0" w:space="0" w:color="auto"/>
        <w:right w:val="none" w:sz="0" w:space="0" w:color="auto"/>
      </w:divBdr>
    </w:div>
    <w:div w:id="1073427361">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2147356">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7821128">
      <w:bodyDiv w:val="1"/>
      <w:marLeft w:val="0"/>
      <w:marRight w:val="0"/>
      <w:marTop w:val="0"/>
      <w:marBottom w:val="0"/>
      <w:divBdr>
        <w:top w:val="none" w:sz="0" w:space="0" w:color="auto"/>
        <w:left w:val="none" w:sz="0" w:space="0" w:color="auto"/>
        <w:bottom w:val="none" w:sz="0" w:space="0" w:color="auto"/>
        <w:right w:val="none" w:sz="0" w:space="0" w:color="auto"/>
      </w:divBdr>
    </w:div>
    <w:div w:id="1152063494">
      <w:bodyDiv w:val="1"/>
      <w:marLeft w:val="0"/>
      <w:marRight w:val="0"/>
      <w:marTop w:val="0"/>
      <w:marBottom w:val="0"/>
      <w:divBdr>
        <w:top w:val="none" w:sz="0" w:space="0" w:color="auto"/>
        <w:left w:val="none" w:sz="0" w:space="0" w:color="auto"/>
        <w:bottom w:val="none" w:sz="0" w:space="0" w:color="auto"/>
        <w:right w:val="none" w:sz="0" w:space="0" w:color="auto"/>
      </w:divBdr>
    </w:div>
    <w:div w:id="1163399835">
      <w:bodyDiv w:val="1"/>
      <w:marLeft w:val="0"/>
      <w:marRight w:val="0"/>
      <w:marTop w:val="0"/>
      <w:marBottom w:val="0"/>
      <w:divBdr>
        <w:top w:val="none" w:sz="0" w:space="0" w:color="auto"/>
        <w:left w:val="none" w:sz="0" w:space="0" w:color="auto"/>
        <w:bottom w:val="none" w:sz="0" w:space="0" w:color="auto"/>
        <w:right w:val="none" w:sz="0" w:space="0" w:color="auto"/>
      </w:divBdr>
    </w:div>
    <w:div w:id="1182207172">
      <w:bodyDiv w:val="1"/>
      <w:marLeft w:val="0"/>
      <w:marRight w:val="0"/>
      <w:marTop w:val="0"/>
      <w:marBottom w:val="0"/>
      <w:divBdr>
        <w:top w:val="none" w:sz="0" w:space="0" w:color="auto"/>
        <w:left w:val="none" w:sz="0" w:space="0" w:color="auto"/>
        <w:bottom w:val="none" w:sz="0" w:space="0" w:color="auto"/>
        <w:right w:val="none" w:sz="0" w:space="0" w:color="auto"/>
      </w:divBdr>
    </w:div>
    <w:div w:id="1182741695">
      <w:bodyDiv w:val="1"/>
      <w:marLeft w:val="0"/>
      <w:marRight w:val="0"/>
      <w:marTop w:val="0"/>
      <w:marBottom w:val="0"/>
      <w:divBdr>
        <w:top w:val="none" w:sz="0" w:space="0" w:color="auto"/>
        <w:left w:val="none" w:sz="0" w:space="0" w:color="auto"/>
        <w:bottom w:val="none" w:sz="0" w:space="0" w:color="auto"/>
        <w:right w:val="none" w:sz="0" w:space="0" w:color="auto"/>
      </w:divBdr>
    </w:div>
    <w:div w:id="1195578031">
      <w:bodyDiv w:val="1"/>
      <w:marLeft w:val="0"/>
      <w:marRight w:val="0"/>
      <w:marTop w:val="0"/>
      <w:marBottom w:val="0"/>
      <w:divBdr>
        <w:top w:val="none" w:sz="0" w:space="0" w:color="auto"/>
        <w:left w:val="none" w:sz="0" w:space="0" w:color="auto"/>
        <w:bottom w:val="none" w:sz="0" w:space="0" w:color="auto"/>
        <w:right w:val="none" w:sz="0" w:space="0" w:color="auto"/>
      </w:divBdr>
    </w:div>
    <w:div w:id="1220169984">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400422">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64924412">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16766019">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29749113">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77774608">
      <w:bodyDiv w:val="1"/>
      <w:marLeft w:val="0"/>
      <w:marRight w:val="0"/>
      <w:marTop w:val="0"/>
      <w:marBottom w:val="0"/>
      <w:divBdr>
        <w:top w:val="none" w:sz="0" w:space="0" w:color="auto"/>
        <w:left w:val="none" w:sz="0" w:space="0" w:color="auto"/>
        <w:bottom w:val="none" w:sz="0" w:space="0" w:color="auto"/>
        <w:right w:val="none" w:sz="0" w:space="0" w:color="auto"/>
      </w:divBdr>
    </w:div>
    <w:div w:id="1408264940">
      <w:bodyDiv w:val="1"/>
      <w:marLeft w:val="0"/>
      <w:marRight w:val="0"/>
      <w:marTop w:val="0"/>
      <w:marBottom w:val="0"/>
      <w:divBdr>
        <w:top w:val="none" w:sz="0" w:space="0" w:color="auto"/>
        <w:left w:val="none" w:sz="0" w:space="0" w:color="auto"/>
        <w:bottom w:val="none" w:sz="0" w:space="0" w:color="auto"/>
        <w:right w:val="none" w:sz="0" w:space="0" w:color="auto"/>
      </w:divBdr>
    </w:div>
    <w:div w:id="1409034049">
      <w:bodyDiv w:val="1"/>
      <w:marLeft w:val="0"/>
      <w:marRight w:val="0"/>
      <w:marTop w:val="0"/>
      <w:marBottom w:val="0"/>
      <w:divBdr>
        <w:top w:val="none" w:sz="0" w:space="0" w:color="auto"/>
        <w:left w:val="none" w:sz="0" w:space="0" w:color="auto"/>
        <w:bottom w:val="none" w:sz="0" w:space="0" w:color="auto"/>
        <w:right w:val="none" w:sz="0" w:space="0" w:color="auto"/>
      </w:divBdr>
    </w:div>
    <w:div w:id="1429957938">
      <w:bodyDiv w:val="1"/>
      <w:marLeft w:val="0"/>
      <w:marRight w:val="0"/>
      <w:marTop w:val="0"/>
      <w:marBottom w:val="0"/>
      <w:divBdr>
        <w:top w:val="none" w:sz="0" w:space="0" w:color="auto"/>
        <w:left w:val="none" w:sz="0" w:space="0" w:color="auto"/>
        <w:bottom w:val="none" w:sz="0" w:space="0" w:color="auto"/>
        <w:right w:val="none" w:sz="0" w:space="0" w:color="auto"/>
      </w:divBdr>
    </w:div>
    <w:div w:id="143604963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45540340">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3765898">
      <w:bodyDiv w:val="1"/>
      <w:marLeft w:val="0"/>
      <w:marRight w:val="0"/>
      <w:marTop w:val="0"/>
      <w:marBottom w:val="0"/>
      <w:divBdr>
        <w:top w:val="none" w:sz="0" w:space="0" w:color="auto"/>
        <w:left w:val="none" w:sz="0" w:space="0" w:color="auto"/>
        <w:bottom w:val="none" w:sz="0" w:space="0" w:color="auto"/>
        <w:right w:val="none" w:sz="0" w:space="0" w:color="auto"/>
      </w:divBdr>
    </w:div>
    <w:div w:id="1484658421">
      <w:bodyDiv w:val="1"/>
      <w:marLeft w:val="0"/>
      <w:marRight w:val="0"/>
      <w:marTop w:val="0"/>
      <w:marBottom w:val="0"/>
      <w:divBdr>
        <w:top w:val="none" w:sz="0" w:space="0" w:color="auto"/>
        <w:left w:val="none" w:sz="0" w:space="0" w:color="auto"/>
        <w:bottom w:val="none" w:sz="0" w:space="0" w:color="auto"/>
        <w:right w:val="none" w:sz="0" w:space="0" w:color="auto"/>
      </w:divBdr>
    </w:div>
    <w:div w:id="148728152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42740268">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5944956">
      <w:bodyDiv w:val="1"/>
      <w:marLeft w:val="0"/>
      <w:marRight w:val="0"/>
      <w:marTop w:val="0"/>
      <w:marBottom w:val="0"/>
      <w:divBdr>
        <w:top w:val="none" w:sz="0" w:space="0" w:color="auto"/>
        <w:left w:val="none" w:sz="0" w:space="0" w:color="auto"/>
        <w:bottom w:val="none" w:sz="0" w:space="0" w:color="auto"/>
        <w:right w:val="none" w:sz="0" w:space="0" w:color="auto"/>
      </w:divBdr>
    </w:div>
    <w:div w:id="1568373147">
      <w:bodyDiv w:val="1"/>
      <w:marLeft w:val="0"/>
      <w:marRight w:val="0"/>
      <w:marTop w:val="0"/>
      <w:marBottom w:val="0"/>
      <w:divBdr>
        <w:top w:val="none" w:sz="0" w:space="0" w:color="auto"/>
        <w:left w:val="none" w:sz="0" w:space="0" w:color="auto"/>
        <w:bottom w:val="none" w:sz="0" w:space="0" w:color="auto"/>
        <w:right w:val="none" w:sz="0" w:space="0" w:color="auto"/>
      </w:divBdr>
    </w:div>
    <w:div w:id="1569221372">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0133114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51862061">
      <w:bodyDiv w:val="1"/>
      <w:marLeft w:val="0"/>
      <w:marRight w:val="0"/>
      <w:marTop w:val="0"/>
      <w:marBottom w:val="0"/>
      <w:divBdr>
        <w:top w:val="none" w:sz="0" w:space="0" w:color="auto"/>
        <w:left w:val="none" w:sz="0" w:space="0" w:color="auto"/>
        <w:bottom w:val="none" w:sz="0" w:space="0" w:color="auto"/>
        <w:right w:val="none" w:sz="0" w:space="0" w:color="auto"/>
      </w:divBdr>
    </w:div>
    <w:div w:id="1672637644">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25250514">
      <w:bodyDiv w:val="1"/>
      <w:marLeft w:val="0"/>
      <w:marRight w:val="0"/>
      <w:marTop w:val="0"/>
      <w:marBottom w:val="0"/>
      <w:divBdr>
        <w:top w:val="none" w:sz="0" w:space="0" w:color="auto"/>
        <w:left w:val="none" w:sz="0" w:space="0" w:color="auto"/>
        <w:bottom w:val="none" w:sz="0" w:space="0" w:color="auto"/>
        <w:right w:val="none" w:sz="0" w:space="0" w:color="auto"/>
      </w:divBdr>
    </w:div>
    <w:div w:id="1727295916">
      <w:bodyDiv w:val="1"/>
      <w:marLeft w:val="0"/>
      <w:marRight w:val="0"/>
      <w:marTop w:val="0"/>
      <w:marBottom w:val="0"/>
      <w:divBdr>
        <w:top w:val="none" w:sz="0" w:space="0" w:color="auto"/>
        <w:left w:val="none" w:sz="0" w:space="0" w:color="auto"/>
        <w:bottom w:val="none" w:sz="0" w:space="0" w:color="auto"/>
        <w:right w:val="none" w:sz="0" w:space="0" w:color="auto"/>
      </w:divBdr>
    </w:div>
    <w:div w:id="1736315706">
      <w:bodyDiv w:val="1"/>
      <w:marLeft w:val="0"/>
      <w:marRight w:val="0"/>
      <w:marTop w:val="0"/>
      <w:marBottom w:val="0"/>
      <w:divBdr>
        <w:top w:val="none" w:sz="0" w:space="0" w:color="auto"/>
        <w:left w:val="none" w:sz="0" w:space="0" w:color="auto"/>
        <w:bottom w:val="none" w:sz="0" w:space="0" w:color="auto"/>
        <w:right w:val="none" w:sz="0" w:space="0" w:color="auto"/>
      </w:divBdr>
    </w:div>
    <w:div w:id="1744598289">
      <w:bodyDiv w:val="1"/>
      <w:marLeft w:val="0"/>
      <w:marRight w:val="0"/>
      <w:marTop w:val="0"/>
      <w:marBottom w:val="0"/>
      <w:divBdr>
        <w:top w:val="none" w:sz="0" w:space="0" w:color="auto"/>
        <w:left w:val="none" w:sz="0" w:space="0" w:color="auto"/>
        <w:bottom w:val="none" w:sz="0" w:space="0" w:color="auto"/>
        <w:right w:val="none" w:sz="0" w:space="0" w:color="auto"/>
      </w:divBdr>
    </w:div>
    <w:div w:id="17554720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6635241">
      <w:bodyDiv w:val="1"/>
      <w:marLeft w:val="0"/>
      <w:marRight w:val="0"/>
      <w:marTop w:val="0"/>
      <w:marBottom w:val="0"/>
      <w:divBdr>
        <w:top w:val="none" w:sz="0" w:space="0" w:color="auto"/>
        <w:left w:val="none" w:sz="0" w:space="0" w:color="auto"/>
        <w:bottom w:val="none" w:sz="0" w:space="0" w:color="auto"/>
        <w:right w:val="none" w:sz="0" w:space="0" w:color="auto"/>
      </w:divBdr>
    </w:div>
    <w:div w:id="1777944261">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2379652">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64707344">
      <w:bodyDiv w:val="1"/>
      <w:marLeft w:val="0"/>
      <w:marRight w:val="0"/>
      <w:marTop w:val="0"/>
      <w:marBottom w:val="0"/>
      <w:divBdr>
        <w:top w:val="none" w:sz="0" w:space="0" w:color="auto"/>
        <w:left w:val="none" w:sz="0" w:space="0" w:color="auto"/>
        <w:bottom w:val="none" w:sz="0" w:space="0" w:color="auto"/>
        <w:right w:val="none" w:sz="0" w:space="0" w:color="auto"/>
      </w:divBdr>
    </w:div>
    <w:div w:id="1874808430">
      <w:bodyDiv w:val="1"/>
      <w:marLeft w:val="0"/>
      <w:marRight w:val="0"/>
      <w:marTop w:val="0"/>
      <w:marBottom w:val="0"/>
      <w:divBdr>
        <w:top w:val="none" w:sz="0" w:space="0" w:color="auto"/>
        <w:left w:val="none" w:sz="0" w:space="0" w:color="auto"/>
        <w:bottom w:val="none" w:sz="0" w:space="0" w:color="auto"/>
        <w:right w:val="none" w:sz="0" w:space="0" w:color="auto"/>
      </w:divBdr>
    </w:div>
    <w:div w:id="1896431934">
      <w:bodyDiv w:val="1"/>
      <w:marLeft w:val="0"/>
      <w:marRight w:val="0"/>
      <w:marTop w:val="0"/>
      <w:marBottom w:val="0"/>
      <w:divBdr>
        <w:top w:val="none" w:sz="0" w:space="0" w:color="auto"/>
        <w:left w:val="none" w:sz="0" w:space="0" w:color="auto"/>
        <w:bottom w:val="none" w:sz="0" w:space="0" w:color="auto"/>
        <w:right w:val="none" w:sz="0" w:space="0" w:color="auto"/>
      </w:divBdr>
    </w:div>
    <w:div w:id="191234842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2803345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09168525">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532668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 w:id="21366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ca/fct/doc/2014/2014fc722/2014fc722.html?autocompleteStr=2014%20FC%20722&amp;autocompletePos=1" TargetMode="External"/><Relationship Id="rId21" Type="http://schemas.openxmlformats.org/officeDocument/2006/relationships/hyperlink" Target="http://www.scc-csc.ca/case-dossier/info/sum-som-eng.aspx?cas=36420" TargetMode="External"/><Relationship Id="rId42" Type="http://schemas.openxmlformats.org/officeDocument/2006/relationships/hyperlink" Target="http://www.canlii.org/fr/qc/qccs/doc/2013/2013qccs3657/2013qccs3657.html?autocompleteStr=St%E2%80%91Pierre%20c.%20Banque%20Royale%20du%20Canada&amp;autocompletePos=1" TargetMode="External"/><Relationship Id="rId47" Type="http://schemas.openxmlformats.org/officeDocument/2006/relationships/hyperlink" Target="http://www.canlii.org/fr/qc/qcca/doc/2015/2015qcca228/2015qcca228.html?resultIndex=1" TargetMode="External"/><Relationship Id="rId63" Type="http://schemas.openxmlformats.org/officeDocument/2006/relationships/hyperlink" Target="http://www.canlii.org/fr/qc/qcca/doc/2014/2014qcca2240/2014qcca2240.html?autocompleteStr=200-09-008760-149&amp;autocompletePos=1" TargetMode="External"/><Relationship Id="rId68" Type="http://schemas.openxmlformats.org/officeDocument/2006/relationships/hyperlink" Target="http://www.canlii.org/fr/qc/qcca/doc/2014/2014qcca2240/2014qcca2240.html?autocompleteStr=200-09-008760-149&amp;autocompletePos=1" TargetMode="External"/><Relationship Id="rId84" Type="http://schemas.openxmlformats.org/officeDocument/2006/relationships/hyperlink" Target="http://www.canlii.org/en/qc/qccs/doc/2013/2013qccs2972/2013qccs2972.html?autocompleteStr=500-17-065622-113&amp;autocompletePos=1" TargetMode="External"/><Relationship Id="rId89" Type="http://schemas.openxmlformats.org/officeDocument/2006/relationships/hyperlink" Target="http://www.canlii.org/fr/qc/qcca/doc/2015/2015qcca555/2015qcca555.html?resultIndex=1" TargetMode="External"/><Relationship Id="rId112" Type="http://schemas.openxmlformats.org/officeDocument/2006/relationships/footer" Target="footer2.xml"/><Relationship Id="rId16" Type="http://schemas.openxmlformats.org/officeDocument/2006/relationships/hyperlink" Target="http://www.scc-csc.ca/case-dossier/info/sum-som-fra.aspx?cas=36362" TargetMode="External"/><Relationship Id="rId107" Type="http://schemas.openxmlformats.org/officeDocument/2006/relationships/hyperlink" Target="http://www.canlii.org/en/ca/fca/doc/2015/2015fca62/2015fca62.html?autocompleteStr=2015%20FCA%2062&amp;autocompletePos=1" TargetMode="External"/><Relationship Id="rId11" Type="http://schemas.openxmlformats.org/officeDocument/2006/relationships/hyperlink" Target="http://www.scc-csc.ca/case-dossier/info/sum-som-eng.aspx?cas=36375" TargetMode="External"/><Relationship Id="rId24" Type="http://schemas.openxmlformats.org/officeDocument/2006/relationships/hyperlink" Target="http://www.canlii.org/fr/qc/qccs/doc/2014/2014qccs5216/2014qccs5216.html?autocompleteStr=2014%20qccs%205216&amp;autocompletePos=1" TargetMode="External"/><Relationship Id="rId32" Type="http://schemas.openxmlformats.org/officeDocument/2006/relationships/hyperlink" Target="http://www.canlii.org/fr/ca/cfpi/doc/2014/2014cf552/2014cf552.html" TargetMode="External"/><Relationship Id="rId37" Type="http://schemas.openxmlformats.org/officeDocument/2006/relationships/hyperlink" Target="http://www.canlii.org/fr/qc/qccs/doc/2013/2013qccs3657/2013qccs3657.html?autocompleteStr=St%E2%80%91Pierre%20c.%20Banque%20Royale%20du%20Canada&amp;autocompletePos=1" TargetMode="External"/><Relationship Id="rId40" Type="http://schemas.openxmlformats.org/officeDocument/2006/relationships/hyperlink" Target="http://www.canlii.org/fr/qc/qccs/doc/2013/2013qccs3654/2013qccs3654.html?autocompleteStr=Dion%20c.%20Compagnie%20de%20services%20de%20financement%20automobile%20Primus%20Canada&amp;autocompletePos=2" TargetMode="External"/><Relationship Id="rId45" Type="http://schemas.openxmlformats.org/officeDocument/2006/relationships/hyperlink" Target="http://www.canlii.org/fr/qc/qcca/doc/2015/2015qcca228/2015qcca228.html?resultIndex=1" TargetMode="External"/><Relationship Id="rId53" Type="http://schemas.openxmlformats.org/officeDocument/2006/relationships/hyperlink" Target="http://www.canlii.org/en/ab/abca/doc/2015/2015abca121/2015abca121.html?searchUrlHash=AAAAAQANMjAxNSBBQkNBIDEyMQAAAAAB&amp;resultIndex=1" TargetMode="External"/><Relationship Id="rId58" Type="http://schemas.openxmlformats.org/officeDocument/2006/relationships/hyperlink" Target="http://www.canlii.org/fr/qc/qccs/doc/2014/2014qccs4657/2014qccs4657.html?autocompleteStr=2014%20QCCS%204657&amp;autocompletePos=1" TargetMode="External"/><Relationship Id="rId66" Type="http://schemas.openxmlformats.org/officeDocument/2006/relationships/hyperlink" Target="http://citoyens.soquij.qc.ca/php/decision.php?ID=216240D582254DF3496331D51FA95FA9&amp;page=1" TargetMode="External"/><Relationship Id="rId74" Type="http://schemas.openxmlformats.org/officeDocument/2006/relationships/hyperlink" Target="http://canlii.ca/t/frws5" TargetMode="External"/><Relationship Id="rId79" Type="http://schemas.openxmlformats.org/officeDocument/2006/relationships/hyperlink" Target="http://www.canlii.org/fr/qc/qcca/doc/2015/2015qcca168/2015qcca168.html" TargetMode="External"/><Relationship Id="rId87" Type="http://schemas.openxmlformats.org/officeDocument/2006/relationships/hyperlink" Target="http://www.canlii.org/fr/qc/qcca/doc/2015/2015qcca105/2015qcca105.html?autocompleteStr=2015%20QCCA%20105&amp;autocompletePos=1" TargetMode="External"/><Relationship Id="rId102" Type="http://schemas.openxmlformats.org/officeDocument/2006/relationships/hyperlink" Target="http://canlii.ca/t/gf31l" TargetMode="Externa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citoyens.soquij.qc.ca/php/decision.php?ID=216240D582254DF3496331D51FA95FA9&amp;page=1" TargetMode="External"/><Relationship Id="rId82" Type="http://schemas.openxmlformats.org/officeDocument/2006/relationships/hyperlink" Target="http://www.canlii.org/en/qc/qccs/doc/2013/2013qccs2972/2013qccs2972.html?autocompleteStr=500-17-065622-113&amp;autocompletePos=1" TargetMode="External"/><Relationship Id="rId90" Type="http://schemas.openxmlformats.org/officeDocument/2006/relationships/hyperlink" Target="http://www.canlii.org/fr/qc/qccs/doc/2015/2015qccs1008/2015qccs1008.html?resultIndex=1" TargetMode="External"/><Relationship Id="rId95" Type="http://schemas.openxmlformats.org/officeDocument/2006/relationships/hyperlink" Target="http://www.canlii.org/fr/qc/qcca/doc/2015/2015qcca417/2015qcca417.html?autocompleteStr=2015%20qcca%20417&amp;autocompletePos=1" TargetMode="External"/><Relationship Id="rId19" Type="http://schemas.openxmlformats.org/officeDocument/2006/relationships/hyperlink" Target="http://www.scc-csc.ca/case-dossier/info/sum-som-eng.aspx?cas=36441" TargetMode="External"/><Relationship Id="rId14" Type="http://schemas.openxmlformats.org/officeDocument/2006/relationships/hyperlink" Target="http://www.scc-csc.ca/case-dossier/info/sum-som-eng.aspx?cas=36432" TargetMode="External"/><Relationship Id="rId22" Type="http://schemas.openxmlformats.org/officeDocument/2006/relationships/hyperlink" Target="http://www.canlii.org/fr/qc/qccs/doc/2014/2014qccs5216/2014qccs5216.html?autocompleteStr=2014%20qccs%205216&amp;autocompletePos=1" TargetMode="External"/><Relationship Id="rId27" Type="http://schemas.openxmlformats.org/officeDocument/2006/relationships/hyperlink" Target="http://www.canlii.org/en/ca/fca/doc/2015/2015fca105/2015fca105.html?autocompleteStr=2015%20FCA%20105&amp;autocompletePos=1" TargetMode="External"/><Relationship Id="rId30" Type="http://schemas.openxmlformats.org/officeDocument/2006/relationships/hyperlink" Target="http://www.canlii.org/en/ca/fct/doc/2014/2014fc552/2014fc552.html?autocompleteStr=2014%20FC%20552&amp;autocompletePos=1" TargetMode="External"/><Relationship Id="rId35" Type="http://schemas.openxmlformats.org/officeDocument/2006/relationships/hyperlink" Target="http://www.canlii.org/fr/qc/qccs/doc/2013/2013qccs3654/2013qccs3654.html?autocompleteStr=Dion%20c.%20Compagnie%20de%20services%20de%20financement%20automobile%20Primus%20Canada&amp;autocompletePos=2" TargetMode="External"/><Relationship Id="rId43" Type="http://schemas.openxmlformats.org/officeDocument/2006/relationships/hyperlink" Target="http://www.canlii.org/en/qc/qcca/doc/2015/2015qcca333/2015qcca333.html?autocompleteStr=2015%20QCCA%20333&amp;autocompletePos=1" TargetMode="External"/><Relationship Id="rId48" Type="http://schemas.openxmlformats.org/officeDocument/2006/relationships/hyperlink" Target="http://canlii.ca/t/g87wc" TargetMode="External"/><Relationship Id="rId56" Type="http://schemas.openxmlformats.org/officeDocument/2006/relationships/hyperlink" Target="http://www.canlii.org/fr/qc/qccs/doc/2014/2014qccs4657/2014qccs4657.html?autocompleteStr=2014%20QCCS%204657&amp;autocompletePos=1" TargetMode="External"/><Relationship Id="rId64" Type="http://schemas.openxmlformats.org/officeDocument/2006/relationships/hyperlink" Target="http://www.canlii.org/fr/qc/qcca/doc/2015/2015qcca240/2015qcca240.html?autocompleteStr=200-09-008893-148&amp;autocompletePos=1" TargetMode="External"/><Relationship Id="rId69" Type="http://schemas.openxmlformats.org/officeDocument/2006/relationships/hyperlink" Target="http://www.canlii.org/fr/qc/qcca/doc/2015/2015qcca240/2015qcca240.html?autocompleteStr=200-09-008893-148&amp;autocompletePos=1" TargetMode="External"/><Relationship Id="rId77" Type="http://schemas.openxmlformats.org/officeDocument/2006/relationships/hyperlink" Target="http://canlii.ca/t/ggxlj" TargetMode="External"/><Relationship Id="rId100" Type="http://schemas.openxmlformats.org/officeDocument/2006/relationships/hyperlink" Target="http://canlii.ca/t/gh1jk" TargetMode="External"/><Relationship Id="rId105" Type="http://schemas.openxmlformats.org/officeDocument/2006/relationships/hyperlink" Target="http://www.canlii.org/en/ca/fca/doc/2015/2015fca62/2015fca62.html?autocompleteStr=2015%20FCA%2062&amp;autocompletePos=1" TargetMode="External"/><Relationship Id="rId113" Type="http://schemas.openxmlformats.org/officeDocument/2006/relationships/header" Target="header3.xml"/><Relationship Id="rId8" Type="http://schemas.openxmlformats.org/officeDocument/2006/relationships/hyperlink" Target="http://www.scc-csc.ca/case-dossier/info/sum-som-eng.aspx?cas=36440" TargetMode="External"/><Relationship Id="rId51" Type="http://schemas.openxmlformats.org/officeDocument/2006/relationships/hyperlink" Target="http://canlii.ca/t/ggcc0" TargetMode="External"/><Relationship Id="rId72" Type="http://schemas.openxmlformats.org/officeDocument/2006/relationships/hyperlink" Target="http://www.canlii.org/en/on/onca/doc/2015/2015onca160/2015onca160.html?autocompleteStr=2015%20ONCA%20160&amp;autocompletePos=1" TargetMode="External"/><Relationship Id="rId80" Type="http://schemas.openxmlformats.org/officeDocument/2006/relationships/hyperlink" Target="http://www.canlii.org/fr/qc/qccs/doc/2013/2013qccs2620/2013qccs2620.html?autocompleteStr=500-17-054317-097&amp;autocompletePos=1" TargetMode="External"/><Relationship Id="rId85" Type="http://schemas.openxmlformats.org/officeDocument/2006/relationships/hyperlink" Target="http://www.canlii.org/fr/qc/qcca/doc/2015/2015qcca169/2015qcca169.html" TargetMode="External"/><Relationship Id="rId93" Type="http://schemas.openxmlformats.org/officeDocument/2006/relationships/hyperlink" Target="http://www.canlii.org/fr/qc/qccs/doc/2013/2013qccs673/2013qccs673.html" TargetMode="External"/><Relationship Id="rId98" Type="http://schemas.openxmlformats.org/officeDocument/2006/relationships/hyperlink" Target="http://www.canlii.org/fr/qc/qccs/doc/2014/2014qccs6676/2014qccs6676.html" TargetMode="External"/><Relationship Id="rId3" Type="http://schemas.openxmlformats.org/officeDocument/2006/relationships/styles" Target="styles.xml"/><Relationship Id="rId12" Type="http://schemas.openxmlformats.org/officeDocument/2006/relationships/hyperlink" Target="http://www.scc-csc.ca/case-dossier/info/sum-som-eng.aspx?cas=36452" TargetMode="External"/><Relationship Id="rId17" Type="http://schemas.openxmlformats.org/officeDocument/2006/relationships/hyperlink" Target="http://www.scc-csc.ca/case-dossier/info/sum-som-eng.aspx?cas=36415" TargetMode="External"/><Relationship Id="rId25" Type="http://schemas.openxmlformats.org/officeDocument/2006/relationships/hyperlink" Target="http://www.canlii.org/en/qc/qcca/doc/2015/2015qcca148/2015qcca148.html" TargetMode="External"/><Relationship Id="rId33" Type="http://schemas.openxmlformats.org/officeDocument/2006/relationships/hyperlink" Target="http://www.canlii.org/en/ca/fca/doc/2015/2015fca92/2015fca92.html?autocompleteStr=2015%20FCA%2092&amp;autocompletePos=1" TargetMode="External"/><Relationship Id="rId38" Type="http://schemas.openxmlformats.org/officeDocument/2006/relationships/hyperlink" Target="http://www.canlii.org/en/qc/qcca/doc/2015/2015qcca333/2015qcca333.html?autocompleteStr=2015%20QCCA%20333&amp;autocompletePos=1" TargetMode="External"/><Relationship Id="rId46" Type="http://schemas.openxmlformats.org/officeDocument/2006/relationships/hyperlink" Target="http://www.canlii.org/fr/qc/qccs/doc/2012/2012qccs6097/2012qccs6097.html?resultIndex=1" TargetMode="External"/><Relationship Id="rId59" Type="http://schemas.openxmlformats.org/officeDocument/2006/relationships/hyperlink" Target="http://www.canlii.org/fr/qc/qcca/doc/2015/2015qcca27/2015qcca27.html" TargetMode="External"/><Relationship Id="rId67" Type="http://schemas.openxmlformats.org/officeDocument/2006/relationships/hyperlink" Target="http://www.canlii.org/fr/qc/qccq/doc/2014/2014qccq5852/2014qccq5852.html?autocompleteStr=200-80-006655&amp;autocompletePos=1" TargetMode="External"/><Relationship Id="rId103" Type="http://schemas.openxmlformats.org/officeDocument/2006/relationships/hyperlink" Target="http://canlii.ca/t/gf31l" TargetMode="External"/><Relationship Id="rId108" Type="http://schemas.openxmlformats.org/officeDocument/2006/relationships/hyperlink" Target="mailto:comments-commentaires@scc-csc.ca" TargetMode="External"/><Relationship Id="rId116" Type="http://schemas.openxmlformats.org/officeDocument/2006/relationships/theme" Target="theme/theme1.xml"/><Relationship Id="rId20" Type="http://schemas.openxmlformats.org/officeDocument/2006/relationships/hyperlink" Target="http://www.scc-csc.ca/case-dossier/info/sum-som-eng.aspx?cas=36413" TargetMode="External"/><Relationship Id="rId41" Type="http://schemas.openxmlformats.org/officeDocument/2006/relationships/hyperlink" Target="http://www.canlii.org/fr/qc/qccs/doc/2013/2013qccs3655/2013qccs3655.html?autocompleteStr=Daneau%20c.%20General%20Motors&amp;autocompletePos=1" TargetMode="External"/><Relationship Id="rId54" Type="http://schemas.openxmlformats.org/officeDocument/2006/relationships/hyperlink" Target="http://www.canlii.org/en/ab/abqb/doc/2013/2013abqb585/2013abqb585.html?autocompleteStr=2013%20ABQB%20585&amp;autocompletePos=1" TargetMode="External"/><Relationship Id="rId62" Type="http://schemas.openxmlformats.org/officeDocument/2006/relationships/hyperlink" Target="http://www.canlii.org/fr/qc/qccq/doc/2014/2014qccq5852/2014qccq5852.html?autocompleteStr=200-80-006655&amp;autocompletePos=1" TargetMode="External"/><Relationship Id="rId70" Type="http://schemas.openxmlformats.org/officeDocument/2006/relationships/hyperlink" Target="http://canlii.ca/t/g68h9" TargetMode="External"/><Relationship Id="rId75" Type="http://schemas.openxmlformats.org/officeDocument/2006/relationships/hyperlink" Target="http://canlii.ca/t/ggxlj" TargetMode="External"/><Relationship Id="rId83" Type="http://schemas.openxmlformats.org/officeDocument/2006/relationships/hyperlink" Target="http://www.canlii.org/fr/qc/qcca/doc/2015/2015qcca169/2015qcca169.html" TargetMode="External"/><Relationship Id="rId88" Type="http://schemas.openxmlformats.org/officeDocument/2006/relationships/hyperlink" Target="http://www.canlii.org/fr/qc/qccs/doc/2015/2015qccs1008/2015qccs1008.html?resultIndex=1" TargetMode="External"/><Relationship Id="rId91" Type="http://schemas.openxmlformats.org/officeDocument/2006/relationships/hyperlink" Target="http://www.canlii.org/fr/qc/qcca/doc/2015/2015qcca555/2015qcca555.html?resultIndex=1" TargetMode="External"/><Relationship Id="rId96" Type="http://schemas.openxmlformats.org/officeDocument/2006/relationships/hyperlink" Target="http://www.canlii.org/fr/qc/qccs/doc/2009/2009qccs4881/2009qccs4881.html"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457" TargetMode="External"/><Relationship Id="rId23" Type="http://schemas.openxmlformats.org/officeDocument/2006/relationships/hyperlink" Target="http://www.canlii.org/en/qc/qcca/doc/2015/2015qcca148/2015qcca148.html" TargetMode="External"/><Relationship Id="rId28" Type="http://schemas.openxmlformats.org/officeDocument/2006/relationships/hyperlink" Target="http://www.canlii.org/fr/ca/cfpi/doc/2014/2014cf722/2014cf722.html" TargetMode="External"/><Relationship Id="rId36" Type="http://schemas.openxmlformats.org/officeDocument/2006/relationships/hyperlink" Target="http://www.canlii.org/fr/qc/qccs/doc/2013/2013qccs3655/2013qccs3655.html?autocompleteStr=Daneau%20c.%20General%20Motors&amp;autocompletePos=1" TargetMode="External"/><Relationship Id="rId49" Type="http://schemas.openxmlformats.org/officeDocument/2006/relationships/hyperlink" Target="http://canlii.ca/t/ggcc0" TargetMode="External"/><Relationship Id="rId57" Type="http://schemas.openxmlformats.org/officeDocument/2006/relationships/hyperlink" Target="http://www.canlii.org/fr/qc/qcca/doc/2015/2015qcca27/2015qcca27.html" TargetMode="External"/><Relationship Id="rId106" Type="http://schemas.openxmlformats.org/officeDocument/2006/relationships/hyperlink" Target="http://www.canlii.org/en/ca/fct/doc/2012/2012fc804/2012fc804.html" TargetMode="External"/><Relationship Id="rId114" Type="http://schemas.openxmlformats.org/officeDocument/2006/relationships/footer" Target="footer3.xml"/><Relationship Id="rId10" Type="http://schemas.openxmlformats.org/officeDocument/2006/relationships/hyperlink" Target="http://www.scc-csc.ca/case-dossier/info/sum-som-fra.aspx?cas=36381" TargetMode="External"/><Relationship Id="rId31" Type="http://schemas.openxmlformats.org/officeDocument/2006/relationships/hyperlink" Target="http://www.canlii.org/en/ca/fca/doc/2015/2015fca92/2015fca92.html?autocompleteStr=2015%20FCA%2092&amp;autocompletePos=1" TargetMode="External"/><Relationship Id="rId44" Type="http://schemas.openxmlformats.org/officeDocument/2006/relationships/hyperlink" Target="http://www.canlii.org/fr/qc/qccs/doc/2012/2012qccs6097/2012qccs6097.html?resultIndex=1" TargetMode="External"/><Relationship Id="rId52" Type="http://schemas.openxmlformats.org/officeDocument/2006/relationships/hyperlink" Target="http://www.canlii.org/en/ab/abqb/doc/2013/2013abqb585/2013abqb585.html?autocompleteStr=2013%20ABQB%20585&amp;autocompletePos=1" TargetMode="External"/><Relationship Id="rId60" Type="http://schemas.openxmlformats.org/officeDocument/2006/relationships/hyperlink" Target="http://citoyens.soquij.qc.ca/php/decision.php?ID=857B51C75CFC2ED4BA3F7B52A00B4257&amp;page=1" TargetMode="External"/><Relationship Id="rId65" Type="http://schemas.openxmlformats.org/officeDocument/2006/relationships/hyperlink" Target="http://citoyens.soquij.qc.ca/php/decision.php?ID=857B51C75CFC2ED4BA3F7B52A00B4257&amp;page=1" TargetMode="External"/><Relationship Id="rId73" Type="http://schemas.openxmlformats.org/officeDocument/2006/relationships/hyperlink" Target="http://www.canlii.org/en/on/onca/doc/2015/2015onca160/2015onca160.html?autocompleteStr=2015%20ONCA%20160&amp;autocompletePos=1" TargetMode="External"/><Relationship Id="rId78" Type="http://schemas.openxmlformats.org/officeDocument/2006/relationships/hyperlink" Target="http://www.canlii.org/fr/qc/qccs/doc/2013/2013qccs2620/2013qccs2620.html?autocompleteStr=500-17-054317-097&amp;autocompletePos=1" TargetMode="External"/><Relationship Id="rId81" Type="http://schemas.openxmlformats.org/officeDocument/2006/relationships/hyperlink" Target="http://www.canlii.org/fr/qc/qcca/doc/2015/2015qcca168/2015qcca168.html" TargetMode="External"/><Relationship Id="rId86" Type="http://schemas.openxmlformats.org/officeDocument/2006/relationships/hyperlink" Target="http://www.canlii.org/fr/qc/qcca/doc/2015/2015qcca105/2015qcca105.html?autocompleteStr=2015%20QCCA%20105&amp;autocompletePos=1" TargetMode="External"/><Relationship Id="rId94" Type="http://schemas.openxmlformats.org/officeDocument/2006/relationships/hyperlink" Target="http://www.canlii.org/fr/qc/qccs/doc/2014/2014qccs6676/2014qccs6676.html" TargetMode="External"/><Relationship Id="rId99" Type="http://schemas.openxmlformats.org/officeDocument/2006/relationships/hyperlink" Target="http://www.canlii.org/fr/qc/qcca/doc/2015/2015qcca417/2015qcca417.html?autocompleteStr=2015%20qcca%20417&amp;autocompletePos=1" TargetMode="External"/><Relationship Id="rId101" Type="http://schemas.openxmlformats.org/officeDocument/2006/relationships/hyperlink" Target="http://canlii.ca/t/gh1jk" TargetMode="External"/><Relationship Id="rId4" Type="http://schemas.openxmlformats.org/officeDocument/2006/relationships/settings" Target="settings.xml"/><Relationship Id="rId9" Type="http://schemas.openxmlformats.org/officeDocument/2006/relationships/hyperlink" Target="http://www.scc-csc.ca/case-dossier/info/sum-som-eng.aspx?cas=36439" TargetMode="External"/><Relationship Id="rId13" Type="http://schemas.openxmlformats.org/officeDocument/2006/relationships/hyperlink" Target="http://www.scc-csc.ca/case-dossier/info/sum-som-eng.aspx?cas=36361" TargetMode="External"/><Relationship Id="rId18" Type="http://schemas.openxmlformats.org/officeDocument/2006/relationships/hyperlink" Target="http://www.scc-csc.ca/case-dossier/info/sum-som-eng.aspx?cas=36348" TargetMode="External"/><Relationship Id="rId39" Type="http://schemas.openxmlformats.org/officeDocument/2006/relationships/hyperlink" Target="http://www.canlii.org/fr/qc/qccs/doc/2013/2013qccs3653/2013qccs3653.html?autocompleteStr=2013%20QCCS%203653&amp;autocompletePos=1" TargetMode="External"/><Relationship Id="rId109" Type="http://schemas.openxmlformats.org/officeDocument/2006/relationships/header" Target="header1.xml"/><Relationship Id="rId34" Type="http://schemas.openxmlformats.org/officeDocument/2006/relationships/hyperlink" Target="http://www.canlii.org/fr/qc/qccs/doc/2013/2013qccs3653/2013qccs3653.html?autocompleteStr=2013%20QCCS%203653&amp;autocompletePos=1" TargetMode="External"/><Relationship Id="rId50" Type="http://schemas.openxmlformats.org/officeDocument/2006/relationships/hyperlink" Target="http://canlii.ca/t/g87wc" TargetMode="External"/><Relationship Id="rId55" Type="http://schemas.openxmlformats.org/officeDocument/2006/relationships/hyperlink" Target="http://www.canlii.org/en/ab/abca/doc/2015/2015abca121/2015abca121.html?searchUrlHash=AAAAAQANMjAxNSBBQkNBIDEyMQAAAAAB&amp;resultIndex=1" TargetMode="External"/><Relationship Id="rId76" Type="http://schemas.openxmlformats.org/officeDocument/2006/relationships/hyperlink" Target="http://canlii.ca/t/frws5" TargetMode="External"/><Relationship Id="rId97" Type="http://schemas.openxmlformats.org/officeDocument/2006/relationships/hyperlink" Target="http://www.canlii.org/fr/qc/qccs/doc/2013/2013qccs673/2013qccs673.html" TargetMode="External"/><Relationship Id="rId104" Type="http://schemas.openxmlformats.org/officeDocument/2006/relationships/hyperlink" Target="http://www.canlii.org/en/ca/fct/doc/2012/2012fc804/2012fc804.html" TargetMode="External"/><Relationship Id="rId7" Type="http://schemas.openxmlformats.org/officeDocument/2006/relationships/endnotes" Target="endnotes.xml"/><Relationship Id="rId71" Type="http://schemas.openxmlformats.org/officeDocument/2006/relationships/hyperlink" Target="http://canlii.ca/t/g68h9" TargetMode="External"/><Relationship Id="rId92" Type="http://schemas.openxmlformats.org/officeDocument/2006/relationships/hyperlink" Target="http://www.canlii.org/fr/qc/qccs/doc/2009/2009qccs4881/2009qccs4881.html" TargetMode="External"/><Relationship Id="rId2" Type="http://schemas.openxmlformats.org/officeDocument/2006/relationships/numbering" Target="numbering.xml"/><Relationship Id="rId29" Type="http://schemas.openxmlformats.org/officeDocument/2006/relationships/hyperlink" Target="http://www.canlii.org/en/ca/fca/doc/2015/2015fca105/2015fca105.html?autocompleteStr=2015%20FCA%20105&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25688-7B9C-4AA0-98C8-F4F2AF49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16396</Words>
  <Characters>93460</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109637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2015-09-21T17:02:00Z</dcterms:created>
  <dcterms:modified xsi:type="dcterms:W3CDTF">2015-11-27T15:08:00Z</dcterms:modified>
</cp:coreProperties>
</file>