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1736B" w:rsidP="006F2579">
      <w:pPr>
        <w:widowControl w:val="0"/>
        <w:rPr>
          <w:b/>
        </w:rPr>
      </w:pPr>
      <w:r>
        <w:rPr>
          <w:b/>
        </w:rPr>
        <w:t xml:space="preserve">October </w:t>
      </w:r>
      <w:r w:rsidR="00E95563">
        <w:rPr>
          <w:b/>
        </w:rPr>
        <w:t>1</w:t>
      </w:r>
      <w:r w:rsidR="00E7483A">
        <w:rPr>
          <w:b/>
        </w:rPr>
        <w:t>9</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B879B5"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A024F6">
        <w:t xml:space="preserve">October </w:t>
      </w:r>
      <w:r w:rsidR="00E7483A">
        <w:t>22</w:t>
      </w:r>
      <w:r w:rsidR="00960719" w:rsidRPr="004B4D42">
        <w:t>,</w:t>
      </w:r>
      <w:r w:rsidR="002F38D7" w:rsidRPr="004B4D42">
        <w:t xml:space="preserve"> </w:t>
      </w:r>
      <w:r w:rsidR="006648D1" w:rsidRPr="004B4D42">
        <w:t>2015</w:t>
      </w:r>
      <w:r w:rsidRPr="004B4D42">
        <w:t xml:space="preserve">.  </w:t>
      </w:r>
      <w:r w:rsidRPr="00B879B5">
        <w:rPr>
          <w:lang w:val="fr-CA"/>
        </w:rPr>
        <w:t>This list is subject to change.</w:t>
      </w:r>
    </w:p>
    <w:p w:rsidR="00D4457A" w:rsidRPr="00B879B5" w:rsidRDefault="00D4457A" w:rsidP="006F2579">
      <w:pPr>
        <w:widowControl w:val="0"/>
        <w:rPr>
          <w:lang w:val="fr-CA"/>
        </w:rPr>
      </w:pPr>
    </w:p>
    <w:p w:rsidR="00FF5AA4" w:rsidRPr="00B879B5"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E95563">
        <w:rPr>
          <w:b/>
          <w:lang w:val="fr-CA"/>
        </w:rPr>
        <w:t>1</w:t>
      </w:r>
      <w:r w:rsidR="00E7483A">
        <w:rPr>
          <w:b/>
          <w:lang w:val="fr-CA"/>
        </w:rPr>
        <w:t>9</w:t>
      </w:r>
      <w:r w:rsidR="0001736B">
        <w:rPr>
          <w:b/>
          <w:lang w:val="fr-CA"/>
        </w:rPr>
        <w:t xml:space="preserve"> octobre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7483A">
        <w:rPr>
          <w:lang w:val="fr-CA"/>
        </w:rPr>
        <w:t>22</w:t>
      </w:r>
      <w:r w:rsidR="00A024F6">
        <w:rPr>
          <w:lang w:val="fr-CA"/>
        </w:rPr>
        <w:t xml:space="preserve"> octobre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E7483A" w:rsidRPr="00E7483A" w:rsidRDefault="00E7483A" w:rsidP="00E7483A">
      <w:pPr>
        <w:pStyle w:val="ListParagraph"/>
        <w:numPr>
          <w:ilvl w:val="0"/>
          <w:numId w:val="16"/>
        </w:numPr>
        <w:ind w:left="360"/>
        <w:jc w:val="both"/>
        <w:rPr>
          <w:sz w:val="20"/>
          <w:u w:val="single"/>
          <w:lang w:val="en-CA"/>
        </w:rPr>
      </w:pPr>
      <w:r w:rsidRPr="00E7483A">
        <w:rPr>
          <w:rFonts w:eastAsiaTheme="minorHAnsi"/>
          <w:i/>
          <w:sz w:val="20"/>
          <w:lang w:val="en-CA"/>
        </w:rPr>
        <w:t>Chief Jesse John Simon et al. v. Attorney General of Canada</w:t>
      </w:r>
      <w:r w:rsidRPr="00E7483A">
        <w:rPr>
          <w:rFonts w:eastAsiaTheme="minorHAnsi"/>
          <w:sz w:val="20"/>
          <w:lang w:val="en-CA"/>
        </w:rPr>
        <w:t xml:space="preserve"> (F.C.) (Civil) (By Leave) (</w:t>
      </w:r>
      <w:hyperlink r:id="rId8" w:history="1">
        <w:r w:rsidRPr="00E7483A">
          <w:rPr>
            <w:rStyle w:val="Hyperlink"/>
            <w:rFonts w:eastAsiaTheme="minorHAnsi"/>
            <w:sz w:val="20"/>
            <w:lang w:val="en-CA"/>
          </w:rPr>
          <w:t>36352</w:t>
        </w:r>
      </w:hyperlink>
      <w:r w:rsidRPr="00E7483A">
        <w:rPr>
          <w:rFonts w:eastAsiaTheme="minorHAnsi"/>
          <w:sz w:val="20"/>
          <w:lang w:val="en-CA"/>
        </w:rPr>
        <w:t>)</w:t>
      </w:r>
    </w:p>
    <w:p w:rsidR="00E7483A" w:rsidRPr="00E7483A" w:rsidRDefault="00E7483A" w:rsidP="00E7483A">
      <w:pPr>
        <w:ind w:left="360" w:hanging="360"/>
        <w:jc w:val="both"/>
        <w:rPr>
          <w:rFonts w:eastAsiaTheme="minorHAnsi"/>
          <w:i/>
          <w:sz w:val="20"/>
          <w:lang w:val="en-CA"/>
        </w:rPr>
      </w:pPr>
    </w:p>
    <w:p w:rsidR="00E7483A" w:rsidRPr="00E7483A" w:rsidRDefault="00E7483A" w:rsidP="00E7483A">
      <w:pPr>
        <w:pStyle w:val="ListParagraph"/>
        <w:numPr>
          <w:ilvl w:val="0"/>
          <w:numId w:val="16"/>
        </w:numPr>
        <w:ind w:left="360"/>
        <w:jc w:val="both"/>
        <w:rPr>
          <w:rFonts w:eastAsiaTheme="minorHAnsi"/>
          <w:sz w:val="20"/>
          <w:lang w:val="en-CA"/>
        </w:rPr>
      </w:pPr>
      <w:r w:rsidRPr="00E7483A">
        <w:rPr>
          <w:rFonts w:eastAsiaTheme="minorHAnsi"/>
          <w:i/>
          <w:sz w:val="20"/>
          <w:lang w:val="en-CA"/>
        </w:rPr>
        <w:t>Moulton Contracting Ltd. v. Her Majesty the Queen in Right of the Province of British Columbia et al.</w:t>
      </w:r>
      <w:r w:rsidRPr="00E7483A">
        <w:rPr>
          <w:rFonts w:eastAsiaTheme="minorHAnsi"/>
          <w:sz w:val="20"/>
          <w:lang w:val="en-CA"/>
        </w:rPr>
        <w:t xml:space="preserve"> (B.C.) (Civil) (By Leave) (</w:t>
      </w:r>
      <w:hyperlink r:id="rId9" w:history="1">
        <w:r w:rsidRPr="00E7483A">
          <w:rPr>
            <w:rStyle w:val="Hyperlink"/>
            <w:rFonts w:eastAsiaTheme="minorHAnsi"/>
            <w:sz w:val="20"/>
            <w:lang w:val="en-CA"/>
          </w:rPr>
          <w:t>36402</w:t>
        </w:r>
      </w:hyperlink>
      <w:r w:rsidRPr="00E7483A">
        <w:rPr>
          <w:rFonts w:eastAsiaTheme="minorHAnsi"/>
          <w:sz w:val="20"/>
          <w:lang w:val="en-CA"/>
        </w:rPr>
        <w:t>)</w:t>
      </w:r>
    </w:p>
    <w:p w:rsidR="00E7483A" w:rsidRPr="00E7483A" w:rsidRDefault="00E7483A" w:rsidP="00E7483A">
      <w:pPr>
        <w:ind w:left="360" w:hanging="360"/>
        <w:jc w:val="both"/>
        <w:rPr>
          <w:sz w:val="20"/>
          <w:u w:val="single"/>
          <w:lang w:val="en-CA"/>
        </w:rPr>
      </w:pPr>
    </w:p>
    <w:p w:rsidR="00E7483A" w:rsidRPr="00E7483A" w:rsidRDefault="00E7483A" w:rsidP="00E7483A">
      <w:pPr>
        <w:pStyle w:val="ListParagraph"/>
        <w:numPr>
          <w:ilvl w:val="0"/>
          <w:numId w:val="16"/>
        </w:numPr>
        <w:ind w:left="360"/>
        <w:jc w:val="both"/>
        <w:rPr>
          <w:rFonts w:eastAsiaTheme="minorEastAsia"/>
          <w:sz w:val="20"/>
          <w:u w:val="single"/>
          <w:lang w:val="fr-CA"/>
        </w:rPr>
      </w:pPr>
      <w:r w:rsidRPr="00E7483A">
        <w:rPr>
          <w:i/>
          <w:sz w:val="20"/>
          <w:lang w:val="fr-CA"/>
        </w:rPr>
        <w:t>Jean-François Morasse c. Gabriel Nadeau-Dubois</w:t>
      </w:r>
      <w:r w:rsidRPr="00E7483A">
        <w:rPr>
          <w:sz w:val="20"/>
          <w:lang w:val="fr-CA"/>
        </w:rPr>
        <w:t xml:space="preserve"> (</w:t>
      </w:r>
      <w:proofErr w:type="spellStart"/>
      <w:r w:rsidRPr="00E7483A">
        <w:rPr>
          <w:sz w:val="20"/>
          <w:lang w:val="fr-CA"/>
        </w:rPr>
        <w:t>Qc</w:t>
      </w:r>
      <w:proofErr w:type="spellEnd"/>
      <w:r w:rsidRPr="00E7483A">
        <w:rPr>
          <w:sz w:val="20"/>
          <w:lang w:val="fr-CA"/>
        </w:rPr>
        <w:t>) (Civile) (Autorisation) (</w:t>
      </w:r>
      <w:r w:rsidR="00B879B5">
        <w:fldChar w:fldCharType="begin"/>
      </w:r>
      <w:r w:rsidR="00B879B5" w:rsidRPr="00B879B5">
        <w:rPr>
          <w:lang w:val="fr-CA"/>
        </w:rPr>
        <w:instrText xml:space="preserve"> HYPERL</w:instrText>
      </w:r>
      <w:r w:rsidR="00B879B5" w:rsidRPr="00B879B5">
        <w:rPr>
          <w:lang w:val="fr-CA"/>
        </w:rPr>
        <w:instrText>INK "http://www.scc-csc.ca</w:instrText>
      </w:r>
      <w:r w:rsidR="00B879B5" w:rsidRPr="00B879B5">
        <w:rPr>
          <w:lang w:val="fr-CA"/>
        </w:rPr>
        <w:instrText xml:space="preserve">/case-dossier/info/sum-som-fra.aspx?cas=36351" </w:instrText>
      </w:r>
      <w:r w:rsidR="00B879B5">
        <w:fldChar w:fldCharType="separate"/>
      </w:r>
      <w:r w:rsidRPr="00E7483A">
        <w:rPr>
          <w:rStyle w:val="Hyperlink"/>
          <w:sz w:val="20"/>
          <w:lang w:val="fr-CA"/>
        </w:rPr>
        <w:t>36351</w:t>
      </w:r>
      <w:r w:rsidR="00B879B5">
        <w:rPr>
          <w:rStyle w:val="Hyperlink"/>
          <w:sz w:val="20"/>
          <w:lang w:val="fr-CA"/>
        </w:rPr>
        <w:fldChar w:fldCharType="end"/>
      </w:r>
      <w:r w:rsidRPr="00E7483A">
        <w:rPr>
          <w:sz w:val="20"/>
          <w:lang w:val="fr-CA"/>
        </w:rPr>
        <w:t>)</w:t>
      </w:r>
    </w:p>
    <w:p w:rsidR="00E95563" w:rsidRPr="003C24AA" w:rsidRDefault="00E95563" w:rsidP="00E95563">
      <w:pPr>
        <w:ind w:left="720" w:hanging="720"/>
        <w:jc w:val="both"/>
        <w:rPr>
          <w:sz w:val="20"/>
          <w:lang w:val="fr-CA"/>
        </w:rPr>
      </w:pPr>
    </w:p>
    <w:p w:rsidR="00A024F6" w:rsidRPr="003C24AA" w:rsidRDefault="00A024F6" w:rsidP="003C24AA">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3C24AA" w:rsidTr="00E95A6A">
        <w:tc>
          <w:tcPr>
            <w:tcW w:w="543" w:type="pct"/>
          </w:tcPr>
          <w:p w:rsidR="003C24AA" w:rsidRPr="003C24AA" w:rsidRDefault="003C24AA" w:rsidP="003C24AA">
            <w:pPr>
              <w:jc w:val="both"/>
              <w:rPr>
                <w:sz w:val="20"/>
              </w:rPr>
            </w:pPr>
            <w:r w:rsidRPr="003C24AA">
              <w:rPr>
                <w:rStyle w:val="SCCFileNumberChar"/>
                <w:sz w:val="20"/>
                <w:szCs w:val="20"/>
              </w:rPr>
              <w:t>36352</w:t>
            </w:r>
          </w:p>
        </w:tc>
        <w:tc>
          <w:tcPr>
            <w:tcW w:w="4457" w:type="pct"/>
            <w:gridSpan w:val="3"/>
          </w:tcPr>
          <w:p w:rsidR="003C24AA" w:rsidRPr="003C24AA" w:rsidRDefault="003C24AA" w:rsidP="003C24AA">
            <w:pPr>
              <w:pStyle w:val="SCCLsocParty"/>
              <w:jc w:val="both"/>
              <w:rPr>
                <w:b/>
                <w:sz w:val="20"/>
                <w:szCs w:val="20"/>
                <w:lang w:val="en-US"/>
              </w:rPr>
            </w:pPr>
            <w:r w:rsidRPr="003C24AA">
              <w:rPr>
                <w:b/>
                <w:sz w:val="20"/>
                <w:szCs w:val="20"/>
                <w:lang w:val="en-US"/>
              </w:rPr>
              <w:t xml:space="preserve">Chief Jesse John Simon, </w:t>
            </w:r>
            <w:proofErr w:type="spellStart"/>
            <w:r w:rsidRPr="003C24AA">
              <w:rPr>
                <w:b/>
                <w:sz w:val="20"/>
                <w:szCs w:val="20"/>
                <w:lang w:val="en-US"/>
              </w:rPr>
              <w:t>councillors</w:t>
            </w:r>
            <w:proofErr w:type="spellEnd"/>
            <w:r w:rsidRPr="003C24AA">
              <w:rPr>
                <w:b/>
                <w:sz w:val="20"/>
                <w:szCs w:val="20"/>
                <w:lang w:val="en-US"/>
              </w:rPr>
              <w:t xml:space="preserve"> Foster </w:t>
            </w:r>
            <w:proofErr w:type="spellStart"/>
            <w:r w:rsidRPr="003C24AA">
              <w:rPr>
                <w:b/>
                <w:sz w:val="20"/>
                <w:szCs w:val="20"/>
                <w:lang w:val="en-US"/>
              </w:rPr>
              <w:t>Nowlen</w:t>
            </w:r>
            <w:proofErr w:type="spellEnd"/>
            <w:r w:rsidRPr="003C24AA">
              <w:rPr>
                <w:b/>
                <w:sz w:val="20"/>
                <w:szCs w:val="20"/>
                <w:lang w:val="en-US"/>
              </w:rPr>
              <w:t xml:space="preserve"> Augustine, Stephen Peter Augustine, Robert Leo Francis, Mary Laura Levi, Robert Lloyd Levy, Joseph Dwayne </w:t>
            </w:r>
            <w:proofErr w:type="spellStart"/>
            <w:r w:rsidRPr="003C24AA">
              <w:rPr>
                <w:b/>
                <w:sz w:val="20"/>
                <w:szCs w:val="20"/>
                <w:lang w:val="en-US"/>
              </w:rPr>
              <w:t>Milliea</w:t>
            </w:r>
            <w:proofErr w:type="spellEnd"/>
            <w:r w:rsidRPr="003C24AA">
              <w:rPr>
                <w:b/>
                <w:sz w:val="20"/>
                <w:szCs w:val="20"/>
                <w:lang w:val="en-US"/>
              </w:rPr>
              <w:t xml:space="preserve">, Joseph James </w:t>
            </w:r>
            <w:proofErr w:type="spellStart"/>
            <w:r w:rsidRPr="003C24AA">
              <w:rPr>
                <w:b/>
                <w:sz w:val="20"/>
                <w:szCs w:val="20"/>
                <w:lang w:val="en-US"/>
              </w:rPr>
              <w:t>Luckie</w:t>
            </w:r>
            <w:proofErr w:type="spellEnd"/>
            <w:r w:rsidRPr="003C24AA">
              <w:rPr>
                <w:b/>
                <w:sz w:val="20"/>
                <w:szCs w:val="20"/>
                <w:lang w:val="en-US"/>
              </w:rPr>
              <w:t xml:space="preserve">, Tyrone </w:t>
            </w:r>
            <w:proofErr w:type="spellStart"/>
            <w:r w:rsidRPr="003C24AA">
              <w:rPr>
                <w:b/>
                <w:sz w:val="20"/>
                <w:szCs w:val="20"/>
                <w:lang w:val="en-US"/>
              </w:rPr>
              <w:t>Millier</w:t>
            </w:r>
            <w:proofErr w:type="spellEnd"/>
            <w:r w:rsidRPr="003C24AA">
              <w:rPr>
                <w:b/>
                <w:sz w:val="20"/>
                <w:szCs w:val="20"/>
                <w:lang w:val="en-US"/>
              </w:rPr>
              <w:t xml:space="preserve">, Mary-Jane </w:t>
            </w:r>
            <w:proofErr w:type="spellStart"/>
            <w:r w:rsidRPr="003C24AA">
              <w:rPr>
                <w:b/>
                <w:sz w:val="20"/>
                <w:szCs w:val="20"/>
                <w:lang w:val="en-US"/>
              </w:rPr>
              <w:t>Millier</w:t>
            </w:r>
            <w:proofErr w:type="spellEnd"/>
            <w:r w:rsidRPr="003C24AA">
              <w:rPr>
                <w:b/>
                <w:sz w:val="20"/>
                <w:szCs w:val="20"/>
                <w:lang w:val="en-US"/>
              </w:rPr>
              <w:t xml:space="preserve">, Joseph Darrell Simon, </w:t>
            </w:r>
            <w:proofErr w:type="spellStart"/>
            <w:r w:rsidRPr="003C24AA">
              <w:rPr>
                <w:b/>
                <w:sz w:val="20"/>
                <w:szCs w:val="20"/>
                <w:lang w:val="en-US"/>
              </w:rPr>
              <w:t>Arren</w:t>
            </w:r>
            <w:proofErr w:type="spellEnd"/>
            <w:r w:rsidRPr="003C24AA">
              <w:rPr>
                <w:b/>
                <w:sz w:val="20"/>
                <w:szCs w:val="20"/>
                <w:lang w:val="en-US"/>
              </w:rPr>
              <w:t xml:space="preserve"> James Sock,, Jonathan Craig Sock and Marvin Joseph Sock on behalf of themselves and the members of the </w:t>
            </w:r>
            <w:proofErr w:type="spellStart"/>
            <w:r w:rsidRPr="003C24AA">
              <w:rPr>
                <w:b/>
                <w:sz w:val="20"/>
                <w:szCs w:val="20"/>
                <w:lang w:val="en-US"/>
              </w:rPr>
              <w:t>Elsipogtog</w:t>
            </w:r>
            <w:proofErr w:type="spellEnd"/>
            <w:r w:rsidRPr="003C24AA">
              <w:rPr>
                <w:b/>
                <w:sz w:val="20"/>
                <w:szCs w:val="20"/>
                <w:lang w:val="en-US"/>
              </w:rPr>
              <w:t xml:space="preserve"> First Nation, and on behalf of the </w:t>
            </w:r>
            <w:proofErr w:type="spellStart"/>
            <w:r w:rsidRPr="003C24AA">
              <w:rPr>
                <w:b/>
                <w:sz w:val="20"/>
                <w:szCs w:val="20"/>
                <w:lang w:val="en-US"/>
              </w:rPr>
              <w:t>Mi'gmag</w:t>
            </w:r>
            <w:proofErr w:type="spellEnd"/>
            <w:r w:rsidRPr="003C24AA">
              <w:rPr>
                <w:b/>
                <w:sz w:val="20"/>
                <w:szCs w:val="20"/>
                <w:lang w:val="en-US"/>
              </w:rPr>
              <w:t xml:space="preserve"> First Nations of New Brunswick, and on behalf of the members of </w:t>
            </w:r>
            <w:proofErr w:type="spellStart"/>
            <w:r w:rsidRPr="003C24AA">
              <w:rPr>
                <w:b/>
                <w:sz w:val="20"/>
                <w:szCs w:val="20"/>
                <w:lang w:val="en-US"/>
              </w:rPr>
              <w:t>Mi'gmag</w:t>
            </w:r>
            <w:proofErr w:type="spellEnd"/>
            <w:r w:rsidRPr="003C24AA">
              <w:rPr>
                <w:b/>
                <w:sz w:val="20"/>
                <w:szCs w:val="20"/>
                <w:lang w:val="en-US"/>
              </w:rPr>
              <w:t xml:space="preserve"> First Nations of New Brunswick, Chief Stewart Paul and councilors Gerald Bear, </w:t>
            </w:r>
            <w:proofErr w:type="spellStart"/>
            <w:r w:rsidRPr="003C24AA">
              <w:rPr>
                <w:b/>
                <w:sz w:val="20"/>
                <w:szCs w:val="20"/>
                <w:lang w:val="en-US"/>
              </w:rPr>
              <w:t>Darrah</w:t>
            </w:r>
            <w:proofErr w:type="spellEnd"/>
            <w:r w:rsidRPr="003C24AA">
              <w:rPr>
                <w:b/>
                <w:sz w:val="20"/>
                <w:szCs w:val="20"/>
                <w:lang w:val="en-US"/>
              </w:rPr>
              <w:t xml:space="preserve"> Beaver, Edwin Bernard, Eldon Bernard, Brenda </w:t>
            </w:r>
            <w:proofErr w:type="spellStart"/>
            <w:r w:rsidRPr="003C24AA">
              <w:rPr>
                <w:b/>
                <w:sz w:val="20"/>
                <w:szCs w:val="20"/>
                <w:lang w:val="en-US"/>
              </w:rPr>
              <w:t>Hafke-Perley</w:t>
            </w:r>
            <w:proofErr w:type="spellEnd"/>
            <w:r w:rsidRPr="003C24AA">
              <w:rPr>
                <w:b/>
                <w:sz w:val="20"/>
                <w:szCs w:val="20"/>
                <w:lang w:val="en-US"/>
              </w:rPr>
              <w:t xml:space="preserve">, Tim Nicholas, Kim </w:t>
            </w:r>
            <w:proofErr w:type="spellStart"/>
            <w:r w:rsidRPr="003C24AA">
              <w:rPr>
                <w:b/>
                <w:sz w:val="20"/>
                <w:szCs w:val="20"/>
                <w:lang w:val="en-US"/>
              </w:rPr>
              <w:t>Perley</w:t>
            </w:r>
            <w:proofErr w:type="spellEnd"/>
            <w:r w:rsidRPr="003C24AA">
              <w:rPr>
                <w:b/>
                <w:sz w:val="20"/>
                <w:szCs w:val="20"/>
                <w:lang w:val="en-US"/>
              </w:rPr>
              <w:t xml:space="preserve">, Ross </w:t>
            </w:r>
            <w:proofErr w:type="spellStart"/>
            <w:r w:rsidRPr="003C24AA">
              <w:rPr>
                <w:b/>
                <w:sz w:val="20"/>
                <w:szCs w:val="20"/>
                <w:lang w:val="en-US"/>
              </w:rPr>
              <w:t>Perley</w:t>
            </w:r>
            <w:proofErr w:type="spellEnd"/>
            <w:r w:rsidRPr="003C24AA">
              <w:rPr>
                <w:b/>
                <w:sz w:val="20"/>
                <w:szCs w:val="20"/>
                <w:lang w:val="en-US"/>
              </w:rPr>
              <w:t xml:space="preserve">, Theresa (Hart) </w:t>
            </w:r>
            <w:proofErr w:type="spellStart"/>
            <w:r w:rsidRPr="003C24AA">
              <w:rPr>
                <w:b/>
                <w:sz w:val="20"/>
                <w:szCs w:val="20"/>
                <w:lang w:val="en-US"/>
              </w:rPr>
              <w:t>Perley</w:t>
            </w:r>
            <w:proofErr w:type="spellEnd"/>
            <w:r w:rsidRPr="003C24AA">
              <w:rPr>
                <w:b/>
                <w:sz w:val="20"/>
                <w:szCs w:val="20"/>
                <w:lang w:val="en-US"/>
              </w:rPr>
              <w:t xml:space="preserve">, Tina </w:t>
            </w:r>
            <w:proofErr w:type="spellStart"/>
            <w:r w:rsidRPr="003C24AA">
              <w:rPr>
                <w:b/>
                <w:sz w:val="20"/>
                <w:szCs w:val="20"/>
                <w:lang w:val="en-US"/>
              </w:rPr>
              <w:t>Perley</w:t>
            </w:r>
            <w:proofErr w:type="spellEnd"/>
            <w:r w:rsidRPr="003C24AA">
              <w:rPr>
                <w:b/>
                <w:sz w:val="20"/>
                <w:szCs w:val="20"/>
                <w:lang w:val="en-US"/>
              </w:rPr>
              <w:t xml:space="preserve">-Martin,, Paul Pyres and Laura (Lara) Sappier on behalf of themselves and the members of </w:t>
            </w:r>
            <w:proofErr w:type="spellStart"/>
            <w:r w:rsidRPr="003C24AA">
              <w:rPr>
                <w:b/>
                <w:sz w:val="20"/>
                <w:szCs w:val="20"/>
                <w:lang w:val="en-US"/>
              </w:rPr>
              <w:t>Tobique</w:t>
            </w:r>
            <w:proofErr w:type="spellEnd"/>
            <w:r w:rsidRPr="003C24AA">
              <w:rPr>
                <w:b/>
                <w:sz w:val="20"/>
                <w:szCs w:val="20"/>
                <w:lang w:val="en-US"/>
              </w:rPr>
              <w:t xml:space="preserve"> First Nation and on behalf of the Maliseet First Nations of </w:t>
            </w:r>
            <w:proofErr w:type="spellStart"/>
            <w:r w:rsidRPr="003C24AA">
              <w:rPr>
                <w:b/>
                <w:sz w:val="20"/>
                <w:szCs w:val="20"/>
                <w:lang w:val="en-US"/>
              </w:rPr>
              <w:t>Kingsclear</w:t>
            </w:r>
            <w:proofErr w:type="spellEnd"/>
            <w:r w:rsidRPr="003C24AA">
              <w:rPr>
                <w:b/>
                <w:sz w:val="20"/>
                <w:szCs w:val="20"/>
                <w:lang w:val="en-US"/>
              </w:rPr>
              <w:t xml:space="preserve">, </w:t>
            </w:r>
            <w:proofErr w:type="spellStart"/>
            <w:r w:rsidRPr="003C24AA">
              <w:rPr>
                <w:b/>
                <w:sz w:val="20"/>
                <w:szCs w:val="20"/>
                <w:lang w:val="en-US"/>
              </w:rPr>
              <w:t>Oromocto</w:t>
            </w:r>
            <w:proofErr w:type="spellEnd"/>
            <w:r w:rsidRPr="003C24AA">
              <w:rPr>
                <w:b/>
                <w:sz w:val="20"/>
                <w:szCs w:val="20"/>
                <w:lang w:val="en-US"/>
              </w:rPr>
              <w:t xml:space="preserve"> and Woodstock and the members of the Maliseet First Nations of </w:t>
            </w:r>
            <w:proofErr w:type="spellStart"/>
            <w:r w:rsidRPr="003C24AA">
              <w:rPr>
                <w:b/>
                <w:sz w:val="20"/>
                <w:szCs w:val="20"/>
                <w:lang w:val="en-US"/>
              </w:rPr>
              <w:t>Kingsclear</w:t>
            </w:r>
            <w:proofErr w:type="spellEnd"/>
            <w:r w:rsidRPr="003C24AA">
              <w:rPr>
                <w:b/>
                <w:sz w:val="20"/>
                <w:szCs w:val="20"/>
                <w:lang w:val="en-US"/>
              </w:rPr>
              <w:t xml:space="preserve">,, </w:t>
            </w:r>
            <w:proofErr w:type="spellStart"/>
            <w:r w:rsidRPr="003C24AA">
              <w:rPr>
                <w:b/>
                <w:sz w:val="20"/>
                <w:szCs w:val="20"/>
                <w:lang w:val="en-US"/>
              </w:rPr>
              <w:t>Oromocto</w:t>
            </w:r>
            <w:proofErr w:type="spellEnd"/>
            <w:r w:rsidRPr="003C24AA">
              <w:rPr>
                <w:b/>
                <w:sz w:val="20"/>
                <w:szCs w:val="20"/>
                <w:lang w:val="en-US"/>
              </w:rPr>
              <w:t xml:space="preserve"> and Woodstock, Chief Leroy Denny and councilors Bertram (</w:t>
            </w:r>
            <w:proofErr w:type="spellStart"/>
            <w:r w:rsidRPr="003C24AA">
              <w:rPr>
                <w:b/>
                <w:sz w:val="20"/>
                <w:szCs w:val="20"/>
                <w:lang w:val="en-US"/>
              </w:rPr>
              <w:t>Muin</w:t>
            </w:r>
            <w:proofErr w:type="spellEnd"/>
            <w:r w:rsidRPr="003C24AA">
              <w:rPr>
                <w:b/>
                <w:sz w:val="20"/>
                <w:szCs w:val="20"/>
                <w:lang w:val="en-US"/>
              </w:rPr>
              <w:t xml:space="preserve">) Bernard, Leon Charles Denny, Oliver Jr. (Sappy) Denny, Barry C. Francis, Gerald Robert Francis, Eldon Gould, Allan Wayne </w:t>
            </w:r>
            <w:proofErr w:type="spellStart"/>
            <w:r w:rsidRPr="003C24AA">
              <w:rPr>
                <w:b/>
                <w:sz w:val="20"/>
                <w:szCs w:val="20"/>
                <w:lang w:val="en-US"/>
              </w:rPr>
              <w:t>Jeddore</w:t>
            </w:r>
            <w:proofErr w:type="spellEnd"/>
            <w:r w:rsidRPr="003C24AA">
              <w:rPr>
                <w:b/>
                <w:sz w:val="20"/>
                <w:szCs w:val="20"/>
                <w:lang w:val="en-US"/>
              </w:rPr>
              <w:t xml:space="preserve">, Derek Robert Johnson, Kimberly </w:t>
            </w:r>
            <w:r w:rsidRPr="003C24AA">
              <w:rPr>
                <w:b/>
                <w:sz w:val="20"/>
                <w:szCs w:val="20"/>
                <w:lang w:val="en-US"/>
              </w:rPr>
              <w:lastRenderedPageBreak/>
              <w:t xml:space="preserve">Ann Marshall, Brendon Joseph </w:t>
            </w:r>
            <w:proofErr w:type="spellStart"/>
            <w:r w:rsidRPr="003C24AA">
              <w:rPr>
                <w:b/>
                <w:sz w:val="20"/>
                <w:szCs w:val="20"/>
                <w:lang w:val="en-US"/>
              </w:rPr>
              <w:t>Poulette</w:t>
            </w:r>
            <w:proofErr w:type="spellEnd"/>
            <w:r w:rsidRPr="003C24AA">
              <w:rPr>
                <w:b/>
                <w:sz w:val="20"/>
                <w:szCs w:val="20"/>
                <w:lang w:val="en-US"/>
              </w:rPr>
              <w:t xml:space="preserve">,, John Frank Toney and Charles Blaise Young on behalf of themselves and the members of </w:t>
            </w:r>
            <w:proofErr w:type="spellStart"/>
            <w:r w:rsidRPr="003C24AA">
              <w:rPr>
                <w:b/>
                <w:sz w:val="20"/>
                <w:szCs w:val="20"/>
                <w:lang w:val="en-US"/>
              </w:rPr>
              <w:t>Eskasoni</w:t>
            </w:r>
            <w:proofErr w:type="spellEnd"/>
            <w:r w:rsidRPr="003C24AA">
              <w:rPr>
                <w:b/>
                <w:sz w:val="20"/>
                <w:szCs w:val="20"/>
                <w:lang w:val="en-US"/>
              </w:rPr>
              <w:t xml:space="preserve"> First Nation and on behalf of the Mi'kmaq First Nations of Acadia, Annapolis Valley, Bear River, </w:t>
            </w:r>
            <w:proofErr w:type="spellStart"/>
            <w:r w:rsidRPr="003C24AA">
              <w:rPr>
                <w:b/>
                <w:sz w:val="20"/>
                <w:szCs w:val="20"/>
                <w:lang w:val="en-US"/>
              </w:rPr>
              <w:t>Glooscap</w:t>
            </w:r>
            <w:proofErr w:type="spellEnd"/>
            <w:r w:rsidRPr="003C24AA">
              <w:rPr>
                <w:b/>
                <w:sz w:val="20"/>
                <w:szCs w:val="20"/>
                <w:lang w:val="en-US"/>
              </w:rPr>
              <w:t xml:space="preserve">, Millbrook, </w:t>
            </w:r>
            <w:proofErr w:type="spellStart"/>
            <w:r w:rsidRPr="003C24AA">
              <w:rPr>
                <w:b/>
                <w:sz w:val="20"/>
                <w:szCs w:val="20"/>
                <w:lang w:val="en-US"/>
              </w:rPr>
              <w:t>Paqtnkek</w:t>
            </w:r>
            <w:proofErr w:type="spellEnd"/>
            <w:r w:rsidRPr="003C24AA">
              <w:rPr>
                <w:b/>
                <w:sz w:val="20"/>
                <w:szCs w:val="20"/>
                <w:lang w:val="en-US"/>
              </w:rPr>
              <w:t xml:space="preserve">, Pictou Landing, </w:t>
            </w:r>
            <w:proofErr w:type="spellStart"/>
            <w:r w:rsidRPr="003C24AA">
              <w:rPr>
                <w:b/>
                <w:sz w:val="20"/>
                <w:szCs w:val="20"/>
                <w:lang w:val="en-US"/>
              </w:rPr>
              <w:t>Potlotek</w:t>
            </w:r>
            <w:proofErr w:type="spellEnd"/>
            <w:r w:rsidRPr="003C24AA">
              <w:rPr>
                <w:b/>
                <w:sz w:val="20"/>
                <w:szCs w:val="20"/>
                <w:lang w:val="en-US"/>
              </w:rPr>
              <w:t xml:space="preserve">,, </w:t>
            </w:r>
            <w:proofErr w:type="spellStart"/>
            <w:r w:rsidRPr="003C24AA">
              <w:rPr>
                <w:b/>
                <w:sz w:val="20"/>
                <w:szCs w:val="20"/>
                <w:lang w:val="en-US"/>
              </w:rPr>
              <w:t>Shubenacadie</w:t>
            </w:r>
            <w:proofErr w:type="spellEnd"/>
            <w:r w:rsidRPr="003C24AA">
              <w:rPr>
                <w:b/>
                <w:sz w:val="20"/>
                <w:szCs w:val="20"/>
                <w:lang w:val="en-US"/>
              </w:rPr>
              <w:t xml:space="preserve">, </w:t>
            </w:r>
            <w:proofErr w:type="spellStart"/>
            <w:r w:rsidRPr="003C24AA">
              <w:rPr>
                <w:b/>
                <w:sz w:val="20"/>
                <w:szCs w:val="20"/>
                <w:lang w:val="en-US"/>
              </w:rPr>
              <w:t>Wagmatcook</w:t>
            </w:r>
            <w:proofErr w:type="spellEnd"/>
            <w:r w:rsidRPr="003C24AA">
              <w:rPr>
                <w:b/>
                <w:sz w:val="20"/>
                <w:szCs w:val="20"/>
                <w:lang w:val="en-US"/>
              </w:rPr>
              <w:t xml:space="preserve"> and </w:t>
            </w:r>
            <w:proofErr w:type="spellStart"/>
            <w:r w:rsidRPr="003C24AA">
              <w:rPr>
                <w:b/>
                <w:sz w:val="20"/>
                <w:szCs w:val="20"/>
                <w:lang w:val="en-US"/>
              </w:rPr>
              <w:t>Waycobah</w:t>
            </w:r>
            <w:proofErr w:type="spellEnd"/>
            <w:r w:rsidRPr="003C24AA">
              <w:rPr>
                <w:b/>
                <w:sz w:val="20"/>
                <w:szCs w:val="20"/>
                <w:lang w:val="en-US"/>
              </w:rPr>
              <w:t xml:space="preserve"> and the members of Mi'kmaq First Nations of Acadia, Annapolis Valley, Bear River, </w:t>
            </w:r>
            <w:proofErr w:type="spellStart"/>
            <w:r w:rsidRPr="003C24AA">
              <w:rPr>
                <w:b/>
                <w:sz w:val="20"/>
                <w:szCs w:val="20"/>
                <w:lang w:val="en-US"/>
              </w:rPr>
              <w:t>Glooscap</w:t>
            </w:r>
            <w:proofErr w:type="spellEnd"/>
            <w:r w:rsidRPr="003C24AA">
              <w:rPr>
                <w:b/>
                <w:sz w:val="20"/>
                <w:szCs w:val="20"/>
                <w:lang w:val="en-US"/>
              </w:rPr>
              <w:t xml:space="preserve">, Millbrook, </w:t>
            </w:r>
            <w:proofErr w:type="spellStart"/>
            <w:r w:rsidRPr="003C24AA">
              <w:rPr>
                <w:b/>
                <w:sz w:val="20"/>
                <w:szCs w:val="20"/>
                <w:lang w:val="en-US"/>
              </w:rPr>
              <w:t>Paqtnkek</w:t>
            </w:r>
            <w:proofErr w:type="spellEnd"/>
            <w:r w:rsidRPr="003C24AA">
              <w:rPr>
                <w:b/>
                <w:sz w:val="20"/>
                <w:szCs w:val="20"/>
                <w:lang w:val="en-US"/>
              </w:rPr>
              <w:t xml:space="preserve">, Pictou Landing, </w:t>
            </w:r>
            <w:proofErr w:type="spellStart"/>
            <w:r w:rsidRPr="003C24AA">
              <w:rPr>
                <w:b/>
                <w:sz w:val="20"/>
                <w:szCs w:val="20"/>
                <w:lang w:val="en-US"/>
              </w:rPr>
              <w:t>Potlotek</w:t>
            </w:r>
            <w:proofErr w:type="spellEnd"/>
            <w:r w:rsidRPr="003C24AA">
              <w:rPr>
                <w:b/>
                <w:sz w:val="20"/>
                <w:szCs w:val="20"/>
                <w:lang w:val="en-US"/>
              </w:rPr>
              <w:t xml:space="preserve">, </w:t>
            </w:r>
            <w:proofErr w:type="spellStart"/>
            <w:r w:rsidRPr="003C24AA">
              <w:rPr>
                <w:b/>
                <w:sz w:val="20"/>
                <w:szCs w:val="20"/>
                <w:lang w:val="en-US"/>
              </w:rPr>
              <w:t>Shubenacadie</w:t>
            </w:r>
            <w:proofErr w:type="spellEnd"/>
            <w:r w:rsidRPr="003C24AA">
              <w:rPr>
                <w:b/>
                <w:sz w:val="20"/>
                <w:szCs w:val="20"/>
                <w:lang w:val="en-US"/>
              </w:rPr>
              <w:t xml:space="preserve">, </w:t>
            </w:r>
            <w:proofErr w:type="spellStart"/>
            <w:r w:rsidRPr="003C24AA">
              <w:rPr>
                <w:b/>
                <w:sz w:val="20"/>
                <w:szCs w:val="20"/>
                <w:lang w:val="en-US"/>
              </w:rPr>
              <w:t>Wagmatcook</w:t>
            </w:r>
            <w:proofErr w:type="spellEnd"/>
            <w:r w:rsidRPr="003C24AA">
              <w:rPr>
                <w:b/>
                <w:sz w:val="20"/>
                <w:szCs w:val="20"/>
                <w:lang w:val="en-US"/>
              </w:rPr>
              <w:t xml:space="preserve"> and </w:t>
            </w:r>
            <w:proofErr w:type="spellStart"/>
            <w:r w:rsidRPr="003C24AA">
              <w:rPr>
                <w:b/>
                <w:sz w:val="20"/>
                <w:szCs w:val="20"/>
                <w:lang w:val="en-US"/>
              </w:rPr>
              <w:t>Waycobah</w:t>
            </w:r>
            <w:proofErr w:type="spellEnd"/>
            <w:r w:rsidRPr="003C24AA">
              <w:rPr>
                <w:b/>
                <w:sz w:val="20"/>
                <w:szCs w:val="20"/>
                <w:lang w:val="en-US"/>
              </w:rPr>
              <w:t xml:space="preserve">, Chief Brian Francis and councilors Danny Levi and Daren </w:t>
            </w:r>
            <w:proofErr w:type="spellStart"/>
            <w:r w:rsidRPr="003C24AA">
              <w:rPr>
                <w:b/>
                <w:sz w:val="20"/>
                <w:szCs w:val="20"/>
                <w:lang w:val="en-US"/>
              </w:rPr>
              <w:t>Knockwood</w:t>
            </w:r>
            <w:proofErr w:type="spellEnd"/>
            <w:r w:rsidRPr="003C24AA">
              <w:rPr>
                <w:b/>
                <w:sz w:val="20"/>
                <w:szCs w:val="20"/>
                <w:lang w:val="en-US"/>
              </w:rPr>
              <w:t xml:space="preserve"> on behalf of themselves and the members of </w:t>
            </w:r>
            <w:proofErr w:type="spellStart"/>
            <w:r w:rsidRPr="003C24AA">
              <w:rPr>
                <w:b/>
                <w:sz w:val="20"/>
                <w:szCs w:val="20"/>
                <w:lang w:val="en-US"/>
              </w:rPr>
              <w:t>Abegweit</w:t>
            </w:r>
            <w:proofErr w:type="spellEnd"/>
            <w:r w:rsidRPr="003C24AA">
              <w:rPr>
                <w:b/>
                <w:sz w:val="20"/>
                <w:szCs w:val="20"/>
                <w:lang w:val="en-US"/>
              </w:rPr>
              <w:t xml:space="preserve"> First Nations v. Attorney General of Canada</w:t>
            </w:r>
          </w:p>
          <w:p w:rsidR="003C24AA" w:rsidRPr="003C24AA" w:rsidRDefault="003C24AA" w:rsidP="003C24AA">
            <w:pPr>
              <w:jc w:val="both"/>
              <w:rPr>
                <w:sz w:val="20"/>
              </w:rPr>
            </w:pPr>
            <w:r w:rsidRPr="003C24AA">
              <w:rPr>
                <w:sz w:val="20"/>
              </w:rPr>
              <w:t>(FC) (Civil) (By Leave)</w:t>
            </w:r>
          </w:p>
        </w:tc>
      </w:tr>
      <w:tr w:rsidR="003C24AA" w:rsidRPr="003C24AA" w:rsidTr="00E95A6A">
        <w:tc>
          <w:tcPr>
            <w:tcW w:w="5000" w:type="pct"/>
            <w:gridSpan w:val="4"/>
          </w:tcPr>
          <w:p w:rsidR="003C24AA" w:rsidRPr="003C24AA" w:rsidRDefault="003C24AA" w:rsidP="003C24AA">
            <w:pPr>
              <w:jc w:val="both"/>
              <w:rPr>
                <w:sz w:val="20"/>
              </w:rPr>
            </w:pPr>
            <w:r w:rsidRPr="003C24AA">
              <w:rPr>
                <w:sz w:val="20"/>
              </w:rPr>
              <w:lastRenderedPageBreak/>
              <w:t>Aboriginal law – Administrative law – Duties of the Crown – Judicial review – Consultation and accommodation – First Nation challenging decision by Minister requiring on-reserve income assistance programs to be in strict compliance with provincial criteria – What legal framework applies to the determination of whether the decision was reasonable? – Was the decision to move to the new “selective mirroring” interpretation of “comparability” reasonable? – Did the government owe procedural obligations to the Applicants before moving to the new “selective mirroring” interpretation of “comparability”?</w:t>
            </w:r>
          </w:p>
        </w:tc>
      </w:tr>
      <w:tr w:rsidR="003C24AA" w:rsidRPr="003C24AA" w:rsidTr="00E95A6A">
        <w:tc>
          <w:tcPr>
            <w:tcW w:w="5000" w:type="pct"/>
            <w:gridSpan w:val="4"/>
          </w:tcPr>
          <w:p w:rsidR="003C24AA" w:rsidRPr="003C24AA" w:rsidRDefault="003C24AA" w:rsidP="003C24AA">
            <w:pPr>
              <w:jc w:val="both"/>
              <w:rPr>
                <w:sz w:val="20"/>
              </w:rPr>
            </w:pPr>
          </w:p>
        </w:tc>
      </w:tr>
      <w:tr w:rsidR="003C24AA" w:rsidRPr="003C24AA" w:rsidTr="00E95A6A">
        <w:tc>
          <w:tcPr>
            <w:tcW w:w="5000" w:type="pct"/>
            <w:gridSpan w:val="4"/>
          </w:tcPr>
          <w:p w:rsidR="003C24AA" w:rsidRPr="003C24AA" w:rsidRDefault="003C24AA" w:rsidP="003C24AA">
            <w:pPr>
              <w:jc w:val="both"/>
              <w:rPr>
                <w:color w:val="000000"/>
                <w:sz w:val="20"/>
              </w:rPr>
            </w:pPr>
            <w:r w:rsidRPr="003C24AA">
              <w:rPr>
                <w:color w:val="000000"/>
                <w:sz w:val="20"/>
              </w:rPr>
              <w:t>The present leave application relates to the eligibility criteria for income assistance on First Nation reserves in Atlantic Canada.  The Applicants, four First Nations on behalf of 26 Maritime and Maliseet Bands, challenged a decision by the Minister of Aboriginal Affairs undertaken to ensure strict compliance with the provincial eligibility criteria in accordance with pre-existing obligations under agreements with the Treasury Board, particularly a 1990 Memorandum of Understanding (“MOU”).  Previously, the Applicants had utilized criteria reasonably comparable to the provincial criteria.  The Applicants sought judicial review on the basis that the change was an unconstitutional abandonment or sub-delegation of government power, occurred without meaningful consultation, and failed to meet the requirement of procedural fairness in accordance with legitimate expectations arising from the Applicants’ past dealings with the Crown.</w:t>
            </w:r>
          </w:p>
          <w:p w:rsidR="003C24AA" w:rsidRPr="003C24AA" w:rsidRDefault="003C24AA" w:rsidP="003C24AA">
            <w:pPr>
              <w:jc w:val="both"/>
              <w:rPr>
                <w:sz w:val="20"/>
              </w:rPr>
            </w:pPr>
          </w:p>
        </w:tc>
      </w:tr>
      <w:tr w:rsidR="003C24AA" w:rsidRPr="003C24AA" w:rsidTr="00E95A6A">
        <w:tc>
          <w:tcPr>
            <w:tcW w:w="2427" w:type="pct"/>
            <w:gridSpan w:val="2"/>
          </w:tcPr>
          <w:p w:rsidR="003C24AA" w:rsidRPr="003C24AA" w:rsidRDefault="003C24AA" w:rsidP="003C24AA">
            <w:pPr>
              <w:jc w:val="both"/>
              <w:rPr>
                <w:sz w:val="20"/>
              </w:rPr>
            </w:pPr>
            <w:r w:rsidRPr="003C24AA">
              <w:rPr>
                <w:sz w:val="20"/>
              </w:rPr>
              <w:t>April 2, 2012</w:t>
            </w:r>
          </w:p>
          <w:p w:rsidR="003C24AA" w:rsidRPr="003C24AA" w:rsidRDefault="003C24AA" w:rsidP="003C24AA">
            <w:pPr>
              <w:jc w:val="both"/>
              <w:rPr>
                <w:sz w:val="20"/>
              </w:rPr>
            </w:pPr>
            <w:r w:rsidRPr="003C24AA">
              <w:rPr>
                <w:sz w:val="20"/>
              </w:rPr>
              <w:t>Federal Court</w:t>
            </w:r>
          </w:p>
          <w:p w:rsidR="003C24AA" w:rsidRDefault="003C24AA" w:rsidP="003C24AA">
            <w:pPr>
              <w:jc w:val="both"/>
              <w:rPr>
                <w:sz w:val="20"/>
              </w:rPr>
            </w:pPr>
            <w:r w:rsidRPr="003C24AA">
              <w:rPr>
                <w:sz w:val="20"/>
              </w:rPr>
              <w:t>(Simpson F.C.J.)</w:t>
            </w:r>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Motion: Interlocutory injunction restraining implementation of Minister’s decision granted.</w:t>
            </w:r>
          </w:p>
        </w:tc>
      </w:tr>
      <w:tr w:rsidR="003C24AA" w:rsidRPr="003C24AA" w:rsidTr="00E95A6A">
        <w:tc>
          <w:tcPr>
            <w:tcW w:w="2427" w:type="pct"/>
            <w:gridSpan w:val="2"/>
          </w:tcPr>
          <w:p w:rsidR="003C24AA" w:rsidRPr="003C24AA" w:rsidRDefault="003C24AA" w:rsidP="003C24AA">
            <w:pPr>
              <w:jc w:val="both"/>
              <w:rPr>
                <w:sz w:val="20"/>
              </w:rPr>
            </w:pPr>
            <w:r w:rsidRPr="003C24AA">
              <w:rPr>
                <w:sz w:val="20"/>
              </w:rPr>
              <w:t>November 28, 2012</w:t>
            </w:r>
          </w:p>
          <w:p w:rsidR="003C24AA" w:rsidRPr="003C24AA" w:rsidRDefault="003C24AA" w:rsidP="003C24AA">
            <w:pPr>
              <w:jc w:val="both"/>
              <w:rPr>
                <w:sz w:val="20"/>
              </w:rPr>
            </w:pPr>
            <w:r w:rsidRPr="003C24AA">
              <w:rPr>
                <w:sz w:val="20"/>
              </w:rPr>
              <w:t>Federal Court of Appeal</w:t>
            </w:r>
          </w:p>
          <w:p w:rsidR="003C24AA" w:rsidRPr="003C24AA" w:rsidRDefault="003C24AA" w:rsidP="003C24AA">
            <w:pPr>
              <w:jc w:val="both"/>
              <w:rPr>
                <w:sz w:val="20"/>
              </w:rPr>
            </w:pPr>
            <w:r w:rsidRPr="003C24AA">
              <w:rPr>
                <w:sz w:val="20"/>
              </w:rPr>
              <w:t xml:space="preserve">(Noël C.J., </w:t>
            </w:r>
            <w:proofErr w:type="spellStart"/>
            <w:r w:rsidRPr="003C24AA">
              <w:rPr>
                <w:sz w:val="20"/>
              </w:rPr>
              <w:t>Mainville</w:t>
            </w:r>
            <w:proofErr w:type="spellEnd"/>
            <w:r w:rsidRPr="003C24AA">
              <w:rPr>
                <w:sz w:val="20"/>
              </w:rPr>
              <w:t xml:space="preserve"> and Webb JJ.A.)</w:t>
            </w:r>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Respondent Crown’s appeal of interlocutory injunction dismissed.</w:t>
            </w:r>
          </w:p>
        </w:tc>
      </w:tr>
      <w:tr w:rsidR="003C24AA" w:rsidRPr="003C24AA" w:rsidTr="00E95A6A">
        <w:tc>
          <w:tcPr>
            <w:tcW w:w="2427" w:type="pct"/>
            <w:gridSpan w:val="2"/>
          </w:tcPr>
          <w:p w:rsidR="003C24AA" w:rsidRPr="003C24AA" w:rsidRDefault="003C24AA" w:rsidP="003C24AA">
            <w:pPr>
              <w:jc w:val="both"/>
              <w:rPr>
                <w:sz w:val="20"/>
              </w:rPr>
            </w:pPr>
            <w:r w:rsidRPr="003C24AA">
              <w:rPr>
                <w:sz w:val="20"/>
              </w:rPr>
              <w:t>November 4, 2013</w:t>
            </w:r>
          </w:p>
          <w:p w:rsidR="003C24AA" w:rsidRPr="003C24AA" w:rsidRDefault="003C24AA" w:rsidP="003C24AA">
            <w:pPr>
              <w:jc w:val="both"/>
              <w:rPr>
                <w:sz w:val="20"/>
              </w:rPr>
            </w:pPr>
            <w:r w:rsidRPr="003C24AA">
              <w:rPr>
                <w:sz w:val="20"/>
              </w:rPr>
              <w:t>Federal Court</w:t>
            </w:r>
          </w:p>
          <w:p w:rsidR="003C24AA" w:rsidRPr="003C24AA" w:rsidRDefault="003C24AA" w:rsidP="003C24AA">
            <w:pPr>
              <w:jc w:val="both"/>
              <w:rPr>
                <w:sz w:val="20"/>
              </w:rPr>
            </w:pPr>
            <w:r w:rsidRPr="003C24AA">
              <w:rPr>
                <w:sz w:val="20"/>
              </w:rPr>
              <w:t>(Scott F.C.J..)</w:t>
            </w:r>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Applicants’ application for judicial review allowed; Minister’s decision set aside.</w:t>
            </w:r>
          </w:p>
        </w:tc>
      </w:tr>
      <w:tr w:rsidR="003C24AA" w:rsidRPr="003C24AA" w:rsidTr="00E95A6A">
        <w:tc>
          <w:tcPr>
            <w:tcW w:w="2427" w:type="pct"/>
            <w:gridSpan w:val="2"/>
          </w:tcPr>
          <w:p w:rsidR="003C24AA" w:rsidRPr="003C24AA" w:rsidRDefault="003C24AA" w:rsidP="003C24AA">
            <w:pPr>
              <w:jc w:val="both"/>
              <w:rPr>
                <w:sz w:val="20"/>
              </w:rPr>
            </w:pPr>
            <w:r w:rsidRPr="003C24AA">
              <w:rPr>
                <w:sz w:val="20"/>
              </w:rPr>
              <w:t>January 23, 2015</w:t>
            </w:r>
          </w:p>
          <w:p w:rsidR="003C24AA" w:rsidRPr="003C24AA" w:rsidRDefault="003C24AA" w:rsidP="003C24AA">
            <w:pPr>
              <w:jc w:val="both"/>
              <w:rPr>
                <w:sz w:val="20"/>
              </w:rPr>
            </w:pPr>
            <w:r w:rsidRPr="003C24AA">
              <w:rPr>
                <w:sz w:val="20"/>
              </w:rPr>
              <w:t>Federal Court of Appeal</w:t>
            </w:r>
          </w:p>
          <w:p w:rsidR="003C24AA" w:rsidRPr="003C24AA" w:rsidRDefault="003C24AA" w:rsidP="003C24AA">
            <w:pPr>
              <w:jc w:val="both"/>
              <w:rPr>
                <w:sz w:val="20"/>
              </w:rPr>
            </w:pPr>
            <w:r w:rsidRPr="003C24AA">
              <w:rPr>
                <w:sz w:val="20"/>
              </w:rPr>
              <w:t xml:space="preserve">(les </w:t>
            </w:r>
            <w:proofErr w:type="spellStart"/>
            <w:r w:rsidRPr="003C24AA">
              <w:rPr>
                <w:sz w:val="20"/>
              </w:rPr>
              <w:t>juges</w:t>
            </w:r>
            <w:proofErr w:type="spellEnd"/>
            <w:r w:rsidRPr="003C24AA">
              <w:rPr>
                <w:sz w:val="20"/>
              </w:rPr>
              <w:t xml:space="preserve"> </w:t>
            </w:r>
            <w:proofErr w:type="spellStart"/>
            <w:r w:rsidRPr="003C24AA">
              <w:rPr>
                <w:sz w:val="20"/>
              </w:rPr>
              <w:t>Nadon</w:t>
            </w:r>
            <w:proofErr w:type="spellEnd"/>
            <w:r w:rsidRPr="003C24AA">
              <w:rPr>
                <w:sz w:val="20"/>
              </w:rPr>
              <w:t xml:space="preserve">, </w:t>
            </w:r>
            <w:proofErr w:type="spellStart"/>
            <w:r w:rsidRPr="003C24AA">
              <w:rPr>
                <w:sz w:val="20"/>
              </w:rPr>
              <w:t>Trudel</w:t>
            </w:r>
            <w:proofErr w:type="spellEnd"/>
            <w:r w:rsidRPr="003C24AA">
              <w:rPr>
                <w:sz w:val="20"/>
              </w:rPr>
              <w:t xml:space="preserve"> et </w:t>
            </w:r>
            <w:proofErr w:type="spellStart"/>
            <w:r w:rsidRPr="003C24AA">
              <w:rPr>
                <w:sz w:val="20"/>
              </w:rPr>
              <w:t>Boivin</w:t>
            </w:r>
            <w:proofErr w:type="spellEnd"/>
            <w:r w:rsidRPr="003C24AA">
              <w:rPr>
                <w:sz w:val="20"/>
              </w:rPr>
              <w:t>)</w:t>
            </w: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color w:val="000000"/>
                <w:sz w:val="20"/>
              </w:rPr>
            </w:pPr>
            <w:r w:rsidRPr="003C24AA">
              <w:rPr>
                <w:sz w:val="20"/>
              </w:rPr>
              <w:t>Respondent Crown’s appeal allowed:</w:t>
            </w:r>
            <w:r w:rsidRPr="003C24AA">
              <w:rPr>
                <w:color w:val="000000"/>
                <w:sz w:val="20"/>
              </w:rPr>
              <w:t xml:space="preserve"> judgment below set aside and the Applicants’ application for judicial review was set aside.</w:t>
            </w:r>
          </w:p>
          <w:p w:rsidR="003C24AA" w:rsidRPr="003C24AA" w:rsidRDefault="003C24AA" w:rsidP="003C24AA">
            <w:pPr>
              <w:jc w:val="both"/>
              <w:rPr>
                <w:sz w:val="20"/>
              </w:rPr>
            </w:pPr>
          </w:p>
        </w:tc>
      </w:tr>
      <w:tr w:rsidR="003C24AA" w:rsidRPr="003C24AA" w:rsidTr="00E95A6A">
        <w:tc>
          <w:tcPr>
            <w:tcW w:w="2427" w:type="pct"/>
            <w:gridSpan w:val="2"/>
          </w:tcPr>
          <w:p w:rsidR="003C24AA" w:rsidRPr="003C24AA" w:rsidRDefault="003C24AA" w:rsidP="003C24AA">
            <w:pPr>
              <w:jc w:val="both"/>
              <w:rPr>
                <w:sz w:val="20"/>
              </w:rPr>
            </w:pPr>
            <w:r w:rsidRPr="003C24AA">
              <w:rPr>
                <w:sz w:val="20"/>
              </w:rPr>
              <w:t>March 23, 2015</w:t>
            </w:r>
          </w:p>
          <w:p w:rsidR="003C24AA" w:rsidRPr="003C24AA" w:rsidRDefault="003C24AA" w:rsidP="003C24AA">
            <w:pPr>
              <w:jc w:val="both"/>
              <w:rPr>
                <w:sz w:val="20"/>
              </w:rPr>
            </w:pPr>
            <w:r w:rsidRPr="003C24AA">
              <w:rPr>
                <w:sz w:val="20"/>
              </w:rPr>
              <w:t>Supreme Court of Canada</w:t>
            </w: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Application for leave to appeal filed.</w:t>
            </w:r>
          </w:p>
          <w:p w:rsidR="003C24AA" w:rsidRPr="003C24AA" w:rsidRDefault="003C24AA" w:rsidP="003C24AA">
            <w:pPr>
              <w:jc w:val="both"/>
              <w:rPr>
                <w:sz w:val="20"/>
              </w:rPr>
            </w:pPr>
          </w:p>
        </w:tc>
      </w:tr>
    </w:tbl>
    <w:p w:rsidR="003C24AA" w:rsidRDefault="003C24AA" w:rsidP="003C24AA">
      <w:pPr>
        <w:jc w:val="both"/>
        <w:rPr>
          <w:sz w:val="20"/>
        </w:rPr>
      </w:pPr>
    </w:p>
    <w:p w:rsidR="003C24AA" w:rsidRPr="003C24AA" w:rsidRDefault="003C24AA" w:rsidP="003C24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3C24AA" w:rsidTr="00E95A6A">
        <w:tc>
          <w:tcPr>
            <w:tcW w:w="543" w:type="pct"/>
          </w:tcPr>
          <w:p w:rsidR="003C24AA" w:rsidRPr="003C24AA" w:rsidRDefault="003C24AA" w:rsidP="003C24AA">
            <w:pPr>
              <w:jc w:val="both"/>
              <w:rPr>
                <w:sz w:val="20"/>
                <w:lang w:val="fr-CA"/>
              </w:rPr>
            </w:pPr>
            <w:r w:rsidRPr="003C24AA">
              <w:rPr>
                <w:rStyle w:val="SCCFileNumberChar"/>
                <w:sz w:val="20"/>
                <w:szCs w:val="20"/>
                <w:lang w:val="fr-CA"/>
              </w:rPr>
              <w:t>36352</w:t>
            </w:r>
          </w:p>
        </w:tc>
        <w:tc>
          <w:tcPr>
            <w:tcW w:w="4457" w:type="pct"/>
            <w:gridSpan w:val="3"/>
          </w:tcPr>
          <w:p w:rsidR="003C24AA" w:rsidRPr="003C24AA" w:rsidRDefault="003C24AA" w:rsidP="003C24AA">
            <w:pPr>
              <w:pStyle w:val="SCCLsocParty"/>
              <w:jc w:val="both"/>
              <w:rPr>
                <w:b/>
                <w:sz w:val="20"/>
                <w:szCs w:val="20"/>
              </w:rPr>
            </w:pPr>
            <w:r w:rsidRPr="003C24AA">
              <w:rPr>
                <w:b/>
                <w:sz w:val="20"/>
                <w:szCs w:val="20"/>
              </w:rPr>
              <w:t xml:space="preserve">Le chef Jesse John Simon et les conseillers Foster Nowlen Augustine, Stephen Peter Augustine, Robert Leo Francis, Mary Laura Levi, Robert Lloyd Levy, Joseph Dwayne Milliea, Joseph James Luckie, Tyrone Millier, Mary-Jane Millier, Joseph Darrell Simon, Arren James Sock, Jonathan Craig Sock et Marvin Joseph Sock en leur propre nom et au nom des membres de la Première Nation d’Elsipogtog, et au nom des Premières Nations des </w:t>
            </w:r>
            <w:proofErr w:type="spellStart"/>
            <w:r w:rsidRPr="003C24AA">
              <w:rPr>
                <w:b/>
                <w:sz w:val="20"/>
                <w:szCs w:val="20"/>
              </w:rPr>
              <w:t>Mi’kmag</w:t>
            </w:r>
            <w:proofErr w:type="spellEnd"/>
            <w:r w:rsidRPr="003C24AA">
              <w:rPr>
                <w:b/>
                <w:sz w:val="20"/>
                <w:szCs w:val="20"/>
              </w:rPr>
              <w:t xml:space="preserve"> du Nouveau-Brunswick et des membres des Premières Nations des </w:t>
            </w:r>
            <w:proofErr w:type="spellStart"/>
            <w:r w:rsidRPr="003C24AA">
              <w:rPr>
                <w:b/>
                <w:sz w:val="20"/>
                <w:szCs w:val="20"/>
              </w:rPr>
              <w:t>Mi’kmag</w:t>
            </w:r>
            <w:proofErr w:type="spellEnd"/>
            <w:r w:rsidRPr="003C24AA">
              <w:rPr>
                <w:b/>
                <w:sz w:val="20"/>
                <w:szCs w:val="20"/>
              </w:rPr>
              <w:t xml:space="preserve"> du Nouveau-Brunswick, le chef Stewart Paul et les </w:t>
            </w:r>
            <w:r w:rsidRPr="003C24AA">
              <w:rPr>
                <w:b/>
                <w:sz w:val="20"/>
                <w:szCs w:val="20"/>
              </w:rPr>
              <w:lastRenderedPageBreak/>
              <w:t xml:space="preserve">conseillers Gerald Bear, Darrah Beaver, Edwin Bernard, Eldon Bernard, Brenda Hafke-Perley, Tim Nicholas, Kim Perley, Ross Perley, Theresa (Hart) Perley, Tina Perley-Martin, Paul Pyres et Laura (Lara) Sappier en leur propre nom et au nom des membres de la Première Nation de Tobique et au nom des Premières Nations des Malécites de Kingsclear, d’Oromocto et de Woodstock et des membres des Premières Nations des Malécites de Kingsclear, Oromocto et Woodstock, le chef Leroy Denny et les conseillers Bertram (Muin) Bernard, Leon Charles Denny, Oliver Jr. (Sappy) Denny, Barry C. Francis, Gerald Robert Francis, Eldon Gould, Allan Wayne Jeddore, Derek Robert Johnson, Kimberly Ann Marshall, Brendon Joseph Poulette, John Frank Toney et Charles Blaise Young en leur propre nom et au nom des membres de la Première Nation d’Eskasoni et au nom des Premières Nations des </w:t>
            </w:r>
            <w:proofErr w:type="spellStart"/>
            <w:r w:rsidRPr="003C24AA">
              <w:rPr>
                <w:b/>
                <w:sz w:val="20"/>
                <w:szCs w:val="20"/>
              </w:rPr>
              <w:t>Mi’kmaq</w:t>
            </w:r>
            <w:proofErr w:type="spellEnd"/>
            <w:r w:rsidRPr="003C24AA">
              <w:rPr>
                <w:b/>
                <w:sz w:val="20"/>
                <w:szCs w:val="20"/>
              </w:rPr>
              <w:t xml:space="preserve"> d’</w:t>
            </w:r>
            <w:proofErr w:type="spellStart"/>
            <w:r w:rsidRPr="003C24AA">
              <w:rPr>
                <w:b/>
                <w:sz w:val="20"/>
                <w:szCs w:val="20"/>
              </w:rPr>
              <w:t>Acadia</w:t>
            </w:r>
            <w:proofErr w:type="spellEnd"/>
            <w:r w:rsidRPr="003C24AA">
              <w:rPr>
                <w:b/>
                <w:sz w:val="20"/>
                <w:szCs w:val="20"/>
              </w:rPr>
              <w:t xml:space="preserve">, Annapolis </w:t>
            </w:r>
            <w:proofErr w:type="spellStart"/>
            <w:r w:rsidRPr="003C24AA">
              <w:rPr>
                <w:b/>
                <w:sz w:val="20"/>
                <w:szCs w:val="20"/>
              </w:rPr>
              <w:t>Valley</w:t>
            </w:r>
            <w:proofErr w:type="spellEnd"/>
            <w:r w:rsidRPr="003C24AA">
              <w:rPr>
                <w:b/>
                <w:sz w:val="20"/>
                <w:szCs w:val="20"/>
              </w:rPr>
              <w:t xml:space="preserve">, Bear River, Glooscap, Millbrook, Paqtnkek, Pictou Landing, Potlotek, Shubenacadie, Wagmatcook et Waycobah et des membres des Premières Nations des </w:t>
            </w:r>
            <w:proofErr w:type="spellStart"/>
            <w:r w:rsidRPr="003C24AA">
              <w:rPr>
                <w:b/>
                <w:sz w:val="20"/>
                <w:szCs w:val="20"/>
              </w:rPr>
              <w:t>Mi’kmaq</w:t>
            </w:r>
            <w:proofErr w:type="spellEnd"/>
            <w:r w:rsidRPr="003C24AA">
              <w:rPr>
                <w:b/>
                <w:sz w:val="20"/>
                <w:szCs w:val="20"/>
              </w:rPr>
              <w:t xml:space="preserve"> d’</w:t>
            </w:r>
            <w:proofErr w:type="spellStart"/>
            <w:r w:rsidRPr="003C24AA">
              <w:rPr>
                <w:b/>
                <w:sz w:val="20"/>
                <w:szCs w:val="20"/>
              </w:rPr>
              <w:t>Acadia</w:t>
            </w:r>
            <w:proofErr w:type="spellEnd"/>
            <w:r w:rsidRPr="003C24AA">
              <w:rPr>
                <w:b/>
                <w:sz w:val="20"/>
                <w:szCs w:val="20"/>
              </w:rPr>
              <w:t xml:space="preserve">, Annapolis </w:t>
            </w:r>
            <w:proofErr w:type="spellStart"/>
            <w:r w:rsidRPr="003C24AA">
              <w:rPr>
                <w:b/>
                <w:sz w:val="20"/>
                <w:szCs w:val="20"/>
              </w:rPr>
              <w:t>Valley</w:t>
            </w:r>
            <w:proofErr w:type="spellEnd"/>
            <w:r w:rsidRPr="003C24AA">
              <w:rPr>
                <w:b/>
                <w:sz w:val="20"/>
                <w:szCs w:val="20"/>
              </w:rPr>
              <w:t>, Bear River, Glooscap, Millbrook, Paqtnkek, Pictou Landing, Potlotek, Shubenacadie, Wagmatcook et Waycobah, le chef Brian Francis et les conseillers Danny Levi et Daren Knockwood en leur propre nom et au nom des membres des Premières Nations d’Abegweit c. Procureur général du Canada</w:t>
            </w:r>
          </w:p>
          <w:p w:rsidR="003C24AA" w:rsidRPr="003C24AA" w:rsidRDefault="003C24AA" w:rsidP="003C24AA">
            <w:pPr>
              <w:jc w:val="both"/>
              <w:rPr>
                <w:sz w:val="20"/>
                <w:lang w:val="fr-CA"/>
              </w:rPr>
            </w:pPr>
            <w:r w:rsidRPr="003C24AA">
              <w:rPr>
                <w:sz w:val="20"/>
                <w:lang w:val="fr-CA"/>
              </w:rPr>
              <w:t>(CF) (Civile) (Sur autorisation)</w:t>
            </w:r>
          </w:p>
        </w:tc>
      </w:tr>
      <w:tr w:rsidR="003C24AA" w:rsidRPr="00B879B5" w:rsidTr="00E95A6A">
        <w:tc>
          <w:tcPr>
            <w:tcW w:w="5000" w:type="pct"/>
            <w:gridSpan w:val="4"/>
          </w:tcPr>
          <w:p w:rsidR="003C24AA" w:rsidRPr="003C24AA" w:rsidRDefault="003C24AA" w:rsidP="003C24AA">
            <w:pPr>
              <w:jc w:val="both"/>
              <w:rPr>
                <w:sz w:val="20"/>
                <w:lang w:val="fr-CA"/>
              </w:rPr>
            </w:pPr>
            <w:r w:rsidRPr="003C24AA">
              <w:rPr>
                <w:sz w:val="20"/>
                <w:lang w:val="fr-CA"/>
              </w:rPr>
              <w:lastRenderedPageBreak/>
              <w:t>Droit des Autochtones – Droit administratif – Obligations de la Couronne – Contrôle judiciaire – Consultation et accommodement – Une Première Nation conteste la décision du ministre d’obliger les programmes d’aide au revenu sur les réserves à se conformer rigoureusement aux critères provinciaux – Quel cadre juridique s’applique à la question de savoir si la décision était raisonnable? – La décision de passer à la nouvelle interprétation de la « comparabilité  fondée sur « l’équivalence sélective »» était-elle raisonnable? – Le gouvernement avait-il des obligations d’ordre procédural envers les demandeurs avant de passer à la nouvelle interprétation de la « comparabilité » fondée sur l’« équivalence sélective »?</w:t>
            </w:r>
          </w:p>
        </w:tc>
      </w:tr>
      <w:tr w:rsidR="003C24AA" w:rsidRPr="00B879B5" w:rsidTr="00E95A6A">
        <w:tc>
          <w:tcPr>
            <w:tcW w:w="5000" w:type="pct"/>
            <w:gridSpan w:val="4"/>
          </w:tcPr>
          <w:p w:rsidR="003C24AA" w:rsidRPr="003C24AA" w:rsidRDefault="003C24AA" w:rsidP="003C24AA">
            <w:pPr>
              <w:jc w:val="both"/>
              <w:rPr>
                <w:sz w:val="20"/>
                <w:lang w:val="fr-CA"/>
              </w:rPr>
            </w:pPr>
          </w:p>
        </w:tc>
      </w:tr>
      <w:tr w:rsidR="003C24AA" w:rsidRPr="00B879B5" w:rsidTr="00E95A6A">
        <w:tc>
          <w:tcPr>
            <w:tcW w:w="5000" w:type="pct"/>
            <w:gridSpan w:val="4"/>
          </w:tcPr>
          <w:p w:rsidR="003C24AA" w:rsidRPr="003C24AA" w:rsidRDefault="003C24AA" w:rsidP="003C24AA">
            <w:pPr>
              <w:jc w:val="both"/>
              <w:rPr>
                <w:color w:val="000000"/>
                <w:sz w:val="20"/>
                <w:lang w:val="fr-CA"/>
              </w:rPr>
            </w:pPr>
            <w:r w:rsidRPr="003C24AA">
              <w:rPr>
                <w:color w:val="000000"/>
                <w:sz w:val="20"/>
                <w:lang w:val="fr-CA"/>
              </w:rPr>
              <w:t>La présente demande d’autorisation d’appel concerne les critères d’admissibilité à l’aide au revenu sur les réserves de Premières Nations dans le Canada atlantique.  Les demandeurs, quatre Premières Nations, au nom de 26 bandes des Maritimes et des Malécites, ont contesté la décision prise par le ministre des Affaires autochtones en vue d’assurer la conformité rigoureuse aux critères d’admissibilité provinciaux, conformément à des obligations préexistantes en application d’accords conclus avec le Conseil du Trésor, en particulier un protocole d’entente (« PE ») de 1990.  Antérieurement, les demandeurs avaient employé des critères raisonnablement comparables aux critères provinciaux.  Les demandeurs ont demandé le contrôle judiciaire, plaidant que le changement constituait un abandon inconstitutionnel ou une sous</w:t>
            </w:r>
            <w:r w:rsidRPr="003C24AA">
              <w:rPr>
                <w:color w:val="000000"/>
                <w:sz w:val="20"/>
                <w:lang w:val="fr-CA"/>
              </w:rPr>
              <w:noBreakHyphen/>
              <w:t>délégation du pouvoir du gouvernement, que ce changement avait eu lieu sans véritable consultation et qu’il ne répondait pas aux exigences en matière d’équité procédurale conformément à l’attente légitime découlant de l’historique des rapports entre la Couronne et les demandeurs.</w:t>
            </w:r>
          </w:p>
          <w:p w:rsidR="003C24AA" w:rsidRPr="003C24AA" w:rsidRDefault="003C24AA" w:rsidP="003C24AA">
            <w:pPr>
              <w:jc w:val="both"/>
              <w:rPr>
                <w:sz w:val="20"/>
                <w:lang w:val="fr-CA"/>
              </w:rPr>
            </w:pP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2 avril 2012</w:t>
            </w:r>
          </w:p>
          <w:p w:rsidR="003C24AA" w:rsidRPr="003C24AA" w:rsidRDefault="003C24AA" w:rsidP="003C24AA">
            <w:pPr>
              <w:jc w:val="both"/>
              <w:rPr>
                <w:sz w:val="20"/>
                <w:lang w:val="fr-CA"/>
              </w:rPr>
            </w:pPr>
            <w:r w:rsidRPr="003C24AA">
              <w:rPr>
                <w:sz w:val="20"/>
                <w:lang w:val="fr-CA"/>
              </w:rPr>
              <w:t>Cour fédérale</w:t>
            </w:r>
          </w:p>
          <w:p w:rsidR="003C24AA" w:rsidRDefault="003C24AA" w:rsidP="003C24AA">
            <w:pPr>
              <w:jc w:val="both"/>
              <w:rPr>
                <w:sz w:val="20"/>
                <w:lang w:val="fr-CA"/>
              </w:rPr>
            </w:pPr>
            <w:r w:rsidRPr="003C24AA">
              <w:rPr>
                <w:sz w:val="20"/>
                <w:lang w:val="fr-CA"/>
              </w:rPr>
              <w:t>(Juge Simpson)</w:t>
            </w:r>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Injonction interlocutoire interdisant la mise en œuvre de la décision du ministre, sur requête.</w:t>
            </w: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28 novembre 2012</w:t>
            </w:r>
          </w:p>
          <w:p w:rsidR="003C24AA" w:rsidRPr="003C24AA" w:rsidRDefault="003C24AA" w:rsidP="003C24AA">
            <w:pPr>
              <w:jc w:val="both"/>
              <w:rPr>
                <w:sz w:val="20"/>
                <w:lang w:val="fr-CA"/>
              </w:rPr>
            </w:pPr>
            <w:r w:rsidRPr="003C24AA">
              <w:rPr>
                <w:sz w:val="20"/>
                <w:lang w:val="fr-CA"/>
              </w:rPr>
              <w:t>Cour d’appel fédérale</w:t>
            </w:r>
          </w:p>
          <w:p w:rsidR="003C24AA" w:rsidRPr="003C24AA" w:rsidRDefault="003C24AA" w:rsidP="003C24AA">
            <w:pPr>
              <w:jc w:val="both"/>
              <w:rPr>
                <w:sz w:val="20"/>
                <w:lang w:val="fr-CA"/>
              </w:rPr>
            </w:pPr>
            <w:r w:rsidRPr="003C24AA">
              <w:rPr>
                <w:sz w:val="20"/>
                <w:lang w:val="fr-CA"/>
              </w:rPr>
              <w:t>(Juge en chef Noël, juges Mainville et Webb)</w:t>
            </w:r>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Rejet de l’appel de l’injonction interlocutoire interjeté par Sa Majesté intimée.</w:t>
            </w: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4 novembre 2013</w:t>
            </w:r>
          </w:p>
          <w:p w:rsidR="003C24AA" w:rsidRPr="003C24AA" w:rsidRDefault="003C24AA" w:rsidP="003C24AA">
            <w:pPr>
              <w:jc w:val="both"/>
              <w:rPr>
                <w:sz w:val="20"/>
                <w:lang w:val="fr-CA"/>
              </w:rPr>
            </w:pPr>
            <w:r w:rsidRPr="003C24AA">
              <w:rPr>
                <w:sz w:val="20"/>
                <w:lang w:val="fr-CA"/>
              </w:rPr>
              <w:t>Cour fédérale</w:t>
            </w:r>
          </w:p>
          <w:p w:rsidR="003C24AA" w:rsidRPr="003C24AA" w:rsidRDefault="003C24AA" w:rsidP="003C24AA">
            <w:pPr>
              <w:jc w:val="both"/>
              <w:rPr>
                <w:sz w:val="20"/>
                <w:lang w:val="fr-CA"/>
              </w:rPr>
            </w:pPr>
            <w:r w:rsidRPr="003C24AA">
              <w:rPr>
                <w:sz w:val="20"/>
                <w:lang w:val="fr-CA"/>
              </w:rPr>
              <w:t>(Juge Scott)</w:t>
            </w:r>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Jugement accueillant la demande des demandeurs en contrôle judiciaire; annulation de la décision du ministre.</w:t>
            </w: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23 janvier 2015</w:t>
            </w:r>
          </w:p>
          <w:p w:rsidR="003C24AA" w:rsidRPr="003C24AA" w:rsidRDefault="003C24AA" w:rsidP="003C24AA">
            <w:pPr>
              <w:jc w:val="both"/>
              <w:rPr>
                <w:sz w:val="20"/>
                <w:lang w:val="fr-CA"/>
              </w:rPr>
            </w:pPr>
            <w:r w:rsidRPr="003C24AA">
              <w:rPr>
                <w:sz w:val="20"/>
                <w:lang w:val="fr-CA"/>
              </w:rPr>
              <w:t>Cour d’appel fédérale</w:t>
            </w:r>
          </w:p>
          <w:p w:rsidR="003C24AA" w:rsidRPr="003C24AA" w:rsidRDefault="003C24AA" w:rsidP="003C24AA">
            <w:pPr>
              <w:jc w:val="both"/>
              <w:rPr>
                <w:sz w:val="20"/>
                <w:lang w:val="fr-CA"/>
              </w:rPr>
            </w:pPr>
            <w:r w:rsidRPr="003C24AA">
              <w:rPr>
                <w:sz w:val="20"/>
                <w:lang w:val="fr-CA"/>
              </w:rPr>
              <w:t>(Juges Nadon, Trudel et Boivin)</w:t>
            </w: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color w:val="000000"/>
                <w:sz w:val="20"/>
                <w:lang w:val="fr-CA"/>
              </w:rPr>
            </w:pPr>
            <w:r w:rsidRPr="003C24AA">
              <w:rPr>
                <w:sz w:val="20"/>
                <w:lang w:val="fr-CA"/>
              </w:rPr>
              <w:t>Arrêt accueillant l’appel interjeté par Sa Majesté intimée:</w:t>
            </w:r>
            <w:r w:rsidRPr="003C24AA">
              <w:rPr>
                <w:color w:val="000000"/>
                <w:sz w:val="20"/>
                <w:lang w:val="fr-CA"/>
              </w:rPr>
              <w:t xml:space="preserve"> annulation du jugement de la juridiction inférieure et de la demande des demandeurs en contrôle judiciaire.</w:t>
            </w:r>
          </w:p>
          <w:p w:rsidR="003C24AA" w:rsidRPr="003C24AA" w:rsidRDefault="003C24AA" w:rsidP="003C24AA">
            <w:pPr>
              <w:jc w:val="both"/>
              <w:rPr>
                <w:sz w:val="20"/>
                <w:lang w:val="fr-CA"/>
              </w:rPr>
            </w:pP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lastRenderedPageBreak/>
              <w:t>23 mars 2015</w:t>
            </w:r>
          </w:p>
          <w:p w:rsidR="003C24AA" w:rsidRPr="003C24AA" w:rsidRDefault="003C24AA" w:rsidP="003C24AA">
            <w:pPr>
              <w:jc w:val="both"/>
              <w:rPr>
                <w:sz w:val="20"/>
                <w:lang w:val="fr-CA"/>
              </w:rPr>
            </w:pPr>
            <w:r w:rsidRPr="003C24AA">
              <w:rPr>
                <w:sz w:val="20"/>
                <w:lang w:val="fr-CA"/>
              </w:rPr>
              <w:t>Cour suprême du Canada</w:t>
            </w: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Dépôt de la demande d’autorisation d’appel.</w:t>
            </w:r>
          </w:p>
          <w:p w:rsidR="003C24AA" w:rsidRPr="003C24AA" w:rsidRDefault="003C24AA" w:rsidP="003C24AA">
            <w:pPr>
              <w:jc w:val="both"/>
              <w:rPr>
                <w:sz w:val="20"/>
                <w:lang w:val="fr-CA"/>
              </w:rPr>
            </w:pPr>
          </w:p>
        </w:tc>
      </w:tr>
    </w:tbl>
    <w:p w:rsidR="003C24AA" w:rsidRDefault="003C24AA" w:rsidP="003C24AA">
      <w:pPr>
        <w:jc w:val="both"/>
        <w:rPr>
          <w:sz w:val="20"/>
          <w:lang w:val="fr-CA"/>
        </w:rPr>
      </w:pPr>
    </w:p>
    <w:p w:rsidR="003C24AA" w:rsidRPr="003C24AA" w:rsidRDefault="003C24AA" w:rsidP="003C24A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3C24AA" w:rsidTr="008708AF">
        <w:tc>
          <w:tcPr>
            <w:tcW w:w="543" w:type="pct"/>
          </w:tcPr>
          <w:p w:rsidR="003C24AA" w:rsidRPr="003C24AA" w:rsidRDefault="003C24AA" w:rsidP="003C24AA">
            <w:pPr>
              <w:jc w:val="both"/>
              <w:rPr>
                <w:sz w:val="20"/>
              </w:rPr>
            </w:pPr>
            <w:r w:rsidRPr="003C24AA">
              <w:rPr>
                <w:rStyle w:val="SCCFileNumberChar"/>
                <w:sz w:val="20"/>
                <w:szCs w:val="20"/>
              </w:rPr>
              <w:t>36402</w:t>
            </w:r>
          </w:p>
        </w:tc>
        <w:tc>
          <w:tcPr>
            <w:tcW w:w="4457" w:type="pct"/>
            <w:gridSpan w:val="3"/>
          </w:tcPr>
          <w:p w:rsidR="003C24AA" w:rsidRPr="003C24AA" w:rsidRDefault="003C24AA" w:rsidP="003C24AA">
            <w:pPr>
              <w:pStyle w:val="SCCLsocParty"/>
              <w:jc w:val="both"/>
              <w:rPr>
                <w:b/>
                <w:sz w:val="20"/>
                <w:szCs w:val="20"/>
                <w:lang w:val="en-US"/>
              </w:rPr>
            </w:pPr>
            <w:r w:rsidRPr="003C24AA">
              <w:rPr>
                <w:b/>
                <w:sz w:val="20"/>
                <w:szCs w:val="20"/>
                <w:lang w:val="en-US"/>
              </w:rPr>
              <w:t>Moulton Contracting Ltd. v. Her Majesty the Queen in Right of the Province of British Columbia, Chief Liz Logan on behalf of herself and all other members of the Fort Nelson First Nation and the said Fort Nelson First Nation</w:t>
            </w:r>
          </w:p>
          <w:p w:rsidR="003C24AA" w:rsidRPr="003C24AA" w:rsidRDefault="003C24AA" w:rsidP="003C24AA">
            <w:pPr>
              <w:jc w:val="both"/>
              <w:rPr>
                <w:sz w:val="20"/>
              </w:rPr>
            </w:pPr>
            <w:r w:rsidRPr="003C24AA">
              <w:rPr>
                <w:sz w:val="20"/>
              </w:rPr>
              <w:t>(B.C.) (Civil) (By Leave)</w:t>
            </w:r>
          </w:p>
        </w:tc>
      </w:tr>
      <w:tr w:rsidR="003C24AA" w:rsidRPr="003C24AA" w:rsidTr="008708AF">
        <w:tc>
          <w:tcPr>
            <w:tcW w:w="5000" w:type="pct"/>
            <w:gridSpan w:val="4"/>
          </w:tcPr>
          <w:p w:rsidR="003C24AA" w:rsidRPr="003C24AA" w:rsidRDefault="003C24AA" w:rsidP="003C24AA">
            <w:pPr>
              <w:jc w:val="both"/>
              <w:rPr>
                <w:sz w:val="20"/>
              </w:rPr>
            </w:pPr>
            <w:r w:rsidRPr="003C24AA">
              <w:rPr>
                <w:sz w:val="20"/>
              </w:rPr>
              <w:t>Contracts – Implied term – Breach – Aboriginal Law – Logging – Fiduciary Duty –Crown law – Crown liability – Honour of the Crown – Whether it is appropriate to imply a contractual term that the Crown does not know of circumstances related to its constitutional duty to consult First Nations that would negate the benefit of a Crown grant – How does the organizing principle of good faith that underlies many aspects of contract law apply to the implication of terms in a contract with the Crown there the Crown owes a duty to consult First Nations in relation to the contract – May the Crown remain silent about specific threats to granted rights where it learns of those threats during the consultation process – May the Crown rely on an exclusion clause to avoid liability for risks of which it has specific knowledge but does not share that knowledge with the grantee.</w:t>
            </w:r>
          </w:p>
        </w:tc>
      </w:tr>
      <w:tr w:rsidR="003C24AA" w:rsidRPr="003C24AA" w:rsidTr="008708AF">
        <w:tc>
          <w:tcPr>
            <w:tcW w:w="5000" w:type="pct"/>
            <w:gridSpan w:val="4"/>
          </w:tcPr>
          <w:p w:rsidR="003C24AA" w:rsidRPr="003C24AA" w:rsidRDefault="003C24AA" w:rsidP="003C24AA">
            <w:pPr>
              <w:jc w:val="both"/>
              <w:rPr>
                <w:sz w:val="20"/>
              </w:rPr>
            </w:pPr>
          </w:p>
        </w:tc>
      </w:tr>
      <w:tr w:rsidR="003C24AA" w:rsidRPr="003C24AA" w:rsidTr="008708AF">
        <w:tc>
          <w:tcPr>
            <w:tcW w:w="5000" w:type="pct"/>
            <w:gridSpan w:val="4"/>
          </w:tcPr>
          <w:p w:rsidR="003C24AA" w:rsidRPr="003C24AA" w:rsidRDefault="003C24AA" w:rsidP="003C24AA">
            <w:pPr>
              <w:jc w:val="both"/>
              <w:rPr>
                <w:sz w:val="20"/>
              </w:rPr>
            </w:pPr>
            <w:r w:rsidRPr="003C24AA">
              <w:rPr>
                <w:sz w:val="20"/>
              </w:rPr>
              <w:t xml:space="preserve">In June 2006, the applicant was granted timber sale </w:t>
            </w:r>
            <w:proofErr w:type="spellStart"/>
            <w:r w:rsidRPr="003C24AA">
              <w:rPr>
                <w:sz w:val="20"/>
              </w:rPr>
              <w:t>licences</w:t>
            </w:r>
            <w:proofErr w:type="spellEnd"/>
            <w:r w:rsidRPr="003C24AA">
              <w:rPr>
                <w:sz w:val="20"/>
              </w:rPr>
              <w:t xml:space="preserve"> (“TSLs”) to harvest timber in the Fort Nelson Timber Supply Area, including locations within the licensed </w:t>
            </w:r>
            <w:proofErr w:type="spellStart"/>
            <w:r w:rsidRPr="003C24AA">
              <w:rPr>
                <w:sz w:val="20"/>
              </w:rPr>
              <w:t>trapline</w:t>
            </w:r>
            <w:proofErr w:type="spellEnd"/>
            <w:r w:rsidRPr="003C24AA">
              <w:rPr>
                <w:sz w:val="20"/>
              </w:rPr>
              <w:t xml:space="preserve"> of George </w:t>
            </w:r>
            <w:proofErr w:type="spellStart"/>
            <w:r w:rsidRPr="003C24AA">
              <w:rPr>
                <w:sz w:val="20"/>
              </w:rPr>
              <w:t>Behn</w:t>
            </w:r>
            <w:proofErr w:type="spellEnd"/>
            <w:r w:rsidRPr="003C24AA">
              <w:rPr>
                <w:sz w:val="20"/>
              </w:rPr>
              <w:t xml:space="preserve">. Mr. </w:t>
            </w:r>
            <w:proofErr w:type="spellStart"/>
            <w:r w:rsidRPr="003C24AA">
              <w:rPr>
                <w:sz w:val="20"/>
              </w:rPr>
              <w:t>Behn</w:t>
            </w:r>
            <w:proofErr w:type="spellEnd"/>
            <w:r w:rsidRPr="003C24AA">
              <w:rPr>
                <w:sz w:val="20"/>
              </w:rPr>
              <w:t xml:space="preserve"> indicated to the Crown in July that he opposed the harvest and would be going out to stop it. After the harvesting commenced late September, Mr. </w:t>
            </w:r>
            <w:proofErr w:type="spellStart"/>
            <w:r w:rsidRPr="003C24AA">
              <w:rPr>
                <w:sz w:val="20"/>
              </w:rPr>
              <w:t>Behn</w:t>
            </w:r>
            <w:proofErr w:type="spellEnd"/>
            <w:r w:rsidRPr="003C24AA">
              <w:rPr>
                <w:sz w:val="20"/>
              </w:rPr>
              <w:t xml:space="preserve"> advised he would block access, at which point the Crown informed the applicant of the problem. A blockade was established on the access road for the timber harvest areas. The applicant could not continue the harvest and was unable to obtain other logging work. It commenced an action against the Crown, the </w:t>
            </w:r>
            <w:proofErr w:type="spellStart"/>
            <w:r w:rsidRPr="003C24AA">
              <w:rPr>
                <w:sz w:val="20"/>
              </w:rPr>
              <w:t>Behns</w:t>
            </w:r>
            <w:proofErr w:type="spellEnd"/>
            <w:r w:rsidRPr="003C24AA">
              <w:rPr>
                <w:sz w:val="20"/>
              </w:rPr>
              <w:t xml:space="preserve"> and the Fort Nelson First Nation (“FNFN”). Its claims against the </w:t>
            </w:r>
            <w:proofErr w:type="spellStart"/>
            <w:r w:rsidRPr="003C24AA">
              <w:rPr>
                <w:sz w:val="20"/>
              </w:rPr>
              <w:t>Behns</w:t>
            </w:r>
            <w:proofErr w:type="spellEnd"/>
            <w:r w:rsidRPr="003C24AA">
              <w:rPr>
                <w:sz w:val="20"/>
              </w:rPr>
              <w:t xml:space="preserve"> and FNFN for intentional interference with economic relations and civil conspiracy were ultimately dismissed on the basis that it had not established that the </w:t>
            </w:r>
            <w:proofErr w:type="spellStart"/>
            <w:r w:rsidRPr="003C24AA">
              <w:rPr>
                <w:sz w:val="20"/>
              </w:rPr>
              <w:t>Behns</w:t>
            </w:r>
            <w:proofErr w:type="spellEnd"/>
            <w:r w:rsidRPr="003C24AA">
              <w:rPr>
                <w:sz w:val="20"/>
              </w:rPr>
              <w:t xml:space="preserve"> had committed an unlawful act. That aspect was not appealed. The applicant’s claims against the Crown were for breach of implied terms of their contract and negligent misrepresentation. </w:t>
            </w:r>
          </w:p>
          <w:p w:rsidR="003C24AA" w:rsidRPr="003C24AA" w:rsidRDefault="003C24AA" w:rsidP="003C24AA">
            <w:pPr>
              <w:jc w:val="both"/>
              <w:rPr>
                <w:sz w:val="20"/>
              </w:rPr>
            </w:pPr>
          </w:p>
          <w:p w:rsidR="003C24AA" w:rsidRPr="003C24AA" w:rsidRDefault="003C24AA" w:rsidP="003C24AA">
            <w:pPr>
              <w:jc w:val="both"/>
              <w:rPr>
                <w:sz w:val="20"/>
              </w:rPr>
            </w:pPr>
            <w:r w:rsidRPr="003C24AA">
              <w:rPr>
                <w:sz w:val="20"/>
              </w:rPr>
              <w:t xml:space="preserve">The Supreme Court of British Columbia held that the Crown had breached an implied term of the TSLs (and an implied, continuing representation) that the Crown was not aware of any First Nations expressing dissatisfaction with the consultation undertaken by it, save has had been disclosed to the applicant. The Court held the Crown liable in breach of contract for failing to notify the applicant in a timely manner of Mr. </w:t>
            </w:r>
            <w:proofErr w:type="spellStart"/>
            <w:r w:rsidRPr="003C24AA">
              <w:rPr>
                <w:sz w:val="20"/>
              </w:rPr>
              <w:t>Behn’s</w:t>
            </w:r>
            <w:proofErr w:type="spellEnd"/>
            <w:r w:rsidRPr="003C24AA">
              <w:rPr>
                <w:sz w:val="20"/>
              </w:rPr>
              <w:t xml:space="preserve"> threat to block physical access and in negligence for breaching the duty of care owed to pass on information of fundamental relevance to the applicant’s ability to exercise its rights under the licences. The Crown’s appeal was allowed by the British Columbia Court of Appeal.</w:t>
            </w:r>
          </w:p>
          <w:p w:rsidR="003C24AA" w:rsidRPr="003C24AA" w:rsidRDefault="003C24AA" w:rsidP="003C24AA">
            <w:pPr>
              <w:jc w:val="both"/>
              <w:rPr>
                <w:sz w:val="20"/>
              </w:rPr>
            </w:pPr>
          </w:p>
        </w:tc>
      </w:tr>
      <w:tr w:rsidR="003C24AA" w:rsidRPr="003C24AA" w:rsidTr="008708AF">
        <w:tc>
          <w:tcPr>
            <w:tcW w:w="2427" w:type="pct"/>
            <w:gridSpan w:val="2"/>
          </w:tcPr>
          <w:p w:rsidR="003C24AA" w:rsidRPr="003C24AA" w:rsidRDefault="003C24AA" w:rsidP="003C24AA">
            <w:pPr>
              <w:jc w:val="both"/>
              <w:rPr>
                <w:sz w:val="20"/>
              </w:rPr>
            </w:pPr>
            <w:r w:rsidRPr="003C24AA">
              <w:rPr>
                <w:sz w:val="20"/>
              </w:rPr>
              <w:t>December 23, 2013</w:t>
            </w:r>
          </w:p>
          <w:p w:rsidR="003C24AA" w:rsidRPr="003C24AA" w:rsidRDefault="003C24AA" w:rsidP="003C24AA">
            <w:pPr>
              <w:jc w:val="both"/>
              <w:rPr>
                <w:sz w:val="20"/>
              </w:rPr>
            </w:pPr>
            <w:r w:rsidRPr="003C24AA">
              <w:rPr>
                <w:sz w:val="20"/>
              </w:rPr>
              <w:t>Supreme Court of British Columbia</w:t>
            </w:r>
          </w:p>
          <w:p w:rsidR="003C24AA" w:rsidRPr="003C24AA" w:rsidRDefault="003C24AA" w:rsidP="003C24AA">
            <w:pPr>
              <w:jc w:val="both"/>
              <w:rPr>
                <w:sz w:val="20"/>
              </w:rPr>
            </w:pPr>
            <w:r w:rsidRPr="003C24AA">
              <w:rPr>
                <w:sz w:val="20"/>
              </w:rPr>
              <w:t>(Saunders J.)</w:t>
            </w:r>
          </w:p>
          <w:p w:rsidR="003C24AA" w:rsidRPr="003C24AA" w:rsidRDefault="00B879B5" w:rsidP="003C24AA">
            <w:pPr>
              <w:jc w:val="both"/>
              <w:rPr>
                <w:sz w:val="20"/>
              </w:rPr>
            </w:pPr>
            <w:hyperlink r:id="rId10" w:history="1">
              <w:r w:rsidR="003C24AA" w:rsidRPr="003C24AA">
                <w:rPr>
                  <w:rStyle w:val="Hyperlink"/>
                  <w:sz w:val="20"/>
                </w:rPr>
                <w:t>2013 BCSC 2348</w:t>
              </w:r>
            </w:hyperlink>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Applicant’s action granted; Crown held liable for breach of an implied contractual term and for negligent misrepresentation and ordered to pay damages of $1,750,000 plus interest; claims against other defendants dismissed</w:t>
            </w:r>
          </w:p>
          <w:p w:rsidR="003C24AA" w:rsidRPr="003C24AA" w:rsidRDefault="003C24AA" w:rsidP="003C24AA">
            <w:pPr>
              <w:jc w:val="both"/>
              <w:rPr>
                <w:sz w:val="20"/>
              </w:rPr>
            </w:pPr>
          </w:p>
        </w:tc>
      </w:tr>
      <w:tr w:rsidR="003C24AA" w:rsidRPr="003C24AA" w:rsidTr="008708AF">
        <w:tc>
          <w:tcPr>
            <w:tcW w:w="2427" w:type="pct"/>
            <w:gridSpan w:val="2"/>
          </w:tcPr>
          <w:p w:rsidR="003C24AA" w:rsidRPr="003C24AA" w:rsidRDefault="003C24AA" w:rsidP="003C24AA">
            <w:pPr>
              <w:jc w:val="both"/>
              <w:rPr>
                <w:sz w:val="20"/>
              </w:rPr>
            </w:pPr>
            <w:r w:rsidRPr="003C24AA">
              <w:rPr>
                <w:sz w:val="20"/>
              </w:rPr>
              <w:t>June 5, 2014</w:t>
            </w:r>
          </w:p>
          <w:p w:rsidR="003C24AA" w:rsidRPr="003C24AA" w:rsidRDefault="003C24AA" w:rsidP="003C24AA">
            <w:pPr>
              <w:jc w:val="both"/>
              <w:rPr>
                <w:sz w:val="20"/>
              </w:rPr>
            </w:pPr>
            <w:r w:rsidRPr="003C24AA">
              <w:rPr>
                <w:sz w:val="20"/>
              </w:rPr>
              <w:t>Supreme Court of British Columbia</w:t>
            </w:r>
          </w:p>
          <w:p w:rsidR="003C24AA" w:rsidRPr="003C24AA" w:rsidRDefault="003C24AA" w:rsidP="003C24AA">
            <w:pPr>
              <w:jc w:val="both"/>
              <w:rPr>
                <w:sz w:val="20"/>
              </w:rPr>
            </w:pPr>
            <w:r w:rsidRPr="003C24AA">
              <w:rPr>
                <w:sz w:val="20"/>
              </w:rPr>
              <w:t>(Saunders J.)</w:t>
            </w:r>
          </w:p>
          <w:p w:rsidR="003C24AA" w:rsidRPr="003C24AA" w:rsidRDefault="00B879B5" w:rsidP="003C24AA">
            <w:pPr>
              <w:jc w:val="both"/>
              <w:rPr>
                <w:sz w:val="20"/>
              </w:rPr>
            </w:pPr>
            <w:hyperlink r:id="rId11" w:history="1">
              <w:r w:rsidR="003C24AA" w:rsidRPr="003C24AA">
                <w:rPr>
                  <w:rStyle w:val="Hyperlink"/>
                  <w:sz w:val="20"/>
                </w:rPr>
                <w:t>2014 BCSC 993</w:t>
              </w:r>
            </w:hyperlink>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Applicant awarded costs against the Crown with double costs after the date of a settlement offer. Under a Sanderson Order, the Crown was ordered to pay 2/3 costs of the Fort Nelson First Nations</w:t>
            </w:r>
          </w:p>
          <w:p w:rsidR="003C24AA" w:rsidRPr="003C24AA" w:rsidRDefault="003C24AA" w:rsidP="003C24AA">
            <w:pPr>
              <w:jc w:val="both"/>
              <w:rPr>
                <w:sz w:val="20"/>
              </w:rPr>
            </w:pPr>
          </w:p>
        </w:tc>
      </w:tr>
      <w:tr w:rsidR="003C24AA" w:rsidRPr="003C24AA" w:rsidTr="008708AF">
        <w:tc>
          <w:tcPr>
            <w:tcW w:w="2427" w:type="pct"/>
            <w:gridSpan w:val="2"/>
          </w:tcPr>
          <w:p w:rsidR="003C24AA" w:rsidRPr="003C24AA" w:rsidRDefault="003C24AA" w:rsidP="003C24AA">
            <w:pPr>
              <w:jc w:val="both"/>
              <w:rPr>
                <w:sz w:val="20"/>
              </w:rPr>
            </w:pPr>
            <w:r w:rsidRPr="003C24AA">
              <w:rPr>
                <w:sz w:val="20"/>
              </w:rPr>
              <w:lastRenderedPageBreak/>
              <w:t>February 26, 2015</w:t>
            </w:r>
          </w:p>
          <w:p w:rsidR="003C24AA" w:rsidRPr="003C24AA" w:rsidRDefault="003C24AA" w:rsidP="003C24AA">
            <w:pPr>
              <w:jc w:val="both"/>
              <w:rPr>
                <w:sz w:val="20"/>
              </w:rPr>
            </w:pPr>
            <w:r w:rsidRPr="003C24AA">
              <w:rPr>
                <w:sz w:val="20"/>
              </w:rPr>
              <w:t xml:space="preserve">Court of Appeal for British Columbia </w:t>
            </w:r>
          </w:p>
          <w:p w:rsidR="003C24AA" w:rsidRPr="003C24AA" w:rsidRDefault="003C24AA" w:rsidP="003C24AA">
            <w:pPr>
              <w:jc w:val="both"/>
              <w:rPr>
                <w:sz w:val="20"/>
              </w:rPr>
            </w:pPr>
            <w:r w:rsidRPr="003C24AA">
              <w:rPr>
                <w:sz w:val="20"/>
              </w:rPr>
              <w:t>(Vancouver)</w:t>
            </w:r>
          </w:p>
          <w:p w:rsidR="003C24AA" w:rsidRPr="003C24AA" w:rsidRDefault="003C24AA" w:rsidP="003C24AA">
            <w:pPr>
              <w:jc w:val="both"/>
              <w:rPr>
                <w:sz w:val="20"/>
              </w:rPr>
            </w:pPr>
            <w:r w:rsidRPr="003C24AA">
              <w:rPr>
                <w:sz w:val="20"/>
              </w:rPr>
              <w:t xml:space="preserve">(Levine, </w:t>
            </w:r>
            <w:proofErr w:type="spellStart"/>
            <w:r w:rsidRPr="003C24AA">
              <w:rPr>
                <w:sz w:val="20"/>
              </w:rPr>
              <w:t>Chiasson</w:t>
            </w:r>
            <w:proofErr w:type="spellEnd"/>
            <w:r w:rsidRPr="003C24AA">
              <w:rPr>
                <w:sz w:val="20"/>
              </w:rPr>
              <w:t xml:space="preserve"> and Frankel JJ.A.)</w:t>
            </w:r>
          </w:p>
          <w:p w:rsidR="003C24AA" w:rsidRPr="003C24AA" w:rsidRDefault="00B879B5" w:rsidP="003C24AA">
            <w:pPr>
              <w:jc w:val="both"/>
              <w:rPr>
                <w:sz w:val="20"/>
              </w:rPr>
            </w:pPr>
            <w:hyperlink r:id="rId12" w:history="1">
              <w:r w:rsidR="003C24AA" w:rsidRPr="003C24AA">
                <w:rPr>
                  <w:rStyle w:val="Hyperlink"/>
                  <w:sz w:val="20"/>
                </w:rPr>
                <w:t>2015 BCCA 89</w:t>
              </w:r>
            </w:hyperlink>
            <w:r w:rsidR="003C24AA" w:rsidRPr="003C24AA">
              <w:rPr>
                <w:sz w:val="20"/>
              </w:rPr>
              <w:t>; CA41524</w:t>
            </w:r>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Appeal allowed and lower court order set aside to the extent it affected the Crown</w:t>
            </w:r>
          </w:p>
        </w:tc>
      </w:tr>
      <w:tr w:rsidR="003C24AA" w:rsidRPr="003C24AA" w:rsidTr="008708AF">
        <w:tc>
          <w:tcPr>
            <w:tcW w:w="2427" w:type="pct"/>
            <w:gridSpan w:val="2"/>
          </w:tcPr>
          <w:p w:rsidR="003C24AA" w:rsidRPr="003C24AA" w:rsidRDefault="003C24AA" w:rsidP="003C24AA">
            <w:pPr>
              <w:jc w:val="both"/>
              <w:rPr>
                <w:sz w:val="20"/>
              </w:rPr>
            </w:pPr>
            <w:r w:rsidRPr="003C24AA">
              <w:rPr>
                <w:sz w:val="20"/>
              </w:rPr>
              <w:t>April 27, 2015</w:t>
            </w:r>
          </w:p>
          <w:p w:rsidR="003C24AA" w:rsidRPr="003C24AA" w:rsidRDefault="003C24AA" w:rsidP="003C24AA">
            <w:pPr>
              <w:jc w:val="both"/>
              <w:rPr>
                <w:sz w:val="20"/>
              </w:rPr>
            </w:pPr>
            <w:r w:rsidRPr="003C24AA">
              <w:rPr>
                <w:sz w:val="20"/>
              </w:rPr>
              <w:t>Supreme Court of Canada</w:t>
            </w: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Application for leave to appeal filed</w:t>
            </w:r>
          </w:p>
          <w:p w:rsidR="003C24AA" w:rsidRPr="003C24AA" w:rsidRDefault="003C24AA" w:rsidP="003C24AA">
            <w:pPr>
              <w:jc w:val="both"/>
              <w:rPr>
                <w:sz w:val="20"/>
              </w:rPr>
            </w:pPr>
          </w:p>
        </w:tc>
      </w:tr>
    </w:tbl>
    <w:p w:rsidR="003C24AA" w:rsidRPr="003C24AA" w:rsidRDefault="003C24AA" w:rsidP="003C24AA">
      <w:pPr>
        <w:jc w:val="both"/>
        <w:rPr>
          <w:sz w:val="20"/>
        </w:rPr>
      </w:pPr>
    </w:p>
    <w:p w:rsidR="003C24AA" w:rsidRPr="003C24AA" w:rsidRDefault="003C24AA" w:rsidP="003C24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B879B5" w:rsidTr="00C5479E">
        <w:tc>
          <w:tcPr>
            <w:tcW w:w="543" w:type="pct"/>
          </w:tcPr>
          <w:p w:rsidR="003C24AA" w:rsidRPr="003C24AA" w:rsidRDefault="003C24AA" w:rsidP="003C24AA">
            <w:pPr>
              <w:jc w:val="both"/>
              <w:rPr>
                <w:sz w:val="20"/>
                <w:lang w:val="fr-CA"/>
              </w:rPr>
            </w:pPr>
            <w:r w:rsidRPr="003C24AA">
              <w:rPr>
                <w:rStyle w:val="SCCFileNumberChar"/>
                <w:sz w:val="20"/>
                <w:szCs w:val="20"/>
                <w:lang w:val="fr-CA"/>
              </w:rPr>
              <w:t>36402</w:t>
            </w:r>
          </w:p>
        </w:tc>
        <w:tc>
          <w:tcPr>
            <w:tcW w:w="4457" w:type="pct"/>
            <w:gridSpan w:val="3"/>
          </w:tcPr>
          <w:p w:rsidR="003C24AA" w:rsidRPr="003C24AA" w:rsidRDefault="003C24AA" w:rsidP="003C24AA">
            <w:pPr>
              <w:pStyle w:val="SCCLsocParty"/>
              <w:jc w:val="both"/>
              <w:rPr>
                <w:b/>
                <w:sz w:val="20"/>
                <w:szCs w:val="20"/>
              </w:rPr>
            </w:pPr>
            <w:r w:rsidRPr="003C24AA">
              <w:rPr>
                <w:b/>
                <w:sz w:val="20"/>
                <w:szCs w:val="20"/>
              </w:rPr>
              <w:t>Moulton Contracting Ltd. c. Sa Majesté la Reine du chef de la Colombie-Britannique, Chef Liz Logan en son nom et au nom de tous les autres membres de la Première Nation de Fort Nelson et la dite Première Nation de Fort Nelson</w:t>
            </w:r>
          </w:p>
          <w:p w:rsidR="003C24AA" w:rsidRPr="003C24AA" w:rsidRDefault="003C24AA" w:rsidP="003C24AA">
            <w:pPr>
              <w:jc w:val="both"/>
              <w:rPr>
                <w:sz w:val="20"/>
                <w:lang w:val="fr-CA"/>
              </w:rPr>
            </w:pPr>
            <w:r w:rsidRPr="003C24AA">
              <w:rPr>
                <w:sz w:val="20"/>
                <w:lang w:val="fr-CA"/>
              </w:rPr>
              <w:t>(C.-B.) (Civile) (Sur autorisation)</w:t>
            </w:r>
          </w:p>
        </w:tc>
      </w:tr>
      <w:tr w:rsidR="003C24AA" w:rsidRPr="00B879B5" w:rsidTr="00C5479E">
        <w:tc>
          <w:tcPr>
            <w:tcW w:w="5000" w:type="pct"/>
            <w:gridSpan w:val="4"/>
          </w:tcPr>
          <w:p w:rsidR="003C24AA" w:rsidRPr="003C24AA" w:rsidRDefault="003C24AA" w:rsidP="003C24AA">
            <w:pPr>
              <w:jc w:val="both"/>
              <w:rPr>
                <w:sz w:val="20"/>
                <w:lang w:val="fr-CA"/>
              </w:rPr>
            </w:pPr>
            <w:r w:rsidRPr="003C24AA">
              <w:rPr>
                <w:sz w:val="20"/>
                <w:lang w:val="fr-CA"/>
              </w:rPr>
              <w:t>Contrats – Condition implicite – Violation – Droit des Autochtones – Ressources forestières – Obligation fiduciaire – Droit de la Couronne – Responsabilité de l’État – Honneur de la Couronne – Y a-t-il lieu de tenir pour avérée l’existence d’une condition contractuelle selon laquelle la Couronne n’a pas connaissance de circonstances liées à son obligation constitutionnelle de consulter les Premières Nations et qui aurait pour effet de supprimer l’avantage d’une concession par la Couronne? – Comment le principe directeur de bonne foi sous-jacent à de nombreux aspects du droit des contrats s’applique-il à l’existence implicite de conditions dans un contrat avec la Couronne lorsque la Couronne a une obligation de consulter des Premières Nations en lien avec le contrat? – La Couronne peut-elle passer sous silence des menaces particulières aux droits concédés lorsqu’elle apprend l’existence de ces menaces pendant le processus de consultation? – La Couronne peut-elle s’appuyer sur une clause d’exclusion pour se soustraire à la responsabilité à l’égard des risques particuliers dont elle a connaissance, mais qu’elle ne porte pas à la connaissance du concessionnaire?</w:t>
            </w:r>
          </w:p>
        </w:tc>
      </w:tr>
      <w:tr w:rsidR="003C24AA" w:rsidRPr="00B879B5" w:rsidTr="00C5479E">
        <w:tc>
          <w:tcPr>
            <w:tcW w:w="5000" w:type="pct"/>
            <w:gridSpan w:val="4"/>
          </w:tcPr>
          <w:p w:rsidR="003C24AA" w:rsidRPr="003C24AA" w:rsidRDefault="003C24AA" w:rsidP="003C24AA">
            <w:pPr>
              <w:jc w:val="both"/>
              <w:rPr>
                <w:sz w:val="20"/>
                <w:lang w:val="fr-CA"/>
              </w:rPr>
            </w:pPr>
          </w:p>
        </w:tc>
      </w:tr>
      <w:tr w:rsidR="003C24AA" w:rsidRPr="00B879B5" w:rsidTr="00C5479E">
        <w:tc>
          <w:tcPr>
            <w:tcW w:w="5000" w:type="pct"/>
            <w:gridSpan w:val="4"/>
          </w:tcPr>
          <w:p w:rsidR="003C24AA" w:rsidRPr="003C24AA" w:rsidRDefault="003C24AA" w:rsidP="003C24AA">
            <w:pPr>
              <w:jc w:val="both"/>
              <w:rPr>
                <w:sz w:val="20"/>
                <w:lang w:val="fr-CA"/>
              </w:rPr>
            </w:pPr>
            <w:r w:rsidRPr="003C24AA">
              <w:rPr>
                <w:sz w:val="20"/>
                <w:lang w:val="fr-CA"/>
              </w:rPr>
              <w:t xml:space="preserve">En juin 2006, la demanderesse s’est vu accorder des permis de vente de bois (« PVB ») pour récolter du bois dans la zone d’approvisionnement forestier de Fort Nelson, y compris à des emplacements situés à l’intérieur du territoire de piégeage concédé à George </w:t>
            </w:r>
            <w:proofErr w:type="spellStart"/>
            <w:r w:rsidRPr="003C24AA">
              <w:rPr>
                <w:sz w:val="20"/>
                <w:lang w:val="fr-CA"/>
              </w:rPr>
              <w:t>Behn</w:t>
            </w:r>
            <w:proofErr w:type="spellEnd"/>
            <w:r w:rsidRPr="003C24AA">
              <w:rPr>
                <w:sz w:val="20"/>
                <w:lang w:val="fr-CA"/>
              </w:rPr>
              <w:t xml:space="preserve">. En juillet, M. Behn a informé Sa Majesté qu’il s’opposait à la récolte et qu’il allait se rendre sur les lieux pour l’arrêter. Après le commencement de la récolte à la fin de septembre, M. Behn a fait savoir qu’il allait bloquer l’accès et Sa Majesté a informé la demanderesse du problème à ce moment-là. Un barrage routier a été établi sur la voie d’accès menant aux zones de récolte du bois. La demanderesse ne pouvait pas continuer la récolte et n’a pas pu obtenir d’autre travail d’exploitation forestière. Elle a intenté une action contre Sa Majesté, les Behn et la Première Nation de Fort Nelson (« PNFN »). Ses allégations d’atteinte intentionnelle aux rapports commerciaux et de complot civil contre les Behn et la PNFN ont fini par être rejetées, faute d’avoir établi que les Behn avaient commis un acte illégal. Cette conclusion n’a pas été portée en appel. La demanderesse a reproché à Sa Majesté d’avoir violé des conditions implicites de leur contrat et d’avoir fait une déclaration inexacte par négligence. </w:t>
            </w:r>
          </w:p>
          <w:p w:rsidR="003C24AA" w:rsidRPr="003C24AA" w:rsidRDefault="003C24AA" w:rsidP="003C24AA">
            <w:pPr>
              <w:jc w:val="both"/>
              <w:rPr>
                <w:sz w:val="20"/>
                <w:lang w:val="fr-CA"/>
              </w:rPr>
            </w:pPr>
          </w:p>
          <w:p w:rsidR="003C24AA" w:rsidRPr="003C24AA" w:rsidRDefault="003C24AA" w:rsidP="003C24AA">
            <w:pPr>
              <w:jc w:val="both"/>
              <w:rPr>
                <w:sz w:val="20"/>
                <w:lang w:val="fr-CA"/>
              </w:rPr>
            </w:pPr>
            <w:r w:rsidRPr="003C24AA">
              <w:rPr>
                <w:sz w:val="20"/>
                <w:lang w:val="fr-CA"/>
              </w:rPr>
              <w:t xml:space="preserve">La Cour suprême de la Colombie-Britannique a statué que Sa Majesté avait violé une condition implicite des PVB (et une déclaration implicite continue) selon laquelle Sa Majesté n’avait connaissance d’aucune Première Nation ayant exprimé de l’insatisfaction à l’égard de la consultation qu’elle avait entreprise, sous réserve de ce qui avait été communiqué à la demanderesse. La Cour a tenu Sa Majesté responsable de violation de contrat parce qu’elle n’avait pas avisé la demanderesse en temps opportun de la menace de M. </w:t>
            </w:r>
            <w:proofErr w:type="spellStart"/>
            <w:r w:rsidRPr="003C24AA">
              <w:rPr>
                <w:sz w:val="20"/>
                <w:lang w:val="fr-CA"/>
              </w:rPr>
              <w:t>Behn</w:t>
            </w:r>
            <w:proofErr w:type="spellEnd"/>
            <w:r w:rsidRPr="003C24AA">
              <w:rPr>
                <w:sz w:val="20"/>
                <w:lang w:val="fr-CA"/>
              </w:rPr>
              <w:t xml:space="preserve"> de bloquer l’accès physique et de négligence </w:t>
            </w:r>
            <w:r w:rsidRPr="003C24AA">
              <w:rPr>
                <w:sz w:val="20"/>
                <w:lang w:val="fr-CA"/>
              </w:rPr>
              <w:lastRenderedPageBreak/>
              <w:t>pour avoir violé l’obligation de diligence qui lui incombait de transmettre des renseignements d’importance fondamentale à l’égard de la capacité de la demanderesse d’exercer ses droits en vertu des permis. La Cour d’appel de la Colombie-Britannique a accueilli l’appel de Sa Majesté.</w:t>
            </w:r>
          </w:p>
          <w:p w:rsidR="003C24AA" w:rsidRPr="003C24AA" w:rsidRDefault="003C24AA" w:rsidP="003C24AA">
            <w:pPr>
              <w:jc w:val="both"/>
              <w:rPr>
                <w:sz w:val="20"/>
                <w:lang w:val="fr-CA"/>
              </w:rPr>
            </w:pPr>
          </w:p>
        </w:tc>
      </w:tr>
      <w:tr w:rsidR="003C24AA" w:rsidRPr="00B879B5" w:rsidTr="00C5479E">
        <w:tc>
          <w:tcPr>
            <w:tcW w:w="2427" w:type="pct"/>
            <w:gridSpan w:val="2"/>
          </w:tcPr>
          <w:p w:rsidR="003C24AA" w:rsidRPr="003C24AA" w:rsidRDefault="003C24AA" w:rsidP="003C24AA">
            <w:pPr>
              <w:jc w:val="both"/>
              <w:rPr>
                <w:sz w:val="20"/>
                <w:lang w:val="fr-CA"/>
              </w:rPr>
            </w:pPr>
            <w:r w:rsidRPr="003C24AA">
              <w:rPr>
                <w:sz w:val="20"/>
                <w:lang w:val="fr-CA"/>
              </w:rPr>
              <w:lastRenderedPageBreak/>
              <w:t>23 décembre 2013</w:t>
            </w:r>
          </w:p>
          <w:p w:rsidR="003C24AA" w:rsidRPr="003C24AA" w:rsidRDefault="003C24AA" w:rsidP="003C24AA">
            <w:pPr>
              <w:jc w:val="both"/>
              <w:rPr>
                <w:sz w:val="20"/>
                <w:lang w:val="fr-CA"/>
              </w:rPr>
            </w:pPr>
            <w:r w:rsidRPr="003C24AA">
              <w:rPr>
                <w:sz w:val="20"/>
                <w:lang w:val="fr-CA"/>
              </w:rPr>
              <w:t>Cour suprême de la Colombie-Britannique</w:t>
            </w:r>
          </w:p>
          <w:p w:rsidR="003C24AA" w:rsidRPr="003C24AA" w:rsidRDefault="003C24AA" w:rsidP="003C24AA">
            <w:pPr>
              <w:jc w:val="both"/>
              <w:rPr>
                <w:sz w:val="20"/>
                <w:lang w:val="fr-CA"/>
              </w:rPr>
            </w:pPr>
            <w:r w:rsidRPr="003C24AA">
              <w:rPr>
                <w:sz w:val="20"/>
                <w:lang w:val="fr-CA"/>
              </w:rPr>
              <w:t>(Juge Saunders)</w:t>
            </w:r>
          </w:p>
          <w:p w:rsidR="003C24AA" w:rsidRPr="003C24AA" w:rsidRDefault="00B879B5" w:rsidP="003C24AA">
            <w:pPr>
              <w:jc w:val="both"/>
              <w:rPr>
                <w:sz w:val="20"/>
                <w:lang w:val="fr-CA"/>
              </w:rPr>
            </w:pPr>
            <w:hyperlink r:id="rId13" w:history="1">
              <w:r w:rsidR="003C24AA" w:rsidRPr="003C24AA">
                <w:rPr>
                  <w:rStyle w:val="Hyperlink"/>
                  <w:sz w:val="20"/>
                  <w:lang w:val="fr-CA"/>
                </w:rPr>
                <w:t>2013 BCSC 2348</w:t>
              </w:r>
            </w:hyperlink>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Jugement accueillant l’action de la demanderesse, tenant Sa Majesté responsable de violation d’une condition contractuelle implicite et de déclaration inexacte faite par négligence et la condamnant à payer des dommages-intérêts de 1 750 000 $ plus les intérêts; rejet des réclamations contre les autres défendeurs</w:t>
            </w:r>
          </w:p>
          <w:p w:rsidR="003C24AA" w:rsidRPr="003C24AA" w:rsidRDefault="003C24AA" w:rsidP="003C24AA">
            <w:pPr>
              <w:jc w:val="both"/>
              <w:rPr>
                <w:sz w:val="20"/>
                <w:lang w:val="fr-CA"/>
              </w:rPr>
            </w:pPr>
          </w:p>
        </w:tc>
      </w:tr>
      <w:tr w:rsidR="003C24AA" w:rsidRPr="00B879B5" w:rsidTr="00C5479E">
        <w:tc>
          <w:tcPr>
            <w:tcW w:w="2427" w:type="pct"/>
            <w:gridSpan w:val="2"/>
          </w:tcPr>
          <w:p w:rsidR="003C24AA" w:rsidRPr="003C24AA" w:rsidRDefault="003C24AA" w:rsidP="003C24AA">
            <w:pPr>
              <w:jc w:val="both"/>
              <w:rPr>
                <w:sz w:val="20"/>
                <w:lang w:val="fr-CA"/>
              </w:rPr>
            </w:pPr>
            <w:r w:rsidRPr="003C24AA">
              <w:rPr>
                <w:sz w:val="20"/>
                <w:lang w:val="fr-CA"/>
              </w:rPr>
              <w:t>5 juin 2014</w:t>
            </w:r>
          </w:p>
          <w:p w:rsidR="003C24AA" w:rsidRPr="003C24AA" w:rsidRDefault="003C24AA" w:rsidP="003C24AA">
            <w:pPr>
              <w:jc w:val="both"/>
              <w:rPr>
                <w:sz w:val="20"/>
                <w:lang w:val="fr-CA"/>
              </w:rPr>
            </w:pPr>
            <w:r w:rsidRPr="003C24AA">
              <w:rPr>
                <w:sz w:val="20"/>
                <w:lang w:val="fr-CA"/>
              </w:rPr>
              <w:t>Cour suprême de la Colombie-Britannique</w:t>
            </w:r>
          </w:p>
          <w:p w:rsidR="003C24AA" w:rsidRPr="003C24AA" w:rsidRDefault="003C24AA" w:rsidP="003C24AA">
            <w:pPr>
              <w:jc w:val="both"/>
              <w:rPr>
                <w:sz w:val="20"/>
                <w:lang w:val="fr-CA"/>
              </w:rPr>
            </w:pPr>
            <w:r w:rsidRPr="003C24AA">
              <w:rPr>
                <w:sz w:val="20"/>
                <w:lang w:val="fr-CA"/>
              </w:rPr>
              <w:t>(Juge Saunders)</w:t>
            </w:r>
          </w:p>
          <w:p w:rsidR="003C24AA" w:rsidRPr="003C24AA" w:rsidRDefault="00B879B5" w:rsidP="003C24AA">
            <w:pPr>
              <w:jc w:val="both"/>
              <w:rPr>
                <w:sz w:val="20"/>
                <w:lang w:val="fr-CA"/>
              </w:rPr>
            </w:pPr>
            <w:hyperlink r:id="rId14" w:history="1">
              <w:r w:rsidR="003C24AA" w:rsidRPr="003C24AA">
                <w:rPr>
                  <w:rStyle w:val="Hyperlink"/>
                  <w:sz w:val="20"/>
                  <w:lang w:val="fr-CA"/>
                </w:rPr>
                <w:t>2014 BCSC 993</w:t>
              </w:r>
            </w:hyperlink>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 xml:space="preserve">Jugement condamnant Sa Majesté aux dépens et aux dépens calculés au double après la date d’une offre de règlement. Ordonnance de type Sanderson condamnant Sa Majesté à payer les deux tiers des dépens de la Première Nation de Fort Nelson. </w:t>
            </w:r>
          </w:p>
          <w:p w:rsidR="003C24AA" w:rsidRPr="003C24AA" w:rsidRDefault="003C24AA" w:rsidP="003C24AA">
            <w:pPr>
              <w:jc w:val="both"/>
              <w:rPr>
                <w:sz w:val="20"/>
                <w:lang w:val="fr-CA"/>
              </w:rPr>
            </w:pPr>
          </w:p>
        </w:tc>
      </w:tr>
      <w:tr w:rsidR="003C24AA" w:rsidRPr="00B879B5" w:rsidTr="00C5479E">
        <w:tc>
          <w:tcPr>
            <w:tcW w:w="2427" w:type="pct"/>
            <w:gridSpan w:val="2"/>
          </w:tcPr>
          <w:p w:rsidR="003C24AA" w:rsidRPr="003C24AA" w:rsidRDefault="003C24AA" w:rsidP="003C24AA">
            <w:pPr>
              <w:jc w:val="both"/>
              <w:rPr>
                <w:sz w:val="20"/>
                <w:lang w:val="fr-CA"/>
              </w:rPr>
            </w:pPr>
            <w:r w:rsidRPr="003C24AA">
              <w:rPr>
                <w:sz w:val="20"/>
                <w:lang w:val="fr-CA"/>
              </w:rPr>
              <w:t>26 février 2015</w:t>
            </w:r>
          </w:p>
          <w:p w:rsidR="003C24AA" w:rsidRPr="003C24AA" w:rsidRDefault="003C24AA" w:rsidP="003C24AA">
            <w:pPr>
              <w:jc w:val="both"/>
              <w:rPr>
                <w:sz w:val="20"/>
                <w:lang w:val="fr-CA"/>
              </w:rPr>
            </w:pPr>
            <w:r w:rsidRPr="003C24AA">
              <w:rPr>
                <w:sz w:val="20"/>
                <w:lang w:val="fr-CA"/>
              </w:rPr>
              <w:t>Cour d’appel de la Colombie-Britannique</w:t>
            </w:r>
          </w:p>
          <w:p w:rsidR="003C24AA" w:rsidRPr="003C24AA" w:rsidRDefault="003C24AA" w:rsidP="003C24AA">
            <w:pPr>
              <w:jc w:val="both"/>
              <w:rPr>
                <w:sz w:val="20"/>
                <w:lang w:val="fr-CA"/>
              </w:rPr>
            </w:pPr>
            <w:r w:rsidRPr="003C24AA">
              <w:rPr>
                <w:sz w:val="20"/>
                <w:lang w:val="fr-CA"/>
              </w:rPr>
              <w:t>(Vancouver)</w:t>
            </w:r>
          </w:p>
          <w:p w:rsidR="003C24AA" w:rsidRPr="003C24AA" w:rsidRDefault="003C24AA" w:rsidP="003C24AA">
            <w:pPr>
              <w:jc w:val="both"/>
              <w:rPr>
                <w:sz w:val="20"/>
                <w:lang w:val="fr-CA"/>
              </w:rPr>
            </w:pPr>
            <w:r w:rsidRPr="003C24AA">
              <w:rPr>
                <w:sz w:val="20"/>
                <w:lang w:val="fr-CA"/>
              </w:rPr>
              <w:t>(Juges Levine, Chiasson et Frankel)</w:t>
            </w:r>
          </w:p>
          <w:p w:rsidR="003C24AA" w:rsidRPr="003C24AA" w:rsidRDefault="00B879B5" w:rsidP="003C24AA">
            <w:pPr>
              <w:jc w:val="both"/>
              <w:rPr>
                <w:sz w:val="20"/>
                <w:lang w:val="fr-CA"/>
              </w:rPr>
            </w:pPr>
            <w:hyperlink r:id="rId15" w:history="1">
              <w:r w:rsidR="003C24AA" w:rsidRPr="003C24AA">
                <w:rPr>
                  <w:rStyle w:val="Hyperlink"/>
                  <w:sz w:val="20"/>
                  <w:lang w:val="fr-CA"/>
                </w:rPr>
                <w:t>2015 BCCA 89</w:t>
              </w:r>
            </w:hyperlink>
            <w:r w:rsidR="003C24AA" w:rsidRPr="003C24AA">
              <w:rPr>
                <w:sz w:val="20"/>
                <w:lang w:val="fr-CA"/>
              </w:rPr>
              <w:t>; CA41524</w:t>
            </w:r>
          </w:p>
          <w:p w:rsidR="003C24AA" w:rsidRPr="003C24AA" w:rsidRDefault="003C24AA" w:rsidP="003C24AA">
            <w:pPr>
              <w:jc w:val="both"/>
              <w:rPr>
                <w:sz w:val="20"/>
                <w:lang w:val="fr-CA"/>
              </w:rPr>
            </w:pP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Arrêt accueillant l’appel et annulant l’ordonnance de la juridiction inférieure dans la mesure où elle touchait Sa Majesté</w:t>
            </w:r>
          </w:p>
        </w:tc>
      </w:tr>
      <w:tr w:rsidR="003C24AA" w:rsidRPr="00B879B5" w:rsidTr="00C5479E">
        <w:tc>
          <w:tcPr>
            <w:tcW w:w="2427" w:type="pct"/>
            <w:gridSpan w:val="2"/>
          </w:tcPr>
          <w:p w:rsidR="003C24AA" w:rsidRPr="003C24AA" w:rsidRDefault="003C24AA" w:rsidP="003C24AA">
            <w:pPr>
              <w:jc w:val="both"/>
              <w:rPr>
                <w:sz w:val="20"/>
                <w:lang w:val="fr-CA"/>
              </w:rPr>
            </w:pPr>
            <w:r w:rsidRPr="003C24AA">
              <w:rPr>
                <w:sz w:val="20"/>
                <w:lang w:val="fr-CA"/>
              </w:rPr>
              <w:t>27 avril 2015</w:t>
            </w:r>
          </w:p>
          <w:p w:rsidR="003C24AA" w:rsidRPr="003C24AA" w:rsidRDefault="003C24AA" w:rsidP="003C24AA">
            <w:pPr>
              <w:jc w:val="both"/>
              <w:rPr>
                <w:sz w:val="20"/>
                <w:lang w:val="fr-CA"/>
              </w:rPr>
            </w:pPr>
            <w:r w:rsidRPr="003C24AA">
              <w:rPr>
                <w:sz w:val="20"/>
                <w:lang w:val="fr-CA"/>
              </w:rPr>
              <w:t>Cour suprême du Canada</w:t>
            </w: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lang w:val="fr-CA"/>
              </w:rPr>
            </w:pPr>
            <w:r w:rsidRPr="003C24AA">
              <w:rPr>
                <w:sz w:val="20"/>
                <w:lang w:val="fr-CA"/>
              </w:rPr>
              <w:t>Dépôt de la demande d’autorisation d’appel</w:t>
            </w:r>
          </w:p>
          <w:p w:rsidR="003C24AA" w:rsidRPr="003C24AA" w:rsidRDefault="003C24AA" w:rsidP="003C24AA">
            <w:pPr>
              <w:jc w:val="both"/>
              <w:rPr>
                <w:sz w:val="20"/>
                <w:lang w:val="fr-CA"/>
              </w:rPr>
            </w:pPr>
          </w:p>
        </w:tc>
      </w:tr>
    </w:tbl>
    <w:p w:rsidR="003C24AA" w:rsidRPr="003C24AA" w:rsidRDefault="003C24AA" w:rsidP="003C24AA">
      <w:pPr>
        <w:jc w:val="both"/>
        <w:rPr>
          <w:sz w:val="20"/>
          <w:lang w:val="fr-CA"/>
        </w:rPr>
      </w:pPr>
    </w:p>
    <w:p w:rsidR="003C24AA" w:rsidRPr="003C24AA" w:rsidRDefault="003C24AA" w:rsidP="003C24A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3C24AA" w:rsidTr="00E95A6A">
        <w:tc>
          <w:tcPr>
            <w:tcW w:w="543" w:type="pct"/>
          </w:tcPr>
          <w:p w:rsidR="003C24AA" w:rsidRPr="003C24AA" w:rsidRDefault="003C24AA" w:rsidP="003C24AA">
            <w:pPr>
              <w:jc w:val="both"/>
              <w:rPr>
                <w:sz w:val="20"/>
                <w:lang w:val="en-CA"/>
              </w:rPr>
            </w:pPr>
            <w:r w:rsidRPr="003C24AA">
              <w:rPr>
                <w:rStyle w:val="SCCFileNumberChar"/>
                <w:sz w:val="20"/>
                <w:szCs w:val="20"/>
              </w:rPr>
              <w:t>36351</w:t>
            </w:r>
          </w:p>
        </w:tc>
        <w:tc>
          <w:tcPr>
            <w:tcW w:w="4457" w:type="pct"/>
            <w:gridSpan w:val="3"/>
          </w:tcPr>
          <w:p w:rsidR="003C24AA" w:rsidRPr="003C24AA" w:rsidRDefault="003C24AA" w:rsidP="003C24AA">
            <w:pPr>
              <w:pStyle w:val="SCCLsocParty"/>
              <w:jc w:val="both"/>
              <w:rPr>
                <w:b/>
                <w:sz w:val="20"/>
                <w:szCs w:val="20"/>
              </w:rPr>
            </w:pPr>
            <w:r w:rsidRPr="003C24AA">
              <w:rPr>
                <w:b/>
                <w:sz w:val="20"/>
                <w:szCs w:val="20"/>
              </w:rPr>
              <w:t>Jean-François Morasse v. Gabriel Nadeau-Dubois</w:t>
            </w:r>
          </w:p>
          <w:p w:rsidR="003C24AA" w:rsidRPr="003C24AA" w:rsidRDefault="003C24AA" w:rsidP="003C24AA">
            <w:pPr>
              <w:pStyle w:val="SCCLsocOtherPartySeparator"/>
              <w:rPr>
                <w:rFonts w:cs="Times New Roman"/>
                <w:sz w:val="20"/>
                <w:szCs w:val="20"/>
                <w:lang w:val="en-CA"/>
              </w:rPr>
            </w:pPr>
            <w:r w:rsidRPr="003C24AA">
              <w:rPr>
                <w:rFonts w:cs="Times New Roman"/>
                <w:sz w:val="20"/>
                <w:szCs w:val="20"/>
                <w:lang w:val="en-CA"/>
              </w:rPr>
              <w:t>- and -</w:t>
            </w:r>
          </w:p>
          <w:p w:rsidR="003C24AA" w:rsidRPr="003C24AA" w:rsidRDefault="003C24AA" w:rsidP="003C24AA">
            <w:pPr>
              <w:pStyle w:val="SCCLsocParty"/>
              <w:jc w:val="both"/>
              <w:rPr>
                <w:b/>
                <w:sz w:val="20"/>
                <w:szCs w:val="20"/>
                <w:lang w:val="en-CA"/>
              </w:rPr>
            </w:pPr>
            <w:r w:rsidRPr="003C24AA">
              <w:rPr>
                <w:b/>
                <w:sz w:val="20"/>
                <w:szCs w:val="20"/>
                <w:lang w:val="en-CA"/>
              </w:rPr>
              <w:t>Canadian Civil Liberties Association</w:t>
            </w:r>
          </w:p>
          <w:p w:rsidR="003C24AA" w:rsidRPr="003C24AA" w:rsidRDefault="003C24AA" w:rsidP="003C24AA">
            <w:pPr>
              <w:jc w:val="both"/>
              <w:rPr>
                <w:sz w:val="20"/>
                <w:lang w:val="en-CA"/>
              </w:rPr>
            </w:pPr>
            <w:r w:rsidRPr="003C24AA">
              <w:rPr>
                <w:sz w:val="20"/>
                <w:lang w:val="en-CA"/>
              </w:rPr>
              <w:t>(Que.) (Civil) (By Leave)</w:t>
            </w:r>
          </w:p>
        </w:tc>
      </w:tr>
      <w:tr w:rsidR="003C24AA" w:rsidRPr="003C24AA" w:rsidTr="00E95A6A">
        <w:tc>
          <w:tcPr>
            <w:tcW w:w="5000" w:type="pct"/>
            <w:gridSpan w:val="4"/>
          </w:tcPr>
          <w:p w:rsidR="003C24AA" w:rsidRPr="003C24AA" w:rsidRDefault="003C24AA" w:rsidP="003C24AA">
            <w:pPr>
              <w:jc w:val="both"/>
              <w:rPr>
                <w:sz w:val="20"/>
                <w:lang w:val="en-CA"/>
              </w:rPr>
            </w:pPr>
            <w:r w:rsidRPr="003C24AA">
              <w:rPr>
                <w:sz w:val="20"/>
                <w:lang w:val="en-CA"/>
              </w:rPr>
              <w:t xml:space="preserve">Civil procedure – Contempt of court – Injunction – Knowledge of order – Proof beyond reasonable doubt of knowledge of order and of </w:t>
            </w:r>
            <w:r w:rsidRPr="003C24AA">
              <w:rPr>
                <w:i/>
                <w:sz w:val="20"/>
                <w:lang w:val="en-CA"/>
              </w:rPr>
              <w:t xml:space="preserve">actus </w:t>
            </w:r>
            <w:proofErr w:type="spellStart"/>
            <w:r w:rsidRPr="003C24AA">
              <w:rPr>
                <w:i/>
                <w:sz w:val="20"/>
                <w:lang w:val="en-CA"/>
              </w:rPr>
              <w:t>reus</w:t>
            </w:r>
            <w:proofErr w:type="spellEnd"/>
            <w:r w:rsidRPr="003C24AA">
              <w:rPr>
                <w:i/>
                <w:sz w:val="20"/>
                <w:lang w:val="en-CA"/>
              </w:rPr>
              <w:t xml:space="preserve"> </w:t>
            </w:r>
            <w:r w:rsidRPr="003C24AA">
              <w:rPr>
                <w:sz w:val="20"/>
                <w:lang w:val="en-CA"/>
              </w:rPr>
              <w:t>– Whether Court of Appeal erred in law by substituting its own assessment of the evidence for that of the honourable trial judge despite the absence of an overriding and palpable error – Whether Court of Appeal erred in law by requiring the prosecution to prove [</w:t>
            </w:r>
            <w:r w:rsidRPr="003C24AA">
              <w:rPr>
                <w:smallCaps/>
                <w:sz w:val="20"/>
                <w:lang w:val="en-CA"/>
              </w:rPr>
              <w:t xml:space="preserve">translation] </w:t>
            </w:r>
            <w:r w:rsidRPr="003C24AA">
              <w:rPr>
                <w:sz w:val="20"/>
                <w:lang w:val="en-CA"/>
              </w:rPr>
              <w:t xml:space="preserve">“specific” knowledge of the order that the respondent was accused of having violated – Whether Court of Appeal erred in law by allowing a defence based on freedom of expression when no constitutional argument to this effect had been made – </w:t>
            </w:r>
            <w:r w:rsidRPr="003C24AA">
              <w:rPr>
                <w:i/>
                <w:sz w:val="20"/>
                <w:lang w:val="en-CA"/>
              </w:rPr>
              <w:t>Code of Civil Procedure</w:t>
            </w:r>
            <w:r w:rsidRPr="003C24AA">
              <w:rPr>
                <w:sz w:val="20"/>
                <w:lang w:val="en-CA"/>
              </w:rPr>
              <w:t>, CQLR c C-25, art. 50.</w:t>
            </w:r>
          </w:p>
        </w:tc>
      </w:tr>
      <w:tr w:rsidR="003C24AA" w:rsidRPr="003C24AA" w:rsidTr="00E95A6A">
        <w:tc>
          <w:tcPr>
            <w:tcW w:w="5000" w:type="pct"/>
            <w:gridSpan w:val="4"/>
          </w:tcPr>
          <w:p w:rsidR="003C24AA" w:rsidRPr="003C24AA" w:rsidRDefault="003C24AA" w:rsidP="003C24AA">
            <w:pPr>
              <w:jc w:val="both"/>
              <w:rPr>
                <w:sz w:val="20"/>
                <w:lang w:val="en-CA"/>
              </w:rPr>
            </w:pPr>
          </w:p>
        </w:tc>
      </w:tr>
      <w:tr w:rsidR="003C24AA" w:rsidRPr="003C24AA" w:rsidTr="00E95A6A">
        <w:tc>
          <w:tcPr>
            <w:tcW w:w="5000" w:type="pct"/>
            <w:gridSpan w:val="4"/>
          </w:tcPr>
          <w:p w:rsidR="003C24AA" w:rsidRPr="003C24AA" w:rsidRDefault="003C24AA" w:rsidP="003C24AA">
            <w:pPr>
              <w:jc w:val="both"/>
              <w:rPr>
                <w:sz w:val="20"/>
                <w:lang w:val="en-CA" w:eastAsia="en-CA"/>
              </w:rPr>
            </w:pPr>
            <w:r w:rsidRPr="003C24AA">
              <w:rPr>
                <w:sz w:val="20"/>
                <w:lang w:val="en-CA" w:eastAsia="en-CA"/>
              </w:rPr>
              <w:lastRenderedPageBreak/>
              <w:t xml:space="preserve">In the context of the student unrest over proposed increases in university tuition fees, the applicant, Jean-François </w:t>
            </w:r>
            <w:proofErr w:type="spellStart"/>
            <w:r w:rsidRPr="003C24AA">
              <w:rPr>
                <w:sz w:val="20"/>
                <w:lang w:val="en-CA" w:eastAsia="en-CA"/>
              </w:rPr>
              <w:t>Morasse</w:t>
            </w:r>
            <w:proofErr w:type="spellEnd"/>
            <w:r w:rsidRPr="003C24AA">
              <w:rPr>
                <w:sz w:val="20"/>
                <w:lang w:val="en-CA" w:eastAsia="en-CA"/>
              </w:rPr>
              <w:t>, filed a motion under art. 53 </w:t>
            </w:r>
            <w:r w:rsidRPr="003C24AA">
              <w:rPr>
                <w:i/>
                <w:sz w:val="20"/>
                <w:lang w:val="en-CA" w:eastAsia="en-CA"/>
              </w:rPr>
              <w:t xml:space="preserve">C.C.P. </w:t>
            </w:r>
            <w:r w:rsidRPr="003C24AA">
              <w:rPr>
                <w:sz w:val="20"/>
                <w:lang w:val="en-CA" w:eastAsia="en-CA"/>
              </w:rPr>
              <w:t>asking that the respondent, Gabriel Nadeau-Dubois, be cited for contempt of court. In his view, the statements made by Mr. Nadeau-Dubois in a television interview constituted direct interference with a safeguard order extending an interim interlocutory injunction rendered several weeks earlier ordering any person not to obstruct or impede access to classes.</w:t>
            </w:r>
          </w:p>
          <w:p w:rsidR="003C24AA" w:rsidRPr="003C24AA" w:rsidRDefault="003C24AA" w:rsidP="003C24AA">
            <w:pPr>
              <w:jc w:val="both"/>
              <w:rPr>
                <w:sz w:val="20"/>
                <w:lang w:val="en-CA"/>
              </w:rPr>
            </w:pPr>
          </w:p>
        </w:tc>
      </w:tr>
      <w:tr w:rsidR="003C24AA" w:rsidRPr="003C24AA" w:rsidTr="00E95A6A">
        <w:tc>
          <w:tcPr>
            <w:tcW w:w="2427" w:type="pct"/>
            <w:gridSpan w:val="2"/>
          </w:tcPr>
          <w:p w:rsidR="003C24AA" w:rsidRPr="003C24AA" w:rsidRDefault="003C24AA" w:rsidP="003C24AA">
            <w:pPr>
              <w:jc w:val="both"/>
              <w:rPr>
                <w:sz w:val="20"/>
                <w:lang w:val="en-CA"/>
              </w:rPr>
            </w:pPr>
            <w:r w:rsidRPr="003C24AA">
              <w:rPr>
                <w:sz w:val="20"/>
                <w:lang w:val="en-CA"/>
              </w:rPr>
              <w:t>April 12, 2012</w:t>
            </w:r>
          </w:p>
          <w:p w:rsidR="003C24AA" w:rsidRPr="003C24AA" w:rsidRDefault="003C24AA" w:rsidP="003C24AA">
            <w:pPr>
              <w:jc w:val="both"/>
              <w:rPr>
                <w:sz w:val="20"/>
                <w:lang w:val="en-CA"/>
              </w:rPr>
            </w:pPr>
            <w:r w:rsidRPr="003C24AA">
              <w:rPr>
                <w:sz w:val="20"/>
                <w:lang w:val="en-CA"/>
              </w:rPr>
              <w:t>Quebec Superior Court</w:t>
            </w:r>
          </w:p>
          <w:p w:rsidR="003C24AA" w:rsidRPr="003C24AA" w:rsidRDefault="003C24AA" w:rsidP="003C24AA">
            <w:pPr>
              <w:jc w:val="both"/>
              <w:rPr>
                <w:sz w:val="20"/>
                <w:lang w:val="en-CA"/>
              </w:rPr>
            </w:pPr>
            <w:r w:rsidRPr="003C24AA">
              <w:rPr>
                <w:sz w:val="20"/>
                <w:lang w:val="en-CA"/>
              </w:rPr>
              <w:t>(</w:t>
            </w:r>
            <w:proofErr w:type="spellStart"/>
            <w:r w:rsidRPr="003C24AA">
              <w:rPr>
                <w:sz w:val="20"/>
                <w:lang w:val="en-CA"/>
              </w:rPr>
              <w:t>Lemelin</w:t>
            </w:r>
            <w:proofErr w:type="spellEnd"/>
            <w:r w:rsidRPr="003C24AA">
              <w:rPr>
                <w:sz w:val="20"/>
                <w:lang w:val="en-CA"/>
              </w:rPr>
              <w:t xml:space="preserve"> J.)</w:t>
            </w:r>
          </w:p>
          <w:p w:rsidR="003C24AA" w:rsidRPr="003C24AA" w:rsidRDefault="00B879B5" w:rsidP="003C24AA">
            <w:pPr>
              <w:jc w:val="both"/>
              <w:rPr>
                <w:sz w:val="20"/>
                <w:lang w:val="en-CA"/>
              </w:rPr>
            </w:pPr>
            <w:hyperlink r:id="rId16" w:history="1">
              <w:r w:rsidR="003C24AA" w:rsidRPr="003C24AA">
                <w:rPr>
                  <w:color w:val="0000FF" w:themeColor="hyperlink"/>
                  <w:sz w:val="20"/>
                  <w:u w:val="single"/>
                  <w:lang w:val="en-CA"/>
                </w:rPr>
                <w:t>2012 QCCS 1565</w:t>
              </w:r>
            </w:hyperlink>
          </w:p>
          <w:p w:rsidR="003C24AA" w:rsidRPr="003C24AA" w:rsidRDefault="003C24AA" w:rsidP="003C24AA">
            <w:pPr>
              <w:jc w:val="both"/>
              <w:rPr>
                <w:sz w:val="20"/>
                <w:lang w:val="en-CA"/>
              </w:rPr>
            </w:pPr>
          </w:p>
        </w:tc>
        <w:tc>
          <w:tcPr>
            <w:tcW w:w="243" w:type="pct"/>
          </w:tcPr>
          <w:p w:rsidR="003C24AA" w:rsidRPr="003C24AA" w:rsidRDefault="003C24AA" w:rsidP="003C24AA">
            <w:pPr>
              <w:jc w:val="both"/>
              <w:rPr>
                <w:sz w:val="20"/>
                <w:lang w:val="en-CA"/>
              </w:rPr>
            </w:pPr>
          </w:p>
        </w:tc>
        <w:tc>
          <w:tcPr>
            <w:tcW w:w="2330" w:type="pct"/>
          </w:tcPr>
          <w:p w:rsidR="003C24AA" w:rsidRPr="003C24AA" w:rsidRDefault="003C24AA" w:rsidP="003C24AA">
            <w:pPr>
              <w:jc w:val="both"/>
              <w:rPr>
                <w:sz w:val="20"/>
                <w:lang w:val="en-CA"/>
              </w:rPr>
            </w:pPr>
            <w:r w:rsidRPr="003C24AA">
              <w:rPr>
                <w:sz w:val="20"/>
                <w:lang w:val="en-CA"/>
              </w:rPr>
              <w:t xml:space="preserve">Application for interim interlocutory injunction allowed </w:t>
            </w:r>
          </w:p>
          <w:p w:rsidR="003C24AA" w:rsidRPr="003C24AA" w:rsidRDefault="003C24AA" w:rsidP="003C24AA">
            <w:pPr>
              <w:jc w:val="both"/>
              <w:rPr>
                <w:sz w:val="20"/>
                <w:lang w:val="en-CA"/>
              </w:rPr>
            </w:pPr>
          </w:p>
        </w:tc>
      </w:tr>
      <w:tr w:rsidR="003C24AA" w:rsidRPr="003C24AA" w:rsidTr="00E95A6A">
        <w:tc>
          <w:tcPr>
            <w:tcW w:w="2427" w:type="pct"/>
            <w:gridSpan w:val="2"/>
          </w:tcPr>
          <w:p w:rsidR="003C24AA" w:rsidRPr="003C24AA" w:rsidRDefault="003C24AA" w:rsidP="003C24AA">
            <w:pPr>
              <w:jc w:val="both"/>
              <w:rPr>
                <w:sz w:val="20"/>
                <w:lang w:val="en-CA"/>
              </w:rPr>
            </w:pPr>
            <w:r w:rsidRPr="003C24AA">
              <w:rPr>
                <w:sz w:val="20"/>
                <w:lang w:val="en-CA"/>
              </w:rPr>
              <w:t>May 2, 2012</w:t>
            </w:r>
          </w:p>
          <w:p w:rsidR="003C24AA" w:rsidRPr="003C24AA" w:rsidRDefault="003C24AA" w:rsidP="003C24AA">
            <w:pPr>
              <w:jc w:val="both"/>
              <w:rPr>
                <w:sz w:val="20"/>
                <w:lang w:val="en-CA"/>
              </w:rPr>
            </w:pPr>
            <w:r w:rsidRPr="003C24AA">
              <w:rPr>
                <w:sz w:val="20"/>
                <w:lang w:val="en-CA"/>
              </w:rPr>
              <w:t>Quebec Superior Court</w:t>
            </w:r>
          </w:p>
          <w:p w:rsidR="003C24AA" w:rsidRPr="003C24AA" w:rsidRDefault="003C24AA" w:rsidP="003C24AA">
            <w:pPr>
              <w:jc w:val="both"/>
              <w:rPr>
                <w:sz w:val="20"/>
                <w:lang w:val="en-CA"/>
              </w:rPr>
            </w:pPr>
            <w:r w:rsidRPr="003C24AA">
              <w:rPr>
                <w:sz w:val="20"/>
                <w:lang w:val="en-CA"/>
              </w:rPr>
              <w:t>(</w:t>
            </w:r>
            <w:proofErr w:type="spellStart"/>
            <w:r w:rsidRPr="003C24AA">
              <w:rPr>
                <w:sz w:val="20"/>
                <w:lang w:val="en-CA"/>
              </w:rPr>
              <w:t>Émond</w:t>
            </w:r>
            <w:proofErr w:type="spellEnd"/>
            <w:r w:rsidRPr="003C24AA">
              <w:rPr>
                <w:sz w:val="20"/>
                <w:lang w:val="en-CA"/>
              </w:rPr>
              <w:t xml:space="preserve"> J.)</w:t>
            </w:r>
          </w:p>
          <w:p w:rsidR="003C24AA" w:rsidRPr="003C24AA" w:rsidRDefault="00B879B5" w:rsidP="003C24AA">
            <w:pPr>
              <w:jc w:val="both"/>
              <w:rPr>
                <w:color w:val="0000FF" w:themeColor="hyperlink"/>
                <w:sz w:val="20"/>
                <w:u w:val="single"/>
                <w:lang w:val="en-CA"/>
              </w:rPr>
            </w:pPr>
            <w:hyperlink r:id="rId17" w:history="1">
              <w:r w:rsidR="003C24AA" w:rsidRPr="003C24AA">
                <w:rPr>
                  <w:color w:val="0000FF" w:themeColor="hyperlink"/>
                  <w:sz w:val="20"/>
                  <w:u w:val="single"/>
                  <w:lang w:val="en-CA"/>
                </w:rPr>
                <w:t>2012 QCCS 1859</w:t>
              </w:r>
            </w:hyperlink>
          </w:p>
          <w:p w:rsidR="003C24AA" w:rsidRPr="003C24AA" w:rsidRDefault="003C24AA" w:rsidP="003C24AA">
            <w:pPr>
              <w:jc w:val="both"/>
              <w:rPr>
                <w:sz w:val="20"/>
                <w:lang w:val="en-CA"/>
              </w:rPr>
            </w:pPr>
          </w:p>
        </w:tc>
        <w:tc>
          <w:tcPr>
            <w:tcW w:w="243" w:type="pct"/>
          </w:tcPr>
          <w:p w:rsidR="003C24AA" w:rsidRPr="003C24AA" w:rsidRDefault="003C24AA" w:rsidP="003C24AA">
            <w:pPr>
              <w:jc w:val="both"/>
              <w:rPr>
                <w:sz w:val="20"/>
                <w:lang w:val="en-CA"/>
              </w:rPr>
            </w:pPr>
          </w:p>
        </w:tc>
        <w:tc>
          <w:tcPr>
            <w:tcW w:w="2330" w:type="pct"/>
          </w:tcPr>
          <w:p w:rsidR="003C24AA" w:rsidRPr="003C24AA" w:rsidRDefault="003C24AA" w:rsidP="003C24AA">
            <w:pPr>
              <w:jc w:val="both"/>
              <w:rPr>
                <w:sz w:val="20"/>
                <w:lang w:val="en-CA"/>
              </w:rPr>
            </w:pPr>
            <w:r w:rsidRPr="003C24AA">
              <w:rPr>
                <w:sz w:val="20"/>
                <w:lang w:val="en-CA"/>
              </w:rPr>
              <w:t>Safeguard order adopting conclusions of injunction allowed</w:t>
            </w:r>
          </w:p>
          <w:p w:rsidR="003C24AA" w:rsidRPr="003C24AA" w:rsidRDefault="003C24AA" w:rsidP="003C24AA">
            <w:pPr>
              <w:jc w:val="both"/>
              <w:rPr>
                <w:sz w:val="20"/>
                <w:lang w:val="en-CA"/>
              </w:rPr>
            </w:pPr>
          </w:p>
        </w:tc>
      </w:tr>
      <w:tr w:rsidR="003C24AA" w:rsidRPr="003C24AA" w:rsidTr="00E95A6A">
        <w:tc>
          <w:tcPr>
            <w:tcW w:w="2427" w:type="pct"/>
            <w:gridSpan w:val="2"/>
          </w:tcPr>
          <w:p w:rsidR="003C24AA" w:rsidRPr="003C24AA" w:rsidRDefault="003C24AA" w:rsidP="003C24AA">
            <w:pPr>
              <w:jc w:val="both"/>
              <w:rPr>
                <w:sz w:val="20"/>
                <w:lang w:val="en-CA"/>
              </w:rPr>
            </w:pPr>
            <w:r w:rsidRPr="003C24AA">
              <w:rPr>
                <w:sz w:val="20"/>
                <w:lang w:val="en-CA"/>
              </w:rPr>
              <w:t>November 1, 2012</w:t>
            </w:r>
          </w:p>
          <w:p w:rsidR="003C24AA" w:rsidRPr="003C24AA" w:rsidRDefault="003C24AA" w:rsidP="003C24AA">
            <w:pPr>
              <w:jc w:val="both"/>
              <w:rPr>
                <w:sz w:val="20"/>
                <w:lang w:val="en-CA"/>
              </w:rPr>
            </w:pPr>
            <w:r w:rsidRPr="003C24AA">
              <w:rPr>
                <w:sz w:val="20"/>
                <w:lang w:val="en-CA"/>
              </w:rPr>
              <w:t>Quebec Superior Court</w:t>
            </w:r>
          </w:p>
          <w:p w:rsidR="003C24AA" w:rsidRPr="003C24AA" w:rsidRDefault="003C24AA" w:rsidP="003C24AA">
            <w:pPr>
              <w:jc w:val="both"/>
              <w:rPr>
                <w:sz w:val="20"/>
                <w:lang w:val="en-CA"/>
              </w:rPr>
            </w:pPr>
            <w:r w:rsidRPr="003C24AA">
              <w:rPr>
                <w:sz w:val="20"/>
                <w:lang w:val="en-CA"/>
              </w:rPr>
              <w:t>(Jacques J.)</w:t>
            </w:r>
          </w:p>
          <w:p w:rsidR="003C24AA" w:rsidRPr="003C24AA" w:rsidRDefault="00B879B5" w:rsidP="003C24AA">
            <w:pPr>
              <w:jc w:val="both"/>
              <w:rPr>
                <w:color w:val="0000FF" w:themeColor="hyperlink"/>
                <w:sz w:val="20"/>
                <w:u w:val="single"/>
                <w:lang w:val="en-CA"/>
              </w:rPr>
            </w:pPr>
            <w:hyperlink r:id="rId18" w:history="1">
              <w:r w:rsidR="003C24AA" w:rsidRPr="003C24AA">
                <w:rPr>
                  <w:color w:val="0000FF" w:themeColor="hyperlink"/>
                  <w:sz w:val="20"/>
                  <w:u w:val="single"/>
                  <w:lang w:val="en-CA"/>
                </w:rPr>
                <w:t>2012 QCCS 5438</w:t>
              </w:r>
            </w:hyperlink>
          </w:p>
          <w:p w:rsidR="003C24AA" w:rsidRPr="003C24AA" w:rsidRDefault="003C24AA" w:rsidP="003C24AA">
            <w:pPr>
              <w:jc w:val="both"/>
              <w:rPr>
                <w:sz w:val="20"/>
                <w:lang w:val="en-CA"/>
              </w:rPr>
            </w:pPr>
          </w:p>
        </w:tc>
        <w:tc>
          <w:tcPr>
            <w:tcW w:w="243" w:type="pct"/>
          </w:tcPr>
          <w:p w:rsidR="003C24AA" w:rsidRPr="003C24AA" w:rsidRDefault="003C24AA" w:rsidP="003C24AA">
            <w:pPr>
              <w:jc w:val="both"/>
              <w:rPr>
                <w:sz w:val="20"/>
                <w:lang w:val="en-CA"/>
              </w:rPr>
            </w:pPr>
          </w:p>
        </w:tc>
        <w:tc>
          <w:tcPr>
            <w:tcW w:w="2330" w:type="pct"/>
          </w:tcPr>
          <w:p w:rsidR="003C24AA" w:rsidRPr="003C24AA" w:rsidRDefault="003C24AA" w:rsidP="003C24AA">
            <w:pPr>
              <w:jc w:val="both"/>
              <w:rPr>
                <w:sz w:val="20"/>
                <w:lang w:val="en-CA"/>
              </w:rPr>
            </w:pPr>
            <w:r w:rsidRPr="003C24AA">
              <w:rPr>
                <w:sz w:val="20"/>
                <w:lang w:val="en-CA"/>
              </w:rPr>
              <w:t>Respondent found guilty of contempt of court</w:t>
            </w:r>
          </w:p>
        </w:tc>
      </w:tr>
      <w:tr w:rsidR="003C24AA" w:rsidRPr="003C24AA" w:rsidTr="00E95A6A">
        <w:tc>
          <w:tcPr>
            <w:tcW w:w="2427" w:type="pct"/>
            <w:gridSpan w:val="2"/>
          </w:tcPr>
          <w:p w:rsidR="003C24AA" w:rsidRPr="003C24AA" w:rsidRDefault="003C24AA" w:rsidP="003C24AA">
            <w:pPr>
              <w:jc w:val="both"/>
              <w:rPr>
                <w:sz w:val="20"/>
                <w:lang w:val="en-CA"/>
              </w:rPr>
            </w:pPr>
            <w:r w:rsidRPr="003C24AA">
              <w:rPr>
                <w:sz w:val="20"/>
                <w:lang w:val="en-CA"/>
              </w:rPr>
              <w:t>January 21, 2015</w:t>
            </w:r>
          </w:p>
          <w:p w:rsidR="003C24AA" w:rsidRPr="003C24AA" w:rsidRDefault="003C24AA" w:rsidP="003C24AA">
            <w:pPr>
              <w:jc w:val="both"/>
              <w:rPr>
                <w:sz w:val="20"/>
                <w:lang w:val="en-CA"/>
              </w:rPr>
            </w:pPr>
            <w:r w:rsidRPr="003C24AA">
              <w:rPr>
                <w:sz w:val="20"/>
                <w:lang w:val="en-CA"/>
              </w:rPr>
              <w:t>Quebec Court of Appeal (Québec)</w:t>
            </w:r>
          </w:p>
          <w:p w:rsidR="003C24AA" w:rsidRPr="003C24AA" w:rsidRDefault="003C24AA" w:rsidP="003C24AA">
            <w:pPr>
              <w:jc w:val="both"/>
              <w:rPr>
                <w:sz w:val="20"/>
                <w:lang w:val="en-CA"/>
              </w:rPr>
            </w:pPr>
            <w:r w:rsidRPr="003C24AA">
              <w:rPr>
                <w:sz w:val="20"/>
                <w:lang w:val="en-CA"/>
              </w:rPr>
              <w:t>(</w:t>
            </w:r>
            <w:proofErr w:type="spellStart"/>
            <w:r w:rsidRPr="003C24AA">
              <w:rPr>
                <w:sz w:val="20"/>
                <w:lang w:val="en-CA"/>
              </w:rPr>
              <w:t>Bich</w:t>
            </w:r>
            <w:proofErr w:type="spellEnd"/>
            <w:r w:rsidRPr="003C24AA">
              <w:rPr>
                <w:sz w:val="20"/>
                <w:lang w:val="en-CA"/>
              </w:rPr>
              <w:t>, Giroux and Dufresne JJ.A.)</w:t>
            </w:r>
          </w:p>
          <w:p w:rsidR="003C24AA" w:rsidRPr="003C24AA" w:rsidRDefault="00B879B5" w:rsidP="003C24AA">
            <w:pPr>
              <w:jc w:val="both"/>
              <w:rPr>
                <w:sz w:val="20"/>
                <w:lang w:val="en-CA"/>
              </w:rPr>
            </w:pPr>
            <w:hyperlink r:id="rId19" w:history="1">
              <w:r w:rsidR="003C24AA" w:rsidRPr="003C24AA">
                <w:rPr>
                  <w:color w:val="0000FF" w:themeColor="hyperlink"/>
                  <w:sz w:val="20"/>
                  <w:u w:val="single"/>
                  <w:lang w:val="en-CA"/>
                </w:rPr>
                <w:t>2015 QCCA 78</w:t>
              </w:r>
            </w:hyperlink>
            <w:r w:rsidR="003C24AA" w:rsidRPr="003C24AA">
              <w:rPr>
                <w:sz w:val="20"/>
                <w:lang w:val="en-CA"/>
              </w:rPr>
              <w:t>; 200-09-007911-123 et 200-09-007901-124</w:t>
            </w:r>
          </w:p>
          <w:p w:rsidR="003C24AA" w:rsidRPr="003C24AA" w:rsidRDefault="003C24AA" w:rsidP="003C24AA">
            <w:pPr>
              <w:jc w:val="both"/>
              <w:rPr>
                <w:sz w:val="20"/>
                <w:lang w:val="en-CA"/>
              </w:rPr>
            </w:pPr>
          </w:p>
        </w:tc>
        <w:tc>
          <w:tcPr>
            <w:tcW w:w="243" w:type="pct"/>
          </w:tcPr>
          <w:p w:rsidR="003C24AA" w:rsidRPr="003C24AA" w:rsidRDefault="003C24AA" w:rsidP="003C24AA">
            <w:pPr>
              <w:jc w:val="both"/>
              <w:rPr>
                <w:sz w:val="20"/>
                <w:lang w:val="en-CA"/>
              </w:rPr>
            </w:pPr>
          </w:p>
        </w:tc>
        <w:tc>
          <w:tcPr>
            <w:tcW w:w="2330" w:type="pct"/>
          </w:tcPr>
          <w:p w:rsidR="003C24AA" w:rsidRPr="003C24AA" w:rsidRDefault="003C24AA" w:rsidP="003C24AA">
            <w:pPr>
              <w:jc w:val="both"/>
              <w:rPr>
                <w:sz w:val="20"/>
                <w:lang w:val="en-CA"/>
              </w:rPr>
            </w:pPr>
            <w:r w:rsidRPr="003C24AA">
              <w:rPr>
                <w:sz w:val="20"/>
                <w:lang w:val="en-CA"/>
              </w:rPr>
              <w:t>Appeal allowed; respondent acquitted</w:t>
            </w:r>
          </w:p>
          <w:p w:rsidR="003C24AA" w:rsidRPr="003C24AA" w:rsidRDefault="003C24AA" w:rsidP="003C24AA">
            <w:pPr>
              <w:jc w:val="both"/>
              <w:rPr>
                <w:sz w:val="20"/>
                <w:lang w:val="en-CA"/>
              </w:rPr>
            </w:pPr>
          </w:p>
        </w:tc>
      </w:tr>
      <w:tr w:rsidR="003C24AA" w:rsidRPr="003C24AA" w:rsidTr="00E95A6A">
        <w:tc>
          <w:tcPr>
            <w:tcW w:w="2427" w:type="pct"/>
            <w:gridSpan w:val="2"/>
          </w:tcPr>
          <w:p w:rsidR="003C24AA" w:rsidRPr="003C24AA" w:rsidRDefault="003C24AA" w:rsidP="003C24AA">
            <w:pPr>
              <w:jc w:val="both"/>
              <w:rPr>
                <w:sz w:val="20"/>
                <w:lang w:val="en-CA"/>
              </w:rPr>
            </w:pPr>
            <w:r w:rsidRPr="003C24AA">
              <w:rPr>
                <w:sz w:val="20"/>
                <w:lang w:val="en-CA"/>
              </w:rPr>
              <w:t>March 20, 2015</w:t>
            </w:r>
          </w:p>
          <w:p w:rsidR="003C24AA" w:rsidRPr="003C24AA" w:rsidRDefault="003C24AA" w:rsidP="003C24AA">
            <w:pPr>
              <w:jc w:val="both"/>
              <w:rPr>
                <w:sz w:val="20"/>
                <w:lang w:val="en-CA"/>
              </w:rPr>
            </w:pPr>
            <w:r w:rsidRPr="003C24AA">
              <w:rPr>
                <w:sz w:val="20"/>
                <w:lang w:val="en-CA"/>
              </w:rPr>
              <w:t>Supreme Court of Canada</w:t>
            </w:r>
          </w:p>
        </w:tc>
        <w:tc>
          <w:tcPr>
            <w:tcW w:w="243" w:type="pct"/>
          </w:tcPr>
          <w:p w:rsidR="003C24AA" w:rsidRPr="003C24AA" w:rsidRDefault="003C24AA" w:rsidP="003C24AA">
            <w:pPr>
              <w:jc w:val="both"/>
              <w:rPr>
                <w:sz w:val="20"/>
                <w:lang w:val="en-CA"/>
              </w:rPr>
            </w:pPr>
          </w:p>
        </w:tc>
        <w:tc>
          <w:tcPr>
            <w:tcW w:w="2330" w:type="pct"/>
          </w:tcPr>
          <w:p w:rsidR="003C24AA" w:rsidRPr="003C24AA" w:rsidRDefault="003C24AA" w:rsidP="003C24AA">
            <w:pPr>
              <w:jc w:val="both"/>
              <w:rPr>
                <w:sz w:val="20"/>
                <w:lang w:val="en-CA"/>
              </w:rPr>
            </w:pPr>
            <w:r w:rsidRPr="003C24AA">
              <w:rPr>
                <w:sz w:val="20"/>
                <w:lang w:val="en-CA"/>
              </w:rPr>
              <w:t>Application for leave to appeal filed</w:t>
            </w:r>
          </w:p>
          <w:p w:rsidR="003C24AA" w:rsidRPr="003C24AA" w:rsidRDefault="003C24AA" w:rsidP="003C24AA">
            <w:pPr>
              <w:jc w:val="both"/>
              <w:rPr>
                <w:sz w:val="20"/>
                <w:lang w:val="en-CA"/>
              </w:rPr>
            </w:pPr>
          </w:p>
        </w:tc>
      </w:tr>
    </w:tbl>
    <w:p w:rsidR="003C24AA" w:rsidRDefault="003C24AA" w:rsidP="003C24AA">
      <w:pPr>
        <w:jc w:val="both"/>
        <w:rPr>
          <w:sz w:val="20"/>
          <w:lang w:val="en-CA"/>
        </w:rPr>
      </w:pPr>
    </w:p>
    <w:p w:rsidR="003C24AA" w:rsidRPr="003C24AA" w:rsidRDefault="003C24AA" w:rsidP="003C24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24AA" w:rsidRPr="003C24AA" w:rsidTr="00E95A6A">
        <w:tc>
          <w:tcPr>
            <w:tcW w:w="543" w:type="pct"/>
          </w:tcPr>
          <w:p w:rsidR="003C24AA" w:rsidRPr="003C24AA" w:rsidRDefault="003C24AA" w:rsidP="003C24AA">
            <w:pPr>
              <w:jc w:val="both"/>
              <w:rPr>
                <w:sz w:val="20"/>
              </w:rPr>
            </w:pPr>
            <w:r w:rsidRPr="003C24AA">
              <w:rPr>
                <w:rStyle w:val="SCCFileNumberChar"/>
                <w:sz w:val="20"/>
                <w:szCs w:val="20"/>
              </w:rPr>
              <w:t>36351</w:t>
            </w:r>
          </w:p>
        </w:tc>
        <w:tc>
          <w:tcPr>
            <w:tcW w:w="4457" w:type="pct"/>
            <w:gridSpan w:val="3"/>
          </w:tcPr>
          <w:p w:rsidR="003C24AA" w:rsidRPr="003C24AA" w:rsidRDefault="003C24AA" w:rsidP="003C24AA">
            <w:pPr>
              <w:pStyle w:val="SCCLsocParty"/>
              <w:jc w:val="both"/>
              <w:rPr>
                <w:b/>
                <w:sz w:val="20"/>
                <w:szCs w:val="20"/>
              </w:rPr>
            </w:pPr>
            <w:r w:rsidRPr="003C24AA">
              <w:rPr>
                <w:b/>
                <w:sz w:val="20"/>
                <w:szCs w:val="20"/>
              </w:rPr>
              <w:t>Jean-François Morasse c. Gabriel Nadeau-Dubois</w:t>
            </w:r>
          </w:p>
          <w:p w:rsidR="003C24AA" w:rsidRPr="003C24AA" w:rsidRDefault="003C24AA" w:rsidP="003C24AA">
            <w:pPr>
              <w:pStyle w:val="SCCLsocOtherPartySeparator"/>
              <w:rPr>
                <w:rFonts w:cs="Times New Roman"/>
                <w:sz w:val="20"/>
                <w:szCs w:val="20"/>
              </w:rPr>
            </w:pPr>
            <w:r w:rsidRPr="003C24AA">
              <w:rPr>
                <w:rFonts w:cs="Times New Roman"/>
                <w:sz w:val="20"/>
                <w:szCs w:val="20"/>
              </w:rPr>
              <w:t>- et -</w:t>
            </w:r>
          </w:p>
          <w:p w:rsidR="003C24AA" w:rsidRPr="003C24AA" w:rsidRDefault="003C24AA" w:rsidP="003C24AA">
            <w:pPr>
              <w:pStyle w:val="SCCLsocParty"/>
              <w:jc w:val="both"/>
              <w:rPr>
                <w:b/>
                <w:sz w:val="20"/>
                <w:szCs w:val="20"/>
              </w:rPr>
            </w:pPr>
            <w:r w:rsidRPr="003C24AA">
              <w:rPr>
                <w:b/>
                <w:sz w:val="20"/>
                <w:szCs w:val="20"/>
              </w:rPr>
              <w:t>Association canadienne des libertés civiles</w:t>
            </w:r>
          </w:p>
          <w:p w:rsidR="003C24AA" w:rsidRPr="003C24AA" w:rsidRDefault="003C24AA" w:rsidP="003C24AA">
            <w:pPr>
              <w:jc w:val="both"/>
              <w:rPr>
                <w:sz w:val="20"/>
              </w:rPr>
            </w:pPr>
            <w:r w:rsidRPr="003C24AA">
              <w:rPr>
                <w:sz w:val="20"/>
              </w:rPr>
              <w:t>(Qc) (</w:t>
            </w:r>
            <w:proofErr w:type="spellStart"/>
            <w:r w:rsidRPr="003C24AA">
              <w:rPr>
                <w:sz w:val="20"/>
              </w:rPr>
              <w:t>Civile</w:t>
            </w:r>
            <w:proofErr w:type="spellEnd"/>
            <w:r w:rsidRPr="003C24AA">
              <w:rPr>
                <w:sz w:val="20"/>
              </w:rPr>
              <w:t>) (</w:t>
            </w:r>
            <w:proofErr w:type="spellStart"/>
            <w:r w:rsidRPr="003C24AA">
              <w:rPr>
                <w:sz w:val="20"/>
              </w:rPr>
              <w:t>Autorisation</w:t>
            </w:r>
            <w:proofErr w:type="spellEnd"/>
            <w:r w:rsidRPr="003C24AA">
              <w:rPr>
                <w:sz w:val="20"/>
              </w:rPr>
              <w:t>)</w:t>
            </w:r>
          </w:p>
        </w:tc>
      </w:tr>
      <w:tr w:rsidR="003C24AA" w:rsidRPr="00B879B5" w:rsidTr="00E95A6A">
        <w:tc>
          <w:tcPr>
            <w:tcW w:w="5000" w:type="pct"/>
            <w:gridSpan w:val="4"/>
          </w:tcPr>
          <w:p w:rsidR="003C24AA" w:rsidRPr="003C24AA" w:rsidRDefault="003C24AA" w:rsidP="003C24AA">
            <w:pPr>
              <w:jc w:val="both"/>
              <w:rPr>
                <w:sz w:val="20"/>
                <w:lang w:val="fr-CA"/>
              </w:rPr>
            </w:pPr>
            <w:r w:rsidRPr="003C24AA">
              <w:rPr>
                <w:sz w:val="20"/>
                <w:lang w:val="fr-CA"/>
              </w:rPr>
              <w:lastRenderedPageBreak/>
              <w:t>Procédure civile – Outrage au tribunal – Injonction – Connaissance de l’ordonnance – Preuve hors de tout doute raisonnable de la connaissance de l’ordonnance et de l’</w:t>
            </w:r>
            <w:r w:rsidRPr="003C24AA">
              <w:rPr>
                <w:i/>
                <w:sz w:val="20"/>
                <w:lang w:val="fr-CA"/>
              </w:rPr>
              <w:t xml:space="preserve">actus </w:t>
            </w:r>
            <w:proofErr w:type="spellStart"/>
            <w:r w:rsidRPr="003C24AA">
              <w:rPr>
                <w:i/>
                <w:sz w:val="20"/>
                <w:lang w:val="fr-CA"/>
              </w:rPr>
              <w:t>reus</w:t>
            </w:r>
            <w:proofErr w:type="spellEnd"/>
            <w:r w:rsidRPr="003C24AA">
              <w:rPr>
                <w:i/>
                <w:sz w:val="20"/>
                <w:lang w:val="fr-CA"/>
              </w:rPr>
              <w:t xml:space="preserve"> </w:t>
            </w:r>
            <w:r w:rsidRPr="003C24AA">
              <w:rPr>
                <w:sz w:val="20"/>
                <w:lang w:val="fr-CA"/>
              </w:rPr>
              <w:t xml:space="preserve">– La Cour d’appel a-t-elle erré en droit en substituant sa propre appréciation de la preuve à celle de l’honorable juge de première instance, et ce, en l’absence d’erreur manifeste et dominante? – La Cour d’appel a-t-elle erré en droit en exigeant du poursuivant la preuve de la connaissance « spécifique » de l’ordonnance à laquelle il était reproché à l’intimé d’avoir contrevenu? – La Cour d’appel a-t-elle erré en droit en donnant ouverture à un moyen de défense fondé sur la liberté d’expression en l’absence d’argument constitutionnel présenté à cet effet? – </w:t>
            </w:r>
            <w:r w:rsidRPr="003C24AA">
              <w:rPr>
                <w:i/>
                <w:sz w:val="20"/>
                <w:lang w:val="fr-CA"/>
              </w:rPr>
              <w:t>Code de procédure civile</w:t>
            </w:r>
            <w:r w:rsidRPr="003C24AA">
              <w:rPr>
                <w:sz w:val="20"/>
                <w:lang w:val="fr-CA"/>
              </w:rPr>
              <w:t>, RLRQ c C-25, art. 50.</w:t>
            </w:r>
          </w:p>
        </w:tc>
      </w:tr>
      <w:tr w:rsidR="003C24AA" w:rsidRPr="00B879B5" w:rsidTr="00E95A6A">
        <w:tc>
          <w:tcPr>
            <w:tcW w:w="5000" w:type="pct"/>
            <w:gridSpan w:val="4"/>
          </w:tcPr>
          <w:p w:rsidR="003C24AA" w:rsidRPr="003C24AA" w:rsidRDefault="003C24AA" w:rsidP="003C24AA">
            <w:pPr>
              <w:jc w:val="both"/>
              <w:rPr>
                <w:sz w:val="20"/>
                <w:lang w:val="fr-CA"/>
              </w:rPr>
            </w:pPr>
          </w:p>
        </w:tc>
      </w:tr>
      <w:tr w:rsidR="003C24AA" w:rsidRPr="00B879B5" w:rsidTr="00E95A6A">
        <w:tc>
          <w:tcPr>
            <w:tcW w:w="5000" w:type="pct"/>
            <w:gridSpan w:val="4"/>
          </w:tcPr>
          <w:p w:rsidR="003C24AA" w:rsidRPr="003C24AA" w:rsidRDefault="003C24AA" w:rsidP="003C24AA">
            <w:pPr>
              <w:jc w:val="both"/>
              <w:rPr>
                <w:sz w:val="20"/>
                <w:lang w:val="fr-CA" w:eastAsia="en-CA"/>
              </w:rPr>
            </w:pPr>
            <w:r w:rsidRPr="003C24AA">
              <w:rPr>
                <w:sz w:val="20"/>
                <w:lang w:val="fr-CA" w:eastAsia="en-CA"/>
              </w:rPr>
              <w:t>Dans le contexte du conflit étudiant relatif à l’augmentation projetée des droits de scolarité universitaires, le demandeur, M. Jean-François Morasse, présente une requête en vertu de l’art. 53 </w:t>
            </w:r>
            <w:proofErr w:type="spellStart"/>
            <w:r w:rsidRPr="003C24AA">
              <w:rPr>
                <w:i/>
                <w:sz w:val="20"/>
                <w:lang w:val="fr-CA" w:eastAsia="en-CA"/>
              </w:rPr>
              <w:t>C.p.c</w:t>
            </w:r>
            <w:proofErr w:type="spellEnd"/>
            <w:r w:rsidRPr="003C24AA">
              <w:rPr>
                <w:i/>
                <w:sz w:val="20"/>
                <w:lang w:val="fr-CA" w:eastAsia="en-CA"/>
              </w:rPr>
              <w:t xml:space="preserve">. </w:t>
            </w:r>
            <w:r w:rsidRPr="003C24AA">
              <w:rPr>
                <w:sz w:val="20"/>
                <w:lang w:val="fr-CA" w:eastAsia="en-CA"/>
              </w:rPr>
              <w:t>demandant à ce que l’intimé, M. Gabriel Nadeau-Dubois, soit assigné à comparaître pour outrage au tribunal. Il estime que les propos tenus par M. Nadeau-Dubois lors d’une entrevue télévisée constituent une entrave directe à une ordonnance de sauvegarde, laquelle prolongeait une ordonnance en injonction interlocutoire provisoire rendue quelques semaines plus tôt ordonnant à toute personne de s’abstenir d’obstruer ou de nuire à l’accès aux cours.</w:t>
            </w:r>
          </w:p>
          <w:p w:rsidR="003C24AA" w:rsidRPr="003C24AA" w:rsidRDefault="003C24AA" w:rsidP="003C24AA">
            <w:pPr>
              <w:jc w:val="both"/>
              <w:rPr>
                <w:sz w:val="20"/>
                <w:lang w:val="fr-CA"/>
              </w:rPr>
            </w:pP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Le 12 avril 2012</w:t>
            </w:r>
          </w:p>
          <w:p w:rsidR="003C24AA" w:rsidRPr="003C24AA" w:rsidRDefault="003C24AA" w:rsidP="003C24AA">
            <w:pPr>
              <w:jc w:val="both"/>
              <w:rPr>
                <w:sz w:val="20"/>
                <w:lang w:val="fr-CA"/>
              </w:rPr>
            </w:pPr>
            <w:r w:rsidRPr="003C24AA">
              <w:rPr>
                <w:sz w:val="20"/>
                <w:lang w:val="fr-CA"/>
              </w:rPr>
              <w:t>Cour supérieure du Québec</w:t>
            </w:r>
          </w:p>
          <w:p w:rsidR="003C24AA" w:rsidRPr="003C24AA" w:rsidRDefault="003C24AA" w:rsidP="003C24AA">
            <w:pPr>
              <w:jc w:val="both"/>
              <w:rPr>
                <w:sz w:val="20"/>
              </w:rPr>
            </w:pPr>
            <w:r w:rsidRPr="003C24AA">
              <w:rPr>
                <w:sz w:val="20"/>
              </w:rPr>
              <w:t xml:space="preserve">(Le </w:t>
            </w:r>
            <w:proofErr w:type="spellStart"/>
            <w:r w:rsidRPr="003C24AA">
              <w:rPr>
                <w:sz w:val="20"/>
              </w:rPr>
              <w:t>juge</w:t>
            </w:r>
            <w:proofErr w:type="spellEnd"/>
            <w:r w:rsidRPr="003C24AA">
              <w:rPr>
                <w:sz w:val="20"/>
              </w:rPr>
              <w:t xml:space="preserve"> </w:t>
            </w:r>
            <w:proofErr w:type="spellStart"/>
            <w:r w:rsidRPr="003C24AA">
              <w:rPr>
                <w:sz w:val="20"/>
              </w:rPr>
              <w:t>Lemelin</w:t>
            </w:r>
            <w:proofErr w:type="spellEnd"/>
            <w:r w:rsidRPr="003C24AA">
              <w:rPr>
                <w:sz w:val="20"/>
              </w:rPr>
              <w:t>)</w:t>
            </w:r>
          </w:p>
          <w:p w:rsidR="003C24AA" w:rsidRPr="003C24AA" w:rsidRDefault="00B879B5" w:rsidP="003C24AA">
            <w:pPr>
              <w:jc w:val="both"/>
              <w:rPr>
                <w:sz w:val="20"/>
              </w:rPr>
            </w:pPr>
            <w:hyperlink r:id="rId20" w:history="1">
              <w:r w:rsidR="003C24AA" w:rsidRPr="003C24AA">
                <w:rPr>
                  <w:color w:val="0000FF" w:themeColor="hyperlink"/>
                  <w:sz w:val="20"/>
                  <w:u w:val="single"/>
                </w:rPr>
                <w:t>2012 QCCS 1565</w:t>
              </w:r>
            </w:hyperlink>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lang w:val="fr-CA"/>
              </w:rPr>
            </w:pPr>
            <w:r w:rsidRPr="003C24AA">
              <w:rPr>
                <w:sz w:val="20"/>
                <w:lang w:val="fr-CA"/>
              </w:rPr>
              <w:t xml:space="preserve">Demande d’ordonnance d’injonction interlocutoire provisoire accueillie </w:t>
            </w:r>
          </w:p>
          <w:p w:rsidR="003C24AA" w:rsidRPr="003C24AA" w:rsidRDefault="003C24AA" w:rsidP="003C24AA">
            <w:pPr>
              <w:jc w:val="both"/>
              <w:rPr>
                <w:sz w:val="20"/>
                <w:lang w:val="fr-CA"/>
              </w:rPr>
            </w:pP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Le 2 mai 2012</w:t>
            </w:r>
          </w:p>
          <w:p w:rsidR="003C24AA" w:rsidRPr="003C24AA" w:rsidRDefault="003C24AA" w:rsidP="003C24AA">
            <w:pPr>
              <w:jc w:val="both"/>
              <w:rPr>
                <w:sz w:val="20"/>
                <w:lang w:val="fr-CA"/>
              </w:rPr>
            </w:pPr>
            <w:r w:rsidRPr="003C24AA">
              <w:rPr>
                <w:sz w:val="20"/>
                <w:lang w:val="fr-CA"/>
              </w:rPr>
              <w:t>Cour supérieure du Québec</w:t>
            </w:r>
          </w:p>
          <w:p w:rsidR="003C24AA" w:rsidRPr="003C24AA" w:rsidRDefault="003C24AA" w:rsidP="003C24AA">
            <w:pPr>
              <w:jc w:val="both"/>
              <w:rPr>
                <w:sz w:val="20"/>
              </w:rPr>
            </w:pPr>
            <w:r w:rsidRPr="003C24AA">
              <w:rPr>
                <w:sz w:val="20"/>
              </w:rPr>
              <w:t xml:space="preserve">(Le </w:t>
            </w:r>
            <w:proofErr w:type="spellStart"/>
            <w:r w:rsidRPr="003C24AA">
              <w:rPr>
                <w:sz w:val="20"/>
              </w:rPr>
              <w:t>juge</w:t>
            </w:r>
            <w:proofErr w:type="spellEnd"/>
            <w:r w:rsidRPr="003C24AA">
              <w:rPr>
                <w:sz w:val="20"/>
              </w:rPr>
              <w:t xml:space="preserve"> </w:t>
            </w:r>
            <w:proofErr w:type="spellStart"/>
            <w:r w:rsidRPr="003C24AA">
              <w:rPr>
                <w:sz w:val="20"/>
              </w:rPr>
              <w:t>Émond</w:t>
            </w:r>
            <w:proofErr w:type="spellEnd"/>
            <w:r w:rsidRPr="003C24AA">
              <w:rPr>
                <w:sz w:val="20"/>
              </w:rPr>
              <w:t>)</w:t>
            </w:r>
          </w:p>
          <w:p w:rsidR="003C24AA" w:rsidRPr="003C24AA" w:rsidRDefault="00B879B5" w:rsidP="003C24AA">
            <w:pPr>
              <w:jc w:val="both"/>
              <w:rPr>
                <w:color w:val="0000FF" w:themeColor="hyperlink"/>
                <w:sz w:val="20"/>
                <w:u w:val="single"/>
                <w:lang w:val="en-CA"/>
              </w:rPr>
            </w:pPr>
            <w:hyperlink r:id="rId21" w:history="1">
              <w:r w:rsidR="003C24AA" w:rsidRPr="003C24AA">
                <w:rPr>
                  <w:color w:val="0000FF" w:themeColor="hyperlink"/>
                  <w:sz w:val="20"/>
                  <w:u w:val="single"/>
                </w:rPr>
                <w:t>2012 QCCS 1859</w:t>
              </w:r>
            </w:hyperlink>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lang w:val="fr-CA"/>
              </w:rPr>
            </w:pPr>
            <w:r w:rsidRPr="003C24AA">
              <w:rPr>
                <w:sz w:val="20"/>
                <w:lang w:val="fr-CA"/>
              </w:rPr>
              <w:t>Ordonnance de sauvegarde reprenant les conclusions de l’injonction accordée</w:t>
            </w:r>
          </w:p>
          <w:p w:rsidR="003C24AA" w:rsidRPr="003C24AA" w:rsidRDefault="003C24AA" w:rsidP="003C24AA">
            <w:pPr>
              <w:jc w:val="both"/>
              <w:rPr>
                <w:sz w:val="20"/>
                <w:lang w:val="fr-CA"/>
              </w:rPr>
            </w:pPr>
          </w:p>
        </w:tc>
      </w:tr>
      <w:tr w:rsidR="003C24AA" w:rsidRPr="00B879B5" w:rsidTr="00E95A6A">
        <w:tc>
          <w:tcPr>
            <w:tcW w:w="2427" w:type="pct"/>
            <w:gridSpan w:val="2"/>
          </w:tcPr>
          <w:p w:rsidR="003C24AA" w:rsidRPr="003C24AA" w:rsidRDefault="003C24AA" w:rsidP="003C24AA">
            <w:pPr>
              <w:jc w:val="both"/>
              <w:rPr>
                <w:sz w:val="20"/>
                <w:lang w:val="fr-CA"/>
              </w:rPr>
            </w:pPr>
            <w:r w:rsidRPr="003C24AA">
              <w:rPr>
                <w:sz w:val="20"/>
                <w:lang w:val="fr-CA"/>
              </w:rPr>
              <w:t>Le 1</w:t>
            </w:r>
            <w:r w:rsidRPr="003C24AA">
              <w:rPr>
                <w:sz w:val="20"/>
                <w:vertAlign w:val="superscript"/>
                <w:lang w:val="fr-CA"/>
              </w:rPr>
              <w:t>er</w:t>
            </w:r>
            <w:r w:rsidRPr="003C24AA">
              <w:rPr>
                <w:sz w:val="20"/>
                <w:lang w:val="fr-CA"/>
              </w:rPr>
              <w:t xml:space="preserve"> novembre 2012</w:t>
            </w:r>
          </w:p>
          <w:p w:rsidR="003C24AA" w:rsidRPr="003C24AA" w:rsidRDefault="003C24AA" w:rsidP="003C24AA">
            <w:pPr>
              <w:jc w:val="both"/>
              <w:rPr>
                <w:sz w:val="20"/>
                <w:lang w:val="fr-CA"/>
              </w:rPr>
            </w:pPr>
            <w:r w:rsidRPr="003C24AA">
              <w:rPr>
                <w:sz w:val="20"/>
                <w:lang w:val="fr-CA"/>
              </w:rPr>
              <w:t>Cour supérieure du Québec</w:t>
            </w:r>
          </w:p>
          <w:p w:rsidR="003C24AA" w:rsidRPr="003C24AA" w:rsidRDefault="003C24AA" w:rsidP="003C24AA">
            <w:pPr>
              <w:jc w:val="both"/>
              <w:rPr>
                <w:sz w:val="20"/>
              </w:rPr>
            </w:pPr>
            <w:r w:rsidRPr="003C24AA">
              <w:rPr>
                <w:sz w:val="20"/>
              </w:rPr>
              <w:t xml:space="preserve">(Le </w:t>
            </w:r>
            <w:proofErr w:type="spellStart"/>
            <w:r w:rsidRPr="003C24AA">
              <w:rPr>
                <w:sz w:val="20"/>
              </w:rPr>
              <w:t>juge</w:t>
            </w:r>
            <w:proofErr w:type="spellEnd"/>
            <w:r w:rsidRPr="003C24AA">
              <w:rPr>
                <w:sz w:val="20"/>
              </w:rPr>
              <w:t xml:space="preserve"> Jacques)</w:t>
            </w:r>
          </w:p>
          <w:p w:rsidR="003C24AA" w:rsidRPr="003C24AA" w:rsidRDefault="00B879B5" w:rsidP="003C24AA">
            <w:pPr>
              <w:jc w:val="both"/>
              <w:rPr>
                <w:color w:val="0000FF" w:themeColor="hyperlink"/>
                <w:sz w:val="20"/>
                <w:u w:val="single"/>
                <w:lang w:val="en-CA"/>
              </w:rPr>
            </w:pPr>
            <w:hyperlink r:id="rId22" w:history="1">
              <w:r w:rsidR="003C24AA" w:rsidRPr="003C24AA">
                <w:rPr>
                  <w:color w:val="0000FF" w:themeColor="hyperlink"/>
                  <w:sz w:val="20"/>
                  <w:u w:val="single"/>
                </w:rPr>
                <w:t>2012 QCCS 5438</w:t>
              </w:r>
            </w:hyperlink>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lang w:val="fr-CA"/>
              </w:rPr>
            </w:pPr>
            <w:r w:rsidRPr="003C24AA">
              <w:rPr>
                <w:sz w:val="20"/>
                <w:lang w:val="fr-CA"/>
              </w:rPr>
              <w:t>Intimé reconnu coupable d’outrage au tribunal</w:t>
            </w:r>
          </w:p>
        </w:tc>
      </w:tr>
      <w:tr w:rsidR="003C24AA" w:rsidRPr="003C24AA" w:rsidTr="00E95A6A">
        <w:tc>
          <w:tcPr>
            <w:tcW w:w="2427" w:type="pct"/>
            <w:gridSpan w:val="2"/>
          </w:tcPr>
          <w:p w:rsidR="003C24AA" w:rsidRPr="003C24AA" w:rsidRDefault="003C24AA" w:rsidP="003C24AA">
            <w:pPr>
              <w:jc w:val="both"/>
              <w:rPr>
                <w:sz w:val="20"/>
                <w:lang w:val="fr-CA"/>
              </w:rPr>
            </w:pPr>
            <w:r w:rsidRPr="003C24AA">
              <w:rPr>
                <w:sz w:val="20"/>
                <w:lang w:val="fr-CA"/>
              </w:rPr>
              <w:t>Le 21 janvier 2015</w:t>
            </w:r>
          </w:p>
          <w:p w:rsidR="003C24AA" w:rsidRPr="003C24AA" w:rsidRDefault="003C24AA" w:rsidP="003C24AA">
            <w:pPr>
              <w:jc w:val="both"/>
              <w:rPr>
                <w:sz w:val="20"/>
                <w:lang w:val="fr-CA"/>
              </w:rPr>
            </w:pPr>
            <w:r w:rsidRPr="003C24AA">
              <w:rPr>
                <w:sz w:val="20"/>
                <w:lang w:val="fr-CA"/>
              </w:rPr>
              <w:t>Cour d’appel du Québec (Québec)</w:t>
            </w:r>
          </w:p>
          <w:p w:rsidR="003C24AA" w:rsidRPr="003C24AA" w:rsidRDefault="003C24AA" w:rsidP="003C24AA">
            <w:pPr>
              <w:jc w:val="both"/>
              <w:rPr>
                <w:sz w:val="20"/>
                <w:lang w:val="fr-CA"/>
              </w:rPr>
            </w:pPr>
            <w:r w:rsidRPr="003C24AA">
              <w:rPr>
                <w:sz w:val="20"/>
                <w:lang w:val="fr-CA"/>
              </w:rPr>
              <w:t xml:space="preserve">(Les juges </w:t>
            </w:r>
            <w:proofErr w:type="spellStart"/>
            <w:r w:rsidRPr="003C24AA">
              <w:rPr>
                <w:sz w:val="20"/>
                <w:lang w:val="fr-CA"/>
              </w:rPr>
              <w:t>Bich</w:t>
            </w:r>
            <w:proofErr w:type="spellEnd"/>
            <w:r w:rsidRPr="003C24AA">
              <w:rPr>
                <w:sz w:val="20"/>
                <w:lang w:val="fr-CA"/>
              </w:rPr>
              <w:t>, Giroux et Dufresne)</w:t>
            </w:r>
          </w:p>
          <w:p w:rsidR="003C24AA" w:rsidRPr="003C24AA" w:rsidRDefault="00B879B5" w:rsidP="003C24AA">
            <w:pPr>
              <w:jc w:val="both"/>
              <w:rPr>
                <w:sz w:val="20"/>
              </w:rPr>
            </w:pPr>
            <w:hyperlink r:id="rId23" w:history="1">
              <w:r w:rsidR="003C24AA" w:rsidRPr="003C24AA">
                <w:rPr>
                  <w:color w:val="0000FF" w:themeColor="hyperlink"/>
                  <w:sz w:val="20"/>
                  <w:u w:val="single"/>
                </w:rPr>
                <w:t>2015 QCCA 78</w:t>
              </w:r>
            </w:hyperlink>
            <w:r w:rsidR="003C24AA" w:rsidRPr="003C24AA">
              <w:rPr>
                <w:sz w:val="20"/>
              </w:rPr>
              <w:t>; 200-09-007911-123 et 200-09-007901-124</w:t>
            </w:r>
          </w:p>
          <w:p w:rsidR="003C24AA" w:rsidRPr="003C24AA" w:rsidRDefault="003C24AA" w:rsidP="003C24AA">
            <w:pPr>
              <w:jc w:val="both"/>
              <w:rPr>
                <w:sz w:val="20"/>
              </w:rPr>
            </w:pPr>
          </w:p>
        </w:tc>
        <w:tc>
          <w:tcPr>
            <w:tcW w:w="243" w:type="pct"/>
          </w:tcPr>
          <w:p w:rsidR="003C24AA" w:rsidRPr="003C24AA" w:rsidRDefault="003C24AA" w:rsidP="003C24AA">
            <w:pPr>
              <w:jc w:val="both"/>
              <w:rPr>
                <w:sz w:val="20"/>
              </w:rPr>
            </w:pPr>
          </w:p>
        </w:tc>
        <w:tc>
          <w:tcPr>
            <w:tcW w:w="2330" w:type="pct"/>
          </w:tcPr>
          <w:p w:rsidR="003C24AA" w:rsidRPr="003C24AA" w:rsidRDefault="003C24AA" w:rsidP="003C24AA">
            <w:pPr>
              <w:jc w:val="both"/>
              <w:rPr>
                <w:sz w:val="20"/>
              </w:rPr>
            </w:pPr>
            <w:r w:rsidRPr="003C24AA">
              <w:rPr>
                <w:sz w:val="20"/>
              </w:rPr>
              <w:t xml:space="preserve">Appel </w:t>
            </w:r>
            <w:proofErr w:type="spellStart"/>
            <w:r w:rsidRPr="003C24AA">
              <w:rPr>
                <w:sz w:val="20"/>
              </w:rPr>
              <w:t>accueilli</w:t>
            </w:r>
            <w:proofErr w:type="spellEnd"/>
            <w:r w:rsidRPr="003C24AA">
              <w:rPr>
                <w:sz w:val="20"/>
              </w:rPr>
              <w:t xml:space="preserve">; </w:t>
            </w:r>
            <w:proofErr w:type="spellStart"/>
            <w:r w:rsidRPr="003C24AA">
              <w:rPr>
                <w:sz w:val="20"/>
              </w:rPr>
              <w:t>acquittement</w:t>
            </w:r>
            <w:proofErr w:type="spellEnd"/>
            <w:r w:rsidRPr="003C24AA">
              <w:rPr>
                <w:sz w:val="20"/>
              </w:rPr>
              <w:t xml:space="preserve"> de </w:t>
            </w:r>
            <w:proofErr w:type="spellStart"/>
            <w:r w:rsidRPr="003C24AA">
              <w:rPr>
                <w:sz w:val="20"/>
              </w:rPr>
              <w:t>l’intimé</w:t>
            </w:r>
            <w:proofErr w:type="spellEnd"/>
          </w:p>
          <w:p w:rsidR="003C24AA" w:rsidRPr="003C24AA" w:rsidRDefault="003C24AA" w:rsidP="003C24AA">
            <w:pPr>
              <w:jc w:val="both"/>
              <w:rPr>
                <w:sz w:val="20"/>
              </w:rPr>
            </w:pPr>
          </w:p>
        </w:tc>
      </w:tr>
      <w:tr w:rsidR="003C24AA" w:rsidRPr="003C24AA" w:rsidTr="00E95A6A">
        <w:tc>
          <w:tcPr>
            <w:tcW w:w="2427" w:type="pct"/>
            <w:gridSpan w:val="2"/>
          </w:tcPr>
          <w:p w:rsidR="003C24AA" w:rsidRPr="003C24AA" w:rsidRDefault="003C24AA" w:rsidP="003C24AA">
            <w:pPr>
              <w:jc w:val="both"/>
              <w:rPr>
                <w:sz w:val="20"/>
                <w:lang w:val="fr-CA"/>
              </w:rPr>
            </w:pPr>
            <w:r w:rsidRPr="003C24AA">
              <w:rPr>
                <w:sz w:val="20"/>
                <w:lang w:val="fr-CA"/>
              </w:rPr>
              <w:lastRenderedPageBreak/>
              <w:t>Le 20 mars 2015</w:t>
            </w:r>
          </w:p>
          <w:p w:rsidR="003C24AA" w:rsidRPr="003C24AA" w:rsidRDefault="003C24AA" w:rsidP="003C24AA">
            <w:pPr>
              <w:jc w:val="both"/>
              <w:rPr>
                <w:sz w:val="20"/>
                <w:lang w:val="fr-CA"/>
              </w:rPr>
            </w:pPr>
            <w:r w:rsidRPr="003C24AA">
              <w:rPr>
                <w:sz w:val="20"/>
                <w:lang w:val="fr-CA"/>
              </w:rPr>
              <w:t>Cour suprême du Canada</w:t>
            </w:r>
          </w:p>
        </w:tc>
        <w:tc>
          <w:tcPr>
            <w:tcW w:w="243" w:type="pct"/>
          </w:tcPr>
          <w:p w:rsidR="003C24AA" w:rsidRPr="003C24AA" w:rsidRDefault="003C24AA" w:rsidP="003C24AA">
            <w:pPr>
              <w:jc w:val="both"/>
              <w:rPr>
                <w:sz w:val="20"/>
                <w:lang w:val="fr-CA"/>
              </w:rPr>
            </w:pPr>
          </w:p>
        </w:tc>
        <w:tc>
          <w:tcPr>
            <w:tcW w:w="2330" w:type="pct"/>
          </w:tcPr>
          <w:p w:rsidR="003C24AA" w:rsidRPr="003C24AA" w:rsidRDefault="003C24AA" w:rsidP="003C24AA">
            <w:pPr>
              <w:jc w:val="both"/>
              <w:rPr>
                <w:sz w:val="20"/>
              </w:rPr>
            </w:pPr>
            <w:proofErr w:type="spellStart"/>
            <w:r w:rsidRPr="003C24AA">
              <w:rPr>
                <w:sz w:val="20"/>
              </w:rPr>
              <w:t>Demande</w:t>
            </w:r>
            <w:proofErr w:type="spellEnd"/>
            <w:r w:rsidRPr="003C24AA">
              <w:rPr>
                <w:sz w:val="20"/>
              </w:rPr>
              <w:t xml:space="preserve"> </w:t>
            </w:r>
            <w:proofErr w:type="spellStart"/>
            <w:r w:rsidRPr="003C24AA">
              <w:rPr>
                <w:sz w:val="20"/>
              </w:rPr>
              <w:t>d'autorisation</w:t>
            </w:r>
            <w:proofErr w:type="spellEnd"/>
            <w:r w:rsidRPr="003C24AA">
              <w:rPr>
                <w:sz w:val="20"/>
              </w:rPr>
              <w:t xml:space="preserve"> </w:t>
            </w:r>
            <w:proofErr w:type="spellStart"/>
            <w:r w:rsidRPr="003C24AA">
              <w:rPr>
                <w:sz w:val="20"/>
              </w:rPr>
              <w:t>d'appel</w:t>
            </w:r>
            <w:proofErr w:type="spellEnd"/>
            <w:r w:rsidRPr="003C24AA">
              <w:rPr>
                <w:sz w:val="20"/>
              </w:rPr>
              <w:t xml:space="preserve"> </w:t>
            </w:r>
            <w:proofErr w:type="spellStart"/>
            <w:r w:rsidRPr="003C24AA">
              <w:rPr>
                <w:sz w:val="20"/>
              </w:rPr>
              <w:t>déposée</w:t>
            </w:r>
            <w:proofErr w:type="spellEnd"/>
          </w:p>
          <w:p w:rsidR="003C24AA" w:rsidRPr="003C24AA" w:rsidRDefault="003C24AA" w:rsidP="003C24AA">
            <w:pPr>
              <w:jc w:val="both"/>
              <w:rPr>
                <w:sz w:val="20"/>
              </w:rPr>
            </w:pPr>
          </w:p>
        </w:tc>
      </w:tr>
    </w:tbl>
    <w:p w:rsidR="003C24AA" w:rsidRPr="003C24AA" w:rsidRDefault="003C24AA" w:rsidP="003C24AA">
      <w:pPr>
        <w:jc w:val="both"/>
        <w:rPr>
          <w:sz w:val="20"/>
        </w:rPr>
      </w:pPr>
    </w:p>
    <w:p w:rsidR="005C1453" w:rsidRDefault="005C1453" w:rsidP="005C1453">
      <w:pPr>
        <w:ind w:left="360" w:hanging="360"/>
        <w:rPr>
          <w:sz w:val="20"/>
          <w:lang w:val="fr-CA"/>
        </w:rPr>
      </w:pPr>
    </w:p>
    <w:p w:rsidR="003C24AA" w:rsidRDefault="003C24AA" w:rsidP="005C1453">
      <w:pPr>
        <w:ind w:left="360" w:hanging="360"/>
        <w:rPr>
          <w:sz w:val="20"/>
          <w:lang w:val="fr-CA"/>
        </w:rPr>
      </w:pPr>
    </w:p>
    <w:p w:rsidR="009550BB" w:rsidRPr="00E7483A" w:rsidRDefault="009550BB"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B879B5" w:rsidP="00D3344A">
      <w:pPr>
        <w:widowControl w:val="0"/>
        <w:outlineLvl w:val="0"/>
        <w:rPr>
          <w:u w:val="single"/>
        </w:rPr>
      </w:pPr>
      <w:hyperlink r:id="rId24"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sectPr w:rsidR="00F6251B" w:rsidRPr="004B4D42" w:rsidSect="0052482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E" w:rsidRDefault="00757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E" w:rsidRDefault="0075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E" w:rsidRDefault="0075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E" w:rsidRDefault="00757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E" w:rsidRDefault="0075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3"/>
  </w:num>
  <w:num w:numId="5">
    <w:abstractNumId w:val="1"/>
  </w:num>
  <w:num w:numId="6">
    <w:abstractNumId w:val="2"/>
  </w:num>
  <w:num w:numId="7">
    <w:abstractNumId w:val="3"/>
  </w:num>
  <w:num w:numId="8">
    <w:abstractNumId w:val="15"/>
  </w:num>
  <w:num w:numId="9">
    <w:abstractNumId w:val="14"/>
  </w:num>
  <w:num w:numId="10">
    <w:abstractNumId w:val="10"/>
  </w:num>
  <w:num w:numId="11">
    <w:abstractNumId w:val="12"/>
  </w:num>
  <w:num w:numId="12">
    <w:abstractNumId w:val="9"/>
  </w:num>
  <w:num w:numId="13">
    <w:abstractNumId w:val="5"/>
  </w:num>
  <w:num w:numId="14">
    <w:abstractNumId w:val="7"/>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6468"/>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4AA"/>
    <w:rsid w:val="003C2D62"/>
    <w:rsid w:val="003C5F5E"/>
    <w:rsid w:val="003C5FC2"/>
    <w:rsid w:val="003C6BB7"/>
    <w:rsid w:val="003D0A88"/>
    <w:rsid w:val="003D27BD"/>
    <w:rsid w:val="003D353C"/>
    <w:rsid w:val="003E29B3"/>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5A5F"/>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5711E"/>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7C23"/>
    <w:rsid w:val="008E7F8D"/>
    <w:rsid w:val="008F06E9"/>
    <w:rsid w:val="008F2850"/>
    <w:rsid w:val="008F2FC2"/>
    <w:rsid w:val="008F302C"/>
    <w:rsid w:val="008F3FBD"/>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879B5"/>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8D9"/>
    <w:rsid w:val="00E85DC1"/>
    <w:rsid w:val="00E85EDA"/>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3C24AA"/>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C24AA"/>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52" TargetMode="External"/><Relationship Id="rId13" Type="http://schemas.openxmlformats.org/officeDocument/2006/relationships/hyperlink" Target="http://www.canlii.org/en/bc/bcsc/doc/2013/2013bcsc2348/2013bcsc2348.html?autocompleteStr=2013%20BCSC%202348&amp;autocompletePos=1" TargetMode="External"/><Relationship Id="rId18" Type="http://schemas.openxmlformats.org/officeDocument/2006/relationships/hyperlink" Target="http://www.canlii.org/fr/qc/qccs/doc/2012/2012qccs5438/2012qccs5438.html?resultIndex=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nlii.org/fr/qc/qccs/doc/2012/2012qccs1859/2012qccs1859.html?autocompleteStr=2012%20qccs%201859&amp;autocompletePos=1" TargetMode="External"/><Relationship Id="rId7" Type="http://schemas.openxmlformats.org/officeDocument/2006/relationships/endnotes" Target="endnotes.xml"/><Relationship Id="rId12" Type="http://schemas.openxmlformats.org/officeDocument/2006/relationships/hyperlink" Target="http://www.canlii.org/en/bc/bcca/doc/2015/2015bcca89/2015bcca89.html?autocompleteStr=2015%20BCCA%2089&amp;autocompletePos=1" TargetMode="External"/><Relationship Id="rId17" Type="http://schemas.openxmlformats.org/officeDocument/2006/relationships/hyperlink" Target="http://www.canlii.org/fr/qc/qccs/doc/2012/2012qccs1859/2012qccs1859.html?autocompleteStr=2012%20qccs%201859&amp;autocompletePos=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lii.org/fr/qc/qccs/doc/2012/2012qccs1565/2012qccs1565.html?autocompleteStr=2012%20qccs%201565&amp;autocompletePos=1" TargetMode="External"/><Relationship Id="rId20" Type="http://schemas.openxmlformats.org/officeDocument/2006/relationships/hyperlink" Target="http://www.canlii.org/fr/qc/qccs/doc/2012/2012qccs1565/2012qccs1565.html?autocompleteStr=2012%20qccs%201565&amp;autocompletePos=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bc/bcsc/doc/2014/2014bcsc993/2014bcsc993.html?autocompleteStr=2014%20BCSC%20993&amp;autocompletePos=1"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en/bc/bcca/doc/2015/2015bcca89/2015bcca89.html?autocompleteStr=2015%20BCCA%2089&amp;autocompletePos=1" TargetMode="External"/><Relationship Id="rId23" Type="http://schemas.openxmlformats.org/officeDocument/2006/relationships/hyperlink" Target="http://www.canlii.org/fr/qc/qcca/doc/2015/2015qcca78/2015qcca78.html" TargetMode="External"/><Relationship Id="rId28" Type="http://schemas.openxmlformats.org/officeDocument/2006/relationships/footer" Target="footer2.xml"/><Relationship Id="rId10" Type="http://schemas.openxmlformats.org/officeDocument/2006/relationships/hyperlink" Target="http://www.canlii.org/en/bc/bcsc/doc/2013/2013bcsc2348/2013bcsc2348.html?autocompleteStr=2013%20BCSC%202348&amp;autocompletePos=1" TargetMode="External"/><Relationship Id="rId19" Type="http://schemas.openxmlformats.org/officeDocument/2006/relationships/hyperlink" Target="http://www.canlii.org/fr/qc/qcca/doc/2015/2015qcca78/2015qcca7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402" TargetMode="External"/><Relationship Id="rId14" Type="http://schemas.openxmlformats.org/officeDocument/2006/relationships/hyperlink" Target="http://www.canlii.org/en/bc/bcsc/doc/2014/2014bcsc993/2014bcsc993.html?autocompleteStr=2014%20BCSC%20993&amp;autocompletePos=1" TargetMode="External"/><Relationship Id="rId22" Type="http://schemas.openxmlformats.org/officeDocument/2006/relationships/hyperlink" Target="http://www.canlii.org/fr/qc/qccs/doc/2012/2012qccs5438/2012qccs5438.html?resultIndex=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9209-CE63-4346-9C50-F35C3EFE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24614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2015-10-19T14:40:00Z</dcterms:created>
  <dcterms:modified xsi:type="dcterms:W3CDTF">2015-11-27T14:54:00Z</dcterms:modified>
</cp:coreProperties>
</file>