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62381D" w:rsidRDefault="00DF33A9" w:rsidP="00DF33A9">
      <w:pPr>
        <w:pStyle w:val="Header"/>
        <w:jc w:val="center"/>
        <w:rPr>
          <w:b/>
          <w:sz w:val="32"/>
        </w:rPr>
      </w:pPr>
      <w:r w:rsidRPr="0062381D">
        <w:rPr>
          <w:b/>
          <w:sz w:val="32"/>
        </w:rPr>
        <w:t>Supreme Court of Canada / Cour suprême du Canada</w:t>
      </w:r>
    </w:p>
    <w:p w:rsidR="00DF33A9" w:rsidRPr="0062381D" w:rsidRDefault="00DF33A9" w:rsidP="00DF33A9">
      <w:pPr>
        <w:widowControl w:val="0"/>
        <w:rPr>
          <w:i/>
        </w:rPr>
      </w:pPr>
    </w:p>
    <w:p w:rsidR="00DF33A9" w:rsidRPr="0062381D" w:rsidRDefault="00DF33A9" w:rsidP="00DF33A9">
      <w:pPr>
        <w:widowControl w:val="0"/>
        <w:rPr>
          <w:i/>
        </w:rPr>
      </w:pPr>
    </w:p>
    <w:p w:rsidR="00DF33A9" w:rsidRPr="0062381D" w:rsidRDefault="00DF33A9" w:rsidP="00DF33A9">
      <w:pPr>
        <w:widowControl w:val="0"/>
        <w:rPr>
          <w:i/>
          <w:lang w:val="fr-CA"/>
        </w:rPr>
      </w:pPr>
      <w:r w:rsidRPr="0062381D">
        <w:rPr>
          <w:i/>
          <w:lang w:val="fr-CA"/>
        </w:rPr>
        <w:t>(le français suit)</w:t>
      </w:r>
      <w:bookmarkStart w:id="0" w:name="_GoBack"/>
      <w:bookmarkEnd w:id="0"/>
    </w:p>
    <w:p w:rsidR="00DF33A9" w:rsidRPr="0062381D" w:rsidRDefault="00DF33A9" w:rsidP="00DF33A9">
      <w:pPr>
        <w:widowControl w:val="0"/>
        <w:rPr>
          <w:lang w:val="fr-CA"/>
        </w:rPr>
      </w:pPr>
    </w:p>
    <w:p w:rsidR="00DF33A9" w:rsidRPr="0062381D" w:rsidRDefault="00DF33A9" w:rsidP="00DF33A9">
      <w:pPr>
        <w:widowControl w:val="0"/>
        <w:jc w:val="center"/>
        <w:rPr>
          <w:b/>
          <w:lang w:val="fr-CA"/>
        </w:rPr>
      </w:pPr>
      <w:r w:rsidRPr="0062381D">
        <w:fldChar w:fldCharType="begin"/>
      </w:r>
      <w:r w:rsidRPr="0062381D">
        <w:rPr>
          <w:lang w:val="fr-CA"/>
        </w:rPr>
        <w:instrText xml:space="preserve"> SEQ CHAPTER \h \r 1</w:instrText>
      </w:r>
      <w:r w:rsidRPr="0062381D">
        <w:fldChar w:fldCharType="end"/>
      </w:r>
      <w:r w:rsidRPr="0062381D">
        <w:rPr>
          <w:b/>
          <w:lang w:val="fr-CA"/>
        </w:rPr>
        <w:t>JUDGMENT</w:t>
      </w:r>
      <w:r w:rsidR="0045411A" w:rsidRPr="0062381D">
        <w:rPr>
          <w:b/>
          <w:lang w:val="fr-CA"/>
        </w:rPr>
        <w:t>S</w:t>
      </w:r>
      <w:r w:rsidRPr="0062381D">
        <w:rPr>
          <w:b/>
          <w:lang w:val="fr-CA"/>
        </w:rPr>
        <w:t xml:space="preserve"> IN APPEAL</w:t>
      </w:r>
      <w:r w:rsidR="0075484B" w:rsidRPr="0062381D">
        <w:rPr>
          <w:b/>
          <w:lang w:val="fr-CA"/>
        </w:rPr>
        <w:t>S</w:t>
      </w:r>
    </w:p>
    <w:p w:rsidR="00DF33A9" w:rsidRPr="0062381D" w:rsidRDefault="00DF33A9" w:rsidP="00DF33A9">
      <w:pPr>
        <w:widowControl w:val="0"/>
        <w:rPr>
          <w:b/>
          <w:lang w:val="fr-CA"/>
        </w:rPr>
      </w:pPr>
    </w:p>
    <w:p w:rsidR="00DF33A9" w:rsidRPr="0062381D" w:rsidRDefault="00806B23" w:rsidP="00DF33A9">
      <w:pPr>
        <w:widowControl w:val="0"/>
        <w:rPr>
          <w:b/>
        </w:rPr>
      </w:pPr>
      <w:r w:rsidRPr="0062381D">
        <w:rPr>
          <w:b/>
        </w:rPr>
        <w:t>June</w:t>
      </w:r>
      <w:r w:rsidR="006A7B61" w:rsidRPr="0062381D">
        <w:rPr>
          <w:b/>
        </w:rPr>
        <w:t xml:space="preserve"> </w:t>
      </w:r>
      <w:r w:rsidRPr="0062381D">
        <w:rPr>
          <w:b/>
        </w:rPr>
        <w:t>3</w:t>
      </w:r>
      <w:r w:rsidR="008C6CBA" w:rsidRPr="0062381D">
        <w:rPr>
          <w:b/>
        </w:rPr>
        <w:t>,</w:t>
      </w:r>
      <w:r w:rsidR="00B61628" w:rsidRPr="0062381D">
        <w:rPr>
          <w:b/>
        </w:rPr>
        <w:t xml:space="preserve"> 2016</w:t>
      </w:r>
    </w:p>
    <w:p w:rsidR="00DF33A9" w:rsidRPr="0062381D" w:rsidRDefault="00DF33A9" w:rsidP="00DF33A9">
      <w:pPr>
        <w:widowControl w:val="0"/>
        <w:rPr>
          <w:b/>
        </w:rPr>
      </w:pPr>
      <w:r w:rsidRPr="0062381D">
        <w:rPr>
          <w:b/>
        </w:rPr>
        <w:t>For immediate release</w:t>
      </w:r>
    </w:p>
    <w:p w:rsidR="00DF33A9" w:rsidRPr="0062381D" w:rsidRDefault="00DF33A9" w:rsidP="00DF33A9">
      <w:pPr>
        <w:widowControl w:val="0"/>
      </w:pPr>
    </w:p>
    <w:p w:rsidR="00BD6135" w:rsidRPr="0062381D" w:rsidRDefault="00BD6135" w:rsidP="00BD6135">
      <w:pPr>
        <w:widowControl w:val="0"/>
      </w:pPr>
      <w:r w:rsidRPr="0062381D">
        <w:rPr>
          <w:b/>
        </w:rPr>
        <w:t>OTTAWA</w:t>
      </w:r>
      <w:r w:rsidRPr="0062381D">
        <w:t xml:space="preserve"> – The Supreme Court of Canada has today deposited with the Registrar judgment</w:t>
      </w:r>
      <w:r w:rsidR="004B7F98" w:rsidRPr="0062381D">
        <w:t>s</w:t>
      </w:r>
      <w:r w:rsidRPr="0062381D">
        <w:t xml:space="preserve"> in the following appeals.</w:t>
      </w:r>
    </w:p>
    <w:p w:rsidR="00BD6135" w:rsidRPr="0062381D" w:rsidRDefault="00BD6135" w:rsidP="00BD6135">
      <w:pPr>
        <w:widowControl w:val="0"/>
      </w:pPr>
    </w:p>
    <w:p w:rsidR="00BD6135" w:rsidRPr="0062381D" w:rsidRDefault="00BD6135" w:rsidP="00BD6135">
      <w:pPr>
        <w:tabs>
          <w:tab w:val="left" w:pos="720"/>
          <w:tab w:val="left" w:pos="1296"/>
          <w:tab w:val="left" w:pos="2160"/>
          <w:tab w:val="left" w:pos="2880"/>
          <w:tab w:val="left" w:pos="4320"/>
          <w:tab w:val="left" w:pos="10224"/>
          <w:tab w:val="left" w:pos="11376"/>
        </w:tabs>
        <w:jc w:val="both"/>
      </w:pPr>
      <w:r w:rsidRPr="0062381D">
        <w:t xml:space="preserve">Reasons for judgment will be available shortly at: </w:t>
      </w:r>
      <w:r w:rsidRPr="0062381D">
        <w:rPr>
          <w:rStyle w:val="Hyperlink"/>
        </w:rPr>
        <w:t>http://scc-csc.lexum.com/scc-csc/en/nav.do</w:t>
      </w:r>
    </w:p>
    <w:p w:rsidR="00C11961" w:rsidRPr="0062381D" w:rsidRDefault="00C11961" w:rsidP="00DF33A9">
      <w:pPr>
        <w:widowControl w:val="0"/>
      </w:pPr>
    </w:p>
    <w:p w:rsidR="00BD6135" w:rsidRPr="0062381D" w:rsidRDefault="00BD6135" w:rsidP="00DF33A9">
      <w:pPr>
        <w:widowControl w:val="0"/>
      </w:pPr>
    </w:p>
    <w:p w:rsidR="00DF33A9" w:rsidRPr="0062381D" w:rsidRDefault="00DF33A9" w:rsidP="00DF33A9">
      <w:pPr>
        <w:widowControl w:val="0"/>
        <w:jc w:val="center"/>
        <w:rPr>
          <w:lang w:val="fr-CA"/>
        </w:rPr>
      </w:pPr>
      <w:r w:rsidRPr="0062381D">
        <w:rPr>
          <w:b/>
          <w:lang w:val="fr-CA"/>
        </w:rPr>
        <w:t>JUGEMENT</w:t>
      </w:r>
      <w:r w:rsidR="0045411A" w:rsidRPr="0062381D">
        <w:rPr>
          <w:b/>
          <w:lang w:val="fr-CA"/>
        </w:rPr>
        <w:t>S</w:t>
      </w:r>
      <w:r w:rsidRPr="0062381D">
        <w:rPr>
          <w:b/>
          <w:lang w:val="fr-CA"/>
        </w:rPr>
        <w:t xml:space="preserve"> SUR APPEL</w:t>
      </w:r>
      <w:r w:rsidR="0045411A" w:rsidRPr="0062381D">
        <w:rPr>
          <w:b/>
          <w:lang w:val="fr-CA"/>
        </w:rPr>
        <w:t>S</w:t>
      </w:r>
    </w:p>
    <w:p w:rsidR="00DF33A9" w:rsidRPr="0062381D" w:rsidRDefault="00DF33A9" w:rsidP="00DF33A9">
      <w:pPr>
        <w:widowControl w:val="0"/>
        <w:rPr>
          <w:lang w:val="fr-CA"/>
        </w:rPr>
      </w:pPr>
    </w:p>
    <w:p w:rsidR="00DF33A9" w:rsidRPr="0062381D" w:rsidRDefault="00DF33A9" w:rsidP="00DF33A9">
      <w:pPr>
        <w:widowControl w:val="0"/>
        <w:rPr>
          <w:b/>
          <w:lang w:val="fr-CA"/>
        </w:rPr>
      </w:pPr>
      <w:r w:rsidRPr="0062381D">
        <w:rPr>
          <w:b/>
          <w:lang w:val="fr-CA"/>
        </w:rPr>
        <w:t xml:space="preserve">Le </w:t>
      </w:r>
      <w:r w:rsidR="00806B23" w:rsidRPr="0062381D">
        <w:rPr>
          <w:b/>
          <w:lang w:val="fr-CA"/>
        </w:rPr>
        <w:t>3</w:t>
      </w:r>
      <w:r w:rsidR="006A7B61" w:rsidRPr="0062381D">
        <w:rPr>
          <w:b/>
          <w:lang w:val="fr-CA"/>
        </w:rPr>
        <w:t xml:space="preserve"> </w:t>
      </w:r>
      <w:r w:rsidR="00806B23" w:rsidRPr="0062381D">
        <w:rPr>
          <w:b/>
          <w:lang w:val="fr-CA"/>
        </w:rPr>
        <w:t>juin</w:t>
      </w:r>
      <w:r w:rsidR="00BD6135" w:rsidRPr="0062381D">
        <w:rPr>
          <w:b/>
          <w:lang w:val="fr-CA"/>
        </w:rPr>
        <w:t xml:space="preserve"> </w:t>
      </w:r>
      <w:r w:rsidR="00B61628" w:rsidRPr="0062381D">
        <w:rPr>
          <w:b/>
          <w:lang w:val="fr-CA"/>
        </w:rPr>
        <w:t>2016</w:t>
      </w:r>
    </w:p>
    <w:p w:rsidR="00DF33A9" w:rsidRPr="0062381D" w:rsidRDefault="00DF33A9" w:rsidP="00DF33A9">
      <w:pPr>
        <w:widowControl w:val="0"/>
        <w:rPr>
          <w:b/>
          <w:lang w:val="fr-CA"/>
        </w:rPr>
      </w:pPr>
      <w:r w:rsidRPr="0062381D">
        <w:rPr>
          <w:b/>
          <w:lang w:val="fr-CA"/>
        </w:rPr>
        <w:t>Pour diffusion immédiate</w:t>
      </w:r>
    </w:p>
    <w:p w:rsidR="00DF33A9" w:rsidRPr="0062381D" w:rsidRDefault="00DF33A9" w:rsidP="00DF33A9">
      <w:pPr>
        <w:widowControl w:val="0"/>
        <w:rPr>
          <w:b/>
          <w:lang w:val="fr-CA"/>
        </w:rPr>
      </w:pPr>
    </w:p>
    <w:p w:rsidR="00BD6135" w:rsidRPr="0062381D" w:rsidRDefault="00BD6135" w:rsidP="00BD6135">
      <w:pPr>
        <w:widowControl w:val="0"/>
        <w:rPr>
          <w:lang w:val="fr-CA"/>
        </w:rPr>
      </w:pPr>
      <w:r w:rsidRPr="0062381D">
        <w:rPr>
          <w:b/>
          <w:lang w:val="fr-CA"/>
        </w:rPr>
        <w:t>OTTAWA</w:t>
      </w:r>
      <w:r w:rsidRPr="0062381D">
        <w:rPr>
          <w:lang w:val="fr-CA"/>
        </w:rPr>
        <w:t xml:space="preserve"> – La Cour suprême du Canada a déposé aujourd’hui auprès du registraire les jugements dans les appels suivants.</w:t>
      </w:r>
    </w:p>
    <w:p w:rsidR="00BD6135" w:rsidRPr="0062381D" w:rsidRDefault="00BD6135" w:rsidP="00BD6135">
      <w:pPr>
        <w:widowControl w:val="0"/>
        <w:rPr>
          <w:lang w:val="fr-CA"/>
        </w:rPr>
      </w:pPr>
    </w:p>
    <w:p w:rsidR="00BD6135" w:rsidRPr="0062381D" w:rsidRDefault="00BD6135" w:rsidP="00BD6135">
      <w:pPr>
        <w:tabs>
          <w:tab w:val="left" w:pos="720"/>
          <w:tab w:val="left" w:pos="1296"/>
          <w:tab w:val="left" w:pos="2160"/>
          <w:tab w:val="left" w:pos="2880"/>
          <w:tab w:val="left" w:pos="4320"/>
          <w:tab w:val="left" w:pos="10224"/>
          <w:tab w:val="left" w:pos="11376"/>
        </w:tabs>
        <w:jc w:val="both"/>
        <w:rPr>
          <w:rStyle w:val="Hyperlink"/>
          <w:lang w:val="fr-CA"/>
        </w:rPr>
      </w:pPr>
      <w:r w:rsidRPr="0062381D">
        <w:rPr>
          <w:lang w:val="fr-CA"/>
        </w:rPr>
        <w:t xml:space="preserve">Motifs de jugement disponibles sous peu à: </w:t>
      </w:r>
      <w:hyperlink r:id="rId7" w:history="1">
        <w:r w:rsidRPr="0062381D">
          <w:rPr>
            <w:rStyle w:val="Hyperlink"/>
            <w:lang w:val="fr-CA"/>
          </w:rPr>
          <w:t>http://scc-csc.lexum.com/scc-csc/fr/nav.do</w:t>
        </w:r>
      </w:hyperlink>
    </w:p>
    <w:p w:rsidR="002006F9" w:rsidRPr="0062381D" w:rsidRDefault="002006F9" w:rsidP="00DF33A9">
      <w:pPr>
        <w:tabs>
          <w:tab w:val="left" w:pos="720"/>
          <w:tab w:val="left" w:pos="1296"/>
          <w:tab w:val="left" w:pos="2160"/>
          <w:tab w:val="left" w:pos="2880"/>
          <w:tab w:val="left" w:pos="4320"/>
          <w:tab w:val="left" w:pos="10224"/>
          <w:tab w:val="left" w:pos="11376"/>
        </w:tabs>
        <w:jc w:val="both"/>
        <w:rPr>
          <w:rStyle w:val="Hyperlink"/>
          <w:color w:val="auto"/>
          <w:lang w:val="fr-CA"/>
        </w:rPr>
      </w:pPr>
    </w:p>
    <w:p w:rsidR="00DF33A9" w:rsidRPr="0062381D" w:rsidRDefault="000F5092" w:rsidP="00DF33A9">
      <w:pPr>
        <w:widowControl w:val="0"/>
        <w:rPr>
          <w:sz w:val="20"/>
          <w:lang w:val="fr-CA"/>
        </w:rPr>
      </w:pPr>
      <w:r w:rsidRPr="0062381D">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7620" r="9525"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7C1ADA"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1D6DA1" w:rsidRPr="0062381D" w:rsidRDefault="001D6DA1" w:rsidP="006A7B61">
      <w:pPr>
        <w:ind w:left="1440" w:hanging="1440"/>
        <w:jc w:val="both"/>
        <w:rPr>
          <w:rFonts w:eastAsia="Calibri"/>
          <w:sz w:val="20"/>
          <w:szCs w:val="22"/>
          <w:lang w:val="en-CA"/>
        </w:rPr>
      </w:pPr>
    </w:p>
    <w:p w:rsidR="00CD2D71" w:rsidRPr="0062381D" w:rsidRDefault="00CD2D71" w:rsidP="006A7B61">
      <w:pPr>
        <w:ind w:left="1440" w:hanging="1440"/>
        <w:jc w:val="both"/>
        <w:rPr>
          <w:rFonts w:eastAsia="Calibri"/>
          <w:sz w:val="20"/>
          <w:szCs w:val="22"/>
        </w:rPr>
      </w:pPr>
      <w:r w:rsidRPr="0062381D">
        <w:rPr>
          <w:rFonts w:eastAsia="Calibri"/>
          <w:b/>
          <w:sz w:val="20"/>
          <w:szCs w:val="22"/>
          <w:lang w:val="en-CA"/>
        </w:rPr>
        <w:fldChar w:fldCharType="begin"/>
      </w:r>
      <w:r w:rsidRPr="0062381D">
        <w:rPr>
          <w:rFonts w:eastAsia="Calibri"/>
          <w:b/>
          <w:sz w:val="20"/>
          <w:szCs w:val="22"/>
        </w:rPr>
        <w:instrText xml:space="preserve"> SEQ CHAPTER \h \r 1</w:instrText>
      </w:r>
      <w:r w:rsidRPr="0062381D">
        <w:rPr>
          <w:rFonts w:eastAsia="Calibri"/>
          <w:b/>
          <w:sz w:val="20"/>
          <w:szCs w:val="22"/>
          <w:lang w:val="en-CA"/>
        </w:rPr>
        <w:fldChar w:fldCharType="end"/>
      </w:r>
      <w:r w:rsidR="00F561D5" w:rsidRPr="0062381D">
        <w:rPr>
          <w:rFonts w:eastAsia="Calibri"/>
          <w:b/>
          <w:sz w:val="20"/>
          <w:szCs w:val="22"/>
        </w:rPr>
        <w:t>3</w:t>
      </w:r>
      <w:r w:rsidR="001D6DA1" w:rsidRPr="0062381D">
        <w:rPr>
          <w:rFonts w:eastAsia="Calibri"/>
          <w:b/>
          <w:sz w:val="20"/>
          <w:szCs w:val="22"/>
        </w:rPr>
        <w:t>5892</w:t>
      </w:r>
      <w:r w:rsidRPr="0062381D">
        <w:rPr>
          <w:rFonts w:eastAsia="Calibri"/>
          <w:sz w:val="20"/>
          <w:szCs w:val="22"/>
        </w:rPr>
        <w:tab/>
      </w:r>
      <w:r w:rsidR="00571DC2" w:rsidRPr="0062381D">
        <w:rPr>
          <w:rFonts w:eastAsia="Calibri"/>
          <w:b/>
          <w:sz w:val="20"/>
          <w:szCs w:val="22"/>
          <w:u w:val="single"/>
        </w:rPr>
        <w:t xml:space="preserve">Procureur général du Canada et Agence du </w:t>
      </w:r>
      <w:r w:rsidR="00CB0BB1" w:rsidRPr="0062381D">
        <w:rPr>
          <w:rFonts w:eastAsia="Calibri"/>
          <w:b/>
          <w:sz w:val="20"/>
          <w:szCs w:val="22"/>
          <w:u w:val="single"/>
        </w:rPr>
        <w:t>r</w:t>
      </w:r>
      <w:r w:rsidR="00571DC2" w:rsidRPr="0062381D">
        <w:rPr>
          <w:rFonts w:eastAsia="Calibri"/>
          <w:b/>
          <w:sz w:val="20"/>
          <w:szCs w:val="22"/>
          <w:u w:val="single"/>
        </w:rPr>
        <w:t>evenu du Canada c. Chambre des notaires du Québec et Barreau du Québec – et – Advocates’ Society, Association du Barreau canadien, Fédération des ordres professionnels de juristes du Canada et Criminal Lawyers’ Association</w:t>
      </w:r>
      <w:r w:rsidR="00AE780F" w:rsidRPr="0062381D">
        <w:rPr>
          <w:rFonts w:eastAsia="Calibri"/>
          <w:iCs/>
          <w:sz w:val="20"/>
          <w:szCs w:val="22"/>
        </w:rPr>
        <w:t xml:space="preserve"> </w:t>
      </w:r>
      <w:r w:rsidRPr="0062381D">
        <w:rPr>
          <w:rFonts w:eastAsia="Calibri"/>
          <w:iCs/>
          <w:sz w:val="20"/>
          <w:szCs w:val="22"/>
        </w:rPr>
        <w:t>(</w:t>
      </w:r>
      <w:r w:rsidR="001D6DA1" w:rsidRPr="0062381D">
        <w:rPr>
          <w:rFonts w:eastAsia="Calibri"/>
          <w:iCs/>
          <w:sz w:val="20"/>
          <w:szCs w:val="22"/>
        </w:rPr>
        <w:t>Qc</w:t>
      </w:r>
      <w:r w:rsidRPr="0062381D">
        <w:rPr>
          <w:rFonts w:eastAsia="Calibri"/>
          <w:iCs/>
          <w:sz w:val="20"/>
          <w:szCs w:val="22"/>
        </w:rPr>
        <w:t>)</w:t>
      </w:r>
    </w:p>
    <w:p w:rsidR="00CD2D71" w:rsidRPr="0062381D" w:rsidRDefault="006A7B61" w:rsidP="00CD2D71">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rPr>
      </w:pPr>
      <w:r w:rsidRPr="0062381D">
        <w:rPr>
          <w:rFonts w:eastAsia="Calibri"/>
          <w:b/>
          <w:sz w:val="20"/>
          <w:szCs w:val="22"/>
        </w:rPr>
        <w:t>201</w:t>
      </w:r>
      <w:r w:rsidR="00B175B5" w:rsidRPr="0062381D">
        <w:rPr>
          <w:rFonts w:eastAsia="Calibri"/>
          <w:b/>
          <w:sz w:val="20"/>
          <w:szCs w:val="22"/>
        </w:rPr>
        <w:t>6</w:t>
      </w:r>
      <w:r w:rsidRPr="0062381D">
        <w:rPr>
          <w:rFonts w:eastAsia="Calibri"/>
          <w:b/>
          <w:sz w:val="20"/>
          <w:szCs w:val="22"/>
        </w:rPr>
        <w:t xml:space="preserve"> SCC </w:t>
      </w:r>
      <w:r w:rsidR="00247E1A" w:rsidRPr="0062381D">
        <w:rPr>
          <w:rFonts w:eastAsia="Calibri"/>
          <w:b/>
          <w:sz w:val="20"/>
          <w:szCs w:val="22"/>
        </w:rPr>
        <w:t>20</w:t>
      </w:r>
      <w:r w:rsidR="00CD2D71" w:rsidRPr="0062381D">
        <w:rPr>
          <w:rFonts w:eastAsia="Calibri"/>
          <w:b/>
          <w:sz w:val="20"/>
          <w:szCs w:val="22"/>
        </w:rPr>
        <w:t xml:space="preserve"> / 201</w:t>
      </w:r>
      <w:r w:rsidR="00B175B5" w:rsidRPr="0062381D">
        <w:rPr>
          <w:rFonts w:eastAsia="Calibri"/>
          <w:b/>
          <w:sz w:val="20"/>
          <w:szCs w:val="22"/>
        </w:rPr>
        <w:t>6</w:t>
      </w:r>
      <w:r w:rsidR="00CD2D71" w:rsidRPr="0062381D">
        <w:rPr>
          <w:rFonts w:eastAsia="Calibri"/>
          <w:b/>
          <w:sz w:val="20"/>
          <w:szCs w:val="22"/>
        </w:rPr>
        <w:t xml:space="preserve"> CSC </w:t>
      </w:r>
      <w:r w:rsidR="00247E1A" w:rsidRPr="0062381D">
        <w:rPr>
          <w:rFonts w:eastAsia="Calibri"/>
          <w:b/>
          <w:sz w:val="20"/>
          <w:szCs w:val="22"/>
        </w:rPr>
        <w:t>20</w:t>
      </w:r>
    </w:p>
    <w:p w:rsidR="00CD2D71" w:rsidRPr="0062381D" w:rsidRDefault="00CD2D71" w:rsidP="00CD2D7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rPr>
      </w:pPr>
    </w:p>
    <w:p w:rsidR="00CD2D71" w:rsidRPr="0062381D" w:rsidRDefault="00CD2D71" w:rsidP="00CD2D71">
      <w:pPr>
        <w:ind w:left="1440" w:hanging="1440"/>
        <w:rPr>
          <w:rFonts w:eastAsia="Calibri"/>
          <w:sz w:val="20"/>
          <w:szCs w:val="22"/>
          <w:u w:val="single"/>
        </w:rPr>
      </w:pPr>
      <w:r w:rsidRPr="0062381D">
        <w:rPr>
          <w:rFonts w:eastAsia="Calibri"/>
          <w:sz w:val="20"/>
          <w:szCs w:val="22"/>
        </w:rPr>
        <w:t>Coram:</w:t>
      </w:r>
      <w:r w:rsidRPr="0062381D">
        <w:rPr>
          <w:rFonts w:eastAsia="Calibri"/>
          <w:sz w:val="20"/>
          <w:szCs w:val="22"/>
        </w:rPr>
        <w:tab/>
      </w:r>
      <w:r w:rsidR="00D22B1B" w:rsidRPr="0062381D">
        <w:rPr>
          <w:rFonts w:eastAsia="Calibri"/>
          <w:sz w:val="20"/>
          <w:szCs w:val="22"/>
          <w:u w:val="single"/>
        </w:rPr>
        <w:t>La juge en chef McLachlin et les juges</w:t>
      </w:r>
      <w:r w:rsidR="006A7B61" w:rsidRPr="0062381D">
        <w:rPr>
          <w:rFonts w:eastAsia="Calibri"/>
          <w:sz w:val="20"/>
          <w:szCs w:val="22"/>
          <w:u w:val="single"/>
        </w:rPr>
        <w:t xml:space="preserve"> </w:t>
      </w:r>
      <w:r w:rsidR="00D14166" w:rsidRPr="0062381D">
        <w:rPr>
          <w:rFonts w:eastAsia="Calibri"/>
          <w:sz w:val="20"/>
          <w:szCs w:val="22"/>
          <w:u w:val="single"/>
        </w:rPr>
        <w:t>Abella</w:t>
      </w:r>
      <w:r w:rsidR="006A7B61" w:rsidRPr="0062381D">
        <w:rPr>
          <w:rFonts w:eastAsia="Calibri"/>
          <w:sz w:val="20"/>
          <w:szCs w:val="22"/>
          <w:u w:val="single"/>
        </w:rPr>
        <w:t xml:space="preserve">, Cromwell, Moldaver, Karakatsanis, </w:t>
      </w:r>
      <w:r w:rsidR="00D14166" w:rsidRPr="0062381D">
        <w:rPr>
          <w:rFonts w:eastAsia="Calibri"/>
          <w:sz w:val="20"/>
          <w:szCs w:val="22"/>
          <w:u w:val="single"/>
        </w:rPr>
        <w:t>Wagner</w:t>
      </w:r>
      <w:r w:rsidR="00D22B1B" w:rsidRPr="0062381D">
        <w:rPr>
          <w:rFonts w:eastAsia="Calibri"/>
          <w:sz w:val="20"/>
          <w:szCs w:val="22"/>
          <w:u w:val="single"/>
        </w:rPr>
        <w:t xml:space="preserve"> et Gascon</w:t>
      </w:r>
    </w:p>
    <w:p w:rsidR="00CD2D71" w:rsidRPr="0062381D" w:rsidRDefault="00CD2D71" w:rsidP="00F561D5">
      <w:pPr>
        <w:ind w:left="1440" w:hanging="1440"/>
        <w:jc w:val="both"/>
        <w:rPr>
          <w:rFonts w:eastAsia="Calibri"/>
          <w:sz w:val="20"/>
          <w:u w:val="single"/>
        </w:rPr>
      </w:pPr>
    </w:p>
    <w:p w:rsidR="00CB0BB1" w:rsidRPr="0062381D" w:rsidRDefault="00CB0BB1" w:rsidP="00CB0BB1">
      <w:pPr>
        <w:jc w:val="both"/>
        <w:rPr>
          <w:sz w:val="20"/>
          <w:lang w:val="fr-CA"/>
        </w:rPr>
      </w:pPr>
      <w:r w:rsidRPr="0062381D">
        <w:rPr>
          <w:sz w:val="20"/>
          <w:lang w:val="fr-CA"/>
        </w:rPr>
        <w:t>L’appel interjeté contre l’arrêt de la Cour d’appel du Québec (Montréal), numéro 500-09-021073-101, 2014 QCCA 552, daté du 21 mars 2014, entendu le 3 novembre 2015, est rejeté avec dépens. Les questions constitutionnelles reçoivent les réponses suivantes :</w:t>
      </w:r>
    </w:p>
    <w:p w:rsidR="00CB0BB1" w:rsidRPr="0062381D" w:rsidRDefault="00CB0BB1" w:rsidP="00CB0BB1">
      <w:pPr>
        <w:jc w:val="both"/>
        <w:rPr>
          <w:sz w:val="20"/>
          <w:lang w:val="fr-CA"/>
        </w:rPr>
      </w:pPr>
    </w:p>
    <w:p w:rsidR="00CB0BB1" w:rsidRPr="0062381D" w:rsidRDefault="00CB0BB1" w:rsidP="00CB0BB1">
      <w:pPr>
        <w:jc w:val="both"/>
        <w:rPr>
          <w:sz w:val="20"/>
          <w:lang w:val="fr-CA"/>
        </w:rPr>
      </w:pPr>
      <w:r w:rsidRPr="0062381D">
        <w:rPr>
          <w:sz w:val="20"/>
          <w:lang w:val="fr-CA"/>
        </w:rPr>
        <w:t>1.</w:t>
      </w:r>
      <w:r w:rsidRPr="0062381D">
        <w:rPr>
          <w:sz w:val="20"/>
          <w:lang w:val="fr-CA"/>
        </w:rPr>
        <w:tab/>
        <w:t xml:space="preserve">Dans la mesure où le par. 231.2(1), l’art. 231.7 </w:t>
      </w:r>
      <w:proofErr w:type="gramStart"/>
      <w:r w:rsidRPr="0062381D">
        <w:rPr>
          <w:sz w:val="20"/>
          <w:lang w:val="fr-CA"/>
        </w:rPr>
        <w:t>et</w:t>
      </w:r>
      <w:proofErr w:type="gramEnd"/>
      <w:r w:rsidRPr="0062381D">
        <w:rPr>
          <w:sz w:val="20"/>
          <w:lang w:val="fr-CA"/>
        </w:rPr>
        <w:t xml:space="preserve"> la définition de « privilège des communications entre client et avocat » énoncée au par. 232(1) de la Loi de l’impôt sur le revenu, L.R.C. 1985, c. 1 (5e suppl.), visent un avocat ou un notaire, ces dispositions portent-elles atteinte à un droit garanti par l’art. 7 de la Charte canadienne des droits et libertés?</w:t>
      </w:r>
    </w:p>
    <w:p w:rsidR="00CB0BB1" w:rsidRPr="0062381D" w:rsidRDefault="00CB0BB1" w:rsidP="00CB0BB1">
      <w:pPr>
        <w:jc w:val="both"/>
        <w:rPr>
          <w:sz w:val="20"/>
          <w:lang w:val="fr-CA"/>
        </w:rPr>
      </w:pPr>
    </w:p>
    <w:p w:rsidR="00CB0BB1" w:rsidRPr="0062381D" w:rsidRDefault="00CB0BB1" w:rsidP="00CB0BB1">
      <w:pPr>
        <w:jc w:val="both"/>
        <w:rPr>
          <w:sz w:val="20"/>
          <w:lang w:val="fr-CA"/>
        </w:rPr>
      </w:pPr>
      <w:r w:rsidRPr="0062381D">
        <w:rPr>
          <w:sz w:val="20"/>
          <w:lang w:val="fr-CA"/>
        </w:rPr>
        <w:tab/>
        <w:t>Aucune réponse n’est requise.</w:t>
      </w:r>
    </w:p>
    <w:p w:rsidR="00CB0BB1" w:rsidRPr="0062381D" w:rsidRDefault="00CB0BB1" w:rsidP="00CB0BB1">
      <w:pPr>
        <w:jc w:val="both"/>
        <w:rPr>
          <w:sz w:val="20"/>
          <w:lang w:val="fr-CA"/>
        </w:rPr>
      </w:pPr>
    </w:p>
    <w:p w:rsidR="00CB0BB1" w:rsidRPr="0062381D" w:rsidRDefault="00CB0BB1" w:rsidP="00CB0BB1">
      <w:pPr>
        <w:jc w:val="both"/>
        <w:rPr>
          <w:sz w:val="20"/>
          <w:lang w:val="fr-CA"/>
        </w:rPr>
      </w:pPr>
      <w:r w:rsidRPr="0062381D">
        <w:rPr>
          <w:sz w:val="20"/>
          <w:lang w:val="fr-CA"/>
        </w:rPr>
        <w:t>2.</w:t>
      </w:r>
      <w:r w:rsidRPr="0062381D">
        <w:rPr>
          <w:sz w:val="20"/>
          <w:lang w:val="fr-CA"/>
        </w:rPr>
        <w:tab/>
        <w:t>Dans l’affirmative, s’agit-il d’une atteinte portée par une règle de droit dans des limites qui sont raisonnables et dont la justification peut se démontrer dans le cadre d’une société libre et démocratique suivant l’article premier de la Charte canadienne des droits et libertés?</w:t>
      </w:r>
    </w:p>
    <w:p w:rsidR="00CB0BB1" w:rsidRPr="0062381D" w:rsidRDefault="00CB0BB1" w:rsidP="00CB0BB1">
      <w:pPr>
        <w:jc w:val="both"/>
        <w:rPr>
          <w:sz w:val="20"/>
          <w:lang w:val="fr-CA"/>
        </w:rPr>
      </w:pPr>
    </w:p>
    <w:p w:rsidR="00CB0BB1" w:rsidRPr="0062381D" w:rsidRDefault="00CB0BB1" w:rsidP="00CB0BB1">
      <w:pPr>
        <w:jc w:val="both"/>
        <w:rPr>
          <w:sz w:val="20"/>
          <w:lang w:val="fr-CA"/>
        </w:rPr>
      </w:pPr>
      <w:r w:rsidRPr="0062381D">
        <w:rPr>
          <w:sz w:val="20"/>
          <w:lang w:val="fr-CA"/>
        </w:rPr>
        <w:tab/>
        <w:t>Aucune réponse n’est requise.</w:t>
      </w:r>
    </w:p>
    <w:p w:rsidR="00CB0BB1" w:rsidRPr="0062381D" w:rsidRDefault="00CB0BB1" w:rsidP="00CB0BB1">
      <w:pPr>
        <w:jc w:val="both"/>
        <w:rPr>
          <w:sz w:val="20"/>
          <w:lang w:val="fr-CA"/>
        </w:rPr>
      </w:pPr>
    </w:p>
    <w:p w:rsidR="00CB0BB1" w:rsidRPr="0062381D" w:rsidRDefault="00CB0BB1" w:rsidP="00CB0BB1">
      <w:pPr>
        <w:jc w:val="both"/>
        <w:rPr>
          <w:sz w:val="20"/>
          <w:lang w:val="fr-CA"/>
        </w:rPr>
      </w:pPr>
      <w:r w:rsidRPr="0062381D">
        <w:rPr>
          <w:sz w:val="20"/>
          <w:lang w:val="fr-CA"/>
        </w:rPr>
        <w:t>3.</w:t>
      </w:r>
      <w:r w:rsidRPr="0062381D">
        <w:rPr>
          <w:sz w:val="20"/>
          <w:lang w:val="fr-CA"/>
        </w:rPr>
        <w:tab/>
        <w:t>Dans la mesure où le par. 231.2(1), l’art. 231.7 et la définition de « privilège des communications entre client et avocat » énoncée au par. 232(1) de la Loi de l’impôt sur le revenu, L.R.C. 1985, c. 1 (5e suppl.), visent un avocat ou un notaire, ces dispositions portent-elles atteinte au droit garanti par l’art. 8 de la Charte canadienne des droits et libertés?</w:t>
      </w:r>
    </w:p>
    <w:p w:rsidR="00CB0BB1" w:rsidRPr="0062381D" w:rsidRDefault="00CB0BB1" w:rsidP="00CB0BB1">
      <w:pPr>
        <w:jc w:val="both"/>
        <w:rPr>
          <w:sz w:val="20"/>
          <w:lang w:val="fr-CA"/>
        </w:rPr>
      </w:pPr>
    </w:p>
    <w:p w:rsidR="00CB0BB1" w:rsidRPr="0062381D" w:rsidRDefault="00CB0BB1" w:rsidP="00CB0BB1">
      <w:pPr>
        <w:jc w:val="both"/>
        <w:rPr>
          <w:sz w:val="20"/>
          <w:lang w:val="fr-CA"/>
        </w:rPr>
      </w:pPr>
      <w:r w:rsidRPr="0062381D">
        <w:rPr>
          <w:sz w:val="20"/>
          <w:lang w:val="fr-CA"/>
        </w:rPr>
        <w:tab/>
        <w:t>Oui, mais en ce qui concerne la définition de « privilège des communications entre client et avocat » énoncée au par. 232(1) de la Loi de l’impôt sur le revenu, L.R.C. 1985, c. 1 (5e suppl.), uniquement au regard de l’exception relative au relevé comptable d’un avocat.</w:t>
      </w:r>
    </w:p>
    <w:p w:rsidR="00CB0BB1" w:rsidRPr="0062381D" w:rsidRDefault="00CB0BB1" w:rsidP="00CB0BB1">
      <w:pPr>
        <w:jc w:val="both"/>
        <w:rPr>
          <w:sz w:val="20"/>
          <w:lang w:val="fr-CA"/>
        </w:rPr>
      </w:pPr>
    </w:p>
    <w:p w:rsidR="00CB0BB1" w:rsidRPr="0062381D" w:rsidRDefault="00CB0BB1" w:rsidP="00CB0BB1">
      <w:pPr>
        <w:jc w:val="both"/>
        <w:rPr>
          <w:sz w:val="20"/>
          <w:lang w:val="fr-CA"/>
        </w:rPr>
      </w:pPr>
      <w:r w:rsidRPr="0062381D">
        <w:rPr>
          <w:sz w:val="20"/>
          <w:lang w:val="fr-CA"/>
        </w:rPr>
        <w:t>4.</w:t>
      </w:r>
      <w:r w:rsidRPr="0062381D">
        <w:rPr>
          <w:sz w:val="20"/>
          <w:lang w:val="fr-CA"/>
        </w:rPr>
        <w:tab/>
        <w:t>Dans l’affirmative, s’agit-il d’une atteinte portée par une règle de droit dans des limites qui sont raisonnables et dont la justification peut se démontrer dans le cadre d’une société libre et démocratique suivant l’article premier de la Charte canadienne des droits et libertés?</w:t>
      </w:r>
    </w:p>
    <w:p w:rsidR="00CB0BB1" w:rsidRPr="0062381D" w:rsidRDefault="00CB0BB1" w:rsidP="00CB0BB1">
      <w:pPr>
        <w:jc w:val="both"/>
        <w:rPr>
          <w:sz w:val="20"/>
          <w:lang w:val="fr-CA"/>
        </w:rPr>
      </w:pPr>
    </w:p>
    <w:p w:rsidR="001D6DA1" w:rsidRPr="0062381D" w:rsidRDefault="00CB0BB1" w:rsidP="00CB0BB1">
      <w:pPr>
        <w:jc w:val="both"/>
        <w:rPr>
          <w:sz w:val="20"/>
          <w:lang w:val="fr-CA"/>
        </w:rPr>
      </w:pPr>
      <w:r w:rsidRPr="0062381D">
        <w:rPr>
          <w:sz w:val="20"/>
          <w:lang w:val="fr-CA"/>
        </w:rPr>
        <w:tab/>
        <w:t>Non. </w:t>
      </w:r>
    </w:p>
    <w:p w:rsidR="001D6DA1" w:rsidRPr="0062381D" w:rsidRDefault="001D6DA1" w:rsidP="00F561D5">
      <w:pPr>
        <w:ind w:left="1440" w:hanging="1440"/>
        <w:jc w:val="both"/>
        <w:rPr>
          <w:rFonts w:eastAsia="Calibri"/>
          <w:sz w:val="20"/>
          <w:u w:val="single"/>
        </w:rPr>
      </w:pPr>
    </w:p>
    <w:p w:rsidR="00D709A6" w:rsidRPr="0062381D" w:rsidRDefault="00D709A6" w:rsidP="00D709A6">
      <w:pPr>
        <w:jc w:val="both"/>
        <w:rPr>
          <w:sz w:val="20"/>
        </w:rPr>
      </w:pPr>
      <w:r w:rsidRPr="0062381D">
        <w:rPr>
          <w:sz w:val="20"/>
        </w:rPr>
        <w:t>The appeal from the judgment of the Court of Appeal of Quebec (Montréal), Number 500-09-021073-101, 2014 QCCA 552, dated March 21, 2014, heard on November 3, 2015, is dismissed with costs.  The constitutional questions are answered as follows:</w:t>
      </w:r>
    </w:p>
    <w:p w:rsidR="00D709A6" w:rsidRPr="0062381D" w:rsidRDefault="00D709A6" w:rsidP="00D709A6">
      <w:pPr>
        <w:jc w:val="both"/>
        <w:rPr>
          <w:sz w:val="20"/>
        </w:rPr>
      </w:pPr>
    </w:p>
    <w:p w:rsidR="00D709A6" w:rsidRPr="0062381D" w:rsidRDefault="00D709A6" w:rsidP="00D709A6">
      <w:pPr>
        <w:jc w:val="both"/>
        <w:rPr>
          <w:sz w:val="20"/>
        </w:rPr>
      </w:pPr>
      <w:r w:rsidRPr="0062381D">
        <w:rPr>
          <w:sz w:val="20"/>
        </w:rPr>
        <w:t xml:space="preserve">1. </w:t>
      </w:r>
      <w:r w:rsidRPr="0062381D">
        <w:rPr>
          <w:sz w:val="20"/>
        </w:rPr>
        <w:tab/>
        <w:t>Do ss. 231.2(1) and 231.7 and the definition of  “solicitor client privilege” set out in s. 232(1) of the Income Tax Act, R.S.C. 1985, c. 1 (5th Supp.), infringe a right guaranteed by s. 7 of the Canadian Charter of Rights and Freedoms insofar as they apply to a lawyer or a notary?</w:t>
      </w:r>
    </w:p>
    <w:p w:rsidR="00D709A6" w:rsidRPr="0062381D" w:rsidRDefault="00D709A6" w:rsidP="00D709A6">
      <w:pPr>
        <w:jc w:val="both"/>
        <w:rPr>
          <w:sz w:val="20"/>
        </w:rPr>
      </w:pPr>
    </w:p>
    <w:p w:rsidR="00D709A6" w:rsidRPr="0062381D" w:rsidRDefault="00D709A6" w:rsidP="00D709A6">
      <w:pPr>
        <w:jc w:val="both"/>
        <w:rPr>
          <w:sz w:val="20"/>
        </w:rPr>
      </w:pPr>
      <w:r w:rsidRPr="0062381D">
        <w:rPr>
          <w:sz w:val="20"/>
        </w:rPr>
        <w:tab/>
        <w:t>No answer is required.</w:t>
      </w:r>
    </w:p>
    <w:p w:rsidR="00D709A6" w:rsidRPr="0062381D" w:rsidRDefault="00D709A6" w:rsidP="00D709A6">
      <w:pPr>
        <w:jc w:val="both"/>
        <w:rPr>
          <w:sz w:val="20"/>
        </w:rPr>
      </w:pPr>
    </w:p>
    <w:p w:rsidR="00D709A6" w:rsidRPr="0062381D" w:rsidRDefault="00D709A6" w:rsidP="00D709A6">
      <w:pPr>
        <w:jc w:val="both"/>
        <w:rPr>
          <w:sz w:val="20"/>
        </w:rPr>
      </w:pPr>
      <w:r w:rsidRPr="0062381D">
        <w:rPr>
          <w:sz w:val="20"/>
        </w:rPr>
        <w:t>2.</w:t>
      </w:r>
      <w:r w:rsidRPr="0062381D">
        <w:rPr>
          <w:sz w:val="20"/>
        </w:rPr>
        <w:tab/>
        <w:t>If so, is the infringement a reasonable limit prescribed by law that can be demonstrably justified in a free and democratic society under s. 1 of the Canadian Charter of Rights and Freedoms?</w:t>
      </w:r>
    </w:p>
    <w:p w:rsidR="00D709A6" w:rsidRPr="0062381D" w:rsidRDefault="00D709A6" w:rsidP="00D709A6">
      <w:pPr>
        <w:jc w:val="both"/>
        <w:rPr>
          <w:sz w:val="20"/>
        </w:rPr>
      </w:pPr>
    </w:p>
    <w:p w:rsidR="00D709A6" w:rsidRPr="0062381D" w:rsidRDefault="00D709A6" w:rsidP="00D709A6">
      <w:pPr>
        <w:jc w:val="both"/>
        <w:rPr>
          <w:sz w:val="20"/>
        </w:rPr>
      </w:pPr>
      <w:r w:rsidRPr="0062381D">
        <w:rPr>
          <w:sz w:val="20"/>
        </w:rPr>
        <w:tab/>
        <w:t>No answer is required.</w:t>
      </w:r>
    </w:p>
    <w:p w:rsidR="00D709A6" w:rsidRPr="0062381D" w:rsidRDefault="00D709A6" w:rsidP="00D709A6">
      <w:pPr>
        <w:jc w:val="both"/>
        <w:rPr>
          <w:sz w:val="20"/>
        </w:rPr>
      </w:pPr>
    </w:p>
    <w:p w:rsidR="00D709A6" w:rsidRPr="0062381D" w:rsidRDefault="00D709A6" w:rsidP="00D709A6">
      <w:pPr>
        <w:jc w:val="both"/>
        <w:rPr>
          <w:sz w:val="20"/>
        </w:rPr>
      </w:pPr>
      <w:r w:rsidRPr="0062381D">
        <w:rPr>
          <w:sz w:val="20"/>
        </w:rPr>
        <w:t>3.</w:t>
      </w:r>
      <w:r w:rsidRPr="0062381D">
        <w:rPr>
          <w:sz w:val="20"/>
        </w:rPr>
        <w:tab/>
        <w:t>Do ss. 231.2(1) and 231.7 and the definition of “solicitor client privilege” set out in s. 232(1) of the Income Tax Act, R.S.C. 1985, c. 1 (5th Supp.), infringe the right guaranteed by s. 8 of the Canadian Charter of Rights and Freedoms insofar as they apply to a lawyer or a notary?</w:t>
      </w:r>
    </w:p>
    <w:p w:rsidR="00D709A6" w:rsidRPr="0062381D" w:rsidRDefault="00D709A6" w:rsidP="00D709A6">
      <w:pPr>
        <w:jc w:val="both"/>
        <w:rPr>
          <w:sz w:val="20"/>
        </w:rPr>
      </w:pPr>
    </w:p>
    <w:p w:rsidR="00D709A6" w:rsidRPr="0062381D" w:rsidRDefault="00D709A6" w:rsidP="00D709A6">
      <w:pPr>
        <w:jc w:val="both"/>
        <w:rPr>
          <w:sz w:val="20"/>
        </w:rPr>
      </w:pPr>
      <w:r w:rsidRPr="0062381D">
        <w:rPr>
          <w:sz w:val="20"/>
        </w:rPr>
        <w:tab/>
        <w:t>Yes, but in the case of the definition of “solicitor client privilege” in s. 232(1) of the Income Tax Act, R.S.C. 1985, c. 1 (5th Supp.), solely as regards the exception for a lawyer’s accounting records.</w:t>
      </w:r>
    </w:p>
    <w:p w:rsidR="00D709A6" w:rsidRPr="0062381D" w:rsidRDefault="00D709A6" w:rsidP="00D709A6">
      <w:pPr>
        <w:jc w:val="both"/>
        <w:rPr>
          <w:sz w:val="20"/>
        </w:rPr>
      </w:pPr>
    </w:p>
    <w:p w:rsidR="00D709A6" w:rsidRPr="0062381D" w:rsidRDefault="00D709A6" w:rsidP="00D709A6">
      <w:pPr>
        <w:jc w:val="both"/>
        <w:rPr>
          <w:sz w:val="20"/>
        </w:rPr>
      </w:pPr>
      <w:r w:rsidRPr="0062381D">
        <w:rPr>
          <w:sz w:val="20"/>
        </w:rPr>
        <w:t xml:space="preserve">4. </w:t>
      </w:r>
      <w:r w:rsidRPr="0062381D">
        <w:rPr>
          <w:sz w:val="20"/>
        </w:rPr>
        <w:tab/>
        <w:t>If so, is the infringement a reasonable limit prescribed by law that can be demonstrably justified in a free and democratic society under s. 1 of the Canadian Charter of Rights and Freedoms?</w:t>
      </w:r>
    </w:p>
    <w:p w:rsidR="00D709A6" w:rsidRPr="0062381D" w:rsidRDefault="00D709A6" w:rsidP="00D709A6">
      <w:pPr>
        <w:jc w:val="both"/>
        <w:rPr>
          <w:sz w:val="20"/>
        </w:rPr>
      </w:pPr>
    </w:p>
    <w:p w:rsidR="006A7B61" w:rsidRPr="0062381D" w:rsidRDefault="00D709A6" w:rsidP="00D709A6">
      <w:pPr>
        <w:jc w:val="both"/>
        <w:rPr>
          <w:rFonts w:eastAsia="Calibri"/>
          <w:sz w:val="20"/>
        </w:rPr>
      </w:pPr>
      <w:r w:rsidRPr="0062381D">
        <w:rPr>
          <w:sz w:val="20"/>
        </w:rPr>
        <w:tab/>
        <w:t>No.</w:t>
      </w:r>
    </w:p>
    <w:p w:rsidR="006D0481" w:rsidRPr="0062381D" w:rsidRDefault="006D0481" w:rsidP="00E826A6">
      <w:pPr>
        <w:jc w:val="both"/>
        <w:rPr>
          <w:sz w:val="20"/>
          <w:lang w:val="fr-CA"/>
        </w:rPr>
      </w:pPr>
    </w:p>
    <w:p w:rsidR="004A0F11" w:rsidRPr="0062381D" w:rsidRDefault="004A0F11" w:rsidP="00E826A6">
      <w:pPr>
        <w:jc w:val="both"/>
        <w:rPr>
          <w:sz w:val="20"/>
          <w:lang w:val="fr-CA"/>
        </w:rPr>
      </w:pPr>
    </w:p>
    <w:p w:rsidR="006A7B61" w:rsidRPr="0062381D" w:rsidRDefault="006A7B61" w:rsidP="006A7B61">
      <w:pPr>
        <w:ind w:left="1440" w:hanging="1440"/>
        <w:jc w:val="both"/>
        <w:rPr>
          <w:rFonts w:eastAsia="Calibri"/>
          <w:sz w:val="20"/>
          <w:szCs w:val="22"/>
        </w:rPr>
      </w:pPr>
      <w:r w:rsidRPr="0062381D">
        <w:rPr>
          <w:rFonts w:eastAsia="Calibri"/>
          <w:b/>
          <w:sz w:val="20"/>
          <w:szCs w:val="22"/>
          <w:lang w:val="en-CA"/>
        </w:rPr>
        <w:fldChar w:fldCharType="begin"/>
      </w:r>
      <w:r w:rsidRPr="0062381D">
        <w:rPr>
          <w:rFonts w:eastAsia="Calibri"/>
          <w:b/>
          <w:sz w:val="20"/>
          <w:szCs w:val="22"/>
        </w:rPr>
        <w:instrText xml:space="preserve"> SEQ CHAPTER \h \r 1</w:instrText>
      </w:r>
      <w:r w:rsidRPr="0062381D">
        <w:rPr>
          <w:rFonts w:eastAsia="Calibri"/>
          <w:b/>
          <w:sz w:val="20"/>
          <w:szCs w:val="22"/>
          <w:lang w:val="en-CA"/>
        </w:rPr>
        <w:fldChar w:fldCharType="end"/>
      </w:r>
      <w:r w:rsidRPr="0062381D">
        <w:rPr>
          <w:rFonts w:eastAsia="Calibri"/>
          <w:b/>
          <w:sz w:val="20"/>
          <w:szCs w:val="22"/>
        </w:rPr>
        <w:t>3</w:t>
      </w:r>
      <w:r w:rsidR="00554BD8" w:rsidRPr="0062381D">
        <w:rPr>
          <w:rFonts w:eastAsia="Calibri"/>
          <w:b/>
          <w:sz w:val="20"/>
          <w:szCs w:val="22"/>
        </w:rPr>
        <w:t>5590</w:t>
      </w:r>
      <w:r w:rsidRPr="0062381D">
        <w:rPr>
          <w:rFonts w:eastAsia="Calibri"/>
          <w:sz w:val="20"/>
          <w:szCs w:val="22"/>
        </w:rPr>
        <w:tab/>
      </w:r>
      <w:r w:rsidR="00554BD8" w:rsidRPr="0062381D">
        <w:rPr>
          <w:rFonts w:eastAsia="Calibri"/>
          <w:b/>
          <w:sz w:val="20"/>
          <w:szCs w:val="22"/>
          <w:u w:val="single"/>
        </w:rPr>
        <w:t>Minister of National Revenue v. Duncan Thompson – and – Federation of Law Societies of Canada, Canadian Bar Association and Criminal Lawyers’ Association</w:t>
      </w:r>
      <w:r w:rsidR="000C32C7" w:rsidRPr="0062381D">
        <w:rPr>
          <w:rFonts w:eastAsia="Calibri"/>
          <w:sz w:val="20"/>
          <w:szCs w:val="22"/>
        </w:rPr>
        <w:t xml:space="preserve"> </w:t>
      </w:r>
      <w:r w:rsidRPr="0062381D">
        <w:rPr>
          <w:rFonts w:eastAsia="Calibri"/>
          <w:iCs/>
          <w:sz w:val="20"/>
          <w:szCs w:val="22"/>
        </w:rPr>
        <w:t>(</w:t>
      </w:r>
      <w:r w:rsidR="00554BD8" w:rsidRPr="0062381D">
        <w:rPr>
          <w:rFonts w:eastAsia="Calibri"/>
          <w:iCs/>
          <w:sz w:val="20"/>
          <w:szCs w:val="22"/>
        </w:rPr>
        <w:t>F.C.</w:t>
      </w:r>
      <w:r w:rsidRPr="0062381D">
        <w:rPr>
          <w:rFonts w:eastAsia="Calibri"/>
          <w:iCs/>
          <w:sz w:val="20"/>
          <w:szCs w:val="22"/>
        </w:rPr>
        <w:t>)</w:t>
      </w:r>
    </w:p>
    <w:p w:rsidR="006A7B61" w:rsidRPr="0062381D" w:rsidRDefault="00B175B5" w:rsidP="006A7B61">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rPr>
      </w:pPr>
      <w:r w:rsidRPr="0062381D">
        <w:rPr>
          <w:rFonts w:eastAsia="Calibri"/>
          <w:b/>
          <w:sz w:val="20"/>
          <w:szCs w:val="22"/>
        </w:rPr>
        <w:t>2016</w:t>
      </w:r>
      <w:r w:rsidR="006A7B61" w:rsidRPr="0062381D">
        <w:rPr>
          <w:rFonts w:eastAsia="Calibri"/>
          <w:b/>
          <w:sz w:val="20"/>
          <w:szCs w:val="22"/>
        </w:rPr>
        <w:t xml:space="preserve"> SCC </w:t>
      </w:r>
      <w:r w:rsidR="002830C9" w:rsidRPr="0062381D">
        <w:rPr>
          <w:rFonts w:eastAsia="Calibri"/>
          <w:b/>
          <w:sz w:val="20"/>
          <w:szCs w:val="22"/>
        </w:rPr>
        <w:t>2</w:t>
      </w:r>
      <w:r w:rsidRPr="0062381D">
        <w:rPr>
          <w:rFonts w:eastAsia="Calibri"/>
          <w:b/>
          <w:sz w:val="20"/>
          <w:szCs w:val="22"/>
        </w:rPr>
        <w:t>1</w:t>
      </w:r>
      <w:r w:rsidR="006A7B61" w:rsidRPr="0062381D">
        <w:rPr>
          <w:rFonts w:eastAsia="Calibri"/>
          <w:b/>
          <w:sz w:val="20"/>
          <w:szCs w:val="22"/>
        </w:rPr>
        <w:t xml:space="preserve"> / 201</w:t>
      </w:r>
      <w:r w:rsidRPr="0062381D">
        <w:rPr>
          <w:rFonts w:eastAsia="Calibri"/>
          <w:b/>
          <w:sz w:val="20"/>
          <w:szCs w:val="22"/>
        </w:rPr>
        <w:t>6</w:t>
      </w:r>
      <w:r w:rsidR="006A7B61" w:rsidRPr="0062381D">
        <w:rPr>
          <w:rFonts w:eastAsia="Calibri"/>
          <w:b/>
          <w:sz w:val="20"/>
          <w:szCs w:val="22"/>
        </w:rPr>
        <w:t xml:space="preserve"> CSC </w:t>
      </w:r>
      <w:r w:rsidR="002830C9" w:rsidRPr="0062381D">
        <w:rPr>
          <w:rFonts w:eastAsia="Calibri"/>
          <w:b/>
          <w:sz w:val="20"/>
          <w:szCs w:val="22"/>
        </w:rPr>
        <w:t>2</w:t>
      </w:r>
      <w:r w:rsidRPr="0062381D">
        <w:rPr>
          <w:rFonts w:eastAsia="Calibri"/>
          <w:b/>
          <w:sz w:val="20"/>
          <w:szCs w:val="22"/>
        </w:rPr>
        <w:t>1</w:t>
      </w:r>
    </w:p>
    <w:p w:rsidR="006A7B61" w:rsidRPr="0062381D" w:rsidRDefault="006A7B61" w:rsidP="006A7B6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rPr>
      </w:pPr>
    </w:p>
    <w:p w:rsidR="006A7B61" w:rsidRPr="0062381D" w:rsidRDefault="006A7B61" w:rsidP="006A7B61">
      <w:pPr>
        <w:ind w:left="1440" w:hanging="1440"/>
        <w:rPr>
          <w:rFonts w:eastAsia="Calibri"/>
          <w:sz w:val="20"/>
          <w:szCs w:val="22"/>
          <w:u w:val="single"/>
        </w:rPr>
      </w:pPr>
      <w:r w:rsidRPr="0062381D">
        <w:rPr>
          <w:rFonts w:eastAsia="Calibri"/>
          <w:sz w:val="20"/>
          <w:szCs w:val="22"/>
        </w:rPr>
        <w:t>Coram:</w:t>
      </w:r>
      <w:r w:rsidRPr="0062381D">
        <w:rPr>
          <w:rFonts w:eastAsia="Calibri"/>
          <w:sz w:val="20"/>
          <w:szCs w:val="22"/>
        </w:rPr>
        <w:tab/>
      </w:r>
      <w:r w:rsidRPr="0062381D">
        <w:rPr>
          <w:rFonts w:eastAsia="Calibri"/>
          <w:sz w:val="20"/>
          <w:szCs w:val="22"/>
          <w:u w:val="single"/>
        </w:rPr>
        <w:t xml:space="preserve">McLachlin C.J. and </w:t>
      </w:r>
      <w:r w:rsidR="00721FAF" w:rsidRPr="0062381D">
        <w:rPr>
          <w:rFonts w:eastAsia="Calibri"/>
          <w:sz w:val="20"/>
          <w:szCs w:val="22"/>
          <w:u w:val="single"/>
        </w:rPr>
        <w:t>Abella</w:t>
      </w:r>
      <w:r w:rsidRPr="0062381D">
        <w:rPr>
          <w:rFonts w:eastAsia="Calibri"/>
          <w:sz w:val="20"/>
          <w:szCs w:val="22"/>
          <w:u w:val="single"/>
        </w:rPr>
        <w:t xml:space="preserve">, </w:t>
      </w:r>
      <w:r w:rsidR="002830C9" w:rsidRPr="0062381D">
        <w:rPr>
          <w:rFonts w:eastAsia="Calibri"/>
          <w:sz w:val="20"/>
          <w:szCs w:val="22"/>
          <w:u w:val="single"/>
        </w:rPr>
        <w:t xml:space="preserve">Rothstein, </w:t>
      </w:r>
      <w:r w:rsidRPr="0062381D">
        <w:rPr>
          <w:rFonts w:eastAsia="Calibri"/>
          <w:sz w:val="20"/>
          <w:szCs w:val="22"/>
          <w:u w:val="single"/>
        </w:rPr>
        <w:t xml:space="preserve">Cromwell, Karakatsanis, </w:t>
      </w:r>
      <w:r w:rsidR="00721FAF" w:rsidRPr="0062381D">
        <w:rPr>
          <w:rFonts w:eastAsia="Calibri"/>
          <w:sz w:val="20"/>
          <w:szCs w:val="22"/>
          <w:u w:val="single"/>
        </w:rPr>
        <w:t>Wagner</w:t>
      </w:r>
      <w:r w:rsidR="002830C9" w:rsidRPr="0062381D">
        <w:rPr>
          <w:rFonts w:eastAsia="Calibri"/>
          <w:sz w:val="20"/>
          <w:szCs w:val="22"/>
          <w:u w:val="single"/>
        </w:rPr>
        <w:t xml:space="preserve"> and</w:t>
      </w:r>
      <w:r w:rsidR="00721FAF" w:rsidRPr="0062381D">
        <w:rPr>
          <w:rFonts w:eastAsia="Calibri"/>
          <w:sz w:val="20"/>
          <w:szCs w:val="22"/>
          <w:u w:val="single"/>
        </w:rPr>
        <w:t xml:space="preserve"> Gascon</w:t>
      </w:r>
      <w:r w:rsidRPr="0062381D">
        <w:rPr>
          <w:rFonts w:eastAsia="Calibri"/>
          <w:sz w:val="20"/>
          <w:szCs w:val="22"/>
          <w:u w:val="single"/>
        </w:rPr>
        <w:t xml:space="preserve"> JJ.</w:t>
      </w:r>
    </w:p>
    <w:p w:rsidR="006A7B61" w:rsidRPr="0062381D" w:rsidRDefault="006A7B61" w:rsidP="006A7B61">
      <w:pPr>
        <w:ind w:left="1440" w:hanging="1440"/>
        <w:jc w:val="both"/>
        <w:rPr>
          <w:rFonts w:eastAsia="Calibri"/>
          <w:sz w:val="20"/>
          <w:u w:val="single"/>
        </w:rPr>
      </w:pPr>
    </w:p>
    <w:p w:rsidR="00D709A6" w:rsidRPr="0062381D" w:rsidRDefault="00D709A6" w:rsidP="00D709A6">
      <w:pPr>
        <w:pStyle w:val="FootnoteText"/>
      </w:pPr>
      <w:r w:rsidRPr="0062381D">
        <w:rPr>
          <w:rStyle w:val="FootnoteReference"/>
          <w:lang w:val="fr-CA"/>
        </w:rPr>
        <w:t>*</w:t>
      </w:r>
      <w:r w:rsidRPr="0062381D">
        <w:rPr>
          <w:lang w:val="fr-CA"/>
        </w:rPr>
        <w:t xml:space="preserve"> </w:t>
      </w:r>
      <w:r w:rsidRPr="0062381D">
        <w:t>Rothstein J. took no part in the judgment.</w:t>
      </w:r>
    </w:p>
    <w:p w:rsidR="00D709A6" w:rsidRPr="0062381D" w:rsidRDefault="00D709A6" w:rsidP="00D709A6">
      <w:pPr>
        <w:ind w:left="1440" w:hanging="1440"/>
        <w:jc w:val="both"/>
        <w:rPr>
          <w:rFonts w:eastAsia="Calibri"/>
          <w:sz w:val="20"/>
          <w:u w:val="single"/>
        </w:rPr>
      </w:pPr>
      <w:r w:rsidRPr="0062381D">
        <w:rPr>
          <w:rStyle w:val="FootnoteReference"/>
          <w:sz w:val="20"/>
          <w:lang w:val="fr-CA"/>
        </w:rPr>
        <w:t>*</w:t>
      </w:r>
      <w:r w:rsidRPr="0062381D">
        <w:rPr>
          <w:sz w:val="20"/>
          <w:lang w:val="fr-CA"/>
        </w:rPr>
        <w:t xml:space="preserve"> Le juge Rothstein n’a pas participé au jugement.</w:t>
      </w:r>
    </w:p>
    <w:p w:rsidR="00D709A6" w:rsidRPr="0062381D" w:rsidRDefault="00D709A6" w:rsidP="006A7B61">
      <w:pPr>
        <w:ind w:left="1440" w:hanging="1440"/>
        <w:jc w:val="both"/>
        <w:rPr>
          <w:rFonts w:eastAsia="Calibri"/>
          <w:sz w:val="20"/>
          <w:u w:val="single"/>
        </w:rPr>
      </w:pPr>
    </w:p>
    <w:p w:rsidR="006A7B61" w:rsidRPr="0062381D" w:rsidRDefault="00D709A6" w:rsidP="006A7B61">
      <w:pPr>
        <w:jc w:val="both"/>
        <w:rPr>
          <w:rFonts w:eastAsia="Calibri"/>
          <w:sz w:val="20"/>
        </w:rPr>
      </w:pPr>
      <w:r w:rsidRPr="0062381D">
        <w:rPr>
          <w:sz w:val="20"/>
        </w:rPr>
        <w:t>The appeal from the judgment of the Federal Court of Appeal, Number A-515-12, 2013 FCA 197, dated August 29, 2013, heard on December 4, 2014, is allowed solely to set aside the Federal Court of Appeal’s order. The Minister’s application is dismissed. The respondent is entitled to costs throughout.</w:t>
      </w:r>
    </w:p>
    <w:p w:rsidR="006A7B61" w:rsidRPr="0062381D" w:rsidRDefault="006A7B61" w:rsidP="006A7B61">
      <w:pPr>
        <w:jc w:val="both"/>
        <w:rPr>
          <w:rFonts w:eastAsia="Calibri"/>
          <w:sz w:val="20"/>
        </w:rPr>
      </w:pPr>
    </w:p>
    <w:p w:rsidR="006A7B61" w:rsidRPr="0062381D" w:rsidRDefault="00D709A6" w:rsidP="007A025F">
      <w:pPr>
        <w:jc w:val="both"/>
        <w:rPr>
          <w:rFonts w:eastAsia="Calibri"/>
          <w:sz w:val="20"/>
          <w:lang w:val="fr-CA"/>
        </w:rPr>
      </w:pPr>
      <w:r w:rsidRPr="0062381D">
        <w:rPr>
          <w:sz w:val="20"/>
          <w:lang w:val="fr-CA"/>
        </w:rPr>
        <w:lastRenderedPageBreak/>
        <w:t xml:space="preserve">L’appel interjeté contre l’arrêt de la Cour d’appel fédérale, numéro A-515-12, 2013 CAF 197, daté du 29 août 2013, entendu le 4 décembre 2014, est accueilli, mais seulement pour infirmer l’ordonnance de la Cour d’appel fédérale. La demande du Ministre est rejetée. L’intimé </w:t>
      </w:r>
      <w:proofErr w:type="gramStart"/>
      <w:r w:rsidRPr="0062381D">
        <w:rPr>
          <w:sz w:val="20"/>
          <w:lang w:val="fr-CA"/>
        </w:rPr>
        <w:t>a</w:t>
      </w:r>
      <w:proofErr w:type="gramEnd"/>
      <w:r w:rsidRPr="0062381D">
        <w:rPr>
          <w:sz w:val="20"/>
          <w:lang w:val="fr-CA"/>
        </w:rPr>
        <w:t xml:space="preserve"> droit aux dépens dans toutes les cours.</w:t>
      </w:r>
    </w:p>
    <w:p w:rsidR="007A025F" w:rsidRPr="0062381D" w:rsidRDefault="007A025F" w:rsidP="006A7B61">
      <w:pPr>
        <w:rPr>
          <w:rFonts w:eastAsia="Calibri"/>
          <w:sz w:val="20"/>
          <w:lang w:val="fr-CA"/>
        </w:rPr>
      </w:pPr>
    </w:p>
    <w:p w:rsidR="00C776EA" w:rsidRPr="0062381D" w:rsidRDefault="00C776EA" w:rsidP="006A7B61">
      <w:pPr>
        <w:rPr>
          <w:rFonts w:eastAsia="Calibri"/>
          <w:sz w:val="20"/>
          <w:lang w:val="fr-CA"/>
        </w:rPr>
      </w:pPr>
    </w:p>
    <w:p w:rsidR="00D67A31" w:rsidRPr="0062381D" w:rsidRDefault="00D67A31" w:rsidP="00C65FD6">
      <w:pPr>
        <w:widowControl w:val="0"/>
        <w:jc w:val="both"/>
        <w:outlineLvl w:val="0"/>
        <w:rPr>
          <w:sz w:val="20"/>
          <w:lang w:val="fr-CA"/>
        </w:rPr>
      </w:pPr>
    </w:p>
    <w:p w:rsidR="00DF33A9" w:rsidRPr="0062381D" w:rsidRDefault="00DF33A9" w:rsidP="00DF33A9">
      <w:pPr>
        <w:widowControl w:val="0"/>
        <w:outlineLvl w:val="0"/>
      </w:pPr>
      <w:r w:rsidRPr="0062381D">
        <w:t xml:space="preserve">Supreme Court of Canada / Cour suprême du Canada : </w:t>
      </w:r>
    </w:p>
    <w:p w:rsidR="00DF33A9" w:rsidRPr="0062381D" w:rsidRDefault="0062381D" w:rsidP="00DF33A9">
      <w:pPr>
        <w:widowControl w:val="0"/>
        <w:outlineLvl w:val="0"/>
        <w:rPr>
          <w:color w:val="0000FF"/>
          <w:u w:val="single"/>
        </w:rPr>
      </w:pPr>
      <w:hyperlink r:id="rId8" w:history="1">
        <w:r w:rsidR="00DF33A9" w:rsidRPr="0062381D">
          <w:rPr>
            <w:rStyle w:val="Hyperlink"/>
          </w:rPr>
          <w:t>comments-commentaires@scc-csc.ca</w:t>
        </w:r>
      </w:hyperlink>
    </w:p>
    <w:p w:rsidR="00DF33A9" w:rsidRPr="0062381D" w:rsidRDefault="00DF33A9" w:rsidP="00DF33A9">
      <w:pPr>
        <w:widowControl w:val="0"/>
        <w:outlineLvl w:val="0"/>
      </w:pPr>
      <w:r w:rsidRPr="0062381D">
        <w:t>(613) 995-4330</w:t>
      </w:r>
    </w:p>
    <w:p w:rsidR="00DF33A9" w:rsidRPr="0062381D" w:rsidRDefault="00DF33A9" w:rsidP="00DF33A9">
      <w:pPr>
        <w:widowControl w:val="0"/>
        <w:rPr>
          <w:sz w:val="20"/>
        </w:rPr>
      </w:pPr>
    </w:p>
    <w:p w:rsidR="00DF33A9" w:rsidRPr="0062381D" w:rsidRDefault="00DF33A9" w:rsidP="00DF33A9">
      <w:pPr>
        <w:widowControl w:val="0"/>
        <w:rPr>
          <w:sz w:val="20"/>
        </w:rPr>
      </w:pPr>
    </w:p>
    <w:p w:rsidR="00C12722" w:rsidRPr="000C32C7" w:rsidRDefault="00DF33A9" w:rsidP="00C12722">
      <w:pPr>
        <w:pStyle w:val="Footer"/>
        <w:jc w:val="center"/>
      </w:pPr>
      <w:r w:rsidRPr="0062381D">
        <w:t>- 30 -</w:t>
      </w:r>
    </w:p>
    <w:p w:rsidR="00C12722" w:rsidRPr="000C32C7" w:rsidRDefault="00C12722" w:rsidP="00C12722">
      <w:pPr>
        <w:pStyle w:val="Footer"/>
        <w:jc w:val="center"/>
      </w:pPr>
    </w:p>
    <w:sectPr w:rsidR="00C12722" w:rsidRPr="000C32C7" w:rsidSect="008C6CBA">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99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451" w:rsidRDefault="00D03451" w:rsidP="0034178A">
      <w:r>
        <w:separator/>
      </w:r>
    </w:p>
  </w:endnote>
  <w:endnote w:type="continuationSeparator" w:id="0">
    <w:p w:rsidR="00D03451" w:rsidRDefault="00D03451"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67B" w:rsidRDefault="00CB56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CBA" w:rsidRDefault="008C6C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541" w:rsidRPr="00CB567B" w:rsidRDefault="00E56541" w:rsidP="00CB5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451" w:rsidRDefault="00D03451" w:rsidP="0034178A">
      <w:r>
        <w:separator/>
      </w:r>
    </w:p>
  </w:footnote>
  <w:footnote w:type="continuationSeparator" w:id="0">
    <w:p w:rsidR="00D03451" w:rsidRDefault="00D03451"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67B" w:rsidRDefault="00CB56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67B" w:rsidRDefault="00CB56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67B" w:rsidRDefault="00CB5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4382F"/>
    <w:multiLevelType w:val="hybridMultilevel"/>
    <w:tmpl w:val="CCEAA168"/>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4CA47489"/>
    <w:multiLevelType w:val="hybridMultilevel"/>
    <w:tmpl w:val="CCEAA168"/>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15:restartNumberingAfterBreak="0">
    <w:nsid w:val="5272228B"/>
    <w:multiLevelType w:val="hybridMultilevel"/>
    <w:tmpl w:val="7542DA0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15:restartNumberingAfterBreak="0">
    <w:nsid w:val="6D8B42C4"/>
    <w:multiLevelType w:val="hybridMultilevel"/>
    <w:tmpl w:val="CCEAA168"/>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43C3"/>
    <w:rsid w:val="00005DC9"/>
    <w:rsid w:val="00010F78"/>
    <w:rsid w:val="000128A2"/>
    <w:rsid w:val="000136CC"/>
    <w:rsid w:val="00014C19"/>
    <w:rsid w:val="00014F90"/>
    <w:rsid w:val="000164DB"/>
    <w:rsid w:val="00016D65"/>
    <w:rsid w:val="00020797"/>
    <w:rsid w:val="00020816"/>
    <w:rsid w:val="0002267C"/>
    <w:rsid w:val="00024962"/>
    <w:rsid w:val="000276EE"/>
    <w:rsid w:val="00033257"/>
    <w:rsid w:val="00033D1E"/>
    <w:rsid w:val="00033D28"/>
    <w:rsid w:val="00034A7F"/>
    <w:rsid w:val="00035790"/>
    <w:rsid w:val="00041B58"/>
    <w:rsid w:val="00042069"/>
    <w:rsid w:val="00043FDE"/>
    <w:rsid w:val="00047CD6"/>
    <w:rsid w:val="00051DE6"/>
    <w:rsid w:val="000577D9"/>
    <w:rsid w:val="000627A2"/>
    <w:rsid w:val="00062870"/>
    <w:rsid w:val="00064004"/>
    <w:rsid w:val="00065F8F"/>
    <w:rsid w:val="00066B80"/>
    <w:rsid w:val="00067F50"/>
    <w:rsid w:val="00070830"/>
    <w:rsid w:val="00073252"/>
    <w:rsid w:val="00077E16"/>
    <w:rsid w:val="00082444"/>
    <w:rsid w:val="000825A5"/>
    <w:rsid w:val="000843DB"/>
    <w:rsid w:val="00085D13"/>
    <w:rsid w:val="00086629"/>
    <w:rsid w:val="000872A4"/>
    <w:rsid w:val="00087808"/>
    <w:rsid w:val="00095627"/>
    <w:rsid w:val="000A0444"/>
    <w:rsid w:val="000A245A"/>
    <w:rsid w:val="000A4311"/>
    <w:rsid w:val="000A50F9"/>
    <w:rsid w:val="000B163F"/>
    <w:rsid w:val="000B209D"/>
    <w:rsid w:val="000B7258"/>
    <w:rsid w:val="000C0E20"/>
    <w:rsid w:val="000C182C"/>
    <w:rsid w:val="000C32C7"/>
    <w:rsid w:val="000C3667"/>
    <w:rsid w:val="000C5A95"/>
    <w:rsid w:val="000D0506"/>
    <w:rsid w:val="000D3129"/>
    <w:rsid w:val="000E35CD"/>
    <w:rsid w:val="000E3872"/>
    <w:rsid w:val="000E50F2"/>
    <w:rsid w:val="000E5407"/>
    <w:rsid w:val="000E6114"/>
    <w:rsid w:val="000E7DD1"/>
    <w:rsid w:val="000F5092"/>
    <w:rsid w:val="000F525E"/>
    <w:rsid w:val="00100CEE"/>
    <w:rsid w:val="00101E4B"/>
    <w:rsid w:val="00102F8F"/>
    <w:rsid w:val="001068F5"/>
    <w:rsid w:val="00107219"/>
    <w:rsid w:val="00112091"/>
    <w:rsid w:val="001148D2"/>
    <w:rsid w:val="00117AF3"/>
    <w:rsid w:val="0012101A"/>
    <w:rsid w:val="00123976"/>
    <w:rsid w:val="00124DEC"/>
    <w:rsid w:val="00130A81"/>
    <w:rsid w:val="00132635"/>
    <w:rsid w:val="001354E7"/>
    <w:rsid w:val="00137BF7"/>
    <w:rsid w:val="00141200"/>
    <w:rsid w:val="00141DDE"/>
    <w:rsid w:val="0014243F"/>
    <w:rsid w:val="00142C72"/>
    <w:rsid w:val="00144111"/>
    <w:rsid w:val="00147BE4"/>
    <w:rsid w:val="00147DE3"/>
    <w:rsid w:val="00150453"/>
    <w:rsid w:val="00151336"/>
    <w:rsid w:val="0015605D"/>
    <w:rsid w:val="0015606D"/>
    <w:rsid w:val="001560EC"/>
    <w:rsid w:val="00162CA2"/>
    <w:rsid w:val="00165DD0"/>
    <w:rsid w:val="001716F7"/>
    <w:rsid w:val="00173B3A"/>
    <w:rsid w:val="00174655"/>
    <w:rsid w:val="00176790"/>
    <w:rsid w:val="001813C3"/>
    <w:rsid w:val="00181D1E"/>
    <w:rsid w:val="00185355"/>
    <w:rsid w:val="001866BF"/>
    <w:rsid w:val="00186884"/>
    <w:rsid w:val="0019030D"/>
    <w:rsid w:val="00190C7A"/>
    <w:rsid w:val="00190F7F"/>
    <w:rsid w:val="001938FD"/>
    <w:rsid w:val="00193BAE"/>
    <w:rsid w:val="001947C1"/>
    <w:rsid w:val="00194F2A"/>
    <w:rsid w:val="001A06DE"/>
    <w:rsid w:val="001A1AE7"/>
    <w:rsid w:val="001A22F7"/>
    <w:rsid w:val="001A2314"/>
    <w:rsid w:val="001A44BE"/>
    <w:rsid w:val="001A4547"/>
    <w:rsid w:val="001A48FB"/>
    <w:rsid w:val="001A562F"/>
    <w:rsid w:val="001B0DF3"/>
    <w:rsid w:val="001B16EB"/>
    <w:rsid w:val="001B3EDD"/>
    <w:rsid w:val="001B4569"/>
    <w:rsid w:val="001B68D3"/>
    <w:rsid w:val="001C0C39"/>
    <w:rsid w:val="001C0E0C"/>
    <w:rsid w:val="001C2761"/>
    <w:rsid w:val="001C2F21"/>
    <w:rsid w:val="001C5E6C"/>
    <w:rsid w:val="001D0423"/>
    <w:rsid w:val="001D235D"/>
    <w:rsid w:val="001D2555"/>
    <w:rsid w:val="001D5790"/>
    <w:rsid w:val="001D57BE"/>
    <w:rsid w:val="001D6DA1"/>
    <w:rsid w:val="001E3BCD"/>
    <w:rsid w:val="001F033B"/>
    <w:rsid w:val="001F27B1"/>
    <w:rsid w:val="001F3C41"/>
    <w:rsid w:val="001F5B11"/>
    <w:rsid w:val="002006F9"/>
    <w:rsid w:val="00200F31"/>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407C6"/>
    <w:rsid w:val="0024438E"/>
    <w:rsid w:val="00244CDD"/>
    <w:rsid w:val="0024579A"/>
    <w:rsid w:val="00245D73"/>
    <w:rsid w:val="00246C0E"/>
    <w:rsid w:val="00247E1A"/>
    <w:rsid w:val="002514CA"/>
    <w:rsid w:val="002517D5"/>
    <w:rsid w:val="00252FDB"/>
    <w:rsid w:val="002567CD"/>
    <w:rsid w:val="0025713A"/>
    <w:rsid w:val="002613AC"/>
    <w:rsid w:val="00261D3C"/>
    <w:rsid w:val="00262C42"/>
    <w:rsid w:val="0026349D"/>
    <w:rsid w:val="00263F8E"/>
    <w:rsid w:val="00266E0E"/>
    <w:rsid w:val="002671CC"/>
    <w:rsid w:val="002709E7"/>
    <w:rsid w:val="0027691C"/>
    <w:rsid w:val="00276C42"/>
    <w:rsid w:val="00280E55"/>
    <w:rsid w:val="002830C9"/>
    <w:rsid w:val="002848CB"/>
    <w:rsid w:val="00284959"/>
    <w:rsid w:val="002858BA"/>
    <w:rsid w:val="0028686B"/>
    <w:rsid w:val="00292574"/>
    <w:rsid w:val="002A345E"/>
    <w:rsid w:val="002A5245"/>
    <w:rsid w:val="002A55D1"/>
    <w:rsid w:val="002A5C41"/>
    <w:rsid w:val="002A7D81"/>
    <w:rsid w:val="002B2A78"/>
    <w:rsid w:val="002B2FCA"/>
    <w:rsid w:val="002B5525"/>
    <w:rsid w:val="002C10D1"/>
    <w:rsid w:val="002D0C49"/>
    <w:rsid w:val="002D2553"/>
    <w:rsid w:val="002D2F15"/>
    <w:rsid w:val="002D43A1"/>
    <w:rsid w:val="002D6680"/>
    <w:rsid w:val="002E30C3"/>
    <w:rsid w:val="002E3911"/>
    <w:rsid w:val="002E519A"/>
    <w:rsid w:val="002F06D0"/>
    <w:rsid w:val="002F2850"/>
    <w:rsid w:val="002F2ECF"/>
    <w:rsid w:val="002F3830"/>
    <w:rsid w:val="002F3FF9"/>
    <w:rsid w:val="002F402B"/>
    <w:rsid w:val="002F4929"/>
    <w:rsid w:val="002F7DDE"/>
    <w:rsid w:val="002F7E97"/>
    <w:rsid w:val="003012A2"/>
    <w:rsid w:val="00306369"/>
    <w:rsid w:val="00306DE6"/>
    <w:rsid w:val="0031127B"/>
    <w:rsid w:val="00313652"/>
    <w:rsid w:val="00314FF6"/>
    <w:rsid w:val="003151B5"/>
    <w:rsid w:val="003235CC"/>
    <w:rsid w:val="00325668"/>
    <w:rsid w:val="0033241A"/>
    <w:rsid w:val="0033535C"/>
    <w:rsid w:val="00340D7B"/>
    <w:rsid w:val="0034178A"/>
    <w:rsid w:val="003509E6"/>
    <w:rsid w:val="00351946"/>
    <w:rsid w:val="00352802"/>
    <w:rsid w:val="003535EF"/>
    <w:rsid w:val="00360FCE"/>
    <w:rsid w:val="00362E82"/>
    <w:rsid w:val="00364001"/>
    <w:rsid w:val="003675D7"/>
    <w:rsid w:val="0037013D"/>
    <w:rsid w:val="003710CD"/>
    <w:rsid w:val="00372FD5"/>
    <w:rsid w:val="003738E2"/>
    <w:rsid w:val="003742F5"/>
    <w:rsid w:val="00376683"/>
    <w:rsid w:val="00376958"/>
    <w:rsid w:val="00377C17"/>
    <w:rsid w:val="0038083F"/>
    <w:rsid w:val="0038431A"/>
    <w:rsid w:val="0038547C"/>
    <w:rsid w:val="00385A88"/>
    <w:rsid w:val="003875C2"/>
    <w:rsid w:val="00387AF8"/>
    <w:rsid w:val="00390065"/>
    <w:rsid w:val="00390322"/>
    <w:rsid w:val="00393660"/>
    <w:rsid w:val="003940A4"/>
    <w:rsid w:val="003958AE"/>
    <w:rsid w:val="0039709D"/>
    <w:rsid w:val="00397213"/>
    <w:rsid w:val="003A00C9"/>
    <w:rsid w:val="003A0258"/>
    <w:rsid w:val="003A11C4"/>
    <w:rsid w:val="003A1F69"/>
    <w:rsid w:val="003A58BA"/>
    <w:rsid w:val="003B0718"/>
    <w:rsid w:val="003B1455"/>
    <w:rsid w:val="003B2AC6"/>
    <w:rsid w:val="003B39D7"/>
    <w:rsid w:val="003B61F0"/>
    <w:rsid w:val="003B64B3"/>
    <w:rsid w:val="003B6E18"/>
    <w:rsid w:val="003B7A4C"/>
    <w:rsid w:val="003C4DA4"/>
    <w:rsid w:val="003C5F5E"/>
    <w:rsid w:val="003C6BB7"/>
    <w:rsid w:val="003D0A88"/>
    <w:rsid w:val="003D27BD"/>
    <w:rsid w:val="003E3957"/>
    <w:rsid w:val="003F1E6F"/>
    <w:rsid w:val="003F3BC1"/>
    <w:rsid w:val="003F43E6"/>
    <w:rsid w:val="004000BE"/>
    <w:rsid w:val="004026BA"/>
    <w:rsid w:val="00403038"/>
    <w:rsid w:val="00406D79"/>
    <w:rsid w:val="0040709C"/>
    <w:rsid w:val="004116DA"/>
    <w:rsid w:val="004117D6"/>
    <w:rsid w:val="00411834"/>
    <w:rsid w:val="004149DA"/>
    <w:rsid w:val="004246BF"/>
    <w:rsid w:val="004247D9"/>
    <w:rsid w:val="0042506E"/>
    <w:rsid w:val="00426976"/>
    <w:rsid w:val="00427F4F"/>
    <w:rsid w:val="00433C3E"/>
    <w:rsid w:val="00440D9C"/>
    <w:rsid w:val="00444072"/>
    <w:rsid w:val="00450B66"/>
    <w:rsid w:val="004511AB"/>
    <w:rsid w:val="0045235F"/>
    <w:rsid w:val="004533F1"/>
    <w:rsid w:val="00453ABE"/>
    <w:rsid w:val="0045411A"/>
    <w:rsid w:val="004542A8"/>
    <w:rsid w:val="00454F47"/>
    <w:rsid w:val="00455E3B"/>
    <w:rsid w:val="00460794"/>
    <w:rsid w:val="00461926"/>
    <w:rsid w:val="00463EE9"/>
    <w:rsid w:val="00464FEE"/>
    <w:rsid w:val="004672B7"/>
    <w:rsid w:val="00467391"/>
    <w:rsid w:val="00472190"/>
    <w:rsid w:val="00474D9B"/>
    <w:rsid w:val="00475A01"/>
    <w:rsid w:val="00475E8C"/>
    <w:rsid w:val="00481888"/>
    <w:rsid w:val="00487662"/>
    <w:rsid w:val="00490DDC"/>
    <w:rsid w:val="00491D60"/>
    <w:rsid w:val="00494CD1"/>
    <w:rsid w:val="004957BA"/>
    <w:rsid w:val="004970C9"/>
    <w:rsid w:val="00497B5E"/>
    <w:rsid w:val="004A0F11"/>
    <w:rsid w:val="004A0FCB"/>
    <w:rsid w:val="004A224A"/>
    <w:rsid w:val="004A3074"/>
    <w:rsid w:val="004A5556"/>
    <w:rsid w:val="004A7CEC"/>
    <w:rsid w:val="004B06E1"/>
    <w:rsid w:val="004B34A9"/>
    <w:rsid w:val="004B7F98"/>
    <w:rsid w:val="004C0544"/>
    <w:rsid w:val="004C1781"/>
    <w:rsid w:val="004C2585"/>
    <w:rsid w:val="004C281D"/>
    <w:rsid w:val="004C2E9D"/>
    <w:rsid w:val="004C4513"/>
    <w:rsid w:val="004C6BED"/>
    <w:rsid w:val="004C7FC6"/>
    <w:rsid w:val="004E0B2F"/>
    <w:rsid w:val="004E1486"/>
    <w:rsid w:val="004E1B3F"/>
    <w:rsid w:val="004E33C5"/>
    <w:rsid w:val="004F0EC9"/>
    <w:rsid w:val="004F27DD"/>
    <w:rsid w:val="004F40AB"/>
    <w:rsid w:val="00502F3E"/>
    <w:rsid w:val="00503196"/>
    <w:rsid w:val="00503B5E"/>
    <w:rsid w:val="00504706"/>
    <w:rsid w:val="0051091F"/>
    <w:rsid w:val="00510E2F"/>
    <w:rsid w:val="00511E62"/>
    <w:rsid w:val="005208AC"/>
    <w:rsid w:val="00521EFA"/>
    <w:rsid w:val="00525B79"/>
    <w:rsid w:val="00532EB0"/>
    <w:rsid w:val="00535069"/>
    <w:rsid w:val="00535A60"/>
    <w:rsid w:val="00535D04"/>
    <w:rsid w:val="00536C2E"/>
    <w:rsid w:val="00543047"/>
    <w:rsid w:val="00544481"/>
    <w:rsid w:val="00546DAD"/>
    <w:rsid w:val="005542A1"/>
    <w:rsid w:val="00554BD8"/>
    <w:rsid w:val="00557DCC"/>
    <w:rsid w:val="005617DA"/>
    <w:rsid w:val="00561B18"/>
    <w:rsid w:val="00566C79"/>
    <w:rsid w:val="00570169"/>
    <w:rsid w:val="00571DC2"/>
    <w:rsid w:val="00571FA0"/>
    <w:rsid w:val="00575470"/>
    <w:rsid w:val="005765DA"/>
    <w:rsid w:val="005812EF"/>
    <w:rsid w:val="0058198A"/>
    <w:rsid w:val="00586EED"/>
    <w:rsid w:val="00587914"/>
    <w:rsid w:val="005925EC"/>
    <w:rsid w:val="0059611F"/>
    <w:rsid w:val="00597224"/>
    <w:rsid w:val="005A1B7D"/>
    <w:rsid w:val="005A3323"/>
    <w:rsid w:val="005A3592"/>
    <w:rsid w:val="005A4082"/>
    <w:rsid w:val="005B0AAB"/>
    <w:rsid w:val="005B4EB8"/>
    <w:rsid w:val="005C196C"/>
    <w:rsid w:val="005C2CA2"/>
    <w:rsid w:val="005C3064"/>
    <w:rsid w:val="005C7BBF"/>
    <w:rsid w:val="005D019B"/>
    <w:rsid w:val="005D0DE0"/>
    <w:rsid w:val="005D3069"/>
    <w:rsid w:val="005D3730"/>
    <w:rsid w:val="005E2F89"/>
    <w:rsid w:val="005E73A1"/>
    <w:rsid w:val="005F4197"/>
    <w:rsid w:val="005F5163"/>
    <w:rsid w:val="005F5CD8"/>
    <w:rsid w:val="006067DB"/>
    <w:rsid w:val="00610BC0"/>
    <w:rsid w:val="0061282A"/>
    <w:rsid w:val="006132AE"/>
    <w:rsid w:val="006167B8"/>
    <w:rsid w:val="00620FBA"/>
    <w:rsid w:val="00621F03"/>
    <w:rsid w:val="0062381D"/>
    <w:rsid w:val="00624E01"/>
    <w:rsid w:val="00625B63"/>
    <w:rsid w:val="00632A4A"/>
    <w:rsid w:val="00634573"/>
    <w:rsid w:val="006346DB"/>
    <w:rsid w:val="00635A24"/>
    <w:rsid w:val="00636ADD"/>
    <w:rsid w:val="006372BF"/>
    <w:rsid w:val="006406E5"/>
    <w:rsid w:val="00640B24"/>
    <w:rsid w:val="00641D90"/>
    <w:rsid w:val="006442C8"/>
    <w:rsid w:val="0065238E"/>
    <w:rsid w:val="00655090"/>
    <w:rsid w:val="0065772C"/>
    <w:rsid w:val="00662B7E"/>
    <w:rsid w:val="00664E1D"/>
    <w:rsid w:val="00666BA1"/>
    <w:rsid w:val="006721DF"/>
    <w:rsid w:val="00672A20"/>
    <w:rsid w:val="00674808"/>
    <w:rsid w:val="00674CE6"/>
    <w:rsid w:val="00677979"/>
    <w:rsid w:val="00683770"/>
    <w:rsid w:val="006849D2"/>
    <w:rsid w:val="00686A7E"/>
    <w:rsid w:val="00690509"/>
    <w:rsid w:val="00690B95"/>
    <w:rsid w:val="00691648"/>
    <w:rsid w:val="00693751"/>
    <w:rsid w:val="00693795"/>
    <w:rsid w:val="00693CE6"/>
    <w:rsid w:val="00693EFD"/>
    <w:rsid w:val="006965DF"/>
    <w:rsid w:val="006A09A4"/>
    <w:rsid w:val="006A21CC"/>
    <w:rsid w:val="006A3856"/>
    <w:rsid w:val="006A503A"/>
    <w:rsid w:val="006A7B61"/>
    <w:rsid w:val="006A7FB8"/>
    <w:rsid w:val="006B1C34"/>
    <w:rsid w:val="006B293F"/>
    <w:rsid w:val="006B40C1"/>
    <w:rsid w:val="006B6A20"/>
    <w:rsid w:val="006C4010"/>
    <w:rsid w:val="006C477E"/>
    <w:rsid w:val="006D0481"/>
    <w:rsid w:val="006D0F19"/>
    <w:rsid w:val="006D3FB0"/>
    <w:rsid w:val="006D443D"/>
    <w:rsid w:val="006D614A"/>
    <w:rsid w:val="006D6B5E"/>
    <w:rsid w:val="006D7DA7"/>
    <w:rsid w:val="006E27D1"/>
    <w:rsid w:val="006E4B08"/>
    <w:rsid w:val="006E4EB7"/>
    <w:rsid w:val="006E7F81"/>
    <w:rsid w:val="006F0042"/>
    <w:rsid w:val="006F2579"/>
    <w:rsid w:val="00704CDE"/>
    <w:rsid w:val="0070582E"/>
    <w:rsid w:val="007136DD"/>
    <w:rsid w:val="007209A6"/>
    <w:rsid w:val="00721FAF"/>
    <w:rsid w:val="007226F3"/>
    <w:rsid w:val="007240C3"/>
    <w:rsid w:val="007243CC"/>
    <w:rsid w:val="007276A7"/>
    <w:rsid w:val="007301CB"/>
    <w:rsid w:val="00733EF3"/>
    <w:rsid w:val="007356BB"/>
    <w:rsid w:val="00735BED"/>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5068"/>
    <w:rsid w:val="0075771E"/>
    <w:rsid w:val="00766432"/>
    <w:rsid w:val="00766983"/>
    <w:rsid w:val="00770667"/>
    <w:rsid w:val="007712C3"/>
    <w:rsid w:val="007736D0"/>
    <w:rsid w:val="00774327"/>
    <w:rsid w:val="00775FEC"/>
    <w:rsid w:val="007771AF"/>
    <w:rsid w:val="007823D7"/>
    <w:rsid w:val="00782E96"/>
    <w:rsid w:val="0078776F"/>
    <w:rsid w:val="00795FC0"/>
    <w:rsid w:val="007975AC"/>
    <w:rsid w:val="007A025F"/>
    <w:rsid w:val="007A09AA"/>
    <w:rsid w:val="007A10D6"/>
    <w:rsid w:val="007A14FC"/>
    <w:rsid w:val="007A31E0"/>
    <w:rsid w:val="007A5A11"/>
    <w:rsid w:val="007A6F16"/>
    <w:rsid w:val="007A7F7F"/>
    <w:rsid w:val="007A7FD6"/>
    <w:rsid w:val="007B09DF"/>
    <w:rsid w:val="007B300E"/>
    <w:rsid w:val="007B567F"/>
    <w:rsid w:val="007B57E8"/>
    <w:rsid w:val="007B65D4"/>
    <w:rsid w:val="007C5323"/>
    <w:rsid w:val="007C6187"/>
    <w:rsid w:val="007C67EE"/>
    <w:rsid w:val="007C7A8C"/>
    <w:rsid w:val="007D1C16"/>
    <w:rsid w:val="007D24AB"/>
    <w:rsid w:val="007D409B"/>
    <w:rsid w:val="007D42D5"/>
    <w:rsid w:val="007D4BFC"/>
    <w:rsid w:val="007D5BCA"/>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6B23"/>
    <w:rsid w:val="00807EB6"/>
    <w:rsid w:val="008115B8"/>
    <w:rsid w:val="00812315"/>
    <w:rsid w:val="00815D1B"/>
    <w:rsid w:val="00816C1F"/>
    <w:rsid w:val="00816FD3"/>
    <w:rsid w:val="0082143F"/>
    <w:rsid w:val="00823610"/>
    <w:rsid w:val="00824D6B"/>
    <w:rsid w:val="00825196"/>
    <w:rsid w:val="00827314"/>
    <w:rsid w:val="0083380F"/>
    <w:rsid w:val="00835FCE"/>
    <w:rsid w:val="008368DE"/>
    <w:rsid w:val="0084161A"/>
    <w:rsid w:val="00841962"/>
    <w:rsid w:val="0085127E"/>
    <w:rsid w:val="00853C98"/>
    <w:rsid w:val="0085543E"/>
    <w:rsid w:val="00861CAB"/>
    <w:rsid w:val="00865274"/>
    <w:rsid w:val="00866A27"/>
    <w:rsid w:val="00867D70"/>
    <w:rsid w:val="0087081B"/>
    <w:rsid w:val="00874308"/>
    <w:rsid w:val="008762F7"/>
    <w:rsid w:val="00877B13"/>
    <w:rsid w:val="008836A7"/>
    <w:rsid w:val="00883CB5"/>
    <w:rsid w:val="00887DB0"/>
    <w:rsid w:val="008A1084"/>
    <w:rsid w:val="008A3884"/>
    <w:rsid w:val="008A3959"/>
    <w:rsid w:val="008A4ABF"/>
    <w:rsid w:val="008B0108"/>
    <w:rsid w:val="008B3670"/>
    <w:rsid w:val="008B4157"/>
    <w:rsid w:val="008B4A24"/>
    <w:rsid w:val="008B5AFF"/>
    <w:rsid w:val="008B5E0B"/>
    <w:rsid w:val="008B7CD2"/>
    <w:rsid w:val="008C12F3"/>
    <w:rsid w:val="008C57E3"/>
    <w:rsid w:val="008C6CBA"/>
    <w:rsid w:val="008D31B1"/>
    <w:rsid w:val="008D388F"/>
    <w:rsid w:val="008D5117"/>
    <w:rsid w:val="008E2946"/>
    <w:rsid w:val="008E7C23"/>
    <w:rsid w:val="008E7F8D"/>
    <w:rsid w:val="008F2850"/>
    <w:rsid w:val="008F302C"/>
    <w:rsid w:val="008F3455"/>
    <w:rsid w:val="0090233E"/>
    <w:rsid w:val="009023D9"/>
    <w:rsid w:val="009035A2"/>
    <w:rsid w:val="009255DE"/>
    <w:rsid w:val="009340AB"/>
    <w:rsid w:val="00936192"/>
    <w:rsid w:val="00936E10"/>
    <w:rsid w:val="00940A51"/>
    <w:rsid w:val="00942A08"/>
    <w:rsid w:val="00942CAD"/>
    <w:rsid w:val="00943363"/>
    <w:rsid w:val="00956067"/>
    <w:rsid w:val="00957921"/>
    <w:rsid w:val="00957C00"/>
    <w:rsid w:val="009619CF"/>
    <w:rsid w:val="009639A2"/>
    <w:rsid w:val="0097114B"/>
    <w:rsid w:val="00971F36"/>
    <w:rsid w:val="0097588C"/>
    <w:rsid w:val="00977C25"/>
    <w:rsid w:val="009807C9"/>
    <w:rsid w:val="0098122A"/>
    <w:rsid w:val="009833CB"/>
    <w:rsid w:val="009837A3"/>
    <w:rsid w:val="00983AFA"/>
    <w:rsid w:val="00984554"/>
    <w:rsid w:val="009861EE"/>
    <w:rsid w:val="0099121F"/>
    <w:rsid w:val="009918F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C205F"/>
    <w:rsid w:val="009C3B2A"/>
    <w:rsid w:val="009C5124"/>
    <w:rsid w:val="009C51A8"/>
    <w:rsid w:val="009C5F2B"/>
    <w:rsid w:val="009C6454"/>
    <w:rsid w:val="009D2AD9"/>
    <w:rsid w:val="009D2D62"/>
    <w:rsid w:val="009D31CD"/>
    <w:rsid w:val="009D7121"/>
    <w:rsid w:val="009E52A8"/>
    <w:rsid w:val="009E6B31"/>
    <w:rsid w:val="009F0D41"/>
    <w:rsid w:val="009F161C"/>
    <w:rsid w:val="009F2F18"/>
    <w:rsid w:val="009F4EF8"/>
    <w:rsid w:val="009F4F1B"/>
    <w:rsid w:val="009F5872"/>
    <w:rsid w:val="00A00F88"/>
    <w:rsid w:val="00A01AAA"/>
    <w:rsid w:val="00A0353C"/>
    <w:rsid w:val="00A041C7"/>
    <w:rsid w:val="00A06B3C"/>
    <w:rsid w:val="00A122DE"/>
    <w:rsid w:val="00A12CC9"/>
    <w:rsid w:val="00A13320"/>
    <w:rsid w:val="00A155A4"/>
    <w:rsid w:val="00A2060D"/>
    <w:rsid w:val="00A216B7"/>
    <w:rsid w:val="00A23A8D"/>
    <w:rsid w:val="00A242EA"/>
    <w:rsid w:val="00A2504D"/>
    <w:rsid w:val="00A265DD"/>
    <w:rsid w:val="00A36736"/>
    <w:rsid w:val="00A41B5E"/>
    <w:rsid w:val="00A42042"/>
    <w:rsid w:val="00A4281A"/>
    <w:rsid w:val="00A466AC"/>
    <w:rsid w:val="00A50604"/>
    <w:rsid w:val="00A50E26"/>
    <w:rsid w:val="00A54818"/>
    <w:rsid w:val="00A60CA4"/>
    <w:rsid w:val="00A62060"/>
    <w:rsid w:val="00A62285"/>
    <w:rsid w:val="00A70197"/>
    <w:rsid w:val="00A73387"/>
    <w:rsid w:val="00A750CB"/>
    <w:rsid w:val="00A8029C"/>
    <w:rsid w:val="00A8033D"/>
    <w:rsid w:val="00A8395A"/>
    <w:rsid w:val="00A83C7E"/>
    <w:rsid w:val="00A8418C"/>
    <w:rsid w:val="00A84DA1"/>
    <w:rsid w:val="00A95CC6"/>
    <w:rsid w:val="00A960E9"/>
    <w:rsid w:val="00A97F93"/>
    <w:rsid w:val="00AA0E4D"/>
    <w:rsid w:val="00AB05C9"/>
    <w:rsid w:val="00AB2AAE"/>
    <w:rsid w:val="00AB2C0F"/>
    <w:rsid w:val="00AB5151"/>
    <w:rsid w:val="00AB53F0"/>
    <w:rsid w:val="00AC21C6"/>
    <w:rsid w:val="00AC3779"/>
    <w:rsid w:val="00AD0097"/>
    <w:rsid w:val="00AD020B"/>
    <w:rsid w:val="00AD1E40"/>
    <w:rsid w:val="00AD22B4"/>
    <w:rsid w:val="00AD52A6"/>
    <w:rsid w:val="00AD6AD0"/>
    <w:rsid w:val="00AE42F5"/>
    <w:rsid w:val="00AE4721"/>
    <w:rsid w:val="00AE747B"/>
    <w:rsid w:val="00AE780F"/>
    <w:rsid w:val="00AF1653"/>
    <w:rsid w:val="00B02DE3"/>
    <w:rsid w:val="00B037AA"/>
    <w:rsid w:val="00B04B16"/>
    <w:rsid w:val="00B04FA8"/>
    <w:rsid w:val="00B13787"/>
    <w:rsid w:val="00B1445B"/>
    <w:rsid w:val="00B1644E"/>
    <w:rsid w:val="00B175B5"/>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924"/>
    <w:rsid w:val="00B45B27"/>
    <w:rsid w:val="00B5139A"/>
    <w:rsid w:val="00B539B8"/>
    <w:rsid w:val="00B54434"/>
    <w:rsid w:val="00B56AF8"/>
    <w:rsid w:val="00B61628"/>
    <w:rsid w:val="00B6581A"/>
    <w:rsid w:val="00B6639E"/>
    <w:rsid w:val="00B70890"/>
    <w:rsid w:val="00B728AE"/>
    <w:rsid w:val="00B74DA0"/>
    <w:rsid w:val="00B7733B"/>
    <w:rsid w:val="00B80F85"/>
    <w:rsid w:val="00B83EBF"/>
    <w:rsid w:val="00B84F90"/>
    <w:rsid w:val="00B86A9B"/>
    <w:rsid w:val="00B86E92"/>
    <w:rsid w:val="00B90F3B"/>
    <w:rsid w:val="00B9309E"/>
    <w:rsid w:val="00B9752D"/>
    <w:rsid w:val="00BA01C1"/>
    <w:rsid w:val="00BA06FA"/>
    <w:rsid w:val="00BA0A23"/>
    <w:rsid w:val="00BA3460"/>
    <w:rsid w:val="00BA5C88"/>
    <w:rsid w:val="00BA5F1E"/>
    <w:rsid w:val="00BA75AF"/>
    <w:rsid w:val="00BA7782"/>
    <w:rsid w:val="00BB134D"/>
    <w:rsid w:val="00BB7A21"/>
    <w:rsid w:val="00BC0A42"/>
    <w:rsid w:val="00BC45E1"/>
    <w:rsid w:val="00BC471A"/>
    <w:rsid w:val="00BC52D2"/>
    <w:rsid w:val="00BC6F58"/>
    <w:rsid w:val="00BC7496"/>
    <w:rsid w:val="00BD07C7"/>
    <w:rsid w:val="00BD14CE"/>
    <w:rsid w:val="00BD4652"/>
    <w:rsid w:val="00BD6135"/>
    <w:rsid w:val="00BD62A2"/>
    <w:rsid w:val="00BE037A"/>
    <w:rsid w:val="00BE14F5"/>
    <w:rsid w:val="00BE17E6"/>
    <w:rsid w:val="00BE540B"/>
    <w:rsid w:val="00BE6576"/>
    <w:rsid w:val="00BF048F"/>
    <w:rsid w:val="00BF1FCA"/>
    <w:rsid w:val="00BF701E"/>
    <w:rsid w:val="00C00650"/>
    <w:rsid w:val="00C021BB"/>
    <w:rsid w:val="00C03932"/>
    <w:rsid w:val="00C11961"/>
    <w:rsid w:val="00C12722"/>
    <w:rsid w:val="00C13D72"/>
    <w:rsid w:val="00C147D7"/>
    <w:rsid w:val="00C23824"/>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D21"/>
    <w:rsid w:val="00C573B1"/>
    <w:rsid w:val="00C61AB1"/>
    <w:rsid w:val="00C64192"/>
    <w:rsid w:val="00C65FD6"/>
    <w:rsid w:val="00C717C9"/>
    <w:rsid w:val="00C7351D"/>
    <w:rsid w:val="00C75878"/>
    <w:rsid w:val="00C76BBB"/>
    <w:rsid w:val="00C776EA"/>
    <w:rsid w:val="00C779D4"/>
    <w:rsid w:val="00C77C0E"/>
    <w:rsid w:val="00C920F3"/>
    <w:rsid w:val="00C935F6"/>
    <w:rsid w:val="00C9788C"/>
    <w:rsid w:val="00C97C59"/>
    <w:rsid w:val="00CA2E94"/>
    <w:rsid w:val="00CA5D40"/>
    <w:rsid w:val="00CB00A6"/>
    <w:rsid w:val="00CB0BB1"/>
    <w:rsid w:val="00CB1766"/>
    <w:rsid w:val="00CB1E90"/>
    <w:rsid w:val="00CB3B10"/>
    <w:rsid w:val="00CB4831"/>
    <w:rsid w:val="00CB567B"/>
    <w:rsid w:val="00CB5DBA"/>
    <w:rsid w:val="00CB5FBD"/>
    <w:rsid w:val="00CB7F2D"/>
    <w:rsid w:val="00CC759C"/>
    <w:rsid w:val="00CD0159"/>
    <w:rsid w:val="00CD0363"/>
    <w:rsid w:val="00CD171A"/>
    <w:rsid w:val="00CD2D71"/>
    <w:rsid w:val="00CD4F9A"/>
    <w:rsid w:val="00CE113C"/>
    <w:rsid w:val="00CE6C1C"/>
    <w:rsid w:val="00CE7B3F"/>
    <w:rsid w:val="00CF0EF2"/>
    <w:rsid w:val="00CF69F6"/>
    <w:rsid w:val="00CF732A"/>
    <w:rsid w:val="00D0250E"/>
    <w:rsid w:val="00D03451"/>
    <w:rsid w:val="00D07526"/>
    <w:rsid w:val="00D1308F"/>
    <w:rsid w:val="00D14166"/>
    <w:rsid w:val="00D207B2"/>
    <w:rsid w:val="00D22B1B"/>
    <w:rsid w:val="00D23582"/>
    <w:rsid w:val="00D240C0"/>
    <w:rsid w:val="00D24A6C"/>
    <w:rsid w:val="00D25A76"/>
    <w:rsid w:val="00D27486"/>
    <w:rsid w:val="00D308D8"/>
    <w:rsid w:val="00D32B2A"/>
    <w:rsid w:val="00D3344A"/>
    <w:rsid w:val="00D36BE9"/>
    <w:rsid w:val="00D3722A"/>
    <w:rsid w:val="00D43F58"/>
    <w:rsid w:val="00D47829"/>
    <w:rsid w:val="00D52B05"/>
    <w:rsid w:val="00D53327"/>
    <w:rsid w:val="00D542A9"/>
    <w:rsid w:val="00D5501F"/>
    <w:rsid w:val="00D55807"/>
    <w:rsid w:val="00D639EF"/>
    <w:rsid w:val="00D645E0"/>
    <w:rsid w:val="00D6599A"/>
    <w:rsid w:val="00D669A4"/>
    <w:rsid w:val="00D67A31"/>
    <w:rsid w:val="00D709A6"/>
    <w:rsid w:val="00D7143F"/>
    <w:rsid w:val="00D7507B"/>
    <w:rsid w:val="00D7557F"/>
    <w:rsid w:val="00D75BC9"/>
    <w:rsid w:val="00D81BB1"/>
    <w:rsid w:val="00D84F6A"/>
    <w:rsid w:val="00D90F27"/>
    <w:rsid w:val="00D90F8B"/>
    <w:rsid w:val="00D95F43"/>
    <w:rsid w:val="00DA17B0"/>
    <w:rsid w:val="00DA2866"/>
    <w:rsid w:val="00DA2C00"/>
    <w:rsid w:val="00DA5E1F"/>
    <w:rsid w:val="00DA6D82"/>
    <w:rsid w:val="00DB169C"/>
    <w:rsid w:val="00DB180E"/>
    <w:rsid w:val="00DB2195"/>
    <w:rsid w:val="00DB27AF"/>
    <w:rsid w:val="00DB292F"/>
    <w:rsid w:val="00DB3966"/>
    <w:rsid w:val="00DB3F0F"/>
    <w:rsid w:val="00DB5A3F"/>
    <w:rsid w:val="00DC2AD7"/>
    <w:rsid w:val="00DC2B2E"/>
    <w:rsid w:val="00DD620A"/>
    <w:rsid w:val="00DE11D6"/>
    <w:rsid w:val="00DE6B8C"/>
    <w:rsid w:val="00DF2C09"/>
    <w:rsid w:val="00DF33A9"/>
    <w:rsid w:val="00DF631D"/>
    <w:rsid w:val="00DF6C2D"/>
    <w:rsid w:val="00DF79AD"/>
    <w:rsid w:val="00E010DC"/>
    <w:rsid w:val="00E02941"/>
    <w:rsid w:val="00E03081"/>
    <w:rsid w:val="00E03F7A"/>
    <w:rsid w:val="00E05B90"/>
    <w:rsid w:val="00E06224"/>
    <w:rsid w:val="00E114D9"/>
    <w:rsid w:val="00E134A9"/>
    <w:rsid w:val="00E150E0"/>
    <w:rsid w:val="00E176EE"/>
    <w:rsid w:val="00E2108D"/>
    <w:rsid w:val="00E21F9F"/>
    <w:rsid w:val="00E220EA"/>
    <w:rsid w:val="00E23054"/>
    <w:rsid w:val="00E237A8"/>
    <w:rsid w:val="00E25852"/>
    <w:rsid w:val="00E27D8C"/>
    <w:rsid w:val="00E31BA9"/>
    <w:rsid w:val="00E337E8"/>
    <w:rsid w:val="00E34AA2"/>
    <w:rsid w:val="00E37FAF"/>
    <w:rsid w:val="00E42B30"/>
    <w:rsid w:val="00E42DA2"/>
    <w:rsid w:val="00E45906"/>
    <w:rsid w:val="00E45B17"/>
    <w:rsid w:val="00E45E6B"/>
    <w:rsid w:val="00E5097C"/>
    <w:rsid w:val="00E5361B"/>
    <w:rsid w:val="00E54925"/>
    <w:rsid w:val="00E56541"/>
    <w:rsid w:val="00E6173D"/>
    <w:rsid w:val="00E61C4E"/>
    <w:rsid w:val="00E64CEE"/>
    <w:rsid w:val="00E65A41"/>
    <w:rsid w:val="00E710C9"/>
    <w:rsid w:val="00E724E4"/>
    <w:rsid w:val="00E73312"/>
    <w:rsid w:val="00E735D4"/>
    <w:rsid w:val="00E76439"/>
    <w:rsid w:val="00E80317"/>
    <w:rsid w:val="00E826A6"/>
    <w:rsid w:val="00E858D9"/>
    <w:rsid w:val="00E862F4"/>
    <w:rsid w:val="00E9032B"/>
    <w:rsid w:val="00E92DE1"/>
    <w:rsid w:val="00E975F3"/>
    <w:rsid w:val="00EA3DD8"/>
    <w:rsid w:val="00EA4936"/>
    <w:rsid w:val="00EB5954"/>
    <w:rsid w:val="00EC0E72"/>
    <w:rsid w:val="00EC2317"/>
    <w:rsid w:val="00EC2990"/>
    <w:rsid w:val="00EC2A4D"/>
    <w:rsid w:val="00EC4FBB"/>
    <w:rsid w:val="00ED200B"/>
    <w:rsid w:val="00ED2E12"/>
    <w:rsid w:val="00ED4F03"/>
    <w:rsid w:val="00EE173D"/>
    <w:rsid w:val="00EE24D6"/>
    <w:rsid w:val="00EE59C6"/>
    <w:rsid w:val="00EF1864"/>
    <w:rsid w:val="00EF26B4"/>
    <w:rsid w:val="00EF7C0F"/>
    <w:rsid w:val="00F0023B"/>
    <w:rsid w:val="00F02E36"/>
    <w:rsid w:val="00F04707"/>
    <w:rsid w:val="00F04ACD"/>
    <w:rsid w:val="00F110F6"/>
    <w:rsid w:val="00F11FC7"/>
    <w:rsid w:val="00F122E7"/>
    <w:rsid w:val="00F152B2"/>
    <w:rsid w:val="00F22AFE"/>
    <w:rsid w:val="00F265F6"/>
    <w:rsid w:val="00F26D91"/>
    <w:rsid w:val="00F27291"/>
    <w:rsid w:val="00F32560"/>
    <w:rsid w:val="00F32569"/>
    <w:rsid w:val="00F35C22"/>
    <w:rsid w:val="00F41337"/>
    <w:rsid w:val="00F41940"/>
    <w:rsid w:val="00F44405"/>
    <w:rsid w:val="00F44A5B"/>
    <w:rsid w:val="00F46255"/>
    <w:rsid w:val="00F5608F"/>
    <w:rsid w:val="00F561D5"/>
    <w:rsid w:val="00F60DAD"/>
    <w:rsid w:val="00F61F8E"/>
    <w:rsid w:val="00F63405"/>
    <w:rsid w:val="00F64156"/>
    <w:rsid w:val="00F70A37"/>
    <w:rsid w:val="00F76A83"/>
    <w:rsid w:val="00F83B9C"/>
    <w:rsid w:val="00F83ED3"/>
    <w:rsid w:val="00F857B4"/>
    <w:rsid w:val="00F86C88"/>
    <w:rsid w:val="00F87086"/>
    <w:rsid w:val="00F87535"/>
    <w:rsid w:val="00F90A0C"/>
    <w:rsid w:val="00F91B8B"/>
    <w:rsid w:val="00F939B9"/>
    <w:rsid w:val="00F962B4"/>
    <w:rsid w:val="00FA0210"/>
    <w:rsid w:val="00FA3AA3"/>
    <w:rsid w:val="00FA5D62"/>
    <w:rsid w:val="00FB0676"/>
    <w:rsid w:val="00FB08CC"/>
    <w:rsid w:val="00FB35FF"/>
    <w:rsid w:val="00FB3686"/>
    <w:rsid w:val="00FB4545"/>
    <w:rsid w:val="00FB578C"/>
    <w:rsid w:val="00FC1A5C"/>
    <w:rsid w:val="00FC20C2"/>
    <w:rsid w:val="00FC39EA"/>
    <w:rsid w:val="00FD15AF"/>
    <w:rsid w:val="00FD2F1A"/>
    <w:rsid w:val="00FD7F01"/>
    <w:rsid w:val="00FE44CF"/>
    <w:rsid w:val="00FE471B"/>
    <w:rsid w:val="00FE4721"/>
    <w:rsid w:val="00FE4D2A"/>
    <w:rsid w:val="00FE4FD0"/>
    <w:rsid w:val="00FF0DAF"/>
    <w:rsid w:val="00FF5835"/>
    <w:rsid w:val="00FF6251"/>
    <w:rsid w:val="00FF63FD"/>
    <w:rsid w:val="00FF738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Citation-AltC">
    <w:name w:val="Citation - Alt C"/>
    <w:uiPriority w:val="2"/>
    <w:qFormat/>
    <w:rsid w:val="0058198A"/>
    <w:pPr>
      <w:spacing w:after="720"/>
      <w:ind w:left="1166"/>
      <w:contextualSpacing/>
      <w:jc w:val="both"/>
    </w:pPr>
    <w:rPr>
      <w:rFonts w:ascii="Times New Roman" w:eastAsia="Times New Roman" w:hAnsi="Times New Roman"/>
      <w:sz w:val="24"/>
      <w:szCs w:val="24"/>
      <w:lang w:val="en-CA" w:eastAsia="en-CA"/>
    </w:rPr>
  </w:style>
  <w:style w:type="paragraph" w:styleId="FootnoteText">
    <w:name w:val="footnote text"/>
    <w:basedOn w:val="Normal"/>
    <w:link w:val="FootnoteTextChar"/>
    <w:uiPriority w:val="99"/>
    <w:semiHidden/>
    <w:unhideWhenUsed/>
    <w:rsid w:val="00D709A6"/>
    <w:rPr>
      <w:rFonts w:eastAsiaTheme="minorHAnsi" w:cstheme="minorBidi"/>
      <w:sz w:val="20"/>
      <w:lang w:val="en-CA"/>
    </w:rPr>
  </w:style>
  <w:style w:type="character" w:customStyle="1" w:styleId="FootnoteTextChar">
    <w:name w:val="Footnote Text Char"/>
    <w:basedOn w:val="DefaultParagraphFont"/>
    <w:link w:val="FootnoteText"/>
    <w:uiPriority w:val="99"/>
    <w:semiHidden/>
    <w:rsid w:val="00D709A6"/>
    <w:rPr>
      <w:rFonts w:ascii="Times New Roman" w:eastAsiaTheme="minorHAnsi" w:hAnsi="Times New Roman" w:cstheme="minorBidi"/>
      <w:lang w:val="en-CA"/>
    </w:rPr>
  </w:style>
  <w:style w:type="character" w:styleId="FootnoteReference">
    <w:name w:val="footnote reference"/>
    <w:basedOn w:val="DefaultParagraphFont"/>
    <w:uiPriority w:val="99"/>
    <w:semiHidden/>
    <w:unhideWhenUsed/>
    <w:rsid w:val="00D709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c-csc.lexum.com/scc-csc/fr/nav.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5689</CharactersWithSpaces>
  <SharedDoc>false</SharedDoc>
  <HLinks>
    <vt:vector size="24" baseType="variant">
      <vt:variant>
        <vt:i4>524364</vt:i4>
      </vt:variant>
      <vt:variant>
        <vt:i4>15</vt:i4>
      </vt:variant>
      <vt:variant>
        <vt:i4>0</vt:i4>
      </vt:variant>
      <vt:variant>
        <vt:i4>5</vt:i4>
      </vt:variant>
      <vt:variant>
        <vt:lpwstr>http://www.scc-csc.gc.ca/news-nouv/rel-com/subs-abon-fra.aspx</vt:lpwstr>
      </vt:variant>
      <vt:variant>
        <vt:lpwstr/>
      </vt:variant>
      <vt:variant>
        <vt:i4>852048</vt:i4>
      </vt:variant>
      <vt:variant>
        <vt:i4>12</vt:i4>
      </vt:variant>
      <vt:variant>
        <vt:i4>0</vt:i4>
      </vt:variant>
      <vt:variant>
        <vt:i4>5</vt:i4>
      </vt:variant>
      <vt:variant>
        <vt:lpwstr>http://www.scc-csc.gc.ca/news-nouv/rel-com/subs-abon-eng.aspx</vt:lpwstr>
      </vt:variant>
      <vt:variant>
        <vt:lpwstr/>
      </vt:variant>
      <vt:variant>
        <vt:i4>3080213</vt:i4>
      </vt:variant>
      <vt:variant>
        <vt:i4>9</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2016-06-02T15:25:00Z</dcterms:created>
  <dcterms:modified xsi:type="dcterms:W3CDTF">2016-06-03T12:48:00Z</dcterms:modified>
</cp:coreProperties>
</file>