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F7CCB" w:rsidRDefault="003F43E6" w:rsidP="00122CE1">
      <w:pPr>
        <w:pStyle w:val="Header"/>
        <w:tabs>
          <w:tab w:val="left" w:pos="1620"/>
          <w:tab w:val="left" w:pos="1710"/>
        </w:tabs>
        <w:jc w:val="center"/>
        <w:rPr>
          <w:b/>
          <w:sz w:val="32"/>
        </w:rPr>
      </w:pPr>
      <w:r w:rsidRPr="004F7CCB">
        <w:rPr>
          <w:b/>
          <w:sz w:val="32"/>
        </w:rPr>
        <w:t>Supreme Court of Canada / Cour suprême du Canada</w:t>
      </w:r>
    </w:p>
    <w:p w:rsidR="003F43E6" w:rsidRPr="004F7CCB" w:rsidRDefault="003F43E6" w:rsidP="006F2579">
      <w:pPr>
        <w:widowControl w:val="0"/>
        <w:rPr>
          <w:i/>
        </w:rPr>
      </w:pPr>
    </w:p>
    <w:p w:rsidR="006F2579" w:rsidRPr="004F7CCB" w:rsidRDefault="006F2579" w:rsidP="006F2579">
      <w:pPr>
        <w:widowControl w:val="0"/>
        <w:rPr>
          <w:i/>
        </w:rPr>
      </w:pPr>
      <w:r w:rsidRPr="004F7CCB">
        <w:rPr>
          <w:i/>
        </w:rPr>
        <w:t>(le français suit)</w:t>
      </w:r>
    </w:p>
    <w:p w:rsidR="006F2579" w:rsidRPr="004F7CCB" w:rsidRDefault="006F2579" w:rsidP="006F2579">
      <w:pPr>
        <w:widowControl w:val="0"/>
      </w:pPr>
    </w:p>
    <w:p w:rsidR="006F2579" w:rsidRPr="004F7CCB" w:rsidRDefault="00B07908" w:rsidP="006F2579">
      <w:pPr>
        <w:widowControl w:val="0"/>
        <w:jc w:val="center"/>
        <w:rPr>
          <w:b/>
        </w:rPr>
      </w:pPr>
      <w:r w:rsidRPr="004F7CCB">
        <w:fldChar w:fldCharType="begin"/>
      </w:r>
      <w:r w:rsidR="006F2579" w:rsidRPr="004F7CCB">
        <w:instrText xml:space="preserve"> SEQ CHAPTER \h \r 1</w:instrText>
      </w:r>
      <w:r w:rsidRPr="004F7CCB">
        <w:fldChar w:fldCharType="end"/>
      </w:r>
      <w:r w:rsidR="006F2579" w:rsidRPr="004F7CCB">
        <w:rPr>
          <w:b/>
        </w:rPr>
        <w:t>JUDGMENT</w:t>
      </w:r>
      <w:r w:rsidR="00B17AAC" w:rsidRPr="004F7CCB">
        <w:rPr>
          <w:b/>
        </w:rPr>
        <w:t>S</w:t>
      </w:r>
      <w:r w:rsidR="006F2579" w:rsidRPr="004F7CCB">
        <w:rPr>
          <w:b/>
        </w:rPr>
        <w:t xml:space="preserve"> TO B</w:t>
      </w:r>
      <w:r w:rsidR="00001846" w:rsidRPr="004F7CCB">
        <w:rPr>
          <w:b/>
        </w:rPr>
        <w:t>E RENDERED IN LEAVE APPLICATION</w:t>
      </w:r>
      <w:r w:rsidR="00B17AAC" w:rsidRPr="004F7CCB">
        <w:rPr>
          <w:b/>
        </w:rPr>
        <w:t>S</w:t>
      </w:r>
    </w:p>
    <w:p w:rsidR="006F2579" w:rsidRPr="004F7CCB" w:rsidRDefault="006F2579" w:rsidP="006F2579">
      <w:pPr>
        <w:widowControl w:val="0"/>
        <w:rPr>
          <w:b/>
        </w:rPr>
      </w:pPr>
    </w:p>
    <w:p w:rsidR="006F2579" w:rsidRPr="004F7CCB" w:rsidRDefault="00DA48B0" w:rsidP="006F2579">
      <w:pPr>
        <w:widowControl w:val="0"/>
        <w:rPr>
          <w:b/>
        </w:rPr>
      </w:pPr>
      <w:r w:rsidRPr="004F7CCB">
        <w:rPr>
          <w:b/>
        </w:rPr>
        <w:t>June</w:t>
      </w:r>
      <w:r w:rsidR="003817A9" w:rsidRPr="004F7CCB">
        <w:rPr>
          <w:b/>
        </w:rPr>
        <w:t xml:space="preserve"> </w:t>
      </w:r>
      <w:r w:rsidR="00CD5608">
        <w:rPr>
          <w:b/>
        </w:rPr>
        <w:t>13</w:t>
      </w:r>
      <w:r w:rsidR="00AB5538" w:rsidRPr="004F7CCB">
        <w:rPr>
          <w:b/>
        </w:rPr>
        <w:t>,</w:t>
      </w:r>
      <w:r w:rsidR="006F2579" w:rsidRPr="004F7CCB">
        <w:rPr>
          <w:b/>
        </w:rPr>
        <w:t xml:space="preserve"> </w:t>
      </w:r>
      <w:r w:rsidR="0054689F" w:rsidRPr="004F7CCB">
        <w:rPr>
          <w:b/>
        </w:rPr>
        <w:t>201</w:t>
      </w:r>
      <w:r w:rsidR="00674329" w:rsidRPr="004F7CCB">
        <w:rPr>
          <w:b/>
        </w:rPr>
        <w:t>6</w:t>
      </w:r>
    </w:p>
    <w:p w:rsidR="006F2579" w:rsidRPr="004F7CCB" w:rsidRDefault="006F2579" w:rsidP="006F2579">
      <w:pPr>
        <w:widowControl w:val="0"/>
        <w:rPr>
          <w:b/>
        </w:rPr>
      </w:pPr>
      <w:r w:rsidRPr="004F7CCB">
        <w:rPr>
          <w:b/>
        </w:rPr>
        <w:t>For immediate release</w:t>
      </w:r>
    </w:p>
    <w:p w:rsidR="006F2579" w:rsidRPr="004F7CCB" w:rsidRDefault="006F2579" w:rsidP="006F2579">
      <w:pPr>
        <w:widowControl w:val="0"/>
      </w:pPr>
    </w:p>
    <w:p w:rsidR="006F2579" w:rsidRPr="004F7CCB" w:rsidRDefault="006F2579" w:rsidP="006F2579">
      <w:pPr>
        <w:widowControl w:val="0"/>
      </w:pPr>
      <w:r w:rsidRPr="004F7CCB">
        <w:rPr>
          <w:b/>
        </w:rPr>
        <w:t>OTTAWA</w:t>
      </w:r>
      <w:r w:rsidRPr="004F7CCB">
        <w:t xml:space="preserve"> – The Supreme Court of Canada announced today that judgment in the following application</w:t>
      </w:r>
      <w:r w:rsidR="008600ED" w:rsidRPr="004F7CCB">
        <w:t>s</w:t>
      </w:r>
      <w:r w:rsidRPr="004F7CCB">
        <w:t xml:space="preserve"> for leave to appeal will be delivered at 9:45 a.m. E</w:t>
      </w:r>
      <w:r w:rsidR="003817A9" w:rsidRPr="004F7CCB">
        <w:t>D</w:t>
      </w:r>
      <w:r w:rsidRPr="004F7CCB">
        <w:t xml:space="preserve">T on Thursday, </w:t>
      </w:r>
      <w:r w:rsidR="00647687" w:rsidRPr="004F7CCB">
        <w:t>June</w:t>
      </w:r>
      <w:r w:rsidR="007E112F" w:rsidRPr="004F7CCB">
        <w:t xml:space="preserve"> </w:t>
      </w:r>
      <w:r w:rsidR="00CD5608">
        <w:t>16</w:t>
      </w:r>
      <w:r w:rsidR="007E112F" w:rsidRPr="004F7CCB">
        <w:t>,</w:t>
      </w:r>
      <w:r w:rsidR="002F38D7" w:rsidRPr="004F7CCB">
        <w:t xml:space="preserve"> </w:t>
      </w:r>
      <w:r w:rsidR="006648D1" w:rsidRPr="004F7CCB">
        <w:t>201</w:t>
      </w:r>
      <w:r w:rsidR="00674329" w:rsidRPr="004F7CCB">
        <w:t>6</w:t>
      </w:r>
      <w:r w:rsidRPr="004F7CCB">
        <w:t>.  This list is subject to change.</w:t>
      </w:r>
    </w:p>
    <w:p w:rsidR="00FF5AA4" w:rsidRPr="004F7CCB" w:rsidRDefault="00FF5AA4" w:rsidP="006F2579">
      <w:pPr>
        <w:widowControl w:val="0"/>
      </w:pPr>
    </w:p>
    <w:p w:rsidR="00B43418" w:rsidRPr="004F7CCB" w:rsidRDefault="00B43418" w:rsidP="006F2579">
      <w:pPr>
        <w:widowControl w:val="0"/>
      </w:pPr>
    </w:p>
    <w:p w:rsidR="006F2579" w:rsidRPr="004F7CCB" w:rsidRDefault="006F2579" w:rsidP="006F2579">
      <w:pPr>
        <w:widowControl w:val="0"/>
        <w:jc w:val="center"/>
        <w:rPr>
          <w:lang w:val="fr-CA"/>
        </w:rPr>
      </w:pPr>
      <w:r w:rsidRPr="004F7CCB">
        <w:rPr>
          <w:b/>
          <w:lang w:val="fr-CA"/>
        </w:rPr>
        <w:t>PROCHAIN</w:t>
      </w:r>
      <w:r w:rsidR="00B17AAC" w:rsidRPr="004F7CCB">
        <w:rPr>
          <w:b/>
          <w:lang w:val="fr-CA"/>
        </w:rPr>
        <w:t>S</w:t>
      </w:r>
      <w:r w:rsidRPr="004F7CCB">
        <w:rPr>
          <w:b/>
          <w:lang w:val="fr-CA"/>
        </w:rPr>
        <w:t xml:space="preserve"> JUGEMENT</w:t>
      </w:r>
      <w:r w:rsidR="00B17AAC" w:rsidRPr="004F7CCB">
        <w:rPr>
          <w:b/>
          <w:lang w:val="fr-CA"/>
        </w:rPr>
        <w:t>S</w:t>
      </w:r>
      <w:r w:rsidR="00001846" w:rsidRPr="004F7CCB">
        <w:rPr>
          <w:b/>
          <w:lang w:val="fr-CA"/>
        </w:rPr>
        <w:t xml:space="preserve"> SUR DEMANDE</w:t>
      </w:r>
      <w:r w:rsidR="00B17AAC" w:rsidRPr="004F7CCB">
        <w:rPr>
          <w:b/>
          <w:lang w:val="fr-CA"/>
        </w:rPr>
        <w:t>S</w:t>
      </w:r>
      <w:r w:rsidRPr="004F7CCB">
        <w:rPr>
          <w:b/>
          <w:lang w:val="fr-CA"/>
        </w:rPr>
        <w:t xml:space="preserve"> D’AUTORISATION</w:t>
      </w:r>
    </w:p>
    <w:p w:rsidR="006F2579" w:rsidRPr="004F7CCB" w:rsidRDefault="006F2579" w:rsidP="006F2579">
      <w:pPr>
        <w:widowControl w:val="0"/>
        <w:rPr>
          <w:lang w:val="fr-CA"/>
        </w:rPr>
      </w:pPr>
    </w:p>
    <w:p w:rsidR="006F2579" w:rsidRPr="004F7CCB" w:rsidRDefault="006F2579" w:rsidP="006F2579">
      <w:pPr>
        <w:widowControl w:val="0"/>
        <w:rPr>
          <w:b/>
          <w:lang w:val="fr-CA"/>
        </w:rPr>
      </w:pPr>
      <w:r w:rsidRPr="004F7CCB">
        <w:rPr>
          <w:b/>
          <w:lang w:val="fr-CA"/>
        </w:rPr>
        <w:t>Le</w:t>
      </w:r>
      <w:r w:rsidR="00957A76" w:rsidRPr="004F7CCB">
        <w:rPr>
          <w:b/>
          <w:lang w:val="fr-CA"/>
        </w:rPr>
        <w:t xml:space="preserve"> </w:t>
      </w:r>
      <w:r w:rsidR="00CD5608">
        <w:rPr>
          <w:b/>
          <w:lang w:val="fr-CA"/>
        </w:rPr>
        <w:t>13</w:t>
      </w:r>
      <w:r w:rsidR="004C4BEC" w:rsidRPr="004F7CCB">
        <w:rPr>
          <w:b/>
          <w:lang w:val="fr-CA"/>
        </w:rPr>
        <w:t xml:space="preserve"> </w:t>
      </w:r>
      <w:r w:rsidR="00DA48B0" w:rsidRPr="004F7CCB">
        <w:rPr>
          <w:b/>
          <w:lang w:val="fr-CA"/>
        </w:rPr>
        <w:t>juin</w:t>
      </w:r>
      <w:r w:rsidR="00674329" w:rsidRPr="004F7CCB">
        <w:rPr>
          <w:b/>
          <w:lang w:val="fr-CA"/>
        </w:rPr>
        <w:t xml:space="preserve"> 2016</w:t>
      </w:r>
    </w:p>
    <w:p w:rsidR="006F2579" w:rsidRPr="004F7CCB" w:rsidRDefault="006F2579" w:rsidP="006F2579">
      <w:pPr>
        <w:widowControl w:val="0"/>
        <w:rPr>
          <w:b/>
          <w:lang w:val="fr-CA"/>
        </w:rPr>
      </w:pPr>
      <w:r w:rsidRPr="004F7CCB">
        <w:rPr>
          <w:b/>
          <w:lang w:val="fr-CA"/>
        </w:rPr>
        <w:t>Pour diffusion immédiate</w:t>
      </w:r>
    </w:p>
    <w:p w:rsidR="006F2579" w:rsidRPr="004F7CCB" w:rsidRDefault="006F2579" w:rsidP="006F2579">
      <w:pPr>
        <w:widowControl w:val="0"/>
        <w:rPr>
          <w:b/>
          <w:lang w:val="fr-CA"/>
        </w:rPr>
      </w:pPr>
    </w:p>
    <w:p w:rsidR="006F2579" w:rsidRPr="004F7CCB" w:rsidRDefault="006F2579" w:rsidP="006F2579">
      <w:pPr>
        <w:widowControl w:val="0"/>
        <w:rPr>
          <w:lang w:val="fr-CA"/>
        </w:rPr>
      </w:pPr>
      <w:r w:rsidRPr="004F7CCB">
        <w:rPr>
          <w:b/>
          <w:lang w:val="fr-CA"/>
        </w:rPr>
        <w:t>OTTAWA</w:t>
      </w:r>
      <w:r w:rsidRPr="004F7CCB">
        <w:rPr>
          <w:lang w:val="fr-CA"/>
        </w:rPr>
        <w:t xml:space="preserve"> – La Cour suprême du Canada annonce que jugement ser</w:t>
      </w:r>
      <w:r w:rsidR="004259F9" w:rsidRPr="004F7CCB">
        <w:rPr>
          <w:lang w:val="fr-CA"/>
        </w:rPr>
        <w:t>a</w:t>
      </w:r>
      <w:r w:rsidRPr="004F7CCB">
        <w:rPr>
          <w:lang w:val="fr-CA"/>
        </w:rPr>
        <w:t xml:space="preserve"> rendu dans l</w:t>
      </w:r>
      <w:r w:rsidR="008600ED" w:rsidRPr="004F7CCB">
        <w:rPr>
          <w:lang w:val="fr-CA"/>
        </w:rPr>
        <w:t>es</w:t>
      </w:r>
      <w:r w:rsidRPr="004F7CCB">
        <w:rPr>
          <w:lang w:val="fr-CA"/>
        </w:rPr>
        <w:t xml:space="preserve"> demande</w:t>
      </w:r>
      <w:r w:rsidR="008600ED" w:rsidRPr="004F7CCB">
        <w:rPr>
          <w:lang w:val="fr-CA"/>
        </w:rPr>
        <w:t>s</w:t>
      </w:r>
      <w:r w:rsidRPr="004F7CCB">
        <w:rPr>
          <w:lang w:val="fr-CA"/>
        </w:rPr>
        <w:t xml:space="preserve"> d</w:t>
      </w:r>
      <w:r w:rsidR="00001846" w:rsidRPr="004F7CCB">
        <w:rPr>
          <w:lang w:val="fr-CA"/>
        </w:rPr>
        <w:t>’autorisation d’appel suivante</w:t>
      </w:r>
      <w:r w:rsidR="008600ED" w:rsidRPr="004F7CCB">
        <w:rPr>
          <w:lang w:val="fr-CA"/>
        </w:rPr>
        <w:t>s</w:t>
      </w:r>
      <w:r w:rsidRPr="004F7CCB">
        <w:rPr>
          <w:lang w:val="fr-CA"/>
        </w:rPr>
        <w:t xml:space="preserve"> le jeudi </w:t>
      </w:r>
      <w:r w:rsidR="00CD5608">
        <w:rPr>
          <w:lang w:val="fr-CA"/>
        </w:rPr>
        <w:t>16</w:t>
      </w:r>
      <w:r w:rsidR="007E112F" w:rsidRPr="004F7CCB">
        <w:rPr>
          <w:lang w:val="fr-CA"/>
        </w:rPr>
        <w:t xml:space="preserve"> </w:t>
      </w:r>
      <w:r w:rsidR="00647687" w:rsidRPr="004F7CCB">
        <w:rPr>
          <w:lang w:val="fr-CA"/>
        </w:rPr>
        <w:t>juin</w:t>
      </w:r>
      <w:r w:rsidR="00674329" w:rsidRPr="004F7CCB">
        <w:rPr>
          <w:lang w:val="fr-CA"/>
        </w:rPr>
        <w:t xml:space="preserve"> </w:t>
      </w:r>
      <w:r w:rsidR="006648D1" w:rsidRPr="004F7CCB">
        <w:rPr>
          <w:lang w:val="fr-CA"/>
        </w:rPr>
        <w:t>201</w:t>
      </w:r>
      <w:r w:rsidR="00674329" w:rsidRPr="004F7CCB">
        <w:rPr>
          <w:lang w:val="fr-CA"/>
        </w:rPr>
        <w:t>6</w:t>
      </w:r>
      <w:r w:rsidRPr="004F7CCB">
        <w:rPr>
          <w:lang w:val="fr-CA"/>
        </w:rPr>
        <w:t xml:space="preserve">, à 9 h 45 </w:t>
      </w:r>
      <w:r w:rsidR="000627A2" w:rsidRPr="004F7CCB">
        <w:rPr>
          <w:lang w:val="fr-CA"/>
        </w:rPr>
        <w:t>H</w:t>
      </w:r>
      <w:r w:rsidR="003817A9" w:rsidRPr="004F7CCB">
        <w:rPr>
          <w:lang w:val="fr-CA"/>
        </w:rPr>
        <w:t>A</w:t>
      </w:r>
      <w:r w:rsidRPr="004F7CCB">
        <w:rPr>
          <w:lang w:val="fr-CA"/>
        </w:rPr>
        <w:t>E.  Cette liste est sujette à modifications.</w:t>
      </w:r>
    </w:p>
    <w:p w:rsidR="0080556B" w:rsidRPr="004F7CCB" w:rsidRDefault="0080556B" w:rsidP="009B14F4">
      <w:pPr>
        <w:widowControl w:val="0"/>
        <w:jc w:val="both"/>
        <w:rPr>
          <w:sz w:val="20"/>
          <w:lang w:val="fr-CA"/>
        </w:rPr>
      </w:pPr>
    </w:p>
    <w:p w:rsidR="001838E0" w:rsidRPr="004F7CCB" w:rsidRDefault="003D353C" w:rsidP="009B14F4">
      <w:pPr>
        <w:widowControl w:val="0"/>
        <w:jc w:val="both"/>
        <w:rPr>
          <w:sz w:val="20"/>
          <w:lang w:val="fr-CA"/>
        </w:rPr>
      </w:pPr>
      <w:r w:rsidRPr="004F7CC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9A5F3F" w:rsidRDefault="00BE2C4B" w:rsidP="009A5F3F">
      <w:pPr>
        <w:widowControl w:val="0"/>
        <w:autoSpaceDE w:val="0"/>
        <w:autoSpaceDN w:val="0"/>
        <w:adjustRightInd w:val="0"/>
        <w:ind w:left="360" w:hanging="360"/>
        <w:rPr>
          <w:rFonts w:eastAsiaTheme="minorEastAsia"/>
          <w:sz w:val="20"/>
          <w:lang w:val="en-CA" w:eastAsia="en-CA"/>
        </w:rPr>
      </w:pPr>
    </w:p>
    <w:p w:rsidR="009A5F3F" w:rsidRPr="009A5F3F" w:rsidRDefault="009A5F3F" w:rsidP="009A5F3F">
      <w:pPr>
        <w:pStyle w:val="SCCAppellantInfoAppellantInfo"/>
        <w:numPr>
          <w:ilvl w:val="0"/>
          <w:numId w:val="38"/>
        </w:numPr>
        <w:ind w:left="360"/>
        <w:rPr>
          <w:sz w:val="20"/>
          <w:szCs w:val="20"/>
        </w:rPr>
      </w:pPr>
      <w:r w:rsidRPr="009A5F3F">
        <w:rPr>
          <w:bCs/>
          <w:i/>
          <w:iCs/>
          <w:sz w:val="20"/>
          <w:szCs w:val="20"/>
        </w:rPr>
        <w:t>Gerald Dyke v. Her Majesty the Queen</w:t>
      </w:r>
      <w:r w:rsidRPr="009A5F3F">
        <w:rPr>
          <w:sz w:val="20"/>
          <w:szCs w:val="20"/>
        </w:rPr>
        <w:t xml:space="preserve"> (Ont.) (Criminal) (By Leave)</w:t>
      </w:r>
      <w:r w:rsidR="000629D7">
        <w:rPr>
          <w:sz w:val="20"/>
          <w:szCs w:val="20"/>
        </w:rPr>
        <w:t xml:space="preserve"> </w:t>
      </w:r>
      <w:r w:rsidR="000629D7" w:rsidRPr="004F7CCB">
        <w:rPr>
          <w:sz w:val="20"/>
        </w:rPr>
        <w:t>(</w:t>
      </w:r>
      <w:hyperlink r:id="rId8" w:history="1">
        <w:r w:rsidR="000629D7" w:rsidRPr="004F7CCB">
          <w:rPr>
            <w:rStyle w:val="Hyperlink"/>
            <w:sz w:val="20"/>
            <w:szCs w:val="20"/>
          </w:rPr>
          <w:t>36</w:t>
        </w:r>
        <w:r w:rsidR="000629D7">
          <w:rPr>
            <w:rStyle w:val="Hyperlink"/>
            <w:sz w:val="20"/>
            <w:szCs w:val="20"/>
          </w:rPr>
          <w:t>890</w:t>
        </w:r>
      </w:hyperlink>
      <w:r w:rsidR="000629D7" w:rsidRPr="004F7CCB">
        <w:rPr>
          <w:sz w:val="20"/>
        </w:rPr>
        <w:t>)</w:t>
      </w:r>
    </w:p>
    <w:p w:rsidR="009A5F3F" w:rsidRPr="009A5F3F" w:rsidRDefault="009A5F3F" w:rsidP="009A5F3F">
      <w:pPr>
        <w:ind w:left="360" w:hanging="360"/>
        <w:rPr>
          <w:sz w:val="20"/>
          <w:lang w:val="en-CA"/>
        </w:rPr>
      </w:pPr>
    </w:p>
    <w:p w:rsidR="009A5F3F" w:rsidRPr="009A5F3F" w:rsidRDefault="009A5F3F" w:rsidP="009A5F3F">
      <w:pPr>
        <w:pStyle w:val="SCCAppellantInfoAppellantInfo"/>
        <w:numPr>
          <w:ilvl w:val="0"/>
          <w:numId w:val="38"/>
        </w:numPr>
        <w:ind w:left="360"/>
        <w:rPr>
          <w:sz w:val="20"/>
          <w:szCs w:val="20"/>
          <w:lang w:val="fr-CA"/>
        </w:rPr>
      </w:pPr>
      <w:r w:rsidRPr="009A5F3F">
        <w:rPr>
          <w:bCs/>
          <w:i/>
          <w:iCs/>
          <w:sz w:val="20"/>
          <w:szCs w:val="20"/>
          <w:lang w:val="fr-CA"/>
        </w:rPr>
        <w:t xml:space="preserve">Mohamed Balikwisha Patanguli c. Administrateur général (Ministère de la Citoyenneté et de l'Immigration) </w:t>
      </w:r>
      <w:r w:rsidRPr="009A5F3F">
        <w:rPr>
          <w:sz w:val="20"/>
          <w:szCs w:val="20"/>
          <w:lang w:val="fr-CA"/>
        </w:rPr>
        <w:t>(C</w:t>
      </w:r>
      <w:r w:rsidR="00360B19">
        <w:rPr>
          <w:sz w:val="20"/>
          <w:szCs w:val="20"/>
          <w:lang w:val="fr-CA"/>
        </w:rPr>
        <w:t>.</w:t>
      </w:r>
      <w:r w:rsidRPr="009A5F3F">
        <w:rPr>
          <w:sz w:val="20"/>
          <w:szCs w:val="20"/>
          <w:lang w:val="fr-CA"/>
        </w:rPr>
        <w:t>F</w:t>
      </w:r>
      <w:r w:rsidR="00360B19">
        <w:rPr>
          <w:sz w:val="20"/>
          <w:szCs w:val="20"/>
          <w:lang w:val="fr-CA"/>
        </w:rPr>
        <w:t>.</w:t>
      </w:r>
      <w:r w:rsidRPr="009A5F3F">
        <w:rPr>
          <w:sz w:val="20"/>
          <w:szCs w:val="20"/>
          <w:lang w:val="fr-CA"/>
        </w:rPr>
        <w:t xml:space="preserve">) (Civile) (Autorisation) </w:t>
      </w:r>
      <w:r w:rsidR="00360B19" w:rsidRPr="004F7CCB">
        <w:rPr>
          <w:sz w:val="20"/>
          <w:lang w:val="fr-FR" w:eastAsia="en-CA"/>
        </w:rPr>
        <w:t>(</w:t>
      </w:r>
      <w:hyperlink r:id="rId9" w:history="1">
        <w:r w:rsidR="00360B19" w:rsidRPr="004F7CCB">
          <w:rPr>
            <w:rStyle w:val="Hyperlink"/>
            <w:sz w:val="20"/>
            <w:lang w:val="fr-FR" w:eastAsia="en-CA"/>
          </w:rPr>
          <w:t>36</w:t>
        </w:r>
        <w:r w:rsidR="00360B19">
          <w:rPr>
            <w:rStyle w:val="Hyperlink"/>
            <w:sz w:val="20"/>
            <w:lang w:val="fr-FR" w:eastAsia="en-CA"/>
          </w:rPr>
          <w:t>856</w:t>
        </w:r>
      </w:hyperlink>
      <w:r w:rsidR="00360B19" w:rsidRPr="004F7CCB">
        <w:rPr>
          <w:sz w:val="20"/>
          <w:lang w:val="fr-FR" w:eastAsia="en-CA"/>
        </w:rPr>
        <w:t>)</w:t>
      </w:r>
    </w:p>
    <w:p w:rsidR="009A5F3F" w:rsidRPr="009A5F3F" w:rsidRDefault="009A5F3F" w:rsidP="009A5F3F">
      <w:pPr>
        <w:ind w:left="360" w:hanging="360"/>
        <w:rPr>
          <w:sz w:val="20"/>
          <w:lang w:val="en-CA"/>
        </w:rPr>
      </w:pPr>
    </w:p>
    <w:p w:rsidR="009A5F3F" w:rsidRDefault="009A5F3F" w:rsidP="009A5F3F">
      <w:pPr>
        <w:pStyle w:val="SCCAppellantInfoAppellantInfo"/>
        <w:numPr>
          <w:ilvl w:val="0"/>
          <w:numId w:val="38"/>
        </w:numPr>
        <w:ind w:left="360"/>
        <w:rPr>
          <w:sz w:val="20"/>
          <w:szCs w:val="20"/>
        </w:rPr>
      </w:pPr>
      <w:r w:rsidRPr="009A5F3F">
        <w:rPr>
          <w:bCs/>
          <w:i/>
          <w:iCs/>
          <w:sz w:val="20"/>
          <w:szCs w:val="20"/>
        </w:rPr>
        <w:t>Jodi Graham et al. v. Chrysler Canada Inc. et al.</w:t>
      </w:r>
      <w:r w:rsidRPr="009A5F3F">
        <w:rPr>
          <w:sz w:val="20"/>
          <w:szCs w:val="20"/>
        </w:rPr>
        <w:t xml:space="preserve"> (Ont.) (Civil) (By Leave)</w:t>
      </w:r>
      <w:r w:rsidR="00F7246A">
        <w:rPr>
          <w:sz w:val="20"/>
          <w:szCs w:val="20"/>
        </w:rPr>
        <w:t xml:space="preserve"> </w:t>
      </w:r>
      <w:r w:rsidR="00F7246A" w:rsidRPr="004F7CCB">
        <w:rPr>
          <w:sz w:val="20"/>
        </w:rPr>
        <w:t>(</w:t>
      </w:r>
      <w:hyperlink r:id="rId10" w:history="1">
        <w:r w:rsidR="00F7246A" w:rsidRPr="004F7CCB">
          <w:rPr>
            <w:rStyle w:val="Hyperlink"/>
            <w:sz w:val="20"/>
            <w:szCs w:val="20"/>
          </w:rPr>
          <w:t>36</w:t>
        </w:r>
        <w:r w:rsidR="00F7246A">
          <w:rPr>
            <w:rStyle w:val="Hyperlink"/>
            <w:sz w:val="20"/>
            <w:szCs w:val="20"/>
          </w:rPr>
          <w:t>870</w:t>
        </w:r>
      </w:hyperlink>
      <w:r w:rsidR="00F7246A" w:rsidRPr="004F7CCB">
        <w:rPr>
          <w:sz w:val="20"/>
        </w:rPr>
        <w:t>)</w:t>
      </w:r>
    </w:p>
    <w:p w:rsidR="009A5F3F" w:rsidRPr="009A5F3F" w:rsidRDefault="009A5F3F" w:rsidP="009A5F3F">
      <w:pPr>
        <w:ind w:left="360" w:hanging="360"/>
        <w:rPr>
          <w:sz w:val="20"/>
          <w:lang w:val="en-CA"/>
        </w:rPr>
      </w:pPr>
    </w:p>
    <w:p w:rsidR="009A5F3F" w:rsidRPr="009A5F3F" w:rsidRDefault="009A5F3F" w:rsidP="009A5F3F">
      <w:pPr>
        <w:pStyle w:val="ListParagraph"/>
        <w:numPr>
          <w:ilvl w:val="0"/>
          <w:numId w:val="38"/>
        </w:numPr>
        <w:ind w:left="360"/>
        <w:rPr>
          <w:sz w:val="20"/>
          <w:lang w:val="en-CA"/>
        </w:rPr>
      </w:pPr>
      <w:r w:rsidRPr="009A5F3F">
        <w:rPr>
          <w:bCs/>
          <w:i/>
          <w:iCs/>
          <w:sz w:val="20"/>
        </w:rPr>
        <w:t xml:space="preserve">Ileshkumar Shah also known as Ileshkumarpadm Shah v. Bank of Montreal for itself and on behalf of all creditors of Amer Javed, Ileshkumar Shah also known as Ileshkumarpadm Shah and Mayaben Ileshkumar Shah </w:t>
      </w:r>
      <w:r w:rsidRPr="009A5F3F">
        <w:rPr>
          <w:bCs/>
          <w:iCs/>
          <w:sz w:val="20"/>
        </w:rPr>
        <w:t>(Ont.) (Civil) (By Leave)</w:t>
      </w:r>
      <w:r w:rsidR="009030B0">
        <w:rPr>
          <w:bCs/>
          <w:iCs/>
          <w:sz w:val="20"/>
        </w:rPr>
        <w:t xml:space="preserve"> </w:t>
      </w:r>
      <w:r w:rsidR="009030B0" w:rsidRPr="004F7CCB">
        <w:rPr>
          <w:sz w:val="20"/>
          <w:lang w:val="en-CA"/>
        </w:rPr>
        <w:t>(</w:t>
      </w:r>
      <w:hyperlink r:id="rId11" w:history="1">
        <w:r w:rsidR="009030B0" w:rsidRPr="004F7CCB">
          <w:rPr>
            <w:rStyle w:val="Hyperlink"/>
            <w:sz w:val="20"/>
            <w:szCs w:val="20"/>
            <w:lang w:val="en-CA"/>
          </w:rPr>
          <w:t>36</w:t>
        </w:r>
        <w:r w:rsidR="009030B0">
          <w:rPr>
            <w:rStyle w:val="Hyperlink"/>
            <w:sz w:val="20"/>
            <w:szCs w:val="20"/>
            <w:lang w:val="en-CA"/>
          </w:rPr>
          <w:t>902</w:t>
        </w:r>
      </w:hyperlink>
      <w:r w:rsidR="009030B0" w:rsidRPr="004F7CCB">
        <w:rPr>
          <w:sz w:val="20"/>
          <w:lang w:val="en-CA"/>
        </w:rPr>
        <w:t>)</w:t>
      </w:r>
    </w:p>
    <w:p w:rsidR="009A5F3F" w:rsidRPr="009A5F3F" w:rsidRDefault="009A5F3F" w:rsidP="009A5F3F">
      <w:pPr>
        <w:ind w:left="360" w:hanging="360"/>
        <w:rPr>
          <w:sz w:val="20"/>
          <w:lang w:val="en-CA"/>
        </w:rPr>
      </w:pPr>
    </w:p>
    <w:p w:rsidR="009A5F3F" w:rsidRPr="009A5F3F" w:rsidRDefault="009A5F3F" w:rsidP="009A5F3F">
      <w:pPr>
        <w:pStyle w:val="SCCAppellantInfoAppellantInfo"/>
        <w:numPr>
          <w:ilvl w:val="0"/>
          <w:numId w:val="38"/>
        </w:numPr>
        <w:ind w:left="360"/>
        <w:rPr>
          <w:sz w:val="20"/>
          <w:szCs w:val="20"/>
        </w:rPr>
      </w:pPr>
      <w:r w:rsidRPr="009A5F3F">
        <w:rPr>
          <w:i/>
          <w:sz w:val="20"/>
          <w:szCs w:val="20"/>
        </w:rPr>
        <w:t>Donald Glen Bird v. Her Majesty the Queen</w:t>
      </w:r>
      <w:r w:rsidRPr="009A5F3F">
        <w:rPr>
          <w:sz w:val="20"/>
          <w:szCs w:val="20"/>
        </w:rPr>
        <w:t xml:space="preserve"> (Sask.) (Criminal) (By Leave)</w:t>
      </w:r>
      <w:r w:rsidR="00EB159B">
        <w:rPr>
          <w:sz w:val="20"/>
          <w:szCs w:val="20"/>
        </w:rPr>
        <w:t xml:space="preserve"> </w:t>
      </w:r>
      <w:r w:rsidR="00EB159B" w:rsidRPr="004F7CCB">
        <w:rPr>
          <w:sz w:val="20"/>
        </w:rPr>
        <w:t>(</w:t>
      </w:r>
      <w:hyperlink r:id="rId12" w:history="1">
        <w:r w:rsidR="00EB159B" w:rsidRPr="004F7CCB">
          <w:rPr>
            <w:rStyle w:val="Hyperlink"/>
            <w:sz w:val="20"/>
            <w:szCs w:val="20"/>
          </w:rPr>
          <w:t>36</w:t>
        </w:r>
        <w:r w:rsidR="00EB159B">
          <w:rPr>
            <w:rStyle w:val="Hyperlink"/>
            <w:sz w:val="20"/>
            <w:szCs w:val="20"/>
          </w:rPr>
          <w:t>942</w:t>
        </w:r>
      </w:hyperlink>
      <w:r w:rsidR="00EB159B" w:rsidRPr="004F7CCB">
        <w:rPr>
          <w:sz w:val="20"/>
        </w:rPr>
        <w:t>)</w:t>
      </w:r>
    </w:p>
    <w:p w:rsidR="009A5F3F" w:rsidRPr="009A5F3F" w:rsidRDefault="009A5F3F" w:rsidP="009A5F3F">
      <w:pPr>
        <w:ind w:left="360" w:hanging="360"/>
        <w:rPr>
          <w:sz w:val="20"/>
          <w:lang w:val="en-CA"/>
        </w:rPr>
      </w:pPr>
    </w:p>
    <w:p w:rsidR="009A5F3F" w:rsidRPr="009A5F3F" w:rsidRDefault="009A5F3F" w:rsidP="009A5F3F">
      <w:pPr>
        <w:pStyle w:val="ListParagraph"/>
        <w:numPr>
          <w:ilvl w:val="0"/>
          <w:numId w:val="38"/>
        </w:numPr>
        <w:ind w:left="360"/>
        <w:rPr>
          <w:sz w:val="20"/>
        </w:rPr>
      </w:pPr>
      <w:r w:rsidRPr="009A5F3F">
        <w:rPr>
          <w:i/>
          <w:sz w:val="20"/>
        </w:rPr>
        <w:t>K. Matthew Hoang v. Mann Engineering Ltd. et al.</w:t>
      </w:r>
      <w:r w:rsidRPr="009A5F3F">
        <w:rPr>
          <w:sz w:val="20"/>
        </w:rPr>
        <w:t xml:space="preserve"> (Ont.) (Civil) (By Leave)</w:t>
      </w:r>
      <w:r w:rsidR="00D63E1C">
        <w:rPr>
          <w:sz w:val="20"/>
        </w:rPr>
        <w:t xml:space="preserve"> </w:t>
      </w:r>
      <w:r w:rsidR="00D63E1C" w:rsidRPr="004F7CCB">
        <w:rPr>
          <w:sz w:val="20"/>
          <w:lang w:val="en-CA"/>
        </w:rPr>
        <w:t>(</w:t>
      </w:r>
      <w:hyperlink r:id="rId13" w:history="1">
        <w:r w:rsidR="00D63E1C" w:rsidRPr="004F7CCB">
          <w:rPr>
            <w:rStyle w:val="Hyperlink"/>
            <w:sz w:val="20"/>
            <w:szCs w:val="20"/>
            <w:lang w:val="en-CA"/>
          </w:rPr>
          <w:t>36</w:t>
        </w:r>
        <w:r w:rsidR="00D63E1C">
          <w:rPr>
            <w:rStyle w:val="Hyperlink"/>
            <w:sz w:val="20"/>
            <w:szCs w:val="20"/>
            <w:lang w:val="en-CA"/>
          </w:rPr>
          <w:t>935</w:t>
        </w:r>
      </w:hyperlink>
      <w:r w:rsidR="00D63E1C" w:rsidRPr="004F7CCB">
        <w:rPr>
          <w:sz w:val="20"/>
          <w:lang w:val="en-CA"/>
        </w:rPr>
        <w:t>)</w:t>
      </w:r>
    </w:p>
    <w:p w:rsidR="009A5F3F" w:rsidRPr="009A5F3F" w:rsidRDefault="009A5F3F" w:rsidP="009A5F3F">
      <w:pPr>
        <w:widowControl w:val="0"/>
        <w:autoSpaceDE w:val="0"/>
        <w:autoSpaceDN w:val="0"/>
        <w:adjustRightInd w:val="0"/>
        <w:ind w:left="360" w:hanging="360"/>
        <w:rPr>
          <w:rFonts w:eastAsiaTheme="minorEastAsia"/>
          <w:sz w:val="20"/>
          <w:lang w:val="en-CA" w:eastAsia="en-CA"/>
        </w:rPr>
      </w:pPr>
    </w:p>
    <w:p w:rsidR="00C80125" w:rsidRPr="00234B6A" w:rsidRDefault="00C80125" w:rsidP="00234B6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4B6A" w:rsidRPr="00234B6A" w:rsidTr="00E95A6A">
        <w:tc>
          <w:tcPr>
            <w:tcW w:w="543" w:type="pct"/>
          </w:tcPr>
          <w:p w:rsidR="00234B6A" w:rsidRPr="00234B6A" w:rsidRDefault="00234B6A" w:rsidP="00234B6A">
            <w:pPr>
              <w:jc w:val="both"/>
              <w:rPr>
                <w:sz w:val="20"/>
              </w:rPr>
            </w:pPr>
            <w:r w:rsidRPr="00234B6A">
              <w:rPr>
                <w:rStyle w:val="SCCFileNumberChar"/>
                <w:sz w:val="20"/>
                <w:szCs w:val="20"/>
              </w:rPr>
              <w:t>36890</w:t>
            </w:r>
          </w:p>
        </w:tc>
        <w:tc>
          <w:tcPr>
            <w:tcW w:w="4457" w:type="pct"/>
            <w:gridSpan w:val="3"/>
          </w:tcPr>
          <w:p w:rsidR="00234B6A" w:rsidRPr="00234B6A" w:rsidRDefault="00234B6A" w:rsidP="00234B6A">
            <w:pPr>
              <w:pStyle w:val="SCCLsocParty"/>
              <w:jc w:val="both"/>
              <w:rPr>
                <w:b/>
                <w:sz w:val="20"/>
                <w:szCs w:val="20"/>
              </w:rPr>
            </w:pPr>
            <w:r w:rsidRPr="00234B6A">
              <w:rPr>
                <w:b/>
                <w:sz w:val="20"/>
                <w:szCs w:val="20"/>
              </w:rPr>
              <w:t>Gerald Dyke v. Her Majesty the Queen</w:t>
            </w:r>
          </w:p>
          <w:p w:rsidR="00234B6A" w:rsidRPr="00234B6A" w:rsidRDefault="00234B6A" w:rsidP="00234B6A">
            <w:pPr>
              <w:jc w:val="both"/>
              <w:rPr>
                <w:sz w:val="20"/>
              </w:rPr>
            </w:pPr>
            <w:r w:rsidRPr="00234B6A">
              <w:rPr>
                <w:sz w:val="20"/>
              </w:rPr>
              <w:t>(Ont.) (Criminal) (By Leave)</w:t>
            </w:r>
          </w:p>
        </w:tc>
      </w:tr>
      <w:tr w:rsidR="00234B6A" w:rsidRPr="00234B6A" w:rsidTr="00E95A6A">
        <w:tc>
          <w:tcPr>
            <w:tcW w:w="5000" w:type="pct"/>
            <w:gridSpan w:val="4"/>
          </w:tcPr>
          <w:p w:rsidR="00234B6A" w:rsidRPr="00234B6A" w:rsidRDefault="00234B6A" w:rsidP="00234B6A">
            <w:pPr>
              <w:jc w:val="both"/>
              <w:rPr>
                <w:sz w:val="20"/>
              </w:rPr>
            </w:pPr>
            <w:r w:rsidRPr="00234B6A">
              <w:rPr>
                <w:sz w:val="20"/>
              </w:rPr>
              <w:t>Criminal law – Sentencing – Dangerous Offender – Who bears the onus of satisfying the court that there is no reasonable possibility of eventually controlling an offender's risk in the community on a dangerous offender application?</w:t>
            </w:r>
          </w:p>
        </w:tc>
      </w:tr>
      <w:tr w:rsidR="00234B6A" w:rsidRPr="00234B6A" w:rsidTr="00E95A6A">
        <w:tc>
          <w:tcPr>
            <w:tcW w:w="5000" w:type="pct"/>
            <w:gridSpan w:val="4"/>
          </w:tcPr>
          <w:p w:rsidR="00234B6A" w:rsidRPr="00234B6A" w:rsidRDefault="00234B6A" w:rsidP="00234B6A">
            <w:pPr>
              <w:jc w:val="both"/>
              <w:rPr>
                <w:sz w:val="20"/>
              </w:rPr>
            </w:pPr>
          </w:p>
        </w:tc>
      </w:tr>
      <w:tr w:rsidR="00234B6A" w:rsidRPr="00234B6A" w:rsidTr="00E95A6A">
        <w:tc>
          <w:tcPr>
            <w:tcW w:w="5000" w:type="pct"/>
            <w:gridSpan w:val="4"/>
          </w:tcPr>
          <w:p w:rsidR="00234B6A" w:rsidRPr="00234B6A" w:rsidRDefault="00234B6A" w:rsidP="00234B6A">
            <w:pPr>
              <w:jc w:val="both"/>
              <w:rPr>
                <w:sz w:val="20"/>
              </w:rPr>
            </w:pPr>
            <w:r w:rsidRPr="00234B6A">
              <w:rPr>
                <w:sz w:val="20"/>
              </w:rPr>
              <w:t xml:space="preserve">The applicant has a lengthy criminal record involving domestic violence. A jury found the applicant guilty of unlawful confinement and assault causing bodily harm against his girlfriend. The Crown brought an application to </w:t>
            </w:r>
            <w:r w:rsidRPr="00234B6A">
              <w:rPr>
                <w:sz w:val="20"/>
              </w:rPr>
              <w:lastRenderedPageBreak/>
              <w:t>have the applicant declared a dangerous offender. At his sentencing hearing, the trial judge found that the statutory criteria were met and the applicant was declared a dangerous offender. The Court of Appeal dismissed the sentence appeal.</w:t>
            </w:r>
          </w:p>
          <w:p w:rsidR="00234B6A" w:rsidRPr="00234B6A" w:rsidRDefault="00234B6A" w:rsidP="00234B6A">
            <w:pPr>
              <w:jc w:val="both"/>
              <w:rPr>
                <w:sz w:val="20"/>
              </w:rPr>
            </w:pPr>
          </w:p>
        </w:tc>
      </w:tr>
      <w:tr w:rsidR="00234B6A" w:rsidRPr="00234B6A" w:rsidTr="00E95A6A">
        <w:tc>
          <w:tcPr>
            <w:tcW w:w="2427" w:type="pct"/>
            <w:gridSpan w:val="2"/>
          </w:tcPr>
          <w:p w:rsidR="00234B6A" w:rsidRPr="00234B6A" w:rsidRDefault="00234B6A" w:rsidP="00234B6A">
            <w:pPr>
              <w:jc w:val="both"/>
              <w:rPr>
                <w:sz w:val="20"/>
              </w:rPr>
            </w:pPr>
            <w:r w:rsidRPr="00234B6A">
              <w:rPr>
                <w:sz w:val="20"/>
              </w:rPr>
              <w:lastRenderedPageBreak/>
              <w:t>January 28, 2011</w:t>
            </w:r>
          </w:p>
          <w:p w:rsidR="00234B6A" w:rsidRPr="00234B6A" w:rsidRDefault="00234B6A" w:rsidP="00234B6A">
            <w:pPr>
              <w:jc w:val="both"/>
              <w:rPr>
                <w:sz w:val="20"/>
              </w:rPr>
            </w:pPr>
            <w:r w:rsidRPr="00234B6A">
              <w:rPr>
                <w:sz w:val="20"/>
              </w:rPr>
              <w:t>Ontario Superior Court of Justice</w:t>
            </w:r>
          </w:p>
          <w:p w:rsidR="00234B6A" w:rsidRPr="00234B6A" w:rsidRDefault="00234B6A" w:rsidP="00234B6A">
            <w:pPr>
              <w:jc w:val="both"/>
              <w:rPr>
                <w:sz w:val="20"/>
              </w:rPr>
            </w:pPr>
            <w:r w:rsidRPr="00234B6A">
              <w:rPr>
                <w:sz w:val="20"/>
              </w:rPr>
              <w:t>(Taylor J.)</w:t>
            </w:r>
          </w:p>
          <w:p w:rsidR="00234B6A" w:rsidRPr="00234B6A" w:rsidRDefault="00234B6A" w:rsidP="00234B6A">
            <w:pPr>
              <w:jc w:val="both"/>
              <w:rPr>
                <w:sz w:val="20"/>
              </w:rPr>
            </w:pPr>
          </w:p>
        </w:tc>
        <w:tc>
          <w:tcPr>
            <w:tcW w:w="243" w:type="pct"/>
          </w:tcPr>
          <w:p w:rsidR="00234B6A" w:rsidRPr="00234B6A" w:rsidRDefault="00234B6A" w:rsidP="00234B6A">
            <w:pPr>
              <w:jc w:val="both"/>
              <w:rPr>
                <w:sz w:val="20"/>
              </w:rPr>
            </w:pPr>
          </w:p>
        </w:tc>
        <w:tc>
          <w:tcPr>
            <w:tcW w:w="2330" w:type="pct"/>
          </w:tcPr>
          <w:p w:rsidR="00234B6A" w:rsidRPr="00234B6A" w:rsidRDefault="00234B6A" w:rsidP="00234B6A">
            <w:pPr>
              <w:jc w:val="both"/>
              <w:rPr>
                <w:sz w:val="20"/>
              </w:rPr>
            </w:pPr>
            <w:r w:rsidRPr="00234B6A">
              <w:rPr>
                <w:sz w:val="20"/>
              </w:rPr>
              <w:t>Applicant declared a dangerous offender</w:t>
            </w:r>
          </w:p>
          <w:p w:rsidR="00234B6A" w:rsidRPr="00234B6A" w:rsidRDefault="00234B6A" w:rsidP="00234B6A">
            <w:pPr>
              <w:jc w:val="both"/>
              <w:rPr>
                <w:sz w:val="20"/>
              </w:rPr>
            </w:pPr>
          </w:p>
          <w:p w:rsidR="00234B6A" w:rsidRPr="00234B6A" w:rsidRDefault="00234B6A" w:rsidP="00234B6A">
            <w:pPr>
              <w:jc w:val="both"/>
              <w:rPr>
                <w:sz w:val="20"/>
              </w:rPr>
            </w:pPr>
          </w:p>
        </w:tc>
      </w:tr>
      <w:tr w:rsidR="00234B6A" w:rsidRPr="00234B6A" w:rsidTr="00E95A6A">
        <w:tc>
          <w:tcPr>
            <w:tcW w:w="2427" w:type="pct"/>
            <w:gridSpan w:val="2"/>
          </w:tcPr>
          <w:p w:rsidR="00234B6A" w:rsidRPr="00234B6A" w:rsidRDefault="00234B6A" w:rsidP="00234B6A">
            <w:pPr>
              <w:jc w:val="both"/>
              <w:rPr>
                <w:sz w:val="20"/>
              </w:rPr>
            </w:pPr>
            <w:r w:rsidRPr="00234B6A">
              <w:rPr>
                <w:sz w:val="20"/>
              </w:rPr>
              <w:t>January 30, 2015</w:t>
            </w:r>
          </w:p>
          <w:p w:rsidR="00234B6A" w:rsidRPr="00234B6A" w:rsidRDefault="00234B6A" w:rsidP="00234B6A">
            <w:pPr>
              <w:jc w:val="both"/>
              <w:rPr>
                <w:sz w:val="20"/>
              </w:rPr>
            </w:pPr>
            <w:r w:rsidRPr="00234B6A">
              <w:rPr>
                <w:sz w:val="20"/>
              </w:rPr>
              <w:t>Court of Appeal for Ontario</w:t>
            </w:r>
          </w:p>
          <w:p w:rsidR="00234B6A" w:rsidRPr="00234B6A" w:rsidRDefault="00234B6A" w:rsidP="00234B6A">
            <w:pPr>
              <w:jc w:val="both"/>
              <w:rPr>
                <w:sz w:val="20"/>
              </w:rPr>
            </w:pPr>
            <w:r w:rsidRPr="00234B6A">
              <w:rPr>
                <w:sz w:val="20"/>
              </w:rPr>
              <w:t>(Watt, Pepall, Huscroft JJ.A.)</w:t>
            </w:r>
          </w:p>
          <w:p w:rsidR="00234B6A" w:rsidRPr="00234B6A" w:rsidRDefault="00234B6A" w:rsidP="00234B6A">
            <w:pPr>
              <w:jc w:val="both"/>
              <w:rPr>
                <w:sz w:val="20"/>
              </w:rPr>
            </w:pPr>
            <w:r w:rsidRPr="00234B6A">
              <w:rPr>
                <w:sz w:val="20"/>
              </w:rPr>
              <w:t>2015 ONCA 120; C53998</w:t>
            </w:r>
          </w:p>
          <w:p w:rsidR="00234B6A" w:rsidRPr="00234B6A" w:rsidRDefault="003423AB" w:rsidP="00234B6A">
            <w:pPr>
              <w:jc w:val="both"/>
              <w:rPr>
                <w:rStyle w:val="documentstaticurl"/>
                <w:color w:val="0000FF" w:themeColor="hyperlink"/>
                <w:sz w:val="20"/>
                <w:u w:val="single"/>
              </w:rPr>
            </w:pPr>
            <w:hyperlink r:id="rId14" w:history="1">
              <w:r w:rsidR="00234B6A" w:rsidRPr="00234B6A">
                <w:rPr>
                  <w:rStyle w:val="Hyperlink"/>
                  <w:sz w:val="20"/>
                </w:rPr>
                <w:t>http://canlii.ca/t/ggdgz</w:t>
              </w:r>
            </w:hyperlink>
          </w:p>
          <w:p w:rsidR="00234B6A" w:rsidRPr="00234B6A" w:rsidRDefault="00234B6A" w:rsidP="00234B6A">
            <w:pPr>
              <w:jc w:val="both"/>
              <w:rPr>
                <w:sz w:val="20"/>
              </w:rPr>
            </w:pPr>
          </w:p>
        </w:tc>
        <w:tc>
          <w:tcPr>
            <w:tcW w:w="243" w:type="pct"/>
          </w:tcPr>
          <w:p w:rsidR="00234B6A" w:rsidRPr="00234B6A" w:rsidRDefault="00234B6A" w:rsidP="00234B6A">
            <w:pPr>
              <w:jc w:val="both"/>
              <w:rPr>
                <w:sz w:val="20"/>
              </w:rPr>
            </w:pPr>
          </w:p>
        </w:tc>
        <w:tc>
          <w:tcPr>
            <w:tcW w:w="2330" w:type="pct"/>
          </w:tcPr>
          <w:p w:rsidR="00234B6A" w:rsidRPr="00234B6A" w:rsidRDefault="00234B6A" w:rsidP="00234B6A">
            <w:pPr>
              <w:jc w:val="both"/>
              <w:rPr>
                <w:sz w:val="20"/>
              </w:rPr>
            </w:pPr>
            <w:r w:rsidRPr="00234B6A">
              <w:rPr>
                <w:sz w:val="20"/>
              </w:rPr>
              <w:t>Appeal dismissed</w:t>
            </w:r>
          </w:p>
          <w:p w:rsidR="00234B6A" w:rsidRPr="00234B6A" w:rsidRDefault="00234B6A" w:rsidP="00234B6A">
            <w:pPr>
              <w:jc w:val="both"/>
              <w:rPr>
                <w:sz w:val="20"/>
              </w:rPr>
            </w:pPr>
          </w:p>
          <w:p w:rsidR="00234B6A" w:rsidRPr="00234B6A" w:rsidRDefault="00234B6A" w:rsidP="00234B6A">
            <w:pPr>
              <w:jc w:val="both"/>
              <w:rPr>
                <w:sz w:val="20"/>
              </w:rPr>
            </w:pPr>
          </w:p>
        </w:tc>
      </w:tr>
      <w:tr w:rsidR="00234B6A" w:rsidRPr="00234B6A" w:rsidTr="00E95A6A">
        <w:tc>
          <w:tcPr>
            <w:tcW w:w="2427" w:type="pct"/>
            <w:gridSpan w:val="2"/>
          </w:tcPr>
          <w:p w:rsidR="00234B6A" w:rsidRPr="00234B6A" w:rsidRDefault="00234B6A" w:rsidP="00234B6A">
            <w:pPr>
              <w:jc w:val="both"/>
              <w:rPr>
                <w:sz w:val="20"/>
              </w:rPr>
            </w:pPr>
            <w:r w:rsidRPr="00234B6A">
              <w:rPr>
                <w:sz w:val="20"/>
              </w:rPr>
              <w:t>March 11, 2016</w:t>
            </w:r>
          </w:p>
          <w:p w:rsidR="00234B6A" w:rsidRPr="00234B6A" w:rsidRDefault="00234B6A" w:rsidP="00234B6A">
            <w:pPr>
              <w:jc w:val="both"/>
              <w:rPr>
                <w:sz w:val="20"/>
              </w:rPr>
            </w:pPr>
            <w:r w:rsidRPr="00234B6A">
              <w:rPr>
                <w:sz w:val="20"/>
              </w:rPr>
              <w:t>Supreme Court of Canada</w:t>
            </w:r>
          </w:p>
        </w:tc>
        <w:tc>
          <w:tcPr>
            <w:tcW w:w="243" w:type="pct"/>
          </w:tcPr>
          <w:p w:rsidR="00234B6A" w:rsidRPr="00234B6A" w:rsidRDefault="00234B6A" w:rsidP="00234B6A">
            <w:pPr>
              <w:jc w:val="both"/>
              <w:rPr>
                <w:sz w:val="20"/>
              </w:rPr>
            </w:pPr>
          </w:p>
        </w:tc>
        <w:tc>
          <w:tcPr>
            <w:tcW w:w="2330" w:type="pct"/>
          </w:tcPr>
          <w:p w:rsidR="00234B6A" w:rsidRPr="00234B6A" w:rsidRDefault="00234B6A" w:rsidP="00234B6A">
            <w:pPr>
              <w:jc w:val="both"/>
              <w:rPr>
                <w:sz w:val="20"/>
              </w:rPr>
            </w:pPr>
            <w:r w:rsidRPr="00234B6A">
              <w:rPr>
                <w:sz w:val="20"/>
              </w:rPr>
              <w:t>Motion for an extension of time to serve and file the application for leave to appeal and application for leave to appeal filed</w:t>
            </w:r>
          </w:p>
        </w:tc>
      </w:tr>
    </w:tbl>
    <w:p w:rsidR="00234B6A" w:rsidRDefault="00234B6A" w:rsidP="00234B6A">
      <w:pPr>
        <w:jc w:val="both"/>
        <w:rPr>
          <w:sz w:val="20"/>
        </w:rPr>
      </w:pPr>
    </w:p>
    <w:p w:rsidR="00234B6A" w:rsidRPr="00234B6A" w:rsidRDefault="00234B6A" w:rsidP="00234B6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4B6A" w:rsidRPr="00234B6A" w:rsidTr="00E95A6A">
        <w:tc>
          <w:tcPr>
            <w:tcW w:w="543" w:type="pct"/>
          </w:tcPr>
          <w:p w:rsidR="00234B6A" w:rsidRPr="00234B6A" w:rsidRDefault="00234B6A" w:rsidP="00234B6A">
            <w:pPr>
              <w:jc w:val="both"/>
              <w:rPr>
                <w:sz w:val="20"/>
                <w:lang w:val="fr-CA"/>
              </w:rPr>
            </w:pPr>
            <w:r w:rsidRPr="00234B6A">
              <w:rPr>
                <w:rStyle w:val="SCCFileNumberChar"/>
                <w:sz w:val="20"/>
                <w:szCs w:val="20"/>
                <w:lang w:val="fr-CA"/>
              </w:rPr>
              <w:t>36890</w:t>
            </w:r>
          </w:p>
        </w:tc>
        <w:tc>
          <w:tcPr>
            <w:tcW w:w="4457" w:type="pct"/>
            <w:gridSpan w:val="3"/>
          </w:tcPr>
          <w:p w:rsidR="00234B6A" w:rsidRPr="00234B6A" w:rsidRDefault="00234B6A" w:rsidP="00234B6A">
            <w:pPr>
              <w:pStyle w:val="SCCLsocParty"/>
              <w:jc w:val="both"/>
              <w:rPr>
                <w:b/>
                <w:sz w:val="20"/>
                <w:szCs w:val="20"/>
              </w:rPr>
            </w:pPr>
            <w:r w:rsidRPr="00234B6A">
              <w:rPr>
                <w:b/>
                <w:sz w:val="20"/>
                <w:szCs w:val="20"/>
              </w:rPr>
              <w:t>Gerald Dyke c. Sa Majesté la Reine</w:t>
            </w:r>
          </w:p>
          <w:p w:rsidR="00234B6A" w:rsidRPr="00234B6A" w:rsidRDefault="00234B6A" w:rsidP="00234B6A">
            <w:pPr>
              <w:jc w:val="both"/>
              <w:rPr>
                <w:sz w:val="20"/>
                <w:lang w:val="fr-CA"/>
              </w:rPr>
            </w:pPr>
            <w:r w:rsidRPr="00234B6A">
              <w:rPr>
                <w:sz w:val="20"/>
                <w:lang w:val="fr-CA"/>
              </w:rPr>
              <w:t>(Ont.) (Criminelle) (Sur autorisation)</w:t>
            </w:r>
          </w:p>
        </w:tc>
      </w:tr>
      <w:tr w:rsidR="00234B6A" w:rsidRPr="00234B6A" w:rsidTr="00E95A6A">
        <w:tc>
          <w:tcPr>
            <w:tcW w:w="5000" w:type="pct"/>
            <w:gridSpan w:val="4"/>
          </w:tcPr>
          <w:p w:rsidR="00234B6A" w:rsidRPr="00234B6A" w:rsidRDefault="00234B6A" w:rsidP="00234B6A">
            <w:pPr>
              <w:jc w:val="both"/>
              <w:rPr>
                <w:sz w:val="20"/>
                <w:lang w:val="fr-CA"/>
              </w:rPr>
            </w:pPr>
            <w:r w:rsidRPr="00234B6A">
              <w:rPr>
                <w:sz w:val="20"/>
                <w:lang w:val="fr-CA"/>
              </w:rPr>
              <w:t>Droit criminel – Détermination de la peine – Délinquant dangereux – Qui a le fardeau de convaincre le tribunal qu’il n’existe aucune possibilité réelle que le risque que pose le délinquant puisse être maîtrisé au sein de la collectivité dans une demande de déclaration de délinquant dangereux?</w:t>
            </w:r>
          </w:p>
        </w:tc>
      </w:tr>
      <w:tr w:rsidR="00234B6A" w:rsidRPr="00234B6A" w:rsidTr="00E95A6A">
        <w:tc>
          <w:tcPr>
            <w:tcW w:w="5000" w:type="pct"/>
            <w:gridSpan w:val="4"/>
          </w:tcPr>
          <w:p w:rsidR="00234B6A" w:rsidRPr="00234B6A" w:rsidRDefault="00234B6A" w:rsidP="00234B6A">
            <w:pPr>
              <w:jc w:val="both"/>
              <w:rPr>
                <w:sz w:val="20"/>
                <w:lang w:val="fr-CA"/>
              </w:rPr>
            </w:pPr>
          </w:p>
        </w:tc>
      </w:tr>
      <w:tr w:rsidR="00234B6A" w:rsidRPr="00234B6A" w:rsidTr="00E95A6A">
        <w:tc>
          <w:tcPr>
            <w:tcW w:w="5000" w:type="pct"/>
            <w:gridSpan w:val="4"/>
          </w:tcPr>
          <w:p w:rsidR="00234B6A" w:rsidRPr="00234B6A" w:rsidRDefault="00234B6A" w:rsidP="00234B6A">
            <w:pPr>
              <w:jc w:val="both"/>
              <w:rPr>
                <w:sz w:val="20"/>
                <w:lang w:val="fr-CA"/>
              </w:rPr>
            </w:pPr>
            <w:r w:rsidRPr="00234B6A">
              <w:rPr>
                <w:sz w:val="20"/>
                <w:lang w:val="fr-CA"/>
              </w:rPr>
              <w:t>Le demandeur a un lourd casier judiciaire en lien avec la violence conjugale. Un jury a déclaré le demandeur coupable de séquestration et de voies de fait causant des lésions corporelles à l’endroit de sa petite amie. Le ministère public a présenté une demande en vue de faire déclarer le demandeur délinquant dangereux. À l’audience de détermination de la peine, le juge du procès a conclu que les critères de la loi avaient été satisfaits et il a déclaré le demandeur délinquant dangereux. La Cour d’appel a rejeté l’appel de la peine.</w:t>
            </w:r>
          </w:p>
          <w:p w:rsidR="00234B6A" w:rsidRPr="00234B6A" w:rsidRDefault="00234B6A" w:rsidP="00234B6A">
            <w:pPr>
              <w:jc w:val="both"/>
              <w:rPr>
                <w:sz w:val="20"/>
                <w:lang w:val="fr-CA"/>
              </w:rPr>
            </w:pPr>
          </w:p>
        </w:tc>
      </w:tr>
      <w:tr w:rsidR="00234B6A" w:rsidRPr="00234B6A" w:rsidTr="00E95A6A">
        <w:tc>
          <w:tcPr>
            <w:tcW w:w="2427" w:type="pct"/>
            <w:gridSpan w:val="2"/>
          </w:tcPr>
          <w:p w:rsidR="00234B6A" w:rsidRPr="00234B6A" w:rsidRDefault="00234B6A" w:rsidP="00234B6A">
            <w:pPr>
              <w:jc w:val="both"/>
              <w:rPr>
                <w:sz w:val="20"/>
                <w:lang w:val="fr-CA"/>
              </w:rPr>
            </w:pPr>
            <w:r w:rsidRPr="00234B6A">
              <w:rPr>
                <w:sz w:val="20"/>
                <w:lang w:val="fr-CA"/>
              </w:rPr>
              <w:t>28 janvier 2011</w:t>
            </w:r>
          </w:p>
          <w:p w:rsidR="00234B6A" w:rsidRPr="00234B6A" w:rsidRDefault="00234B6A" w:rsidP="00234B6A">
            <w:pPr>
              <w:jc w:val="both"/>
              <w:rPr>
                <w:sz w:val="20"/>
                <w:lang w:val="fr-CA"/>
              </w:rPr>
            </w:pPr>
            <w:r w:rsidRPr="00234B6A">
              <w:rPr>
                <w:sz w:val="20"/>
                <w:lang w:val="fr-CA"/>
              </w:rPr>
              <w:t xml:space="preserve">Cour supérieure de justice de l’Ontario </w:t>
            </w:r>
          </w:p>
          <w:p w:rsidR="00234B6A" w:rsidRPr="00234B6A" w:rsidRDefault="00234B6A" w:rsidP="00234B6A">
            <w:pPr>
              <w:jc w:val="both"/>
              <w:rPr>
                <w:sz w:val="20"/>
                <w:lang w:val="fr-CA"/>
              </w:rPr>
            </w:pPr>
            <w:r w:rsidRPr="00234B6A">
              <w:rPr>
                <w:sz w:val="20"/>
                <w:lang w:val="fr-CA"/>
              </w:rPr>
              <w:t>(Juge Taylor)</w:t>
            </w:r>
          </w:p>
          <w:p w:rsidR="00234B6A" w:rsidRPr="00234B6A" w:rsidRDefault="00234B6A" w:rsidP="00234B6A">
            <w:pPr>
              <w:jc w:val="both"/>
              <w:rPr>
                <w:sz w:val="20"/>
                <w:lang w:val="fr-CA"/>
              </w:rPr>
            </w:pPr>
          </w:p>
        </w:tc>
        <w:tc>
          <w:tcPr>
            <w:tcW w:w="243" w:type="pct"/>
          </w:tcPr>
          <w:p w:rsidR="00234B6A" w:rsidRPr="00234B6A" w:rsidRDefault="00234B6A" w:rsidP="00234B6A">
            <w:pPr>
              <w:jc w:val="both"/>
              <w:rPr>
                <w:sz w:val="20"/>
                <w:lang w:val="fr-CA"/>
              </w:rPr>
            </w:pPr>
          </w:p>
        </w:tc>
        <w:tc>
          <w:tcPr>
            <w:tcW w:w="2330" w:type="pct"/>
          </w:tcPr>
          <w:p w:rsidR="00234B6A" w:rsidRPr="00234B6A" w:rsidRDefault="00234B6A" w:rsidP="00234B6A">
            <w:pPr>
              <w:jc w:val="both"/>
              <w:rPr>
                <w:sz w:val="20"/>
                <w:lang w:val="fr-CA"/>
              </w:rPr>
            </w:pPr>
            <w:r w:rsidRPr="00234B6A">
              <w:rPr>
                <w:sz w:val="20"/>
                <w:lang w:val="fr-CA"/>
              </w:rPr>
              <w:t>Jugement déclarant le demandeur délinquant dangereux</w:t>
            </w:r>
          </w:p>
          <w:p w:rsidR="00234B6A" w:rsidRPr="00234B6A" w:rsidRDefault="00234B6A" w:rsidP="00234B6A">
            <w:pPr>
              <w:jc w:val="both"/>
              <w:rPr>
                <w:sz w:val="20"/>
                <w:lang w:val="fr-CA"/>
              </w:rPr>
            </w:pPr>
          </w:p>
        </w:tc>
      </w:tr>
      <w:tr w:rsidR="00234B6A" w:rsidRPr="00234B6A" w:rsidTr="00E95A6A">
        <w:tc>
          <w:tcPr>
            <w:tcW w:w="2427" w:type="pct"/>
            <w:gridSpan w:val="2"/>
          </w:tcPr>
          <w:p w:rsidR="00234B6A" w:rsidRPr="00234B6A" w:rsidRDefault="00234B6A" w:rsidP="00234B6A">
            <w:pPr>
              <w:jc w:val="both"/>
              <w:rPr>
                <w:sz w:val="20"/>
                <w:lang w:val="fr-CA"/>
              </w:rPr>
            </w:pPr>
            <w:r w:rsidRPr="00234B6A">
              <w:rPr>
                <w:sz w:val="20"/>
                <w:lang w:val="fr-CA"/>
              </w:rPr>
              <w:t>30 janvier 2015</w:t>
            </w:r>
          </w:p>
          <w:p w:rsidR="00234B6A" w:rsidRPr="00234B6A" w:rsidRDefault="00234B6A" w:rsidP="00234B6A">
            <w:pPr>
              <w:jc w:val="both"/>
              <w:rPr>
                <w:sz w:val="20"/>
                <w:lang w:val="fr-CA"/>
              </w:rPr>
            </w:pPr>
            <w:r w:rsidRPr="00234B6A">
              <w:rPr>
                <w:sz w:val="20"/>
                <w:lang w:val="fr-CA"/>
              </w:rPr>
              <w:t xml:space="preserve">Cour d’appel de l’Ontario </w:t>
            </w:r>
          </w:p>
          <w:p w:rsidR="00234B6A" w:rsidRPr="00234B6A" w:rsidRDefault="00234B6A" w:rsidP="00234B6A">
            <w:pPr>
              <w:jc w:val="both"/>
              <w:rPr>
                <w:sz w:val="20"/>
                <w:lang w:val="fr-CA"/>
              </w:rPr>
            </w:pPr>
            <w:r w:rsidRPr="00234B6A">
              <w:rPr>
                <w:sz w:val="20"/>
                <w:lang w:val="fr-CA"/>
              </w:rPr>
              <w:t>(Juges Watt, Pepall et Huscroft)</w:t>
            </w:r>
          </w:p>
          <w:p w:rsidR="00234B6A" w:rsidRPr="00234B6A" w:rsidRDefault="00234B6A" w:rsidP="00234B6A">
            <w:pPr>
              <w:jc w:val="both"/>
              <w:rPr>
                <w:sz w:val="20"/>
              </w:rPr>
            </w:pPr>
            <w:r w:rsidRPr="00234B6A">
              <w:rPr>
                <w:sz w:val="20"/>
              </w:rPr>
              <w:t>2015 ONCA 120; C53998</w:t>
            </w:r>
          </w:p>
          <w:p w:rsidR="00234B6A" w:rsidRPr="00234B6A" w:rsidRDefault="003423AB" w:rsidP="00234B6A">
            <w:pPr>
              <w:jc w:val="both"/>
              <w:rPr>
                <w:rStyle w:val="documentstaticurl"/>
                <w:color w:val="0000FF" w:themeColor="hyperlink"/>
                <w:sz w:val="20"/>
                <w:u w:val="single"/>
              </w:rPr>
            </w:pPr>
            <w:hyperlink r:id="rId15" w:history="1">
              <w:r w:rsidR="00234B6A" w:rsidRPr="00234B6A">
                <w:rPr>
                  <w:rStyle w:val="Hyperlink"/>
                  <w:sz w:val="20"/>
                </w:rPr>
                <w:t>http://canlii.ca/t/ggdgz</w:t>
              </w:r>
            </w:hyperlink>
          </w:p>
          <w:p w:rsidR="00234B6A" w:rsidRPr="00234B6A" w:rsidRDefault="00234B6A" w:rsidP="00234B6A">
            <w:pPr>
              <w:jc w:val="both"/>
              <w:rPr>
                <w:sz w:val="20"/>
              </w:rPr>
            </w:pPr>
          </w:p>
        </w:tc>
        <w:tc>
          <w:tcPr>
            <w:tcW w:w="243" w:type="pct"/>
          </w:tcPr>
          <w:p w:rsidR="00234B6A" w:rsidRPr="00234B6A" w:rsidRDefault="00234B6A" w:rsidP="00234B6A">
            <w:pPr>
              <w:jc w:val="both"/>
              <w:rPr>
                <w:sz w:val="20"/>
              </w:rPr>
            </w:pPr>
          </w:p>
        </w:tc>
        <w:tc>
          <w:tcPr>
            <w:tcW w:w="2330" w:type="pct"/>
          </w:tcPr>
          <w:p w:rsidR="00234B6A" w:rsidRPr="00234B6A" w:rsidRDefault="00234B6A" w:rsidP="00234B6A">
            <w:pPr>
              <w:jc w:val="both"/>
              <w:rPr>
                <w:sz w:val="20"/>
                <w:lang w:val="fr-CA"/>
              </w:rPr>
            </w:pPr>
            <w:r w:rsidRPr="00234B6A">
              <w:rPr>
                <w:sz w:val="20"/>
                <w:lang w:val="fr-CA"/>
              </w:rPr>
              <w:t>Rejet de l’appel</w:t>
            </w:r>
          </w:p>
          <w:p w:rsidR="00234B6A" w:rsidRPr="00234B6A" w:rsidRDefault="00234B6A" w:rsidP="00234B6A">
            <w:pPr>
              <w:jc w:val="both"/>
              <w:rPr>
                <w:sz w:val="20"/>
                <w:lang w:val="fr-CA"/>
              </w:rPr>
            </w:pPr>
          </w:p>
        </w:tc>
      </w:tr>
      <w:tr w:rsidR="00234B6A" w:rsidRPr="00234B6A" w:rsidTr="00E95A6A">
        <w:tc>
          <w:tcPr>
            <w:tcW w:w="2427" w:type="pct"/>
            <w:gridSpan w:val="2"/>
          </w:tcPr>
          <w:p w:rsidR="00234B6A" w:rsidRPr="00234B6A" w:rsidRDefault="00234B6A" w:rsidP="00234B6A">
            <w:pPr>
              <w:jc w:val="both"/>
              <w:rPr>
                <w:sz w:val="20"/>
                <w:lang w:val="fr-CA"/>
              </w:rPr>
            </w:pPr>
            <w:r w:rsidRPr="00234B6A">
              <w:rPr>
                <w:sz w:val="20"/>
                <w:lang w:val="fr-CA"/>
              </w:rPr>
              <w:t>11 mars 2016</w:t>
            </w:r>
          </w:p>
          <w:p w:rsidR="00234B6A" w:rsidRPr="00234B6A" w:rsidRDefault="00234B6A" w:rsidP="00234B6A">
            <w:pPr>
              <w:jc w:val="both"/>
              <w:rPr>
                <w:sz w:val="20"/>
                <w:lang w:val="fr-CA"/>
              </w:rPr>
            </w:pPr>
            <w:r w:rsidRPr="00234B6A">
              <w:rPr>
                <w:sz w:val="20"/>
                <w:lang w:val="fr-CA"/>
              </w:rPr>
              <w:t>Cour suprême du Canada</w:t>
            </w:r>
          </w:p>
        </w:tc>
        <w:tc>
          <w:tcPr>
            <w:tcW w:w="243" w:type="pct"/>
          </w:tcPr>
          <w:p w:rsidR="00234B6A" w:rsidRPr="00234B6A" w:rsidRDefault="00234B6A" w:rsidP="00234B6A">
            <w:pPr>
              <w:jc w:val="both"/>
              <w:rPr>
                <w:sz w:val="20"/>
                <w:lang w:val="fr-CA"/>
              </w:rPr>
            </w:pPr>
          </w:p>
        </w:tc>
        <w:tc>
          <w:tcPr>
            <w:tcW w:w="2330" w:type="pct"/>
          </w:tcPr>
          <w:p w:rsidR="00234B6A" w:rsidRPr="00234B6A" w:rsidRDefault="00234B6A" w:rsidP="00234B6A">
            <w:pPr>
              <w:jc w:val="both"/>
              <w:rPr>
                <w:sz w:val="20"/>
                <w:lang w:val="fr-CA"/>
              </w:rPr>
            </w:pPr>
            <w:r w:rsidRPr="00234B6A">
              <w:rPr>
                <w:sz w:val="20"/>
                <w:lang w:val="fr-CA"/>
              </w:rPr>
              <w:t xml:space="preserve">Dépôt de la requête en prorogation du délai de signification et de dépôt de la demande d’autorisation d’appel et de la demande d’autorisation d’appel </w:t>
            </w:r>
          </w:p>
        </w:tc>
      </w:tr>
    </w:tbl>
    <w:p w:rsidR="00234B6A" w:rsidRPr="0001173F" w:rsidRDefault="00234B6A" w:rsidP="0001173F">
      <w:pPr>
        <w:jc w:val="both"/>
        <w:rPr>
          <w:sz w:val="20"/>
          <w:lang w:val="fr-CA"/>
        </w:rPr>
      </w:pPr>
    </w:p>
    <w:p w:rsidR="00821634" w:rsidRPr="0001173F" w:rsidRDefault="00821634" w:rsidP="0001173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173F" w:rsidRPr="0001173F" w:rsidTr="00E95A6A">
        <w:tc>
          <w:tcPr>
            <w:tcW w:w="543" w:type="pct"/>
          </w:tcPr>
          <w:p w:rsidR="0001173F" w:rsidRPr="0001173F" w:rsidRDefault="0001173F" w:rsidP="0001173F">
            <w:pPr>
              <w:jc w:val="both"/>
              <w:rPr>
                <w:sz w:val="20"/>
                <w:lang w:val="en-CA"/>
              </w:rPr>
            </w:pPr>
            <w:r w:rsidRPr="0001173F">
              <w:rPr>
                <w:rStyle w:val="SCCFileNumberChar"/>
                <w:sz w:val="20"/>
                <w:szCs w:val="20"/>
              </w:rPr>
              <w:t>36856</w:t>
            </w:r>
          </w:p>
        </w:tc>
        <w:tc>
          <w:tcPr>
            <w:tcW w:w="4457" w:type="pct"/>
            <w:gridSpan w:val="3"/>
          </w:tcPr>
          <w:p w:rsidR="0001173F" w:rsidRPr="0001173F" w:rsidRDefault="0001173F" w:rsidP="0001173F">
            <w:pPr>
              <w:pStyle w:val="SCCLsocParty"/>
              <w:jc w:val="both"/>
              <w:rPr>
                <w:b/>
                <w:sz w:val="20"/>
                <w:szCs w:val="20"/>
                <w:lang w:val="en-CA"/>
              </w:rPr>
            </w:pPr>
            <w:r w:rsidRPr="0001173F">
              <w:rPr>
                <w:b/>
                <w:sz w:val="20"/>
                <w:szCs w:val="20"/>
                <w:lang w:val="en-CA"/>
              </w:rPr>
              <w:t>Mohamed Balikwisha Patanguli v. Deputy Head (Department of Citizenship and Immigration)</w:t>
            </w:r>
          </w:p>
          <w:p w:rsidR="0001173F" w:rsidRPr="0001173F" w:rsidRDefault="0001173F" w:rsidP="0001173F">
            <w:pPr>
              <w:jc w:val="both"/>
              <w:rPr>
                <w:sz w:val="20"/>
                <w:lang w:val="en-CA"/>
              </w:rPr>
            </w:pPr>
            <w:r w:rsidRPr="0001173F">
              <w:rPr>
                <w:sz w:val="20"/>
                <w:lang w:val="en-CA"/>
              </w:rPr>
              <w:t>(FC) (Civil) (By Leave)</w:t>
            </w:r>
          </w:p>
        </w:tc>
      </w:tr>
      <w:tr w:rsidR="0001173F" w:rsidRPr="0001173F" w:rsidTr="00E95A6A">
        <w:tc>
          <w:tcPr>
            <w:tcW w:w="5000" w:type="pct"/>
            <w:gridSpan w:val="4"/>
          </w:tcPr>
          <w:p w:rsidR="0001173F" w:rsidRPr="0001173F" w:rsidRDefault="0001173F" w:rsidP="0001173F">
            <w:pPr>
              <w:jc w:val="both"/>
              <w:rPr>
                <w:sz w:val="20"/>
                <w:lang w:val="en-CA"/>
              </w:rPr>
            </w:pPr>
            <w:r w:rsidRPr="0001173F">
              <w:rPr>
                <w:sz w:val="20"/>
                <w:lang w:val="en-CA"/>
              </w:rPr>
              <w:t xml:space="preserve">Public service – Labour relations – Grievance – Judicial review – Standard of review – Appeal – Leave to appeal – Public servant dismissed for cheating during hiring process – Public Service Labour Relations Board dismissing </w:t>
            </w:r>
            <w:r w:rsidRPr="0001173F">
              <w:rPr>
                <w:sz w:val="20"/>
                <w:lang w:val="en-CA"/>
              </w:rPr>
              <w:lastRenderedPageBreak/>
              <w:t>public servant’s grievance against his dismissal – Application for judicial review and appeal dismissed – Leave to appeal sought – Whether applicant raising issue of public importance.</w:t>
            </w:r>
          </w:p>
        </w:tc>
      </w:tr>
      <w:tr w:rsidR="0001173F" w:rsidRPr="0001173F" w:rsidTr="00E95A6A">
        <w:tc>
          <w:tcPr>
            <w:tcW w:w="5000" w:type="pct"/>
            <w:gridSpan w:val="4"/>
          </w:tcPr>
          <w:p w:rsidR="0001173F" w:rsidRPr="0001173F" w:rsidRDefault="0001173F" w:rsidP="0001173F">
            <w:pPr>
              <w:jc w:val="both"/>
              <w:rPr>
                <w:sz w:val="20"/>
                <w:lang w:val="en-CA"/>
              </w:rPr>
            </w:pPr>
          </w:p>
        </w:tc>
      </w:tr>
      <w:tr w:rsidR="0001173F" w:rsidRPr="0001173F" w:rsidTr="00E95A6A">
        <w:tc>
          <w:tcPr>
            <w:tcW w:w="5000" w:type="pct"/>
            <w:gridSpan w:val="4"/>
          </w:tcPr>
          <w:p w:rsidR="0001173F" w:rsidRPr="0001173F" w:rsidRDefault="0001173F" w:rsidP="0001173F">
            <w:pPr>
              <w:jc w:val="both"/>
              <w:rPr>
                <w:sz w:val="20"/>
                <w:lang w:val="en-CA"/>
              </w:rPr>
            </w:pPr>
            <w:r w:rsidRPr="0001173F">
              <w:rPr>
                <w:sz w:val="20"/>
                <w:lang w:val="en-CA"/>
              </w:rPr>
              <w:t>The applicant was a pre</w:t>
            </w:r>
            <w:r w:rsidRPr="0001173F">
              <w:rPr>
                <w:sz w:val="20"/>
                <w:lang w:val="en-CA"/>
              </w:rPr>
              <w:noBreakHyphen/>
              <w:t>removal risk assessment officer with the Department of Citizenship and Immigration in Calgary. In April 2010, he was dismissed following an internal investigation that found that he had improperly obtained the questions and answers for a selection exam for promotion and had used them for the exam. The applicant admitted receiving the exam questions and answers for the selection process in which he had participated and using them to prepare for and then complete the exam. However, he denied the allegation that he had entered the office of a co</w:t>
            </w:r>
            <w:r w:rsidRPr="0001173F">
              <w:rPr>
                <w:sz w:val="20"/>
                <w:lang w:val="en-CA"/>
              </w:rPr>
              <w:noBreakHyphen/>
              <w:t>worker who had taken the exam before him to send himself the exam questions from her computer.</w:t>
            </w:r>
          </w:p>
          <w:p w:rsidR="0001173F" w:rsidRPr="0001173F" w:rsidRDefault="0001173F" w:rsidP="0001173F">
            <w:pPr>
              <w:jc w:val="both"/>
              <w:rPr>
                <w:sz w:val="20"/>
                <w:lang w:val="en-CA"/>
              </w:rPr>
            </w:pPr>
          </w:p>
          <w:p w:rsidR="0001173F" w:rsidRPr="0001173F" w:rsidRDefault="0001173F" w:rsidP="0001173F">
            <w:pPr>
              <w:jc w:val="both"/>
              <w:rPr>
                <w:sz w:val="20"/>
                <w:lang w:val="en-CA"/>
              </w:rPr>
            </w:pPr>
            <w:r w:rsidRPr="0001173F">
              <w:rPr>
                <w:sz w:val="20"/>
                <w:lang w:val="en-CA"/>
              </w:rPr>
              <w:t xml:space="preserve">The applicant grieved his dismissal, arguing that it was too severe a disciplinary sanction. The adjudicator dismissed the grievance, finding that the evidence against the applicant was overwhelming and that the allegations made and proven had damaged the relationship of trust between employee and employer. </w:t>
            </w:r>
          </w:p>
          <w:p w:rsidR="0001173F" w:rsidRPr="0001173F" w:rsidRDefault="0001173F" w:rsidP="0001173F">
            <w:pPr>
              <w:jc w:val="both"/>
              <w:rPr>
                <w:sz w:val="20"/>
                <w:lang w:val="en-CA"/>
              </w:rPr>
            </w:pPr>
          </w:p>
        </w:tc>
      </w:tr>
      <w:tr w:rsidR="0001173F" w:rsidRPr="0001173F" w:rsidTr="00E95A6A">
        <w:tc>
          <w:tcPr>
            <w:tcW w:w="2427" w:type="pct"/>
            <w:gridSpan w:val="2"/>
          </w:tcPr>
          <w:p w:rsidR="0001173F" w:rsidRPr="0001173F" w:rsidRDefault="0001173F" w:rsidP="0001173F">
            <w:pPr>
              <w:jc w:val="both"/>
              <w:rPr>
                <w:sz w:val="20"/>
                <w:lang w:val="en-CA"/>
              </w:rPr>
            </w:pPr>
            <w:r w:rsidRPr="0001173F">
              <w:rPr>
                <w:sz w:val="20"/>
                <w:lang w:val="en-CA"/>
              </w:rPr>
              <w:t>January 20, 2014</w:t>
            </w:r>
          </w:p>
          <w:p w:rsidR="0001173F" w:rsidRPr="0001173F" w:rsidRDefault="0001173F" w:rsidP="0001173F">
            <w:pPr>
              <w:jc w:val="both"/>
              <w:rPr>
                <w:sz w:val="20"/>
                <w:lang w:val="en-CA"/>
              </w:rPr>
            </w:pPr>
            <w:r w:rsidRPr="0001173F">
              <w:rPr>
                <w:sz w:val="20"/>
                <w:lang w:val="en-CA"/>
              </w:rPr>
              <w:t>Public Service Labour Relations Board</w:t>
            </w:r>
          </w:p>
          <w:p w:rsidR="0001173F" w:rsidRPr="0001173F" w:rsidRDefault="0001173F" w:rsidP="0001173F">
            <w:pPr>
              <w:jc w:val="both"/>
              <w:rPr>
                <w:sz w:val="20"/>
                <w:lang w:val="en-CA"/>
              </w:rPr>
            </w:pPr>
            <w:r w:rsidRPr="0001173F">
              <w:rPr>
                <w:sz w:val="20"/>
                <w:lang w:val="en-CA"/>
              </w:rPr>
              <w:t>(Linda Gobeil, Adjudicator)</w:t>
            </w:r>
          </w:p>
          <w:p w:rsidR="0001173F" w:rsidRPr="0001173F" w:rsidRDefault="003423AB" w:rsidP="0001173F">
            <w:pPr>
              <w:jc w:val="both"/>
              <w:rPr>
                <w:sz w:val="20"/>
                <w:lang w:val="en-CA"/>
              </w:rPr>
            </w:pPr>
            <w:hyperlink r:id="rId16" w:history="1">
              <w:r w:rsidR="0001173F" w:rsidRPr="0001173F">
                <w:rPr>
                  <w:rStyle w:val="Hyperlink"/>
                  <w:sz w:val="20"/>
                  <w:lang w:val="en-CA"/>
                </w:rPr>
                <w:t>2014 PSLRB 6</w:t>
              </w:r>
            </w:hyperlink>
          </w:p>
          <w:p w:rsidR="0001173F" w:rsidRPr="0001173F" w:rsidRDefault="0001173F" w:rsidP="0001173F">
            <w:pPr>
              <w:jc w:val="both"/>
              <w:rPr>
                <w:sz w:val="20"/>
                <w:lang w:val="en-CA"/>
              </w:rPr>
            </w:pPr>
          </w:p>
        </w:tc>
        <w:tc>
          <w:tcPr>
            <w:tcW w:w="243" w:type="pct"/>
          </w:tcPr>
          <w:p w:rsidR="0001173F" w:rsidRPr="0001173F" w:rsidRDefault="0001173F" w:rsidP="0001173F">
            <w:pPr>
              <w:jc w:val="both"/>
              <w:rPr>
                <w:sz w:val="20"/>
                <w:lang w:val="en-CA"/>
              </w:rPr>
            </w:pPr>
          </w:p>
        </w:tc>
        <w:tc>
          <w:tcPr>
            <w:tcW w:w="2330" w:type="pct"/>
          </w:tcPr>
          <w:p w:rsidR="0001173F" w:rsidRPr="0001173F" w:rsidRDefault="0001173F" w:rsidP="0001173F">
            <w:pPr>
              <w:jc w:val="both"/>
              <w:rPr>
                <w:sz w:val="20"/>
                <w:lang w:val="en-CA"/>
              </w:rPr>
            </w:pPr>
            <w:r w:rsidRPr="0001173F">
              <w:rPr>
                <w:sz w:val="20"/>
                <w:lang w:val="en-CA"/>
              </w:rPr>
              <w:t>Applicant’s grievance dismissed</w:t>
            </w:r>
          </w:p>
        </w:tc>
      </w:tr>
      <w:tr w:rsidR="0001173F" w:rsidRPr="0001173F" w:rsidTr="00E95A6A">
        <w:tc>
          <w:tcPr>
            <w:tcW w:w="2427" w:type="pct"/>
            <w:gridSpan w:val="2"/>
          </w:tcPr>
          <w:p w:rsidR="0001173F" w:rsidRPr="0001173F" w:rsidRDefault="0001173F" w:rsidP="0001173F">
            <w:pPr>
              <w:jc w:val="both"/>
              <w:rPr>
                <w:sz w:val="20"/>
                <w:lang w:val="en-CA"/>
              </w:rPr>
            </w:pPr>
            <w:r w:rsidRPr="0001173F">
              <w:rPr>
                <w:sz w:val="20"/>
                <w:lang w:val="en-CA"/>
              </w:rPr>
              <w:t>December 12, 2014</w:t>
            </w:r>
          </w:p>
          <w:p w:rsidR="0001173F" w:rsidRPr="0001173F" w:rsidRDefault="0001173F" w:rsidP="0001173F">
            <w:pPr>
              <w:jc w:val="both"/>
              <w:rPr>
                <w:sz w:val="20"/>
                <w:lang w:val="en-CA"/>
              </w:rPr>
            </w:pPr>
            <w:r w:rsidRPr="0001173F">
              <w:rPr>
                <w:sz w:val="20"/>
                <w:lang w:val="en-CA"/>
              </w:rPr>
              <w:t xml:space="preserve">Federal Court </w:t>
            </w:r>
          </w:p>
          <w:p w:rsidR="0001173F" w:rsidRPr="0001173F" w:rsidRDefault="0001173F" w:rsidP="0001173F">
            <w:pPr>
              <w:jc w:val="both"/>
              <w:rPr>
                <w:sz w:val="20"/>
                <w:lang w:val="en-CA"/>
              </w:rPr>
            </w:pPr>
            <w:r w:rsidRPr="0001173F">
              <w:rPr>
                <w:sz w:val="20"/>
                <w:lang w:val="en-CA"/>
              </w:rPr>
              <w:t>(Locke J.)</w:t>
            </w:r>
          </w:p>
          <w:p w:rsidR="0001173F" w:rsidRPr="0001173F" w:rsidRDefault="003423AB" w:rsidP="0001173F">
            <w:pPr>
              <w:jc w:val="both"/>
              <w:rPr>
                <w:sz w:val="20"/>
                <w:lang w:val="en-CA"/>
              </w:rPr>
            </w:pPr>
            <w:hyperlink r:id="rId17" w:history="1">
              <w:r w:rsidR="0001173F" w:rsidRPr="0001173F">
                <w:rPr>
                  <w:rStyle w:val="Hyperlink"/>
                  <w:sz w:val="20"/>
                  <w:lang w:val="en-CA"/>
                </w:rPr>
                <w:t>2014 FC 1206</w:t>
              </w:r>
            </w:hyperlink>
          </w:p>
          <w:p w:rsidR="0001173F" w:rsidRPr="0001173F" w:rsidRDefault="0001173F" w:rsidP="0001173F">
            <w:pPr>
              <w:jc w:val="both"/>
              <w:rPr>
                <w:sz w:val="20"/>
                <w:lang w:val="en-CA"/>
              </w:rPr>
            </w:pPr>
          </w:p>
        </w:tc>
        <w:tc>
          <w:tcPr>
            <w:tcW w:w="243" w:type="pct"/>
          </w:tcPr>
          <w:p w:rsidR="0001173F" w:rsidRPr="0001173F" w:rsidRDefault="0001173F" w:rsidP="0001173F">
            <w:pPr>
              <w:jc w:val="both"/>
              <w:rPr>
                <w:sz w:val="20"/>
                <w:lang w:val="en-CA"/>
              </w:rPr>
            </w:pPr>
          </w:p>
        </w:tc>
        <w:tc>
          <w:tcPr>
            <w:tcW w:w="2330" w:type="pct"/>
          </w:tcPr>
          <w:p w:rsidR="0001173F" w:rsidRPr="0001173F" w:rsidRDefault="0001173F" w:rsidP="0001173F">
            <w:pPr>
              <w:jc w:val="both"/>
              <w:rPr>
                <w:sz w:val="20"/>
                <w:lang w:val="en-CA"/>
              </w:rPr>
            </w:pPr>
            <w:r w:rsidRPr="0001173F">
              <w:rPr>
                <w:sz w:val="20"/>
                <w:lang w:val="en-CA"/>
              </w:rPr>
              <w:t>Application for judicial review dismissed</w:t>
            </w:r>
          </w:p>
          <w:p w:rsidR="0001173F" w:rsidRPr="0001173F" w:rsidRDefault="0001173F" w:rsidP="0001173F">
            <w:pPr>
              <w:jc w:val="both"/>
              <w:rPr>
                <w:sz w:val="20"/>
                <w:lang w:val="en-CA"/>
              </w:rPr>
            </w:pPr>
          </w:p>
        </w:tc>
      </w:tr>
      <w:tr w:rsidR="0001173F" w:rsidRPr="0001173F" w:rsidTr="00E95A6A">
        <w:tc>
          <w:tcPr>
            <w:tcW w:w="2427" w:type="pct"/>
            <w:gridSpan w:val="2"/>
          </w:tcPr>
          <w:p w:rsidR="0001173F" w:rsidRPr="0001173F" w:rsidRDefault="0001173F" w:rsidP="0001173F">
            <w:pPr>
              <w:jc w:val="both"/>
              <w:rPr>
                <w:sz w:val="20"/>
                <w:lang w:val="en-CA"/>
              </w:rPr>
            </w:pPr>
            <w:r w:rsidRPr="0001173F">
              <w:rPr>
                <w:sz w:val="20"/>
                <w:lang w:val="en-CA"/>
              </w:rPr>
              <w:t>December 17, 2015</w:t>
            </w:r>
          </w:p>
          <w:p w:rsidR="0001173F" w:rsidRPr="0001173F" w:rsidRDefault="0001173F" w:rsidP="0001173F">
            <w:pPr>
              <w:jc w:val="both"/>
              <w:rPr>
                <w:sz w:val="20"/>
                <w:lang w:val="en-CA"/>
              </w:rPr>
            </w:pPr>
            <w:r w:rsidRPr="0001173F">
              <w:rPr>
                <w:sz w:val="20"/>
                <w:lang w:val="en-CA"/>
              </w:rPr>
              <w:t>Federal Court of Appeal</w:t>
            </w:r>
          </w:p>
          <w:p w:rsidR="0001173F" w:rsidRPr="0001173F" w:rsidRDefault="0001173F" w:rsidP="0001173F">
            <w:pPr>
              <w:jc w:val="both"/>
              <w:rPr>
                <w:sz w:val="20"/>
                <w:lang w:val="en-CA"/>
              </w:rPr>
            </w:pPr>
            <w:r w:rsidRPr="0001173F">
              <w:rPr>
                <w:sz w:val="20"/>
                <w:lang w:val="en-CA"/>
              </w:rPr>
              <w:t>(Gauthier, Boivin and Rennie JJ.A.)</w:t>
            </w:r>
          </w:p>
          <w:p w:rsidR="0001173F" w:rsidRPr="0001173F" w:rsidRDefault="003423AB" w:rsidP="0001173F">
            <w:pPr>
              <w:jc w:val="both"/>
              <w:rPr>
                <w:sz w:val="20"/>
                <w:lang w:val="en-CA"/>
              </w:rPr>
            </w:pPr>
            <w:hyperlink r:id="rId18" w:history="1">
              <w:r w:rsidR="0001173F" w:rsidRPr="0001173F">
                <w:rPr>
                  <w:rStyle w:val="Hyperlink"/>
                  <w:sz w:val="20"/>
                  <w:lang w:val="en-CA"/>
                </w:rPr>
                <w:t>2015 FCA 291</w:t>
              </w:r>
            </w:hyperlink>
          </w:p>
          <w:p w:rsidR="0001173F" w:rsidRPr="0001173F" w:rsidRDefault="0001173F" w:rsidP="0001173F">
            <w:pPr>
              <w:jc w:val="both"/>
              <w:rPr>
                <w:sz w:val="20"/>
                <w:lang w:val="en-CA"/>
              </w:rPr>
            </w:pPr>
          </w:p>
        </w:tc>
        <w:tc>
          <w:tcPr>
            <w:tcW w:w="243" w:type="pct"/>
          </w:tcPr>
          <w:p w:rsidR="0001173F" w:rsidRPr="0001173F" w:rsidRDefault="0001173F" w:rsidP="0001173F">
            <w:pPr>
              <w:jc w:val="both"/>
              <w:rPr>
                <w:sz w:val="20"/>
                <w:lang w:val="en-CA"/>
              </w:rPr>
            </w:pPr>
          </w:p>
        </w:tc>
        <w:tc>
          <w:tcPr>
            <w:tcW w:w="2330" w:type="pct"/>
          </w:tcPr>
          <w:p w:rsidR="0001173F" w:rsidRPr="0001173F" w:rsidRDefault="0001173F" w:rsidP="0001173F">
            <w:pPr>
              <w:jc w:val="both"/>
              <w:rPr>
                <w:sz w:val="20"/>
                <w:lang w:val="en-CA"/>
              </w:rPr>
            </w:pPr>
            <w:r w:rsidRPr="0001173F">
              <w:rPr>
                <w:sz w:val="20"/>
                <w:lang w:val="en-CA"/>
              </w:rPr>
              <w:t>Appeal dismissed</w:t>
            </w:r>
          </w:p>
          <w:p w:rsidR="0001173F" w:rsidRPr="0001173F" w:rsidRDefault="0001173F" w:rsidP="0001173F">
            <w:pPr>
              <w:jc w:val="both"/>
              <w:rPr>
                <w:sz w:val="20"/>
                <w:lang w:val="en-CA"/>
              </w:rPr>
            </w:pPr>
          </w:p>
        </w:tc>
      </w:tr>
      <w:tr w:rsidR="0001173F" w:rsidRPr="0001173F" w:rsidTr="00E95A6A">
        <w:tc>
          <w:tcPr>
            <w:tcW w:w="2427" w:type="pct"/>
            <w:gridSpan w:val="2"/>
          </w:tcPr>
          <w:p w:rsidR="0001173F" w:rsidRPr="0001173F" w:rsidRDefault="0001173F" w:rsidP="0001173F">
            <w:pPr>
              <w:jc w:val="both"/>
              <w:rPr>
                <w:sz w:val="20"/>
                <w:lang w:val="en-CA"/>
              </w:rPr>
            </w:pPr>
            <w:r w:rsidRPr="0001173F">
              <w:rPr>
                <w:sz w:val="20"/>
                <w:lang w:val="en-CA"/>
              </w:rPr>
              <w:t>February 17, 2016</w:t>
            </w:r>
          </w:p>
          <w:p w:rsidR="0001173F" w:rsidRPr="0001173F" w:rsidRDefault="0001173F" w:rsidP="0001173F">
            <w:pPr>
              <w:jc w:val="both"/>
              <w:rPr>
                <w:sz w:val="20"/>
                <w:lang w:val="en-CA"/>
              </w:rPr>
            </w:pPr>
            <w:r w:rsidRPr="0001173F">
              <w:rPr>
                <w:sz w:val="20"/>
                <w:lang w:val="en-CA"/>
              </w:rPr>
              <w:t>Supreme Court of Canada</w:t>
            </w:r>
          </w:p>
        </w:tc>
        <w:tc>
          <w:tcPr>
            <w:tcW w:w="243" w:type="pct"/>
          </w:tcPr>
          <w:p w:rsidR="0001173F" w:rsidRPr="0001173F" w:rsidRDefault="0001173F" w:rsidP="0001173F">
            <w:pPr>
              <w:jc w:val="both"/>
              <w:rPr>
                <w:sz w:val="20"/>
                <w:lang w:val="en-CA"/>
              </w:rPr>
            </w:pPr>
          </w:p>
        </w:tc>
        <w:tc>
          <w:tcPr>
            <w:tcW w:w="2330" w:type="pct"/>
          </w:tcPr>
          <w:p w:rsidR="0001173F" w:rsidRPr="0001173F" w:rsidRDefault="0001173F" w:rsidP="0001173F">
            <w:pPr>
              <w:jc w:val="both"/>
              <w:rPr>
                <w:sz w:val="20"/>
                <w:lang w:val="en-CA"/>
              </w:rPr>
            </w:pPr>
            <w:r w:rsidRPr="0001173F">
              <w:rPr>
                <w:sz w:val="20"/>
                <w:lang w:val="en-CA"/>
              </w:rPr>
              <w:t>Application for leave to appeal filed</w:t>
            </w:r>
          </w:p>
          <w:p w:rsidR="0001173F" w:rsidRPr="0001173F" w:rsidRDefault="0001173F" w:rsidP="0001173F">
            <w:pPr>
              <w:jc w:val="both"/>
              <w:rPr>
                <w:sz w:val="20"/>
                <w:lang w:val="en-CA"/>
              </w:rPr>
            </w:pPr>
          </w:p>
        </w:tc>
      </w:tr>
    </w:tbl>
    <w:p w:rsidR="0001173F" w:rsidRDefault="0001173F" w:rsidP="0001173F">
      <w:pPr>
        <w:jc w:val="both"/>
        <w:rPr>
          <w:sz w:val="20"/>
          <w:lang w:val="en-CA"/>
        </w:rPr>
      </w:pPr>
    </w:p>
    <w:p w:rsidR="0001173F" w:rsidRPr="0001173F" w:rsidRDefault="0001173F" w:rsidP="0001173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173F" w:rsidRPr="0001173F" w:rsidTr="00E95A6A">
        <w:tc>
          <w:tcPr>
            <w:tcW w:w="543" w:type="pct"/>
          </w:tcPr>
          <w:p w:rsidR="0001173F" w:rsidRPr="0001173F" w:rsidRDefault="0001173F" w:rsidP="0001173F">
            <w:pPr>
              <w:jc w:val="both"/>
              <w:rPr>
                <w:sz w:val="20"/>
              </w:rPr>
            </w:pPr>
            <w:r w:rsidRPr="0001173F">
              <w:rPr>
                <w:rStyle w:val="SCCFileNumberChar"/>
                <w:sz w:val="20"/>
                <w:szCs w:val="20"/>
              </w:rPr>
              <w:t>36856</w:t>
            </w:r>
          </w:p>
        </w:tc>
        <w:tc>
          <w:tcPr>
            <w:tcW w:w="4457" w:type="pct"/>
            <w:gridSpan w:val="3"/>
          </w:tcPr>
          <w:p w:rsidR="0001173F" w:rsidRPr="0001173F" w:rsidRDefault="0001173F" w:rsidP="0001173F">
            <w:pPr>
              <w:pStyle w:val="SCCLsocParty"/>
              <w:jc w:val="both"/>
              <w:rPr>
                <w:b/>
                <w:sz w:val="20"/>
                <w:szCs w:val="20"/>
              </w:rPr>
            </w:pPr>
            <w:r w:rsidRPr="0001173F">
              <w:rPr>
                <w:b/>
                <w:sz w:val="20"/>
                <w:szCs w:val="20"/>
              </w:rPr>
              <w:t xml:space="preserve">Mohamed Balikwisha Patanguli c. Administrateur </w:t>
            </w:r>
            <w:r w:rsidR="003423AB">
              <w:rPr>
                <w:b/>
                <w:sz w:val="20"/>
                <w:szCs w:val="20"/>
              </w:rPr>
              <w:t>g</w:t>
            </w:r>
            <w:r w:rsidRPr="0001173F">
              <w:rPr>
                <w:b/>
                <w:sz w:val="20"/>
                <w:szCs w:val="20"/>
              </w:rPr>
              <w:t xml:space="preserve">énéral (Ministère de la </w:t>
            </w:r>
            <w:r w:rsidR="003423AB">
              <w:rPr>
                <w:b/>
                <w:sz w:val="20"/>
                <w:szCs w:val="20"/>
              </w:rPr>
              <w:t>C</w:t>
            </w:r>
            <w:r w:rsidRPr="0001173F">
              <w:rPr>
                <w:b/>
                <w:sz w:val="20"/>
                <w:szCs w:val="20"/>
              </w:rPr>
              <w:t xml:space="preserve">itoyenneté et de </w:t>
            </w:r>
            <w:bookmarkStart w:id="0" w:name="_GoBack"/>
            <w:bookmarkEnd w:id="0"/>
            <w:r w:rsidRPr="0001173F">
              <w:rPr>
                <w:b/>
                <w:sz w:val="20"/>
                <w:szCs w:val="20"/>
              </w:rPr>
              <w:t>l’Immigration)</w:t>
            </w:r>
          </w:p>
          <w:p w:rsidR="0001173F" w:rsidRPr="0001173F" w:rsidRDefault="0001173F" w:rsidP="0001173F">
            <w:pPr>
              <w:jc w:val="both"/>
              <w:rPr>
                <w:sz w:val="20"/>
              </w:rPr>
            </w:pPr>
            <w:r w:rsidRPr="0001173F">
              <w:rPr>
                <w:sz w:val="20"/>
              </w:rPr>
              <w:t>(CF) (Civile) (Autorisation)</w:t>
            </w:r>
          </w:p>
        </w:tc>
      </w:tr>
      <w:tr w:rsidR="0001173F" w:rsidRPr="0001173F" w:rsidTr="00E95A6A">
        <w:tc>
          <w:tcPr>
            <w:tcW w:w="5000" w:type="pct"/>
            <w:gridSpan w:val="4"/>
          </w:tcPr>
          <w:p w:rsidR="0001173F" w:rsidRPr="0001173F" w:rsidRDefault="0001173F" w:rsidP="0001173F">
            <w:pPr>
              <w:jc w:val="both"/>
              <w:rPr>
                <w:sz w:val="20"/>
              </w:rPr>
            </w:pPr>
            <w:r w:rsidRPr="0001173F">
              <w:rPr>
                <w:sz w:val="20"/>
              </w:rPr>
              <w:t>Fonction publique – Relations du travail – Grief – Contrôle judiciaire – Norme de contrôle – Appel – Permission d’appeler – Fonctionnaire congédié pour avoir triché lors d’un processus d’embauche – Commission des relations de travail dans la fonction publique rejetant le grief du fonctionnaire contestant son congédiement – Contrôle judiciaire et appel rejetés – Permission d’en appeler déposée – Le demandeur soulève-t-il une question d’importance pour le public?</w:t>
            </w:r>
          </w:p>
        </w:tc>
      </w:tr>
      <w:tr w:rsidR="0001173F" w:rsidRPr="0001173F" w:rsidTr="00E95A6A">
        <w:tc>
          <w:tcPr>
            <w:tcW w:w="5000" w:type="pct"/>
            <w:gridSpan w:val="4"/>
          </w:tcPr>
          <w:p w:rsidR="0001173F" w:rsidRPr="0001173F" w:rsidRDefault="0001173F" w:rsidP="0001173F">
            <w:pPr>
              <w:jc w:val="both"/>
              <w:rPr>
                <w:sz w:val="20"/>
              </w:rPr>
            </w:pPr>
          </w:p>
        </w:tc>
      </w:tr>
      <w:tr w:rsidR="0001173F" w:rsidRPr="0001173F" w:rsidTr="00E95A6A">
        <w:tc>
          <w:tcPr>
            <w:tcW w:w="5000" w:type="pct"/>
            <w:gridSpan w:val="4"/>
          </w:tcPr>
          <w:p w:rsidR="0001173F" w:rsidRPr="0001173F" w:rsidRDefault="0001173F" w:rsidP="0001173F">
            <w:pPr>
              <w:jc w:val="both"/>
              <w:rPr>
                <w:sz w:val="20"/>
              </w:rPr>
            </w:pPr>
            <w:r w:rsidRPr="0001173F">
              <w:rPr>
                <w:sz w:val="20"/>
              </w:rPr>
              <w:t>Le demandeur occupait un poste d’agent d’examen des risques avant renvoi au ministère de la Citoyenneté et de l’Immigration à Calgary. En avril 2010, il a été congédié de son poste, suite à une enquête interne concluant qu’il avait obtenu de façon inappropriée les questions et réponses à un examen de sélection pour une promotion, et les avait utilisées pour l’examen. Le demandeur a admis avoir reçu les questions et réponses de l’examen du processus de sélection auquel il avait participé et les avoir utilisées pour se préparer à l’examen et ensuite y répondre. Par contre, le demandeur a nié les allégations à l’effet qu’il s’était introduit dans le bureau d’une collègue, qui avait passé l’examen avant lui, pour s’envoyer les questions de l’examen à partir de l’ordinateur de celle-ci.</w:t>
            </w:r>
          </w:p>
          <w:p w:rsidR="0001173F" w:rsidRPr="0001173F" w:rsidRDefault="0001173F" w:rsidP="0001173F">
            <w:pPr>
              <w:jc w:val="both"/>
              <w:rPr>
                <w:sz w:val="20"/>
              </w:rPr>
            </w:pPr>
          </w:p>
          <w:p w:rsidR="0001173F" w:rsidRPr="0001173F" w:rsidRDefault="0001173F" w:rsidP="0001173F">
            <w:pPr>
              <w:jc w:val="both"/>
              <w:rPr>
                <w:sz w:val="20"/>
              </w:rPr>
            </w:pPr>
            <w:r w:rsidRPr="0001173F">
              <w:rPr>
                <w:sz w:val="20"/>
              </w:rPr>
              <w:lastRenderedPageBreak/>
              <w:t xml:space="preserve">Le demandeur a contesté son congédiement dans un grief, soumettant qu’il s’agissait d’une sanction disciplinaire trop sévère. L’arbitre a rejeté le grief, estimant que la preuve contre le demandeur était accablante et que les faits reprochés et prouvés avaient rompu le lien de confiance entre l’employé et l’employeur. </w:t>
            </w:r>
          </w:p>
          <w:p w:rsidR="0001173F" w:rsidRPr="0001173F" w:rsidRDefault="0001173F" w:rsidP="0001173F">
            <w:pPr>
              <w:jc w:val="both"/>
              <w:rPr>
                <w:sz w:val="20"/>
              </w:rPr>
            </w:pPr>
          </w:p>
        </w:tc>
      </w:tr>
      <w:tr w:rsidR="0001173F" w:rsidRPr="0001173F" w:rsidTr="00E95A6A">
        <w:tc>
          <w:tcPr>
            <w:tcW w:w="2427" w:type="pct"/>
            <w:gridSpan w:val="2"/>
          </w:tcPr>
          <w:p w:rsidR="0001173F" w:rsidRPr="0001173F" w:rsidRDefault="0001173F" w:rsidP="0001173F">
            <w:pPr>
              <w:jc w:val="both"/>
              <w:rPr>
                <w:sz w:val="20"/>
              </w:rPr>
            </w:pPr>
            <w:r w:rsidRPr="0001173F">
              <w:rPr>
                <w:sz w:val="20"/>
              </w:rPr>
              <w:lastRenderedPageBreak/>
              <w:t>Le 20 janvier 2014</w:t>
            </w:r>
          </w:p>
          <w:p w:rsidR="0001173F" w:rsidRPr="0001173F" w:rsidRDefault="0001173F" w:rsidP="0001173F">
            <w:pPr>
              <w:jc w:val="both"/>
              <w:rPr>
                <w:sz w:val="20"/>
              </w:rPr>
            </w:pPr>
            <w:r w:rsidRPr="0001173F">
              <w:rPr>
                <w:sz w:val="20"/>
              </w:rPr>
              <w:t>Commission des relations de travail dans la fonction publique</w:t>
            </w:r>
          </w:p>
          <w:p w:rsidR="0001173F" w:rsidRPr="0001173F" w:rsidRDefault="0001173F" w:rsidP="0001173F">
            <w:pPr>
              <w:jc w:val="both"/>
              <w:rPr>
                <w:sz w:val="20"/>
              </w:rPr>
            </w:pPr>
            <w:r w:rsidRPr="0001173F">
              <w:rPr>
                <w:sz w:val="20"/>
              </w:rPr>
              <w:t xml:space="preserve">(Linda </w:t>
            </w:r>
            <w:proofErr w:type="spellStart"/>
            <w:r w:rsidRPr="0001173F">
              <w:rPr>
                <w:sz w:val="20"/>
              </w:rPr>
              <w:t>Gobeil</w:t>
            </w:r>
            <w:proofErr w:type="spellEnd"/>
            <w:r w:rsidRPr="0001173F">
              <w:rPr>
                <w:sz w:val="20"/>
              </w:rPr>
              <w:t xml:space="preserve">, </w:t>
            </w:r>
            <w:proofErr w:type="spellStart"/>
            <w:r w:rsidRPr="0001173F">
              <w:rPr>
                <w:sz w:val="20"/>
              </w:rPr>
              <w:t>arbitre</w:t>
            </w:r>
            <w:proofErr w:type="spellEnd"/>
            <w:r w:rsidRPr="0001173F">
              <w:rPr>
                <w:sz w:val="20"/>
              </w:rPr>
              <w:t xml:space="preserve"> de grief)</w:t>
            </w:r>
          </w:p>
          <w:p w:rsidR="0001173F" w:rsidRPr="0001173F" w:rsidRDefault="003423AB" w:rsidP="0001173F">
            <w:pPr>
              <w:jc w:val="both"/>
              <w:rPr>
                <w:sz w:val="20"/>
              </w:rPr>
            </w:pPr>
            <w:hyperlink r:id="rId19" w:history="1">
              <w:r w:rsidR="0001173F" w:rsidRPr="0001173F">
                <w:rPr>
                  <w:rStyle w:val="Hyperlink"/>
                  <w:sz w:val="20"/>
                </w:rPr>
                <w:t>2014 CRTFP 6</w:t>
              </w:r>
            </w:hyperlink>
          </w:p>
          <w:p w:rsidR="0001173F" w:rsidRPr="0001173F" w:rsidRDefault="0001173F" w:rsidP="0001173F">
            <w:pPr>
              <w:jc w:val="both"/>
              <w:rPr>
                <w:sz w:val="20"/>
              </w:rPr>
            </w:pPr>
          </w:p>
        </w:tc>
        <w:tc>
          <w:tcPr>
            <w:tcW w:w="243" w:type="pct"/>
          </w:tcPr>
          <w:p w:rsidR="0001173F" w:rsidRPr="0001173F" w:rsidRDefault="0001173F" w:rsidP="0001173F">
            <w:pPr>
              <w:jc w:val="both"/>
              <w:rPr>
                <w:sz w:val="20"/>
                <w:lang w:val="fr-FR"/>
              </w:rPr>
            </w:pPr>
          </w:p>
        </w:tc>
        <w:tc>
          <w:tcPr>
            <w:tcW w:w="2330" w:type="pct"/>
          </w:tcPr>
          <w:p w:rsidR="0001173F" w:rsidRPr="0001173F" w:rsidRDefault="0001173F" w:rsidP="0001173F">
            <w:pPr>
              <w:jc w:val="both"/>
              <w:rPr>
                <w:sz w:val="20"/>
              </w:rPr>
            </w:pPr>
            <w:r w:rsidRPr="0001173F">
              <w:rPr>
                <w:sz w:val="20"/>
              </w:rPr>
              <w:t>Grief du demandeur rejeté</w:t>
            </w:r>
          </w:p>
        </w:tc>
      </w:tr>
      <w:tr w:rsidR="0001173F" w:rsidRPr="0001173F" w:rsidTr="00E95A6A">
        <w:tc>
          <w:tcPr>
            <w:tcW w:w="2427" w:type="pct"/>
            <w:gridSpan w:val="2"/>
          </w:tcPr>
          <w:p w:rsidR="0001173F" w:rsidRPr="0001173F" w:rsidRDefault="0001173F" w:rsidP="0001173F">
            <w:pPr>
              <w:jc w:val="both"/>
              <w:rPr>
                <w:sz w:val="20"/>
              </w:rPr>
            </w:pPr>
            <w:r w:rsidRPr="0001173F">
              <w:rPr>
                <w:sz w:val="20"/>
              </w:rPr>
              <w:t>Le 12 décembre 2014</w:t>
            </w:r>
          </w:p>
          <w:p w:rsidR="0001173F" w:rsidRPr="0001173F" w:rsidRDefault="0001173F" w:rsidP="0001173F">
            <w:pPr>
              <w:jc w:val="both"/>
              <w:rPr>
                <w:sz w:val="20"/>
              </w:rPr>
            </w:pPr>
            <w:r w:rsidRPr="0001173F">
              <w:rPr>
                <w:sz w:val="20"/>
              </w:rPr>
              <w:t>Cour fédérale</w:t>
            </w:r>
          </w:p>
          <w:p w:rsidR="0001173F" w:rsidRPr="0001173F" w:rsidRDefault="0001173F" w:rsidP="0001173F">
            <w:pPr>
              <w:jc w:val="both"/>
              <w:rPr>
                <w:sz w:val="20"/>
              </w:rPr>
            </w:pPr>
            <w:r w:rsidRPr="0001173F">
              <w:rPr>
                <w:sz w:val="20"/>
              </w:rPr>
              <w:t>(Le juge Locke)</w:t>
            </w:r>
          </w:p>
          <w:p w:rsidR="0001173F" w:rsidRPr="0001173F" w:rsidRDefault="003423AB" w:rsidP="0001173F">
            <w:pPr>
              <w:jc w:val="both"/>
              <w:rPr>
                <w:sz w:val="20"/>
              </w:rPr>
            </w:pPr>
            <w:hyperlink r:id="rId20" w:history="1">
              <w:r w:rsidR="0001173F" w:rsidRPr="0001173F">
                <w:rPr>
                  <w:rStyle w:val="Hyperlink"/>
                  <w:sz w:val="20"/>
                </w:rPr>
                <w:t>2014 CF 1206</w:t>
              </w:r>
            </w:hyperlink>
          </w:p>
          <w:p w:rsidR="0001173F" w:rsidRPr="0001173F" w:rsidRDefault="0001173F" w:rsidP="0001173F">
            <w:pPr>
              <w:jc w:val="both"/>
              <w:rPr>
                <w:sz w:val="20"/>
                <w:lang w:val="fr-FR"/>
              </w:rPr>
            </w:pPr>
          </w:p>
        </w:tc>
        <w:tc>
          <w:tcPr>
            <w:tcW w:w="243" w:type="pct"/>
          </w:tcPr>
          <w:p w:rsidR="0001173F" w:rsidRPr="0001173F" w:rsidRDefault="0001173F" w:rsidP="0001173F">
            <w:pPr>
              <w:jc w:val="both"/>
              <w:rPr>
                <w:sz w:val="20"/>
                <w:lang w:val="fr-FR"/>
              </w:rPr>
            </w:pPr>
          </w:p>
        </w:tc>
        <w:tc>
          <w:tcPr>
            <w:tcW w:w="2330" w:type="pct"/>
          </w:tcPr>
          <w:p w:rsidR="0001173F" w:rsidRPr="0001173F" w:rsidRDefault="0001173F" w:rsidP="0001173F">
            <w:pPr>
              <w:jc w:val="both"/>
              <w:rPr>
                <w:sz w:val="20"/>
              </w:rPr>
            </w:pPr>
            <w:r w:rsidRPr="0001173F">
              <w:rPr>
                <w:sz w:val="20"/>
              </w:rPr>
              <w:t>Demande de contrôle judiciaire rejetée</w:t>
            </w:r>
          </w:p>
          <w:p w:rsidR="0001173F" w:rsidRPr="0001173F" w:rsidRDefault="0001173F" w:rsidP="0001173F">
            <w:pPr>
              <w:jc w:val="both"/>
              <w:rPr>
                <w:sz w:val="20"/>
              </w:rPr>
            </w:pPr>
          </w:p>
        </w:tc>
      </w:tr>
      <w:tr w:rsidR="0001173F" w:rsidRPr="0001173F" w:rsidTr="00E95A6A">
        <w:tc>
          <w:tcPr>
            <w:tcW w:w="2427" w:type="pct"/>
            <w:gridSpan w:val="2"/>
          </w:tcPr>
          <w:p w:rsidR="0001173F" w:rsidRPr="0001173F" w:rsidRDefault="0001173F" w:rsidP="0001173F">
            <w:pPr>
              <w:jc w:val="both"/>
              <w:rPr>
                <w:sz w:val="20"/>
              </w:rPr>
            </w:pPr>
            <w:r w:rsidRPr="0001173F">
              <w:rPr>
                <w:sz w:val="20"/>
              </w:rPr>
              <w:t>Le 17 décembre 2015</w:t>
            </w:r>
          </w:p>
          <w:p w:rsidR="0001173F" w:rsidRPr="0001173F" w:rsidRDefault="0001173F" w:rsidP="0001173F">
            <w:pPr>
              <w:jc w:val="both"/>
              <w:rPr>
                <w:sz w:val="20"/>
              </w:rPr>
            </w:pPr>
            <w:r w:rsidRPr="0001173F">
              <w:rPr>
                <w:sz w:val="20"/>
              </w:rPr>
              <w:t>Cour d’appel fédérale</w:t>
            </w:r>
          </w:p>
          <w:p w:rsidR="0001173F" w:rsidRPr="0001173F" w:rsidRDefault="0001173F" w:rsidP="0001173F">
            <w:pPr>
              <w:jc w:val="both"/>
              <w:rPr>
                <w:sz w:val="20"/>
              </w:rPr>
            </w:pPr>
            <w:r w:rsidRPr="0001173F">
              <w:rPr>
                <w:sz w:val="20"/>
              </w:rPr>
              <w:t>(Les juges Gauthier, Boivin et Rennie)</w:t>
            </w:r>
          </w:p>
          <w:p w:rsidR="0001173F" w:rsidRPr="0001173F" w:rsidRDefault="003423AB" w:rsidP="0001173F">
            <w:pPr>
              <w:jc w:val="both"/>
              <w:rPr>
                <w:sz w:val="20"/>
              </w:rPr>
            </w:pPr>
            <w:hyperlink r:id="rId21" w:history="1">
              <w:r w:rsidR="0001173F" w:rsidRPr="0001173F">
                <w:rPr>
                  <w:rStyle w:val="Hyperlink"/>
                  <w:sz w:val="20"/>
                </w:rPr>
                <w:t>2015 CAF 291</w:t>
              </w:r>
            </w:hyperlink>
          </w:p>
          <w:p w:rsidR="0001173F" w:rsidRPr="0001173F" w:rsidRDefault="0001173F" w:rsidP="0001173F">
            <w:pPr>
              <w:jc w:val="both"/>
              <w:rPr>
                <w:sz w:val="20"/>
                <w:lang w:val="fr-FR"/>
              </w:rPr>
            </w:pPr>
          </w:p>
        </w:tc>
        <w:tc>
          <w:tcPr>
            <w:tcW w:w="243" w:type="pct"/>
          </w:tcPr>
          <w:p w:rsidR="0001173F" w:rsidRPr="0001173F" w:rsidRDefault="0001173F" w:rsidP="0001173F">
            <w:pPr>
              <w:jc w:val="both"/>
              <w:rPr>
                <w:sz w:val="20"/>
                <w:lang w:val="fr-FR"/>
              </w:rPr>
            </w:pPr>
          </w:p>
        </w:tc>
        <w:tc>
          <w:tcPr>
            <w:tcW w:w="2330" w:type="pct"/>
          </w:tcPr>
          <w:p w:rsidR="0001173F" w:rsidRPr="0001173F" w:rsidRDefault="0001173F" w:rsidP="0001173F">
            <w:pPr>
              <w:jc w:val="both"/>
              <w:rPr>
                <w:sz w:val="20"/>
              </w:rPr>
            </w:pPr>
            <w:r w:rsidRPr="0001173F">
              <w:rPr>
                <w:sz w:val="20"/>
              </w:rPr>
              <w:t>Appel rejeté</w:t>
            </w:r>
          </w:p>
          <w:p w:rsidR="0001173F" w:rsidRPr="0001173F" w:rsidRDefault="0001173F" w:rsidP="0001173F">
            <w:pPr>
              <w:jc w:val="both"/>
              <w:rPr>
                <w:sz w:val="20"/>
              </w:rPr>
            </w:pPr>
          </w:p>
        </w:tc>
      </w:tr>
      <w:tr w:rsidR="0001173F" w:rsidRPr="0001173F" w:rsidTr="00E95A6A">
        <w:tc>
          <w:tcPr>
            <w:tcW w:w="2427" w:type="pct"/>
            <w:gridSpan w:val="2"/>
          </w:tcPr>
          <w:p w:rsidR="0001173F" w:rsidRPr="0001173F" w:rsidRDefault="0001173F" w:rsidP="0001173F">
            <w:pPr>
              <w:jc w:val="both"/>
              <w:rPr>
                <w:sz w:val="20"/>
              </w:rPr>
            </w:pPr>
            <w:r w:rsidRPr="0001173F">
              <w:rPr>
                <w:sz w:val="20"/>
              </w:rPr>
              <w:t>Le 17 février 2016</w:t>
            </w:r>
          </w:p>
          <w:p w:rsidR="0001173F" w:rsidRPr="0001173F" w:rsidRDefault="0001173F" w:rsidP="0001173F">
            <w:pPr>
              <w:jc w:val="both"/>
              <w:rPr>
                <w:sz w:val="20"/>
              </w:rPr>
            </w:pPr>
            <w:r w:rsidRPr="0001173F">
              <w:rPr>
                <w:sz w:val="20"/>
              </w:rPr>
              <w:t>Cour suprême du Canada</w:t>
            </w:r>
          </w:p>
        </w:tc>
        <w:tc>
          <w:tcPr>
            <w:tcW w:w="243" w:type="pct"/>
          </w:tcPr>
          <w:p w:rsidR="0001173F" w:rsidRPr="0001173F" w:rsidRDefault="0001173F" w:rsidP="0001173F">
            <w:pPr>
              <w:jc w:val="both"/>
              <w:rPr>
                <w:sz w:val="20"/>
                <w:lang w:val="fr-FR"/>
              </w:rPr>
            </w:pPr>
          </w:p>
        </w:tc>
        <w:tc>
          <w:tcPr>
            <w:tcW w:w="2330" w:type="pct"/>
          </w:tcPr>
          <w:p w:rsidR="0001173F" w:rsidRPr="0001173F" w:rsidRDefault="0001173F" w:rsidP="0001173F">
            <w:pPr>
              <w:jc w:val="both"/>
              <w:rPr>
                <w:sz w:val="20"/>
              </w:rPr>
            </w:pPr>
            <w:r w:rsidRPr="0001173F">
              <w:rPr>
                <w:sz w:val="20"/>
              </w:rPr>
              <w:t>Demande d’autorisation d’appel déposée</w:t>
            </w:r>
          </w:p>
          <w:p w:rsidR="0001173F" w:rsidRPr="0001173F" w:rsidRDefault="0001173F" w:rsidP="0001173F">
            <w:pPr>
              <w:jc w:val="both"/>
              <w:rPr>
                <w:sz w:val="20"/>
              </w:rPr>
            </w:pPr>
          </w:p>
        </w:tc>
      </w:tr>
    </w:tbl>
    <w:p w:rsidR="0001173F" w:rsidRPr="0001173F" w:rsidRDefault="0001173F" w:rsidP="0001173F">
      <w:pPr>
        <w:jc w:val="both"/>
        <w:rPr>
          <w:sz w:val="20"/>
        </w:rPr>
      </w:pPr>
    </w:p>
    <w:p w:rsidR="00821634" w:rsidRPr="00B705EB" w:rsidRDefault="00821634" w:rsidP="00B705E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705EB" w:rsidRPr="00B705EB" w:rsidTr="00E95A6A">
        <w:tc>
          <w:tcPr>
            <w:tcW w:w="543" w:type="pct"/>
          </w:tcPr>
          <w:p w:rsidR="00B705EB" w:rsidRPr="00B705EB" w:rsidRDefault="00B705EB" w:rsidP="00B705EB">
            <w:pPr>
              <w:jc w:val="both"/>
              <w:rPr>
                <w:sz w:val="20"/>
              </w:rPr>
            </w:pPr>
            <w:r w:rsidRPr="00B705EB">
              <w:rPr>
                <w:rStyle w:val="SCCFileNumberChar"/>
                <w:sz w:val="20"/>
                <w:szCs w:val="20"/>
              </w:rPr>
              <w:t>36870</w:t>
            </w:r>
          </w:p>
        </w:tc>
        <w:tc>
          <w:tcPr>
            <w:tcW w:w="4457" w:type="pct"/>
            <w:gridSpan w:val="3"/>
          </w:tcPr>
          <w:p w:rsidR="00B705EB" w:rsidRPr="00B705EB" w:rsidRDefault="00B705EB" w:rsidP="00B705EB">
            <w:pPr>
              <w:pStyle w:val="SCCLsocParty"/>
              <w:jc w:val="both"/>
              <w:rPr>
                <w:b/>
                <w:sz w:val="20"/>
                <w:szCs w:val="20"/>
              </w:rPr>
            </w:pPr>
            <w:r w:rsidRPr="00B705EB">
              <w:rPr>
                <w:b/>
                <w:sz w:val="20"/>
                <w:szCs w:val="20"/>
              </w:rPr>
              <w:t>Jodi Graham, Colin J. Graham, by their litigation guardian, Cheryl Margaret Graham, Cheryl Margaret Graham, Joseph Raymond Graham and Christopher R. Graham v. Chrysler Canada Inc., Daimler Chrysler Financial Services Canada Inc., Corepointe Insurance Company, formerly carrying on business as Daimler Chrysler Insurance</w:t>
            </w:r>
          </w:p>
          <w:p w:rsidR="00B705EB" w:rsidRPr="00B705EB" w:rsidRDefault="00B705EB" w:rsidP="00B705EB">
            <w:pPr>
              <w:jc w:val="both"/>
              <w:rPr>
                <w:sz w:val="20"/>
              </w:rPr>
            </w:pPr>
            <w:r w:rsidRPr="00B705EB">
              <w:rPr>
                <w:sz w:val="20"/>
              </w:rPr>
              <w:t>(Ont.) (Civil) (By Leave)</w:t>
            </w:r>
          </w:p>
        </w:tc>
      </w:tr>
      <w:tr w:rsidR="00B705EB" w:rsidRPr="00B705EB" w:rsidTr="00E95A6A">
        <w:tc>
          <w:tcPr>
            <w:tcW w:w="5000" w:type="pct"/>
            <w:gridSpan w:val="4"/>
          </w:tcPr>
          <w:p w:rsidR="00B705EB" w:rsidRPr="00B705EB" w:rsidRDefault="00B705EB" w:rsidP="00B705EB">
            <w:pPr>
              <w:jc w:val="both"/>
              <w:rPr>
                <w:sz w:val="20"/>
              </w:rPr>
            </w:pPr>
            <w:r w:rsidRPr="00B705EB">
              <w:rPr>
                <w:sz w:val="20"/>
              </w:rPr>
              <w:t xml:space="preserve">Insurance – Automobile insurance – Coverage – Plaintiff permanently injured in motor vehicle accident by driver of leased vehicle – Whether courts below erred in finding that Chrysler Canada Inc. and Daimler Financial Services Canada Inc. were both lessors within the meaning of s. 267.1(12) of the </w:t>
            </w:r>
            <w:r w:rsidRPr="00B705EB">
              <w:rPr>
                <w:i/>
                <w:sz w:val="20"/>
              </w:rPr>
              <w:t>Insurance Act</w:t>
            </w:r>
            <w:r w:rsidRPr="00B705EB">
              <w:rPr>
                <w:sz w:val="20"/>
              </w:rPr>
              <w:t>, R.S.O., c. I.8 and both were entitled to cap on liability – Whether Court of Appeal erred by failing to find that driver of leased vehicle was un-named insured under a Standard Excess Policy and entitled to coverage of $10,000,000 - Whether courts below erred by summarily dismissing the applicants’ claim for negligently entrusting leased vehicle to driver.</w:t>
            </w:r>
          </w:p>
          <w:p w:rsidR="00B705EB" w:rsidRPr="00B705EB" w:rsidRDefault="00B705EB" w:rsidP="00B705EB">
            <w:pPr>
              <w:jc w:val="both"/>
              <w:rPr>
                <w:sz w:val="20"/>
              </w:rPr>
            </w:pPr>
          </w:p>
        </w:tc>
      </w:tr>
      <w:tr w:rsidR="00B705EB" w:rsidRPr="00B705EB" w:rsidTr="00E95A6A">
        <w:tc>
          <w:tcPr>
            <w:tcW w:w="5000" w:type="pct"/>
            <w:gridSpan w:val="4"/>
          </w:tcPr>
          <w:p w:rsidR="00B705EB" w:rsidRPr="00B705EB" w:rsidRDefault="00B705EB" w:rsidP="00B705EB">
            <w:pPr>
              <w:jc w:val="both"/>
              <w:rPr>
                <w:sz w:val="20"/>
              </w:rPr>
            </w:pPr>
            <w:r w:rsidRPr="00B705EB">
              <w:rPr>
                <w:sz w:val="20"/>
              </w:rPr>
              <w:t xml:space="preserve">On May 18, 2006, Jodi Graham was a front seat passenger in a vehicle was t-boned on the passenger side by a vehicle driven by the respondent, Mario Pietrantonio. The vehicle was leased from the registered owner, Daimler Chrysler Financial Services Canada Inc. (“Daimler”). Pursuant to an agreement with Daimler, Chrysler Canada Inc. (“Chrysler”) allegedly had an ownership interest in the vehicle and the lease. As a result of the accident, Ms. Graham, suffered permanent injuries, the most severe being a traumatic brain injury for which she will require permanent 24 hour care. The lessees of the Pietrantonio vehicle, Luciano Pietrantonio and West End Tile Limited carried third-party liability insurance. Daimler carried a standard excess insurance policy that provided $10 million of coverage. This policy provided that coverage extended only to the named insured, Daimler, and excluded coverage for any lessee. The insurance coverage available was insufficient to cover the costs of Jodi’s future care. Several of the parties, including the applicants, brought motions for summary judgment regarding the extent of insurance coverage available and the availability of the tort of negligent entrustment. </w:t>
            </w:r>
          </w:p>
        </w:tc>
      </w:tr>
      <w:tr w:rsidR="00B705EB" w:rsidRPr="00B705EB" w:rsidTr="00E95A6A">
        <w:tc>
          <w:tcPr>
            <w:tcW w:w="5000" w:type="pct"/>
            <w:gridSpan w:val="4"/>
          </w:tcPr>
          <w:p w:rsidR="00B705EB" w:rsidRPr="00B705EB" w:rsidRDefault="00B705EB" w:rsidP="00B705EB">
            <w:pPr>
              <w:jc w:val="both"/>
              <w:rPr>
                <w:sz w:val="20"/>
              </w:rPr>
            </w:pPr>
          </w:p>
        </w:tc>
      </w:tr>
      <w:tr w:rsidR="00B705EB" w:rsidRPr="00B705EB" w:rsidTr="00E95A6A">
        <w:tc>
          <w:tcPr>
            <w:tcW w:w="2427" w:type="pct"/>
            <w:gridSpan w:val="2"/>
          </w:tcPr>
          <w:p w:rsidR="00B705EB" w:rsidRPr="00B705EB" w:rsidRDefault="00B705EB" w:rsidP="00B705EB">
            <w:pPr>
              <w:jc w:val="both"/>
              <w:rPr>
                <w:sz w:val="20"/>
              </w:rPr>
            </w:pPr>
            <w:r w:rsidRPr="00B705EB">
              <w:rPr>
                <w:sz w:val="20"/>
              </w:rPr>
              <w:t>January 6, 2015</w:t>
            </w:r>
          </w:p>
          <w:p w:rsidR="00B705EB" w:rsidRPr="00B705EB" w:rsidRDefault="00B705EB" w:rsidP="00B705EB">
            <w:pPr>
              <w:jc w:val="both"/>
              <w:rPr>
                <w:sz w:val="20"/>
              </w:rPr>
            </w:pPr>
            <w:r w:rsidRPr="00B705EB">
              <w:rPr>
                <w:sz w:val="20"/>
              </w:rPr>
              <w:t>Ontario Superior Court of Justice</w:t>
            </w:r>
          </w:p>
          <w:p w:rsidR="00B705EB" w:rsidRPr="00B705EB" w:rsidRDefault="00B705EB" w:rsidP="00B705EB">
            <w:pPr>
              <w:jc w:val="both"/>
              <w:rPr>
                <w:sz w:val="20"/>
              </w:rPr>
            </w:pPr>
            <w:r w:rsidRPr="00B705EB">
              <w:rPr>
                <w:sz w:val="20"/>
              </w:rPr>
              <w:t>(McLean J.)</w:t>
            </w:r>
          </w:p>
          <w:p w:rsidR="00B705EB" w:rsidRPr="00B705EB" w:rsidRDefault="003423AB" w:rsidP="00B705EB">
            <w:pPr>
              <w:jc w:val="both"/>
              <w:rPr>
                <w:sz w:val="20"/>
              </w:rPr>
            </w:pPr>
            <w:hyperlink r:id="rId22" w:history="1">
              <w:r w:rsidR="00B705EB" w:rsidRPr="00B705EB">
                <w:rPr>
                  <w:rStyle w:val="Hyperlink"/>
                  <w:sz w:val="20"/>
                </w:rPr>
                <w:t>2015 ONSC 6821</w:t>
              </w:r>
            </w:hyperlink>
          </w:p>
          <w:p w:rsidR="00B705EB" w:rsidRPr="00B705EB" w:rsidRDefault="00B705EB" w:rsidP="00B705EB">
            <w:pPr>
              <w:jc w:val="both"/>
              <w:rPr>
                <w:sz w:val="20"/>
              </w:rPr>
            </w:pPr>
          </w:p>
        </w:tc>
        <w:tc>
          <w:tcPr>
            <w:tcW w:w="243" w:type="pct"/>
          </w:tcPr>
          <w:p w:rsidR="00B705EB" w:rsidRPr="00B705EB" w:rsidRDefault="00B705EB" w:rsidP="00B705EB">
            <w:pPr>
              <w:jc w:val="both"/>
              <w:rPr>
                <w:sz w:val="20"/>
              </w:rPr>
            </w:pPr>
          </w:p>
        </w:tc>
        <w:tc>
          <w:tcPr>
            <w:tcW w:w="2330" w:type="pct"/>
          </w:tcPr>
          <w:p w:rsidR="00B705EB" w:rsidRPr="00B705EB" w:rsidRDefault="00B705EB" w:rsidP="00B705EB">
            <w:pPr>
              <w:jc w:val="both"/>
              <w:rPr>
                <w:sz w:val="20"/>
              </w:rPr>
            </w:pPr>
            <w:r w:rsidRPr="00B705EB">
              <w:rPr>
                <w:sz w:val="20"/>
              </w:rPr>
              <w:t>Applicants’ motion for declaration that driver was an un-named insured and entitled to coverage under excess policy dismissed. Applicants’ claim against respondents for negligent entrustment dismissed</w:t>
            </w:r>
          </w:p>
          <w:p w:rsidR="00B705EB" w:rsidRPr="00B705EB" w:rsidRDefault="00B705EB" w:rsidP="00B705EB">
            <w:pPr>
              <w:jc w:val="both"/>
              <w:rPr>
                <w:sz w:val="20"/>
              </w:rPr>
            </w:pPr>
          </w:p>
        </w:tc>
      </w:tr>
      <w:tr w:rsidR="00B705EB" w:rsidRPr="00B705EB" w:rsidTr="00E95A6A">
        <w:tc>
          <w:tcPr>
            <w:tcW w:w="2427" w:type="pct"/>
            <w:gridSpan w:val="2"/>
          </w:tcPr>
          <w:p w:rsidR="00B705EB" w:rsidRPr="00B705EB" w:rsidRDefault="00B705EB" w:rsidP="00B705EB">
            <w:pPr>
              <w:jc w:val="both"/>
              <w:rPr>
                <w:sz w:val="20"/>
              </w:rPr>
            </w:pPr>
            <w:r w:rsidRPr="00B705EB">
              <w:rPr>
                <w:sz w:val="20"/>
              </w:rPr>
              <w:lastRenderedPageBreak/>
              <w:t>January 27, 2016</w:t>
            </w:r>
          </w:p>
          <w:p w:rsidR="00B705EB" w:rsidRPr="00B705EB" w:rsidRDefault="00B705EB" w:rsidP="00B705EB">
            <w:pPr>
              <w:jc w:val="both"/>
              <w:rPr>
                <w:sz w:val="20"/>
              </w:rPr>
            </w:pPr>
            <w:r w:rsidRPr="00B705EB">
              <w:rPr>
                <w:sz w:val="20"/>
              </w:rPr>
              <w:t>Court of Appeal for Ontario</w:t>
            </w:r>
          </w:p>
          <w:p w:rsidR="00B705EB" w:rsidRPr="00B705EB" w:rsidRDefault="00B705EB" w:rsidP="00B705EB">
            <w:pPr>
              <w:jc w:val="both"/>
              <w:rPr>
                <w:sz w:val="20"/>
              </w:rPr>
            </w:pPr>
            <w:r w:rsidRPr="00B705EB">
              <w:rPr>
                <w:sz w:val="20"/>
              </w:rPr>
              <w:t>(</w:t>
            </w:r>
            <w:proofErr w:type="spellStart"/>
            <w:r w:rsidRPr="00B705EB">
              <w:rPr>
                <w:sz w:val="20"/>
              </w:rPr>
              <w:t>Gillese</w:t>
            </w:r>
            <w:proofErr w:type="spellEnd"/>
            <w:r w:rsidRPr="00B705EB">
              <w:rPr>
                <w:sz w:val="20"/>
              </w:rPr>
              <w:t xml:space="preserve">, </w:t>
            </w:r>
            <w:proofErr w:type="spellStart"/>
            <w:r w:rsidRPr="00B705EB">
              <w:rPr>
                <w:sz w:val="20"/>
              </w:rPr>
              <w:t>Pepall</w:t>
            </w:r>
            <w:proofErr w:type="spellEnd"/>
            <w:r w:rsidRPr="00B705EB">
              <w:rPr>
                <w:sz w:val="20"/>
              </w:rPr>
              <w:t xml:space="preserve"> and </w:t>
            </w:r>
            <w:proofErr w:type="spellStart"/>
            <w:r w:rsidRPr="00B705EB">
              <w:rPr>
                <w:sz w:val="20"/>
              </w:rPr>
              <w:t>Lauwers</w:t>
            </w:r>
            <w:proofErr w:type="spellEnd"/>
            <w:r w:rsidRPr="00B705EB">
              <w:rPr>
                <w:sz w:val="20"/>
              </w:rPr>
              <w:t xml:space="preserve"> JJ.A.)</w:t>
            </w:r>
          </w:p>
          <w:p w:rsidR="00B705EB" w:rsidRPr="00B705EB" w:rsidRDefault="003423AB" w:rsidP="00B705EB">
            <w:pPr>
              <w:jc w:val="both"/>
              <w:rPr>
                <w:sz w:val="20"/>
              </w:rPr>
            </w:pPr>
            <w:hyperlink r:id="rId23" w:history="1">
              <w:r w:rsidR="00B705EB" w:rsidRPr="00B705EB">
                <w:rPr>
                  <w:rStyle w:val="Hyperlink"/>
                  <w:sz w:val="20"/>
                </w:rPr>
                <w:t>2016 ONCA 55</w:t>
              </w:r>
            </w:hyperlink>
          </w:p>
          <w:p w:rsidR="00B705EB" w:rsidRPr="00B705EB" w:rsidRDefault="00B705EB" w:rsidP="00B705EB">
            <w:pPr>
              <w:jc w:val="both"/>
              <w:rPr>
                <w:sz w:val="20"/>
              </w:rPr>
            </w:pPr>
          </w:p>
        </w:tc>
        <w:tc>
          <w:tcPr>
            <w:tcW w:w="243" w:type="pct"/>
          </w:tcPr>
          <w:p w:rsidR="00B705EB" w:rsidRPr="00B705EB" w:rsidRDefault="00B705EB" w:rsidP="00B705EB">
            <w:pPr>
              <w:jc w:val="both"/>
              <w:rPr>
                <w:sz w:val="20"/>
              </w:rPr>
            </w:pPr>
          </w:p>
        </w:tc>
        <w:tc>
          <w:tcPr>
            <w:tcW w:w="2330" w:type="pct"/>
          </w:tcPr>
          <w:p w:rsidR="00B705EB" w:rsidRPr="00B705EB" w:rsidRDefault="00B705EB" w:rsidP="00B705EB">
            <w:pPr>
              <w:jc w:val="both"/>
              <w:rPr>
                <w:sz w:val="20"/>
              </w:rPr>
            </w:pPr>
            <w:r w:rsidRPr="00B705EB">
              <w:rPr>
                <w:sz w:val="20"/>
              </w:rPr>
              <w:t>Applicants’ appeal dismissed.</w:t>
            </w:r>
          </w:p>
          <w:p w:rsidR="00B705EB" w:rsidRPr="00B705EB" w:rsidRDefault="00B705EB" w:rsidP="00B705EB">
            <w:pPr>
              <w:jc w:val="both"/>
              <w:rPr>
                <w:sz w:val="20"/>
              </w:rPr>
            </w:pPr>
          </w:p>
        </w:tc>
      </w:tr>
      <w:tr w:rsidR="00B705EB" w:rsidRPr="00B705EB" w:rsidTr="00E95A6A">
        <w:tc>
          <w:tcPr>
            <w:tcW w:w="2427" w:type="pct"/>
            <w:gridSpan w:val="2"/>
          </w:tcPr>
          <w:p w:rsidR="00B705EB" w:rsidRPr="00B705EB" w:rsidRDefault="00B705EB" w:rsidP="00B705EB">
            <w:pPr>
              <w:jc w:val="both"/>
              <w:rPr>
                <w:sz w:val="20"/>
              </w:rPr>
            </w:pPr>
            <w:r w:rsidRPr="00B705EB">
              <w:rPr>
                <w:sz w:val="20"/>
              </w:rPr>
              <w:t>February 23, 2016</w:t>
            </w:r>
          </w:p>
          <w:p w:rsidR="00B705EB" w:rsidRPr="00B705EB" w:rsidRDefault="00B705EB" w:rsidP="00B705EB">
            <w:pPr>
              <w:jc w:val="both"/>
              <w:rPr>
                <w:sz w:val="20"/>
              </w:rPr>
            </w:pPr>
            <w:r w:rsidRPr="00B705EB">
              <w:rPr>
                <w:sz w:val="20"/>
              </w:rPr>
              <w:t>Supreme Court of Canada</w:t>
            </w:r>
          </w:p>
        </w:tc>
        <w:tc>
          <w:tcPr>
            <w:tcW w:w="243" w:type="pct"/>
          </w:tcPr>
          <w:p w:rsidR="00B705EB" w:rsidRPr="00B705EB" w:rsidRDefault="00B705EB" w:rsidP="00B705EB">
            <w:pPr>
              <w:jc w:val="both"/>
              <w:rPr>
                <w:sz w:val="20"/>
              </w:rPr>
            </w:pPr>
          </w:p>
        </w:tc>
        <w:tc>
          <w:tcPr>
            <w:tcW w:w="2330" w:type="pct"/>
          </w:tcPr>
          <w:p w:rsidR="00B705EB" w:rsidRPr="00B705EB" w:rsidRDefault="00B705EB" w:rsidP="00B705EB">
            <w:pPr>
              <w:jc w:val="both"/>
              <w:rPr>
                <w:sz w:val="20"/>
              </w:rPr>
            </w:pPr>
            <w:r w:rsidRPr="00B705EB">
              <w:rPr>
                <w:sz w:val="20"/>
              </w:rPr>
              <w:t>Application for leave to appeal filed</w:t>
            </w:r>
          </w:p>
          <w:p w:rsidR="00B705EB" w:rsidRPr="00B705EB" w:rsidRDefault="00B705EB" w:rsidP="00B705EB">
            <w:pPr>
              <w:jc w:val="both"/>
              <w:rPr>
                <w:sz w:val="20"/>
              </w:rPr>
            </w:pPr>
          </w:p>
        </w:tc>
      </w:tr>
    </w:tbl>
    <w:p w:rsidR="00B705EB" w:rsidRPr="00B705EB" w:rsidRDefault="00B705EB" w:rsidP="00B705EB">
      <w:pPr>
        <w:jc w:val="both"/>
        <w:rPr>
          <w:sz w:val="20"/>
        </w:rPr>
      </w:pPr>
    </w:p>
    <w:p w:rsidR="00B705EB" w:rsidRPr="00B705EB" w:rsidRDefault="00B705EB" w:rsidP="00B705E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705EB" w:rsidRPr="00B705EB" w:rsidTr="00E95A6A">
        <w:tc>
          <w:tcPr>
            <w:tcW w:w="543" w:type="pct"/>
          </w:tcPr>
          <w:p w:rsidR="00B705EB" w:rsidRPr="00B705EB" w:rsidRDefault="00B705EB" w:rsidP="00B705EB">
            <w:pPr>
              <w:jc w:val="both"/>
              <w:rPr>
                <w:sz w:val="20"/>
                <w:lang w:val="fr-CA"/>
              </w:rPr>
            </w:pPr>
            <w:r w:rsidRPr="00B705EB">
              <w:rPr>
                <w:rStyle w:val="SCCFileNumberChar"/>
                <w:sz w:val="20"/>
                <w:szCs w:val="20"/>
                <w:lang w:val="fr-CA"/>
              </w:rPr>
              <w:t>36870</w:t>
            </w:r>
          </w:p>
        </w:tc>
        <w:tc>
          <w:tcPr>
            <w:tcW w:w="4457" w:type="pct"/>
            <w:gridSpan w:val="3"/>
          </w:tcPr>
          <w:p w:rsidR="00B705EB" w:rsidRPr="00B705EB" w:rsidRDefault="00B705EB" w:rsidP="00B705EB">
            <w:pPr>
              <w:pStyle w:val="SCCLsocParty"/>
              <w:jc w:val="both"/>
              <w:rPr>
                <w:b/>
                <w:sz w:val="20"/>
                <w:szCs w:val="20"/>
              </w:rPr>
            </w:pPr>
            <w:r w:rsidRPr="00B705EB">
              <w:rPr>
                <w:b/>
                <w:sz w:val="20"/>
                <w:szCs w:val="20"/>
              </w:rPr>
              <w:t>Jodi Graham, Colin J. Graham, représentés par leur tutrice à l’instance, Cheryl Margaret Graham, Cheryl Margaret Graham, Joseph Raymond Graham et Christopher R. Graham c. Chrysler Canada Inc., Daimler Chrysler Financial Services Canada Inc., Corepointe Insurance Company, faisant auparavant affaire sous le nom de Daimler Chrysler Insurance</w:t>
            </w:r>
          </w:p>
          <w:p w:rsidR="00B705EB" w:rsidRPr="00B705EB" w:rsidRDefault="00B705EB" w:rsidP="00B705EB">
            <w:pPr>
              <w:jc w:val="both"/>
              <w:rPr>
                <w:sz w:val="20"/>
                <w:lang w:val="fr-CA"/>
              </w:rPr>
            </w:pPr>
            <w:r w:rsidRPr="00B705EB">
              <w:rPr>
                <w:sz w:val="20"/>
                <w:lang w:val="fr-CA"/>
              </w:rPr>
              <w:t>(Ont.) (Civile) (Sur autorisation)</w:t>
            </w:r>
          </w:p>
        </w:tc>
      </w:tr>
      <w:tr w:rsidR="00B705EB" w:rsidRPr="00B705EB" w:rsidTr="00E95A6A">
        <w:tc>
          <w:tcPr>
            <w:tcW w:w="5000" w:type="pct"/>
            <w:gridSpan w:val="4"/>
          </w:tcPr>
          <w:p w:rsidR="00B705EB" w:rsidRPr="00B705EB" w:rsidRDefault="00B705EB" w:rsidP="00B705EB">
            <w:pPr>
              <w:jc w:val="both"/>
              <w:rPr>
                <w:sz w:val="20"/>
                <w:lang w:val="fr-CA"/>
              </w:rPr>
            </w:pPr>
            <w:r w:rsidRPr="00B705EB">
              <w:rPr>
                <w:sz w:val="20"/>
                <w:lang w:val="fr-CA"/>
              </w:rPr>
              <w:t xml:space="preserve">Assurance – Assurance automobile – Couverture – La demanderesse a subi des blessures permanentes dans un accident de la route causé par le conducteur d’un véhicule loué – Les juridictions inférieures ont-elles eu tort de conclure Chrysler Canada Inc. et Daimler Financial Services Canada Inc. étaient toutes les deux des bailleurs au sens du par. 267.1(12) de la </w:t>
            </w:r>
            <w:r w:rsidRPr="00B705EB">
              <w:rPr>
                <w:i/>
                <w:sz w:val="20"/>
                <w:lang w:val="fr-CA"/>
              </w:rPr>
              <w:t>Loi sur les assurances</w:t>
            </w:r>
            <w:r w:rsidRPr="00B705EB">
              <w:rPr>
                <w:sz w:val="20"/>
                <w:lang w:val="fr-CA"/>
              </w:rPr>
              <w:t>, L.R.O., ch. I.8, si bien qu’elles avaient toutes les deux le droit de bénéficier d’un plafond de responsabilité? – La Cour d’appel a-t-elle eu tort de ne pas conclure que le conducteur du véhicule loué était un assuré non désigné visé par la Police standard d’assurance complémentaire et avait droit à une couverture de 10 millions de dollars? – Les juridictions inférieures ont-elles eu tort de rejeter sommairement la demande des demandeurs qui allèguent que le véhicule loué avait été confié par négligence au conducteur?</w:t>
            </w:r>
          </w:p>
          <w:p w:rsidR="00B705EB" w:rsidRPr="00B705EB" w:rsidRDefault="00B705EB" w:rsidP="00B705EB">
            <w:pPr>
              <w:jc w:val="both"/>
              <w:rPr>
                <w:sz w:val="20"/>
                <w:lang w:val="fr-CA"/>
              </w:rPr>
            </w:pPr>
          </w:p>
        </w:tc>
      </w:tr>
      <w:tr w:rsidR="00B705EB" w:rsidRPr="00B705EB" w:rsidTr="00E95A6A">
        <w:tc>
          <w:tcPr>
            <w:tcW w:w="5000" w:type="pct"/>
            <w:gridSpan w:val="4"/>
          </w:tcPr>
          <w:p w:rsidR="00B705EB" w:rsidRPr="00B705EB" w:rsidRDefault="00B705EB" w:rsidP="00B705EB">
            <w:pPr>
              <w:jc w:val="both"/>
              <w:rPr>
                <w:sz w:val="20"/>
                <w:lang w:val="fr-CA"/>
              </w:rPr>
            </w:pPr>
            <w:r w:rsidRPr="00B705EB">
              <w:rPr>
                <w:sz w:val="20"/>
                <w:lang w:val="fr-CA"/>
              </w:rPr>
              <w:t xml:space="preserve">Le 18 mai 2006, Jodi Graham prenait place comme passagère sur la banquette avant d’un véhicule qui a été heurté sur le côté passager par un véhicule conduit par l’intimé, Mario Pietrantonio. Le véhicule avait été loué du propriétaire immatriculé, Daimler Chrysler Financial Services Canada Inc. (« Daimler »). En vertu d’une entente avec Daimler, Chrysler Canada Inc. (« Chrysler ») était censée avoir un droit de propriété à l’égard du véhicule et du bail. En raison de l’accident, Mme Graham a subi des blessures permanentes, la plus grave étant un traumatisme crânien pour laquelle elle devra recevoir des soins permanents 24 heures par jour. Les locataires du véhicule conduit par M. Pietrantonio, Luciano Pietrantonio et West End Tile Limited, étaient titulaires d’une assurance responsabilité civile. Daimler était titulaire d’une police standard d’assurance complémentaire qui prévoyait une couverture de 10 millions de dollars. Cette police prévoyait que la couverture ne s’étendait qu’a l’assurée désignée, Daimler, et excluait la couverture pour tout locataire. La couverture d’assurance était insuffisante pour couvrir les coûts des soins dont Jodi aurait besoin à l’avenir. Plusieurs parties, y compris les demandeurs, ont présenté des motions en jugement sommaire relativement à l’ampleur de la couverture disponible et la possibilité d’invoquer le délit civil d’avoir confié par négligence le véhicule au conducteur. </w:t>
            </w:r>
          </w:p>
        </w:tc>
      </w:tr>
      <w:tr w:rsidR="00B705EB" w:rsidRPr="00B705EB" w:rsidTr="00E95A6A">
        <w:tc>
          <w:tcPr>
            <w:tcW w:w="5000" w:type="pct"/>
            <w:gridSpan w:val="4"/>
          </w:tcPr>
          <w:p w:rsidR="00B705EB" w:rsidRPr="00B705EB" w:rsidRDefault="00B705EB" w:rsidP="00B705EB">
            <w:pPr>
              <w:jc w:val="both"/>
              <w:rPr>
                <w:sz w:val="20"/>
                <w:lang w:val="fr-CA"/>
              </w:rPr>
            </w:pPr>
          </w:p>
        </w:tc>
      </w:tr>
      <w:tr w:rsidR="00B705EB" w:rsidRPr="00B705EB" w:rsidTr="00E95A6A">
        <w:tc>
          <w:tcPr>
            <w:tcW w:w="2427" w:type="pct"/>
            <w:gridSpan w:val="2"/>
          </w:tcPr>
          <w:p w:rsidR="00B705EB" w:rsidRPr="00B705EB" w:rsidRDefault="00B705EB" w:rsidP="00B705EB">
            <w:pPr>
              <w:jc w:val="both"/>
              <w:rPr>
                <w:sz w:val="20"/>
                <w:lang w:val="fr-CA"/>
              </w:rPr>
            </w:pPr>
            <w:r w:rsidRPr="00B705EB">
              <w:rPr>
                <w:sz w:val="20"/>
                <w:lang w:val="fr-CA"/>
              </w:rPr>
              <w:t>6 janvier 2015</w:t>
            </w:r>
          </w:p>
          <w:p w:rsidR="00B705EB" w:rsidRPr="00B705EB" w:rsidRDefault="00B705EB" w:rsidP="00B705EB">
            <w:pPr>
              <w:jc w:val="both"/>
              <w:rPr>
                <w:sz w:val="20"/>
                <w:lang w:val="fr-CA"/>
              </w:rPr>
            </w:pPr>
            <w:r w:rsidRPr="00B705EB">
              <w:rPr>
                <w:sz w:val="20"/>
                <w:lang w:val="fr-CA"/>
              </w:rPr>
              <w:t xml:space="preserve">Cour supérieure de justice de l’Ontario </w:t>
            </w:r>
          </w:p>
          <w:p w:rsidR="00B705EB" w:rsidRPr="00B705EB" w:rsidRDefault="00B705EB" w:rsidP="00B705EB">
            <w:pPr>
              <w:jc w:val="both"/>
              <w:rPr>
                <w:sz w:val="20"/>
                <w:lang w:val="fr-CA"/>
              </w:rPr>
            </w:pPr>
            <w:r w:rsidRPr="00B705EB">
              <w:rPr>
                <w:sz w:val="20"/>
                <w:lang w:val="fr-CA"/>
              </w:rPr>
              <w:t>(Juge McLean)</w:t>
            </w:r>
          </w:p>
          <w:p w:rsidR="00B705EB" w:rsidRPr="00B705EB" w:rsidRDefault="003423AB" w:rsidP="00B705EB">
            <w:pPr>
              <w:jc w:val="both"/>
              <w:rPr>
                <w:sz w:val="20"/>
                <w:lang w:val="fr-CA"/>
              </w:rPr>
            </w:pPr>
            <w:hyperlink r:id="rId24" w:history="1">
              <w:r w:rsidR="00B705EB" w:rsidRPr="00B705EB">
                <w:rPr>
                  <w:rStyle w:val="Hyperlink"/>
                  <w:sz w:val="20"/>
                  <w:lang w:val="fr-CA"/>
                </w:rPr>
                <w:t>2015 ONSC 6821</w:t>
              </w:r>
            </w:hyperlink>
          </w:p>
          <w:p w:rsidR="00B705EB" w:rsidRPr="00B705EB" w:rsidRDefault="00B705EB" w:rsidP="00B705EB">
            <w:pPr>
              <w:jc w:val="both"/>
              <w:rPr>
                <w:sz w:val="20"/>
                <w:lang w:val="fr-CA"/>
              </w:rPr>
            </w:pPr>
          </w:p>
        </w:tc>
        <w:tc>
          <w:tcPr>
            <w:tcW w:w="243" w:type="pct"/>
          </w:tcPr>
          <w:p w:rsidR="00B705EB" w:rsidRPr="00B705EB" w:rsidRDefault="00B705EB" w:rsidP="00B705EB">
            <w:pPr>
              <w:jc w:val="both"/>
              <w:rPr>
                <w:sz w:val="20"/>
                <w:lang w:val="fr-CA"/>
              </w:rPr>
            </w:pPr>
          </w:p>
        </w:tc>
        <w:tc>
          <w:tcPr>
            <w:tcW w:w="2330" w:type="pct"/>
          </w:tcPr>
          <w:p w:rsidR="00B705EB" w:rsidRPr="00B705EB" w:rsidRDefault="00B705EB" w:rsidP="00B705EB">
            <w:pPr>
              <w:jc w:val="both"/>
              <w:rPr>
                <w:sz w:val="20"/>
                <w:lang w:val="fr-CA"/>
              </w:rPr>
            </w:pPr>
            <w:r w:rsidRPr="00B705EB">
              <w:rPr>
                <w:sz w:val="20"/>
                <w:lang w:val="fr-CA"/>
              </w:rPr>
              <w:t>Rejet de la motion des demandeurs pour obtenir un jugement déclarant que le conducteur était un assuré non désigné et avait droit à la couverture en vertu de la police complémentaire. Rejet de la demande des demandeurs contre les intimés alléguant que ces derniers auraient confié par négligence le véhicule au conducteur</w:t>
            </w:r>
          </w:p>
          <w:p w:rsidR="00B705EB" w:rsidRPr="00B705EB" w:rsidRDefault="00B705EB" w:rsidP="00B705EB">
            <w:pPr>
              <w:jc w:val="both"/>
              <w:rPr>
                <w:sz w:val="20"/>
                <w:lang w:val="fr-CA"/>
              </w:rPr>
            </w:pPr>
          </w:p>
        </w:tc>
      </w:tr>
      <w:tr w:rsidR="00B705EB" w:rsidRPr="00B705EB" w:rsidTr="00E95A6A">
        <w:tc>
          <w:tcPr>
            <w:tcW w:w="2427" w:type="pct"/>
            <w:gridSpan w:val="2"/>
          </w:tcPr>
          <w:p w:rsidR="00B705EB" w:rsidRPr="00B705EB" w:rsidRDefault="00B705EB" w:rsidP="00B705EB">
            <w:pPr>
              <w:jc w:val="both"/>
              <w:rPr>
                <w:sz w:val="20"/>
                <w:lang w:val="fr-CA"/>
              </w:rPr>
            </w:pPr>
            <w:r w:rsidRPr="00B705EB">
              <w:rPr>
                <w:sz w:val="20"/>
                <w:lang w:val="fr-CA"/>
              </w:rPr>
              <w:t>27 janvier 2016</w:t>
            </w:r>
          </w:p>
          <w:p w:rsidR="00B705EB" w:rsidRPr="00B705EB" w:rsidRDefault="00B705EB" w:rsidP="00B705EB">
            <w:pPr>
              <w:jc w:val="both"/>
              <w:rPr>
                <w:sz w:val="20"/>
                <w:lang w:val="fr-CA"/>
              </w:rPr>
            </w:pPr>
            <w:r w:rsidRPr="00B705EB">
              <w:rPr>
                <w:sz w:val="20"/>
                <w:lang w:val="fr-CA"/>
              </w:rPr>
              <w:t xml:space="preserve">Cour d’appel de l’Ontario </w:t>
            </w:r>
          </w:p>
          <w:p w:rsidR="00B705EB" w:rsidRPr="00B705EB" w:rsidRDefault="00B705EB" w:rsidP="00B705EB">
            <w:pPr>
              <w:jc w:val="both"/>
              <w:rPr>
                <w:sz w:val="20"/>
                <w:lang w:val="fr-CA"/>
              </w:rPr>
            </w:pPr>
            <w:r w:rsidRPr="00B705EB">
              <w:rPr>
                <w:sz w:val="20"/>
                <w:lang w:val="fr-CA"/>
              </w:rPr>
              <w:t>(Juges Gillese, Pepall et Lauwers)</w:t>
            </w:r>
          </w:p>
          <w:p w:rsidR="00B705EB" w:rsidRPr="00B705EB" w:rsidRDefault="003423AB" w:rsidP="00B705EB">
            <w:pPr>
              <w:jc w:val="both"/>
              <w:rPr>
                <w:sz w:val="20"/>
                <w:lang w:val="fr-CA"/>
              </w:rPr>
            </w:pPr>
            <w:hyperlink r:id="rId25" w:history="1">
              <w:r w:rsidR="00B705EB" w:rsidRPr="00B705EB">
                <w:rPr>
                  <w:rStyle w:val="Hyperlink"/>
                  <w:sz w:val="20"/>
                  <w:lang w:val="fr-CA"/>
                </w:rPr>
                <w:t>2016 ONCA 55</w:t>
              </w:r>
            </w:hyperlink>
          </w:p>
          <w:p w:rsidR="00B705EB" w:rsidRPr="00B705EB" w:rsidRDefault="00B705EB" w:rsidP="00B705EB">
            <w:pPr>
              <w:jc w:val="both"/>
              <w:rPr>
                <w:sz w:val="20"/>
                <w:lang w:val="fr-CA"/>
              </w:rPr>
            </w:pPr>
          </w:p>
        </w:tc>
        <w:tc>
          <w:tcPr>
            <w:tcW w:w="243" w:type="pct"/>
          </w:tcPr>
          <w:p w:rsidR="00B705EB" w:rsidRPr="00B705EB" w:rsidRDefault="00B705EB" w:rsidP="00B705EB">
            <w:pPr>
              <w:jc w:val="both"/>
              <w:rPr>
                <w:sz w:val="20"/>
                <w:lang w:val="fr-CA"/>
              </w:rPr>
            </w:pPr>
          </w:p>
        </w:tc>
        <w:tc>
          <w:tcPr>
            <w:tcW w:w="2330" w:type="pct"/>
          </w:tcPr>
          <w:p w:rsidR="00B705EB" w:rsidRPr="00B705EB" w:rsidRDefault="00B705EB" w:rsidP="00B705EB">
            <w:pPr>
              <w:jc w:val="both"/>
              <w:rPr>
                <w:sz w:val="20"/>
                <w:lang w:val="fr-CA"/>
              </w:rPr>
            </w:pPr>
            <w:r w:rsidRPr="00B705EB">
              <w:rPr>
                <w:sz w:val="20"/>
                <w:lang w:val="fr-CA"/>
              </w:rPr>
              <w:t>Rejet de l’appel des demandeurs.</w:t>
            </w:r>
          </w:p>
          <w:p w:rsidR="00B705EB" w:rsidRPr="00B705EB" w:rsidRDefault="00B705EB" w:rsidP="00B705EB">
            <w:pPr>
              <w:jc w:val="both"/>
              <w:rPr>
                <w:sz w:val="20"/>
                <w:lang w:val="fr-CA"/>
              </w:rPr>
            </w:pPr>
          </w:p>
        </w:tc>
      </w:tr>
      <w:tr w:rsidR="00B705EB" w:rsidRPr="00B705EB" w:rsidTr="00E95A6A">
        <w:tc>
          <w:tcPr>
            <w:tcW w:w="2427" w:type="pct"/>
            <w:gridSpan w:val="2"/>
          </w:tcPr>
          <w:p w:rsidR="00B705EB" w:rsidRPr="00B705EB" w:rsidRDefault="00B705EB" w:rsidP="00B705EB">
            <w:pPr>
              <w:jc w:val="both"/>
              <w:rPr>
                <w:sz w:val="20"/>
                <w:lang w:val="fr-CA"/>
              </w:rPr>
            </w:pPr>
            <w:r w:rsidRPr="00B705EB">
              <w:rPr>
                <w:sz w:val="20"/>
                <w:lang w:val="fr-CA"/>
              </w:rPr>
              <w:t>23 février 2016</w:t>
            </w:r>
          </w:p>
          <w:p w:rsidR="00B705EB" w:rsidRPr="00B705EB" w:rsidRDefault="00B705EB" w:rsidP="00B705EB">
            <w:pPr>
              <w:jc w:val="both"/>
              <w:rPr>
                <w:sz w:val="20"/>
                <w:lang w:val="fr-CA"/>
              </w:rPr>
            </w:pPr>
            <w:r w:rsidRPr="00B705EB">
              <w:rPr>
                <w:sz w:val="20"/>
                <w:lang w:val="fr-CA"/>
              </w:rPr>
              <w:lastRenderedPageBreak/>
              <w:t>Cour suprême du Canada</w:t>
            </w:r>
          </w:p>
        </w:tc>
        <w:tc>
          <w:tcPr>
            <w:tcW w:w="243" w:type="pct"/>
          </w:tcPr>
          <w:p w:rsidR="00B705EB" w:rsidRPr="00B705EB" w:rsidRDefault="00B705EB" w:rsidP="00B705EB">
            <w:pPr>
              <w:jc w:val="both"/>
              <w:rPr>
                <w:sz w:val="20"/>
                <w:lang w:val="fr-CA"/>
              </w:rPr>
            </w:pPr>
          </w:p>
        </w:tc>
        <w:tc>
          <w:tcPr>
            <w:tcW w:w="2330" w:type="pct"/>
          </w:tcPr>
          <w:p w:rsidR="00B705EB" w:rsidRPr="00B705EB" w:rsidRDefault="00B705EB" w:rsidP="00B705EB">
            <w:pPr>
              <w:jc w:val="both"/>
              <w:rPr>
                <w:sz w:val="20"/>
                <w:lang w:val="fr-CA"/>
              </w:rPr>
            </w:pPr>
            <w:r w:rsidRPr="00B705EB">
              <w:rPr>
                <w:sz w:val="20"/>
                <w:lang w:val="fr-CA"/>
              </w:rPr>
              <w:t>Dépôt de la demande d’autorisation d’appel</w:t>
            </w:r>
          </w:p>
        </w:tc>
      </w:tr>
    </w:tbl>
    <w:p w:rsidR="00B705EB" w:rsidRPr="00B705EB" w:rsidRDefault="00B705EB" w:rsidP="00B705EB">
      <w:pPr>
        <w:jc w:val="both"/>
        <w:rPr>
          <w:sz w:val="20"/>
          <w:lang w:val="fr-CA"/>
        </w:rPr>
      </w:pPr>
    </w:p>
    <w:p w:rsidR="00821634" w:rsidRPr="005E5174" w:rsidRDefault="00821634" w:rsidP="005E5174">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5174" w:rsidRPr="005E5174" w:rsidTr="00E95A6A">
        <w:tc>
          <w:tcPr>
            <w:tcW w:w="543" w:type="pct"/>
          </w:tcPr>
          <w:p w:rsidR="005E5174" w:rsidRPr="005E5174" w:rsidRDefault="005E5174" w:rsidP="005E5174">
            <w:pPr>
              <w:jc w:val="both"/>
              <w:rPr>
                <w:sz w:val="20"/>
              </w:rPr>
            </w:pPr>
            <w:r w:rsidRPr="005E5174">
              <w:rPr>
                <w:rStyle w:val="SCCFileNumberChar"/>
                <w:sz w:val="20"/>
                <w:szCs w:val="20"/>
              </w:rPr>
              <w:t>36902</w:t>
            </w:r>
          </w:p>
        </w:tc>
        <w:tc>
          <w:tcPr>
            <w:tcW w:w="4457" w:type="pct"/>
            <w:gridSpan w:val="3"/>
          </w:tcPr>
          <w:p w:rsidR="005E5174" w:rsidRPr="005E5174" w:rsidRDefault="005E5174" w:rsidP="005E5174">
            <w:pPr>
              <w:pStyle w:val="SCCLsocParty"/>
              <w:jc w:val="both"/>
              <w:rPr>
                <w:b/>
                <w:sz w:val="20"/>
                <w:szCs w:val="20"/>
              </w:rPr>
            </w:pPr>
            <w:proofErr w:type="spellStart"/>
            <w:r w:rsidRPr="005E5174">
              <w:rPr>
                <w:b/>
                <w:sz w:val="20"/>
                <w:szCs w:val="20"/>
              </w:rPr>
              <w:t>Ileshkumar</w:t>
            </w:r>
            <w:proofErr w:type="spellEnd"/>
            <w:r w:rsidRPr="005E5174">
              <w:rPr>
                <w:b/>
                <w:sz w:val="20"/>
                <w:szCs w:val="20"/>
              </w:rPr>
              <w:t xml:space="preserve"> Shah </w:t>
            </w:r>
            <w:proofErr w:type="spellStart"/>
            <w:r w:rsidRPr="005E5174">
              <w:rPr>
                <w:b/>
                <w:sz w:val="20"/>
                <w:szCs w:val="20"/>
              </w:rPr>
              <w:t>also</w:t>
            </w:r>
            <w:proofErr w:type="spellEnd"/>
            <w:r w:rsidRPr="005E5174">
              <w:rPr>
                <w:b/>
                <w:sz w:val="20"/>
                <w:szCs w:val="20"/>
              </w:rPr>
              <w:t xml:space="preserve"> </w:t>
            </w:r>
            <w:proofErr w:type="spellStart"/>
            <w:r w:rsidRPr="005E5174">
              <w:rPr>
                <w:b/>
                <w:sz w:val="20"/>
                <w:szCs w:val="20"/>
              </w:rPr>
              <w:t>known</w:t>
            </w:r>
            <w:proofErr w:type="spellEnd"/>
            <w:r w:rsidRPr="005E5174">
              <w:rPr>
                <w:b/>
                <w:sz w:val="20"/>
                <w:szCs w:val="20"/>
              </w:rPr>
              <w:t xml:space="preserve"> as </w:t>
            </w:r>
            <w:proofErr w:type="spellStart"/>
            <w:r w:rsidRPr="005E5174">
              <w:rPr>
                <w:b/>
                <w:sz w:val="20"/>
                <w:szCs w:val="20"/>
              </w:rPr>
              <w:t>Ileshkumarpadm</w:t>
            </w:r>
            <w:proofErr w:type="spellEnd"/>
            <w:r w:rsidRPr="005E5174">
              <w:rPr>
                <w:b/>
                <w:sz w:val="20"/>
                <w:szCs w:val="20"/>
              </w:rPr>
              <w:t xml:space="preserve"> Shah v. Bank of Montreal for itself and on </w:t>
            </w:r>
            <w:proofErr w:type="spellStart"/>
            <w:r w:rsidRPr="005E5174">
              <w:rPr>
                <w:b/>
                <w:sz w:val="20"/>
                <w:szCs w:val="20"/>
              </w:rPr>
              <w:t>behalf</w:t>
            </w:r>
            <w:proofErr w:type="spellEnd"/>
            <w:r w:rsidRPr="005E5174">
              <w:rPr>
                <w:b/>
                <w:sz w:val="20"/>
                <w:szCs w:val="20"/>
              </w:rPr>
              <w:t xml:space="preserve"> of all </w:t>
            </w:r>
            <w:proofErr w:type="spellStart"/>
            <w:r w:rsidRPr="005E5174">
              <w:rPr>
                <w:b/>
                <w:sz w:val="20"/>
                <w:szCs w:val="20"/>
              </w:rPr>
              <w:t>creditors</w:t>
            </w:r>
            <w:proofErr w:type="spellEnd"/>
            <w:r w:rsidRPr="005E5174">
              <w:rPr>
                <w:b/>
                <w:sz w:val="20"/>
                <w:szCs w:val="20"/>
              </w:rPr>
              <w:t xml:space="preserve"> of Amer </w:t>
            </w:r>
            <w:proofErr w:type="spellStart"/>
            <w:r w:rsidRPr="005E5174">
              <w:rPr>
                <w:b/>
                <w:sz w:val="20"/>
                <w:szCs w:val="20"/>
              </w:rPr>
              <w:t>Javed</w:t>
            </w:r>
            <w:proofErr w:type="spellEnd"/>
            <w:r w:rsidRPr="005E5174">
              <w:rPr>
                <w:b/>
                <w:sz w:val="20"/>
                <w:szCs w:val="20"/>
              </w:rPr>
              <w:t xml:space="preserve">, </w:t>
            </w:r>
            <w:proofErr w:type="spellStart"/>
            <w:r w:rsidRPr="005E5174">
              <w:rPr>
                <w:b/>
                <w:sz w:val="20"/>
                <w:szCs w:val="20"/>
              </w:rPr>
              <w:t>Ileshkumar</w:t>
            </w:r>
            <w:proofErr w:type="spellEnd"/>
            <w:r w:rsidRPr="005E5174">
              <w:rPr>
                <w:b/>
                <w:sz w:val="20"/>
                <w:szCs w:val="20"/>
              </w:rPr>
              <w:t xml:space="preserve"> Shah </w:t>
            </w:r>
            <w:proofErr w:type="spellStart"/>
            <w:r w:rsidRPr="005E5174">
              <w:rPr>
                <w:b/>
                <w:sz w:val="20"/>
                <w:szCs w:val="20"/>
              </w:rPr>
              <w:t>also</w:t>
            </w:r>
            <w:proofErr w:type="spellEnd"/>
            <w:r w:rsidRPr="005E5174">
              <w:rPr>
                <w:b/>
                <w:sz w:val="20"/>
                <w:szCs w:val="20"/>
              </w:rPr>
              <w:t xml:space="preserve"> </w:t>
            </w:r>
            <w:proofErr w:type="spellStart"/>
            <w:r w:rsidRPr="005E5174">
              <w:rPr>
                <w:b/>
                <w:sz w:val="20"/>
                <w:szCs w:val="20"/>
              </w:rPr>
              <w:t>known</w:t>
            </w:r>
            <w:proofErr w:type="spellEnd"/>
            <w:r w:rsidRPr="005E5174">
              <w:rPr>
                <w:b/>
                <w:sz w:val="20"/>
                <w:szCs w:val="20"/>
              </w:rPr>
              <w:t xml:space="preserve"> as </w:t>
            </w:r>
            <w:proofErr w:type="spellStart"/>
            <w:r w:rsidRPr="005E5174">
              <w:rPr>
                <w:b/>
                <w:sz w:val="20"/>
                <w:szCs w:val="20"/>
              </w:rPr>
              <w:t>Ileshkumarpadm</w:t>
            </w:r>
            <w:proofErr w:type="spellEnd"/>
            <w:r w:rsidRPr="005E5174">
              <w:rPr>
                <w:b/>
                <w:sz w:val="20"/>
                <w:szCs w:val="20"/>
              </w:rPr>
              <w:t xml:space="preserve"> Shah and </w:t>
            </w:r>
            <w:proofErr w:type="spellStart"/>
            <w:r w:rsidRPr="005E5174">
              <w:rPr>
                <w:b/>
                <w:sz w:val="20"/>
                <w:szCs w:val="20"/>
              </w:rPr>
              <w:t>Mayaben</w:t>
            </w:r>
            <w:proofErr w:type="spellEnd"/>
            <w:r w:rsidRPr="005E5174">
              <w:rPr>
                <w:b/>
                <w:sz w:val="20"/>
                <w:szCs w:val="20"/>
              </w:rPr>
              <w:t xml:space="preserve"> </w:t>
            </w:r>
            <w:proofErr w:type="spellStart"/>
            <w:r w:rsidRPr="005E5174">
              <w:rPr>
                <w:b/>
                <w:sz w:val="20"/>
                <w:szCs w:val="20"/>
              </w:rPr>
              <w:t>Ileshkumar</w:t>
            </w:r>
            <w:proofErr w:type="spellEnd"/>
            <w:r w:rsidRPr="005E5174">
              <w:rPr>
                <w:b/>
                <w:sz w:val="20"/>
                <w:szCs w:val="20"/>
              </w:rPr>
              <w:t xml:space="preserve"> Shah</w:t>
            </w:r>
          </w:p>
          <w:p w:rsidR="005E5174" w:rsidRPr="005E5174" w:rsidRDefault="005E5174" w:rsidP="005E5174">
            <w:pPr>
              <w:jc w:val="both"/>
              <w:rPr>
                <w:sz w:val="20"/>
              </w:rPr>
            </w:pPr>
            <w:r w:rsidRPr="005E5174">
              <w:rPr>
                <w:sz w:val="20"/>
              </w:rPr>
              <w:t>(Ont.) (Civil) (By Leave)</w:t>
            </w:r>
          </w:p>
        </w:tc>
      </w:tr>
      <w:tr w:rsidR="005E5174" w:rsidRPr="005E5174" w:rsidTr="00E95A6A">
        <w:tc>
          <w:tcPr>
            <w:tcW w:w="5000" w:type="pct"/>
            <w:gridSpan w:val="4"/>
          </w:tcPr>
          <w:p w:rsidR="005E5174" w:rsidRPr="005E5174" w:rsidRDefault="005E5174" w:rsidP="005E5174">
            <w:pPr>
              <w:jc w:val="both"/>
              <w:rPr>
                <w:sz w:val="20"/>
              </w:rPr>
            </w:pPr>
            <w:r w:rsidRPr="005E5174">
              <w:rPr>
                <w:sz w:val="20"/>
              </w:rPr>
              <w:t xml:space="preserve">Contracts – Unconscionability – Loans – Personal guarantee – Applicant giving personal guarantee on small business loan from bank – Business defaulting on loan and bank suing applicant for payment of personal guarantee amount – Whether the Court of Appeal erred in finding that the decision in </w:t>
            </w:r>
            <w:r w:rsidRPr="005E5174">
              <w:rPr>
                <w:i/>
                <w:sz w:val="20"/>
              </w:rPr>
              <w:t>Bhasin v. Hrynew</w:t>
            </w:r>
            <w:r w:rsidRPr="005E5174">
              <w:rPr>
                <w:sz w:val="20"/>
              </w:rPr>
              <w:t>, 2014 SCC 71, [2014] 3 S.C.R. 494, has not modified or extended the common law test for unconscionability – Whether the Court of Appeal erred in concluding that the applicant’s evidence in respect of damages was entirely abstract and speculative.</w:t>
            </w:r>
          </w:p>
        </w:tc>
      </w:tr>
      <w:tr w:rsidR="005E5174" w:rsidRPr="005E5174" w:rsidTr="00E95A6A">
        <w:tc>
          <w:tcPr>
            <w:tcW w:w="5000" w:type="pct"/>
            <w:gridSpan w:val="4"/>
          </w:tcPr>
          <w:p w:rsidR="005E5174" w:rsidRPr="005E5174" w:rsidRDefault="005E5174" w:rsidP="005E5174">
            <w:pPr>
              <w:jc w:val="both"/>
              <w:rPr>
                <w:sz w:val="20"/>
              </w:rPr>
            </w:pPr>
          </w:p>
        </w:tc>
      </w:tr>
      <w:tr w:rsidR="005E5174" w:rsidRPr="005E5174" w:rsidTr="00E95A6A">
        <w:tc>
          <w:tcPr>
            <w:tcW w:w="5000" w:type="pct"/>
            <w:gridSpan w:val="4"/>
          </w:tcPr>
          <w:p w:rsidR="005E5174" w:rsidRPr="005E5174" w:rsidRDefault="005E5174" w:rsidP="005E5174">
            <w:pPr>
              <w:jc w:val="both"/>
              <w:rPr>
                <w:sz w:val="20"/>
              </w:rPr>
            </w:pPr>
            <w:r w:rsidRPr="005E5174">
              <w:rPr>
                <w:sz w:val="20"/>
              </w:rPr>
              <w:t>In 2011, the applicant delivered a personal guarantee in respect of a loan from the respondent BMO to a company operating a Country Style franchise in Newcastle, Ontario. In late 2011, the applicant resigned as a director of the company and ceased to have an active role in it, although he remained vice-president. In early 2013, the applicant contacted BMO’s account manager, seeking access to the company’s business account information, but was refused the information.</w:t>
            </w:r>
          </w:p>
          <w:p w:rsidR="005E5174" w:rsidRPr="005E5174" w:rsidRDefault="005E5174" w:rsidP="005E5174">
            <w:pPr>
              <w:jc w:val="both"/>
              <w:rPr>
                <w:sz w:val="20"/>
              </w:rPr>
            </w:pPr>
          </w:p>
          <w:p w:rsidR="005E5174" w:rsidRPr="005E5174" w:rsidRDefault="005E5174" w:rsidP="005E5174">
            <w:pPr>
              <w:jc w:val="both"/>
              <w:rPr>
                <w:sz w:val="20"/>
              </w:rPr>
            </w:pPr>
            <w:r w:rsidRPr="005E5174">
              <w:rPr>
                <w:sz w:val="20"/>
              </w:rPr>
              <w:t>The company defaulted on the loan and a demand for payment was made upon the company and the applicant. In August 2014, BMO commenced an action against the applicant seeking payment of the amount of the personal guarantee. BMO then moved for summary judgment. The applicant opposed the motion, arguing that the personal guarantee was unconscionable because BMO had failed to provide him with financial information on the small business account when he requested it. The motion was granted. The applicant’s appeal to the Court of Appeal was dismissed.</w:t>
            </w:r>
          </w:p>
          <w:p w:rsidR="005E5174" w:rsidRPr="005E5174" w:rsidRDefault="005E5174" w:rsidP="005E5174">
            <w:pPr>
              <w:jc w:val="both"/>
              <w:rPr>
                <w:sz w:val="20"/>
              </w:rPr>
            </w:pPr>
          </w:p>
        </w:tc>
      </w:tr>
      <w:tr w:rsidR="005E5174" w:rsidRPr="005E5174" w:rsidTr="00E95A6A">
        <w:tc>
          <w:tcPr>
            <w:tcW w:w="2427" w:type="pct"/>
            <w:gridSpan w:val="2"/>
          </w:tcPr>
          <w:p w:rsidR="005E5174" w:rsidRPr="005E5174" w:rsidRDefault="005E5174" w:rsidP="005E5174">
            <w:pPr>
              <w:jc w:val="both"/>
              <w:rPr>
                <w:sz w:val="20"/>
              </w:rPr>
            </w:pPr>
            <w:r w:rsidRPr="005E5174">
              <w:rPr>
                <w:sz w:val="20"/>
              </w:rPr>
              <w:t>March 11, 2015</w:t>
            </w:r>
          </w:p>
          <w:p w:rsidR="005E5174" w:rsidRPr="005E5174" w:rsidRDefault="005E5174" w:rsidP="005E5174">
            <w:pPr>
              <w:jc w:val="both"/>
              <w:rPr>
                <w:sz w:val="20"/>
              </w:rPr>
            </w:pPr>
            <w:r w:rsidRPr="005E5174">
              <w:rPr>
                <w:sz w:val="20"/>
              </w:rPr>
              <w:t>Ontario Superior Court of Justice</w:t>
            </w:r>
          </w:p>
          <w:p w:rsidR="005E5174" w:rsidRPr="005E5174" w:rsidRDefault="005E5174" w:rsidP="005E5174">
            <w:pPr>
              <w:jc w:val="both"/>
              <w:rPr>
                <w:sz w:val="20"/>
              </w:rPr>
            </w:pPr>
            <w:r w:rsidRPr="005E5174">
              <w:rPr>
                <w:sz w:val="20"/>
              </w:rPr>
              <w:t>(Faieta J.)</w:t>
            </w:r>
          </w:p>
          <w:p w:rsidR="005E5174" w:rsidRPr="005E5174" w:rsidRDefault="003423AB" w:rsidP="005E5174">
            <w:pPr>
              <w:jc w:val="both"/>
              <w:rPr>
                <w:sz w:val="20"/>
              </w:rPr>
            </w:pPr>
            <w:hyperlink r:id="rId26" w:history="1">
              <w:r w:rsidR="005E5174" w:rsidRPr="005E5174">
                <w:rPr>
                  <w:rStyle w:val="Hyperlink"/>
                  <w:sz w:val="20"/>
                </w:rPr>
                <w:t>2015 ONSC 1229</w:t>
              </w:r>
            </w:hyperlink>
          </w:p>
          <w:p w:rsidR="005E5174" w:rsidRPr="005E5174" w:rsidRDefault="005E5174" w:rsidP="005E5174">
            <w:pPr>
              <w:jc w:val="both"/>
              <w:rPr>
                <w:sz w:val="20"/>
              </w:rPr>
            </w:pPr>
          </w:p>
        </w:tc>
        <w:tc>
          <w:tcPr>
            <w:tcW w:w="243" w:type="pct"/>
          </w:tcPr>
          <w:p w:rsidR="005E5174" w:rsidRPr="005E5174" w:rsidRDefault="005E5174" w:rsidP="005E5174">
            <w:pPr>
              <w:jc w:val="both"/>
              <w:rPr>
                <w:sz w:val="20"/>
              </w:rPr>
            </w:pPr>
          </w:p>
        </w:tc>
        <w:tc>
          <w:tcPr>
            <w:tcW w:w="2330" w:type="pct"/>
          </w:tcPr>
          <w:p w:rsidR="005E5174" w:rsidRPr="005E5174" w:rsidRDefault="005E5174" w:rsidP="005E5174">
            <w:pPr>
              <w:jc w:val="both"/>
              <w:rPr>
                <w:sz w:val="20"/>
              </w:rPr>
            </w:pPr>
            <w:r w:rsidRPr="005E5174">
              <w:rPr>
                <w:sz w:val="20"/>
              </w:rPr>
              <w:t>Motion for summary judgment by respondent granted</w:t>
            </w:r>
          </w:p>
          <w:p w:rsidR="005E5174" w:rsidRPr="005E5174" w:rsidRDefault="005E5174" w:rsidP="005E5174">
            <w:pPr>
              <w:jc w:val="both"/>
              <w:rPr>
                <w:sz w:val="20"/>
              </w:rPr>
            </w:pPr>
          </w:p>
        </w:tc>
      </w:tr>
      <w:tr w:rsidR="005E5174" w:rsidRPr="005E5174" w:rsidTr="00E95A6A">
        <w:tc>
          <w:tcPr>
            <w:tcW w:w="2427" w:type="pct"/>
            <w:gridSpan w:val="2"/>
          </w:tcPr>
          <w:p w:rsidR="005E5174" w:rsidRPr="005E5174" w:rsidRDefault="005E5174" w:rsidP="005E5174">
            <w:pPr>
              <w:jc w:val="both"/>
              <w:rPr>
                <w:sz w:val="20"/>
              </w:rPr>
            </w:pPr>
            <w:r w:rsidRPr="005E5174">
              <w:rPr>
                <w:sz w:val="20"/>
              </w:rPr>
              <w:t>January 18, 2016</w:t>
            </w:r>
          </w:p>
          <w:p w:rsidR="005E5174" w:rsidRPr="005E5174" w:rsidRDefault="005E5174" w:rsidP="005E5174">
            <w:pPr>
              <w:jc w:val="both"/>
              <w:rPr>
                <w:sz w:val="20"/>
              </w:rPr>
            </w:pPr>
            <w:r w:rsidRPr="005E5174">
              <w:rPr>
                <w:sz w:val="20"/>
              </w:rPr>
              <w:t>Court of Appeal for Ontario</w:t>
            </w:r>
          </w:p>
          <w:p w:rsidR="005E5174" w:rsidRPr="005E5174" w:rsidRDefault="005E5174" w:rsidP="005E5174">
            <w:pPr>
              <w:jc w:val="both"/>
              <w:rPr>
                <w:sz w:val="20"/>
              </w:rPr>
            </w:pPr>
            <w:r w:rsidRPr="005E5174">
              <w:rPr>
                <w:sz w:val="20"/>
              </w:rPr>
              <w:t>(Cronk, Pepall and Lauwers JJ.A.)</w:t>
            </w:r>
          </w:p>
          <w:p w:rsidR="005E5174" w:rsidRPr="005E5174" w:rsidRDefault="003423AB" w:rsidP="005E5174">
            <w:pPr>
              <w:jc w:val="both"/>
              <w:rPr>
                <w:sz w:val="20"/>
              </w:rPr>
            </w:pPr>
            <w:hyperlink r:id="rId27" w:history="1">
              <w:r w:rsidR="005E5174" w:rsidRPr="005E5174">
                <w:rPr>
                  <w:rStyle w:val="Hyperlink"/>
                  <w:sz w:val="20"/>
                </w:rPr>
                <w:t>2016 ONCA 49</w:t>
              </w:r>
            </w:hyperlink>
          </w:p>
          <w:p w:rsidR="005E5174" w:rsidRPr="005E5174" w:rsidRDefault="005E5174" w:rsidP="005E5174">
            <w:pPr>
              <w:jc w:val="both"/>
              <w:rPr>
                <w:sz w:val="20"/>
              </w:rPr>
            </w:pPr>
          </w:p>
        </w:tc>
        <w:tc>
          <w:tcPr>
            <w:tcW w:w="243" w:type="pct"/>
          </w:tcPr>
          <w:p w:rsidR="005E5174" w:rsidRPr="005E5174" w:rsidRDefault="005E5174" w:rsidP="005E5174">
            <w:pPr>
              <w:jc w:val="both"/>
              <w:rPr>
                <w:sz w:val="20"/>
              </w:rPr>
            </w:pPr>
          </w:p>
        </w:tc>
        <w:tc>
          <w:tcPr>
            <w:tcW w:w="2330" w:type="pct"/>
          </w:tcPr>
          <w:p w:rsidR="005E5174" w:rsidRPr="005E5174" w:rsidRDefault="005E5174" w:rsidP="005E5174">
            <w:pPr>
              <w:jc w:val="both"/>
              <w:rPr>
                <w:sz w:val="20"/>
              </w:rPr>
            </w:pPr>
            <w:r w:rsidRPr="005E5174">
              <w:rPr>
                <w:sz w:val="20"/>
              </w:rPr>
              <w:t>Appeal dismissed</w:t>
            </w:r>
          </w:p>
          <w:p w:rsidR="005E5174" w:rsidRPr="005E5174" w:rsidRDefault="005E5174" w:rsidP="005E5174">
            <w:pPr>
              <w:jc w:val="both"/>
              <w:rPr>
                <w:sz w:val="20"/>
              </w:rPr>
            </w:pPr>
          </w:p>
        </w:tc>
      </w:tr>
      <w:tr w:rsidR="005E5174" w:rsidRPr="005E5174" w:rsidTr="00E95A6A">
        <w:tc>
          <w:tcPr>
            <w:tcW w:w="2427" w:type="pct"/>
            <w:gridSpan w:val="2"/>
          </w:tcPr>
          <w:p w:rsidR="005E5174" w:rsidRPr="005E5174" w:rsidRDefault="005E5174" w:rsidP="005E5174">
            <w:pPr>
              <w:jc w:val="both"/>
              <w:rPr>
                <w:sz w:val="20"/>
              </w:rPr>
            </w:pPr>
            <w:r w:rsidRPr="005E5174">
              <w:rPr>
                <w:sz w:val="20"/>
              </w:rPr>
              <w:t>March 17, 2016</w:t>
            </w:r>
          </w:p>
          <w:p w:rsidR="005E5174" w:rsidRPr="005E5174" w:rsidRDefault="005E5174" w:rsidP="005E5174">
            <w:pPr>
              <w:jc w:val="both"/>
              <w:rPr>
                <w:sz w:val="20"/>
              </w:rPr>
            </w:pPr>
            <w:r w:rsidRPr="005E5174">
              <w:rPr>
                <w:sz w:val="20"/>
              </w:rPr>
              <w:t>Supreme Court of Canada</w:t>
            </w:r>
          </w:p>
        </w:tc>
        <w:tc>
          <w:tcPr>
            <w:tcW w:w="243" w:type="pct"/>
          </w:tcPr>
          <w:p w:rsidR="005E5174" w:rsidRPr="005E5174" w:rsidRDefault="005E5174" w:rsidP="005E5174">
            <w:pPr>
              <w:jc w:val="both"/>
              <w:rPr>
                <w:sz w:val="20"/>
              </w:rPr>
            </w:pPr>
          </w:p>
        </w:tc>
        <w:tc>
          <w:tcPr>
            <w:tcW w:w="2330" w:type="pct"/>
          </w:tcPr>
          <w:p w:rsidR="005E5174" w:rsidRPr="005E5174" w:rsidRDefault="005E5174" w:rsidP="005E5174">
            <w:pPr>
              <w:jc w:val="both"/>
              <w:rPr>
                <w:sz w:val="20"/>
              </w:rPr>
            </w:pPr>
            <w:r w:rsidRPr="005E5174">
              <w:rPr>
                <w:sz w:val="20"/>
              </w:rPr>
              <w:t>Application for leave to appeal filed</w:t>
            </w:r>
          </w:p>
          <w:p w:rsidR="005E5174" w:rsidRPr="005E5174" w:rsidRDefault="005E5174" w:rsidP="005E5174">
            <w:pPr>
              <w:jc w:val="both"/>
              <w:rPr>
                <w:sz w:val="20"/>
              </w:rPr>
            </w:pPr>
          </w:p>
        </w:tc>
      </w:tr>
    </w:tbl>
    <w:p w:rsidR="005E5174" w:rsidRDefault="005E5174" w:rsidP="005E5174">
      <w:pPr>
        <w:jc w:val="both"/>
        <w:rPr>
          <w:sz w:val="20"/>
        </w:rPr>
      </w:pPr>
    </w:p>
    <w:p w:rsidR="005E5174" w:rsidRPr="005E5174" w:rsidRDefault="005E5174" w:rsidP="005E517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E5174" w:rsidRPr="005E5174" w:rsidTr="00E95A6A">
        <w:tc>
          <w:tcPr>
            <w:tcW w:w="543" w:type="pct"/>
          </w:tcPr>
          <w:p w:rsidR="005E5174" w:rsidRPr="005E5174" w:rsidRDefault="005E5174" w:rsidP="005E5174">
            <w:pPr>
              <w:jc w:val="both"/>
              <w:rPr>
                <w:sz w:val="20"/>
                <w:lang w:val="fr-CA"/>
              </w:rPr>
            </w:pPr>
            <w:r w:rsidRPr="005E5174">
              <w:rPr>
                <w:rStyle w:val="SCCFileNumberChar"/>
                <w:sz w:val="20"/>
                <w:szCs w:val="20"/>
                <w:lang w:val="fr-CA"/>
              </w:rPr>
              <w:t>36902</w:t>
            </w:r>
          </w:p>
        </w:tc>
        <w:tc>
          <w:tcPr>
            <w:tcW w:w="4457" w:type="pct"/>
            <w:gridSpan w:val="3"/>
          </w:tcPr>
          <w:p w:rsidR="005E5174" w:rsidRPr="005E5174" w:rsidRDefault="005E5174" w:rsidP="005E5174">
            <w:pPr>
              <w:pStyle w:val="SCCLsocParty"/>
              <w:jc w:val="both"/>
              <w:rPr>
                <w:b/>
                <w:sz w:val="20"/>
                <w:szCs w:val="20"/>
              </w:rPr>
            </w:pPr>
            <w:r w:rsidRPr="005E5174">
              <w:rPr>
                <w:b/>
                <w:sz w:val="20"/>
                <w:szCs w:val="20"/>
              </w:rPr>
              <w:t>Ileshkumar Shah alias Ileshkumarpadm Shah c. Banque de Montréal en son nom et au nom de tous les créanciers d’Amer Javed, d’Ileshkumar Shah alias Ileshkumarpadm Shah et de Mayaben Ileshkumar Shah</w:t>
            </w:r>
          </w:p>
          <w:p w:rsidR="005E5174" w:rsidRPr="005E5174" w:rsidRDefault="005E5174" w:rsidP="005E5174">
            <w:pPr>
              <w:jc w:val="both"/>
              <w:rPr>
                <w:sz w:val="20"/>
                <w:lang w:val="fr-CA"/>
              </w:rPr>
            </w:pPr>
            <w:r w:rsidRPr="005E5174">
              <w:rPr>
                <w:sz w:val="20"/>
                <w:lang w:val="fr-CA"/>
              </w:rPr>
              <w:t>(Ont.) (Civile) (Sur autorisation)</w:t>
            </w:r>
          </w:p>
        </w:tc>
      </w:tr>
      <w:tr w:rsidR="005E5174" w:rsidRPr="005E5174" w:rsidTr="00E95A6A">
        <w:tc>
          <w:tcPr>
            <w:tcW w:w="5000" w:type="pct"/>
            <w:gridSpan w:val="4"/>
          </w:tcPr>
          <w:p w:rsidR="005E5174" w:rsidRPr="005E5174" w:rsidRDefault="005E5174" w:rsidP="005E5174">
            <w:pPr>
              <w:jc w:val="both"/>
              <w:rPr>
                <w:sz w:val="20"/>
                <w:lang w:val="fr-CA"/>
              </w:rPr>
            </w:pPr>
            <w:r w:rsidRPr="005E5174">
              <w:rPr>
                <w:sz w:val="20"/>
                <w:lang w:val="fr-CA"/>
              </w:rPr>
              <w:t xml:space="preserve">Contrats – Caractère abusif – Prêts – Garantie personnelle – Le demandeur a personnellement garanti un prêt que la banque a consenti à sa petite entreprise – L’entreprise s’est trouvée en défaut quant au prêt et la banque a poursuivi le demandeur pour le montant de sa garantie personnelle – La Cour d’appel a-t-elle eu tort de conclure que l’arrêt </w:t>
            </w:r>
            <w:r w:rsidRPr="005E5174">
              <w:rPr>
                <w:i/>
                <w:sz w:val="20"/>
                <w:lang w:val="fr-CA"/>
              </w:rPr>
              <w:t>Bhasin c. Hrynew</w:t>
            </w:r>
            <w:r w:rsidRPr="005E5174">
              <w:rPr>
                <w:sz w:val="20"/>
                <w:lang w:val="fr-CA"/>
              </w:rPr>
              <w:t>, 2014 CSC 71, [2014] 3 R.C.S. 494, n’a pas eu pour effet de modifier ou d’élargir le critère applicable au caractère abusif en common law? – La Cour d’appel a-t-elle eu tort de conclure que la preuve du demandeur relativement au préjudice était entièrement abstraite et qu’elle reposait entièrement sur la conjecture?</w:t>
            </w:r>
          </w:p>
        </w:tc>
      </w:tr>
      <w:tr w:rsidR="005E5174" w:rsidRPr="005E5174" w:rsidTr="00E95A6A">
        <w:tc>
          <w:tcPr>
            <w:tcW w:w="5000" w:type="pct"/>
            <w:gridSpan w:val="4"/>
          </w:tcPr>
          <w:p w:rsidR="005E5174" w:rsidRPr="005E5174" w:rsidRDefault="005E5174" w:rsidP="005E5174">
            <w:pPr>
              <w:jc w:val="both"/>
              <w:rPr>
                <w:sz w:val="20"/>
                <w:lang w:val="fr-CA"/>
              </w:rPr>
            </w:pPr>
          </w:p>
        </w:tc>
      </w:tr>
      <w:tr w:rsidR="005E5174" w:rsidRPr="005E5174" w:rsidTr="00E95A6A">
        <w:tc>
          <w:tcPr>
            <w:tcW w:w="5000" w:type="pct"/>
            <w:gridSpan w:val="4"/>
          </w:tcPr>
          <w:p w:rsidR="005E5174" w:rsidRPr="005E5174" w:rsidRDefault="005E5174" w:rsidP="005E5174">
            <w:pPr>
              <w:jc w:val="both"/>
              <w:rPr>
                <w:sz w:val="20"/>
                <w:lang w:val="fr-CA"/>
              </w:rPr>
            </w:pPr>
            <w:r w:rsidRPr="005E5174">
              <w:rPr>
                <w:sz w:val="20"/>
                <w:lang w:val="fr-CA"/>
              </w:rPr>
              <w:lastRenderedPageBreak/>
              <w:t>En 2011, le demandeur a remis une garantie personnelle à l’égard d’un prêt consenti par la BMO intimée à une compagnie qui exploitait une franchise Country Style à Newcastle (Ontario). À la fin de 2011, le demandeur a démissionné comme administrateur de la compagnie et à cesser d’y jouer un rôle actif, bien qu’il soit demeuré en poste comme vice-président. Au début de 2013, le demandeur a communiqué avec le directeur des comptes de BMO pour obtenir des renseignements sur le compte d’entreprise de la compagnie, mais sa demande de renseignements a été refusée.</w:t>
            </w:r>
          </w:p>
          <w:p w:rsidR="005E5174" w:rsidRPr="005E5174" w:rsidRDefault="005E5174" w:rsidP="005E5174">
            <w:pPr>
              <w:jc w:val="both"/>
              <w:rPr>
                <w:sz w:val="20"/>
                <w:lang w:val="fr-CA"/>
              </w:rPr>
            </w:pPr>
          </w:p>
          <w:p w:rsidR="005E5174" w:rsidRPr="005E5174" w:rsidRDefault="005E5174" w:rsidP="005E5174">
            <w:pPr>
              <w:jc w:val="both"/>
              <w:rPr>
                <w:sz w:val="20"/>
                <w:lang w:val="fr-CA"/>
              </w:rPr>
            </w:pPr>
            <w:r w:rsidRPr="005E5174">
              <w:rPr>
                <w:sz w:val="20"/>
                <w:lang w:val="fr-CA"/>
              </w:rPr>
              <w:t>La compagnie s’est trouvée en défaut quant au prêt et une demande de paiement a été présentée à la compagnie et au demandeur. En août 2014, BMO a intenté une action contre le demandeur pour obtenir le paiement du montant de la garantie personnelle. BMO a ensuite présenté une motion en jugement sommaire. Le demandeur s’est opposé à la motion, plaidant que la garantie personnelle était abusive,  puisque BMO avait omis de lui fournir les renseignements financiers qu’il avait demandés sur le compte de petite entreprise. La motion a été accueillie. L’appel du demandeur à la Cour d’appel a été rejeté.</w:t>
            </w:r>
          </w:p>
          <w:p w:rsidR="005E5174" w:rsidRPr="005E5174" w:rsidRDefault="005E5174" w:rsidP="005E5174">
            <w:pPr>
              <w:jc w:val="both"/>
              <w:rPr>
                <w:sz w:val="20"/>
                <w:lang w:val="fr-CA"/>
              </w:rPr>
            </w:pPr>
          </w:p>
        </w:tc>
      </w:tr>
      <w:tr w:rsidR="005E5174" w:rsidRPr="005E5174" w:rsidTr="00E95A6A">
        <w:tc>
          <w:tcPr>
            <w:tcW w:w="2427" w:type="pct"/>
            <w:gridSpan w:val="2"/>
          </w:tcPr>
          <w:p w:rsidR="005E5174" w:rsidRPr="005E5174" w:rsidRDefault="005E5174" w:rsidP="005E5174">
            <w:pPr>
              <w:jc w:val="both"/>
              <w:rPr>
                <w:sz w:val="20"/>
                <w:lang w:val="fr-CA"/>
              </w:rPr>
            </w:pPr>
            <w:r w:rsidRPr="005E5174">
              <w:rPr>
                <w:sz w:val="20"/>
                <w:lang w:val="fr-CA"/>
              </w:rPr>
              <w:t>11 mars 2015</w:t>
            </w:r>
          </w:p>
          <w:p w:rsidR="005E5174" w:rsidRPr="005E5174" w:rsidRDefault="005E5174" w:rsidP="005E5174">
            <w:pPr>
              <w:jc w:val="both"/>
              <w:rPr>
                <w:sz w:val="20"/>
                <w:lang w:val="fr-CA"/>
              </w:rPr>
            </w:pPr>
            <w:r w:rsidRPr="005E5174">
              <w:rPr>
                <w:sz w:val="20"/>
                <w:lang w:val="fr-CA"/>
              </w:rPr>
              <w:t xml:space="preserve">Cour supérieure de justice de l’Ontario </w:t>
            </w:r>
          </w:p>
          <w:p w:rsidR="005E5174" w:rsidRPr="005E5174" w:rsidRDefault="005E5174" w:rsidP="005E5174">
            <w:pPr>
              <w:jc w:val="both"/>
              <w:rPr>
                <w:sz w:val="20"/>
                <w:lang w:val="fr-CA"/>
              </w:rPr>
            </w:pPr>
            <w:r w:rsidRPr="005E5174">
              <w:rPr>
                <w:sz w:val="20"/>
                <w:lang w:val="fr-CA"/>
              </w:rPr>
              <w:t>(Juge Faieta)</w:t>
            </w:r>
          </w:p>
          <w:p w:rsidR="005E5174" w:rsidRPr="005E5174" w:rsidRDefault="003423AB" w:rsidP="005E5174">
            <w:pPr>
              <w:jc w:val="both"/>
              <w:rPr>
                <w:sz w:val="20"/>
                <w:lang w:val="fr-CA"/>
              </w:rPr>
            </w:pPr>
            <w:hyperlink r:id="rId28" w:history="1">
              <w:r w:rsidR="005E5174" w:rsidRPr="005E5174">
                <w:rPr>
                  <w:rStyle w:val="Hyperlink"/>
                  <w:sz w:val="20"/>
                  <w:lang w:val="fr-CA"/>
                </w:rPr>
                <w:t>2015 ONSC 1229</w:t>
              </w:r>
            </w:hyperlink>
          </w:p>
          <w:p w:rsidR="005E5174" w:rsidRPr="005E5174" w:rsidRDefault="005E5174" w:rsidP="005E5174">
            <w:pPr>
              <w:jc w:val="both"/>
              <w:rPr>
                <w:sz w:val="20"/>
                <w:lang w:val="fr-CA"/>
              </w:rPr>
            </w:pPr>
          </w:p>
        </w:tc>
        <w:tc>
          <w:tcPr>
            <w:tcW w:w="243" w:type="pct"/>
          </w:tcPr>
          <w:p w:rsidR="005E5174" w:rsidRPr="005E5174" w:rsidRDefault="005E5174" w:rsidP="005E5174">
            <w:pPr>
              <w:jc w:val="both"/>
              <w:rPr>
                <w:sz w:val="20"/>
                <w:lang w:val="fr-CA"/>
              </w:rPr>
            </w:pPr>
          </w:p>
        </w:tc>
        <w:tc>
          <w:tcPr>
            <w:tcW w:w="2330" w:type="pct"/>
          </w:tcPr>
          <w:p w:rsidR="005E5174" w:rsidRPr="005E5174" w:rsidRDefault="005E5174" w:rsidP="005E5174">
            <w:pPr>
              <w:jc w:val="both"/>
              <w:rPr>
                <w:sz w:val="20"/>
                <w:lang w:val="fr-CA"/>
              </w:rPr>
            </w:pPr>
            <w:r w:rsidRPr="005E5174">
              <w:rPr>
                <w:sz w:val="20"/>
                <w:lang w:val="fr-CA"/>
              </w:rPr>
              <w:t>Jugement accueillant la motion en jugement sommaire de l’intimée</w:t>
            </w:r>
          </w:p>
          <w:p w:rsidR="005E5174" w:rsidRPr="005E5174" w:rsidRDefault="005E5174" w:rsidP="005E5174">
            <w:pPr>
              <w:jc w:val="both"/>
              <w:rPr>
                <w:sz w:val="20"/>
                <w:lang w:val="fr-CA"/>
              </w:rPr>
            </w:pPr>
          </w:p>
        </w:tc>
      </w:tr>
      <w:tr w:rsidR="005E5174" w:rsidRPr="005E5174" w:rsidTr="00E95A6A">
        <w:tc>
          <w:tcPr>
            <w:tcW w:w="2427" w:type="pct"/>
            <w:gridSpan w:val="2"/>
          </w:tcPr>
          <w:p w:rsidR="005E5174" w:rsidRPr="005E5174" w:rsidRDefault="005E5174" w:rsidP="005E5174">
            <w:pPr>
              <w:jc w:val="both"/>
              <w:rPr>
                <w:sz w:val="20"/>
                <w:lang w:val="fr-CA"/>
              </w:rPr>
            </w:pPr>
            <w:r w:rsidRPr="005E5174">
              <w:rPr>
                <w:sz w:val="20"/>
                <w:lang w:val="fr-CA"/>
              </w:rPr>
              <w:t>18 janvier 2016</w:t>
            </w:r>
          </w:p>
          <w:p w:rsidR="005E5174" w:rsidRPr="005E5174" w:rsidRDefault="005E5174" w:rsidP="005E5174">
            <w:pPr>
              <w:jc w:val="both"/>
              <w:rPr>
                <w:sz w:val="20"/>
                <w:lang w:val="fr-CA"/>
              </w:rPr>
            </w:pPr>
            <w:r w:rsidRPr="005E5174">
              <w:rPr>
                <w:sz w:val="20"/>
                <w:lang w:val="fr-CA"/>
              </w:rPr>
              <w:t>Cour d’appel de l’Ontario</w:t>
            </w:r>
          </w:p>
          <w:p w:rsidR="005E5174" w:rsidRPr="005E5174" w:rsidRDefault="005E5174" w:rsidP="005E5174">
            <w:pPr>
              <w:jc w:val="both"/>
              <w:rPr>
                <w:sz w:val="20"/>
                <w:lang w:val="fr-CA"/>
              </w:rPr>
            </w:pPr>
            <w:r w:rsidRPr="005E5174">
              <w:rPr>
                <w:sz w:val="20"/>
                <w:lang w:val="fr-CA"/>
              </w:rPr>
              <w:t>(Juges Cronk, Pepall et Lauwers)</w:t>
            </w:r>
          </w:p>
          <w:p w:rsidR="005E5174" w:rsidRPr="005E5174" w:rsidRDefault="003423AB" w:rsidP="005E5174">
            <w:pPr>
              <w:jc w:val="both"/>
              <w:rPr>
                <w:sz w:val="20"/>
                <w:lang w:val="fr-CA"/>
              </w:rPr>
            </w:pPr>
            <w:hyperlink r:id="rId29" w:history="1">
              <w:r w:rsidR="005E5174" w:rsidRPr="005E5174">
                <w:rPr>
                  <w:rStyle w:val="Hyperlink"/>
                  <w:sz w:val="20"/>
                  <w:lang w:val="fr-CA"/>
                </w:rPr>
                <w:t>2016 ONCA 49</w:t>
              </w:r>
            </w:hyperlink>
          </w:p>
          <w:p w:rsidR="005E5174" w:rsidRPr="005E5174" w:rsidRDefault="005E5174" w:rsidP="005E5174">
            <w:pPr>
              <w:jc w:val="both"/>
              <w:rPr>
                <w:sz w:val="20"/>
                <w:lang w:val="fr-CA"/>
              </w:rPr>
            </w:pPr>
          </w:p>
        </w:tc>
        <w:tc>
          <w:tcPr>
            <w:tcW w:w="243" w:type="pct"/>
          </w:tcPr>
          <w:p w:rsidR="005E5174" w:rsidRPr="005E5174" w:rsidRDefault="005E5174" w:rsidP="005E5174">
            <w:pPr>
              <w:jc w:val="both"/>
              <w:rPr>
                <w:sz w:val="20"/>
                <w:lang w:val="fr-CA"/>
              </w:rPr>
            </w:pPr>
          </w:p>
        </w:tc>
        <w:tc>
          <w:tcPr>
            <w:tcW w:w="2330" w:type="pct"/>
          </w:tcPr>
          <w:p w:rsidR="005E5174" w:rsidRPr="005E5174" w:rsidRDefault="005E5174" w:rsidP="005E5174">
            <w:pPr>
              <w:jc w:val="both"/>
              <w:rPr>
                <w:sz w:val="20"/>
                <w:lang w:val="fr-CA"/>
              </w:rPr>
            </w:pPr>
            <w:r w:rsidRPr="005E5174">
              <w:rPr>
                <w:sz w:val="20"/>
                <w:lang w:val="fr-CA"/>
              </w:rPr>
              <w:t>Rejet de l’appel</w:t>
            </w:r>
          </w:p>
          <w:p w:rsidR="005E5174" w:rsidRPr="005E5174" w:rsidRDefault="005E5174" w:rsidP="005E5174">
            <w:pPr>
              <w:jc w:val="both"/>
              <w:rPr>
                <w:sz w:val="20"/>
                <w:lang w:val="fr-CA"/>
              </w:rPr>
            </w:pPr>
          </w:p>
        </w:tc>
      </w:tr>
      <w:tr w:rsidR="005E5174" w:rsidRPr="005E5174" w:rsidTr="00E95A6A">
        <w:tc>
          <w:tcPr>
            <w:tcW w:w="2427" w:type="pct"/>
            <w:gridSpan w:val="2"/>
          </w:tcPr>
          <w:p w:rsidR="005E5174" w:rsidRPr="005E5174" w:rsidRDefault="005E5174" w:rsidP="005E5174">
            <w:pPr>
              <w:jc w:val="both"/>
              <w:rPr>
                <w:sz w:val="20"/>
                <w:lang w:val="fr-CA"/>
              </w:rPr>
            </w:pPr>
            <w:r w:rsidRPr="005E5174">
              <w:rPr>
                <w:sz w:val="20"/>
                <w:lang w:val="fr-CA"/>
              </w:rPr>
              <w:t>17 mars 2016</w:t>
            </w:r>
          </w:p>
          <w:p w:rsidR="005E5174" w:rsidRPr="005E5174" w:rsidRDefault="005E5174" w:rsidP="005E5174">
            <w:pPr>
              <w:jc w:val="both"/>
              <w:rPr>
                <w:sz w:val="20"/>
                <w:lang w:val="fr-CA"/>
              </w:rPr>
            </w:pPr>
            <w:r w:rsidRPr="005E5174">
              <w:rPr>
                <w:sz w:val="20"/>
                <w:lang w:val="fr-CA"/>
              </w:rPr>
              <w:t>Cour suprême du Canada</w:t>
            </w:r>
          </w:p>
        </w:tc>
        <w:tc>
          <w:tcPr>
            <w:tcW w:w="243" w:type="pct"/>
          </w:tcPr>
          <w:p w:rsidR="005E5174" w:rsidRPr="005E5174" w:rsidRDefault="005E5174" w:rsidP="005E5174">
            <w:pPr>
              <w:jc w:val="both"/>
              <w:rPr>
                <w:sz w:val="20"/>
                <w:lang w:val="fr-CA"/>
              </w:rPr>
            </w:pPr>
          </w:p>
        </w:tc>
        <w:tc>
          <w:tcPr>
            <w:tcW w:w="2330" w:type="pct"/>
          </w:tcPr>
          <w:p w:rsidR="005E5174" w:rsidRPr="005E5174" w:rsidRDefault="005E5174" w:rsidP="005E5174">
            <w:pPr>
              <w:jc w:val="both"/>
              <w:rPr>
                <w:sz w:val="20"/>
                <w:lang w:val="fr-CA"/>
              </w:rPr>
            </w:pPr>
            <w:r w:rsidRPr="005E5174">
              <w:rPr>
                <w:sz w:val="20"/>
                <w:lang w:val="fr-CA"/>
              </w:rPr>
              <w:t>Dépôt de la demande d’autorisation d’appel</w:t>
            </w:r>
          </w:p>
          <w:p w:rsidR="005E5174" w:rsidRPr="005E5174" w:rsidRDefault="005E5174" w:rsidP="005E5174">
            <w:pPr>
              <w:jc w:val="both"/>
              <w:rPr>
                <w:sz w:val="20"/>
                <w:lang w:val="fr-CA"/>
              </w:rPr>
            </w:pPr>
          </w:p>
        </w:tc>
      </w:tr>
    </w:tbl>
    <w:p w:rsidR="005E5174" w:rsidRPr="005E5174" w:rsidRDefault="005E5174" w:rsidP="005E5174">
      <w:pPr>
        <w:jc w:val="both"/>
        <w:rPr>
          <w:sz w:val="20"/>
          <w:lang w:val="fr-CA"/>
        </w:rPr>
      </w:pPr>
    </w:p>
    <w:p w:rsidR="00821634" w:rsidRPr="000A15EF" w:rsidRDefault="00821634" w:rsidP="000A15E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15EF" w:rsidRPr="000A15EF" w:rsidTr="00E95A6A">
        <w:tc>
          <w:tcPr>
            <w:tcW w:w="543" w:type="pct"/>
          </w:tcPr>
          <w:p w:rsidR="000A15EF" w:rsidRPr="000A15EF" w:rsidRDefault="000A15EF" w:rsidP="000A15EF">
            <w:pPr>
              <w:jc w:val="both"/>
              <w:rPr>
                <w:sz w:val="20"/>
              </w:rPr>
            </w:pPr>
            <w:r w:rsidRPr="000A15EF">
              <w:rPr>
                <w:rStyle w:val="SCCFileNumberChar"/>
                <w:sz w:val="20"/>
                <w:szCs w:val="20"/>
              </w:rPr>
              <w:t>36942</w:t>
            </w:r>
          </w:p>
        </w:tc>
        <w:tc>
          <w:tcPr>
            <w:tcW w:w="4457" w:type="pct"/>
            <w:gridSpan w:val="3"/>
          </w:tcPr>
          <w:p w:rsidR="000A15EF" w:rsidRPr="000A15EF" w:rsidRDefault="000A15EF" w:rsidP="000A15EF">
            <w:pPr>
              <w:pStyle w:val="SCCLsocParty"/>
              <w:jc w:val="both"/>
              <w:rPr>
                <w:b/>
                <w:sz w:val="20"/>
                <w:szCs w:val="20"/>
              </w:rPr>
            </w:pPr>
            <w:r w:rsidRPr="000A15EF">
              <w:rPr>
                <w:b/>
                <w:sz w:val="20"/>
                <w:szCs w:val="20"/>
              </w:rPr>
              <w:t>Donald Glen Bird v. Her Majesty the Queen</w:t>
            </w:r>
          </w:p>
          <w:p w:rsidR="000A15EF" w:rsidRPr="000A15EF" w:rsidRDefault="000A15EF" w:rsidP="000A15EF">
            <w:pPr>
              <w:jc w:val="both"/>
              <w:rPr>
                <w:sz w:val="20"/>
              </w:rPr>
            </w:pPr>
            <w:r w:rsidRPr="000A15EF">
              <w:rPr>
                <w:sz w:val="20"/>
              </w:rPr>
              <w:t>(Sask.) (Criminal) (By Leave)</w:t>
            </w:r>
          </w:p>
        </w:tc>
      </w:tr>
      <w:tr w:rsidR="000A15EF" w:rsidRPr="000A15EF" w:rsidTr="00E95A6A">
        <w:tc>
          <w:tcPr>
            <w:tcW w:w="5000" w:type="pct"/>
            <w:gridSpan w:val="4"/>
          </w:tcPr>
          <w:p w:rsidR="000A15EF" w:rsidRPr="000A15EF" w:rsidRDefault="000A15EF" w:rsidP="000A15EF">
            <w:pPr>
              <w:pStyle w:val="SCCBanSummary"/>
              <w:rPr>
                <w:sz w:val="20"/>
                <w:szCs w:val="20"/>
              </w:rPr>
            </w:pPr>
            <w:r w:rsidRPr="000A15EF">
              <w:rPr>
                <w:sz w:val="20"/>
                <w:szCs w:val="20"/>
              </w:rPr>
              <w:t>(Publication ban in case)</w:t>
            </w:r>
          </w:p>
          <w:p w:rsidR="000A15EF" w:rsidRPr="000A15EF" w:rsidRDefault="000A15EF" w:rsidP="000A15EF">
            <w:pPr>
              <w:jc w:val="both"/>
              <w:rPr>
                <w:sz w:val="20"/>
              </w:rPr>
            </w:pPr>
          </w:p>
          <w:p w:rsidR="000A15EF" w:rsidRPr="000A15EF" w:rsidRDefault="000A15EF" w:rsidP="000A15EF">
            <w:pPr>
              <w:jc w:val="both"/>
              <w:rPr>
                <w:sz w:val="20"/>
              </w:rPr>
            </w:pPr>
            <w:r w:rsidRPr="000A15EF">
              <w:rPr>
                <w:sz w:val="20"/>
              </w:rPr>
              <w:t xml:space="preserve">Criminal law – Sentencing – Application by the Crown for a dangerous offender designation – Whether the Court of Appeal erred in upholding the trial judge’s decision to designate the applicant a dangerous offender – Whether the Court of Appeal erred by failing to give adequate weight to factors enumerated in ss. 718.1 and 718.2 of the </w:t>
            </w:r>
            <w:r w:rsidRPr="000A15EF">
              <w:rPr>
                <w:i/>
                <w:sz w:val="20"/>
              </w:rPr>
              <w:t>Criminal Code</w:t>
            </w:r>
            <w:r w:rsidRPr="000A15EF">
              <w:rPr>
                <w:sz w:val="20"/>
              </w:rPr>
              <w:t xml:space="preserve">, and in failing to give proper weight and effect to </w:t>
            </w:r>
            <w:r w:rsidRPr="000A15EF">
              <w:rPr>
                <w:i/>
                <w:sz w:val="20"/>
              </w:rPr>
              <w:t>R. v.</w:t>
            </w:r>
            <w:r w:rsidRPr="000A15EF">
              <w:rPr>
                <w:sz w:val="20"/>
              </w:rPr>
              <w:t xml:space="preserve"> </w:t>
            </w:r>
            <w:r w:rsidRPr="000A15EF">
              <w:rPr>
                <w:i/>
                <w:sz w:val="20"/>
              </w:rPr>
              <w:t>Gladue</w:t>
            </w:r>
            <w:r w:rsidRPr="000A15EF">
              <w:rPr>
                <w:sz w:val="20"/>
              </w:rPr>
              <w:t xml:space="preserve">, ([1999] 1 S.C.R. 688) and </w:t>
            </w:r>
            <w:r w:rsidRPr="000A15EF">
              <w:rPr>
                <w:i/>
                <w:sz w:val="20"/>
              </w:rPr>
              <w:t>R. v.</w:t>
            </w:r>
            <w:r w:rsidRPr="000A15EF">
              <w:rPr>
                <w:sz w:val="20"/>
              </w:rPr>
              <w:t xml:space="preserve"> </w:t>
            </w:r>
            <w:r w:rsidRPr="000A15EF">
              <w:rPr>
                <w:i/>
                <w:sz w:val="20"/>
              </w:rPr>
              <w:t>Ipeelee</w:t>
            </w:r>
            <w:r w:rsidRPr="000A15EF">
              <w:rPr>
                <w:sz w:val="20"/>
              </w:rPr>
              <w:t xml:space="preserve">  (2012 SCC 13) considerations, and in erroneously concluding there was no “reasonable expectation” for protection of the public from the applicant – Whether the Court of Appeal erred by failing to consider or give adequate weight to the sentencing principle of proportionality – Whether the Court of Appeal erred by failing to consider or give adequate weight to the sentencing principle of restraint – Whether the Court of Appeal erred in concluding the evidence could not support the imposition of a lesser sentence pursuant to subsection 753(4.1) of the </w:t>
            </w:r>
            <w:r w:rsidRPr="000A15EF">
              <w:rPr>
                <w:i/>
                <w:sz w:val="20"/>
              </w:rPr>
              <w:t>Criminal Code</w:t>
            </w:r>
            <w:r w:rsidRPr="000A15EF">
              <w:rPr>
                <w:sz w:val="20"/>
              </w:rPr>
              <w:t>.</w:t>
            </w:r>
          </w:p>
        </w:tc>
      </w:tr>
      <w:tr w:rsidR="000A15EF" w:rsidRPr="000A15EF" w:rsidTr="00E95A6A">
        <w:tc>
          <w:tcPr>
            <w:tcW w:w="5000" w:type="pct"/>
            <w:gridSpan w:val="4"/>
          </w:tcPr>
          <w:p w:rsidR="000A15EF" w:rsidRPr="000A15EF" w:rsidRDefault="000A15EF" w:rsidP="000A15EF">
            <w:pPr>
              <w:jc w:val="both"/>
              <w:rPr>
                <w:sz w:val="20"/>
              </w:rPr>
            </w:pPr>
          </w:p>
        </w:tc>
      </w:tr>
      <w:tr w:rsidR="000A15EF" w:rsidRPr="000A15EF" w:rsidTr="00E95A6A">
        <w:tc>
          <w:tcPr>
            <w:tcW w:w="5000" w:type="pct"/>
            <w:gridSpan w:val="4"/>
          </w:tcPr>
          <w:p w:rsidR="000A15EF" w:rsidRPr="000A15EF" w:rsidRDefault="000A15EF" w:rsidP="000A15EF">
            <w:pPr>
              <w:jc w:val="both"/>
              <w:rPr>
                <w:sz w:val="20"/>
              </w:rPr>
            </w:pPr>
            <w:r w:rsidRPr="000A15EF">
              <w:rPr>
                <w:sz w:val="20"/>
              </w:rPr>
              <w:t>The applicant is an aboriginal with a lengthy sexual assault criminal record. The Crown applied to have him declared a dangerous offender. The sentencing judge found that the statutory criteria were met. The applicant was declared a dangerous offender and was sentenced to a determinate sentence of five years and a long-term supervision order of three years. The Court of Appeal granted the Crown’s application for leave to appeal sentence and allowed the sentence appeal. An indeterminate sentence was imposed.</w:t>
            </w:r>
          </w:p>
          <w:p w:rsidR="000A15EF" w:rsidRPr="000A15EF" w:rsidRDefault="000A15EF" w:rsidP="000A15EF">
            <w:pPr>
              <w:jc w:val="both"/>
              <w:rPr>
                <w:sz w:val="20"/>
              </w:rPr>
            </w:pPr>
          </w:p>
        </w:tc>
      </w:tr>
      <w:tr w:rsidR="000A15EF" w:rsidRPr="000A15EF" w:rsidTr="00E95A6A">
        <w:tc>
          <w:tcPr>
            <w:tcW w:w="2427" w:type="pct"/>
            <w:gridSpan w:val="2"/>
          </w:tcPr>
          <w:p w:rsidR="000A15EF" w:rsidRPr="000A15EF" w:rsidRDefault="000A15EF" w:rsidP="000A15EF">
            <w:pPr>
              <w:jc w:val="both"/>
              <w:rPr>
                <w:sz w:val="20"/>
              </w:rPr>
            </w:pPr>
            <w:r w:rsidRPr="000A15EF">
              <w:rPr>
                <w:sz w:val="20"/>
              </w:rPr>
              <w:t>March 17, 2014</w:t>
            </w:r>
          </w:p>
          <w:p w:rsidR="000A15EF" w:rsidRPr="000A15EF" w:rsidRDefault="000A15EF" w:rsidP="000A15EF">
            <w:pPr>
              <w:jc w:val="both"/>
              <w:rPr>
                <w:sz w:val="20"/>
              </w:rPr>
            </w:pPr>
            <w:r w:rsidRPr="000A15EF">
              <w:rPr>
                <w:sz w:val="20"/>
              </w:rPr>
              <w:t>Court of Queen’s Bench of Saskatchewan</w:t>
            </w:r>
          </w:p>
          <w:p w:rsidR="000A15EF" w:rsidRPr="000A15EF" w:rsidRDefault="000A15EF" w:rsidP="000A15EF">
            <w:pPr>
              <w:jc w:val="both"/>
              <w:rPr>
                <w:sz w:val="20"/>
              </w:rPr>
            </w:pPr>
            <w:r w:rsidRPr="000A15EF">
              <w:rPr>
                <w:sz w:val="20"/>
              </w:rPr>
              <w:t>(Mills J.)</w:t>
            </w:r>
          </w:p>
          <w:p w:rsidR="000A15EF" w:rsidRPr="000A15EF" w:rsidRDefault="000A15EF" w:rsidP="000A15EF">
            <w:pPr>
              <w:jc w:val="both"/>
              <w:rPr>
                <w:sz w:val="20"/>
              </w:rPr>
            </w:pPr>
            <w:r w:rsidRPr="000A15EF">
              <w:rPr>
                <w:sz w:val="20"/>
              </w:rPr>
              <w:t>2014 SKQB 75</w:t>
            </w:r>
          </w:p>
          <w:p w:rsidR="000A15EF" w:rsidRPr="000A15EF" w:rsidRDefault="003423AB" w:rsidP="000A15EF">
            <w:pPr>
              <w:jc w:val="both"/>
              <w:rPr>
                <w:rStyle w:val="documentstaticurl"/>
                <w:sz w:val="20"/>
              </w:rPr>
            </w:pPr>
            <w:hyperlink r:id="rId30" w:history="1">
              <w:r w:rsidR="000A15EF" w:rsidRPr="000A15EF">
                <w:rPr>
                  <w:rStyle w:val="Hyperlink"/>
                  <w:sz w:val="20"/>
                </w:rPr>
                <w:t>http://canlii.ca/t/g6g1w</w:t>
              </w:r>
            </w:hyperlink>
          </w:p>
          <w:p w:rsidR="000A15EF" w:rsidRPr="000A15EF" w:rsidRDefault="000A15EF" w:rsidP="000A15EF">
            <w:pPr>
              <w:jc w:val="both"/>
              <w:rPr>
                <w:sz w:val="20"/>
              </w:rPr>
            </w:pPr>
          </w:p>
        </w:tc>
        <w:tc>
          <w:tcPr>
            <w:tcW w:w="243" w:type="pct"/>
          </w:tcPr>
          <w:p w:rsidR="000A15EF" w:rsidRPr="000A15EF" w:rsidRDefault="000A15EF" w:rsidP="000A15EF">
            <w:pPr>
              <w:jc w:val="both"/>
              <w:rPr>
                <w:sz w:val="20"/>
              </w:rPr>
            </w:pPr>
          </w:p>
        </w:tc>
        <w:tc>
          <w:tcPr>
            <w:tcW w:w="2330" w:type="pct"/>
          </w:tcPr>
          <w:p w:rsidR="000A15EF" w:rsidRPr="000A15EF" w:rsidRDefault="000A15EF" w:rsidP="000A15EF">
            <w:pPr>
              <w:jc w:val="both"/>
              <w:rPr>
                <w:sz w:val="20"/>
              </w:rPr>
            </w:pPr>
            <w:r w:rsidRPr="000A15EF">
              <w:rPr>
                <w:sz w:val="20"/>
              </w:rPr>
              <w:t>Sentence imposed: applicant declared a dangerous offender and sentenced to a determinate sentence of five years and a long-term supervision order of three years</w:t>
            </w:r>
          </w:p>
          <w:p w:rsidR="000A15EF" w:rsidRPr="000A15EF" w:rsidRDefault="000A15EF" w:rsidP="000A15EF">
            <w:pPr>
              <w:jc w:val="both"/>
              <w:rPr>
                <w:sz w:val="20"/>
              </w:rPr>
            </w:pPr>
          </w:p>
          <w:p w:rsidR="000A15EF" w:rsidRPr="000A15EF" w:rsidRDefault="000A15EF" w:rsidP="000A15EF">
            <w:pPr>
              <w:jc w:val="both"/>
              <w:rPr>
                <w:sz w:val="20"/>
              </w:rPr>
            </w:pPr>
          </w:p>
        </w:tc>
      </w:tr>
      <w:tr w:rsidR="000A15EF" w:rsidRPr="000A15EF" w:rsidTr="00E95A6A">
        <w:tc>
          <w:tcPr>
            <w:tcW w:w="2427" w:type="pct"/>
            <w:gridSpan w:val="2"/>
          </w:tcPr>
          <w:p w:rsidR="000A15EF" w:rsidRPr="000A15EF" w:rsidRDefault="000A15EF" w:rsidP="000A15EF">
            <w:pPr>
              <w:jc w:val="both"/>
              <w:rPr>
                <w:sz w:val="20"/>
              </w:rPr>
            </w:pPr>
            <w:r w:rsidRPr="000A15EF">
              <w:rPr>
                <w:sz w:val="20"/>
              </w:rPr>
              <w:lastRenderedPageBreak/>
              <w:t>December 8, 2015</w:t>
            </w:r>
          </w:p>
          <w:p w:rsidR="000A15EF" w:rsidRPr="000A15EF" w:rsidRDefault="000A15EF" w:rsidP="000A15EF">
            <w:pPr>
              <w:jc w:val="both"/>
              <w:rPr>
                <w:sz w:val="20"/>
              </w:rPr>
            </w:pPr>
            <w:r w:rsidRPr="000A15EF">
              <w:rPr>
                <w:sz w:val="20"/>
              </w:rPr>
              <w:t>Court of Appeal for Saskatchewan</w:t>
            </w:r>
          </w:p>
          <w:p w:rsidR="000A15EF" w:rsidRPr="000A15EF" w:rsidRDefault="000A15EF" w:rsidP="000A15EF">
            <w:pPr>
              <w:jc w:val="both"/>
              <w:rPr>
                <w:sz w:val="20"/>
              </w:rPr>
            </w:pPr>
            <w:r w:rsidRPr="000A15EF">
              <w:rPr>
                <w:sz w:val="20"/>
              </w:rPr>
              <w:t>(Ottenbreit, Herauf, Whitmore JJ.A.)</w:t>
            </w:r>
          </w:p>
          <w:p w:rsidR="000A15EF" w:rsidRPr="000A15EF" w:rsidRDefault="000A15EF" w:rsidP="000A15EF">
            <w:pPr>
              <w:jc w:val="both"/>
              <w:rPr>
                <w:sz w:val="20"/>
              </w:rPr>
            </w:pPr>
            <w:r w:rsidRPr="000A15EF">
              <w:rPr>
                <w:sz w:val="20"/>
              </w:rPr>
              <w:t>2015 SKCA 134; CACR2419</w:t>
            </w:r>
          </w:p>
          <w:p w:rsidR="000A15EF" w:rsidRPr="000A15EF" w:rsidRDefault="003423AB" w:rsidP="000A15EF">
            <w:pPr>
              <w:jc w:val="both"/>
              <w:rPr>
                <w:sz w:val="20"/>
              </w:rPr>
            </w:pPr>
            <w:hyperlink r:id="rId31" w:history="1">
              <w:r w:rsidR="000A15EF" w:rsidRPr="000A15EF">
                <w:rPr>
                  <w:rStyle w:val="Hyperlink"/>
                  <w:rFonts w:eastAsiaTheme="majorEastAsia"/>
                  <w:sz w:val="20"/>
                </w:rPr>
                <w:t>http://canlii.ca/t/gmjrn</w:t>
              </w:r>
            </w:hyperlink>
          </w:p>
          <w:p w:rsidR="000A15EF" w:rsidRPr="000A15EF" w:rsidRDefault="000A15EF" w:rsidP="000A15EF">
            <w:pPr>
              <w:jc w:val="both"/>
              <w:rPr>
                <w:sz w:val="20"/>
              </w:rPr>
            </w:pPr>
            <w:r w:rsidRPr="000A15EF">
              <w:rPr>
                <w:sz w:val="20"/>
              </w:rPr>
              <w:t xml:space="preserve">    </w:t>
            </w:r>
          </w:p>
        </w:tc>
        <w:tc>
          <w:tcPr>
            <w:tcW w:w="243" w:type="pct"/>
          </w:tcPr>
          <w:p w:rsidR="000A15EF" w:rsidRPr="000A15EF" w:rsidRDefault="000A15EF" w:rsidP="000A15EF">
            <w:pPr>
              <w:jc w:val="both"/>
              <w:rPr>
                <w:sz w:val="20"/>
              </w:rPr>
            </w:pPr>
          </w:p>
        </w:tc>
        <w:tc>
          <w:tcPr>
            <w:tcW w:w="2330" w:type="pct"/>
          </w:tcPr>
          <w:p w:rsidR="000A15EF" w:rsidRPr="000A15EF" w:rsidRDefault="000A15EF" w:rsidP="000A15EF">
            <w:pPr>
              <w:jc w:val="both"/>
              <w:rPr>
                <w:sz w:val="20"/>
              </w:rPr>
            </w:pPr>
            <w:r w:rsidRPr="000A15EF">
              <w:rPr>
                <w:sz w:val="20"/>
              </w:rPr>
              <w:t>Leave to appeal sentence granted and sentence appeal allowed: indeterminate sentence imposed</w:t>
            </w:r>
          </w:p>
          <w:p w:rsidR="000A15EF" w:rsidRPr="000A15EF" w:rsidRDefault="000A15EF" w:rsidP="000A15EF">
            <w:pPr>
              <w:jc w:val="both"/>
              <w:rPr>
                <w:sz w:val="20"/>
              </w:rPr>
            </w:pPr>
          </w:p>
          <w:p w:rsidR="000A15EF" w:rsidRPr="000A15EF" w:rsidRDefault="000A15EF" w:rsidP="000A15EF">
            <w:pPr>
              <w:jc w:val="both"/>
              <w:rPr>
                <w:sz w:val="20"/>
              </w:rPr>
            </w:pPr>
          </w:p>
        </w:tc>
      </w:tr>
      <w:tr w:rsidR="000A15EF" w:rsidRPr="000A15EF" w:rsidTr="00E95A6A">
        <w:tc>
          <w:tcPr>
            <w:tcW w:w="2427" w:type="pct"/>
            <w:gridSpan w:val="2"/>
          </w:tcPr>
          <w:p w:rsidR="000A15EF" w:rsidRPr="000A15EF" w:rsidRDefault="000A15EF" w:rsidP="000A15EF">
            <w:pPr>
              <w:jc w:val="both"/>
              <w:rPr>
                <w:sz w:val="20"/>
              </w:rPr>
            </w:pPr>
            <w:r w:rsidRPr="000A15EF">
              <w:rPr>
                <w:sz w:val="20"/>
              </w:rPr>
              <w:t>April 8, 2016</w:t>
            </w:r>
          </w:p>
          <w:p w:rsidR="000A15EF" w:rsidRPr="000A15EF" w:rsidRDefault="000A15EF" w:rsidP="000A15EF">
            <w:pPr>
              <w:jc w:val="both"/>
              <w:rPr>
                <w:sz w:val="20"/>
              </w:rPr>
            </w:pPr>
            <w:r w:rsidRPr="000A15EF">
              <w:rPr>
                <w:sz w:val="20"/>
              </w:rPr>
              <w:t>Supreme Court of Canada</w:t>
            </w:r>
          </w:p>
        </w:tc>
        <w:tc>
          <w:tcPr>
            <w:tcW w:w="243" w:type="pct"/>
          </w:tcPr>
          <w:p w:rsidR="000A15EF" w:rsidRPr="000A15EF" w:rsidRDefault="000A15EF" w:rsidP="000A15EF">
            <w:pPr>
              <w:jc w:val="both"/>
              <w:rPr>
                <w:sz w:val="20"/>
              </w:rPr>
            </w:pPr>
          </w:p>
        </w:tc>
        <w:tc>
          <w:tcPr>
            <w:tcW w:w="2330" w:type="pct"/>
          </w:tcPr>
          <w:p w:rsidR="000A15EF" w:rsidRPr="000A15EF" w:rsidRDefault="000A15EF" w:rsidP="000A15EF">
            <w:pPr>
              <w:jc w:val="both"/>
              <w:rPr>
                <w:sz w:val="20"/>
              </w:rPr>
            </w:pPr>
            <w:r w:rsidRPr="000A15EF">
              <w:rPr>
                <w:sz w:val="20"/>
              </w:rPr>
              <w:t>Motion for an extension of time to serve and file the application for leave to appeal and application for leave to appeal filed</w:t>
            </w:r>
          </w:p>
        </w:tc>
      </w:tr>
    </w:tbl>
    <w:p w:rsidR="000A15EF" w:rsidRDefault="000A15EF" w:rsidP="000A15EF">
      <w:pPr>
        <w:jc w:val="both"/>
        <w:rPr>
          <w:sz w:val="20"/>
        </w:rPr>
      </w:pPr>
    </w:p>
    <w:p w:rsidR="000A15EF" w:rsidRPr="000A15EF" w:rsidRDefault="000A15EF" w:rsidP="000A15E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15EF" w:rsidRPr="000A15EF" w:rsidTr="00E95A6A">
        <w:tc>
          <w:tcPr>
            <w:tcW w:w="543" w:type="pct"/>
          </w:tcPr>
          <w:p w:rsidR="000A15EF" w:rsidRPr="000A15EF" w:rsidRDefault="000A15EF" w:rsidP="000A15EF">
            <w:pPr>
              <w:jc w:val="both"/>
              <w:rPr>
                <w:sz w:val="20"/>
                <w:lang w:val="fr-CA"/>
              </w:rPr>
            </w:pPr>
            <w:r w:rsidRPr="000A15EF">
              <w:rPr>
                <w:rStyle w:val="SCCFileNumberChar"/>
                <w:sz w:val="20"/>
                <w:szCs w:val="20"/>
                <w:lang w:val="fr-CA"/>
              </w:rPr>
              <w:t>36942</w:t>
            </w:r>
          </w:p>
        </w:tc>
        <w:tc>
          <w:tcPr>
            <w:tcW w:w="4457" w:type="pct"/>
            <w:gridSpan w:val="3"/>
          </w:tcPr>
          <w:p w:rsidR="000A15EF" w:rsidRPr="000A15EF" w:rsidRDefault="000A15EF" w:rsidP="000A15EF">
            <w:pPr>
              <w:pStyle w:val="SCCLsocParty"/>
              <w:jc w:val="both"/>
              <w:rPr>
                <w:b/>
                <w:sz w:val="20"/>
                <w:szCs w:val="20"/>
              </w:rPr>
            </w:pPr>
            <w:r w:rsidRPr="000A15EF">
              <w:rPr>
                <w:b/>
                <w:sz w:val="20"/>
                <w:szCs w:val="20"/>
              </w:rPr>
              <w:t>Donald Glen Bird c. Sa Majesté la Reine</w:t>
            </w:r>
          </w:p>
          <w:p w:rsidR="000A15EF" w:rsidRPr="000A15EF" w:rsidRDefault="000A15EF" w:rsidP="000A15EF">
            <w:pPr>
              <w:jc w:val="both"/>
              <w:rPr>
                <w:sz w:val="20"/>
                <w:lang w:val="fr-CA"/>
              </w:rPr>
            </w:pPr>
            <w:r w:rsidRPr="000A15EF">
              <w:rPr>
                <w:sz w:val="20"/>
                <w:lang w:val="fr-CA"/>
              </w:rPr>
              <w:t>(Sask.) (Criminelle) (Sur autorisation)</w:t>
            </w:r>
          </w:p>
        </w:tc>
      </w:tr>
      <w:tr w:rsidR="000A15EF" w:rsidRPr="000A15EF" w:rsidTr="00E95A6A">
        <w:tc>
          <w:tcPr>
            <w:tcW w:w="5000" w:type="pct"/>
            <w:gridSpan w:val="4"/>
          </w:tcPr>
          <w:p w:rsidR="000A15EF" w:rsidRPr="000A15EF" w:rsidRDefault="000A15EF" w:rsidP="000A15EF">
            <w:pPr>
              <w:pStyle w:val="SCCBanSummary"/>
              <w:rPr>
                <w:sz w:val="20"/>
                <w:szCs w:val="20"/>
                <w:lang w:val="fr-CA"/>
              </w:rPr>
            </w:pPr>
            <w:r w:rsidRPr="000A15EF">
              <w:rPr>
                <w:sz w:val="20"/>
                <w:szCs w:val="20"/>
                <w:lang w:val="fr-CA"/>
              </w:rPr>
              <w:t>(Ordonnance de non-publication dans le dossier)</w:t>
            </w:r>
          </w:p>
          <w:p w:rsidR="000A15EF" w:rsidRPr="000A15EF" w:rsidRDefault="000A15EF" w:rsidP="000A15EF">
            <w:pPr>
              <w:jc w:val="both"/>
              <w:rPr>
                <w:sz w:val="20"/>
                <w:lang w:val="fr-CA"/>
              </w:rPr>
            </w:pPr>
          </w:p>
          <w:p w:rsidR="000A15EF" w:rsidRPr="000A15EF" w:rsidRDefault="000A15EF" w:rsidP="000A15EF">
            <w:pPr>
              <w:jc w:val="both"/>
              <w:rPr>
                <w:sz w:val="20"/>
                <w:lang w:val="fr-CA"/>
              </w:rPr>
            </w:pPr>
            <w:r w:rsidRPr="000A15EF">
              <w:rPr>
                <w:sz w:val="20"/>
                <w:lang w:val="fr-CA"/>
              </w:rPr>
              <w:t xml:space="preserve">Droit criminel – Détermination de la peine – Demande du ministère public en vue d’obtenir une déclaration de délinquant dangereux – La Cour d’appel a-t-elle eu tort de confirmer la décision du juge du procès de déclarer le demandeur délinquant dangereux? – La Cour d’appel a-t-elle eu tort de ne pas avoir tenu dûment compte des facteurs énumérés aux art. 718.1 et 718.2 du </w:t>
            </w:r>
            <w:r w:rsidRPr="000A15EF">
              <w:rPr>
                <w:i/>
                <w:sz w:val="20"/>
                <w:lang w:val="fr-CA"/>
              </w:rPr>
              <w:t>Code criminel</w:t>
            </w:r>
            <w:r w:rsidRPr="000A15EF">
              <w:rPr>
                <w:sz w:val="20"/>
                <w:lang w:val="fr-CA"/>
              </w:rPr>
              <w:t xml:space="preserve"> et de ne pas avoir tenu dûment compte des considérations mentionnées dans les arrêts </w:t>
            </w:r>
            <w:r w:rsidRPr="000A15EF">
              <w:rPr>
                <w:i/>
                <w:sz w:val="20"/>
                <w:lang w:val="fr-CA"/>
              </w:rPr>
              <w:t>R. c.</w:t>
            </w:r>
            <w:r w:rsidRPr="000A15EF">
              <w:rPr>
                <w:sz w:val="20"/>
                <w:lang w:val="fr-CA"/>
              </w:rPr>
              <w:t xml:space="preserve"> </w:t>
            </w:r>
            <w:r w:rsidRPr="000A15EF">
              <w:rPr>
                <w:i/>
                <w:sz w:val="20"/>
                <w:lang w:val="fr-CA"/>
              </w:rPr>
              <w:t>Gladue</w:t>
            </w:r>
            <w:r w:rsidRPr="000A15EF">
              <w:rPr>
                <w:sz w:val="20"/>
                <w:lang w:val="fr-CA"/>
              </w:rPr>
              <w:t xml:space="preserve">, [1999] 1 R.C.S. 688 et </w:t>
            </w:r>
            <w:r w:rsidRPr="000A15EF">
              <w:rPr>
                <w:i/>
                <w:sz w:val="20"/>
                <w:lang w:val="fr-CA"/>
              </w:rPr>
              <w:t>R. c.</w:t>
            </w:r>
            <w:r w:rsidRPr="000A15EF">
              <w:rPr>
                <w:sz w:val="20"/>
                <w:lang w:val="fr-CA"/>
              </w:rPr>
              <w:t xml:space="preserve"> </w:t>
            </w:r>
            <w:r w:rsidRPr="000A15EF">
              <w:rPr>
                <w:i/>
                <w:sz w:val="20"/>
                <w:lang w:val="fr-CA"/>
              </w:rPr>
              <w:t>Ipeelee</w:t>
            </w:r>
            <w:r w:rsidRPr="000A15EF">
              <w:rPr>
                <w:sz w:val="20"/>
                <w:lang w:val="fr-CA"/>
              </w:rPr>
              <w:t xml:space="preserve">  (2012 CSC 13) et a-t-elle commis une erreur en concluant à tort que l’on ne pouvait pas « vraisemblablement s’attendre » à ce que le public soit protégé contre le demandeur? – La Cour d’appel a-t-elle eu tort de ne pas avoir dûment pris en considération le principe de proportionnalité dans la détermination de la peine? – La Cour d’appel a-t-elle eu tort de ne pas avoir dûment pris en considération le principe de retenue dans la détermination de la peine? – La Cour d’appel a-t-elle eu tort de conclure que la preuve ne pouvait justifier l’imposition d’une peine moins sévère en application du par. 753(4.1) du </w:t>
            </w:r>
            <w:r w:rsidRPr="000A15EF">
              <w:rPr>
                <w:i/>
                <w:sz w:val="20"/>
                <w:lang w:val="fr-CA"/>
              </w:rPr>
              <w:t>Code criminel</w:t>
            </w:r>
            <w:r w:rsidRPr="000A15EF">
              <w:rPr>
                <w:sz w:val="20"/>
                <w:lang w:val="fr-CA"/>
              </w:rPr>
              <w:t>?</w:t>
            </w:r>
          </w:p>
        </w:tc>
      </w:tr>
      <w:tr w:rsidR="000A15EF" w:rsidRPr="000A15EF" w:rsidTr="00E95A6A">
        <w:tc>
          <w:tcPr>
            <w:tcW w:w="5000" w:type="pct"/>
            <w:gridSpan w:val="4"/>
          </w:tcPr>
          <w:p w:rsidR="000A15EF" w:rsidRPr="000A15EF" w:rsidRDefault="000A15EF" w:rsidP="000A15EF">
            <w:pPr>
              <w:jc w:val="both"/>
              <w:rPr>
                <w:sz w:val="20"/>
                <w:lang w:val="fr-CA"/>
              </w:rPr>
            </w:pPr>
          </w:p>
        </w:tc>
      </w:tr>
      <w:tr w:rsidR="000A15EF" w:rsidRPr="000A15EF" w:rsidTr="00E95A6A">
        <w:tc>
          <w:tcPr>
            <w:tcW w:w="5000" w:type="pct"/>
            <w:gridSpan w:val="4"/>
          </w:tcPr>
          <w:p w:rsidR="000A15EF" w:rsidRPr="000A15EF" w:rsidRDefault="000A15EF" w:rsidP="000A15EF">
            <w:pPr>
              <w:jc w:val="both"/>
              <w:rPr>
                <w:sz w:val="20"/>
                <w:lang w:val="fr-CA"/>
              </w:rPr>
            </w:pPr>
            <w:r w:rsidRPr="000A15EF">
              <w:rPr>
                <w:sz w:val="20"/>
                <w:lang w:val="fr-CA"/>
              </w:rPr>
              <w:t xml:space="preserve">Le demandeur, un Autochtone, a un lourd casier judiciaire d’agressions sexuelles. Le ministère public </w:t>
            </w:r>
            <w:proofErr w:type="gramStart"/>
            <w:r w:rsidRPr="000A15EF">
              <w:rPr>
                <w:sz w:val="20"/>
                <w:lang w:val="fr-CA"/>
              </w:rPr>
              <w:t>a</w:t>
            </w:r>
            <w:proofErr w:type="gramEnd"/>
            <w:r w:rsidRPr="000A15EF">
              <w:rPr>
                <w:sz w:val="20"/>
                <w:lang w:val="fr-CA"/>
              </w:rPr>
              <w:t xml:space="preserve"> demandé qu’il soit déclaré délinquant dangereux. Le juge chargé de la détermination de la peine a conclu que les conditions légales avaient été réunies. Le demandeur a été déclaré délinquant dangereux, condamné à une peine d’une durée déterminée de cinq ans et fait l’objet d’une ordonnance de surveillance de longue durée, à savoir de trois ans. La Cour d’appel a accueilli la demande d’autorisation d’appel de la peine présentée par le ministère public et a accueilli l’appel de la peine. Une peine d’une durée indéterminée a été imposée.</w:t>
            </w:r>
          </w:p>
          <w:p w:rsidR="000A15EF" w:rsidRPr="000A15EF" w:rsidRDefault="000A15EF" w:rsidP="000A15EF">
            <w:pPr>
              <w:jc w:val="both"/>
              <w:rPr>
                <w:sz w:val="20"/>
                <w:lang w:val="fr-CA"/>
              </w:rPr>
            </w:pPr>
          </w:p>
        </w:tc>
      </w:tr>
      <w:tr w:rsidR="000A15EF" w:rsidRPr="000A15EF" w:rsidTr="00E95A6A">
        <w:tc>
          <w:tcPr>
            <w:tcW w:w="2427" w:type="pct"/>
            <w:gridSpan w:val="2"/>
          </w:tcPr>
          <w:p w:rsidR="000A15EF" w:rsidRPr="000A15EF" w:rsidRDefault="000A15EF" w:rsidP="000A15EF">
            <w:pPr>
              <w:jc w:val="both"/>
              <w:rPr>
                <w:sz w:val="20"/>
                <w:lang w:val="fr-CA"/>
              </w:rPr>
            </w:pPr>
            <w:r w:rsidRPr="000A15EF">
              <w:rPr>
                <w:sz w:val="20"/>
                <w:lang w:val="fr-CA"/>
              </w:rPr>
              <w:t>17 mars 2014</w:t>
            </w:r>
          </w:p>
          <w:p w:rsidR="000A15EF" w:rsidRPr="000A15EF" w:rsidRDefault="000A15EF" w:rsidP="000A15EF">
            <w:pPr>
              <w:jc w:val="both"/>
              <w:rPr>
                <w:sz w:val="20"/>
                <w:lang w:val="fr-CA"/>
              </w:rPr>
            </w:pPr>
            <w:r w:rsidRPr="000A15EF">
              <w:rPr>
                <w:sz w:val="20"/>
                <w:lang w:val="fr-CA"/>
              </w:rPr>
              <w:t xml:space="preserve">Cour du Banc de la Reine de la Saskatchewan </w:t>
            </w:r>
          </w:p>
          <w:p w:rsidR="000A15EF" w:rsidRPr="000A15EF" w:rsidRDefault="000A15EF" w:rsidP="000A15EF">
            <w:pPr>
              <w:jc w:val="both"/>
              <w:rPr>
                <w:sz w:val="20"/>
                <w:lang w:val="fr-CA"/>
              </w:rPr>
            </w:pPr>
            <w:r w:rsidRPr="000A15EF">
              <w:rPr>
                <w:sz w:val="20"/>
                <w:lang w:val="fr-CA"/>
              </w:rPr>
              <w:t>(Juge Mills)</w:t>
            </w:r>
          </w:p>
          <w:p w:rsidR="000A15EF" w:rsidRPr="000A15EF" w:rsidRDefault="000A15EF" w:rsidP="000A15EF">
            <w:pPr>
              <w:jc w:val="both"/>
              <w:rPr>
                <w:sz w:val="20"/>
                <w:lang w:val="fr-CA"/>
              </w:rPr>
            </w:pPr>
            <w:r w:rsidRPr="000A15EF">
              <w:rPr>
                <w:sz w:val="20"/>
                <w:lang w:val="fr-CA"/>
              </w:rPr>
              <w:t>2014 SKQB 75</w:t>
            </w:r>
          </w:p>
          <w:p w:rsidR="000A15EF" w:rsidRPr="000A15EF" w:rsidRDefault="003423AB" w:rsidP="000A15EF">
            <w:pPr>
              <w:jc w:val="both"/>
              <w:rPr>
                <w:rStyle w:val="documentstaticurl"/>
                <w:sz w:val="20"/>
                <w:lang w:val="fr-CA"/>
              </w:rPr>
            </w:pPr>
            <w:hyperlink r:id="rId32" w:history="1">
              <w:r w:rsidR="000A15EF" w:rsidRPr="000A15EF">
                <w:rPr>
                  <w:rStyle w:val="Hyperlink"/>
                  <w:sz w:val="20"/>
                  <w:lang w:val="fr-CA"/>
                </w:rPr>
                <w:t>http://canlii.ca/t/g6g1w</w:t>
              </w:r>
            </w:hyperlink>
          </w:p>
          <w:p w:rsidR="000A15EF" w:rsidRPr="000A15EF" w:rsidRDefault="000A15EF" w:rsidP="000A15EF">
            <w:pPr>
              <w:jc w:val="both"/>
              <w:rPr>
                <w:sz w:val="20"/>
                <w:lang w:val="fr-CA"/>
              </w:rPr>
            </w:pPr>
          </w:p>
        </w:tc>
        <w:tc>
          <w:tcPr>
            <w:tcW w:w="243" w:type="pct"/>
          </w:tcPr>
          <w:p w:rsidR="000A15EF" w:rsidRPr="000A15EF" w:rsidRDefault="000A15EF" w:rsidP="000A15EF">
            <w:pPr>
              <w:jc w:val="both"/>
              <w:rPr>
                <w:sz w:val="20"/>
                <w:lang w:val="fr-CA"/>
              </w:rPr>
            </w:pPr>
          </w:p>
        </w:tc>
        <w:tc>
          <w:tcPr>
            <w:tcW w:w="2330" w:type="pct"/>
          </w:tcPr>
          <w:p w:rsidR="000A15EF" w:rsidRPr="000A15EF" w:rsidRDefault="000A15EF" w:rsidP="000A15EF">
            <w:pPr>
              <w:jc w:val="both"/>
              <w:rPr>
                <w:sz w:val="20"/>
                <w:lang w:val="fr-CA"/>
              </w:rPr>
            </w:pPr>
            <w:r w:rsidRPr="000A15EF">
              <w:rPr>
                <w:sz w:val="20"/>
                <w:lang w:val="fr-CA"/>
              </w:rPr>
              <w:t>Imposition de la peine : déclaration de délinquant dangereux, peine d’une durée déterminée de cinq et ordonnance de surveillance de longue durée (trois ans)</w:t>
            </w:r>
          </w:p>
          <w:p w:rsidR="000A15EF" w:rsidRPr="000A15EF" w:rsidRDefault="000A15EF" w:rsidP="000A15EF">
            <w:pPr>
              <w:jc w:val="both"/>
              <w:rPr>
                <w:sz w:val="20"/>
                <w:lang w:val="fr-CA"/>
              </w:rPr>
            </w:pPr>
          </w:p>
          <w:p w:rsidR="000A15EF" w:rsidRPr="000A15EF" w:rsidRDefault="000A15EF" w:rsidP="000A15EF">
            <w:pPr>
              <w:jc w:val="both"/>
              <w:rPr>
                <w:sz w:val="20"/>
                <w:lang w:val="fr-CA"/>
              </w:rPr>
            </w:pPr>
          </w:p>
        </w:tc>
      </w:tr>
      <w:tr w:rsidR="000A15EF" w:rsidRPr="000A15EF" w:rsidTr="00E95A6A">
        <w:tc>
          <w:tcPr>
            <w:tcW w:w="2427" w:type="pct"/>
            <w:gridSpan w:val="2"/>
          </w:tcPr>
          <w:p w:rsidR="000A15EF" w:rsidRPr="000A15EF" w:rsidRDefault="000A15EF" w:rsidP="000A15EF">
            <w:pPr>
              <w:jc w:val="both"/>
              <w:rPr>
                <w:sz w:val="20"/>
                <w:lang w:val="fr-CA"/>
              </w:rPr>
            </w:pPr>
            <w:r w:rsidRPr="000A15EF">
              <w:rPr>
                <w:sz w:val="20"/>
                <w:lang w:val="fr-CA"/>
              </w:rPr>
              <w:t>8 décembre 2015</w:t>
            </w:r>
          </w:p>
          <w:p w:rsidR="000A15EF" w:rsidRPr="000A15EF" w:rsidRDefault="000A15EF" w:rsidP="000A15EF">
            <w:pPr>
              <w:jc w:val="both"/>
              <w:rPr>
                <w:sz w:val="20"/>
                <w:lang w:val="fr-CA"/>
              </w:rPr>
            </w:pPr>
            <w:r w:rsidRPr="000A15EF">
              <w:rPr>
                <w:sz w:val="20"/>
                <w:lang w:val="fr-CA"/>
              </w:rPr>
              <w:t xml:space="preserve">Cour d’appel de la Saskatchewan </w:t>
            </w:r>
          </w:p>
          <w:p w:rsidR="000A15EF" w:rsidRPr="000A15EF" w:rsidRDefault="000A15EF" w:rsidP="000A15EF">
            <w:pPr>
              <w:jc w:val="both"/>
              <w:rPr>
                <w:sz w:val="20"/>
                <w:lang w:val="fr-CA"/>
              </w:rPr>
            </w:pPr>
            <w:r w:rsidRPr="000A15EF">
              <w:rPr>
                <w:sz w:val="20"/>
                <w:lang w:val="fr-CA"/>
              </w:rPr>
              <w:t>(Juges Ottenbreit, Herauf et Whitmore)</w:t>
            </w:r>
          </w:p>
          <w:p w:rsidR="000A15EF" w:rsidRPr="000A15EF" w:rsidRDefault="000A15EF" w:rsidP="000A15EF">
            <w:pPr>
              <w:jc w:val="both"/>
              <w:rPr>
                <w:sz w:val="20"/>
                <w:lang w:val="fr-CA"/>
              </w:rPr>
            </w:pPr>
            <w:r w:rsidRPr="000A15EF">
              <w:rPr>
                <w:sz w:val="20"/>
                <w:lang w:val="fr-CA"/>
              </w:rPr>
              <w:t>2015 SKCA 134; CACR2419</w:t>
            </w:r>
          </w:p>
          <w:p w:rsidR="000A15EF" w:rsidRPr="000A15EF" w:rsidRDefault="003423AB" w:rsidP="000A15EF">
            <w:pPr>
              <w:jc w:val="both"/>
              <w:rPr>
                <w:sz w:val="20"/>
                <w:lang w:val="fr-CA"/>
              </w:rPr>
            </w:pPr>
            <w:hyperlink r:id="rId33" w:history="1">
              <w:r w:rsidR="000A15EF" w:rsidRPr="000A15EF">
                <w:rPr>
                  <w:rStyle w:val="Hyperlink"/>
                  <w:rFonts w:eastAsiaTheme="majorEastAsia"/>
                  <w:sz w:val="20"/>
                  <w:lang w:val="fr-CA"/>
                </w:rPr>
                <w:t>http://canlii.ca/t/gmjrn</w:t>
              </w:r>
            </w:hyperlink>
          </w:p>
          <w:p w:rsidR="000A15EF" w:rsidRPr="000A15EF" w:rsidRDefault="000A15EF" w:rsidP="000A15EF">
            <w:pPr>
              <w:jc w:val="both"/>
              <w:rPr>
                <w:sz w:val="20"/>
                <w:lang w:val="fr-CA"/>
              </w:rPr>
            </w:pPr>
            <w:r w:rsidRPr="000A15EF">
              <w:rPr>
                <w:sz w:val="20"/>
                <w:lang w:val="fr-CA"/>
              </w:rPr>
              <w:t xml:space="preserve">    </w:t>
            </w:r>
          </w:p>
        </w:tc>
        <w:tc>
          <w:tcPr>
            <w:tcW w:w="243" w:type="pct"/>
          </w:tcPr>
          <w:p w:rsidR="000A15EF" w:rsidRPr="000A15EF" w:rsidRDefault="000A15EF" w:rsidP="000A15EF">
            <w:pPr>
              <w:jc w:val="both"/>
              <w:rPr>
                <w:sz w:val="20"/>
                <w:lang w:val="fr-CA"/>
              </w:rPr>
            </w:pPr>
          </w:p>
        </w:tc>
        <w:tc>
          <w:tcPr>
            <w:tcW w:w="2330" w:type="pct"/>
          </w:tcPr>
          <w:p w:rsidR="000A15EF" w:rsidRPr="000A15EF" w:rsidRDefault="000A15EF" w:rsidP="000A15EF">
            <w:pPr>
              <w:jc w:val="both"/>
              <w:rPr>
                <w:sz w:val="20"/>
                <w:lang w:val="fr-CA"/>
              </w:rPr>
            </w:pPr>
            <w:r w:rsidRPr="000A15EF">
              <w:rPr>
                <w:sz w:val="20"/>
                <w:lang w:val="fr-CA"/>
              </w:rPr>
              <w:t xml:space="preserve">Arrêt accueillant la demande d’autorisation d’appel de la peine, accueillant l’appel de la peine et imposant une peine d’une durée indéterminée </w:t>
            </w:r>
          </w:p>
          <w:p w:rsidR="000A15EF" w:rsidRPr="000A15EF" w:rsidRDefault="000A15EF" w:rsidP="000A15EF">
            <w:pPr>
              <w:jc w:val="both"/>
              <w:rPr>
                <w:sz w:val="20"/>
                <w:lang w:val="fr-CA"/>
              </w:rPr>
            </w:pPr>
          </w:p>
          <w:p w:rsidR="000A15EF" w:rsidRPr="000A15EF" w:rsidRDefault="000A15EF" w:rsidP="000A15EF">
            <w:pPr>
              <w:jc w:val="both"/>
              <w:rPr>
                <w:sz w:val="20"/>
                <w:lang w:val="fr-CA"/>
              </w:rPr>
            </w:pPr>
          </w:p>
        </w:tc>
      </w:tr>
      <w:tr w:rsidR="000A15EF" w:rsidRPr="000A15EF" w:rsidTr="00E95A6A">
        <w:tc>
          <w:tcPr>
            <w:tcW w:w="2427" w:type="pct"/>
            <w:gridSpan w:val="2"/>
          </w:tcPr>
          <w:p w:rsidR="000A15EF" w:rsidRPr="000A15EF" w:rsidRDefault="000A15EF" w:rsidP="000A15EF">
            <w:pPr>
              <w:jc w:val="both"/>
              <w:rPr>
                <w:sz w:val="20"/>
                <w:lang w:val="fr-CA"/>
              </w:rPr>
            </w:pPr>
            <w:r w:rsidRPr="000A15EF">
              <w:rPr>
                <w:sz w:val="20"/>
                <w:lang w:val="fr-CA"/>
              </w:rPr>
              <w:t>8 avril 2016</w:t>
            </w:r>
          </w:p>
          <w:p w:rsidR="000A15EF" w:rsidRPr="000A15EF" w:rsidRDefault="000A15EF" w:rsidP="000A15EF">
            <w:pPr>
              <w:jc w:val="both"/>
              <w:rPr>
                <w:sz w:val="20"/>
                <w:lang w:val="fr-CA"/>
              </w:rPr>
            </w:pPr>
            <w:r w:rsidRPr="000A15EF">
              <w:rPr>
                <w:sz w:val="20"/>
                <w:lang w:val="fr-CA"/>
              </w:rPr>
              <w:t>Cour suprême du Canada</w:t>
            </w:r>
          </w:p>
        </w:tc>
        <w:tc>
          <w:tcPr>
            <w:tcW w:w="243" w:type="pct"/>
          </w:tcPr>
          <w:p w:rsidR="000A15EF" w:rsidRPr="000A15EF" w:rsidRDefault="000A15EF" w:rsidP="000A15EF">
            <w:pPr>
              <w:jc w:val="both"/>
              <w:rPr>
                <w:sz w:val="20"/>
                <w:lang w:val="fr-CA"/>
              </w:rPr>
            </w:pPr>
          </w:p>
        </w:tc>
        <w:tc>
          <w:tcPr>
            <w:tcW w:w="2330" w:type="pct"/>
          </w:tcPr>
          <w:p w:rsidR="000A15EF" w:rsidRPr="000A15EF" w:rsidRDefault="000A15EF" w:rsidP="000A15EF">
            <w:pPr>
              <w:jc w:val="both"/>
              <w:rPr>
                <w:sz w:val="20"/>
                <w:lang w:val="fr-CA"/>
              </w:rPr>
            </w:pPr>
            <w:r w:rsidRPr="000A15EF">
              <w:rPr>
                <w:sz w:val="20"/>
                <w:lang w:val="fr-CA"/>
              </w:rPr>
              <w:t>Dépôt de la requête en prorogation du délai de signification et de dépôt de la demande d’autorisation d’appel et de la demande d’autorisation d’appel</w:t>
            </w:r>
          </w:p>
        </w:tc>
      </w:tr>
    </w:tbl>
    <w:p w:rsidR="000A15EF" w:rsidRPr="001D7C2C" w:rsidRDefault="000A15EF" w:rsidP="001D7C2C">
      <w:pPr>
        <w:jc w:val="both"/>
        <w:rPr>
          <w:sz w:val="20"/>
          <w:lang w:val="fr-CA"/>
        </w:rPr>
      </w:pPr>
    </w:p>
    <w:p w:rsidR="00821634" w:rsidRPr="001D7C2C" w:rsidRDefault="00821634" w:rsidP="001D7C2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D7C2C" w:rsidRPr="001D7C2C" w:rsidTr="00E95A6A">
        <w:tc>
          <w:tcPr>
            <w:tcW w:w="543" w:type="pct"/>
          </w:tcPr>
          <w:p w:rsidR="001D7C2C" w:rsidRPr="001D7C2C" w:rsidRDefault="001D7C2C" w:rsidP="001D7C2C">
            <w:pPr>
              <w:jc w:val="both"/>
              <w:rPr>
                <w:sz w:val="20"/>
              </w:rPr>
            </w:pPr>
            <w:r w:rsidRPr="001D7C2C">
              <w:rPr>
                <w:rStyle w:val="SCCFileNumberChar"/>
                <w:sz w:val="20"/>
                <w:szCs w:val="20"/>
              </w:rPr>
              <w:t>36935</w:t>
            </w:r>
          </w:p>
        </w:tc>
        <w:tc>
          <w:tcPr>
            <w:tcW w:w="4457" w:type="pct"/>
          </w:tcPr>
          <w:p w:rsidR="001D7C2C" w:rsidRPr="001D7C2C" w:rsidRDefault="001D7C2C" w:rsidP="001D7C2C">
            <w:pPr>
              <w:pStyle w:val="SCCLsocParty"/>
              <w:jc w:val="both"/>
              <w:rPr>
                <w:b/>
                <w:sz w:val="20"/>
                <w:szCs w:val="20"/>
              </w:rPr>
            </w:pPr>
            <w:r w:rsidRPr="001D7C2C">
              <w:rPr>
                <w:b/>
                <w:sz w:val="20"/>
                <w:szCs w:val="20"/>
              </w:rPr>
              <w:t>K. Matthew Hoang v. Mann Engineering Ltd., Aris Building Technologies, Cartwright Management, Mann Enterprises, Wu Ventures, Hay Solar Ltd. and Gigajoule Research and Development Ltd. (carrying on business as the “MANN GROUP”)</w:t>
            </w:r>
          </w:p>
          <w:p w:rsidR="001D7C2C" w:rsidRPr="001D7C2C" w:rsidRDefault="001D7C2C" w:rsidP="001D7C2C">
            <w:pPr>
              <w:jc w:val="both"/>
              <w:rPr>
                <w:sz w:val="20"/>
              </w:rPr>
            </w:pPr>
            <w:r w:rsidRPr="001D7C2C">
              <w:rPr>
                <w:sz w:val="20"/>
              </w:rPr>
              <w:t>(Ont.) (Civil) (By Leave)</w:t>
            </w:r>
          </w:p>
        </w:tc>
      </w:tr>
      <w:tr w:rsidR="001D7C2C" w:rsidRPr="001D7C2C" w:rsidTr="00E95A6A">
        <w:tc>
          <w:tcPr>
            <w:tcW w:w="5000" w:type="pct"/>
            <w:gridSpan w:val="2"/>
          </w:tcPr>
          <w:p w:rsidR="001D7C2C" w:rsidRPr="001D7C2C" w:rsidRDefault="001D7C2C" w:rsidP="001D7C2C">
            <w:pPr>
              <w:jc w:val="both"/>
              <w:rPr>
                <w:sz w:val="20"/>
              </w:rPr>
            </w:pPr>
            <w:r w:rsidRPr="001D7C2C">
              <w:rPr>
                <w:sz w:val="20"/>
              </w:rPr>
              <w:t xml:space="preserve">Employment Law – Wrongful dismissal – Civil Procedure – Appeals – Applicant’s employment terminated for just cause – Applicant largely unsuccessful in action against employer and on appeal – Applicant’s motions to set aside or vary endorsement in Court of Appeal dismissed – </w:t>
            </w:r>
            <w:r w:rsidRPr="001D7C2C">
              <w:rPr>
                <w:rFonts w:ascii="Times-Roman" w:hAnsi="Times-Roman" w:cs="Times-Roman"/>
                <w:sz w:val="20"/>
              </w:rPr>
              <w:t>When the Court of Appeal is asked to reconsider and vary its own decision, should it consider whether the party making the request was self-represented and has since obtained the assistance of counsel to clarify his legal argument, such that it appears to the court that it has misunderstood or overlooked essential aspects of the party’s argument that would have likely led to a different result?</w:t>
            </w:r>
          </w:p>
          <w:p w:rsidR="001D7C2C" w:rsidRPr="001D7C2C" w:rsidRDefault="001D7C2C" w:rsidP="001D7C2C">
            <w:pPr>
              <w:pStyle w:val="SCCBanSummary"/>
              <w:rPr>
                <w:sz w:val="20"/>
                <w:szCs w:val="20"/>
              </w:rPr>
            </w:pPr>
          </w:p>
          <w:p w:rsidR="001D7C2C" w:rsidRPr="001D7C2C" w:rsidRDefault="001D7C2C" w:rsidP="001D7C2C">
            <w:pPr>
              <w:jc w:val="both"/>
              <w:rPr>
                <w:sz w:val="20"/>
              </w:rPr>
            </w:pPr>
            <w:r w:rsidRPr="001D7C2C">
              <w:rPr>
                <w:sz w:val="20"/>
              </w:rPr>
              <w:t>Mr. Hoang was hired by the Mann Group (the “employer”) as CFO on a fixed-term contract of employment. According to Mr. Hoang, in the course of his employment, he received a better offer elsewhere and attempted, on that basis, to renegotiate his existing contract of employment. According to the employer, the company agreed to renegotiate the terms of employment, despite ongoing issues with Mr. Hoang’s job performance, insubordination, professionalism and civility, as it was in the midst of negotiations on a new project. As a result, an amended letter of employment was prepared; however, at trial, the parties disagreed as to whether the new employment contract came into existence at that time. Shortly thereafter, Mr. Hoang’s employment was terminated for cause. Mr. Hoang commenced an action against the employer seeking damages for wrongful dismissal, breach of contract, sales commissions owing, and punitive and aggravated damages.</w:t>
            </w:r>
          </w:p>
        </w:tc>
      </w:tr>
    </w:tbl>
    <w:p w:rsidR="001D7C2C" w:rsidRPr="001D7C2C" w:rsidRDefault="001D7C2C" w:rsidP="001D7C2C">
      <w:pPr>
        <w:jc w:val="both"/>
        <w:rPr>
          <w:sz w:val="20"/>
        </w:rPr>
      </w:pPr>
    </w:p>
    <w:tbl>
      <w:tblPr>
        <w:tblW w:w="4952" w:type="pct"/>
        <w:tblLayout w:type="fixed"/>
        <w:tblCellMar>
          <w:left w:w="0" w:type="dxa"/>
          <w:right w:w="0" w:type="dxa"/>
        </w:tblCellMar>
        <w:tblLook w:val="04A0" w:firstRow="1" w:lastRow="0" w:firstColumn="1" w:lastColumn="0" w:noHBand="0" w:noVBand="1"/>
      </w:tblPr>
      <w:tblGrid>
        <w:gridCol w:w="4431"/>
        <w:gridCol w:w="501"/>
        <w:gridCol w:w="4338"/>
      </w:tblGrid>
      <w:tr w:rsidR="001D7C2C" w:rsidRPr="001D7C2C" w:rsidTr="002C5DBC">
        <w:tc>
          <w:tcPr>
            <w:tcW w:w="2390" w:type="pct"/>
          </w:tcPr>
          <w:p w:rsidR="001D7C2C" w:rsidRPr="001D7C2C" w:rsidRDefault="001D7C2C" w:rsidP="001D7C2C">
            <w:pPr>
              <w:jc w:val="both"/>
              <w:rPr>
                <w:sz w:val="20"/>
              </w:rPr>
            </w:pPr>
            <w:r w:rsidRPr="001D7C2C">
              <w:rPr>
                <w:sz w:val="20"/>
              </w:rPr>
              <w:t>August 22, 2014</w:t>
            </w:r>
          </w:p>
          <w:p w:rsidR="001D7C2C" w:rsidRPr="001D7C2C" w:rsidRDefault="001D7C2C" w:rsidP="001D7C2C">
            <w:pPr>
              <w:jc w:val="both"/>
              <w:rPr>
                <w:sz w:val="20"/>
              </w:rPr>
            </w:pPr>
            <w:r w:rsidRPr="001D7C2C">
              <w:rPr>
                <w:sz w:val="20"/>
              </w:rPr>
              <w:t>Ontario Superior Court of Justice</w:t>
            </w:r>
          </w:p>
          <w:p w:rsidR="001D7C2C" w:rsidRPr="001D7C2C" w:rsidRDefault="001D7C2C" w:rsidP="001D7C2C">
            <w:pPr>
              <w:jc w:val="both"/>
              <w:rPr>
                <w:sz w:val="20"/>
              </w:rPr>
            </w:pPr>
            <w:r w:rsidRPr="001D7C2C">
              <w:rPr>
                <w:sz w:val="20"/>
              </w:rPr>
              <w:t>Brown J.</w:t>
            </w:r>
          </w:p>
          <w:p w:rsidR="001D7C2C" w:rsidRPr="001D7C2C" w:rsidRDefault="003423AB" w:rsidP="001D7C2C">
            <w:pPr>
              <w:jc w:val="both"/>
              <w:rPr>
                <w:sz w:val="20"/>
              </w:rPr>
            </w:pPr>
            <w:hyperlink r:id="rId34" w:history="1">
              <w:r w:rsidR="001D7C2C" w:rsidRPr="001D7C2C">
                <w:rPr>
                  <w:rStyle w:val="Hyperlink"/>
                  <w:sz w:val="20"/>
                </w:rPr>
                <w:t>2014 ONSC 3762</w:t>
              </w:r>
            </w:hyperlink>
          </w:p>
          <w:p w:rsidR="001D7C2C" w:rsidRPr="001D7C2C" w:rsidRDefault="001D7C2C" w:rsidP="001D7C2C">
            <w:pPr>
              <w:jc w:val="both"/>
              <w:rPr>
                <w:sz w:val="20"/>
              </w:rPr>
            </w:pP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 xml:space="preserve">Action dismissed </w:t>
            </w:r>
          </w:p>
        </w:tc>
      </w:tr>
      <w:tr w:rsidR="001D7C2C" w:rsidRPr="001D7C2C" w:rsidTr="002C5DBC">
        <w:tc>
          <w:tcPr>
            <w:tcW w:w="2390" w:type="pct"/>
          </w:tcPr>
          <w:p w:rsidR="001D7C2C" w:rsidRPr="001D7C2C" w:rsidRDefault="001D7C2C" w:rsidP="001D7C2C">
            <w:pPr>
              <w:jc w:val="both"/>
              <w:rPr>
                <w:sz w:val="20"/>
              </w:rPr>
            </w:pPr>
            <w:r w:rsidRPr="001D7C2C">
              <w:rPr>
                <w:sz w:val="20"/>
              </w:rPr>
              <w:t>May 1, 2015</w:t>
            </w:r>
          </w:p>
          <w:p w:rsidR="001D7C2C" w:rsidRPr="001D7C2C" w:rsidRDefault="001D7C2C" w:rsidP="001D7C2C">
            <w:pPr>
              <w:jc w:val="both"/>
              <w:rPr>
                <w:sz w:val="20"/>
              </w:rPr>
            </w:pPr>
            <w:r w:rsidRPr="001D7C2C">
              <w:rPr>
                <w:sz w:val="20"/>
              </w:rPr>
              <w:t>Court of Appeal for Ontario</w:t>
            </w:r>
          </w:p>
          <w:p w:rsidR="001D7C2C" w:rsidRPr="001D7C2C" w:rsidRDefault="001D7C2C" w:rsidP="001D7C2C">
            <w:pPr>
              <w:jc w:val="both"/>
              <w:rPr>
                <w:sz w:val="20"/>
              </w:rPr>
            </w:pPr>
            <w:r w:rsidRPr="001D7C2C">
              <w:rPr>
                <w:sz w:val="20"/>
              </w:rPr>
              <w:t>(Doherty, Pepall and van Rensburg JJ.A.)</w:t>
            </w:r>
          </w:p>
          <w:p w:rsidR="001D7C2C" w:rsidRPr="001D7C2C" w:rsidRDefault="003423AB" w:rsidP="001D7C2C">
            <w:pPr>
              <w:jc w:val="both"/>
              <w:rPr>
                <w:sz w:val="20"/>
              </w:rPr>
            </w:pPr>
            <w:hyperlink r:id="rId35" w:history="1">
              <w:r w:rsidR="001D7C2C" w:rsidRPr="001D7C2C">
                <w:rPr>
                  <w:rStyle w:val="Hyperlink"/>
                  <w:sz w:val="20"/>
                </w:rPr>
                <w:t>2015 ONCA 300</w:t>
              </w:r>
            </w:hyperlink>
          </w:p>
          <w:p w:rsidR="001D7C2C" w:rsidRPr="001D7C2C" w:rsidRDefault="001D7C2C" w:rsidP="001D7C2C">
            <w:pPr>
              <w:jc w:val="both"/>
              <w:rPr>
                <w:sz w:val="20"/>
              </w:rPr>
            </w:pP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 xml:space="preserve">Appeal allowed in part, trial judgment varied </w:t>
            </w:r>
          </w:p>
          <w:p w:rsidR="001D7C2C" w:rsidRPr="001D7C2C" w:rsidRDefault="001D7C2C" w:rsidP="001D7C2C">
            <w:pPr>
              <w:jc w:val="both"/>
              <w:rPr>
                <w:sz w:val="20"/>
              </w:rPr>
            </w:pPr>
          </w:p>
        </w:tc>
      </w:tr>
      <w:tr w:rsidR="001D7C2C" w:rsidRPr="001D7C2C" w:rsidTr="002C5DBC">
        <w:tc>
          <w:tcPr>
            <w:tcW w:w="2390" w:type="pct"/>
          </w:tcPr>
          <w:p w:rsidR="001D7C2C" w:rsidRPr="001D7C2C" w:rsidRDefault="001D7C2C" w:rsidP="001D7C2C">
            <w:pPr>
              <w:jc w:val="both"/>
              <w:rPr>
                <w:sz w:val="20"/>
              </w:rPr>
            </w:pPr>
            <w:r w:rsidRPr="001D7C2C">
              <w:rPr>
                <w:sz w:val="20"/>
              </w:rPr>
              <w:t xml:space="preserve">June 18, 2015 </w:t>
            </w:r>
          </w:p>
          <w:p w:rsidR="001D7C2C" w:rsidRPr="001D7C2C" w:rsidRDefault="001D7C2C" w:rsidP="001D7C2C">
            <w:pPr>
              <w:jc w:val="both"/>
              <w:rPr>
                <w:sz w:val="20"/>
              </w:rPr>
            </w:pPr>
            <w:r w:rsidRPr="001D7C2C">
              <w:rPr>
                <w:sz w:val="20"/>
              </w:rPr>
              <w:t>Court of Appeal for Ontario</w:t>
            </w:r>
          </w:p>
          <w:p w:rsidR="001D7C2C" w:rsidRPr="001D7C2C" w:rsidRDefault="001D7C2C" w:rsidP="001D7C2C">
            <w:pPr>
              <w:jc w:val="both"/>
              <w:rPr>
                <w:sz w:val="20"/>
              </w:rPr>
            </w:pPr>
            <w:r w:rsidRPr="001D7C2C">
              <w:rPr>
                <w:sz w:val="20"/>
              </w:rPr>
              <w:t>(Doherty, Pepall and van Rensburg JJ.A.)</w:t>
            </w:r>
          </w:p>
          <w:p w:rsidR="001D7C2C" w:rsidRPr="001D7C2C" w:rsidRDefault="001D7C2C" w:rsidP="001D7C2C">
            <w:pPr>
              <w:jc w:val="both"/>
              <w:rPr>
                <w:sz w:val="20"/>
              </w:rPr>
            </w:pPr>
            <w:r w:rsidRPr="001D7C2C">
              <w:rPr>
                <w:sz w:val="20"/>
              </w:rPr>
              <w:t xml:space="preserve">Unreported </w:t>
            </w:r>
          </w:p>
          <w:p w:rsidR="001D7C2C" w:rsidRPr="001D7C2C" w:rsidRDefault="001D7C2C" w:rsidP="001D7C2C">
            <w:pPr>
              <w:jc w:val="both"/>
              <w:rPr>
                <w:sz w:val="20"/>
              </w:rPr>
            </w:pP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Motion to set aside or vary endorsement dismissed</w:t>
            </w:r>
          </w:p>
        </w:tc>
      </w:tr>
      <w:tr w:rsidR="001D7C2C" w:rsidRPr="001D7C2C" w:rsidTr="002C5DBC">
        <w:tc>
          <w:tcPr>
            <w:tcW w:w="2390" w:type="pct"/>
          </w:tcPr>
          <w:p w:rsidR="001D7C2C" w:rsidRPr="001D7C2C" w:rsidRDefault="001D7C2C" w:rsidP="001D7C2C">
            <w:pPr>
              <w:jc w:val="both"/>
              <w:rPr>
                <w:sz w:val="20"/>
              </w:rPr>
            </w:pPr>
            <w:r w:rsidRPr="001D7C2C">
              <w:rPr>
                <w:sz w:val="20"/>
              </w:rPr>
              <w:t>December 2, 2015</w:t>
            </w:r>
          </w:p>
          <w:p w:rsidR="001D7C2C" w:rsidRPr="001D7C2C" w:rsidRDefault="001D7C2C" w:rsidP="001D7C2C">
            <w:pPr>
              <w:jc w:val="both"/>
              <w:rPr>
                <w:sz w:val="20"/>
              </w:rPr>
            </w:pPr>
            <w:r w:rsidRPr="001D7C2C">
              <w:rPr>
                <w:sz w:val="20"/>
              </w:rPr>
              <w:t>Court of Appeal for Ontario</w:t>
            </w:r>
          </w:p>
          <w:p w:rsidR="001D7C2C" w:rsidRPr="001D7C2C" w:rsidRDefault="001D7C2C" w:rsidP="001D7C2C">
            <w:pPr>
              <w:jc w:val="both"/>
              <w:rPr>
                <w:sz w:val="20"/>
              </w:rPr>
            </w:pPr>
            <w:r w:rsidRPr="001D7C2C">
              <w:rPr>
                <w:sz w:val="20"/>
              </w:rPr>
              <w:t>(Strathy C.J.O and LaForme and Huscroft JJ.A.)</w:t>
            </w:r>
          </w:p>
          <w:p w:rsidR="001D7C2C" w:rsidRPr="001D7C2C" w:rsidRDefault="003423AB" w:rsidP="001D7C2C">
            <w:pPr>
              <w:jc w:val="both"/>
              <w:rPr>
                <w:sz w:val="20"/>
              </w:rPr>
            </w:pPr>
            <w:hyperlink r:id="rId36" w:history="1">
              <w:r w:rsidR="001D7C2C" w:rsidRPr="001D7C2C">
                <w:rPr>
                  <w:rStyle w:val="Hyperlink"/>
                  <w:sz w:val="20"/>
                </w:rPr>
                <w:t>2015 ONCA 838</w:t>
              </w:r>
            </w:hyperlink>
          </w:p>
          <w:p w:rsidR="001D7C2C" w:rsidRPr="001D7C2C" w:rsidRDefault="001D7C2C" w:rsidP="001D7C2C">
            <w:pPr>
              <w:jc w:val="both"/>
              <w:rPr>
                <w:sz w:val="20"/>
              </w:rPr>
            </w:pP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 xml:space="preserve">Motion to set aside or vary endorsement dismissed </w:t>
            </w:r>
          </w:p>
          <w:p w:rsidR="001D7C2C" w:rsidRPr="001D7C2C" w:rsidRDefault="001D7C2C" w:rsidP="001D7C2C">
            <w:pPr>
              <w:jc w:val="both"/>
              <w:rPr>
                <w:sz w:val="20"/>
              </w:rPr>
            </w:pPr>
          </w:p>
        </w:tc>
      </w:tr>
      <w:tr w:rsidR="001D7C2C" w:rsidRPr="001D7C2C" w:rsidTr="002C5DBC">
        <w:tc>
          <w:tcPr>
            <w:tcW w:w="2390" w:type="pct"/>
          </w:tcPr>
          <w:p w:rsidR="001D7C2C" w:rsidRPr="001D7C2C" w:rsidRDefault="001D7C2C" w:rsidP="001D7C2C">
            <w:pPr>
              <w:jc w:val="both"/>
              <w:rPr>
                <w:sz w:val="20"/>
              </w:rPr>
            </w:pPr>
            <w:r w:rsidRPr="001D7C2C">
              <w:rPr>
                <w:sz w:val="20"/>
              </w:rPr>
              <w:t>January 28, 2016</w:t>
            </w:r>
          </w:p>
          <w:p w:rsidR="001D7C2C" w:rsidRPr="001D7C2C" w:rsidRDefault="001D7C2C" w:rsidP="001D7C2C">
            <w:pPr>
              <w:jc w:val="both"/>
              <w:rPr>
                <w:sz w:val="20"/>
              </w:rPr>
            </w:pPr>
            <w:r w:rsidRPr="001D7C2C">
              <w:rPr>
                <w:sz w:val="20"/>
              </w:rPr>
              <w:t>Court of Appeal for Ontario</w:t>
            </w:r>
          </w:p>
          <w:p w:rsidR="001D7C2C" w:rsidRPr="001D7C2C" w:rsidRDefault="001D7C2C" w:rsidP="001D7C2C">
            <w:pPr>
              <w:jc w:val="both"/>
              <w:rPr>
                <w:sz w:val="20"/>
              </w:rPr>
            </w:pPr>
            <w:r w:rsidRPr="001D7C2C">
              <w:rPr>
                <w:sz w:val="20"/>
              </w:rPr>
              <w:t>(Strathy C.J.O and LaForme and Huscroft JJ.A.)</w:t>
            </w:r>
          </w:p>
          <w:p w:rsidR="001D7C2C" w:rsidRPr="001D7C2C" w:rsidRDefault="001D7C2C" w:rsidP="001D7C2C">
            <w:pPr>
              <w:jc w:val="both"/>
              <w:rPr>
                <w:sz w:val="20"/>
              </w:rPr>
            </w:pPr>
            <w:r w:rsidRPr="001D7C2C">
              <w:rPr>
                <w:sz w:val="20"/>
              </w:rPr>
              <w:t xml:space="preserve">Unreported </w:t>
            </w:r>
          </w:p>
          <w:p w:rsidR="001D7C2C" w:rsidRPr="001D7C2C" w:rsidRDefault="001D7C2C" w:rsidP="001D7C2C">
            <w:pPr>
              <w:jc w:val="both"/>
              <w:rPr>
                <w:sz w:val="20"/>
              </w:rPr>
            </w:pP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 xml:space="preserve">Motion to set aside or vary endorsement dismissed </w:t>
            </w:r>
          </w:p>
          <w:p w:rsidR="001D7C2C" w:rsidRPr="001D7C2C" w:rsidRDefault="001D7C2C" w:rsidP="001D7C2C">
            <w:pPr>
              <w:jc w:val="both"/>
              <w:rPr>
                <w:sz w:val="20"/>
              </w:rPr>
            </w:pPr>
          </w:p>
        </w:tc>
      </w:tr>
      <w:tr w:rsidR="001D7C2C" w:rsidRPr="001D7C2C" w:rsidTr="002C5DBC">
        <w:tc>
          <w:tcPr>
            <w:tcW w:w="2390" w:type="pct"/>
          </w:tcPr>
          <w:p w:rsidR="001D7C2C" w:rsidRPr="001D7C2C" w:rsidRDefault="001D7C2C" w:rsidP="001D7C2C">
            <w:pPr>
              <w:jc w:val="both"/>
              <w:rPr>
                <w:sz w:val="20"/>
              </w:rPr>
            </w:pPr>
            <w:r w:rsidRPr="001D7C2C">
              <w:rPr>
                <w:sz w:val="20"/>
              </w:rPr>
              <w:t>April 7, 2016</w:t>
            </w:r>
          </w:p>
          <w:p w:rsidR="001D7C2C" w:rsidRPr="001D7C2C" w:rsidRDefault="001D7C2C" w:rsidP="001D7C2C">
            <w:pPr>
              <w:jc w:val="both"/>
              <w:rPr>
                <w:sz w:val="20"/>
              </w:rPr>
            </w:pPr>
            <w:r w:rsidRPr="001D7C2C">
              <w:rPr>
                <w:sz w:val="20"/>
              </w:rPr>
              <w:t>Supreme Court of Canada</w:t>
            </w:r>
          </w:p>
        </w:tc>
        <w:tc>
          <w:tcPr>
            <w:tcW w:w="270" w:type="pct"/>
          </w:tcPr>
          <w:p w:rsidR="001D7C2C" w:rsidRPr="001D7C2C" w:rsidRDefault="001D7C2C" w:rsidP="001D7C2C">
            <w:pPr>
              <w:jc w:val="both"/>
              <w:rPr>
                <w:sz w:val="20"/>
              </w:rPr>
            </w:pPr>
          </w:p>
        </w:tc>
        <w:tc>
          <w:tcPr>
            <w:tcW w:w="2340" w:type="pct"/>
          </w:tcPr>
          <w:p w:rsidR="001D7C2C" w:rsidRPr="001D7C2C" w:rsidRDefault="001D7C2C" w:rsidP="001D7C2C">
            <w:pPr>
              <w:jc w:val="both"/>
              <w:rPr>
                <w:sz w:val="20"/>
              </w:rPr>
            </w:pPr>
            <w:r w:rsidRPr="001D7C2C">
              <w:rPr>
                <w:sz w:val="20"/>
              </w:rPr>
              <w:t>Motion to extend time to serve and file application for leave to appeal, motion for stay of execution and application for leave to appeal filed</w:t>
            </w:r>
          </w:p>
        </w:tc>
      </w:tr>
    </w:tbl>
    <w:p w:rsidR="001D7C2C" w:rsidRDefault="001D7C2C" w:rsidP="001D7C2C">
      <w:pPr>
        <w:jc w:val="both"/>
        <w:rPr>
          <w:sz w:val="20"/>
        </w:rPr>
      </w:pPr>
    </w:p>
    <w:p w:rsidR="001D7C2C" w:rsidRPr="001D7C2C" w:rsidRDefault="001D7C2C" w:rsidP="001D7C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D7C2C" w:rsidRPr="001D7C2C" w:rsidTr="00E95A6A">
        <w:tc>
          <w:tcPr>
            <w:tcW w:w="543" w:type="pct"/>
          </w:tcPr>
          <w:p w:rsidR="001D7C2C" w:rsidRPr="001D7C2C" w:rsidRDefault="001D7C2C" w:rsidP="001D7C2C">
            <w:pPr>
              <w:jc w:val="both"/>
              <w:rPr>
                <w:sz w:val="20"/>
                <w:lang w:val="fr-CA"/>
              </w:rPr>
            </w:pPr>
            <w:r w:rsidRPr="001D7C2C">
              <w:rPr>
                <w:rStyle w:val="SCCFileNumberChar"/>
                <w:sz w:val="20"/>
                <w:szCs w:val="20"/>
                <w:lang w:val="fr-CA"/>
              </w:rPr>
              <w:t>36935</w:t>
            </w:r>
          </w:p>
        </w:tc>
        <w:tc>
          <w:tcPr>
            <w:tcW w:w="4457" w:type="pct"/>
            <w:gridSpan w:val="3"/>
          </w:tcPr>
          <w:p w:rsidR="001D7C2C" w:rsidRPr="001D7C2C" w:rsidRDefault="001D7C2C" w:rsidP="001D7C2C">
            <w:pPr>
              <w:pStyle w:val="SCCLsocParty"/>
              <w:jc w:val="both"/>
              <w:rPr>
                <w:b/>
                <w:sz w:val="20"/>
                <w:szCs w:val="20"/>
              </w:rPr>
            </w:pPr>
            <w:r w:rsidRPr="001D7C2C">
              <w:rPr>
                <w:b/>
                <w:sz w:val="20"/>
                <w:szCs w:val="20"/>
                <w:lang w:val="en-US"/>
              </w:rPr>
              <w:t xml:space="preserve">K. Matthew Hoang c. Mann Engineering Ltd., Aris Building Technologies, Cartwright Management, Mann Enterprises, Wu Ventures, Hay Solar Ltd. et Gigajoule Research and Development Ltd. </w:t>
            </w:r>
            <w:r w:rsidRPr="001D7C2C">
              <w:rPr>
                <w:b/>
                <w:sz w:val="20"/>
                <w:szCs w:val="20"/>
              </w:rPr>
              <w:t>(faisant affaire sous la raison sociale « MANN GROUP »)</w:t>
            </w:r>
          </w:p>
          <w:p w:rsidR="001D7C2C" w:rsidRPr="001D7C2C" w:rsidRDefault="001D7C2C" w:rsidP="001D7C2C">
            <w:pPr>
              <w:jc w:val="both"/>
              <w:rPr>
                <w:sz w:val="20"/>
                <w:lang w:val="fr-CA"/>
              </w:rPr>
            </w:pPr>
            <w:r w:rsidRPr="001D7C2C">
              <w:rPr>
                <w:sz w:val="20"/>
                <w:lang w:val="fr-CA"/>
              </w:rPr>
              <w:lastRenderedPageBreak/>
              <w:t>(Ont.) (Civile) (Sur autorisation)</w:t>
            </w:r>
          </w:p>
        </w:tc>
      </w:tr>
      <w:tr w:rsidR="001D7C2C" w:rsidRPr="001D7C2C" w:rsidTr="00E95A6A">
        <w:tc>
          <w:tcPr>
            <w:tcW w:w="5000" w:type="pct"/>
            <w:gridSpan w:val="4"/>
          </w:tcPr>
          <w:p w:rsidR="001D7C2C" w:rsidRPr="001D7C2C" w:rsidRDefault="001D7C2C" w:rsidP="001D7C2C">
            <w:pPr>
              <w:jc w:val="both"/>
              <w:rPr>
                <w:sz w:val="20"/>
                <w:lang w:val="fr-CA"/>
              </w:rPr>
            </w:pPr>
            <w:r w:rsidRPr="001D7C2C">
              <w:rPr>
                <w:sz w:val="20"/>
                <w:lang w:val="fr-CA"/>
              </w:rPr>
              <w:lastRenderedPageBreak/>
              <w:t>Droit de l’emploi – Congédiement injustifié – Procédure civile – Appels – Le demandeur a été congédié pour un motif valable – Dans l’ensemble, le demandeur a été débouté dans son action contre l’employeur et en appel – Les motions en annulation ou en modification de l’arrêt de la Cour d’appel ont été rejetées – Lorsqu’on demande à la Cour d’appel de réexaminer et de modifier sa propre décision, cette dernière doit-elle prendre en considération le fait que la partie qui fait la demande n’était pas représentée par un avocat et qu’elle a depuis lors obtenu l’aide d’un avocat pour clarifier son argument juridique, si bien que la cour est en mesure de constater qu’elle avait mal compris ou négligé de prendre en considération des aspects essentiels de l’argument de la partie qui auraient vraisemblablement donné lieu à un résultat différent</w:t>
            </w:r>
            <w:r w:rsidRPr="001D7C2C">
              <w:rPr>
                <w:rFonts w:ascii="Times-Roman" w:hAnsi="Times-Roman" w:cs="Times-Roman"/>
                <w:sz w:val="20"/>
                <w:lang w:val="fr-CA"/>
              </w:rPr>
              <w:t>?</w:t>
            </w:r>
          </w:p>
          <w:p w:rsidR="001D7C2C" w:rsidRPr="001D7C2C" w:rsidRDefault="001D7C2C" w:rsidP="001D7C2C">
            <w:pPr>
              <w:pStyle w:val="SCCBanSummary"/>
              <w:rPr>
                <w:sz w:val="20"/>
                <w:szCs w:val="20"/>
                <w:lang w:val="fr-CA"/>
              </w:rPr>
            </w:pPr>
          </w:p>
          <w:p w:rsidR="001D7C2C" w:rsidRPr="001D7C2C" w:rsidRDefault="001D7C2C" w:rsidP="001D7C2C">
            <w:pPr>
              <w:jc w:val="both"/>
              <w:rPr>
                <w:sz w:val="20"/>
                <w:lang w:val="fr-CA"/>
              </w:rPr>
            </w:pPr>
            <w:r w:rsidRPr="001D7C2C">
              <w:rPr>
                <w:sz w:val="20"/>
                <w:lang w:val="fr-CA"/>
              </w:rPr>
              <w:t>Mann Group (l’« employeur ») a embauché M. Hoang comme directeur financier en vertu d’un contrat d’emploi à durée déterminée. Selon M. Hoang, pendant son emploi, il aurait obtenu une meilleure offre ailleurs et il aurait donc tenté de renégocier son contrat d’emploi. Selon l’employeur, l’entreprise aurait accepté de renégocier les conditions d’emploi, en dépit des difficultés continues touchant le rendement professionnel, l’insubordination, le professionnalisme et la civilité de M. Hoang, puisqu’elle était en cours de négociation sur un nouveau projet. Par conséquent, une lettre d’emploi modifiée a été établie; toutefois, au procès, les parties ne s’entendaient pas sur question de savoir si un nouveau contrat d’emploi avait pris naissance à l’époque. Peu temps après, M. Hoang a été congédié pour un motif valable. Monsieur Hoang a intenté une action en dommages-intérêts contre l’employeur pour congédiement injustifié, violation de contrat, commissions de vente impayées et dommages-intérêts punitifs et majorés.</w:t>
            </w: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22 août 2014</w:t>
            </w:r>
          </w:p>
          <w:p w:rsidR="001D7C2C" w:rsidRPr="001D7C2C" w:rsidRDefault="001D7C2C" w:rsidP="001D7C2C">
            <w:pPr>
              <w:jc w:val="both"/>
              <w:rPr>
                <w:sz w:val="20"/>
                <w:lang w:val="fr-CA"/>
              </w:rPr>
            </w:pPr>
            <w:r w:rsidRPr="001D7C2C">
              <w:rPr>
                <w:sz w:val="20"/>
                <w:lang w:val="fr-CA"/>
              </w:rPr>
              <w:t xml:space="preserve">Cour supérieure de justice de l’Ontario </w:t>
            </w:r>
          </w:p>
          <w:p w:rsidR="001D7C2C" w:rsidRPr="001D7C2C" w:rsidRDefault="001D7C2C" w:rsidP="001D7C2C">
            <w:pPr>
              <w:jc w:val="both"/>
              <w:rPr>
                <w:sz w:val="20"/>
                <w:lang w:val="fr-CA"/>
              </w:rPr>
            </w:pPr>
            <w:r w:rsidRPr="001D7C2C">
              <w:rPr>
                <w:sz w:val="20"/>
                <w:lang w:val="fr-CA"/>
              </w:rPr>
              <w:t>Juge Brown</w:t>
            </w:r>
          </w:p>
          <w:p w:rsidR="001D7C2C" w:rsidRPr="001D7C2C" w:rsidRDefault="003423AB" w:rsidP="001D7C2C">
            <w:pPr>
              <w:jc w:val="both"/>
              <w:rPr>
                <w:sz w:val="20"/>
                <w:lang w:val="fr-CA"/>
              </w:rPr>
            </w:pPr>
            <w:hyperlink r:id="rId37" w:history="1">
              <w:r w:rsidR="001D7C2C" w:rsidRPr="001D7C2C">
                <w:rPr>
                  <w:rStyle w:val="Hyperlink"/>
                  <w:sz w:val="20"/>
                  <w:lang w:val="fr-CA"/>
                </w:rPr>
                <w:t>2014 ONSC 3762</w:t>
              </w:r>
            </w:hyperlink>
          </w:p>
          <w:p w:rsidR="001D7C2C" w:rsidRPr="001D7C2C" w:rsidRDefault="001D7C2C" w:rsidP="001D7C2C">
            <w:pPr>
              <w:jc w:val="both"/>
              <w:rPr>
                <w:sz w:val="20"/>
                <w:lang w:val="fr-CA"/>
              </w:rPr>
            </w:pP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Rejet de l’action</w:t>
            </w: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1</w:t>
            </w:r>
            <w:r w:rsidRPr="001D7C2C">
              <w:rPr>
                <w:sz w:val="20"/>
                <w:vertAlign w:val="superscript"/>
                <w:lang w:val="fr-CA"/>
              </w:rPr>
              <w:t>er</w:t>
            </w:r>
            <w:r w:rsidRPr="001D7C2C">
              <w:rPr>
                <w:sz w:val="20"/>
                <w:lang w:val="fr-CA"/>
              </w:rPr>
              <w:t xml:space="preserve"> mai 2015</w:t>
            </w:r>
          </w:p>
          <w:p w:rsidR="001D7C2C" w:rsidRPr="001D7C2C" w:rsidRDefault="001D7C2C" w:rsidP="001D7C2C">
            <w:pPr>
              <w:jc w:val="both"/>
              <w:rPr>
                <w:sz w:val="20"/>
                <w:lang w:val="fr-CA"/>
              </w:rPr>
            </w:pPr>
            <w:r w:rsidRPr="001D7C2C">
              <w:rPr>
                <w:sz w:val="20"/>
                <w:lang w:val="fr-CA"/>
              </w:rPr>
              <w:t xml:space="preserve">Cour d’appel de l’Ontario </w:t>
            </w:r>
          </w:p>
          <w:p w:rsidR="001D7C2C" w:rsidRPr="001D7C2C" w:rsidRDefault="001D7C2C" w:rsidP="001D7C2C">
            <w:pPr>
              <w:jc w:val="both"/>
              <w:rPr>
                <w:sz w:val="20"/>
                <w:lang w:val="fr-CA"/>
              </w:rPr>
            </w:pPr>
            <w:r w:rsidRPr="001D7C2C">
              <w:rPr>
                <w:sz w:val="20"/>
                <w:lang w:val="fr-CA"/>
              </w:rPr>
              <w:t>(Juges Doherty, Pepall et van Rensburg)</w:t>
            </w:r>
          </w:p>
          <w:p w:rsidR="001D7C2C" w:rsidRPr="001D7C2C" w:rsidRDefault="003423AB" w:rsidP="001D7C2C">
            <w:pPr>
              <w:jc w:val="both"/>
              <w:rPr>
                <w:sz w:val="20"/>
                <w:lang w:val="fr-CA"/>
              </w:rPr>
            </w:pPr>
            <w:hyperlink r:id="rId38" w:history="1">
              <w:r w:rsidR="001D7C2C" w:rsidRPr="001D7C2C">
                <w:rPr>
                  <w:rStyle w:val="Hyperlink"/>
                  <w:sz w:val="20"/>
                  <w:lang w:val="fr-CA"/>
                </w:rPr>
                <w:t>2015 ONCA 300</w:t>
              </w:r>
            </w:hyperlink>
          </w:p>
          <w:p w:rsidR="001D7C2C" w:rsidRPr="001D7C2C" w:rsidRDefault="001D7C2C" w:rsidP="001D7C2C">
            <w:pPr>
              <w:jc w:val="both"/>
              <w:rPr>
                <w:sz w:val="20"/>
                <w:lang w:val="fr-CA"/>
              </w:rPr>
            </w:pP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Arrêt accueillant l’appel en partie et modifiant le jugement de première instance</w:t>
            </w:r>
          </w:p>
          <w:p w:rsidR="001D7C2C" w:rsidRPr="001D7C2C" w:rsidRDefault="001D7C2C" w:rsidP="001D7C2C">
            <w:pPr>
              <w:jc w:val="both"/>
              <w:rPr>
                <w:sz w:val="20"/>
                <w:lang w:val="fr-CA"/>
              </w:rPr>
            </w:pP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 xml:space="preserve">18 juin 2015 </w:t>
            </w:r>
          </w:p>
          <w:p w:rsidR="001D7C2C" w:rsidRPr="001D7C2C" w:rsidRDefault="001D7C2C" w:rsidP="001D7C2C">
            <w:pPr>
              <w:jc w:val="both"/>
              <w:rPr>
                <w:sz w:val="20"/>
                <w:lang w:val="fr-CA"/>
              </w:rPr>
            </w:pPr>
            <w:r w:rsidRPr="001D7C2C">
              <w:rPr>
                <w:sz w:val="20"/>
                <w:lang w:val="fr-CA"/>
              </w:rPr>
              <w:t xml:space="preserve">Cour d’appel de l’Ontario </w:t>
            </w:r>
          </w:p>
          <w:p w:rsidR="001D7C2C" w:rsidRPr="001D7C2C" w:rsidRDefault="001D7C2C" w:rsidP="001D7C2C">
            <w:pPr>
              <w:jc w:val="both"/>
              <w:rPr>
                <w:sz w:val="20"/>
                <w:lang w:val="fr-CA"/>
              </w:rPr>
            </w:pPr>
            <w:r w:rsidRPr="001D7C2C">
              <w:rPr>
                <w:sz w:val="20"/>
                <w:lang w:val="fr-CA"/>
              </w:rPr>
              <w:t>(Juges Doherty, Pepall et van Rensburg)</w:t>
            </w:r>
          </w:p>
          <w:p w:rsidR="001D7C2C" w:rsidRPr="001D7C2C" w:rsidRDefault="001D7C2C" w:rsidP="001D7C2C">
            <w:pPr>
              <w:jc w:val="both"/>
              <w:rPr>
                <w:sz w:val="20"/>
                <w:lang w:val="fr-CA"/>
              </w:rPr>
            </w:pPr>
            <w:r w:rsidRPr="001D7C2C">
              <w:rPr>
                <w:sz w:val="20"/>
                <w:lang w:val="fr-CA"/>
              </w:rPr>
              <w:t>Non publié</w:t>
            </w:r>
          </w:p>
          <w:p w:rsidR="001D7C2C" w:rsidRPr="001D7C2C" w:rsidRDefault="001D7C2C" w:rsidP="001D7C2C">
            <w:pPr>
              <w:jc w:val="both"/>
              <w:rPr>
                <w:sz w:val="20"/>
                <w:lang w:val="fr-CA"/>
              </w:rPr>
            </w:pP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Rejet de la motion en annulation ou en modification de l’arrêt</w:t>
            </w: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2 décembre 2015</w:t>
            </w:r>
          </w:p>
          <w:p w:rsidR="001D7C2C" w:rsidRPr="001D7C2C" w:rsidRDefault="001D7C2C" w:rsidP="001D7C2C">
            <w:pPr>
              <w:jc w:val="both"/>
              <w:rPr>
                <w:sz w:val="20"/>
                <w:lang w:val="fr-CA"/>
              </w:rPr>
            </w:pPr>
            <w:r w:rsidRPr="001D7C2C">
              <w:rPr>
                <w:sz w:val="20"/>
                <w:lang w:val="fr-CA"/>
              </w:rPr>
              <w:t xml:space="preserve">Cour d’appel de l’Ontario </w:t>
            </w:r>
          </w:p>
          <w:p w:rsidR="001D7C2C" w:rsidRPr="001D7C2C" w:rsidRDefault="001D7C2C" w:rsidP="001D7C2C">
            <w:pPr>
              <w:jc w:val="both"/>
              <w:rPr>
                <w:sz w:val="20"/>
                <w:lang w:val="fr-CA"/>
              </w:rPr>
            </w:pPr>
            <w:r w:rsidRPr="001D7C2C">
              <w:rPr>
                <w:sz w:val="20"/>
                <w:lang w:val="fr-CA"/>
              </w:rPr>
              <w:t>(Juge en chef Strathy, juges LaForme et Huscroft)</w:t>
            </w:r>
          </w:p>
          <w:p w:rsidR="001D7C2C" w:rsidRPr="001D7C2C" w:rsidRDefault="003423AB" w:rsidP="001D7C2C">
            <w:pPr>
              <w:jc w:val="both"/>
              <w:rPr>
                <w:sz w:val="20"/>
                <w:lang w:val="fr-CA"/>
              </w:rPr>
            </w:pPr>
            <w:hyperlink r:id="rId39" w:history="1">
              <w:r w:rsidR="001D7C2C" w:rsidRPr="001D7C2C">
                <w:rPr>
                  <w:rStyle w:val="Hyperlink"/>
                  <w:sz w:val="20"/>
                  <w:lang w:val="fr-CA"/>
                </w:rPr>
                <w:t>2015 ONCA 838</w:t>
              </w:r>
            </w:hyperlink>
          </w:p>
          <w:p w:rsidR="001D7C2C" w:rsidRPr="001D7C2C" w:rsidRDefault="001D7C2C" w:rsidP="001D7C2C">
            <w:pPr>
              <w:jc w:val="both"/>
              <w:rPr>
                <w:sz w:val="20"/>
                <w:lang w:val="fr-CA"/>
              </w:rPr>
            </w:pP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 xml:space="preserve">Rejet de la motion en annulation ou en modification de l’arrêt </w:t>
            </w: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28 janvier 2016</w:t>
            </w:r>
          </w:p>
          <w:p w:rsidR="001D7C2C" w:rsidRPr="001D7C2C" w:rsidRDefault="001D7C2C" w:rsidP="001D7C2C">
            <w:pPr>
              <w:jc w:val="both"/>
              <w:rPr>
                <w:sz w:val="20"/>
                <w:lang w:val="fr-CA"/>
              </w:rPr>
            </w:pPr>
            <w:r w:rsidRPr="001D7C2C">
              <w:rPr>
                <w:sz w:val="20"/>
                <w:lang w:val="fr-CA"/>
              </w:rPr>
              <w:t xml:space="preserve">Cour d’appel de l’Ontario </w:t>
            </w:r>
          </w:p>
          <w:p w:rsidR="001D7C2C" w:rsidRPr="001D7C2C" w:rsidRDefault="001D7C2C" w:rsidP="001D7C2C">
            <w:pPr>
              <w:jc w:val="both"/>
              <w:rPr>
                <w:sz w:val="20"/>
                <w:lang w:val="fr-CA"/>
              </w:rPr>
            </w:pPr>
            <w:r w:rsidRPr="001D7C2C">
              <w:rPr>
                <w:sz w:val="20"/>
                <w:lang w:val="fr-CA"/>
              </w:rPr>
              <w:t>(Juge en chef Strathy, juges LaForme et Huscroft)</w:t>
            </w:r>
          </w:p>
          <w:p w:rsidR="001D7C2C" w:rsidRPr="001D7C2C" w:rsidRDefault="001D7C2C" w:rsidP="001D7C2C">
            <w:pPr>
              <w:jc w:val="both"/>
              <w:rPr>
                <w:sz w:val="20"/>
                <w:lang w:val="fr-CA"/>
              </w:rPr>
            </w:pPr>
            <w:r w:rsidRPr="001D7C2C">
              <w:rPr>
                <w:sz w:val="20"/>
                <w:lang w:val="fr-CA"/>
              </w:rPr>
              <w:t>Non publié</w:t>
            </w:r>
          </w:p>
          <w:p w:rsidR="001D7C2C" w:rsidRPr="001D7C2C" w:rsidRDefault="001D7C2C" w:rsidP="001D7C2C">
            <w:pPr>
              <w:jc w:val="both"/>
              <w:rPr>
                <w:sz w:val="20"/>
                <w:lang w:val="fr-CA"/>
              </w:rPr>
            </w:pP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 xml:space="preserve">Rejet de la motion en annulation ou en modification de l’arrêt </w:t>
            </w:r>
          </w:p>
        </w:tc>
      </w:tr>
      <w:tr w:rsidR="001D7C2C" w:rsidRPr="001D7C2C" w:rsidTr="002C5DBC">
        <w:tblPrEx>
          <w:tblCellMar>
            <w:bottom w:w="0" w:type="dxa"/>
          </w:tblCellMar>
        </w:tblPrEx>
        <w:tc>
          <w:tcPr>
            <w:tcW w:w="2390" w:type="pct"/>
            <w:gridSpan w:val="2"/>
          </w:tcPr>
          <w:p w:rsidR="001D7C2C" w:rsidRPr="001D7C2C" w:rsidRDefault="001D7C2C" w:rsidP="001D7C2C">
            <w:pPr>
              <w:jc w:val="both"/>
              <w:rPr>
                <w:sz w:val="20"/>
                <w:lang w:val="fr-CA"/>
              </w:rPr>
            </w:pPr>
            <w:r w:rsidRPr="001D7C2C">
              <w:rPr>
                <w:sz w:val="20"/>
                <w:lang w:val="fr-CA"/>
              </w:rPr>
              <w:t>7 avril 2016</w:t>
            </w:r>
          </w:p>
          <w:p w:rsidR="001D7C2C" w:rsidRPr="001D7C2C" w:rsidRDefault="001D7C2C" w:rsidP="001D7C2C">
            <w:pPr>
              <w:jc w:val="both"/>
              <w:rPr>
                <w:sz w:val="20"/>
                <w:lang w:val="fr-CA"/>
              </w:rPr>
            </w:pPr>
            <w:r w:rsidRPr="001D7C2C">
              <w:rPr>
                <w:sz w:val="20"/>
                <w:lang w:val="fr-CA"/>
              </w:rPr>
              <w:t>Cour suprême du Canada</w:t>
            </w:r>
          </w:p>
        </w:tc>
        <w:tc>
          <w:tcPr>
            <w:tcW w:w="270" w:type="pct"/>
          </w:tcPr>
          <w:p w:rsidR="001D7C2C" w:rsidRPr="001D7C2C" w:rsidRDefault="001D7C2C" w:rsidP="001D7C2C">
            <w:pPr>
              <w:jc w:val="both"/>
              <w:rPr>
                <w:sz w:val="20"/>
                <w:lang w:val="fr-CA"/>
              </w:rPr>
            </w:pPr>
          </w:p>
        </w:tc>
        <w:tc>
          <w:tcPr>
            <w:tcW w:w="2340" w:type="pct"/>
          </w:tcPr>
          <w:p w:rsidR="001D7C2C" w:rsidRPr="001D7C2C" w:rsidRDefault="001D7C2C" w:rsidP="001D7C2C">
            <w:pPr>
              <w:jc w:val="both"/>
              <w:rPr>
                <w:sz w:val="20"/>
                <w:lang w:val="fr-CA"/>
              </w:rPr>
            </w:pPr>
            <w:r w:rsidRPr="001D7C2C">
              <w:rPr>
                <w:sz w:val="20"/>
                <w:lang w:val="fr-CA"/>
              </w:rPr>
              <w:t>Dépôt de la requête en prorogation du délai de signification et de dépôt de la demande d’autorisation d’appel, de la requête en sursis à l’exécution et de la demande d’autorisation d’appel</w:t>
            </w:r>
          </w:p>
        </w:tc>
      </w:tr>
    </w:tbl>
    <w:p w:rsidR="001D7C2C" w:rsidRPr="001D7C2C" w:rsidRDefault="001D7C2C" w:rsidP="001D7C2C">
      <w:pPr>
        <w:jc w:val="both"/>
        <w:rPr>
          <w:sz w:val="20"/>
          <w:lang w:val="fr-CA"/>
        </w:rPr>
      </w:pPr>
    </w:p>
    <w:p w:rsidR="00821634" w:rsidRPr="004F7CCB" w:rsidRDefault="00821634" w:rsidP="003E6A80">
      <w:pPr>
        <w:widowControl w:val="0"/>
        <w:autoSpaceDE w:val="0"/>
        <w:autoSpaceDN w:val="0"/>
        <w:adjustRightInd w:val="0"/>
        <w:ind w:left="360" w:hanging="360"/>
        <w:rPr>
          <w:rFonts w:eastAsiaTheme="minorEastAsia"/>
          <w:sz w:val="20"/>
          <w:lang w:val="en-CA" w:eastAsia="en-CA"/>
        </w:rPr>
      </w:pPr>
    </w:p>
    <w:p w:rsidR="0097358B" w:rsidRPr="004F7CCB" w:rsidRDefault="0097358B" w:rsidP="003E6A80">
      <w:pPr>
        <w:widowControl w:val="0"/>
        <w:autoSpaceDE w:val="0"/>
        <w:autoSpaceDN w:val="0"/>
        <w:adjustRightInd w:val="0"/>
        <w:ind w:left="360" w:hanging="360"/>
        <w:rPr>
          <w:rFonts w:eastAsiaTheme="minorEastAsia"/>
          <w:sz w:val="20"/>
          <w:lang w:val="en-CA" w:eastAsia="en-CA"/>
        </w:rPr>
      </w:pPr>
    </w:p>
    <w:p w:rsidR="00D3344A" w:rsidRPr="004F7CCB" w:rsidRDefault="00D3344A" w:rsidP="00D3344A">
      <w:pPr>
        <w:widowControl w:val="0"/>
        <w:outlineLvl w:val="0"/>
      </w:pPr>
      <w:r w:rsidRPr="004F7CCB">
        <w:t xml:space="preserve">Supreme Court of Canada / Cour suprême du Canada : </w:t>
      </w:r>
    </w:p>
    <w:p w:rsidR="00D3344A" w:rsidRPr="004F7CCB" w:rsidRDefault="003423AB" w:rsidP="00D3344A">
      <w:pPr>
        <w:widowControl w:val="0"/>
        <w:outlineLvl w:val="0"/>
        <w:rPr>
          <w:u w:val="single"/>
        </w:rPr>
      </w:pPr>
      <w:hyperlink r:id="rId40" w:history="1">
        <w:r w:rsidR="00D3344A" w:rsidRPr="004F7CCB">
          <w:rPr>
            <w:rStyle w:val="Hyperlink"/>
          </w:rPr>
          <w:t>comments-commentaires@scc-csc.ca</w:t>
        </w:r>
      </w:hyperlink>
    </w:p>
    <w:p w:rsidR="00D3344A" w:rsidRPr="004F7CCB" w:rsidRDefault="0065588C" w:rsidP="00D3344A">
      <w:pPr>
        <w:widowControl w:val="0"/>
        <w:outlineLvl w:val="0"/>
      </w:pPr>
      <w:r w:rsidRPr="004F7CCB">
        <w:lastRenderedPageBreak/>
        <w:t>613-</w:t>
      </w:r>
      <w:r w:rsidR="00D3344A" w:rsidRPr="004F7CCB">
        <w:t>995-4330</w:t>
      </w:r>
    </w:p>
    <w:p w:rsidR="00497B5E" w:rsidRPr="004F7CCB" w:rsidRDefault="00497B5E" w:rsidP="00497B5E">
      <w:pPr>
        <w:widowControl w:val="0"/>
        <w:rPr>
          <w:sz w:val="20"/>
        </w:rPr>
      </w:pPr>
    </w:p>
    <w:p w:rsidR="00F6251B" w:rsidRPr="004F7CCB" w:rsidRDefault="003F43E6" w:rsidP="00F6251B">
      <w:pPr>
        <w:pStyle w:val="Footer"/>
        <w:jc w:val="center"/>
      </w:pPr>
      <w:r w:rsidRPr="004F7CCB">
        <w:t>- 30 -</w:t>
      </w:r>
    </w:p>
    <w:p w:rsidR="00F6251B" w:rsidRPr="004F7CCB" w:rsidRDefault="00F6251B" w:rsidP="00F6251B">
      <w:pPr>
        <w:pStyle w:val="Footer"/>
        <w:jc w:val="center"/>
      </w:pPr>
    </w:p>
    <w:sectPr w:rsidR="00F6251B" w:rsidRPr="004F7CCB"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4"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9"/>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3"/>
  </w:num>
  <w:num w:numId="19">
    <w:abstractNumId w:val="25"/>
  </w:num>
  <w:num w:numId="20">
    <w:abstractNumId w:val="21"/>
  </w:num>
  <w:num w:numId="21">
    <w:abstractNumId w:val="28"/>
  </w:num>
  <w:num w:numId="22">
    <w:abstractNumId w:val="0"/>
  </w:num>
  <w:num w:numId="23">
    <w:abstractNumId w:val="35"/>
  </w:num>
  <w:num w:numId="24">
    <w:abstractNumId w:val="15"/>
  </w:num>
  <w:num w:numId="25">
    <w:abstractNumId w:val="1"/>
  </w:num>
  <w:num w:numId="26">
    <w:abstractNumId w:val="18"/>
  </w:num>
  <w:num w:numId="27">
    <w:abstractNumId w:val="37"/>
  </w:num>
  <w:num w:numId="28">
    <w:abstractNumId w:val="24"/>
  </w:num>
  <w:num w:numId="29">
    <w:abstractNumId w:val="33"/>
  </w:num>
  <w:num w:numId="30">
    <w:abstractNumId w:val="27"/>
  </w:num>
  <w:num w:numId="31">
    <w:abstractNumId w:val="19"/>
  </w:num>
  <w:num w:numId="32">
    <w:abstractNumId w:val="7"/>
  </w:num>
  <w:num w:numId="33">
    <w:abstractNumId w:val="2"/>
  </w:num>
  <w:num w:numId="34">
    <w:abstractNumId w:val="34"/>
  </w:num>
  <w:num w:numId="35">
    <w:abstractNumId w:val="32"/>
  </w:num>
  <w:num w:numId="36">
    <w:abstractNumId w:val="9"/>
  </w:num>
  <w:num w:numId="37">
    <w:abstractNumId w:val="5"/>
  </w:num>
  <w:num w:numId="3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173F"/>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15EF"/>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D7C2C"/>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4B6A"/>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B0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3AB"/>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5DD3"/>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26AA"/>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6BAE"/>
    <w:rsid w:val="004473E9"/>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3E9C"/>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27125"/>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181C"/>
    <w:rsid w:val="005925EC"/>
    <w:rsid w:val="0059611F"/>
    <w:rsid w:val="005964F5"/>
    <w:rsid w:val="00597224"/>
    <w:rsid w:val="005A1B7D"/>
    <w:rsid w:val="005A3592"/>
    <w:rsid w:val="005A4082"/>
    <w:rsid w:val="005A46DD"/>
    <w:rsid w:val="005B0AAB"/>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174"/>
    <w:rsid w:val="005E5730"/>
    <w:rsid w:val="005E73A1"/>
    <w:rsid w:val="005E76FD"/>
    <w:rsid w:val="005F19C6"/>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47687"/>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43F"/>
    <w:rsid w:val="00821634"/>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7B21"/>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1A74"/>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B02DE3"/>
    <w:rsid w:val="00B037AA"/>
    <w:rsid w:val="00B040C7"/>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5EB"/>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6BBB"/>
    <w:rsid w:val="00C779D4"/>
    <w:rsid w:val="00C77C0E"/>
    <w:rsid w:val="00C80125"/>
    <w:rsid w:val="00C809C6"/>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23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890" TargetMode="External"/><Relationship Id="rId13" Type="http://schemas.openxmlformats.org/officeDocument/2006/relationships/hyperlink" Target="http://www.scc-csc.ca/case-dossier/info/sum-som-eng.aspx?cas=36935" TargetMode="External"/><Relationship Id="rId18" Type="http://schemas.openxmlformats.org/officeDocument/2006/relationships/hyperlink" Target="http://www.canlii.org/fr/ca/caf/doc/2015/2015caf291/2015caf291.html" TargetMode="External"/><Relationship Id="rId26" Type="http://schemas.openxmlformats.org/officeDocument/2006/relationships/hyperlink" Target="http://www.canlii.org/en/on/onsc/doc/2015/2015onsc1229/2015onsc1229.html" TargetMode="External"/><Relationship Id="rId39" Type="http://schemas.openxmlformats.org/officeDocument/2006/relationships/hyperlink" Target="http://canlii.ca/t/gmbkg" TargetMode="External"/><Relationship Id="rId3" Type="http://schemas.openxmlformats.org/officeDocument/2006/relationships/styles" Target="styles.xml"/><Relationship Id="rId21" Type="http://schemas.openxmlformats.org/officeDocument/2006/relationships/hyperlink" Target="http://www.canlii.org/fr/ca/caf/doc/2015/2015caf291/2015caf291.html" TargetMode="External"/><Relationship Id="rId34" Type="http://schemas.openxmlformats.org/officeDocument/2006/relationships/hyperlink" Target="http://canlii.ca/t/g90d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6942" TargetMode="External"/><Relationship Id="rId17" Type="http://schemas.openxmlformats.org/officeDocument/2006/relationships/hyperlink" Target="http://www.canlii.org/en/ca/fct/doc/2014/2014fc1206/2014fc1206.html" TargetMode="External"/><Relationship Id="rId25" Type="http://schemas.openxmlformats.org/officeDocument/2006/relationships/hyperlink" Target="http://canlii.ca/t/gn3b5" TargetMode="External"/><Relationship Id="rId33" Type="http://schemas.openxmlformats.org/officeDocument/2006/relationships/hyperlink" Target="http://canlii.ca/t/gmjrn" TargetMode="External"/><Relationship Id="rId38" Type="http://schemas.openxmlformats.org/officeDocument/2006/relationships/hyperlink" Target="http://www.ontariocourts.ca/decisions/2015/2015ONCA0300.ht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nlii.org/en/ca/pssrb/doc/2014/2014pslrb6/2014pslrb6.html" TargetMode="External"/><Relationship Id="rId20" Type="http://schemas.openxmlformats.org/officeDocument/2006/relationships/hyperlink" Target="http://www.canlii.org/fr/ca/cfpi/doc/2014/2014cf1206/2014cf1206.html" TargetMode="External"/><Relationship Id="rId29" Type="http://schemas.openxmlformats.org/officeDocument/2006/relationships/hyperlink" Target="http://www.canlii.org/en/on/onca/doc/2016/2016onca49/2016onca49.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02" TargetMode="External"/><Relationship Id="rId24" Type="http://schemas.openxmlformats.org/officeDocument/2006/relationships/hyperlink" Target="http://canlii.ca/t/gg4dw" TargetMode="External"/><Relationship Id="rId32" Type="http://schemas.openxmlformats.org/officeDocument/2006/relationships/hyperlink" Target="http://canlii.ca/t/g6g1w" TargetMode="External"/><Relationship Id="rId37" Type="http://schemas.openxmlformats.org/officeDocument/2006/relationships/hyperlink" Target="http://canlii.ca/t/g90dt"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lii.ca/t/ggdgz" TargetMode="External"/><Relationship Id="rId23" Type="http://schemas.openxmlformats.org/officeDocument/2006/relationships/hyperlink" Target="http://canlii.ca/t/gn3b5" TargetMode="External"/><Relationship Id="rId28" Type="http://schemas.openxmlformats.org/officeDocument/2006/relationships/hyperlink" Target="http://www.canlii.org/en/on/onsc/doc/2015/2015onsc1229/2015onsc1229.html" TargetMode="External"/><Relationship Id="rId36" Type="http://schemas.openxmlformats.org/officeDocument/2006/relationships/hyperlink" Target="http://canlii.ca/t/gmbkg" TargetMode="External"/><Relationship Id="rId10" Type="http://schemas.openxmlformats.org/officeDocument/2006/relationships/hyperlink" Target="http://www.scc-csc.ca/case-dossier/info/sum-som-eng.aspx?cas=36870" TargetMode="External"/><Relationship Id="rId19" Type="http://schemas.openxmlformats.org/officeDocument/2006/relationships/hyperlink" Target="http://www.canlii.org/fr/ca/crtfp/doc/2014/2014crtfp6/2014crtfp6.html" TargetMode="External"/><Relationship Id="rId31" Type="http://schemas.openxmlformats.org/officeDocument/2006/relationships/hyperlink" Target="http://canlii.ca/t/gmjr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6856" TargetMode="External"/><Relationship Id="rId14" Type="http://schemas.openxmlformats.org/officeDocument/2006/relationships/hyperlink" Target="http://canlii.ca/t/ggdgz" TargetMode="External"/><Relationship Id="rId22" Type="http://schemas.openxmlformats.org/officeDocument/2006/relationships/hyperlink" Target="http://canlii.ca/t/gg4dw" TargetMode="External"/><Relationship Id="rId27" Type="http://schemas.openxmlformats.org/officeDocument/2006/relationships/hyperlink" Target="http://www.canlii.org/en/on/onca/doc/2016/2016onca49/2016onca49.html" TargetMode="External"/><Relationship Id="rId30" Type="http://schemas.openxmlformats.org/officeDocument/2006/relationships/hyperlink" Target="http://canlii.ca/t/g6g1w" TargetMode="External"/><Relationship Id="rId35" Type="http://schemas.openxmlformats.org/officeDocument/2006/relationships/hyperlink" Target="http://www.ontariocourts.ca/decisions/2015/2015ONCA0300.htm"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065DA-723F-44B7-B7A8-A82F4991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2016-06-10T13:49:00Z</dcterms:created>
  <dcterms:modified xsi:type="dcterms:W3CDTF">2016-06-13T12:26:00Z</dcterms:modified>
</cp:coreProperties>
</file>