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F7494" w:rsidRDefault="003F43E6" w:rsidP="00122CE1">
      <w:pPr>
        <w:pStyle w:val="Header"/>
        <w:tabs>
          <w:tab w:val="left" w:pos="1620"/>
          <w:tab w:val="left" w:pos="1710"/>
        </w:tabs>
        <w:jc w:val="center"/>
        <w:rPr>
          <w:b/>
          <w:sz w:val="32"/>
        </w:rPr>
      </w:pPr>
      <w:bookmarkStart w:id="0" w:name="_GoBack"/>
      <w:bookmarkEnd w:id="0"/>
      <w:r w:rsidRPr="00BF7494">
        <w:rPr>
          <w:b/>
          <w:sz w:val="32"/>
        </w:rPr>
        <w:t>Supreme Court of Canada / Cour suprême du Canada</w:t>
      </w:r>
    </w:p>
    <w:p w:rsidR="003F43E6" w:rsidRPr="00BF7494" w:rsidRDefault="003F43E6" w:rsidP="006F2579">
      <w:pPr>
        <w:widowControl w:val="0"/>
        <w:rPr>
          <w:i/>
        </w:rPr>
      </w:pPr>
    </w:p>
    <w:p w:rsidR="006F2579" w:rsidRPr="00BF7494" w:rsidRDefault="006F2579" w:rsidP="006F2579">
      <w:pPr>
        <w:widowControl w:val="0"/>
        <w:rPr>
          <w:i/>
        </w:rPr>
      </w:pPr>
      <w:r w:rsidRPr="00BF7494">
        <w:rPr>
          <w:i/>
        </w:rPr>
        <w:t>(le français suit)</w:t>
      </w:r>
    </w:p>
    <w:p w:rsidR="006F2579" w:rsidRPr="00BF7494" w:rsidRDefault="006F2579" w:rsidP="006F2579">
      <w:pPr>
        <w:widowControl w:val="0"/>
      </w:pPr>
    </w:p>
    <w:p w:rsidR="006F2579" w:rsidRPr="00BF7494" w:rsidRDefault="00B07908" w:rsidP="006F2579">
      <w:pPr>
        <w:widowControl w:val="0"/>
        <w:jc w:val="center"/>
        <w:rPr>
          <w:b/>
        </w:rPr>
      </w:pPr>
      <w:r w:rsidRPr="00BF7494">
        <w:fldChar w:fldCharType="begin"/>
      </w:r>
      <w:r w:rsidR="006F2579" w:rsidRPr="00BF7494">
        <w:instrText xml:space="preserve"> SEQ CHAPTER \h \r 1</w:instrText>
      </w:r>
      <w:r w:rsidRPr="00BF7494">
        <w:fldChar w:fldCharType="end"/>
      </w:r>
      <w:r w:rsidR="006F2579" w:rsidRPr="00BF7494">
        <w:rPr>
          <w:b/>
        </w:rPr>
        <w:t>JUDGMENT</w:t>
      </w:r>
      <w:r w:rsidR="00B17AAC" w:rsidRPr="00BF7494">
        <w:rPr>
          <w:b/>
        </w:rPr>
        <w:t>S</w:t>
      </w:r>
      <w:r w:rsidR="006F2579" w:rsidRPr="00BF7494">
        <w:rPr>
          <w:b/>
        </w:rPr>
        <w:t xml:space="preserve"> TO B</w:t>
      </w:r>
      <w:r w:rsidR="00001846" w:rsidRPr="00BF7494">
        <w:rPr>
          <w:b/>
        </w:rPr>
        <w:t>E RENDERED IN LEAVE APPLICATION</w:t>
      </w:r>
      <w:r w:rsidR="00AE4C09" w:rsidRPr="00BF7494">
        <w:rPr>
          <w:b/>
        </w:rPr>
        <w:t>S</w:t>
      </w:r>
    </w:p>
    <w:p w:rsidR="006F2579" w:rsidRPr="00BF7494" w:rsidRDefault="006F2579" w:rsidP="006F2579">
      <w:pPr>
        <w:widowControl w:val="0"/>
        <w:rPr>
          <w:b/>
        </w:rPr>
      </w:pPr>
    </w:p>
    <w:p w:rsidR="006F2579" w:rsidRPr="00BF7494" w:rsidRDefault="00DA48B0" w:rsidP="006F2579">
      <w:pPr>
        <w:widowControl w:val="0"/>
        <w:rPr>
          <w:b/>
        </w:rPr>
      </w:pPr>
      <w:r w:rsidRPr="00BF7494">
        <w:rPr>
          <w:b/>
        </w:rPr>
        <w:t>Ju</w:t>
      </w:r>
      <w:r w:rsidR="006546B9">
        <w:rPr>
          <w:b/>
        </w:rPr>
        <w:t>ly</w:t>
      </w:r>
      <w:r w:rsidR="003817A9" w:rsidRPr="00BF7494">
        <w:rPr>
          <w:b/>
        </w:rPr>
        <w:t xml:space="preserve"> </w:t>
      </w:r>
      <w:r w:rsidR="006546B9">
        <w:rPr>
          <w:b/>
        </w:rPr>
        <w:t>4</w:t>
      </w:r>
      <w:r w:rsidR="00AB5538" w:rsidRPr="00BF7494">
        <w:rPr>
          <w:b/>
        </w:rPr>
        <w:t>,</w:t>
      </w:r>
      <w:r w:rsidR="006F2579" w:rsidRPr="00BF7494">
        <w:rPr>
          <w:b/>
        </w:rPr>
        <w:t xml:space="preserve"> </w:t>
      </w:r>
      <w:r w:rsidR="0054689F" w:rsidRPr="00BF7494">
        <w:rPr>
          <w:b/>
        </w:rPr>
        <w:t>201</w:t>
      </w:r>
      <w:r w:rsidR="00674329" w:rsidRPr="00BF7494">
        <w:rPr>
          <w:b/>
        </w:rPr>
        <w:t>6</w:t>
      </w:r>
    </w:p>
    <w:p w:rsidR="006F2579" w:rsidRPr="00BF7494" w:rsidRDefault="006F2579" w:rsidP="006F2579">
      <w:pPr>
        <w:widowControl w:val="0"/>
        <w:rPr>
          <w:b/>
        </w:rPr>
      </w:pPr>
      <w:r w:rsidRPr="00BF7494">
        <w:rPr>
          <w:b/>
        </w:rPr>
        <w:t>For immediate release</w:t>
      </w:r>
    </w:p>
    <w:p w:rsidR="006F2579" w:rsidRPr="00BF7494" w:rsidRDefault="006F2579" w:rsidP="006F2579">
      <w:pPr>
        <w:widowControl w:val="0"/>
      </w:pPr>
    </w:p>
    <w:p w:rsidR="006F2579" w:rsidRPr="00BF7494" w:rsidRDefault="006F2579" w:rsidP="006F2579">
      <w:pPr>
        <w:widowControl w:val="0"/>
      </w:pPr>
      <w:r w:rsidRPr="00BF7494">
        <w:rPr>
          <w:b/>
        </w:rPr>
        <w:t>OTTAWA</w:t>
      </w:r>
      <w:r w:rsidRPr="00BF7494">
        <w:t xml:space="preserve"> – The Supreme Court of Canada announced today that judgment in the following application</w:t>
      </w:r>
      <w:r w:rsidR="008600ED" w:rsidRPr="00BF7494">
        <w:t>s</w:t>
      </w:r>
      <w:r w:rsidRPr="00BF7494">
        <w:t xml:space="preserve"> for leave to appeal will be delivered at 9:45 a.m. E</w:t>
      </w:r>
      <w:r w:rsidR="003817A9" w:rsidRPr="00BF7494">
        <w:t>D</w:t>
      </w:r>
      <w:r w:rsidRPr="00BF7494">
        <w:t xml:space="preserve">T on Thursday, </w:t>
      </w:r>
      <w:r w:rsidR="00647687" w:rsidRPr="00BF7494">
        <w:t>Ju</w:t>
      </w:r>
      <w:r w:rsidR="006546B9">
        <w:t>ly</w:t>
      </w:r>
      <w:r w:rsidR="007E112F" w:rsidRPr="00BF7494">
        <w:t xml:space="preserve"> </w:t>
      </w:r>
      <w:r w:rsidR="006546B9">
        <w:t>7</w:t>
      </w:r>
      <w:r w:rsidR="007E112F" w:rsidRPr="00BF7494">
        <w:t>,</w:t>
      </w:r>
      <w:r w:rsidR="002F38D7" w:rsidRPr="00BF7494">
        <w:t xml:space="preserve"> </w:t>
      </w:r>
      <w:r w:rsidR="006648D1" w:rsidRPr="00BF7494">
        <w:t>201</w:t>
      </w:r>
      <w:r w:rsidR="00674329" w:rsidRPr="00BF7494">
        <w:t>6</w:t>
      </w:r>
      <w:r w:rsidRPr="00BF7494">
        <w:t>.  This list is subject to change.</w:t>
      </w:r>
    </w:p>
    <w:p w:rsidR="00FF5AA4" w:rsidRPr="00BF7494" w:rsidRDefault="00FF5AA4" w:rsidP="006F2579">
      <w:pPr>
        <w:widowControl w:val="0"/>
      </w:pPr>
    </w:p>
    <w:p w:rsidR="00B43418" w:rsidRPr="00BF7494" w:rsidRDefault="00B43418" w:rsidP="006F2579">
      <w:pPr>
        <w:widowControl w:val="0"/>
      </w:pPr>
    </w:p>
    <w:p w:rsidR="006F2579" w:rsidRPr="00BF7494" w:rsidRDefault="006F2579" w:rsidP="006F2579">
      <w:pPr>
        <w:widowControl w:val="0"/>
        <w:jc w:val="center"/>
        <w:rPr>
          <w:lang w:val="fr-CA"/>
        </w:rPr>
      </w:pPr>
      <w:r w:rsidRPr="00BF7494">
        <w:rPr>
          <w:b/>
          <w:lang w:val="fr-CA"/>
        </w:rPr>
        <w:t>PROCHAIN</w:t>
      </w:r>
      <w:r w:rsidR="00B17AAC" w:rsidRPr="00BF7494">
        <w:rPr>
          <w:b/>
          <w:lang w:val="fr-CA"/>
        </w:rPr>
        <w:t>S</w:t>
      </w:r>
      <w:r w:rsidRPr="00BF7494">
        <w:rPr>
          <w:b/>
          <w:lang w:val="fr-CA"/>
        </w:rPr>
        <w:t xml:space="preserve"> JUGEMENT</w:t>
      </w:r>
      <w:r w:rsidR="00B17AAC" w:rsidRPr="00BF7494">
        <w:rPr>
          <w:b/>
          <w:lang w:val="fr-CA"/>
        </w:rPr>
        <w:t>S</w:t>
      </w:r>
      <w:r w:rsidR="00001846" w:rsidRPr="00BF7494">
        <w:rPr>
          <w:b/>
          <w:lang w:val="fr-CA"/>
        </w:rPr>
        <w:t xml:space="preserve"> SUR DEMANDE</w:t>
      </w:r>
      <w:r w:rsidR="00B17AAC" w:rsidRPr="00BF7494">
        <w:rPr>
          <w:b/>
          <w:lang w:val="fr-CA"/>
        </w:rPr>
        <w:t>S</w:t>
      </w:r>
      <w:r w:rsidRPr="00BF7494">
        <w:rPr>
          <w:b/>
          <w:lang w:val="fr-CA"/>
        </w:rPr>
        <w:t xml:space="preserve"> D’AUTORISATION</w:t>
      </w:r>
    </w:p>
    <w:p w:rsidR="006F2579" w:rsidRPr="00BF7494" w:rsidRDefault="006F2579" w:rsidP="006F2579">
      <w:pPr>
        <w:widowControl w:val="0"/>
        <w:rPr>
          <w:lang w:val="fr-CA"/>
        </w:rPr>
      </w:pPr>
    </w:p>
    <w:p w:rsidR="006F2579" w:rsidRPr="00BF7494" w:rsidRDefault="006F2579" w:rsidP="006F2579">
      <w:pPr>
        <w:widowControl w:val="0"/>
        <w:rPr>
          <w:b/>
          <w:lang w:val="fr-CA"/>
        </w:rPr>
      </w:pPr>
      <w:r w:rsidRPr="00BF7494">
        <w:rPr>
          <w:b/>
          <w:lang w:val="fr-CA"/>
        </w:rPr>
        <w:t>Le</w:t>
      </w:r>
      <w:r w:rsidR="00957A76" w:rsidRPr="00BF7494">
        <w:rPr>
          <w:b/>
          <w:lang w:val="fr-CA"/>
        </w:rPr>
        <w:t xml:space="preserve"> </w:t>
      </w:r>
      <w:r w:rsidR="006546B9">
        <w:rPr>
          <w:b/>
          <w:lang w:val="fr-CA"/>
        </w:rPr>
        <w:t>4</w:t>
      </w:r>
      <w:r w:rsidR="004C4BEC" w:rsidRPr="00BF7494">
        <w:rPr>
          <w:b/>
          <w:lang w:val="fr-CA"/>
        </w:rPr>
        <w:t xml:space="preserve"> </w:t>
      </w:r>
      <w:r w:rsidR="00DA48B0" w:rsidRPr="00BF7494">
        <w:rPr>
          <w:b/>
          <w:lang w:val="fr-CA"/>
        </w:rPr>
        <w:t>jui</w:t>
      </w:r>
      <w:r w:rsidR="006546B9">
        <w:rPr>
          <w:b/>
          <w:lang w:val="fr-CA"/>
        </w:rPr>
        <w:t>llet</w:t>
      </w:r>
      <w:r w:rsidR="00674329" w:rsidRPr="00BF7494">
        <w:rPr>
          <w:b/>
          <w:lang w:val="fr-CA"/>
        </w:rPr>
        <w:t xml:space="preserve"> 2016</w:t>
      </w:r>
    </w:p>
    <w:p w:rsidR="006F2579" w:rsidRPr="00BF7494" w:rsidRDefault="006F2579" w:rsidP="006F2579">
      <w:pPr>
        <w:widowControl w:val="0"/>
        <w:rPr>
          <w:b/>
          <w:lang w:val="fr-CA"/>
        </w:rPr>
      </w:pPr>
      <w:r w:rsidRPr="00BF7494">
        <w:rPr>
          <w:b/>
          <w:lang w:val="fr-CA"/>
        </w:rPr>
        <w:t>Pour diffusion immédiate</w:t>
      </w:r>
    </w:p>
    <w:p w:rsidR="006F2579" w:rsidRPr="00BF7494" w:rsidRDefault="006F2579" w:rsidP="006F2579">
      <w:pPr>
        <w:widowControl w:val="0"/>
        <w:rPr>
          <w:b/>
          <w:lang w:val="fr-CA"/>
        </w:rPr>
      </w:pPr>
    </w:p>
    <w:p w:rsidR="006F2579" w:rsidRPr="00BF7494" w:rsidRDefault="006F2579" w:rsidP="006F2579">
      <w:pPr>
        <w:widowControl w:val="0"/>
        <w:rPr>
          <w:lang w:val="fr-CA"/>
        </w:rPr>
      </w:pPr>
      <w:r w:rsidRPr="00BF7494">
        <w:rPr>
          <w:b/>
          <w:lang w:val="fr-CA"/>
        </w:rPr>
        <w:t>OTTAWA</w:t>
      </w:r>
      <w:r w:rsidRPr="00BF7494">
        <w:rPr>
          <w:lang w:val="fr-CA"/>
        </w:rPr>
        <w:t xml:space="preserve"> – La Cour suprême du Canada annonce que jugement ser</w:t>
      </w:r>
      <w:r w:rsidR="004259F9" w:rsidRPr="00BF7494">
        <w:rPr>
          <w:lang w:val="fr-CA"/>
        </w:rPr>
        <w:t>a</w:t>
      </w:r>
      <w:r w:rsidRPr="00BF7494">
        <w:rPr>
          <w:lang w:val="fr-CA"/>
        </w:rPr>
        <w:t xml:space="preserve"> rendu dans l</w:t>
      </w:r>
      <w:r w:rsidR="008600ED" w:rsidRPr="00BF7494">
        <w:rPr>
          <w:lang w:val="fr-CA"/>
        </w:rPr>
        <w:t>es</w:t>
      </w:r>
      <w:r w:rsidRPr="00BF7494">
        <w:rPr>
          <w:lang w:val="fr-CA"/>
        </w:rPr>
        <w:t xml:space="preserve"> demande</w:t>
      </w:r>
      <w:r w:rsidR="008600ED" w:rsidRPr="00BF7494">
        <w:rPr>
          <w:lang w:val="fr-CA"/>
        </w:rPr>
        <w:t>s</w:t>
      </w:r>
      <w:r w:rsidRPr="00BF7494">
        <w:rPr>
          <w:lang w:val="fr-CA"/>
        </w:rPr>
        <w:t xml:space="preserve"> d</w:t>
      </w:r>
      <w:r w:rsidR="00001846" w:rsidRPr="00BF7494">
        <w:rPr>
          <w:lang w:val="fr-CA"/>
        </w:rPr>
        <w:t>’autorisation d’appel suivante</w:t>
      </w:r>
      <w:r w:rsidR="008600ED" w:rsidRPr="00BF7494">
        <w:rPr>
          <w:lang w:val="fr-CA"/>
        </w:rPr>
        <w:t>s</w:t>
      </w:r>
      <w:r w:rsidRPr="00BF7494">
        <w:rPr>
          <w:lang w:val="fr-CA"/>
        </w:rPr>
        <w:t xml:space="preserve"> le jeudi </w:t>
      </w:r>
      <w:r w:rsidR="006546B9">
        <w:rPr>
          <w:lang w:val="fr-CA"/>
        </w:rPr>
        <w:t>7</w:t>
      </w:r>
      <w:r w:rsidR="007E112F" w:rsidRPr="00BF7494">
        <w:rPr>
          <w:lang w:val="fr-CA"/>
        </w:rPr>
        <w:t xml:space="preserve"> </w:t>
      </w:r>
      <w:r w:rsidR="00647687" w:rsidRPr="00BF7494">
        <w:rPr>
          <w:lang w:val="fr-CA"/>
        </w:rPr>
        <w:t>jui</w:t>
      </w:r>
      <w:r w:rsidR="006546B9">
        <w:rPr>
          <w:lang w:val="fr-CA"/>
        </w:rPr>
        <w:t>llet</w:t>
      </w:r>
      <w:r w:rsidR="00674329" w:rsidRPr="00BF7494">
        <w:rPr>
          <w:lang w:val="fr-CA"/>
        </w:rPr>
        <w:t xml:space="preserve"> </w:t>
      </w:r>
      <w:r w:rsidR="006648D1" w:rsidRPr="00BF7494">
        <w:rPr>
          <w:lang w:val="fr-CA"/>
        </w:rPr>
        <w:t>201</w:t>
      </w:r>
      <w:r w:rsidR="00674329" w:rsidRPr="00BF7494">
        <w:rPr>
          <w:lang w:val="fr-CA"/>
        </w:rPr>
        <w:t>6</w:t>
      </w:r>
      <w:r w:rsidRPr="00BF7494">
        <w:rPr>
          <w:lang w:val="fr-CA"/>
        </w:rPr>
        <w:t xml:space="preserve">, à 9 h 45 </w:t>
      </w:r>
      <w:r w:rsidR="000627A2" w:rsidRPr="00BF7494">
        <w:rPr>
          <w:lang w:val="fr-CA"/>
        </w:rPr>
        <w:t>H</w:t>
      </w:r>
      <w:r w:rsidR="003817A9" w:rsidRPr="00BF7494">
        <w:rPr>
          <w:lang w:val="fr-CA"/>
        </w:rPr>
        <w:t>A</w:t>
      </w:r>
      <w:r w:rsidRPr="00BF7494">
        <w:rPr>
          <w:lang w:val="fr-CA"/>
        </w:rPr>
        <w:t>E.  Cette liste est sujette à modifications.</w:t>
      </w:r>
    </w:p>
    <w:p w:rsidR="0080556B" w:rsidRPr="00BF7494" w:rsidRDefault="0080556B" w:rsidP="009B14F4">
      <w:pPr>
        <w:widowControl w:val="0"/>
        <w:jc w:val="both"/>
        <w:rPr>
          <w:sz w:val="20"/>
          <w:lang w:val="fr-CA"/>
        </w:rPr>
      </w:pPr>
    </w:p>
    <w:p w:rsidR="001838E0" w:rsidRPr="00BF7494" w:rsidRDefault="003D353C" w:rsidP="009B14F4">
      <w:pPr>
        <w:widowControl w:val="0"/>
        <w:jc w:val="both"/>
        <w:rPr>
          <w:sz w:val="20"/>
          <w:lang w:val="fr-CA"/>
        </w:rPr>
      </w:pPr>
      <w:r w:rsidRPr="00BF7494">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Default="00BE2C4B" w:rsidP="009A5F3F">
      <w:pPr>
        <w:widowControl w:val="0"/>
        <w:autoSpaceDE w:val="0"/>
        <w:autoSpaceDN w:val="0"/>
        <w:adjustRightInd w:val="0"/>
        <w:ind w:left="360" w:hanging="360"/>
        <w:rPr>
          <w:rFonts w:eastAsiaTheme="minorEastAsia"/>
          <w:sz w:val="20"/>
          <w:lang w:val="en-CA" w:eastAsia="en-CA"/>
        </w:rPr>
      </w:pPr>
    </w:p>
    <w:p w:rsidR="004511FA" w:rsidRPr="004511FA" w:rsidRDefault="004511FA" w:rsidP="004511FA">
      <w:pPr>
        <w:pStyle w:val="NoSpacing"/>
        <w:numPr>
          <w:ilvl w:val="0"/>
          <w:numId w:val="44"/>
        </w:numPr>
        <w:ind w:left="360"/>
        <w:jc w:val="both"/>
        <w:rPr>
          <w:sz w:val="20"/>
          <w:szCs w:val="20"/>
          <w:lang w:val="en-CA"/>
        </w:rPr>
      </w:pPr>
      <w:r w:rsidRPr="004511FA">
        <w:rPr>
          <w:i/>
          <w:sz w:val="20"/>
          <w:szCs w:val="20"/>
          <w:lang w:val="en-CA"/>
        </w:rPr>
        <w:t>Sobeys West Inc. et al. v. College of Pharmacists of British Columbia</w:t>
      </w:r>
      <w:r w:rsidRPr="004511FA">
        <w:rPr>
          <w:sz w:val="20"/>
          <w:szCs w:val="20"/>
          <w:lang w:val="en-CA"/>
        </w:rPr>
        <w:t xml:space="preserve"> (B.C.) (Civil)</w:t>
      </w:r>
      <w:r>
        <w:rPr>
          <w:sz w:val="20"/>
          <w:szCs w:val="20"/>
          <w:lang w:val="en-CA"/>
        </w:rPr>
        <w:t xml:space="preserve"> </w:t>
      </w:r>
      <w:r w:rsidRPr="00BF7494">
        <w:rPr>
          <w:sz w:val="20"/>
        </w:rPr>
        <w:t>(</w:t>
      </w:r>
      <w:hyperlink r:id="rId7" w:history="1">
        <w:r w:rsidRPr="00BF7494">
          <w:rPr>
            <w:rStyle w:val="Hyperlink"/>
            <w:sz w:val="20"/>
          </w:rPr>
          <w:t>369</w:t>
        </w:r>
        <w:r>
          <w:rPr>
            <w:rStyle w:val="Hyperlink"/>
            <w:sz w:val="20"/>
          </w:rPr>
          <w:t>17</w:t>
        </w:r>
      </w:hyperlink>
      <w:r w:rsidRPr="00BF7494">
        <w:rPr>
          <w:sz w:val="20"/>
        </w:rPr>
        <w:t>)</w:t>
      </w:r>
    </w:p>
    <w:p w:rsidR="004511FA" w:rsidRPr="004511FA" w:rsidRDefault="004511FA" w:rsidP="004511FA">
      <w:pPr>
        <w:pStyle w:val="NoSpacing"/>
        <w:ind w:left="360" w:hanging="360"/>
        <w:jc w:val="both"/>
        <w:rPr>
          <w:sz w:val="20"/>
          <w:szCs w:val="20"/>
          <w:lang w:val="en-CA"/>
        </w:rPr>
      </w:pPr>
    </w:p>
    <w:p w:rsidR="004511FA" w:rsidRPr="004511FA" w:rsidRDefault="004511FA" w:rsidP="004511FA">
      <w:pPr>
        <w:pStyle w:val="NoSpacing"/>
        <w:numPr>
          <w:ilvl w:val="0"/>
          <w:numId w:val="44"/>
        </w:numPr>
        <w:ind w:left="360"/>
        <w:jc w:val="both"/>
        <w:rPr>
          <w:sz w:val="20"/>
          <w:szCs w:val="20"/>
          <w:lang w:val="en-CA"/>
        </w:rPr>
      </w:pPr>
      <w:r w:rsidRPr="004511FA">
        <w:rPr>
          <w:sz w:val="20"/>
          <w:szCs w:val="20"/>
          <w:lang w:val="en-CA"/>
        </w:rPr>
        <w:t>A</w:t>
      </w:r>
      <w:r w:rsidRPr="004511FA">
        <w:rPr>
          <w:i/>
          <w:sz w:val="20"/>
          <w:szCs w:val="20"/>
          <w:lang w:val="en-CA"/>
        </w:rPr>
        <w:t>ttorney General of Canada v. Helmut Oberlander</w:t>
      </w:r>
      <w:r w:rsidRPr="004511FA">
        <w:rPr>
          <w:sz w:val="20"/>
          <w:szCs w:val="20"/>
          <w:lang w:val="en-CA"/>
        </w:rPr>
        <w:t xml:space="preserve"> (F.C.) (Civil) (By Leave)</w:t>
      </w:r>
      <w:r>
        <w:rPr>
          <w:sz w:val="20"/>
          <w:szCs w:val="20"/>
          <w:lang w:val="en-CA"/>
        </w:rPr>
        <w:t xml:space="preserve"> </w:t>
      </w:r>
      <w:r w:rsidRPr="00BF7494">
        <w:rPr>
          <w:sz w:val="20"/>
        </w:rPr>
        <w:t>(</w:t>
      </w:r>
      <w:hyperlink r:id="rId8" w:history="1">
        <w:r w:rsidRPr="00BF7494">
          <w:rPr>
            <w:rStyle w:val="Hyperlink"/>
            <w:sz w:val="20"/>
          </w:rPr>
          <w:t>369</w:t>
        </w:r>
        <w:r>
          <w:rPr>
            <w:rStyle w:val="Hyperlink"/>
            <w:sz w:val="20"/>
          </w:rPr>
          <w:t>49</w:t>
        </w:r>
      </w:hyperlink>
      <w:r w:rsidRPr="00BF7494">
        <w:rPr>
          <w:sz w:val="20"/>
        </w:rPr>
        <w:t>)</w:t>
      </w:r>
    </w:p>
    <w:p w:rsidR="004511FA" w:rsidRDefault="004511FA" w:rsidP="009A5F3F">
      <w:pPr>
        <w:widowControl w:val="0"/>
        <w:autoSpaceDE w:val="0"/>
        <w:autoSpaceDN w:val="0"/>
        <w:adjustRightInd w:val="0"/>
        <w:ind w:left="360" w:hanging="360"/>
        <w:rPr>
          <w:rFonts w:eastAsiaTheme="minorEastAsia"/>
          <w:sz w:val="20"/>
          <w:lang w:val="en-CA" w:eastAsia="en-CA"/>
        </w:rPr>
      </w:pPr>
    </w:p>
    <w:p w:rsidR="00E77EE6" w:rsidRDefault="00E77EE6" w:rsidP="009A5F3F">
      <w:pPr>
        <w:widowControl w:val="0"/>
        <w:autoSpaceDE w:val="0"/>
        <w:autoSpaceDN w:val="0"/>
        <w:adjustRightInd w:val="0"/>
        <w:ind w:left="360" w:hanging="360"/>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55AA" w:rsidRPr="00A455AA" w:rsidTr="007762CF">
        <w:tc>
          <w:tcPr>
            <w:tcW w:w="543" w:type="pct"/>
          </w:tcPr>
          <w:p w:rsidR="00A455AA" w:rsidRPr="00A455AA" w:rsidRDefault="00A455AA" w:rsidP="00A455AA">
            <w:pPr>
              <w:jc w:val="both"/>
              <w:rPr>
                <w:sz w:val="20"/>
              </w:rPr>
            </w:pPr>
            <w:r w:rsidRPr="00A455AA">
              <w:rPr>
                <w:rStyle w:val="SCCFileNumberChar"/>
                <w:sz w:val="20"/>
                <w:szCs w:val="20"/>
              </w:rPr>
              <w:t>36917</w:t>
            </w:r>
          </w:p>
        </w:tc>
        <w:tc>
          <w:tcPr>
            <w:tcW w:w="4457" w:type="pct"/>
            <w:gridSpan w:val="3"/>
          </w:tcPr>
          <w:p w:rsidR="00A455AA" w:rsidRPr="00A455AA" w:rsidRDefault="00A455AA" w:rsidP="00A455AA">
            <w:pPr>
              <w:pStyle w:val="SCCLsocParty"/>
              <w:jc w:val="both"/>
              <w:rPr>
                <w:b/>
                <w:sz w:val="20"/>
                <w:szCs w:val="20"/>
              </w:rPr>
            </w:pPr>
            <w:r w:rsidRPr="00A455AA">
              <w:rPr>
                <w:b/>
                <w:sz w:val="20"/>
                <w:szCs w:val="20"/>
              </w:rPr>
              <w:t>Sobeys West Inc., Jace Holdings Ltd. v. College of Pharmacists of British Columbia</w:t>
            </w:r>
          </w:p>
          <w:p w:rsidR="00A455AA" w:rsidRPr="00A455AA" w:rsidRDefault="00A455AA" w:rsidP="00A455AA">
            <w:pPr>
              <w:jc w:val="both"/>
              <w:rPr>
                <w:sz w:val="20"/>
              </w:rPr>
            </w:pPr>
            <w:r w:rsidRPr="00A455AA">
              <w:rPr>
                <w:sz w:val="20"/>
              </w:rPr>
              <w:t>(B.C.) (Civil) (By Leave)</w:t>
            </w:r>
          </w:p>
        </w:tc>
      </w:tr>
      <w:tr w:rsidR="00A455AA" w:rsidRPr="00A455AA" w:rsidTr="007762CF">
        <w:tc>
          <w:tcPr>
            <w:tcW w:w="5000" w:type="pct"/>
            <w:gridSpan w:val="4"/>
          </w:tcPr>
          <w:p w:rsidR="00A455AA" w:rsidRPr="00A455AA" w:rsidRDefault="00A455AA" w:rsidP="00A455AA">
            <w:pPr>
              <w:jc w:val="both"/>
              <w:rPr>
                <w:sz w:val="20"/>
              </w:rPr>
            </w:pPr>
            <w:r w:rsidRPr="00A455AA">
              <w:rPr>
                <w:sz w:val="20"/>
              </w:rPr>
              <w:t xml:space="preserve">Administrative law – Judicial review – Standard of review – Boards and tribunals – Procedure – Evidence – Applicants challenging College of Pharmacists of British Columbia bylaw – Is evidence irrelevant or inadmissible on judicial review, solely because a non-adjudicative decision-maker neglected, ignored, refused or failed to consider that evidence at the time of its decision – Does a self-regulating professional body comply with its statutory requirement to act only in the public interest if it has a </w:t>
            </w:r>
            <w:r w:rsidRPr="00A455AA">
              <w:rPr>
                <w:i/>
                <w:sz w:val="20"/>
              </w:rPr>
              <w:t>bona fide</w:t>
            </w:r>
            <w:r w:rsidRPr="00A455AA">
              <w:rPr>
                <w:sz w:val="20"/>
              </w:rPr>
              <w:t xml:space="preserve"> belief that its subordinate legislation is warranted, regardless of whether this conclusion is reasonable in light of all the available, relevant evidence.</w:t>
            </w:r>
          </w:p>
        </w:tc>
      </w:tr>
      <w:tr w:rsidR="00A455AA" w:rsidRPr="00A455AA" w:rsidTr="007762CF">
        <w:tc>
          <w:tcPr>
            <w:tcW w:w="5000" w:type="pct"/>
            <w:gridSpan w:val="4"/>
          </w:tcPr>
          <w:p w:rsidR="00A455AA" w:rsidRPr="00A455AA" w:rsidRDefault="00A455AA" w:rsidP="00A455AA">
            <w:pPr>
              <w:jc w:val="both"/>
              <w:rPr>
                <w:sz w:val="20"/>
              </w:rPr>
            </w:pPr>
          </w:p>
          <w:p w:rsidR="00A455AA" w:rsidRPr="00A455AA" w:rsidRDefault="00A455AA" w:rsidP="00A455AA">
            <w:pPr>
              <w:jc w:val="both"/>
              <w:rPr>
                <w:sz w:val="20"/>
              </w:rPr>
            </w:pPr>
            <w:r w:rsidRPr="00A455AA">
              <w:rPr>
                <w:sz w:val="20"/>
              </w:rPr>
              <w:t xml:space="preserve">The respondent is the regulatory body responsible for registering and licensing pharmacists and pharmacy technicians in British Columbia in accordance with its authority under the </w:t>
            </w:r>
            <w:hyperlink r:id="rId9" w:history="1">
              <w:r w:rsidRPr="00A455AA">
                <w:rPr>
                  <w:i/>
                  <w:sz w:val="20"/>
                </w:rPr>
                <w:t>Health Professions Act</w:t>
              </w:r>
              <w:r w:rsidRPr="00A455AA">
                <w:rPr>
                  <w:sz w:val="20"/>
                </w:rPr>
                <w:t xml:space="preserve">, R.S.B.C. 1996, </w:t>
              </w:r>
              <w:proofErr w:type="gramStart"/>
              <w:r w:rsidRPr="00A455AA">
                <w:rPr>
                  <w:sz w:val="20"/>
                </w:rPr>
                <w:t>c</w:t>
              </w:r>
              <w:proofErr w:type="gramEnd"/>
              <w:r w:rsidRPr="00A455AA">
                <w:rPr>
                  <w:sz w:val="20"/>
                </w:rPr>
                <w:t>. 183</w:t>
              </w:r>
            </w:hyperlink>
            <w:r w:rsidRPr="00A455AA">
              <w:rPr>
                <w:sz w:val="20"/>
              </w:rPr>
              <w:t xml:space="preserve">. In 2013, the respondent’s board adopted </w:t>
            </w:r>
            <w:proofErr w:type="spellStart"/>
            <w:r w:rsidRPr="00A455AA">
              <w:rPr>
                <w:sz w:val="20"/>
              </w:rPr>
              <w:t>bylaws</w:t>
            </w:r>
            <w:proofErr w:type="spellEnd"/>
            <w:r w:rsidRPr="00A455AA">
              <w:rPr>
                <w:sz w:val="20"/>
              </w:rPr>
              <w:t xml:space="preserve"> prohibiting pharmacists from making incentive programs available to customers in order to induce them to purchase pharmacy services, drugs or devices from particular pharmacies. The applicants are pharmacies offering customer benefits and loyalty programs to customers. They brought a petition to quash the bylaws as being unreasonable, arguing, </w:t>
            </w:r>
            <w:r w:rsidRPr="00A455AA">
              <w:rPr>
                <w:i/>
                <w:sz w:val="20"/>
              </w:rPr>
              <w:t>inter alia</w:t>
            </w:r>
            <w:r w:rsidRPr="00A455AA">
              <w:rPr>
                <w:sz w:val="20"/>
              </w:rPr>
              <w:t xml:space="preserve">: </w:t>
            </w:r>
            <w:proofErr w:type="spellStart"/>
            <w:r w:rsidRPr="00A455AA">
              <w:rPr>
                <w:sz w:val="20"/>
              </w:rPr>
              <w:t>i</w:t>
            </w:r>
            <w:proofErr w:type="spellEnd"/>
            <w:r w:rsidRPr="00A455AA">
              <w:rPr>
                <w:sz w:val="20"/>
              </w:rPr>
              <w:t>) there was no evidence of actual harm justifying such a broad prohibition of incentives; ii) the bylaws went beyond what would be required to address the theoretical harms; and iii) the bylaws had a net effect of being harmful to the public interest. The Supreme Court of British Columbia struck down the bylaws as being overbroad and unreasonable. The appellate court allowed the respondent’s appeal and set aside the lower court order.</w:t>
            </w:r>
          </w:p>
        </w:tc>
      </w:tr>
      <w:tr w:rsidR="00A455AA" w:rsidRPr="00A455AA" w:rsidTr="007762CF">
        <w:tc>
          <w:tcPr>
            <w:tcW w:w="5000" w:type="pct"/>
            <w:gridSpan w:val="4"/>
          </w:tcPr>
          <w:p w:rsidR="00A455AA" w:rsidRPr="00A455AA" w:rsidRDefault="00A455AA" w:rsidP="00A455AA">
            <w:pPr>
              <w:jc w:val="both"/>
              <w:rPr>
                <w:sz w:val="20"/>
              </w:rPr>
            </w:pPr>
          </w:p>
        </w:tc>
      </w:tr>
      <w:tr w:rsidR="00A455AA" w:rsidRPr="00A455AA" w:rsidTr="007762CF">
        <w:tc>
          <w:tcPr>
            <w:tcW w:w="2427" w:type="pct"/>
            <w:gridSpan w:val="2"/>
          </w:tcPr>
          <w:p w:rsidR="00A455AA" w:rsidRPr="00A455AA" w:rsidRDefault="00A455AA" w:rsidP="00A455AA">
            <w:pPr>
              <w:jc w:val="both"/>
              <w:rPr>
                <w:sz w:val="20"/>
              </w:rPr>
            </w:pPr>
            <w:r w:rsidRPr="00A455AA">
              <w:rPr>
                <w:sz w:val="20"/>
              </w:rPr>
              <w:t>July 25, 2014</w:t>
            </w:r>
          </w:p>
          <w:p w:rsidR="00A455AA" w:rsidRPr="00A455AA" w:rsidRDefault="00A455AA" w:rsidP="00A455AA">
            <w:pPr>
              <w:jc w:val="both"/>
              <w:rPr>
                <w:sz w:val="20"/>
              </w:rPr>
            </w:pPr>
            <w:r w:rsidRPr="00A455AA">
              <w:rPr>
                <w:sz w:val="20"/>
              </w:rPr>
              <w:t>Supreme Court of British Columbia</w:t>
            </w:r>
          </w:p>
          <w:p w:rsidR="00A455AA" w:rsidRPr="00A455AA" w:rsidRDefault="00A455AA" w:rsidP="00A455AA">
            <w:pPr>
              <w:jc w:val="both"/>
              <w:rPr>
                <w:sz w:val="20"/>
              </w:rPr>
            </w:pPr>
            <w:r w:rsidRPr="00A455AA">
              <w:rPr>
                <w:sz w:val="20"/>
              </w:rPr>
              <w:t>(</w:t>
            </w:r>
            <w:proofErr w:type="spellStart"/>
            <w:r w:rsidRPr="00A455AA">
              <w:rPr>
                <w:sz w:val="20"/>
              </w:rPr>
              <w:t>Hinkson</w:t>
            </w:r>
            <w:proofErr w:type="spellEnd"/>
            <w:r w:rsidRPr="00A455AA">
              <w:rPr>
                <w:sz w:val="20"/>
              </w:rPr>
              <w:t xml:space="preserve"> C.J.)</w:t>
            </w:r>
          </w:p>
          <w:p w:rsidR="00A455AA" w:rsidRPr="00A455AA" w:rsidRDefault="0036085F" w:rsidP="00A455AA">
            <w:pPr>
              <w:jc w:val="both"/>
              <w:rPr>
                <w:sz w:val="20"/>
              </w:rPr>
            </w:pPr>
            <w:hyperlink r:id="rId10" w:history="1">
              <w:r w:rsidR="00A455AA" w:rsidRPr="00A455AA">
                <w:rPr>
                  <w:rStyle w:val="Hyperlink"/>
                  <w:sz w:val="20"/>
                </w:rPr>
                <w:t>2014 BCSC 1414</w:t>
              </w:r>
            </w:hyperlink>
          </w:p>
          <w:p w:rsidR="00A455AA" w:rsidRPr="00A455AA" w:rsidRDefault="00A455AA" w:rsidP="00A455AA">
            <w:pPr>
              <w:jc w:val="both"/>
              <w:rPr>
                <w:sz w:val="20"/>
              </w:rPr>
            </w:pPr>
          </w:p>
        </w:tc>
        <w:tc>
          <w:tcPr>
            <w:tcW w:w="243" w:type="pct"/>
          </w:tcPr>
          <w:p w:rsidR="00A455AA" w:rsidRPr="00A455AA" w:rsidRDefault="00A455AA" w:rsidP="00A455AA">
            <w:pPr>
              <w:jc w:val="both"/>
              <w:rPr>
                <w:sz w:val="20"/>
              </w:rPr>
            </w:pPr>
          </w:p>
        </w:tc>
        <w:tc>
          <w:tcPr>
            <w:tcW w:w="2330" w:type="pct"/>
          </w:tcPr>
          <w:p w:rsidR="00A455AA" w:rsidRPr="00A455AA" w:rsidRDefault="00A455AA" w:rsidP="00A455AA">
            <w:pPr>
              <w:jc w:val="both"/>
              <w:rPr>
                <w:sz w:val="20"/>
              </w:rPr>
            </w:pPr>
            <w:r w:rsidRPr="00A455AA">
              <w:rPr>
                <w:sz w:val="20"/>
              </w:rPr>
              <w:t xml:space="preserve">Applicants’ petition for order quashing respondent’s bylaws granted; bylaws struck down as overbroad and unreasonable </w:t>
            </w:r>
          </w:p>
        </w:tc>
      </w:tr>
      <w:tr w:rsidR="00A455AA" w:rsidRPr="00A455AA" w:rsidTr="007762CF">
        <w:tc>
          <w:tcPr>
            <w:tcW w:w="2427" w:type="pct"/>
            <w:gridSpan w:val="2"/>
          </w:tcPr>
          <w:p w:rsidR="00A455AA" w:rsidRPr="00A455AA" w:rsidRDefault="00A455AA" w:rsidP="00A455AA">
            <w:pPr>
              <w:jc w:val="both"/>
              <w:rPr>
                <w:sz w:val="20"/>
              </w:rPr>
            </w:pPr>
            <w:r w:rsidRPr="00A455AA">
              <w:rPr>
                <w:sz w:val="20"/>
              </w:rPr>
              <w:t>January 27, 2016</w:t>
            </w:r>
          </w:p>
          <w:p w:rsidR="00A455AA" w:rsidRPr="00A455AA" w:rsidRDefault="00A455AA" w:rsidP="00A455AA">
            <w:pPr>
              <w:jc w:val="both"/>
              <w:rPr>
                <w:sz w:val="20"/>
              </w:rPr>
            </w:pPr>
            <w:r w:rsidRPr="00A455AA">
              <w:rPr>
                <w:sz w:val="20"/>
              </w:rPr>
              <w:t xml:space="preserve">Court of Appeal for British Columbia </w:t>
            </w:r>
          </w:p>
          <w:p w:rsidR="00A455AA" w:rsidRPr="00A455AA" w:rsidRDefault="00A455AA" w:rsidP="00A455AA">
            <w:pPr>
              <w:jc w:val="both"/>
              <w:rPr>
                <w:sz w:val="20"/>
              </w:rPr>
            </w:pPr>
            <w:r w:rsidRPr="00A455AA">
              <w:rPr>
                <w:sz w:val="20"/>
              </w:rPr>
              <w:t>(Vancouver)</w:t>
            </w:r>
          </w:p>
          <w:p w:rsidR="00A455AA" w:rsidRPr="00A455AA" w:rsidRDefault="00A455AA" w:rsidP="00A455AA">
            <w:pPr>
              <w:jc w:val="both"/>
              <w:rPr>
                <w:sz w:val="20"/>
              </w:rPr>
            </w:pPr>
            <w:r w:rsidRPr="00A455AA">
              <w:rPr>
                <w:sz w:val="20"/>
              </w:rPr>
              <w:t xml:space="preserve">(Donald, Newbury and </w:t>
            </w:r>
            <w:proofErr w:type="spellStart"/>
            <w:r w:rsidRPr="00A455AA">
              <w:rPr>
                <w:sz w:val="20"/>
              </w:rPr>
              <w:t>Goepel</w:t>
            </w:r>
            <w:proofErr w:type="spellEnd"/>
            <w:r w:rsidRPr="00A455AA">
              <w:rPr>
                <w:sz w:val="20"/>
              </w:rPr>
              <w:t xml:space="preserve"> JJ.A.)</w:t>
            </w:r>
          </w:p>
          <w:p w:rsidR="00A455AA" w:rsidRPr="00A455AA" w:rsidRDefault="0036085F" w:rsidP="00A455AA">
            <w:pPr>
              <w:jc w:val="both"/>
              <w:rPr>
                <w:rStyle w:val="Hyperlink"/>
                <w:sz w:val="20"/>
              </w:rPr>
            </w:pPr>
            <w:hyperlink r:id="rId11" w:history="1">
              <w:r w:rsidR="00A455AA" w:rsidRPr="00A455AA">
                <w:rPr>
                  <w:rStyle w:val="Hyperlink"/>
                  <w:sz w:val="20"/>
                </w:rPr>
                <w:t>2016 BCCA 41</w:t>
              </w:r>
            </w:hyperlink>
          </w:p>
          <w:p w:rsidR="00A455AA" w:rsidRPr="00A455AA" w:rsidRDefault="00A455AA" w:rsidP="00A455AA">
            <w:pPr>
              <w:jc w:val="both"/>
              <w:rPr>
                <w:sz w:val="20"/>
              </w:rPr>
            </w:pPr>
          </w:p>
        </w:tc>
        <w:tc>
          <w:tcPr>
            <w:tcW w:w="243" w:type="pct"/>
          </w:tcPr>
          <w:p w:rsidR="00A455AA" w:rsidRPr="00A455AA" w:rsidRDefault="00A455AA" w:rsidP="00A455AA">
            <w:pPr>
              <w:jc w:val="both"/>
              <w:rPr>
                <w:sz w:val="20"/>
              </w:rPr>
            </w:pPr>
          </w:p>
        </w:tc>
        <w:tc>
          <w:tcPr>
            <w:tcW w:w="2330" w:type="pct"/>
          </w:tcPr>
          <w:p w:rsidR="00A455AA" w:rsidRPr="00A455AA" w:rsidRDefault="00A455AA" w:rsidP="00A455AA">
            <w:pPr>
              <w:jc w:val="both"/>
              <w:rPr>
                <w:sz w:val="20"/>
              </w:rPr>
            </w:pPr>
            <w:r w:rsidRPr="00A455AA">
              <w:rPr>
                <w:sz w:val="20"/>
              </w:rPr>
              <w:t>Appeal allowed; BCSC Order set aside</w:t>
            </w:r>
          </w:p>
          <w:p w:rsidR="00A455AA" w:rsidRPr="00A455AA" w:rsidRDefault="00A455AA" w:rsidP="00A455AA">
            <w:pPr>
              <w:jc w:val="both"/>
              <w:rPr>
                <w:sz w:val="20"/>
              </w:rPr>
            </w:pPr>
          </w:p>
        </w:tc>
      </w:tr>
      <w:tr w:rsidR="00A455AA" w:rsidRPr="00A455AA" w:rsidTr="007762CF">
        <w:tc>
          <w:tcPr>
            <w:tcW w:w="2427" w:type="pct"/>
            <w:gridSpan w:val="2"/>
          </w:tcPr>
          <w:p w:rsidR="00A455AA" w:rsidRPr="00A455AA" w:rsidRDefault="00A455AA" w:rsidP="00A455AA">
            <w:pPr>
              <w:jc w:val="both"/>
              <w:rPr>
                <w:sz w:val="20"/>
              </w:rPr>
            </w:pPr>
            <w:r w:rsidRPr="00A455AA">
              <w:rPr>
                <w:sz w:val="20"/>
              </w:rPr>
              <w:t>March 24, 2016</w:t>
            </w:r>
          </w:p>
          <w:p w:rsidR="00A455AA" w:rsidRPr="00A455AA" w:rsidRDefault="00A455AA" w:rsidP="00A455AA">
            <w:pPr>
              <w:jc w:val="both"/>
              <w:rPr>
                <w:sz w:val="20"/>
              </w:rPr>
            </w:pPr>
            <w:r w:rsidRPr="00A455AA">
              <w:rPr>
                <w:sz w:val="20"/>
              </w:rPr>
              <w:t>Supreme Court of Canada</w:t>
            </w:r>
          </w:p>
        </w:tc>
        <w:tc>
          <w:tcPr>
            <w:tcW w:w="243" w:type="pct"/>
          </w:tcPr>
          <w:p w:rsidR="00A455AA" w:rsidRPr="00A455AA" w:rsidRDefault="00A455AA" w:rsidP="00A455AA">
            <w:pPr>
              <w:jc w:val="both"/>
              <w:rPr>
                <w:sz w:val="20"/>
              </w:rPr>
            </w:pPr>
          </w:p>
        </w:tc>
        <w:tc>
          <w:tcPr>
            <w:tcW w:w="2330" w:type="pct"/>
          </w:tcPr>
          <w:p w:rsidR="00A455AA" w:rsidRPr="00A455AA" w:rsidRDefault="00A455AA" w:rsidP="00A455AA">
            <w:pPr>
              <w:jc w:val="both"/>
              <w:rPr>
                <w:sz w:val="20"/>
              </w:rPr>
            </w:pPr>
            <w:r w:rsidRPr="00A455AA">
              <w:rPr>
                <w:sz w:val="20"/>
              </w:rPr>
              <w:t>Application for leave to appeal filed</w:t>
            </w:r>
          </w:p>
          <w:p w:rsidR="00A455AA" w:rsidRPr="00A455AA" w:rsidRDefault="00A455AA" w:rsidP="00A455AA">
            <w:pPr>
              <w:jc w:val="both"/>
              <w:rPr>
                <w:sz w:val="20"/>
              </w:rPr>
            </w:pPr>
          </w:p>
        </w:tc>
      </w:tr>
    </w:tbl>
    <w:p w:rsidR="00A455AA" w:rsidRDefault="00A455AA" w:rsidP="00A455AA">
      <w:pPr>
        <w:jc w:val="both"/>
        <w:rPr>
          <w:sz w:val="20"/>
        </w:rPr>
      </w:pPr>
    </w:p>
    <w:p w:rsidR="00A455AA" w:rsidRPr="00A455AA" w:rsidRDefault="00A455AA" w:rsidP="00A455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55AA" w:rsidRPr="00A455AA" w:rsidTr="007762CF">
        <w:tc>
          <w:tcPr>
            <w:tcW w:w="543" w:type="pct"/>
          </w:tcPr>
          <w:p w:rsidR="00A455AA" w:rsidRPr="00A455AA" w:rsidRDefault="00A455AA" w:rsidP="00A455AA">
            <w:pPr>
              <w:jc w:val="both"/>
              <w:rPr>
                <w:sz w:val="20"/>
                <w:lang w:val="fr-CA"/>
              </w:rPr>
            </w:pPr>
            <w:r w:rsidRPr="00A455AA">
              <w:rPr>
                <w:rStyle w:val="SCCFileNumberChar"/>
                <w:sz w:val="20"/>
                <w:szCs w:val="20"/>
                <w:lang w:val="fr-CA"/>
              </w:rPr>
              <w:t>36917</w:t>
            </w:r>
          </w:p>
        </w:tc>
        <w:tc>
          <w:tcPr>
            <w:tcW w:w="4457" w:type="pct"/>
            <w:gridSpan w:val="3"/>
          </w:tcPr>
          <w:p w:rsidR="00A455AA" w:rsidRPr="00A455AA" w:rsidRDefault="00A455AA" w:rsidP="00A455AA">
            <w:pPr>
              <w:pStyle w:val="SCCLsocParty"/>
              <w:jc w:val="both"/>
              <w:rPr>
                <w:b/>
                <w:sz w:val="20"/>
                <w:szCs w:val="20"/>
                <w:lang w:val="en-US"/>
              </w:rPr>
            </w:pPr>
            <w:r w:rsidRPr="00A455AA">
              <w:rPr>
                <w:b/>
                <w:sz w:val="20"/>
                <w:szCs w:val="20"/>
                <w:lang w:val="en-US"/>
              </w:rPr>
              <w:t>Sobeys West Inc., Jace Holdings Ltd. c. College of Pharmacists of British Columbia</w:t>
            </w:r>
          </w:p>
          <w:p w:rsidR="00A455AA" w:rsidRPr="00A455AA" w:rsidRDefault="00A455AA" w:rsidP="00A455AA">
            <w:pPr>
              <w:jc w:val="both"/>
              <w:rPr>
                <w:sz w:val="20"/>
                <w:lang w:val="fr-CA"/>
              </w:rPr>
            </w:pPr>
            <w:r w:rsidRPr="00A455AA">
              <w:rPr>
                <w:sz w:val="20"/>
                <w:lang w:val="fr-CA"/>
              </w:rPr>
              <w:t>(C.-B.) (Civile) (Sur autorisation)</w:t>
            </w:r>
          </w:p>
        </w:tc>
      </w:tr>
      <w:tr w:rsidR="00A455AA" w:rsidRPr="00A455AA" w:rsidTr="007762CF">
        <w:tc>
          <w:tcPr>
            <w:tcW w:w="5000" w:type="pct"/>
            <w:gridSpan w:val="4"/>
          </w:tcPr>
          <w:p w:rsidR="00A455AA" w:rsidRPr="00A455AA" w:rsidRDefault="00A455AA" w:rsidP="00A455AA">
            <w:pPr>
              <w:jc w:val="both"/>
              <w:rPr>
                <w:sz w:val="20"/>
                <w:lang w:val="fr-CA"/>
              </w:rPr>
            </w:pPr>
            <w:r w:rsidRPr="00A455AA">
              <w:rPr>
                <w:sz w:val="20"/>
                <w:lang w:val="fr-CA"/>
              </w:rPr>
              <w:t>Droit administratif – Contrôle judiciaire – Norme de contrôle – Organismes et tribunaux administratifs – Procédure – Preuve – Les demanderesses contestent un règlement de l’ordre des pharmaciens de la Colombie-Britannique – Un élément de preuve est-il non pertinent ou inadmissible au stade de la demande de contrôle judiciaire simplement parce qu’un décideur non juridictionnel a négligé, refusé ou omis de l’examiner au moment de rendre sa décision? – Un ordre professionnel autoréglementé se conforme-t-il à son obligation légale de n’agir que dans l’intérêt public s’il croit de bonne foi que sa mesure législative subordonnée est justifiée, sans égard à la question de savoir si cette conclusion est raisonnable à la lumière de tous les éléments de preuve disponibles et pertinents?</w:t>
            </w:r>
          </w:p>
        </w:tc>
      </w:tr>
      <w:tr w:rsidR="00A455AA" w:rsidRPr="00A455AA" w:rsidTr="007762CF">
        <w:tc>
          <w:tcPr>
            <w:tcW w:w="5000" w:type="pct"/>
            <w:gridSpan w:val="4"/>
          </w:tcPr>
          <w:p w:rsidR="00A455AA" w:rsidRPr="00A455AA" w:rsidRDefault="00A455AA" w:rsidP="00A455AA">
            <w:pPr>
              <w:jc w:val="both"/>
              <w:rPr>
                <w:sz w:val="20"/>
                <w:lang w:val="fr-CA"/>
              </w:rPr>
            </w:pPr>
          </w:p>
          <w:p w:rsidR="00A455AA" w:rsidRPr="00A455AA" w:rsidRDefault="00A455AA" w:rsidP="00A455AA">
            <w:pPr>
              <w:jc w:val="both"/>
              <w:rPr>
                <w:sz w:val="20"/>
                <w:lang w:val="fr-CA"/>
              </w:rPr>
            </w:pPr>
            <w:r w:rsidRPr="00A455AA">
              <w:rPr>
                <w:sz w:val="20"/>
                <w:lang w:val="fr-CA"/>
              </w:rPr>
              <w:t xml:space="preserve">L’intimé est l’organisme de réglementation chargé d’inscrire les pharmaciens et les techniciens en pharmacie en Colombie-Britannique et de leur délivrer des permis d’exercice conformément aux pouvoirs que lui confère la </w:t>
            </w:r>
            <w:hyperlink r:id="rId12" w:history="1">
              <w:proofErr w:type="spellStart"/>
              <w:r w:rsidRPr="00A455AA">
                <w:rPr>
                  <w:i/>
                  <w:sz w:val="20"/>
                  <w:lang w:val="fr-CA"/>
                </w:rPr>
                <w:t>Health</w:t>
              </w:r>
              <w:proofErr w:type="spellEnd"/>
              <w:r w:rsidRPr="00A455AA">
                <w:rPr>
                  <w:i/>
                  <w:sz w:val="20"/>
                  <w:lang w:val="fr-CA"/>
                </w:rPr>
                <w:t xml:space="preserve"> Professions </w:t>
              </w:r>
              <w:proofErr w:type="spellStart"/>
              <w:r w:rsidRPr="00A455AA">
                <w:rPr>
                  <w:i/>
                  <w:sz w:val="20"/>
                  <w:lang w:val="fr-CA"/>
                </w:rPr>
                <w:t>Act</w:t>
              </w:r>
              <w:proofErr w:type="spellEnd"/>
              <w:r w:rsidRPr="00A455AA">
                <w:rPr>
                  <w:sz w:val="20"/>
                  <w:lang w:val="fr-CA"/>
                </w:rPr>
                <w:t>, R.S.B.C. 1996, ch. 183</w:t>
              </w:r>
            </w:hyperlink>
            <w:r w:rsidRPr="00A455AA">
              <w:rPr>
                <w:sz w:val="20"/>
                <w:lang w:val="fr-CA"/>
              </w:rPr>
              <w:t>. En 2013, le conseil de l’intimé a adopté un règlement interdisant aux pharmaciens d’offrir des programmes d’encouragement à leurs clients pour les inciter à acheter des services de pharmacie, des médicaments ou des appareils de pharmacies en particulier. Les demanderesses sont des pharmacies qui offrent des avantages clients et des programmes de fidélisation à leur clientèle. Elles ont présenté une requête visant à annuler le règlement pour le motif qu’il est déraisonnable, plaidant notamment i) qu’il n’y avait aucune preuve de préjudice réel qui justifiait l’interdiction générale d’encouragements, ii) que le règlement allait au-delà de ce qui était nécessaire pour remédier aux préjudices théoriques et iii) que le règlement cause en définitive un préjudice à l’intérêt public. La Cour suprême de la Colombie-Britannique a annulé le règlement du fait que sa portée était excessive et qu’il était déraisonnable. La Cour d’appel a accueilli l’appel de l’intimé et a annulé l’ordonnance du tribunal de première instance.</w:t>
            </w:r>
          </w:p>
        </w:tc>
      </w:tr>
      <w:tr w:rsidR="00A455AA" w:rsidRPr="00A455AA" w:rsidTr="007762CF">
        <w:tc>
          <w:tcPr>
            <w:tcW w:w="5000" w:type="pct"/>
            <w:gridSpan w:val="4"/>
          </w:tcPr>
          <w:p w:rsidR="00A455AA" w:rsidRPr="00A455AA" w:rsidRDefault="00A455AA" w:rsidP="00A455AA">
            <w:pPr>
              <w:jc w:val="both"/>
              <w:rPr>
                <w:sz w:val="20"/>
                <w:lang w:val="fr-CA"/>
              </w:rPr>
            </w:pPr>
          </w:p>
        </w:tc>
      </w:tr>
      <w:tr w:rsidR="00A455AA" w:rsidRPr="00A455AA" w:rsidTr="007762CF">
        <w:tc>
          <w:tcPr>
            <w:tcW w:w="2427" w:type="pct"/>
            <w:gridSpan w:val="2"/>
          </w:tcPr>
          <w:p w:rsidR="00A455AA" w:rsidRPr="00A455AA" w:rsidRDefault="00A455AA" w:rsidP="00A455AA">
            <w:pPr>
              <w:jc w:val="both"/>
              <w:rPr>
                <w:sz w:val="20"/>
                <w:lang w:val="fr-CA"/>
              </w:rPr>
            </w:pPr>
            <w:r w:rsidRPr="00A455AA">
              <w:rPr>
                <w:sz w:val="20"/>
                <w:lang w:val="fr-CA"/>
              </w:rPr>
              <w:t>25 juillet 2014</w:t>
            </w:r>
          </w:p>
          <w:p w:rsidR="00A455AA" w:rsidRPr="00A455AA" w:rsidRDefault="00A455AA" w:rsidP="00A455AA">
            <w:pPr>
              <w:jc w:val="both"/>
              <w:rPr>
                <w:sz w:val="20"/>
                <w:lang w:val="fr-CA"/>
              </w:rPr>
            </w:pPr>
            <w:r w:rsidRPr="00A455AA">
              <w:rPr>
                <w:sz w:val="20"/>
                <w:lang w:val="fr-CA"/>
              </w:rPr>
              <w:t xml:space="preserve">Cour suprême de la Colombie-Britannique </w:t>
            </w:r>
          </w:p>
          <w:p w:rsidR="00A455AA" w:rsidRPr="00A455AA" w:rsidRDefault="00A455AA" w:rsidP="00A455AA">
            <w:pPr>
              <w:jc w:val="both"/>
              <w:rPr>
                <w:sz w:val="20"/>
                <w:lang w:val="fr-CA"/>
              </w:rPr>
            </w:pPr>
            <w:r w:rsidRPr="00A455AA">
              <w:rPr>
                <w:sz w:val="20"/>
                <w:lang w:val="fr-CA"/>
              </w:rPr>
              <w:t>(Juge en chef Hinkson)</w:t>
            </w:r>
          </w:p>
          <w:p w:rsidR="00A455AA" w:rsidRPr="00A455AA" w:rsidRDefault="0036085F" w:rsidP="00A455AA">
            <w:pPr>
              <w:jc w:val="both"/>
              <w:rPr>
                <w:sz w:val="20"/>
                <w:lang w:val="fr-CA"/>
              </w:rPr>
            </w:pPr>
            <w:hyperlink r:id="rId13" w:history="1">
              <w:r w:rsidR="00A455AA" w:rsidRPr="00A455AA">
                <w:rPr>
                  <w:rStyle w:val="Hyperlink"/>
                  <w:sz w:val="20"/>
                </w:rPr>
                <w:t>2014 BCSC 1414</w:t>
              </w:r>
            </w:hyperlink>
          </w:p>
          <w:p w:rsidR="00A455AA" w:rsidRPr="00A455AA" w:rsidRDefault="00A455AA" w:rsidP="00A455AA">
            <w:pPr>
              <w:jc w:val="both"/>
              <w:rPr>
                <w:sz w:val="20"/>
                <w:lang w:val="fr-CA"/>
              </w:rPr>
            </w:pPr>
          </w:p>
        </w:tc>
        <w:tc>
          <w:tcPr>
            <w:tcW w:w="243" w:type="pct"/>
          </w:tcPr>
          <w:p w:rsidR="00A455AA" w:rsidRPr="00A455AA" w:rsidRDefault="00A455AA" w:rsidP="00A455AA">
            <w:pPr>
              <w:jc w:val="both"/>
              <w:rPr>
                <w:sz w:val="20"/>
                <w:lang w:val="fr-CA"/>
              </w:rPr>
            </w:pPr>
          </w:p>
        </w:tc>
        <w:tc>
          <w:tcPr>
            <w:tcW w:w="2330" w:type="pct"/>
          </w:tcPr>
          <w:p w:rsidR="00A455AA" w:rsidRPr="00A455AA" w:rsidRDefault="00A455AA" w:rsidP="00A455AA">
            <w:pPr>
              <w:jc w:val="both"/>
              <w:rPr>
                <w:sz w:val="20"/>
                <w:lang w:val="fr-CA"/>
              </w:rPr>
            </w:pPr>
            <w:r w:rsidRPr="00A455AA">
              <w:rPr>
                <w:sz w:val="20"/>
                <w:lang w:val="fr-CA"/>
              </w:rPr>
              <w:t xml:space="preserve">Jugement accueillant la requête des demanderesses en annulation du règlement de l’intimé; annulation du règlement du fait que sa portée est excessive et qu’il est déraisonnable </w:t>
            </w:r>
          </w:p>
          <w:p w:rsidR="00A455AA" w:rsidRPr="00A455AA" w:rsidRDefault="00A455AA" w:rsidP="00A455AA">
            <w:pPr>
              <w:jc w:val="both"/>
              <w:rPr>
                <w:sz w:val="20"/>
                <w:lang w:val="fr-CA"/>
              </w:rPr>
            </w:pPr>
          </w:p>
        </w:tc>
      </w:tr>
      <w:tr w:rsidR="00A455AA" w:rsidRPr="00A455AA" w:rsidTr="007762CF">
        <w:tc>
          <w:tcPr>
            <w:tcW w:w="2427" w:type="pct"/>
            <w:gridSpan w:val="2"/>
          </w:tcPr>
          <w:p w:rsidR="00A455AA" w:rsidRPr="00A455AA" w:rsidRDefault="00A455AA" w:rsidP="00A455AA">
            <w:pPr>
              <w:jc w:val="both"/>
              <w:rPr>
                <w:sz w:val="20"/>
                <w:lang w:val="fr-CA"/>
              </w:rPr>
            </w:pPr>
            <w:r w:rsidRPr="00A455AA">
              <w:rPr>
                <w:sz w:val="20"/>
                <w:lang w:val="fr-CA"/>
              </w:rPr>
              <w:t>27 janvier 2016</w:t>
            </w:r>
          </w:p>
          <w:p w:rsidR="00A455AA" w:rsidRPr="00A455AA" w:rsidRDefault="00A455AA" w:rsidP="00A455AA">
            <w:pPr>
              <w:jc w:val="both"/>
              <w:rPr>
                <w:sz w:val="20"/>
                <w:lang w:val="fr-CA"/>
              </w:rPr>
            </w:pPr>
            <w:r w:rsidRPr="00A455AA">
              <w:rPr>
                <w:sz w:val="20"/>
                <w:lang w:val="fr-CA"/>
              </w:rPr>
              <w:t xml:space="preserve">Cour d’appel de la Colombie-Britannique </w:t>
            </w:r>
          </w:p>
          <w:p w:rsidR="00A455AA" w:rsidRPr="00A455AA" w:rsidRDefault="00A455AA" w:rsidP="00A455AA">
            <w:pPr>
              <w:jc w:val="both"/>
              <w:rPr>
                <w:sz w:val="20"/>
                <w:lang w:val="fr-CA"/>
              </w:rPr>
            </w:pPr>
            <w:r w:rsidRPr="00A455AA">
              <w:rPr>
                <w:sz w:val="20"/>
                <w:lang w:val="fr-CA"/>
              </w:rPr>
              <w:t>(Vancouver)</w:t>
            </w:r>
          </w:p>
          <w:p w:rsidR="00A455AA" w:rsidRPr="00A455AA" w:rsidRDefault="00A455AA" w:rsidP="00A455AA">
            <w:pPr>
              <w:jc w:val="both"/>
              <w:rPr>
                <w:sz w:val="20"/>
                <w:lang w:val="fr-CA"/>
              </w:rPr>
            </w:pPr>
            <w:r w:rsidRPr="00A455AA">
              <w:rPr>
                <w:sz w:val="20"/>
                <w:lang w:val="fr-CA"/>
              </w:rPr>
              <w:t>(Juges Donald, Newbury et Goepel)</w:t>
            </w:r>
          </w:p>
          <w:p w:rsidR="00A455AA" w:rsidRPr="00A455AA" w:rsidRDefault="0036085F" w:rsidP="00A455AA">
            <w:pPr>
              <w:jc w:val="both"/>
              <w:rPr>
                <w:rStyle w:val="Hyperlink"/>
                <w:sz w:val="20"/>
              </w:rPr>
            </w:pPr>
            <w:hyperlink r:id="rId14" w:history="1">
              <w:r w:rsidR="00A455AA" w:rsidRPr="00A455AA">
                <w:rPr>
                  <w:rStyle w:val="Hyperlink"/>
                  <w:sz w:val="20"/>
                </w:rPr>
                <w:t>2016 BCCA 41</w:t>
              </w:r>
            </w:hyperlink>
          </w:p>
          <w:p w:rsidR="00A455AA" w:rsidRPr="00A455AA" w:rsidRDefault="00A455AA" w:rsidP="00A455AA">
            <w:pPr>
              <w:jc w:val="both"/>
              <w:rPr>
                <w:sz w:val="20"/>
                <w:lang w:val="fr-CA"/>
              </w:rPr>
            </w:pPr>
          </w:p>
        </w:tc>
        <w:tc>
          <w:tcPr>
            <w:tcW w:w="243" w:type="pct"/>
          </w:tcPr>
          <w:p w:rsidR="00A455AA" w:rsidRPr="00A455AA" w:rsidRDefault="00A455AA" w:rsidP="00A455AA">
            <w:pPr>
              <w:jc w:val="both"/>
              <w:rPr>
                <w:sz w:val="20"/>
                <w:lang w:val="fr-CA"/>
              </w:rPr>
            </w:pPr>
          </w:p>
        </w:tc>
        <w:tc>
          <w:tcPr>
            <w:tcW w:w="2330" w:type="pct"/>
          </w:tcPr>
          <w:p w:rsidR="00A455AA" w:rsidRPr="00A455AA" w:rsidRDefault="00A455AA" w:rsidP="00A455AA">
            <w:pPr>
              <w:jc w:val="both"/>
              <w:rPr>
                <w:sz w:val="20"/>
                <w:lang w:val="fr-CA"/>
              </w:rPr>
            </w:pPr>
            <w:r w:rsidRPr="00A455AA">
              <w:rPr>
                <w:sz w:val="20"/>
                <w:lang w:val="fr-CA"/>
              </w:rPr>
              <w:t>Arrêt accueillant l’appel et annulant l’ordonnance rendue en première instance</w:t>
            </w:r>
          </w:p>
          <w:p w:rsidR="00A455AA" w:rsidRPr="00A455AA" w:rsidRDefault="00A455AA" w:rsidP="00A455AA">
            <w:pPr>
              <w:jc w:val="both"/>
              <w:rPr>
                <w:sz w:val="20"/>
                <w:lang w:val="fr-CA"/>
              </w:rPr>
            </w:pPr>
          </w:p>
        </w:tc>
      </w:tr>
      <w:tr w:rsidR="00A455AA" w:rsidRPr="00A455AA" w:rsidTr="007762CF">
        <w:tc>
          <w:tcPr>
            <w:tcW w:w="2427" w:type="pct"/>
            <w:gridSpan w:val="2"/>
          </w:tcPr>
          <w:p w:rsidR="00A455AA" w:rsidRPr="00A455AA" w:rsidRDefault="00A455AA" w:rsidP="00A455AA">
            <w:pPr>
              <w:jc w:val="both"/>
              <w:rPr>
                <w:sz w:val="20"/>
                <w:lang w:val="fr-CA"/>
              </w:rPr>
            </w:pPr>
            <w:r w:rsidRPr="00A455AA">
              <w:rPr>
                <w:sz w:val="20"/>
                <w:lang w:val="fr-CA"/>
              </w:rPr>
              <w:t>24 mars 2016</w:t>
            </w:r>
          </w:p>
          <w:p w:rsidR="00A455AA" w:rsidRPr="00A455AA" w:rsidRDefault="00A455AA" w:rsidP="00A455AA">
            <w:pPr>
              <w:jc w:val="both"/>
              <w:rPr>
                <w:sz w:val="20"/>
                <w:lang w:val="fr-CA"/>
              </w:rPr>
            </w:pPr>
            <w:r w:rsidRPr="00A455AA">
              <w:rPr>
                <w:sz w:val="20"/>
                <w:lang w:val="fr-CA"/>
              </w:rPr>
              <w:lastRenderedPageBreak/>
              <w:t>Cour suprême du Canada</w:t>
            </w:r>
          </w:p>
        </w:tc>
        <w:tc>
          <w:tcPr>
            <w:tcW w:w="243" w:type="pct"/>
          </w:tcPr>
          <w:p w:rsidR="00A455AA" w:rsidRPr="00A455AA" w:rsidRDefault="00A455AA" w:rsidP="00A455AA">
            <w:pPr>
              <w:jc w:val="both"/>
              <w:rPr>
                <w:sz w:val="20"/>
                <w:lang w:val="fr-CA"/>
              </w:rPr>
            </w:pPr>
          </w:p>
        </w:tc>
        <w:tc>
          <w:tcPr>
            <w:tcW w:w="2330" w:type="pct"/>
          </w:tcPr>
          <w:p w:rsidR="00A455AA" w:rsidRPr="00A455AA" w:rsidRDefault="00A455AA" w:rsidP="00A455AA">
            <w:pPr>
              <w:jc w:val="both"/>
              <w:rPr>
                <w:sz w:val="20"/>
                <w:lang w:val="fr-CA"/>
              </w:rPr>
            </w:pPr>
            <w:r w:rsidRPr="00A455AA">
              <w:rPr>
                <w:sz w:val="20"/>
                <w:lang w:val="fr-CA"/>
              </w:rPr>
              <w:t>Dépôt de la demande d’autorisation d’appel</w:t>
            </w:r>
          </w:p>
          <w:p w:rsidR="00A455AA" w:rsidRPr="00A455AA" w:rsidRDefault="00A455AA" w:rsidP="00A455AA">
            <w:pPr>
              <w:jc w:val="both"/>
              <w:rPr>
                <w:sz w:val="20"/>
                <w:lang w:val="fr-CA"/>
              </w:rPr>
            </w:pPr>
          </w:p>
        </w:tc>
      </w:tr>
    </w:tbl>
    <w:p w:rsidR="00A455AA" w:rsidRPr="00A455AA" w:rsidRDefault="00A455AA" w:rsidP="00A455AA">
      <w:pPr>
        <w:jc w:val="both"/>
        <w:rPr>
          <w:sz w:val="20"/>
          <w:lang w:val="fr-CA"/>
        </w:rPr>
      </w:pPr>
    </w:p>
    <w:p w:rsidR="00A455AA" w:rsidRPr="00492B68" w:rsidRDefault="00A455AA" w:rsidP="00492B68">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B68" w:rsidRPr="00492B68" w:rsidTr="00E95A6A">
        <w:tc>
          <w:tcPr>
            <w:tcW w:w="543" w:type="pct"/>
          </w:tcPr>
          <w:p w:rsidR="00492B68" w:rsidRPr="00492B68" w:rsidRDefault="00492B68" w:rsidP="00492B68">
            <w:pPr>
              <w:jc w:val="both"/>
              <w:rPr>
                <w:sz w:val="20"/>
              </w:rPr>
            </w:pPr>
            <w:r w:rsidRPr="00492B68">
              <w:rPr>
                <w:rStyle w:val="SCCFileNumberChar"/>
                <w:sz w:val="20"/>
                <w:szCs w:val="20"/>
              </w:rPr>
              <w:t>36949</w:t>
            </w:r>
          </w:p>
        </w:tc>
        <w:tc>
          <w:tcPr>
            <w:tcW w:w="4457" w:type="pct"/>
            <w:gridSpan w:val="3"/>
          </w:tcPr>
          <w:p w:rsidR="00492B68" w:rsidRPr="00492B68" w:rsidRDefault="00492B68" w:rsidP="00492B68">
            <w:pPr>
              <w:pStyle w:val="SCCLsocParty"/>
              <w:jc w:val="both"/>
              <w:rPr>
                <w:b/>
                <w:sz w:val="20"/>
                <w:szCs w:val="20"/>
              </w:rPr>
            </w:pPr>
            <w:r w:rsidRPr="00492B68">
              <w:rPr>
                <w:b/>
                <w:sz w:val="20"/>
                <w:szCs w:val="20"/>
              </w:rPr>
              <w:t>Attorney General of Canada v. Helmut Oberlander</w:t>
            </w:r>
          </w:p>
          <w:p w:rsidR="00492B68" w:rsidRPr="00492B68" w:rsidRDefault="00492B68" w:rsidP="00492B68">
            <w:pPr>
              <w:jc w:val="both"/>
              <w:rPr>
                <w:sz w:val="20"/>
              </w:rPr>
            </w:pPr>
            <w:r w:rsidRPr="00492B68">
              <w:rPr>
                <w:sz w:val="20"/>
              </w:rPr>
              <w:t>(FC) (Civil) (By Leave)</w:t>
            </w:r>
          </w:p>
        </w:tc>
      </w:tr>
      <w:tr w:rsidR="00492B68" w:rsidRPr="00492B68" w:rsidTr="00E95A6A">
        <w:tc>
          <w:tcPr>
            <w:tcW w:w="5000" w:type="pct"/>
            <w:gridSpan w:val="4"/>
          </w:tcPr>
          <w:p w:rsidR="00492B68" w:rsidRPr="00492B68" w:rsidRDefault="00492B68" w:rsidP="00492B68">
            <w:pPr>
              <w:jc w:val="both"/>
              <w:rPr>
                <w:sz w:val="20"/>
              </w:rPr>
            </w:pPr>
            <w:r w:rsidRPr="00492B68">
              <w:rPr>
                <w:sz w:val="20"/>
              </w:rPr>
              <w:t xml:space="preserve">Citizenship — Canadian citizens — Revocation of citizenship — Allegation that Canadian citizenship was obtained by false representation or knowing concealment of material circumstances — What is the test for duress in immigration proceedings — Did the Court’s decision in </w:t>
            </w:r>
            <w:proofErr w:type="spellStart"/>
            <w:r w:rsidRPr="00492B68">
              <w:rPr>
                <w:i/>
                <w:sz w:val="20"/>
              </w:rPr>
              <w:t>Ezokola</w:t>
            </w:r>
            <w:proofErr w:type="spellEnd"/>
            <w:r w:rsidRPr="00492B68">
              <w:rPr>
                <w:i/>
                <w:sz w:val="20"/>
              </w:rPr>
              <w:t xml:space="preserve"> v. Canada (Citizenship and Immigration)</w:t>
            </w:r>
            <w:r w:rsidRPr="00492B68">
              <w:rPr>
                <w:sz w:val="20"/>
              </w:rPr>
              <w:t>, 2013 SCC 40, change the proportionality branch of the test for duress — What is the proper analytical framework for assessing complicity and duress?</w:t>
            </w:r>
          </w:p>
        </w:tc>
      </w:tr>
      <w:tr w:rsidR="00492B68" w:rsidRPr="00492B68" w:rsidTr="00E95A6A">
        <w:tc>
          <w:tcPr>
            <w:tcW w:w="5000" w:type="pct"/>
            <w:gridSpan w:val="4"/>
          </w:tcPr>
          <w:p w:rsidR="00492B68" w:rsidRPr="00492B68" w:rsidRDefault="00492B68" w:rsidP="00492B68">
            <w:pPr>
              <w:jc w:val="both"/>
              <w:rPr>
                <w:sz w:val="20"/>
              </w:rPr>
            </w:pPr>
          </w:p>
        </w:tc>
      </w:tr>
      <w:tr w:rsidR="00492B68" w:rsidRPr="00492B68" w:rsidTr="00E95A6A">
        <w:tc>
          <w:tcPr>
            <w:tcW w:w="5000" w:type="pct"/>
            <w:gridSpan w:val="4"/>
          </w:tcPr>
          <w:p w:rsidR="00492B68" w:rsidRPr="00492B68" w:rsidRDefault="00492B68" w:rsidP="00492B68">
            <w:pPr>
              <w:jc w:val="both"/>
              <w:rPr>
                <w:sz w:val="20"/>
              </w:rPr>
            </w:pPr>
            <w:r w:rsidRPr="00492B68">
              <w:rPr>
                <w:sz w:val="20"/>
              </w:rPr>
              <w:t>Mr. </w:t>
            </w:r>
            <w:proofErr w:type="spellStart"/>
            <w:r w:rsidRPr="00492B68">
              <w:rPr>
                <w:sz w:val="20"/>
              </w:rPr>
              <w:t>Oberlander</w:t>
            </w:r>
            <w:proofErr w:type="spellEnd"/>
            <w:r w:rsidRPr="00492B68">
              <w:rPr>
                <w:sz w:val="20"/>
              </w:rPr>
              <w:t xml:space="preserve"> was born in </w:t>
            </w:r>
            <w:proofErr w:type="spellStart"/>
            <w:r w:rsidRPr="00492B68">
              <w:rPr>
                <w:sz w:val="20"/>
              </w:rPr>
              <w:t>Halbstadt</w:t>
            </w:r>
            <w:proofErr w:type="spellEnd"/>
            <w:r w:rsidRPr="00492B68">
              <w:rPr>
                <w:sz w:val="20"/>
              </w:rPr>
              <w:t>, Ukraine in 1924, and he obtained his Canadian citizenship in 1960. In 1995, he received a notice that the Minister of Citizenship and Immigration’s intention to make a report to the Governor in Council recommending revocation of his Canadian citizenship. The Minister alleged that Mr. </w:t>
            </w:r>
            <w:proofErr w:type="spellStart"/>
            <w:r w:rsidRPr="00492B68">
              <w:rPr>
                <w:sz w:val="20"/>
              </w:rPr>
              <w:t>Oberlander</w:t>
            </w:r>
            <w:proofErr w:type="spellEnd"/>
            <w:r w:rsidRPr="00492B68">
              <w:rPr>
                <w:sz w:val="20"/>
              </w:rPr>
              <w:t xml:space="preserve"> had failed to disclose his activities during World War II to Canadian immigration and citizenship officials. At Mr. </w:t>
            </w:r>
            <w:proofErr w:type="spellStart"/>
            <w:r w:rsidRPr="00492B68">
              <w:rPr>
                <w:sz w:val="20"/>
              </w:rPr>
              <w:t>Oberlander’s</w:t>
            </w:r>
            <w:proofErr w:type="spellEnd"/>
            <w:r w:rsidRPr="00492B68">
              <w:rPr>
                <w:sz w:val="20"/>
              </w:rPr>
              <w:t xml:space="preserve"> request, the Minister referred the case to the Federal Court to determine whether he had obtained his citizenship on the basis of a false representation, fraud, or by knowingly concealing material circumstances. The Federal Court found that Mr. </w:t>
            </w:r>
            <w:proofErr w:type="spellStart"/>
            <w:r w:rsidRPr="00492B68">
              <w:rPr>
                <w:sz w:val="20"/>
              </w:rPr>
              <w:t>Oberlander</w:t>
            </w:r>
            <w:proofErr w:type="spellEnd"/>
            <w:r w:rsidRPr="00492B68">
              <w:rPr>
                <w:sz w:val="20"/>
              </w:rPr>
              <w:t xml:space="preserve"> had served as an interpreter for the </w:t>
            </w:r>
            <w:proofErr w:type="spellStart"/>
            <w:r w:rsidRPr="00492B68">
              <w:rPr>
                <w:sz w:val="20"/>
              </w:rPr>
              <w:t>Einsatzkommando</w:t>
            </w:r>
            <w:proofErr w:type="spellEnd"/>
            <w:r w:rsidRPr="00492B68">
              <w:rPr>
                <w:sz w:val="20"/>
              </w:rPr>
              <w:t xml:space="preserve"> 10a, a unit involved in war crimes, and that Mr. </w:t>
            </w:r>
            <w:proofErr w:type="spellStart"/>
            <w:r w:rsidRPr="00492B68">
              <w:rPr>
                <w:sz w:val="20"/>
              </w:rPr>
              <w:t>Oberlander</w:t>
            </w:r>
            <w:proofErr w:type="spellEnd"/>
            <w:r w:rsidRPr="00492B68">
              <w:rPr>
                <w:sz w:val="20"/>
              </w:rPr>
              <w:t xml:space="preserve"> had obtained his Canadian citizenship by making a false representation or by knowingly concealing material circumstances, and facts as to the nature of his service during World War II: (2000), 185 F.T.R. 41. This decision is final and non-reviewable. The Minister then recommended that the Governor in Council revoke Mr. </w:t>
            </w:r>
            <w:proofErr w:type="spellStart"/>
            <w:r w:rsidRPr="00492B68">
              <w:rPr>
                <w:sz w:val="20"/>
              </w:rPr>
              <w:t>Oberlander’s</w:t>
            </w:r>
            <w:proofErr w:type="spellEnd"/>
            <w:r w:rsidRPr="00492B68">
              <w:rPr>
                <w:sz w:val="20"/>
              </w:rPr>
              <w:t xml:space="preserve"> Canadian citizenship. It has now been revoked by the Governor in Council on three occasions. Each time, it was referred back for reconsideration by the Federal Court of Appeal. Subsequent to the latest revocation, but before the Federal Court decision, this Court decided </w:t>
            </w:r>
            <w:proofErr w:type="spellStart"/>
            <w:r w:rsidRPr="00492B68">
              <w:rPr>
                <w:i/>
                <w:sz w:val="20"/>
              </w:rPr>
              <w:t>Ezokola</w:t>
            </w:r>
            <w:proofErr w:type="spellEnd"/>
            <w:r w:rsidRPr="00492B68">
              <w:rPr>
                <w:i/>
                <w:sz w:val="20"/>
              </w:rPr>
              <w:t xml:space="preserve"> v. Canada (Citizenship and Immigration)</w:t>
            </w:r>
            <w:r w:rsidRPr="00492B68">
              <w:rPr>
                <w:sz w:val="20"/>
              </w:rPr>
              <w:t>, 2013 SCC 40, which set out a new test for complicity.</w:t>
            </w:r>
          </w:p>
          <w:p w:rsidR="00492B68" w:rsidRPr="00492B68" w:rsidRDefault="00492B68" w:rsidP="00492B68">
            <w:pPr>
              <w:jc w:val="both"/>
              <w:rPr>
                <w:sz w:val="20"/>
              </w:rPr>
            </w:pPr>
          </w:p>
          <w:p w:rsidR="00492B68" w:rsidRPr="00492B68" w:rsidRDefault="00492B68" w:rsidP="00492B68">
            <w:pPr>
              <w:jc w:val="both"/>
              <w:rPr>
                <w:sz w:val="20"/>
              </w:rPr>
            </w:pPr>
            <w:r w:rsidRPr="00492B68">
              <w:rPr>
                <w:sz w:val="20"/>
              </w:rPr>
              <w:t>The Federal Court found no reviewable error and dismissed the application for judicial review. The Federal Court of Appeal allowed the appeal, set aside the judgment of the Federal Court and, pronouncing the judgment that should have been made, remitted the issues of complicity and duress to the Governor in Council for redetermination in accordance with the law.</w:t>
            </w:r>
          </w:p>
          <w:p w:rsidR="00492B68" w:rsidRPr="00492B68" w:rsidRDefault="00492B68" w:rsidP="00492B68">
            <w:pPr>
              <w:jc w:val="both"/>
              <w:rPr>
                <w:sz w:val="20"/>
              </w:rPr>
            </w:pPr>
          </w:p>
        </w:tc>
      </w:tr>
      <w:tr w:rsidR="00492B68" w:rsidRPr="00492B68" w:rsidTr="00E95A6A">
        <w:tc>
          <w:tcPr>
            <w:tcW w:w="2427" w:type="pct"/>
            <w:gridSpan w:val="2"/>
          </w:tcPr>
          <w:p w:rsidR="00492B68" w:rsidRPr="00492B68" w:rsidRDefault="00492B68" w:rsidP="00492B68">
            <w:pPr>
              <w:jc w:val="both"/>
              <w:rPr>
                <w:sz w:val="20"/>
              </w:rPr>
            </w:pPr>
            <w:r w:rsidRPr="00492B68">
              <w:rPr>
                <w:sz w:val="20"/>
              </w:rPr>
              <w:t>January 13, 2015</w:t>
            </w:r>
          </w:p>
          <w:p w:rsidR="00492B68" w:rsidRPr="00492B68" w:rsidRDefault="00492B68" w:rsidP="00492B68">
            <w:pPr>
              <w:jc w:val="both"/>
              <w:rPr>
                <w:sz w:val="20"/>
              </w:rPr>
            </w:pPr>
            <w:r w:rsidRPr="00492B68">
              <w:rPr>
                <w:sz w:val="20"/>
              </w:rPr>
              <w:t>Federal Court</w:t>
            </w:r>
          </w:p>
          <w:p w:rsidR="00492B68" w:rsidRPr="00492B68" w:rsidRDefault="00492B68" w:rsidP="00492B68">
            <w:pPr>
              <w:jc w:val="both"/>
              <w:rPr>
                <w:sz w:val="20"/>
              </w:rPr>
            </w:pPr>
            <w:r w:rsidRPr="00492B68">
              <w:rPr>
                <w:sz w:val="20"/>
              </w:rPr>
              <w:t>(Russell J.)</w:t>
            </w:r>
          </w:p>
          <w:p w:rsidR="00492B68" w:rsidRPr="00492B68" w:rsidRDefault="0036085F" w:rsidP="00492B68">
            <w:pPr>
              <w:jc w:val="both"/>
              <w:rPr>
                <w:sz w:val="20"/>
              </w:rPr>
            </w:pPr>
            <w:hyperlink r:id="rId15" w:history="1">
              <w:r w:rsidR="00492B68" w:rsidRPr="00492B68">
                <w:rPr>
                  <w:rStyle w:val="Hyperlink"/>
                  <w:sz w:val="20"/>
                </w:rPr>
                <w:t>2015 FC 46</w:t>
              </w:r>
            </w:hyperlink>
          </w:p>
          <w:p w:rsidR="00492B68" w:rsidRPr="00492B68" w:rsidRDefault="00492B68" w:rsidP="00492B68">
            <w:pPr>
              <w:jc w:val="both"/>
              <w:rPr>
                <w:sz w:val="20"/>
              </w:rPr>
            </w:pPr>
          </w:p>
        </w:tc>
        <w:tc>
          <w:tcPr>
            <w:tcW w:w="243" w:type="pct"/>
          </w:tcPr>
          <w:p w:rsidR="00492B68" w:rsidRPr="00492B68" w:rsidRDefault="00492B68" w:rsidP="00492B68">
            <w:pPr>
              <w:jc w:val="both"/>
              <w:rPr>
                <w:sz w:val="20"/>
              </w:rPr>
            </w:pPr>
          </w:p>
        </w:tc>
        <w:tc>
          <w:tcPr>
            <w:tcW w:w="2330" w:type="pct"/>
          </w:tcPr>
          <w:p w:rsidR="00492B68" w:rsidRPr="00492B68" w:rsidRDefault="00492B68" w:rsidP="00492B68">
            <w:pPr>
              <w:jc w:val="both"/>
              <w:rPr>
                <w:sz w:val="20"/>
              </w:rPr>
            </w:pPr>
            <w:r w:rsidRPr="00492B68">
              <w:rPr>
                <w:sz w:val="20"/>
              </w:rPr>
              <w:t>Application dismissed</w:t>
            </w:r>
          </w:p>
          <w:p w:rsidR="00492B68" w:rsidRPr="00492B68" w:rsidRDefault="00492B68" w:rsidP="00492B68">
            <w:pPr>
              <w:jc w:val="both"/>
              <w:rPr>
                <w:sz w:val="20"/>
              </w:rPr>
            </w:pPr>
          </w:p>
        </w:tc>
      </w:tr>
      <w:tr w:rsidR="00492B68" w:rsidRPr="00492B68" w:rsidTr="00E95A6A">
        <w:tc>
          <w:tcPr>
            <w:tcW w:w="2427" w:type="pct"/>
            <w:gridSpan w:val="2"/>
          </w:tcPr>
          <w:p w:rsidR="00492B68" w:rsidRPr="00492B68" w:rsidRDefault="00492B68" w:rsidP="00492B68">
            <w:pPr>
              <w:jc w:val="both"/>
              <w:rPr>
                <w:sz w:val="20"/>
              </w:rPr>
            </w:pPr>
            <w:r w:rsidRPr="00492B68">
              <w:rPr>
                <w:sz w:val="20"/>
              </w:rPr>
              <w:t>February 15, 2016</w:t>
            </w:r>
          </w:p>
          <w:p w:rsidR="00492B68" w:rsidRPr="00492B68" w:rsidRDefault="00492B68" w:rsidP="00492B68">
            <w:pPr>
              <w:jc w:val="both"/>
              <w:rPr>
                <w:sz w:val="20"/>
              </w:rPr>
            </w:pPr>
            <w:r w:rsidRPr="00492B68">
              <w:rPr>
                <w:sz w:val="20"/>
              </w:rPr>
              <w:t>Federal Court of Appeal</w:t>
            </w:r>
          </w:p>
          <w:p w:rsidR="00492B68" w:rsidRPr="00492B68" w:rsidRDefault="00492B68" w:rsidP="00492B68">
            <w:pPr>
              <w:jc w:val="both"/>
              <w:rPr>
                <w:sz w:val="20"/>
              </w:rPr>
            </w:pPr>
            <w:r w:rsidRPr="00492B68">
              <w:rPr>
                <w:sz w:val="20"/>
              </w:rPr>
              <w:t xml:space="preserve">(Near, Dawson, </w:t>
            </w:r>
            <w:proofErr w:type="spellStart"/>
            <w:r w:rsidRPr="00492B68">
              <w:rPr>
                <w:sz w:val="20"/>
              </w:rPr>
              <w:t>Boivin</w:t>
            </w:r>
            <w:proofErr w:type="spellEnd"/>
            <w:r w:rsidRPr="00492B68">
              <w:rPr>
                <w:sz w:val="20"/>
              </w:rPr>
              <w:t xml:space="preserve"> JJ.A.)</w:t>
            </w:r>
          </w:p>
          <w:p w:rsidR="00492B68" w:rsidRPr="00492B68" w:rsidRDefault="0036085F" w:rsidP="00492B68">
            <w:pPr>
              <w:jc w:val="both"/>
              <w:rPr>
                <w:sz w:val="20"/>
              </w:rPr>
            </w:pPr>
            <w:hyperlink r:id="rId16" w:history="1">
              <w:r w:rsidR="00492B68" w:rsidRPr="00492B68">
                <w:rPr>
                  <w:rStyle w:val="Hyperlink"/>
                  <w:sz w:val="20"/>
                </w:rPr>
                <w:t>2016 FCA 52</w:t>
              </w:r>
            </w:hyperlink>
          </w:p>
          <w:p w:rsidR="00492B68" w:rsidRPr="00492B68" w:rsidRDefault="00492B68" w:rsidP="00492B68">
            <w:pPr>
              <w:jc w:val="both"/>
              <w:rPr>
                <w:sz w:val="20"/>
              </w:rPr>
            </w:pPr>
          </w:p>
        </w:tc>
        <w:tc>
          <w:tcPr>
            <w:tcW w:w="243" w:type="pct"/>
          </w:tcPr>
          <w:p w:rsidR="00492B68" w:rsidRPr="00492B68" w:rsidRDefault="00492B68" w:rsidP="00492B68">
            <w:pPr>
              <w:jc w:val="both"/>
              <w:rPr>
                <w:sz w:val="20"/>
              </w:rPr>
            </w:pPr>
          </w:p>
        </w:tc>
        <w:tc>
          <w:tcPr>
            <w:tcW w:w="2330" w:type="pct"/>
          </w:tcPr>
          <w:p w:rsidR="00492B68" w:rsidRPr="00492B68" w:rsidRDefault="00492B68" w:rsidP="00492B68">
            <w:pPr>
              <w:jc w:val="both"/>
              <w:rPr>
                <w:sz w:val="20"/>
              </w:rPr>
            </w:pPr>
            <w:r w:rsidRPr="00492B68">
              <w:rPr>
                <w:sz w:val="20"/>
              </w:rPr>
              <w:t>Appeal allowed; judgment of Federal Court set aside; issues of complicity and duress remitted to Governor in Council for redetermination in accordance with the law</w:t>
            </w:r>
          </w:p>
          <w:p w:rsidR="00492B68" w:rsidRPr="00492B68" w:rsidRDefault="00492B68" w:rsidP="00492B68">
            <w:pPr>
              <w:jc w:val="both"/>
              <w:rPr>
                <w:sz w:val="20"/>
              </w:rPr>
            </w:pPr>
          </w:p>
        </w:tc>
      </w:tr>
      <w:tr w:rsidR="00492B68" w:rsidRPr="00492B68" w:rsidTr="00E95A6A">
        <w:tc>
          <w:tcPr>
            <w:tcW w:w="2427" w:type="pct"/>
            <w:gridSpan w:val="2"/>
          </w:tcPr>
          <w:p w:rsidR="00492B68" w:rsidRPr="00492B68" w:rsidRDefault="00492B68" w:rsidP="00492B68">
            <w:pPr>
              <w:jc w:val="both"/>
              <w:rPr>
                <w:sz w:val="20"/>
              </w:rPr>
            </w:pPr>
            <w:r w:rsidRPr="00492B68">
              <w:rPr>
                <w:sz w:val="20"/>
              </w:rPr>
              <w:t>April 14, 2016</w:t>
            </w:r>
          </w:p>
          <w:p w:rsidR="00492B68" w:rsidRPr="00492B68" w:rsidRDefault="00492B68" w:rsidP="00492B68">
            <w:pPr>
              <w:jc w:val="both"/>
              <w:rPr>
                <w:sz w:val="20"/>
              </w:rPr>
            </w:pPr>
            <w:r w:rsidRPr="00492B68">
              <w:rPr>
                <w:sz w:val="20"/>
              </w:rPr>
              <w:t>Supreme Court of Canada</w:t>
            </w:r>
          </w:p>
        </w:tc>
        <w:tc>
          <w:tcPr>
            <w:tcW w:w="243" w:type="pct"/>
          </w:tcPr>
          <w:p w:rsidR="00492B68" w:rsidRPr="00492B68" w:rsidRDefault="00492B68" w:rsidP="00492B68">
            <w:pPr>
              <w:jc w:val="both"/>
              <w:rPr>
                <w:sz w:val="20"/>
              </w:rPr>
            </w:pPr>
          </w:p>
        </w:tc>
        <w:tc>
          <w:tcPr>
            <w:tcW w:w="2330" w:type="pct"/>
          </w:tcPr>
          <w:p w:rsidR="00492B68" w:rsidRPr="00492B68" w:rsidRDefault="00492B68" w:rsidP="00492B68">
            <w:pPr>
              <w:jc w:val="both"/>
              <w:rPr>
                <w:sz w:val="20"/>
              </w:rPr>
            </w:pPr>
            <w:r w:rsidRPr="00492B68">
              <w:rPr>
                <w:sz w:val="20"/>
              </w:rPr>
              <w:t>Application for leave to appeal filed</w:t>
            </w:r>
          </w:p>
          <w:p w:rsidR="00492B68" w:rsidRPr="00492B68" w:rsidRDefault="00492B68" w:rsidP="00492B68">
            <w:pPr>
              <w:jc w:val="both"/>
              <w:rPr>
                <w:sz w:val="20"/>
              </w:rPr>
            </w:pPr>
          </w:p>
        </w:tc>
      </w:tr>
    </w:tbl>
    <w:p w:rsidR="00492B68" w:rsidRDefault="00492B68" w:rsidP="00492B68">
      <w:pPr>
        <w:jc w:val="both"/>
        <w:rPr>
          <w:sz w:val="20"/>
        </w:rPr>
      </w:pPr>
    </w:p>
    <w:p w:rsidR="00492B68" w:rsidRPr="00492B68" w:rsidRDefault="00492B68" w:rsidP="00492B6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B68" w:rsidRPr="00492B68" w:rsidTr="00E95A6A">
        <w:tc>
          <w:tcPr>
            <w:tcW w:w="543" w:type="pct"/>
          </w:tcPr>
          <w:p w:rsidR="00492B68" w:rsidRPr="00492B68" w:rsidRDefault="00492B68" w:rsidP="00492B68">
            <w:pPr>
              <w:jc w:val="both"/>
              <w:rPr>
                <w:sz w:val="20"/>
                <w:lang w:val="fr-CA"/>
              </w:rPr>
            </w:pPr>
            <w:r w:rsidRPr="00492B68">
              <w:rPr>
                <w:rStyle w:val="SCCFileNumberChar"/>
                <w:sz w:val="20"/>
                <w:szCs w:val="20"/>
                <w:lang w:val="fr-CA"/>
              </w:rPr>
              <w:t>36949</w:t>
            </w:r>
          </w:p>
        </w:tc>
        <w:tc>
          <w:tcPr>
            <w:tcW w:w="4457" w:type="pct"/>
            <w:gridSpan w:val="3"/>
          </w:tcPr>
          <w:p w:rsidR="00492B68" w:rsidRPr="00492B68" w:rsidRDefault="00492B68" w:rsidP="00492B68">
            <w:pPr>
              <w:pStyle w:val="SCCLsocParty"/>
              <w:jc w:val="both"/>
              <w:rPr>
                <w:b/>
                <w:sz w:val="20"/>
                <w:szCs w:val="20"/>
              </w:rPr>
            </w:pPr>
            <w:r w:rsidRPr="00492B68">
              <w:rPr>
                <w:b/>
                <w:sz w:val="20"/>
                <w:szCs w:val="20"/>
              </w:rPr>
              <w:t>Procureur général du Canada c. Helmut Oberlander</w:t>
            </w:r>
          </w:p>
          <w:p w:rsidR="00492B68" w:rsidRPr="00492B68" w:rsidRDefault="00492B68" w:rsidP="00492B68">
            <w:pPr>
              <w:jc w:val="both"/>
              <w:rPr>
                <w:sz w:val="20"/>
                <w:lang w:val="fr-CA"/>
              </w:rPr>
            </w:pPr>
            <w:r w:rsidRPr="00492B68">
              <w:rPr>
                <w:sz w:val="20"/>
                <w:lang w:val="fr-CA"/>
              </w:rPr>
              <w:t>(CF) (Civile) (Sur autorisation)</w:t>
            </w:r>
          </w:p>
        </w:tc>
      </w:tr>
      <w:tr w:rsidR="00492B68" w:rsidRPr="00492B68" w:rsidTr="00E95A6A">
        <w:tc>
          <w:tcPr>
            <w:tcW w:w="5000" w:type="pct"/>
            <w:gridSpan w:val="4"/>
          </w:tcPr>
          <w:p w:rsidR="00492B68" w:rsidRPr="00492B68" w:rsidRDefault="00492B68" w:rsidP="00492B68">
            <w:pPr>
              <w:jc w:val="both"/>
              <w:rPr>
                <w:sz w:val="20"/>
                <w:lang w:val="fr-CA"/>
              </w:rPr>
            </w:pPr>
            <w:r w:rsidRPr="00492B68">
              <w:rPr>
                <w:sz w:val="20"/>
                <w:lang w:val="fr-CA"/>
              </w:rPr>
              <w:t xml:space="preserve">Citoyenneté — Citoyens canadiens — Révocation de la citoyenneté — Allégation selon laquelle la citoyenneté canadienne a été obtenue au moyen d’une fausse déclaration ou de la dissimulation intentionnelle de faits essentiels — Quel est le critère applicable en matière de contrainte dans une procédure d’immigration? — L’arrêt de notre Cour </w:t>
            </w:r>
            <w:r w:rsidRPr="00492B68">
              <w:rPr>
                <w:i/>
                <w:sz w:val="20"/>
                <w:lang w:val="fr-CA"/>
              </w:rPr>
              <w:t>Ezokola c. Canada (Citoyenneté et Immigration)</w:t>
            </w:r>
            <w:r w:rsidRPr="00492B68">
              <w:rPr>
                <w:sz w:val="20"/>
                <w:lang w:val="fr-CA"/>
              </w:rPr>
              <w:t>, 2013 CSC 40, modifie-t-il l’aspect proportionnalité du critère applicable en matière de contrainte? — Quel est le bon cadre d’analyse pour évaluer la complicité et la contrainte?</w:t>
            </w:r>
          </w:p>
        </w:tc>
      </w:tr>
      <w:tr w:rsidR="00492B68" w:rsidRPr="00492B68" w:rsidTr="00E95A6A">
        <w:tc>
          <w:tcPr>
            <w:tcW w:w="5000" w:type="pct"/>
            <w:gridSpan w:val="4"/>
          </w:tcPr>
          <w:p w:rsidR="00492B68" w:rsidRPr="00492B68" w:rsidRDefault="00492B68" w:rsidP="00492B68">
            <w:pPr>
              <w:jc w:val="both"/>
              <w:rPr>
                <w:sz w:val="20"/>
                <w:lang w:val="fr-CA"/>
              </w:rPr>
            </w:pPr>
          </w:p>
        </w:tc>
      </w:tr>
      <w:tr w:rsidR="00492B68" w:rsidRPr="00492B68" w:rsidTr="00E95A6A">
        <w:tc>
          <w:tcPr>
            <w:tcW w:w="5000" w:type="pct"/>
            <w:gridSpan w:val="4"/>
          </w:tcPr>
          <w:p w:rsidR="00492B68" w:rsidRPr="00492B68" w:rsidRDefault="00492B68" w:rsidP="00492B68">
            <w:pPr>
              <w:jc w:val="both"/>
              <w:rPr>
                <w:sz w:val="20"/>
                <w:lang w:val="fr-CA"/>
              </w:rPr>
            </w:pPr>
            <w:r w:rsidRPr="00492B68">
              <w:rPr>
                <w:sz w:val="20"/>
                <w:lang w:val="fr-CA"/>
              </w:rPr>
              <w:t>Monsieur Oberlander est né à Halbstadt, en Ukraine, en 1924. Il a obtenu sa citoyenneté canadienne en 1960. En 1995, il a été avisé de l’intention du ministre de la Citoyenneté et de l’Immigration de faire un rapport au gouverneur en conseil recommandant la révocation de sa citoyenneté canadienne. Le ministre a allégué que M. Oberlander n’avait pas divulgué aux fonctionnaires canadiens de l’immigration et de la citoyenneté les activités auxquelles il s’était livré pendant la Deuxième Guerre mondiale. À la demande de M. Oberlander, le ministre a renvoyé l’affaire à la Cour fédérale afin que celle</w:t>
            </w:r>
            <w:r w:rsidRPr="00492B68">
              <w:rPr>
                <w:sz w:val="20"/>
                <w:lang w:val="fr-CA"/>
              </w:rPr>
              <w:noBreakHyphen/>
              <w:t xml:space="preserve">ci décide s’il avait acquis sa citoyenneté canadienne par fraude ou au moyen d’une fausse déclaration ou de la dissimulation intentionnelle de faits essentiels. La Cour fédérale a conclu que M. Oberlander avait agi comme interprète pour l’Einsatzkommando 10a, une unité impliquée dans des crimes de guerre et qu’il avait acquis sa citoyenneté canadienne au moyen d’une fausse déclaration ou de la dissimulation intentionnelle de faits essentiels, notamment des faits sur la nature de son service pendant la Deuxième Guerre mondiale. Cette décision est définitive et non susceptible de contrôle judiciaire. Le ministre a alors recommandé que le gouverneur en conseil révoque la citoyenneté canadienne de M. Oberlander. Le gouverneur en conseil a maintenant révoqué la citoyenneté de M. Oberlander à trois occasions. À chaque fois, la révocation a été renvoyée pour nouvel examen par la Cour d’appel fédérale. Après la dernière révocation, mais avant le jugement de la Cour fédérale, notre Cour a prononcé l’arrêt </w:t>
            </w:r>
            <w:r w:rsidRPr="00492B68">
              <w:rPr>
                <w:i/>
                <w:sz w:val="20"/>
                <w:lang w:val="fr-CA"/>
              </w:rPr>
              <w:t>Ezokola c. Canada (Citoyenneté et Immigration)</w:t>
            </w:r>
            <w:r w:rsidRPr="00492B68">
              <w:rPr>
                <w:sz w:val="20"/>
                <w:lang w:val="fr-CA"/>
              </w:rPr>
              <w:t xml:space="preserve">, 2013 CSC 40, qui </w:t>
            </w:r>
            <w:proofErr w:type="gramStart"/>
            <w:r w:rsidRPr="00492B68">
              <w:rPr>
                <w:sz w:val="20"/>
                <w:lang w:val="fr-CA"/>
              </w:rPr>
              <w:t>a</w:t>
            </w:r>
            <w:proofErr w:type="gramEnd"/>
            <w:r w:rsidRPr="00492B68">
              <w:rPr>
                <w:sz w:val="20"/>
                <w:lang w:val="fr-CA"/>
              </w:rPr>
              <w:t xml:space="preserve"> établi un nouveau critère applicable en matière de complicité.</w:t>
            </w:r>
          </w:p>
          <w:p w:rsidR="00492B68" w:rsidRPr="00492B68" w:rsidRDefault="00492B68" w:rsidP="00492B68">
            <w:pPr>
              <w:jc w:val="both"/>
              <w:rPr>
                <w:sz w:val="20"/>
                <w:lang w:val="fr-CA"/>
              </w:rPr>
            </w:pPr>
          </w:p>
          <w:p w:rsidR="00492B68" w:rsidRPr="00492B68" w:rsidRDefault="00492B68" w:rsidP="00492B68">
            <w:pPr>
              <w:jc w:val="both"/>
              <w:rPr>
                <w:sz w:val="20"/>
                <w:lang w:val="fr-CA"/>
              </w:rPr>
            </w:pPr>
            <w:r w:rsidRPr="00492B68">
              <w:rPr>
                <w:sz w:val="20"/>
                <w:lang w:val="fr-CA"/>
              </w:rPr>
              <w:t>La Cour fédérale était d’avis qu’il n’y avait eu aucune erreur donnant lieu à révision et a rejeté la demande de contrôle judiciaire. La Cour d’appel fédérale a accueilli l’appel, infirmé le jugement de la Cour fédérale et, en prononçant le jugement qui aurait dû être rendu, renvoyé les questions de la complicité et de la contrainte au gouverneur en conseil pour nouvel examen conformément au droit.</w:t>
            </w:r>
          </w:p>
          <w:p w:rsidR="00492B68" w:rsidRPr="00492B68" w:rsidRDefault="00492B68" w:rsidP="00492B68">
            <w:pPr>
              <w:jc w:val="both"/>
              <w:rPr>
                <w:sz w:val="20"/>
                <w:lang w:val="fr-CA"/>
              </w:rPr>
            </w:pPr>
          </w:p>
        </w:tc>
      </w:tr>
      <w:tr w:rsidR="00492B68" w:rsidRPr="00492B68" w:rsidTr="00E95A6A">
        <w:tc>
          <w:tcPr>
            <w:tcW w:w="2427" w:type="pct"/>
            <w:gridSpan w:val="2"/>
          </w:tcPr>
          <w:p w:rsidR="00492B68" w:rsidRPr="00492B68" w:rsidRDefault="00492B68" w:rsidP="00492B68">
            <w:pPr>
              <w:jc w:val="both"/>
              <w:rPr>
                <w:sz w:val="20"/>
                <w:lang w:val="fr-CA"/>
              </w:rPr>
            </w:pPr>
            <w:r w:rsidRPr="00492B68">
              <w:rPr>
                <w:sz w:val="20"/>
                <w:lang w:val="fr-CA"/>
              </w:rPr>
              <w:t>13 janvier 2015</w:t>
            </w:r>
          </w:p>
          <w:p w:rsidR="00492B68" w:rsidRPr="00492B68" w:rsidRDefault="00492B68" w:rsidP="00492B68">
            <w:pPr>
              <w:jc w:val="both"/>
              <w:rPr>
                <w:sz w:val="20"/>
                <w:lang w:val="fr-CA"/>
              </w:rPr>
            </w:pPr>
            <w:r w:rsidRPr="00492B68">
              <w:rPr>
                <w:sz w:val="20"/>
                <w:lang w:val="fr-CA"/>
              </w:rPr>
              <w:t>Cour fédérale</w:t>
            </w:r>
          </w:p>
          <w:p w:rsidR="00492B68" w:rsidRPr="00492B68" w:rsidRDefault="00492B68" w:rsidP="00492B68">
            <w:pPr>
              <w:jc w:val="both"/>
              <w:rPr>
                <w:sz w:val="20"/>
                <w:lang w:val="fr-CA"/>
              </w:rPr>
            </w:pPr>
            <w:r w:rsidRPr="00492B68">
              <w:rPr>
                <w:sz w:val="20"/>
                <w:lang w:val="fr-CA"/>
              </w:rPr>
              <w:t>(Juge Russell)</w:t>
            </w:r>
          </w:p>
          <w:p w:rsidR="00492B68" w:rsidRPr="00492B68" w:rsidRDefault="0036085F" w:rsidP="00492B68">
            <w:pPr>
              <w:jc w:val="both"/>
              <w:rPr>
                <w:sz w:val="20"/>
                <w:lang w:val="fr-CA"/>
              </w:rPr>
            </w:pPr>
            <w:hyperlink r:id="rId17" w:history="1">
              <w:r w:rsidR="00492B68" w:rsidRPr="00492B68">
                <w:rPr>
                  <w:rStyle w:val="Hyperlink"/>
                  <w:sz w:val="20"/>
                  <w:lang w:val="fr-CA"/>
                </w:rPr>
                <w:t>2015 FC 46</w:t>
              </w:r>
            </w:hyperlink>
          </w:p>
          <w:p w:rsidR="00492B68" w:rsidRPr="00492B68" w:rsidRDefault="00492B68" w:rsidP="00492B68">
            <w:pPr>
              <w:jc w:val="both"/>
              <w:rPr>
                <w:sz w:val="20"/>
                <w:lang w:val="fr-CA"/>
              </w:rPr>
            </w:pPr>
          </w:p>
        </w:tc>
        <w:tc>
          <w:tcPr>
            <w:tcW w:w="243" w:type="pct"/>
          </w:tcPr>
          <w:p w:rsidR="00492B68" w:rsidRPr="00492B68" w:rsidRDefault="00492B68" w:rsidP="00492B68">
            <w:pPr>
              <w:jc w:val="both"/>
              <w:rPr>
                <w:sz w:val="20"/>
                <w:lang w:val="fr-CA"/>
              </w:rPr>
            </w:pPr>
          </w:p>
        </w:tc>
        <w:tc>
          <w:tcPr>
            <w:tcW w:w="2330" w:type="pct"/>
          </w:tcPr>
          <w:p w:rsidR="00492B68" w:rsidRPr="00492B68" w:rsidRDefault="00492B68" w:rsidP="00492B68">
            <w:pPr>
              <w:jc w:val="both"/>
              <w:rPr>
                <w:sz w:val="20"/>
                <w:lang w:val="fr-CA"/>
              </w:rPr>
            </w:pPr>
            <w:r w:rsidRPr="00492B68">
              <w:rPr>
                <w:sz w:val="20"/>
                <w:lang w:val="fr-CA"/>
              </w:rPr>
              <w:t>Rejet de la demande</w:t>
            </w:r>
          </w:p>
          <w:p w:rsidR="00492B68" w:rsidRPr="00492B68" w:rsidRDefault="00492B68" w:rsidP="00492B68">
            <w:pPr>
              <w:jc w:val="both"/>
              <w:rPr>
                <w:sz w:val="20"/>
                <w:lang w:val="fr-CA"/>
              </w:rPr>
            </w:pPr>
          </w:p>
        </w:tc>
      </w:tr>
      <w:tr w:rsidR="00492B68" w:rsidRPr="00492B68" w:rsidTr="00E95A6A">
        <w:tc>
          <w:tcPr>
            <w:tcW w:w="2427" w:type="pct"/>
            <w:gridSpan w:val="2"/>
          </w:tcPr>
          <w:p w:rsidR="00492B68" w:rsidRPr="00492B68" w:rsidRDefault="00492B68" w:rsidP="00492B68">
            <w:pPr>
              <w:jc w:val="both"/>
              <w:rPr>
                <w:sz w:val="20"/>
                <w:lang w:val="fr-CA"/>
              </w:rPr>
            </w:pPr>
            <w:r w:rsidRPr="00492B68">
              <w:rPr>
                <w:sz w:val="20"/>
                <w:lang w:val="fr-CA"/>
              </w:rPr>
              <w:t>15 février 2016</w:t>
            </w:r>
          </w:p>
          <w:p w:rsidR="00492B68" w:rsidRPr="00492B68" w:rsidRDefault="00492B68" w:rsidP="00492B68">
            <w:pPr>
              <w:jc w:val="both"/>
              <w:rPr>
                <w:sz w:val="20"/>
                <w:lang w:val="fr-CA"/>
              </w:rPr>
            </w:pPr>
            <w:r w:rsidRPr="00492B68">
              <w:rPr>
                <w:sz w:val="20"/>
                <w:lang w:val="fr-CA"/>
              </w:rPr>
              <w:t>Cour d’appel fédérale</w:t>
            </w:r>
          </w:p>
          <w:p w:rsidR="00492B68" w:rsidRPr="00492B68" w:rsidRDefault="00492B68" w:rsidP="00492B68">
            <w:pPr>
              <w:jc w:val="both"/>
              <w:rPr>
                <w:sz w:val="20"/>
                <w:lang w:val="fr-CA"/>
              </w:rPr>
            </w:pPr>
            <w:r w:rsidRPr="00492B68">
              <w:rPr>
                <w:sz w:val="20"/>
                <w:lang w:val="fr-CA"/>
              </w:rPr>
              <w:t>(Juges Near, Dawson et Boivin)</w:t>
            </w:r>
          </w:p>
          <w:p w:rsidR="00492B68" w:rsidRPr="00492B68" w:rsidRDefault="0036085F" w:rsidP="00492B68">
            <w:pPr>
              <w:jc w:val="both"/>
              <w:rPr>
                <w:sz w:val="20"/>
                <w:lang w:val="fr-CA"/>
              </w:rPr>
            </w:pPr>
            <w:hyperlink r:id="rId18" w:history="1">
              <w:r w:rsidR="00492B68" w:rsidRPr="00492B68">
                <w:rPr>
                  <w:rStyle w:val="Hyperlink"/>
                  <w:sz w:val="20"/>
                  <w:lang w:val="fr-CA"/>
                </w:rPr>
                <w:t>2016 FCA 52</w:t>
              </w:r>
            </w:hyperlink>
          </w:p>
          <w:p w:rsidR="00492B68" w:rsidRPr="00492B68" w:rsidRDefault="00492B68" w:rsidP="00492B68">
            <w:pPr>
              <w:jc w:val="both"/>
              <w:rPr>
                <w:sz w:val="20"/>
                <w:lang w:val="fr-CA"/>
              </w:rPr>
            </w:pPr>
          </w:p>
        </w:tc>
        <w:tc>
          <w:tcPr>
            <w:tcW w:w="243" w:type="pct"/>
          </w:tcPr>
          <w:p w:rsidR="00492B68" w:rsidRPr="00492B68" w:rsidRDefault="00492B68" w:rsidP="00492B68">
            <w:pPr>
              <w:jc w:val="both"/>
              <w:rPr>
                <w:sz w:val="20"/>
                <w:lang w:val="fr-CA"/>
              </w:rPr>
            </w:pPr>
          </w:p>
        </w:tc>
        <w:tc>
          <w:tcPr>
            <w:tcW w:w="2330" w:type="pct"/>
          </w:tcPr>
          <w:p w:rsidR="00492B68" w:rsidRPr="00492B68" w:rsidRDefault="00492B68" w:rsidP="00492B68">
            <w:pPr>
              <w:jc w:val="both"/>
              <w:rPr>
                <w:sz w:val="20"/>
                <w:lang w:val="fr-CA"/>
              </w:rPr>
            </w:pPr>
            <w:r w:rsidRPr="00492B68">
              <w:rPr>
                <w:sz w:val="20"/>
                <w:lang w:val="fr-CA"/>
              </w:rPr>
              <w:t>Arrêt accueillant l’appel; annulation du jugement de la Cour fédérale; renvoi des questions de la complicité et de la contrainte au gouverneur en conseil pour nouvel examen conformément au droit</w:t>
            </w:r>
          </w:p>
          <w:p w:rsidR="00492B68" w:rsidRPr="00492B68" w:rsidRDefault="00492B68" w:rsidP="00492B68">
            <w:pPr>
              <w:jc w:val="both"/>
              <w:rPr>
                <w:sz w:val="20"/>
                <w:lang w:val="fr-CA"/>
              </w:rPr>
            </w:pPr>
          </w:p>
        </w:tc>
      </w:tr>
      <w:tr w:rsidR="00492B68" w:rsidRPr="00492B68" w:rsidTr="00E95A6A">
        <w:tc>
          <w:tcPr>
            <w:tcW w:w="2427" w:type="pct"/>
            <w:gridSpan w:val="2"/>
          </w:tcPr>
          <w:p w:rsidR="00492B68" w:rsidRPr="00492B68" w:rsidRDefault="00492B68" w:rsidP="00492B68">
            <w:pPr>
              <w:jc w:val="both"/>
              <w:rPr>
                <w:sz w:val="20"/>
                <w:lang w:val="fr-CA"/>
              </w:rPr>
            </w:pPr>
            <w:r w:rsidRPr="00492B68">
              <w:rPr>
                <w:sz w:val="20"/>
                <w:lang w:val="fr-CA"/>
              </w:rPr>
              <w:t>14 avril 2016</w:t>
            </w:r>
          </w:p>
          <w:p w:rsidR="00492B68" w:rsidRPr="00492B68" w:rsidRDefault="00492B68" w:rsidP="00492B68">
            <w:pPr>
              <w:jc w:val="both"/>
              <w:rPr>
                <w:sz w:val="20"/>
                <w:lang w:val="fr-CA"/>
              </w:rPr>
            </w:pPr>
            <w:r w:rsidRPr="00492B68">
              <w:rPr>
                <w:sz w:val="20"/>
                <w:lang w:val="fr-CA"/>
              </w:rPr>
              <w:t>Cour suprême du Canada</w:t>
            </w:r>
          </w:p>
        </w:tc>
        <w:tc>
          <w:tcPr>
            <w:tcW w:w="243" w:type="pct"/>
          </w:tcPr>
          <w:p w:rsidR="00492B68" w:rsidRPr="00492B68" w:rsidRDefault="00492B68" w:rsidP="00492B68">
            <w:pPr>
              <w:jc w:val="both"/>
              <w:rPr>
                <w:sz w:val="20"/>
                <w:lang w:val="fr-CA"/>
              </w:rPr>
            </w:pPr>
          </w:p>
        </w:tc>
        <w:tc>
          <w:tcPr>
            <w:tcW w:w="2330" w:type="pct"/>
          </w:tcPr>
          <w:p w:rsidR="00492B68" w:rsidRPr="00492B68" w:rsidRDefault="00492B68" w:rsidP="00492B68">
            <w:pPr>
              <w:jc w:val="both"/>
              <w:rPr>
                <w:sz w:val="20"/>
                <w:lang w:val="fr-CA"/>
              </w:rPr>
            </w:pPr>
            <w:r w:rsidRPr="00492B68">
              <w:rPr>
                <w:sz w:val="20"/>
                <w:lang w:val="fr-CA"/>
              </w:rPr>
              <w:t>Dépôt de la demande d’autorisation d’appel</w:t>
            </w:r>
          </w:p>
          <w:p w:rsidR="00492B68" w:rsidRPr="00492B68" w:rsidRDefault="00492B68" w:rsidP="00492B68">
            <w:pPr>
              <w:jc w:val="both"/>
              <w:rPr>
                <w:sz w:val="20"/>
                <w:lang w:val="fr-CA"/>
              </w:rPr>
            </w:pPr>
          </w:p>
        </w:tc>
      </w:tr>
    </w:tbl>
    <w:p w:rsidR="00492B68" w:rsidRPr="00492B68" w:rsidRDefault="00492B68" w:rsidP="00492B68">
      <w:pPr>
        <w:jc w:val="both"/>
        <w:rPr>
          <w:sz w:val="20"/>
          <w:lang w:val="fr-CA"/>
        </w:rPr>
      </w:pPr>
    </w:p>
    <w:p w:rsidR="00A455AA" w:rsidRDefault="00A455AA" w:rsidP="009A5F3F">
      <w:pPr>
        <w:widowControl w:val="0"/>
        <w:autoSpaceDE w:val="0"/>
        <w:autoSpaceDN w:val="0"/>
        <w:adjustRightInd w:val="0"/>
        <w:ind w:left="360" w:hanging="360"/>
        <w:rPr>
          <w:rFonts w:eastAsiaTheme="minorEastAsia"/>
          <w:sz w:val="20"/>
          <w:lang w:val="en-CA" w:eastAsia="en-CA"/>
        </w:rPr>
      </w:pPr>
    </w:p>
    <w:p w:rsidR="006F2855" w:rsidRPr="00BF7494" w:rsidRDefault="006F2855" w:rsidP="009A5F3F">
      <w:pPr>
        <w:widowControl w:val="0"/>
        <w:autoSpaceDE w:val="0"/>
        <w:autoSpaceDN w:val="0"/>
        <w:adjustRightInd w:val="0"/>
        <w:ind w:left="360" w:hanging="360"/>
        <w:rPr>
          <w:rFonts w:eastAsiaTheme="minorEastAsia"/>
          <w:sz w:val="20"/>
          <w:lang w:val="en-CA" w:eastAsia="en-CA"/>
        </w:rPr>
      </w:pPr>
    </w:p>
    <w:p w:rsidR="00D3344A" w:rsidRPr="00BF7494" w:rsidRDefault="00D3344A" w:rsidP="00D3344A">
      <w:pPr>
        <w:widowControl w:val="0"/>
        <w:outlineLvl w:val="0"/>
      </w:pPr>
      <w:r w:rsidRPr="00BF7494">
        <w:t xml:space="preserve">Supreme Court of Canada / </w:t>
      </w:r>
      <w:proofErr w:type="spellStart"/>
      <w:r w:rsidRPr="00BF7494">
        <w:t>Cour</w:t>
      </w:r>
      <w:proofErr w:type="spellEnd"/>
      <w:r w:rsidRPr="00BF7494">
        <w:t xml:space="preserve"> </w:t>
      </w:r>
      <w:proofErr w:type="spellStart"/>
      <w:r w:rsidRPr="00BF7494">
        <w:t>suprême</w:t>
      </w:r>
      <w:proofErr w:type="spellEnd"/>
      <w:r w:rsidRPr="00BF7494">
        <w:t xml:space="preserve"> du </w:t>
      </w:r>
      <w:proofErr w:type="gramStart"/>
      <w:r w:rsidRPr="00BF7494">
        <w:t>Canad</w:t>
      </w:r>
      <w:r w:rsidR="00EE289F" w:rsidRPr="00BF7494">
        <w:t>a</w:t>
      </w:r>
      <w:r w:rsidRPr="00BF7494">
        <w:t xml:space="preserve"> :</w:t>
      </w:r>
      <w:proofErr w:type="gramEnd"/>
      <w:r w:rsidRPr="00BF7494">
        <w:t xml:space="preserve"> </w:t>
      </w:r>
    </w:p>
    <w:p w:rsidR="00D3344A" w:rsidRPr="00BF7494" w:rsidRDefault="0036085F" w:rsidP="00D3344A">
      <w:pPr>
        <w:widowControl w:val="0"/>
        <w:outlineLvl w:val="0"/>
        <w:rPr>
          <w:u w:val="single"/>
        </w:rPr>
      </w:pPr>
      <w:hyperlink r:id="rId19" w:history="1">
        <w:r w:rsidR="00D3344A" w:rsidRPr="00BF7494">
          <w:rPr>
            <w:rStyle w:val="Hyperlink"/>
          </w:rPr>
          <w:t>comments-commentaires@scc-csc.ca</w:t>
        </w:r>
      </w:hyperlink>
    </w:p>
    <w:p w:rsidR="00D3344A" w:rsidRPr="00BF7494" w:rsidRDefault="0065588C" w:rsidP="00D3344A">
      <w:pPr>
        <w:widowControl w:val="0"/>
        <w:outlineLvl w:val="0"/>
      </w:pPr>
      <w:r w:rsidRPr="00BF7494">
        <w:t>613-</w:t>
      </w:r>
      <w:r w:rsidR="00D3344A" w:rsidRPr="00BF7494">
        <w:t>995-4330</w:t>
      </w:r>
    </w:p>
    <w:p w:rsidR="00497B5E" w:rsidRPr="00BF7494" w:rsidRDefault="00497B5E" w:rsidP="00497B5E">
      <w:pPr>
        <w:widowControl w:val="0"/>
        <w:rPr>
          <w:sz w:val="20"/>
        </w:rPr>
      </w:pPr>
    </w:p>
    <w:p w:rsidR="00F6251B" w:rsidRPr="00BF7494" w:rsidRDefault="003F43E6" w:rsidP="00F6251B">
      <w:pPr>
        <w:pStyle w:val="Footer"/>
        <w:jc w:val="center"/>
      </w:pPr>
      <w:r w:rsidRPr="00BF7494">
        <w:t>- 30 -</w:t>
      </w:r>
    </w:p>
    <w:p w:rsidR="00F6251B" w:rsidRPr="00BF7494" w:rsidRDefault="00F6251B" w:rsidP="00F6251B">
      <w:pPr>
        <w:pStyle w:val="Footer"/>
        <w:jc w:val="center"/>
      </w:pPr>
    </w:p>
    <w:sectPr w:rsidR="00F6251B" w:rsidRPr="00BF7494" w:rsidSect="0052482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701378"/>
    <w:multiLevelType w:val="hybridMultilevel"/>
    <w:tmpl w:val="737482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BA84D01"/>
    <w:multiLevelType w:val="hybridMultilevel"/>
    <w:tmpl w:val="592E8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75066CB"/>
    <w:multiLevelType w:val="hybridMultilevel"/>
    <w:tmpl w:val="1EFAB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0"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3"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8"/>
  </w:num>
  <w:num w:numId="13">
    <w:abstractNumId w:val="35"/>
  </w:num>
  <w:num w:numId="14">
    <w:abstractNumId w:val="3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3"/>
  </w:num>
  <w:num w:numId="19">
    <w:abstractNumId w:val="31"/>
  </w:num>
  <w:num w:numId="20">
    <w:abstractNumId w:val="25"/>
  </w:num>
  <w:num w:numId="21">
    <w:abstractNumId w:val="34"/>
  </w:num>
  <w:num w:numId="22">
    <w:abstractNumId w:val="0"/>
  </w:num>
  <w:num w:numId="23">
    <w:abstractNumId w:val="41"/>
  </w:num>
  <w:num w:numId="24">
    <w:abstractNumId w:val="18"/>
  </w:num>
  <w:num w:numId="25">
    <w:abstractNumId w:val="1"/>
  </w:num>
  <w:num w:numId="26">
    <w:abstractNumId w:val="22"/>
  </w:num>
  <w:num w:numId="27">
    <w:abstractNumId w:val="43"/>
  </w:num>
  <w:num w:numId="28">
    <w:abstractNumId w:val="30"/>
  </w:num>
  <w:num w:numId="29">
    <w:abstractNumId w:val="39"/>
  </w:num>
  <w:num w:numId="30">
    <w:abstractNumId w:val="33"/>
  </w:num>
  <w:num w:numId="31">
    <w:abstractNumId w:val="23"/>
  </w:num>
  <w:num w:numId="32">
    <w:abstractNumId w:val="8"/>
  </w:num>
  <w:num w:numId="33">
    <w:abstractNumId w:val="2"/>
  </w:num>
  <w:num w:numId="34">
    <w:abstractNumId w:val="40"/>
  </w:num>
  <w:num w:numId="35">
    <w:abstractNumId w:val="38"/>
  </w:num>
  <w:num w:numId="36">
    <w:abstractNumId w:val="10"/>
  </w:num>
  <w:num w:numId="37">
    <w:abstractNumId w:val="5"/>
  </w:num>
  <w:num w:numId="38">
    <w:abstractNumId w:val="12"/>
  </w:num>
  <w:num w:numId="39">
    <w:abstractNumId w:val="29"/>
  </w:num>
  <w:num w:numId="40">
    <w:abstractNumId w:val="26"/>
  </w:num>
  <w:num w:numId="41">
    <w:abstractNumId w:val="20"/>
  </w:num>
  <w:num w:numId="42">
    <w:abstractNumId w:val="1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276A3"/>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78E"/>
    <w:rsid w:val="002C10D1"/>
    <w:rsid w:val="002C239C"/>
    <w:rsid w:val="002C3A5F"/>
    <w:rsid w:val="002C5754"/>
    <w:rsid w:val="002C6BF5"/>
    <w:rsid w:val="002D0C49"/>
    <w:rsid w:val="002D2553"/>
    <w:rsid w:val="002D43A1"/>
    <w:rsid w:val="002D63D6"/>
    <w:rsid w:val="002D6680"/>
    <w:rsid w:val="002D71CB"/>
    <w:rsid w:val="002E00CC"/>
    <w:rsid w:val="002E0473"/>
    <w:rsid w:val="002E1AF1"/>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54E2"/>
    <w:rsid w:val="00357828"/>
    <w:rsid w:val="00357895"/>
    <w:rsid w:val="00357916"/>
    <w:rsid w:val="00357B15"/>
    <w:rsid w:val="0036085F"/>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841"/>
    <w:rsid w:val="004226AA"/>
    <w:rsid w:val="00423732"/>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74B6"/>
    <w:rsid w:val="004775E8"/>
    <w:rsid w:val="00481888"/>
    <w:rsid w:val="0048370B"/>
    <w:rsid w:val="00486750"/>
    <w:rsid w:val="00487EBC"/>
    <w:rsid w:val="00490DDC"/>
    <w:rsid w:val="00491D56"/>
    <w:rsid w:val="00491D60"/>
    <w:rsid w:val="00492B68"/>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585"/>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6FD"/>
    <w:rsid w:val="005F19C6"/>
    <w:rsid w:val="005F4197"/>
    <w:rsid w:val="005F4C67"/>
    <w:rsid w:val="005F5163"/>
    <w:rsid w:val="005F52C6"/>
    <w:rsid w:val="005F541C"/>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1C34"/>
    <w:rsid w:val="006B1FF1"/>
    <w:rsid w:val="006B293F"/>
    <w:rsid w:val="006B34DE"/>
    <w:rsid w:val="006B35F3"/>
    <w:rsid w:val="006B40C1"/>
    <w:rsid w:val="006B5B6A"/>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4AA5"/>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7B21"/>
    <w:rsid w:val="00922101"/>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011B"/>
    <w:rsid w:val="009912E2"/>
    <w:rsid w:val="00991536"/>
    <w:rsid w:val="009918AC"/>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33DF9"/>
    <w:rsid w:val="00A3529A"/>
    <w:rsid w:val="00A40262"/>
    <w:rsid w:val="00A41B5E"/>
    <w:rsid w:val="00A41E03"/>
    <w:rsid w:val="00A42042"/>
    <w:rsid w:val="00A422C2"/>
    <w:rsid w:val="00A4281A"/>
    <w:rsid w:val="00A44C41"/>
    <w:rsid w:val="00A45529"/>
    <w:rsid w:val="00A455AA"/>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AC2"/>
    <w:rsid w:val="00A948B2"/>
    <w:rsid w:val="00A95355"/>
    <w:rsid w:val="00A960E9"/>
    <w:rsid w:val="00A97B41"/>
    <w:rsid w:val="00A97F0C"/>
    <w:rsid w:val="00A97F93"/>
    <w:rsid w:val="00AA0E4D"/>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6829"/>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56B8"/>
    <w:rsid w:val="00FC60B8"/>
    <w:rsid w:val="00FC6DE6"/>
    <w:rsid w:val="00FD0A9E"/>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949" TargetMode="External"/><Relationship Id="rId13" Type="http://schemas.openxmlformats.org/officeDocument/2006/relationships/hyperlink" Target="http://www.canlii.org/en/bc/bcsc/doc/2014/2014bcsc1414/2014bcsc1414.html" TargetMode="External"/><Relationship Id="rId18" Type="http://schemas.openxmlformats.org/officeDocument/2006/relationships/hyperlink" Target="http://www.canlii.org/en/ca/fca/doc/2016/2016fca52/2016fca52.html?autocompleteStr=2016%20FCA%2052&amp;autocompletePos=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cc-csc.ca/case-dossier/info/sum-som-eng.aspx?cas=36917" TargetMode="External"/><Relationship Id="rId12" Type="http://schemas.openxmlformats.org/officeDocument/2006/relationships/hyperlink" Target="http://www.canlii.org/en/bc/laws/stat/rsbc-1996-c-183/latest/rsbc-1996-c-183.html" TargetMode="External"/><Relationship Id="rId17" Type="http://schemas.openxmlformats.org/officeDocument/2006/relationships/hyperlink" Target="http://www.canlii.org/en/ca/fct/doc/2015/2015fc46/2015fc46.html?autocompleteStr=2015%20FC%2046&amp;autocompletePos=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anlii.org/en/ca/fca/doc/2016/2016fca52/2016fca52.html?autocompleteStr=2016%20FCA%2052&amp;autocompletePos=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lii.org/en/bc/bcca/doc/2016/2016bcca41/2016bcca41.html?autocompleteStr=2016%20BCCA%2041&amp;autocompletePos=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anlii.org/en/ca/fct/doc/2015/2015fc46/2015fc46.html?autocompleteStr=2015%20FC%2046&amp;autocompletePos=1" TargetMode="External"/><Relationship Id="rId23" Type="http://schemas.openxmlformats.org/officeDocument/2006/relationships/footer" Target="footer2.xml"/><Relationship Id="rId10" Type="http://schemas.openxmlformats.org/officeDocument/2006/relationships/hyperlink" Target="http://www.canlii.org/en/bc/bcsc/doc/2014/2014bcsc1414/2014bcsc1414.html" TargetMode="External"/><Relationship Id="rId19"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canlii.org/en/bc/laws/stat/rsbc-1996-c-183/latest/rsbc-1996-c-183.html" TargetMode="External"/><Relationship Id="rId14" Type="http://schemas.openxmlformats.org/officeDocument/2006/relationships/hyperlink" Target="http://www.canlii.org/en/bc/bcca/doc/2016/2016bcca41/2016bcca41.html?autocompleteStr=2016%20BCCA%2041&amp;autocompletePos=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13543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2016-07-04T13:33:00Z</dcterms:created>
  <dcterms:modified xsi:type="dcterms:W3CDTF">2016-07-04T17:19:00Z</dcterms:modified>
</cp:coreProperties>
</file>