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F497B" w:rsidRDefault="003F43E6" w:rsidP="003F43E6">
      <w:pPr>
        <w:pStyle w:val="Header"/>
        <w:jc w:val="center"/>
        <w:rPr>
          <w:b/>
          <w:sz w:val="32"/>
        </w:rPr>
      </w:pPr>
      <w:r w:rsidRPr="00AF497B">
        <w:rPr>
          <w:b/>
          <w:sz w:val="32"/>
        </w:rPr>
        <w:t>Supreme Court of Canada / Cour suprême du Canada</w:t>
      </w:r>
    </w:p>
    <w:p w:rsidR="003F43E6" w:rsidRPr="00AF497B" w:rsidRDefault="003F43E6" w:rsidP="006F2579">
      <w:pPr>
        <w:widowControl w:val="0"/>
        <w:rPr>
          <w:i/>
        </w:rPr>
      </w:pPr>
    </w:p>
    <w:p w:rsidR="003F43E6" w:rsidRPr="00AF497B" w:rsidRDefault="003F43E6" w:rsidP="006F2579">
      <w:pPr>
        <w:widowControl w:val="0"/>
        <w:rPr>
          <w:i/>
        </w:rPr>
      </w:pPr>
    </w:p>
    <w:p w:rsidR="006F2579" w:rsidRPr="00AF497B" w:rsidRDefault="006F2579" w:rsidP="006F2579">
      <w:pPr>
        <w:widowControl w:val="0"/>
        <w:rPr>
          <w:i/>
          <w:lang w:val="fr-CA"/>
        </w:rPr>
      </w:pPr>
      <w:r w:rsidRPr="00AF497B">
        <w:rPr>
          <w:i/>
          <w:lang w:val="fr-CA"/>
        </w:rPr>
        <w:t>(le français suit)</w:t>
      </w:r>
    </w:p>
    <w:p w:rsidR="006F2579" w:rsidRPr="00AF497B" w:rsidRDefault="006F2579" w:rsidP="006F2579">
      <w:pPr>
        <w:widowControl w:val="0"/>
        <w:rPr>
          <w:lang w:val="fr-CA"/>
        </w:rPr>
      </w:pPr>
    </w:p>
    <w:p w:rsidR="006F2579" w:rsidRPr="00AF497B" w:rsidRDefault="00C007C3" w:rsidP="006F2579">
      <w:pPr>
        <w:widowControl w:val="0"/>
        <w:jc w:val="center"/>
        <w:rPr>
          <w:b/>
          <w:lang w:val="fr-CA"/>
        </w:rPr>
      </w:pPr>
      <w:r w:rsidRPr="00AF497B">
        <w:fldChar w:fldCharType="begin"/>
      </w:r>
      <w:r w:rsidR="006F2579" w:rsidRPr="00AF497B">
        <w:rPr>
          <w:lang w:val="fr-CA"/>
        </w:rPr>
        <w:instrText xml:space="preserve"> SEQ CHAPTER \h \r 1</w:instrText>
      </w:r>
      <w:r w:rsidRPr="00AF497B">
        <w:fldChar w:fldCharType="end"/>
      </w:r>
      <w:r w:rsidR="002767DF" w:rsidRPr="00AF497B">
        <w:rPr>
          <w:b/>
          <w:lang w:val="fr-CA"/>
        </w:rPr>
        <w:t xml:space="preserve">JUDGMENTS </w:t>
      </w:r>
      <w:r w:rsidR="004C4C26" w:rsidRPr="00AF497B">
        <w:rPr>
          <w:b/>
          <w:lang w:val="fr-CA"/>
        </w:rPr>
        <w:t>IN LEAVE APPLICATION</w:t>
      </w:r>
      <w:r w:rsidR="00CC044F" w:rsidRPr="00AF497B">
        <w:rPr>
          <w:b/>
          <w:lang w:val="fr-CA"/>
        </w:rPr>
        <w:t>S</w:t>
      </w:r>
    </w:p>
    <w:p w:rsidR="006F2579" w:rsidRPr="00AF497B" w:rsidRDefault="006F2579" w:rsidP="006F2579">
      <w:pPr>
        <w:widowControl w:val="0"/>
        <w:rPr>
          <w:b/>
          <w:lang w:val="fr-CA"/>
        </w:rPr>
      </w:pPr>
    </w:p>
    <w:p w:rsidR="006F2579" w:rsidRPr="00AF497B" w:rsidRDefault="00085D9C" w:rsidP="006F2579">
      <w:pPr>
        <w:widowControl w:val="0"/>
        <w:rPr>
          <w:b/>
        </w:rPr>
      </w:pPr>
      <w:r w:rsidRPr="00AF497B">
        <w:rPr>
          <w:b/>
        </w:rPr>
        <w:t>August</w:t>
      </w:r>
      <w:r w:rsidR="00504490" w:rsidRPr="00AF497B">
        <w:rPr>
          <w:b/>
        </w:rPr>
        <w:t xml:space="preserve"> </w:t>
      </w:r>
      <w:r w:rsidRPr="00AF497B">
        <w:rPr>
          <w:b/>
        </w:rPr>
        <w:t>1</w:t>
      </w:r>
      <w:r w:rsidR="00D71307" w:rsidRPr="00AF497B">
        <w:rPr>
          <w:b/>
        </w:rPr>
        <w:t>8</w:t>
      </w:r>
      <w:r w:rsidR="00170148" w:rsidRPr="00AF497B">
        <w:rPr>
          <w:b/>
        </w:rPr>
        <w:t>,</w:t>
      </w:r>
      <w:r w:rsidR="008825DB" w:rsidRPr="00AF497B">
        <w:rPr>
          <w:b/>
        </w:rPr>
        <w:t xml:space="preserve"> 201</w:t>
      </w:r>
      <w:r w:rsidR="004E4B02" w:rsidRPr="00AF497B">
        <w:rPr>
          <w:b/>
        </w:rPr>
        <w:t>6</w:t>
      </w:r>
    </w:p>
    <w:p w:rsidR="006F2579" w:rsidRPr="00AF497B" w:rsidRDefault="006F2579" w:rsidP="006F2579">
      <w:pPr>
        <w:widowControl w:val="0"/>
        <w:rPr>
          <w:b/>
        </w:rPr>
      </w:pPr>
      <w:r w:rsidRPr="00AF497B">
        <w:rPr>
          <w:b/>
        </w:rPr>
        <w:t>For immediate release</w:t>
      </w:r>
    </w:p>
    <w:p w:rsidR="006F2579" w:rsidRPr="00AF497B" w:rsidRDefault="006F2579" w:rsidP="006F2579">
      <w:pPr>
        <w:widowControl w:val="0"/>
      </w:pPr>
    </w:p>
    <w:p w:rsidR="002767DF" w:rsidRPr="00AF497B" w:rsidRDefault="002767DF" w:rsidP="002767DF">
      <w:pPr>
        <w:widowControl w:val="0"/>
      </w:pPr>
      <w:r w:rsidRPr="00AF497B">
        <w:rPr>
          <w:b/>
        </w:rPr>
        <w:t>OTTAWA</w:t>
      </w:r>
      <w:r w:rsidRPr="00AF497B">
        <w:t xml:space="preserve"> – The Supreme Court of Canada has today deposited with the Registrar judgment</w:t>
      </w:r>
      <w:r w:rsidR="004D3B41" w:rsidRPr="00AF497B">
        <w:t>s</w:t>
      </w:r>
      <w:r w:rsidRPr="00AF497B">
        <w:t xml:space="preserve"> in the following application</w:t>
      </w:r>
      <w:r w:rsidR="00CC044F" w:rsidRPr="00AF497B">
        <w:t>s</w:t>
      </w:r>
      <w:r w:rsidRPr="00AF497B">
        <w:t xml:space="preserve"> for leave to appeal.</w:t>
      </w:r>
    </w:p>
    <w:p w:rsidR="00580C53" w:rsidRPr="00AF497B" w:rsidRDefault="00580C53" w:rsidP="00580C53">
      <w:pPr>
        <w:widowControl w:val="0"/>
        <w:rPr>
          <w:szCs w:val="24"/>
        </w:rPr>
      </w:pPr>
    </w:p>
    <w:p w:rsidR="00694BDA" w:rsidRPr="00AF497B" w:rsidRDefault="00580C53" w:rsidP="00580C53">
      <w:pPr>
        <w:widowControl w:val="0"/>
        <w:rPr>
          <w:szCs w:val="24"/>
        </w:rPr>
      </w:pPr>
      <w:r w:rsidRPr="00AF497B">
        <w:rPr>
          <w:szCs w:val="24"/>
        </w:rPr>
        <w:t xml:space="preserve">Summaries of these cases are available at </w:t>
      </w:r>
      <w:hyperlink r:id="rId7" w:history="1">
        <w:r w:rsidR="00D71307" w:rsidRPr="00AF497B">
          <w:rPr>
            <w:rStyle w:val="Hyperlink"/>
            <w:szCs w:val="24"/>
          </w:rPr>
          <w:t>http://scc-csc.lexum.com/scc-csc/news/en/item/5296/index.do</w:t>
        </w:r>
      </w:hyperlink>
      <w:r w:rsidR="00694BDA" w:rsidRPr="00AF497B">
        <w:rPr>
          <w:szCs w:val="24"/>
        </w:rPr>
        <w:t>.</w:t>
      </w:r>
    </w:p>
    <w:p w:rsidR="006F2579" w:rsidRPr="00AF497B" w:rsidRDefault="006F2579" w:rsidP="006F2579">
      <w:pPr>
        <w:widowControl w:val="0"/>
      </w:pPr>
    </w:p>
    <w:p w:rsidR="006F2579" w:rsidRPr="00AF497B" w:rsidRDefault="006F2579" w:rsidP="006F2579">
      <w:pPr>
        <w:widowControl w:val="0"/>
      </w:pPr>
    </w:p>
    <w:p w:rsidR="002767DF" w:rsidRPr="00AF497B" w:rsidRDefault="002767DF" w:rsidP="002767DF">
      <w:pPr>
        <w:widowControl w:val="0"/>
        <w:jc w:val="center"/>
        <w:rPr>
          <w:lang w:val="fr-CA"/>
        </w:rPr>
      </w:pPr>
      <w:r w:rsidRPr="00AF497B">
        <w:rPr>
          <w:b/>
          <w:lang w:val="fr-CA"/>
        </w:rPr>
        <w:t>JUGEMENT</w:t>
      </w:r>
      <w:r w:rsidR="004C4C26" w:rsidRPr="00AF497B">
        <w:rPr>
          <w:b/>
          <w:lang w:val="fr-CA"/>
        </w:rPr>
        <w:t>S SUR DEMANDE</w:t>
      </w:r>
      <w:r w:rsidR="00CC044F" w:rsidRPr="00AF497B">
        <w:rPr>
          <w:b/>
          <w:lang w:val="fr-CA"/>
        </w:rPr>
        <w:t>S</w:t>
      </w:r>
      <w:r w:rsidRPr="00AF497B">
        <w:rPr>
          <w:b/>
          <w:lang w:val="fr-CA"/>
        </w:rPr>
        <w:t xml:space="preserve"> D’AUTORISATION</w:t>
      </w:r>
    </w:p>
    <w:p w:rsidR="006F2579" w:rsidRPr="00AF497B" w:rsidRDefault="006F2579" w:rsidP="006F2579">
      <w:pPr>
        <w:widowControl w:val="0"/>
        <w:rPr>
          <w:lang w:val="fr-CA"/>
        </w:rPr>
      </w:pPr>
    </w:p>
    <w:p w:rsidR="006F2579" w:rsidRPr="00AF497B" w:rsidRDefault="006F2579" w:rsidP="006F2579">
      <w:pPr>
        <w:widowControl w:val="0"/>
        <w:rPr>
          <w:b/>
          <w:lang w:val="fr-CA"/>
        </w:rPr>
      </w:pPr>
      <w:r w:rsidRPr="00AF497B">
        <w:rPr>
          <w:b/>
          <w:lang w:val="fr-CA"/>
        </w:rPr>
        <w:t>Le</w:t>
      </w:r>
      <w:r w:rsidR="008825DB" w:rsidRPr="00AF497B">
        <w:rPr>
          <w:b/>
          <w:lang w:val="fr-CA"/>
        </w:rPr>
        <w:t xml:space="preserve"> </w:t>
      </w:r>
      <w:r w:rsidR="00085D9C" w:rsidRPr="00AF497B">
        <w:rPr>
          <w:b/>
          <w:lang w:val="fr-CA"/>
        </w:rPr>
        <w:t>1</w:t>
      </w:r>
      <w:r w:rsidR="00D71307" w:rsidRPr="00AF497B">
        <w:rPr>
          <w:b/>
          <w:lang w:val="fr-CA"/>
        </w:rPr>
        <w:t>8</w:t>
      </w:r>
      <w:r w:rsidR="00911202" w:rsidRPr="00AF497B">
        <w:rPr>
          <w:b/>
          <w:lang w:val="fr-CA"/>
        </w:rPr>
        <w:t xml:space="preserve"> </w:t>
      </w:r>
      <w:r w:rsidR="00085D9C" w:rsidRPr="00AF497B">
        <w:rPr>
          <w:b/>
          <w:lang w:val="fr-CA"/>
        </w:rPr>
        <w:t>août</w:t>
      </w:r>
      <w:r w:rsidR="004E4B02" w:rsidRPr="00AF497B">
        <w:rPr>
          <w:b/>
          <w:lang w:val="fr-CA"/>
        </w:rPr>
        <w:t xml:space="preserve"> </w:t>
      </w:r>
      <w:r w:rsidR="008825DB" w:rsidRPr="00AF497B">
        <w:rPr>
          <w:b/>
          <w:lang w:val="fr-CA"/>
        </w:rPr>
        <w:t>201</w:t>
      </w:r>
      <w:r w:rsidR="004E4B02" w:rsidRPr="00AF497B">
        <w:rPr>
          <w:b/>
          <w:lang w:val="fr-CA"/>
        </w:rPr>
        <w:t>6</w:t>
      </w:r>
    </w:p>
    <w:p w:rsidR="006F2579" w:rsidRPr="00AF497B" w:rsidRDefault="006F2579" w:rsidP="006F2579">
      <w:pPr>
        <w:widowControl w:val="0"/>
        <w:rPr>
          <w:b/>
          <w:lang w:val="fr-CA"/>
        </w:rPr>
      </w:pPr>
      <w:r w:rsidRPr="00AF497B">
        <w:rPr>
          <w:b/>
          <w:lang w:val="fr-CA"/>
        </w:rPr>
        <w:t>Pour diffusion immédiate</w:t>
      </w:r>
    </w:p>
    <w:p w:rsidR="006F2579" w:rsidRPr="00AF497B" w:rsidRDefault="006F2579" w:rsidP="006F2579">
      <w:pPr>
        <w:widowControl w:val="0"/>
        <w:rPr>
          <w:b/>
          <w:lang w:val="fr-CA"/>
        </w:rPr>
      </w:pPr>
    </w:p>
    <w:p w:rsidR="002767DF" w:rsidRPr="00AF497B" w:rsidRDefault="002767DF" w:rsidP="002767DF">
      <w:pPr>
        <w:widowControl w:val="0"/>
        <w:rPr>
          <w:lang w:val="fr-CA"/>
        </w:rPr>
      </w:pPr>
      <w:r w:rsidRPr="00AF497B">
        <w:rPr>
          <w:b/>
          <w:lang w:val="fr-CA"/>
        </w:rPr>
        <w:t>OTTAWA</w:t>
      </w:r>
      <w:r w:rsidRPr="00AF497B">
        <w:rPr>
          <w:lang w:val="fr-CA"/>
        </w:rPr>
        <w:t xml:space="preserve"> – La Cour suprême du Canada a déposé aujourd’hui auprès du registraire les jugements dans </w:t>
      </w:r>
      <w:r w:rsidR="00CC044F" w:rsidRPr="00AF497B">
        <w:rPr>
          <w:lang w:val="fr-CA"/>
        </w:rPr>
        <w:t>les</w:t>
      </w:r>
      <w:r w:rsidR="008C7CD9" w:rsidRPr="00AF497B">
        <w:rPr>
          <w:lang w:val="fr-CA"/>
        </w:rPr>
        <w:t xml:space="preserve"> </w:t>
      </w:r>
      <w:r w:rsidR="004C4C26" w:rsidRPr="00AF497B">
        <w:rPr>
          <w:lang w:val="fr-CA"/>
        </w:rPr>
        <w:t>demande</w:t>
      </w:r>
      <w:r w:rsidR="00CC044F" w:rsidRPr="00AF497B">
        <w:rPr>
          <w:lang w:val="fr-CA"/>
        </w:rPr>
        <w:t>s</w:t>
      </w:r>
      <w:r w:rsidRPr="00AF497B">
        <w:rPr>
          <w:lang w:val="fr-CA"/>
        </w:rPr>
        <w:t xml:space="preserve"> d’autorisation d’appel qui suivent. </w:t>
      </w:r>
    </w:p>
    <w:p w:rsidR="002767DF" w:rsidRPr="00AF497B" w:rsidRDefault="002767DF" w:rsidP="002767DF">
      <w:pPr>
        <w:widowControl w:val="0"/>
        <w:rPr>
          <w:lang w:val="fr-CA"/>
        </w:rPr>
      </w:pPr>
    </w:p>
    <w:p w:rsidR="007E5C9C" w:rsidRPr="00AF497B" w:rsidRDefault="007E5C9C" w:rsidP="007E5C9C">
      <w:pPr>
        <w:widowControl w:val="0"/>
        <w:rPr>
          <w:szCs w:val="24"/>
          <w:lang w:val="fr-CA"/>
        </w:rPr>
      </w:pPr>
      <w:r w:rsidRPr="00AF497B">
        <w:rPr>
          <w:lang w:val="fr-CA"/>
        </w:rPr>
        <w:t xml:space="preserve">Les sommaires des causes peuvent être consultés à l'adresse </w:t>
      </w:r>
      <w:r w:rsidRPr="00AF497B">
        <w:rPr>
          <w:szCs w:val="24"/>
          <w:lang w:val="fr-CA"/>
        </w:rPr>
        <w:t xml:space="preserve">suivante : </w:t>
      </w:r>
      <w:hyperlink r:id="rId8" w:history="1">
        <w:r w:rsidR="00D71307" w:rsidRPr="00AF497B">
          <w:rPr>
            <w:rStyle w:val="Hyperlink"/>
            <w:szCs w:val="24"/>
            <w:lang w:val="fr-CA"/>
          </w:rPr>
          <w:t>http://scc-csc.lexum.com/scc-csc/news/fr/item/5296/index.do</w:t>
        </w:r>
      </w:hyperlink>
      <w:r w:rsidR="00694BDA" w:rsidRPr="00AF497B">
        <w:rPr>
          <w:szCs w:val="24"/>
          <w:lang w:val="fr-CA"/>
        </w:rPr>
        <w:t>.</w:t>
      </w:r>
    </w:p>
    <w:p w:rsidR="00694BDA" w:rsidRPr="00AF497B" w:rsidRDefault="00694BDA" w:rsidP="000B5274">
      <w:pPr>
        <w:jc w:val="both"/>
        <w:rPr>
          <w:sz w:val="20"/>
          <w:lang w:val="fr-CA"/>
        </w:rPr>
      </w:pPr>
    </w:p>
    <w:p w:rsidR="00771BAE" w:rsidRPr="00AF497B" w:rsidRDefault="00771BAE" w:rsidP="00580025">
      <w:pPr>
        <w:jc w:val="both"/>
        <w:rPr>
          <w:sz w:val="20"/>
          <w:lang w:val="fr-CA"/>
        </w:rPr>
      </w:pPr>
    </w:p>
    <w:p w:rsidR="00B51914" w:rsidRPr="00AF497B" w:rsidRDefault="00B51914" w:rsidP="00B51914">
      <w:pPr>
        <w:jc w:val="both"/>
        <w:rPr>
          <w:b/>
        </w:rPr>
      </w:pPr>
      <w:r w:rsidRPr="00AF497B">
        <w:rPr>
          <w:b/>
        </w:rPr>
        <w:t>GRANTED / ACCORDÉE</w:t>
      </w:r>
    </w:p>
    <w:p w:rsidR="00B539FA" w:rsidRPr="00AF497B" w:rsidRDefault="00B539FA" w:rsidP="00580025">
      <w:pPr>
        <w:jc w:val="both"/>
        <w:rPr>
          <w:sz w:val="20"/>
          <w:lang w:val="fr-CA"/>
        </w:rPr>
      </w:pPr>
    </w:p>
    <w:p w:rsidR="000534D2" w:rsidRPr="00AF497B" w:rsidRDefault="000534D2" w:rsidP="000534D2">
      <w:pPr>
        <w:pStyle w:val="NoSpacing"/>
        <w:jc w:val="both"/>
        <w:rPr>
          <w:sz w:val="20"/>
          <w:szCs w:val="20"/>
          <w:lang w:val="en-CA"/>
        </w:rPr>
      </w:pPr>
      <w:proofErr w:type="spellStart"/>
      <w:r w:rsidRPr="00AF497B">
        <w:rPr>
          <w:i/>
          <w:sz w:val="20"/>
          <w:szCs w:val="20"/>
          <w:lang w:val="en-CA"/>
        </w:rPr>
        <w:t>Teva</w:t>
      </w:r>
      <w:proofErr w:type="spellEnd"/>
      <w:r w:rsidRPr="00AF497B">
        <w:rPr>
          <w:i/>
          <w:sz w:val="20"/>
          <w:szCs w:val="20"/>
          <w:lang w:val="en-CA"/>
        </w:rPr>
        <w:t xml:space="preserve"> Canada Limited v. TD Canada Trust et al. </w:t>
      </w:r>
      <w:r w:rsidRPr="00AF497B">
        <w:rPr>
          <w:sz w:val="20"/>
          <w:szCs w:val="20"/>
          <w:lang w:val="en-CA"/>
        </w:rPr>
        <w:t xml:space="preserve">(Ont.) (Civil) (By Leave) </w:t>
      </w:r>
      <w:r w:rsidRPr="00AF497B">
        <w:rPr>
          <w:sz w:val="20"/>
        </w:rPr>
        <w:t>(</w:t>
      </w:r>
      <w:hyperlink r:id="rId9" w:history="1">
        <w:r w:rsidRPr="00AF497B">
          <w:rPr>
            <w:rStyle w:val="Hyperlink"/>
            <w:sz w:val="20"/>
          </w:rPr>
          <w:t>36918</w:t>
        </w:r>
      </w:hyperlink>
      <w:r w:rsidRPr="00AF497B">
        <w:rPr>
          <w:sz w:val="20"/>
        </w:rPr>
        <w:t>)</w:t>
      </w:r>
    </w:p>
    <w:p w:rsidR="000534D2" w:rsidRPr="00AF497B" w:rsidRDefault="000534D2" w:rsidP="00580025">
      <w:pPr>
        <w:jc w:val="both"/>
        <w:rPr>
          <w:sz w:val="20"/>
        </w:rPr>
      </w:pPr>
      <w:r w:rsidRPr="00AF497B">
        <w:rPr>
          <w:sz w:val="20"/>
          <w:lang w:val="fr-CA"/>
        </w:rPr>
        <w:t>(</w:t>
      </w:r>
      <w:r w:rsidRPr="00AF497B">
        <w:rPr>
          <w:sz w:val="20"/>
        </w:rPr>
        <w:t>The application for leave to appeal is granted with costs in the cause.</w:t>
      </w:r>
      <w:r w:rsidRPr="00AF497B">
        <w:rPr>
          <w:sz w:val="20"/>
        </w:rPr>
        <w:t xml:space="preserve"> / </w:t>
      </w:r>
    </w:p>
    <w:p w:rsidR="000534D2" w:rsidRPr="00AF497B" w:rsidRDefault="000534D2" w:rsidP="00580025">
      <w:pPr>
        <w:jc w:val="both"/>
        <w:rPr>
          <w:sz w:val="20"/>
          <w:lang w:val="fr-CA"/>
        </w:rPr>
      </w:pPr>
      <w:r w:rsidRPr="00AF497B">
        <w:rPr>
          <w:sz w:val="20"/>
          <w:lang w:val="fr-CA"/>
        </w:rPr>
        <w:t>La demande d’autorisation d’appel est accueillie avec dépens suivant la cause.</w:t>
      </w:r>
      <w:r w:rsidRPr="00AF497B">
        <w:rPr>
          <w:sz w:val="20"/>
          <w:lang w:val="fr-CA"/>
        </w:rPr>
        <w:t>)</w:t>
      </w:r>
    </w:p>
    <w:p w:rsidR="00B51914" w:rsidRPr="00AF497B" w:rsidRDefault="00B51914" w:rsidP="00B51914">
      <w:pPr>
        <w:jc w:val="both"/>
        <w:rPr>
          <w:rFonts w:eastAsia="Calibri"/>
          <w:sz w:val="20"/>
          <w:lang w:val="fr-CA"/>
        </w:rPr>
      </w:pPr>
      <w:r w:rsidRPr="00AF497B">
        <w:rPr>
          <w:rFonts w:eastAsia="Calibri"/>
          <w:sz w:val="20"/>
          <w:lang w:val="fr-CA"/>
        </w:rPr>
        <w:t xml:space="preserve">Coram: </w:t>
      </w:r>
      <w:r w:rsidR="00D71307" w:rsidRPr="00AF497B">
        <w:rPr>
          <w:rFonts w:eastAsia="Calibri"/>
          <w:sz w:val="20"/>
          <w:lang w:val="fr-CA"/>
        </w:rPr>
        <w:t>McLachlin</w:t>
      </w:r>
      <w:r w:rsidRPr="00AF497B">
        <w:rPr>
          <w:rFonts w:eastAsia="Calibri"/>
          <w:sz w:val="20"/>
          <w:lang w:val="fr-CA"/>
        </w:rPr>
        <w:t xml:space="preserve"> / </w:t>
      </w:r>
      <w:r w:rsidR="00D71307" w:rsidRPr="00AF497B">
        <w:rPr>
          <w:rFonts w:eastAsia="Calibri"/>
          <w:sz w:val="20"/>
          <w:lang w:val="fr-CA"/>
        </w:rPr>
        <w:t>Moldaver</w:t>
      </w:r>
      <w:r w:rsidRPr="00AF497B">
        <w:rPr>
          <w:rFonts w:eastAsia="Calibri"/>
          <w:sz w:val="20"/>
          <w:lang w:val="fr-CA"/>
        </w:rPr>
        <w:t xml:space="preserve"> / </w:t>
      </w:r>
      <w:r w:rsidR="00D71307" w:rsidRPr="00AF497B">
        <w:rPr>
          <w:rFonts w:eastAsia="Calibri"/>
          <w:sz w:val="20"/>
          <w:lang w:val="fr-CA"/>
        </w:rPr>
        <w:t>Gascon</w:t>
      </w:r>
    </w:p>
    <w:p w:rsidR="00B51914" w:rsidRPr="00AF497B" w:rsidRDefault="00B51914" w:rsidP="00B51914">
      <w:pPr>
        <w:jc w:val="both"/>
        <w:rPr>
          <w:sz w:val="20"/>
          <w:lang w:val="fr-CA"/>
        </w:rPr>
      </w:pPr>
    </w:p>
    <w:p w:rsidR="00B51914" w:rsidRPr="00AF497B" w:rsidRDefault="00B51914" w:rsidP="00B51914">
      <w:pPr>
        <w:jc w:val="both"/>
        <w:rPr>
          <w:sz w:val="20"/>
          <w:lang w:val="fr-CA"/>
        </w:rPr>
      </w:pPr>
      <w:r w:rsidRPr="00AF497B">
        <w:rPr>
          <w:sz w:val="20"/>
          <w:lang w:val="fr-CA"/>
        </w:rPr>
        <w:t>****</w:t>
      </w:r>
    </w:p>
    <w:p w:rsidR="00943D3B" w:rsidRPr="00AF497B" w:rsidRDefault="00943D3B" w:rsidP="00B539FA">
      <w:pPr>
        <w:widowControl w:val="0"/>
        <w:rPr>
          <w:sz w:val="20"/>
        </w:rPr>
      </w:pPr>
    </w:p>
    <w:p w:rsidR="002C446D" w:rsidRPr="00AF497B" w:rsidRDefault="002C446D" w:rsidP="002C446D">
      <w:pPr>
        <w:jc w:val="both"/>
        <w:rPr>
          <w:b/>
        </w:rPr>
      </w:pPr>
      <w:r w:rsidRPr="00AF497B">
        <w:rPr>
          <w:b/>
        </w:rPr>
        <w:t>DISMISSED / REJETÉES</w:t>
      </w:r>
    </w:p>
    <w:p w:rsidR="00943D3B" w:rsidRPr="00AF497B" w:rsidRDefault="00943D3B" w:rsidP="00B539FA">
      <w:pPr>
        <w:widowControl w:val="0"/>
        <w:rPr>
          <w:sz w:val="20"/>
        </w:rPr>
      </w:pPr>
    </w:p>
    <w:p w:rsidR="002E0AC2" w:rsidRPr="00AF497B" w:rsidRDefault="002E0AC2" w:rsidP="002E0AC2">
      <w:pPr>
        <w:rPr>
          <w:sz w:val="20"/>
          <w:lang w:val="en-CA"/>
        </w:rPr>
      </w:pPr>
      <w:r w:rsidRPr="00AF497B">
        <w:rPr>
          <w:i/>
          <w:sz w:val="20"/>
          <w:lang w:val="en-CA"/>
        </w:rPr>
        <w:t xml:space="preserve">Her Majesty the Queen v. Marlin </w:t>
      </w:r>
      <w:proofErr w:type="spellStart"/>
      <w:r w:rsidRPr="00AF497B">
        <w:rPr>
          <w:i/>
          <w:sz w:val="20"/>
          <w:lang w:val="en-CA"/>
        </w:rPr>
        <w:t>Vandermeulen</w:t>
      </w:r>
      <w:proofErr w:type="spellEnd"/>
      <w:r w:rsidRPr="00AF497B">
        <w:rPr>
          <w:sz w:val="20"/>
          <w:lang w:val="en-CA"/>
        </w:rPr>
        <w:t xml:space="preserve"> (Man.) (Criminal) (By Leave) </w:t>
      </w:r>
      <w:r w:rsidRPr="00AF497B">
        <w:rPr>
          <w:sz w:val="20"/>
        </w:rPr>
        <w:t>(</w:t>
      </w:r>
      <w:hyperlink r:id="rId10" w:history="1">
        <w:r w:rsidRPr="00AF497B">
          <w:rPr>
            <w:rStyle w:val="Hyperlink"/>
            <w:sz w:val="20"/>
          </w:rPr>
          <w:t>36726</w:t>
        </w:r>
      </w:hyperlink>
      <w:r w:rsidRPr="00AF497B">
        <w:rPr>
          <w:sz w:val="20"/>
        </w:rPr>
        <w:t>)</w:t>
      </w:r>
    </w:p>
    <w:p w:rsidR="002C446D" w:rsidRPr="00AF497B" w:rsidRDefault="002C446D" w:rsidP="002C446D">
      <w:pPr>
        <w:jc w:val="both"/>
        <w:rPr>
          <w:rFonts w:eastAsia="Calibri"/>
          <w:sz w:val="20"/>
          <w:lang w:val="fr-CA"/>
        </w:rPr>
      </w:pPr>
      <w:r w:rsidRPr="00AF497B">
        <w:rPr>
          <w:rFonts w:eastAsia="Calibri"/>
          <w:sz w:val="20"/>
          <w:lang w:val="fr-CA"/>
        </w:rPr>
        <w:t>Coram: McLachlin / Moldaver / Gascon</w:t>
      </w:r>
    </w:p>
    <w:p w:rsidR="002C446D" w:rsidRPr="00AF497B" w:rsidRDefault="002C446D" w:rsidP="002C446D">
      <w:pPr>
        <w:jc w:val="both"/>
        <w:rPr>
          <w:sz w:val="20"/>
          <w:lang w:val="fr-CA"/>
        </w:rPr>
      </w:pPr>
    </w:p>
    <w:p w:rsidR="002C446D" w:rsidRPr="00AF497B" w:rsidRDefault="002C446D" w:rsidP="002C446D">
      <w:pPr>
        <w:jc w:val="both"/>
        <w:rPr>
          <w:sz w:val="20"/>
          <w:lang w:val="fr-CA"/>
        </w:rPr>
      </w:pPr>
      <w:r w:rsidRPr="00AF497B">
        <w:rPr>
          <w:sz w:val="20"/>
          <w:lang w:val="fr-CA"/>
        </w:rPr>
        <w:t>****</w:t>
      </w:r>
    </w:p>
    <w:p w:rsidR="002C446D" w:rsidRPr="00AF497B" w:rsidRDefault="002C446D" w:rsidP="00B539FA">
      <w:pPr>
        <w:jc w:val="both"/>
        <w:rPr>
          <w:sz w:val="20"/>
        </w:rPr>
      </w:pPr>
    </w:p>
    <w:p w:rsidR="00AC015D" w:rsidRPr="00AF497B" w:rsidRDefault="00AC015D" w:rsidP="00AC015D">
      <w:pPr>
        <w:pStyle w:val="NoSpacing"/>
        <w:jc w:val="both"/>
        <w:rPr>
          <w:sz w:val="20"/>
          <w:szCs w:val="20"/>
          <w:lang w:val="en-CA"/>
        </w:rPr>
      </w:pPr>
      <w:r w:rsidRPr="00AF497B">
        <w:rPr>
          <w:i/>
          <w:sz w:val="20"/>
          <w:szCs w:val="20"/>
          <w:lang w:val="en-CA"/>
        </w:rPr>
        <w:t>Robert Kenneth Power v. Her Majesty the Queen</w:t>
      </w:r>
      <w:r w:rsidRPr="00AF497B">
        <w:rPr>
          <w:sz w:val="20"/>
          <w:szCs w:val="20"/>
          <w:lang w:val="en-CA"/>
        </w:rPr>
        <w:t xml:space="preserve"> (Sask.) (Criminal) (By Leave) </w:t>
      </w:r>
      <w:r w:rsidRPr="00AF497B">
        <w:rPr>
          <w:sz w:val="20"/>
        </w:rPr>
        <w:t>(</w:t>
      </w:r>
      <w:hyperlink r:id="rId11" w:history="1">
        <w:r w:rsidRPr="00AF497B">
          <w:rPr>
            <w:rStyle w:val="Hyperlink"/>
            <w:sz w:val="20"/>
          </w:rPr>
          <w:t>36994</w:t>
        </w:r>
      </w:hyperlink>
      <w:r w:rsidRPr="00AF497B">
        <w:rPr>
          <w:sz w:val="20"/>
        </w:rPr>
        <w:t>)</w:t>
      </w:r>
    </w:p>
    <w:p w:rsidR="00D71307" w:rsidRPr="00AF497B" w:rsidRDefault="00D71307" w:rsidP="00D71307">
      <w:pPr>
        <w:jc w:val="both"/>
        <w:rPr>
          <w:rFonts w:eastAsia="Calibri"/>
          <w:sz w:val="20"/>
          <w:lang w:val="fr-CA"/>
        </w:rPr>
      </w:pPr>
      <w:r w:rsidRPr="00AF497B">
        <w:rPr>
          <w:rFonts w:eastAsia="Calibri"/>
          <w:sz w:val="20"/>
          <w:lang w:val="fr-CA"/>
        </w:rPr>
        <w:t>Coram: McLachlin / Moldaver / Gascon</w:t>
      </w:r>
    </w:p>
    <w:p w:rsidR="00B539FA" w:rsidRPr="00AF497B" w:rsidRDefault="00B539FA" w:rsidP="00B539FA">
      <w:pPr>
        <w:widowControl w:val="0"/>
        <w:autoSpaceDE w:val="0"/>
        <w:autoSpaceDN w:val="0"/>
        <w:adjustRightInd w:val="0"/>
        <w:rPr>
          <w:rFonts w:eastAsiaTheme="minorEastAsia"/>
          <w:sz w:val="20"/>
          <w:lang w:eastAsia="en-CA"/>
        </w:rPr>
      </w:pPr>
    </w:p>
    <w:p w:rsidR="00B539FA" w:rsidRPr="00AF497B" w:rsidRDefault="00B539FA" w:rsidP="00B539FA">
      <w:pPr>
        <w:jc w:val="both"/>
        <w:rPr>
          <w:sz w:val="20"/>
        </w:rPr>
      </w:pPr>
      <w:r w:rsidRPr="00AF497B">
        <w:rPr>
          <w:sz w:val="20"/>
          <w:lang w:val="en-CA"/>
        </w:rPr>
        <w:t>****</w:t>
      </w:r>
    </w:p>
    <w:p w:rsidR="002C446D" w:rsidRPr="00AF497B" w:rsidRDefault="002C446D" w:rsidP="00580025">
      <w:pPr>
        <w:jc w:val="both"/>
        <w:rPr>
          <w:sz w:val="20"/>
          <w:lang w:val="fr-CA"/>
        </w:rPr>
      </w:pPr>
    </w:p>
    <w:p w:rsidR="00795175" w:rsidRPr="00AF497B" w:rsidRDefault="00795175" w:rsidP="00795175">
      <w:pPr>
        <w:pStyle w:val="NoSpacing"/>
        <w:jc w:val="both"/>
        <w:rPr>
          <w:sz w:val="20"/>
          <w:szCs w:val="20"/>
          <w:lang w:val="en-CA"/>
        </w:rPr>
      </w:pPr>
      <w:proofErr w:type="spellStart"/>
      <w:r w:rsidRPr="00AF497B">
        <w:rPr>
          <w:i/>
          <w:sz w:val="20"/>
          <w:szCs w:val="20"/>
          <w:lang w:val="en-CA"/>
        </w:rPr>
        <w:t>Keehong</w:t>
      </w:r>
      <w:proofErr w:type="spellEnd"/>
      <w:r w:rsidRPr="00AF497B">
        <w:rPr>
          <w:i/>
          <w:sz w:val="20"/>
          <w:szCs w:val="20"/>
          <w:lang w:val="en-CA"/>
        </w:rPr>
        <w:t xml:space="preserve"> Song et al. v. B.C. Human Rights Tribunal </w:t>
      </w:r>
      <w:r w:rsidRPr="00AF497B">
        <w:rPr>
          <w:sz w:val="20"/>
          <w:szCs w:val="20"/>
          <w:lang w:val="en-CA"/>
        </w:rPr>
        <w:t xml:space="preserve">(B.C.) (Civil) (By Leave) </w:t>
      </w:r>
      <w:r w:rsidRPr="00AF497B">
        <w:rPr>
          <w:sz w:val="20"/>
        </w:rPr>
        <w:t>(</w:t>
      </w:r>
      <w:hyperlink r:id="rId12" w:history="1">
        <w:r w:rsidRPr="00AF497B">
          <w:rPr>
            <w:rStyle w:val="Hyperlink"/>
            <w:sz w:val="20"/>
          </w:rPr>
          <w:t>37006</w:t>
        </w:r>
      </w:hyperlink>
      <w:r w:rsidRPr="00AF497B">
        <w:rPr>
          <w:sz w:val="20"/>
        </w:rPr>
        <w:t>)</w:t>
      </w:r>
    </w:p>
    <w:p w:rsidR="00502E5A" w:rsidRPr="00AF497B" w:rsidRDefault="00795175" w:rsidP="00502E5A">
      <w:pPr>
        <w:jc w:val="both"/>
        <w:rPr>
          <w:sz w:val="20"/>
        </w:rPr>
      </w:pPr>
      <w:r w:rsidRPr="00AF497B">
        <w:rPr>
          <w:sz w:val="20"/>
        </w:rPr>
        <w:t>(</w:t>
      </w:r>
      <w:r w:rsidRPr="00AF497B">
        <w:rPr>
          <w:sz w:val="20"/>
        </w:rPr>
        <w:t>The motion for an extension of time to serve and file the application for leave to appeal is granted.  The application for leave to appeal is dismissed.</w:t>
      </w:r>
      <w:r w:rsidRPr="00AF497B">
        <w:rPr>
          <w:sz w:val="20"/>
        </w:rPr>
        <w:t xml:space="preserve"> / </w:t>
      </w:r>
    </w:p>
    <w:p w:rsidR="00795175" w:rsidRPr="00AF497B" w:rsidRDefault="00795175" w:rsidP="00502E5A">
      <w:pPr>
        <w:jc w:val="both"/>
        <w:rPr>
          <w:sz w:val="20"/>
        </w:rPr>
      </w:pPr>
      <w:r w:rsidRPr="00AF497B">
        <w:rPr>
          <w:sz w:val="20"/>
          <w:lang w:val="fr-CA"/>
        </w:rPr>
        <w:lastRenderedPageBreak/>
        <w:t>La requête en prorogation du délai de signification et de dépôt de la demande d’autorisation d’appel est accueillie. La demande d’autorisation d’appel est rejetée.</w:t>
      </w:r>
      <w:r w:rsidRPr="00AF497B">
        <w:rPr>
          <w:sz w:val="20"/>
          <w:lang w:val="fr-CA"/>
        </w:rPr>
        <w:t>)</w:t>
      </w:r>
    </w:p>
    <w:p w:rsidR="00502E5A" w:rsidRPr="00AF497B" w:rsidRDefault="00502E5A" w:rsidP="00502E5A">
      <w:pPr>
        <w:jc w:val="both"/>
        <w:rPr>
          <w:rFonts w:eastAsia="Calibri"/>
          <w:sz w:val="20"/>
          <w:lang w:val="fr-CA"/>
        </w:rPr>
      </w:pPr>
      <w:r w:rsidRPr="00AF497B">
        <w:rPr>
          <w:rFonts w:eastAsia="Calibri"/>
          <w:sz w:val="20"/>
          <w:lang w:val="fr-CA"/>
        </w:rPr>
        <w:t>Coram: McLachlin / Moldaver / Gascon</w:t>
      </w:r>
    </w:p>
    <w:p w:rsidR="00502E5A" w:rsidRPr="00AF497B" w:rsidRDefault="00502E5A" w:rsidP="00502E5A">
      <w:pPr>
        <w:widowControl w:val="0"/>
        <w:autoSpaceDE w:val="0"/>
        <w:autoSpaceDN w:val="0"/>
        <w:adjustRightInd w:val="0"/>
        <w:rPr>
          <w:rFonts w:eastAsiaTheme="minorEastAsia"/>
          <w:sz w:val="20"/>
          <w:lang w:eastAsia="en-CA"/>
        </w:rPr>
      </w:pPr>
    </w:p>
    <w:p w:rsidR="00502E5A" w:rsidRPr="00AF497B" w:rsidRDefault="00502E5A" w:rsidP="00502E5A">
      <w:pPr>
        <w:jc w:val="both"/>
        <w:rPr>
          <w:sz w:val="20"/>
        </w:rPr>
      </w:pPr>
      <w:r w:rsidRPr="00AF497B">
        <w:rPr>
          <w:sz w:val="20"/>
          <w:lang w:val="en-CA"/>
        </w:rPr>
        <w:t>****</w:t>
      </w:r>
    </w:p>
    <w:p w:rsidR="00502E5A" w:rsidRPr="00AF497B" w:rsidRDefault="00502E5A" w:rsidP="00580025">
      <w:pPr>
        <w:jc w:val="both"/>
        <w:rPr>
          <w:sz w:val="20"/>
          <w:lang w:val="fr-CA"/>
        </w:rPr>
      </w:pPr>
    </w:p>
    <w:p w:rsidR="000E5607" w:rsidRPr="00AF497B" w:rsidRDefault="000E5607" w:rsidP="000E5607">
      <w:pPr>
        <w:pStyle w:val="NoSpacing"/>
        <w:jc w:val="both"/>
        <w:rPr>
          <w:sz w:val="20"/>
          <w:szCs w:val="20"/>
          <w:lang w:val="en-CA"/>
        </w:rPr>
      </w:pPr>
      <w:r w:rsidRPr="00AF497B">
        <w:rPr>
          <w:i/>
          <w:sz w:val="20"/>
          <w:szCs w:val="20"/>
          <w:lang w:val="en-CA"/>
        </w:rPr>
        <w:t xml:space="preserve">Sarah Cheung v. Canadian Transportation Agency et al. </w:t>
      </w:r>
      <w:r w:rsidRPr="00AF497B">
        <w:rPr>
          <w:sz w:val="20"/>
          <w:szCs w:val="20"/>
          <w:lang w:val="en-CA"/>
        </w:rPr>
        <w:t xml:space="preserve">(F.C.) (Civil) (By Leave) </w:t>
      </w:r>
      <w:r w:rsidRPr="00AF497B">
        <w:rPr>
          <w:sz w:val="20"/>
        </w:rPr>
        <w:t>(</w:t>
      </w:r>
      <w:hyperlink r:id="rId13" w:history="1">
        <w:r w:rsidRPr="00AF497B">
          <w:rPr>
            <w:rStyle w:val="Hyperlink"/>
            <w:sz w:val="20"/>
          </w:rPr>
          <w:t>36868</w:t>
        </w:r>
      </w:hyperlink>
      <w:r w:rsidRPr="00AF497B">
        <w:rPr>
          <w:sz w:val="20"/>
        </w:rPr>
        <w:t>)</w:t>
      </w:r>
    </w:p>
    <w:p w:rsidR="00502E5A" w:rsidRPr="00AF497B" w:rsidRDefault="000E5607" w:rsidP="00502E5A">
      <w:pPr>
        <w:jc w:val="both"/>
        <w:rPr>
          <w:sz w:val="20"/>
        </w:rPr>
      </w:pPr>
      <w:r w:rsidRPr="00AF497B">
        <w:rPr>
          <w:sz w:val="20"/>
        </w:rPr>
        <w:t>(</w:t>
      </w:r>
      <w:r w:rsidRPr="00AF497B">
        <w:rPr>
          <w:sz w:val="20"/>
        </w:rPr>
        <w:t>The motion for an extension of time to serve and file the application for leave to appeal is granted.  The application for leave to appeal is dismissed.</w:t>
      </w:r>
      <w:r w:rsidRPr="00AF497B">
        <w:rPr>
          <w:sz w:val="20"/>
        </w:rPr>
        <w:t xml:space="preserve"> / </w:t>
      </w:r>
    </w:p>
    <w:p w:rsidR="000E5607" w:rsidRPr="00AF497B" w:rsidRDefault="000E5607" w:rsidP="00502E5A">
      <w:pPr>
        <w:jc w:val="both"/>
        <w:rPr>
          <w:sz w:val="20"/>
        </w:rPr>
      </w:pPr>
      <w:r w:rsidRPr="00AF497B">
        <w:rPr>
          <w:sz w:val="20"/>
          <w:lang w:val="fr-CA"/>
        </w:rPr>
        <w:t>La requête en prorogation du délai de signification et de dépôt de la demande d’autorisation d’appel est accueillie. La demande d’autorisation d’appel est rejetée.</w:t>
      </w:r>
      <w:r w:rsidRPr="00AF497B">
        <w:rPr>
          <w:sz w:val="20"/>
          <w:lang w:val="fr-CA"/>
        </w:rPr>
        <w:t>)</w:t>
      </w:r>
    </w:p>
    <w:p w:rsidR="00502E5A" w:rsidRPr="00AF497B" w:rsidRDefault="00502E5A" w:rsidP="00502E5A">
      <w:pPr>
        <w:jc w:val="both"/>
        <w:rPr>
          <w:rFonts w:eastAsia="Calibri"/>
          <w:sz w:val="20"/>
          <w:lang w:val="fr-CA"/>
        </w:rPr>
      </w:pPr>
      <w:r w:rsidRPr="00AF497B">
        <w:rPr>
          <w:rFonts w:eastAsia="Calibri"/>
          <w:sz w:val="20"/>
          <w:lang w:val="fr-CA"/>
        </w:rPr>
        <w:t>Coram: McLachlin / Moldaver / Gascon</w:t>
      </w:r>
    </w:p>
    <w:p w:rsidR="00502E5A" w:rsidRPr="00AF497B" w:rsidRDefault="00502E5A" w:rsidP="00502E5A">
      <w:pPr>
        <w:widowControl w:val="0"/>
        <w:autoSpaceDE w:val="0"/>
        <w:autoSpaceDN w:val="0"/>
        <w:adjustRightInd w:val="0"/>
        <w:rPr>
          <w:rFonts w:eastAsiaTheme="minorEastAsia"/>
          <w:sz w:val="20"/>
          <w:lang w:eastAsia="en-CA"/>
        </w:rPr>
      </w:pPr>
    </w:p>
    <w:p w:rsidR="00502E5A" w:rsidRPr="00AF497B" w:rsidRDefault="00502E5A" w:rsidP="00502E5A">
      <w:pPr>
        <w:jc w:val="both"/>
        <w:rPr>
          <w:sz w:val="20"/>
        </w:rPr>
      </w:pPr>
      <w:r w:rsidRPr="00AF497B">
        <w:rPr>
          <w:sz w:val="20"/>
          <w:lang w:val="en-CA"/>
        </w:rPr>
        <w:t>****</w:t>
      </w:r>
    </w:p>
    <w:p w:rsidR="00502E5A" w:rsidRPr="00AF497B" w:rsidRDefault="00502E5A" w:rsidP="00580025">
      <w:pPr>
        <w:jc w:val="both"/>
        <w:rPr>
          <w:sz w:val="20"/>
          <w:lang w:val="fr-CA"/>
        </w:rPr>
      </w:pPr>
    </w:p>
    <w:p w:rsidR="00713E75" w:rsidRPr="00AF497B" w:rsidRDefault="00713E75" w:rsidP="00713E75">
      <w:pPr>
        <w:jc w:val="both"/>
        <w:rPr>
          <w:b/>
        </w:rPr>
      </w:pPr>
      <w:r w:rsidRPr="00AF497B">
        <w:rPr>
          <w:b/>
        </w:rPr>
        <w:t>MOTION FOR EXTENSION OF TIME AND APPLICATION FOR LEAVE TO APPEAL / DEMANDE DE PROROGATION DU DÉLAI ET DEMANDE D’AUTORISATION D’APPEL</w:t>
      </w:r>
    </w:p>
    <w:p w:rsidR="002C446D" w:rsidRPr="00AF497B" w:rsidRDefault="002C446D" w:rsidP="00580025">
      <w:pPr>
        <w:jc w:val="both"/>
        <w:rPr>
          <w:sz w:val="20"/>
          <w:lang w:val="fr-CA"/>
        </w:rPr>
      </w:pPr>
    </w:p>
    <w:p w:rsidR="00B00333" w:rsidRPr="00AF497B" w:rsidRDefault="00B00333" w:rsidP="00B00333">
      <w:pPr>
        <w:pStyle w:val="NoSpacing"/>
        <w:jc w:val="both"/>
        <w:rPr>
          <w:sz w:val="20"/>
          <w:szCs w:val="20"/>
          <w:lang w:val="en-CA"/>
        </w:rPr>
      </w:pPr>
      <w:r w:rsidRPr="00AF497B">
        <w:rPr>
          <w:i/>
          <w:sz w:val="20"/>
          <w:szCs w:val="20"/>
          <w:lang w:val="en-CA"/>
        </w:rPr>
        <w:t xml:space="preserve">S.B.E. v. Her Majesty the Queen </w:t>
      </w:r>
      <w:r w:rsidRPr="00AF497B">
        <w:rPr>
          <w:sz w:val="20"/>
          <w:szCs w:val="20"/>
          <w:lang w:val="en-CA"/>
        </w:rPr>
        <w:t xml:space="preserve">(Alta.) (Criminal) (By Leave) </w:t>
      </w:r>
      <w:r w:rsidRPr="00AF497B">
        <w:rPr>
          <w:sz w:val="20"/>
        </w:rPr>
        <w:t>(</w:t>
      </w:r>
      <w:hyperlink r:id="rId14" w:history="1">
        <w:r w:rsidRPr="00AF497B">
          <w:rPr>
            <w:rStyle w:val="Hyperlink"/>
            <w:sz w:val="20"/>
          </w:rPr>
          <w:t>36978</w:t>
        </w:r>
      </w:hyperlink>
      <w:r w:rsidRPr="00AF497B">
        <w:rPr>
          <w:sz w:val="20"/>
        </w:rPr>
        <w:t>)</w:t>
      </w:r>
    </w:p>
    <w:p w:rsidR="002C446D" w:rsidRPr="00AF497B" w:rsidRDefault="00B00333" w:rsidP="00580025">
      <w:pPr>
        <w:jc w:val="both"/>
        <w:rPr>
          <w:sz w:val="20"/>
        </w:rPr>
      </w:pPr>
      <w:r w:rsidRPr="00AF497B">
        <w:rPr>
          <w:sz w:val="20"/>
          <w:lang w:val="fr-CA"/>
        </w:rPr>
        <w:t>(</w:t>
      </w:r>
      <w:r w:rsidRPr="00AF497B">
        <w:rPr>
          <w:sz w:val="20"/>
        </w:rPr>
        <w:t xml:space="preserve">The request to appoint counsel under s. 684 of the </w:t>
      </w:r>
      <w:r w:rsidRPr="00AF497B">
        <w:rPr>
          <w:i/>
          <w:sz w:val="20"/>
        </w:rPr>
        <w:t>Criminal Code</w:t>
      </w:r>
      <w:r w:rsidRPr="00AF497B">
        <w:rPr>
          <w:sz w:val="20"/>
        </w:rPr>
        <w:t xml:space="preserve"> is denied. The motion to extend the time to serve and file the application for leave to appeal is dismissed. </w:t>
      </w:r>
      <w:bookmarkStart w:id="0" w:name="BM_1_"/>
      <w:bookmarkEnd w:id="0"/>
      <w:r w:rsidRPr="00AF497B">
        <w:rPr>
          <w:sz w:val="20"/>
        </w:rPr>
        <w:t>In any event, had the motion been granted, the application for leave to appeal and the motion to extend the time to serve and file the reply would have been dismissed.</w:t>
      </w:r>
      <w:r w:rsidRPr="00AF497B">
        <w:rPr>
          <w:sz w:val="20"/>
        </w:rPr>
        <w:t xml:space="preserve"> / </w:t>
      </w:r>
    </w:p>
    <w:p w:rsidR="00B00333" w:rsidRPr="00AF497B" w:rsidRDefault="00B00333" w:rsidP="00580025">
      <w:pPr>
        <w:jc w:val="both"/>
        <w:rPr>
          <w:sz w:val="20"/>
          <w:lang w:val="fr-CA"/>
        </w:rPr>
      </w:pPr>
      <w:r w:rsidRPr="00AF497B">
        <w:rPr>
          <w:color w:val="222222"/>
          <w:sz w:val="20"/>
          <w:lang w:val="fr-FR"/>
        </w:rPr>
        <w:t xml:space="preserve">La demande de </w:t>
      </w:r>
      <w:r w:rsidRPr="00AF497B">
        <w:rPr>
          <w:color w:val="222222"/>
          <w:sz w:val="20"/>
          <w:lang w:val="fr-CA"/>
        </w:rPr>
        <w:t>désignation d’</w:t>
      </w:r>
      <w:r w:rsidRPr="00AF497B">
        <w:rPr>
          <w:color w:val="222222"/>
          <w:sz w:val="20"/>
          <w:lang w:val="fr-FR"/>
        </w:rPr>
        <w:t xml:space="preserve">un avocat en application de l’art. 684 du </w:t>
      </w:r>
      <w:r w:rsidRPr="00AF497B">
        <w:rPr>
          <w:i/>
          <w:color w:val="222222"/>
          <w:sz w:val="20"/>
          <w:lang w:val="fr-FR"/>
        </w:rPr>
        <w:t xml:space="preserve">Code criminel </w:t>
      </w:r>
      <w:r w:rsidRPr="00AF497B">
        <w:rPr>
          <w:color w:val="222222"/>
          <w:sz w:val="20"/>
          <w:lang w:val="fr-FR"/>
        </w:rPr>
        <w:t>est refusée</w:t>
      </w:r>
      <w:r w:rsidRPr="00AF497B">
        <w:rPr>
          <w:rFonts w:ascii="Arial" w:hAnsi="Arial" w:cs="Arial"/>
          <w:color w:val="222222"/>
          <w:sz w:val="20"/>
          <w:lang w:val="fr-FR"/>
        </w:rPr>
        <w:t xml:space="preserve">. </w:t>
      </w:r>
      <w:r w:rsidRPr="00AF497B">
        <w:rPr>
          <w:sz w:val="20"/>
          <w:lang w:val="fr-CA"/>
        </w:rPr>
        <w:t>La requête en prorogation du délai de signification et de dépôt de la demande d’autorisation d’appel est rejetée. Quoi qu’il en soit, même si la requête avait été accueillie, la demande d’autorisation d’appel et la requête en prorogation du délai de signification et de dépôt de la réplique auraient étés rejetées.</w:t>
      </w:r>
      <w:r w:rsidRPr="00AF497B">
        <w:rPr>
          <w:sz w:val="20"/>
          <w:lang w:val="fr-CA"/>
        </w:rPr>
        <w:t>)</w:t>
      </w:r>
    </w:p>
    <w:p w:rsidR="00713E75" w:rsidRPr="00AF497B" w:rsidRDefault="00713E75" w:rsidP="00713E75">
      <w:pPr>
        <w:jc w:val="both"/>
        <w:rPr>
          <w:rFonts w:eastAsia="Calibri"/>
          <w:sz w:val="20"/>
          <w:lang w:val="fr-CA"/>
        </w:rPr>
      </w:pPr>
      <w:r w:rsidRPr="00AF497B">
        <w:rPr>
          <w:rFonts w:eastAsia="Calibri"/>
          <w:sz w:val="20"/>
          <w:lang w:val="fr-CA"/>
        </w:rPr>
        <w:t>Coram: McLachlin / Moldaver / Gascon</w:t>
      </w:r>
    </w:p>
    <w:p w:rsidR="00713E75" w:rsidRPr="00AF497B" w:rsidRDefault="00713E75" w:rsidP="00713E75">
      <w:pPr>
        <w:widowControl w:val="0"/>
        <w:autoSpaceDE w:val="0"/>
        <w:autoSpaceDN w:val="0"/>
        <w:adjustRightInd w:val="0"/>
        <w:rPr>
          <w:rFonts w:eastAsiaTheme="minorEastAsia"/>
          <w:sz w:val="20"/>
          <w:lang w:eastAsia="en-CA"/>
        </w:rPr>
      </w:pPr>
    </w:p>
    <w:p w:rsidR="00713E75" w:rsidRPr="00AF497B" w:rsidRDefault="00713E75" w:rsidP="00713E75">
      <w:pPr>
        <w:jc w:val="both"/>
        <w:rPr>
          <w:sz w:val="20"/>
        </w:rPr>
      </w:pPr>
      <w:r w:rsidRPr="00AF497B">
        <w:rPr>
          <w:sz w:val="20"/>
          <w:lang w:val="en-CA"/>
        </w:rPr>
        <w:t>****</w:t>
      </w:r>
    </w:p>
    <w:p w:rsidR="002C446D" w:rsidRPr="00AF497B" w:rsidRDefault="002C446D" w:rsidP="00580025">
      <w:pPr>
        <w:jc w:val="both"/>
        <w:rPr>
          <w:sz w:val="20"/>
          <w:lang w:val="fr-CA"/>
        </w:rPr>
      </w:pPr>
    </w:p>
    <w:p w:rsidR="005F3B66" w:rsidRPr="00AF497B" w:rsidRDefault="005F3B66" w:rsidP="005F3B66">
      <w:pPr>
        <w:rPr>
          <w:rFonts w:eastAsia="Calibri"/>
          <w:sz w:val="20"/>
          <w:lang w:val="en-CA"/>
        </w:rPr>
      </w:pPr>
    </w:p>
    <w:p w:rsidR="005F3B66" w:rsidRPr="00AF497B" w:rsidRDefault="005F3B66" w:rsidP="005F3B66">
      <w:pPr>
        <w:rPr>
          <w:rFonts w:eastAsiaTheme="minorEastAsia"/>
          <w:sz w:val="20"/>
          <w:lang w:val="en-CA" w:eastAsia="en-CA"/>
        </w:rPr>
      </w:pPr>
    </w:p>
    <w:p w:rsidR="00D3344A" w:rsidRPr="00AF497B" w:rsidRDefault="00D3344A" w:rsidP="00D3344A">
      <w:pPr>
        <w:widowControl w:val="0"/>
        <w:outlineLvl w:val="0"/>
      </w:pPr>
      <w:r w:rsidRPr="00AF497B">
        <w:t xml:space="preserve">Supreme Court of Canada / Cour suprême du </w:t>
      </w:r>
      <w:proofErr w:type="gramStart"/>
      <w:r w:rsidRPr="00AF497B">
        <w:t>Canada :</w:t>
      </w:r>
      <w:proofErr w:type="gramEnd"/>
      <w:r w:rsidRPr="00AF497B">
        <w:t xml:space="preserve"> </w:t>
      </w:r>
    </w:p>
    <w:p w:rsidR="00D3344A" w:rsidRPr="00AF497B" w:rsidRDefault="00676498" w:rsidP="00D3344A">
      <w:pPr>
        <w:widowControl w:val="0"/>
        <w:outlineLvl w:val="0"/>
        <w:rPr>
          <w:color w:val="0000FF"/>
          <w:u w:val="single"/>
        </w:rPr>
      </w:pPr>
      <w:hyperlink r:id="rId15" w:history="1">
        <w:r w:rsidR="00D3344A" w:rsidRPr="00AF497B">
          <w:rPr>
            <w:rStyle w:val="Hyperlink"/>
          </w:rPr>
          <w:t>comments-commentaires@scc-csc.ca</w:t>
        </w:r>
      </w:hyperlink>
    </w:p>
    <w:p w:rsidR="00D3344A" w:rsidRPr="00AF497B" w:rsidRDefault="00D3344A" w:rsidP="00D3344A">
      <w:pPr>
        <w:widowControl w:val="0"/>
        <w:outlineLvl w:val="0"/>
      </w:pPr>
      <w:r w:rsidRPr="00AF497B">
        <w:t>(613) 995-4330</w:t>
      </w:r>
    </w:p>
    <w:p w:rsidR="00497B5E" w:rsidRPr="00AF497B" w:rsidRDefault="00497B5E" w:rsidP="00497B5E">
      <w:pPr>
        <w:widowControl w:val="0"/>
        <w:rPr>
          <w:sz w:val="20"/>
        </w:rPr>
      </w:pPr>
    </w:p>
    <w:p w:rsidR="003F43E6" w:rsidRPr="00AF497B" w:rsidRDefault="003F43E6" w:rsidP="00497B5E">
      <w:pPr>
        <w:widowControl w:val="0"/>
        <w:rPr>
          <w:sz w:val="20"/>
        </w:rPr>
      </w:pPr>
    </w:p>
    <w:p w:rsidR="00DE0F77" w:rsidRPr="00AF497B" w:rsidRDefault="003F43E6" w:rsidP="00DE0F77">
      <w:pPr>
        <w:pStyle w:val="Footer"/>
        <w:jc w:val="center"/>
      </w:pPr>
      <w:r w:rsidRPr="00AF497B">
        <w:t>- 30</w:t>
      </w:r>
      <w:r w:rsidR="00312438" w:rsidRPr="00AF497B">
        <w:t xml:space="preserve"> -</w:t>
      </w:r>
    </w:p>
    <w:p w:rsidR="00224F26" w:rsidRPr="00AF497B" w:rsidRDefault="00224F26" w:rsidP="00DE0F77">
      <w:pPr>
        <w:pStyle w:val="Footer"/>
        <w:jc w:val="center"/>
      </w:pPr>
    </w:p>
    <w:p w:rsidR="00224F26" w:rsidRPr="00AF497B" w:rsidRDefault="00224F26" w:rsidP="00224F26">
      <w:pPr>
        <w:pStyle w:val="Footer"/>
        <w:jc w:val="center"/>
      </w:pPr>
      <w:bookmarkStart w:id="1" w:name="_GoBack"/>
      <w:bookmarkEnd w:id="1"/>
    </w:p>
    <w:sectPr w:rsidR="00224F26" w:rsidRPr="00AF497B"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5"/>
  </w:num>
  <w:num w:numId="5">
    <w:abstractNumId w:val="28"/>
  </w:num>
  <w:num w:numId="6">
    <w:abstractNumId w:val="20"/>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6"/>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31"/>
  </w:num>
  <w:num w:numId="19">
    <w:abstractNumId w:val="15"/>
  </w:num>
  <w:num w:numId="20">
    <w:abstractNumId w:val="9"/>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2"/>
  </w:num>
  <w:num w:numId="28">
    <w:abstractNumId w:val="23"/>
  </w:num>
  <w:num w:numId="29">
    <w:abstractNumId w:val="25"/>
  </w:num>
  <w:num w:numId="30">
    <w:abstractNumId w:val="21"/>
  </w:num>
  <w:num w:numId="31">
    <w:abstractNumId w:val="35"/>
  </w:num>
  <w:num w:numId="32">
    <w:abstractNumId w:val="13"/>
  </w:num>
  <w:num w:numId="33">
    <w:abstractNumId w:val="0"/>
  </w:num>
  <w:num w:numId="34">
    <w:abstractNumId w:val="27"/>
  </w:num>
  <w:num w:numId="35">
    <w:abstractNumId w:val="4"/>
  </w:num>
  <w:num w:numId="36">
    <w:abstractNumId w:val="34"/>
  </w:num>
  <w:num w:numId="37">
    <w:abstractNumId w:val="12"/>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5D45"/>
    <w:rsid w:val="000374F1"/>
    <w:rsid w:val="00041B58"/>
    <w:rsid w:val="00042069"/>
    <w:rsid w:val="000436A9"/>
    <w:rsid w:val="0004380B"/>
    <w:rsid w:val="00043FDE"/>
    <w:rsid w:val="0004796D"/>
    <w:rsid w:val="00047CD6"/>
    <w:rsid w:val="0005131F"/>
    <w:rsid w:val="00051835"/>
    <w:rsid w:val="00051DE6"/>
    <w:rsid w:val="000534D2"/>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5D9C"/>
    <w:rsid w:val="00086629"/>
    <w:rsid w:val="00087808"/>
    <w:rsid w:val="00093146"/>
    <w:rsid w:val="000955EC"/>
    <w:rsid w:val="00095627"/>
    <w:rsid w:val="00095864"/>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56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446D"/>
    <w:rsid w:val="002C5B18"/>
    <w:rsid w:val="002C5CD4"/>
    <w:rsid w:val="002C61DF"/>
    <w:rsid w:val="002C63CB"/>
    <w:rsid w:val="002D0C49"/>
    <w:rsid w:val="002D1687"/>
    <w:rsid w:val="002D2553"/>
    <w:rsid w:val="002D404A"/>
    <w:rsid w:val="002D43A1"/>
    <w:rsid w:val="002D45D1"/>
    <w:rsid w:val="002D5CCE"/>
    <w:rsid w:val="002D6680"/>
    <w:rsid w:val="002E02B4"/>
    <w:rsid w:val="002E0AC2"/>
    <w:rsid w:val="002E21FE"/>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668"/>
    <w:rsid w:val="003303BA"/>
    <w:rsid w:val="0033241A"/>
    <w:rsid w:val="00333C90"/>
    <w:rsid w:val="0033535C"/>
    <w:rsid w:val="0033772C"/>
    <w:rsid w:val="00340D7B"/>
    <w:rsid w:val="003413DF"/>
    <w:rsid w:val="0034178A"/>
    <w:rsid w:val="003446AF"/>
    <w:rsid w:val="00344FD4"/>
    <w:rsid w:val="00346006"/>
    <w:rsid w:val="003461E6"/>
    <w:rsid w:val="00347ED2"/>
    <w:rsid w:val="003504AD"/>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097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F7"/>
    <w:rsid w:val="003B02A0"/>
    <w:rsid w:val="003B0718"/>
    <w:rsid w:val="003B1455"/>
    <w:rsid w:val="003B1955"/>
    <w:rsid w:val="003B2AC6"/>
    <w:rsid w:val="003B3514"/>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26"/>
    <w:rsid w:val="00420D51"/>
    <w:rsid w:val="00420FC0"/>
    <w:rsid w:val="00426976"/>
    <w:rsid w:val="0042765E"/>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E5A"/>
    <w:rsid w:val="00502F3E"/>
    <w:rsid w:val="00503196"/>
    <w:rsid w:val="00504490"/>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6A91"/>
    <w:rsid w:val="00587012"/>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2F73"/>
    <w:rsid w:val="00664E1D"/>
    <w:rsid w:val="006659CB"/>
    <w:rsid w:val="006662EB"/>
    <w:rsid w:val="00666485"/>
    <w:rsid w:val="00666BA1"/>
    <w:rsid w:val="00667F62"/>
    <w:rsid w:val="006721DF"/>
    <w:rsid w:val="006722C8"/>
    <w:rsid w:val="0067270F"/>
    <w:rsid w:val="00672A20"/>
    <w:rsid w:val="00674808"/>
    <w:rsid w:val="0067489A"/>
    <w:rsid w:val="00674CE6"/>
    <w:rsid w:val="00676498"/>
    <w:rsid w:val="00677696"/>
    <w:rsid w:val="00677979"/>
    <w:rsid w:val="00683770"/>
    <w:rsid w:val="006849D2"/>
    <w:rsid w:val="00685844"/>
    <w:rsid w:val="00686A7E"/>
    <w:rsid w:val="00690509"/>
    <w:rsid w:val="00690B95"/>
    <w:rsid w:val="006922AB"/>
    <w:rsid w:val="00692F71"/>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4736"/>
    <w:rsid w:val="007A54B7"/>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2A08"/>
    <w:rsid w:val="00942CAD"/>
    <w:rsid w:val="00943363"/>
    <w:rsid w:val="00943D3B"/>
    <w:rsid w:val="009441A5"/>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939"/>
    <w:rsid w:val="00B25FB2"/>
    <w:rsid w:val="00B264DA"/>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1914"/>
    <w:rsid w:val="00B539FA"/>
    <w:rsid w:val="00B55026"/>
    <w:rsid w:val="00B56253"/>
    <w:rsid w:val="00B64662"/>
    <w:rsid w:val="00B6581A"/>
    <w:rsid w:val="00B6600C"/>
    <w:rsid w:val="00B6639E"/>
    <w:rsid w:val="00B701A7"/>
    <w:rsid w:val="00B70890"/>
    <w:rsid w:val="00B70E19"/>
    <w:rsid w:val="00B71369"/>
    <w:rsid w:val="00B74DA0"/>
    <w:rsid w:val="00B7733B"/>
    <w:rsid w:val="00B80F85"/>
    <w:rsid w:val="00B81980"/>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4D3A"/>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831"/>
    <w:rsid w:val="00CB5DBA"/>
    <w:rsid w:val="00CB5FBD"/>
    <w:rsid w:val="00CB6701"/>
    <w:rsid w:val="00CB7D6D"/>
    <w:rsid w:val="00CB7F2D"/>
    <w:rsid w:val="00CC0090"/>
    <w:rsid w:val="00CC044F"/>
    <w:rsid w:val="00CC594E"/>
    <w:rsid w:val="00CC759C"/>
    <w:rsid w:val="00CD0363"/>
    <w:rsid w:val="00CD171A"/>
    <w:rsid w:val="00CD1CCD"/>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4426"/>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2428"/>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296/index.do" TargetMode="External"/><Relationship Id="rId13" Type="http://schemas.openxmlformats.org/officeDocument/2006/relationships/hyperlink" Target="http://www.scc-csc.ca/case-dossier/info/sum-som-eng.aspx?cas=3686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c-csc.lexum.com/scc-csc/news/en/item/5296/index.do" TargetMode="External"/><Relationship Id="rId12" Type="http://schemas.openxmlformats.org/officeDocument/2006/relationships/hyperlink" Target="http://www.scc-csc.ca/case-dossier/info/sum-som-eng.aspx?cas=3700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94"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672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c-csc.ca/case-dossier/info/sum-som-eng.aspx?cas=36918" TargetMode="External"/><Relationship Id="rId14" Type="http://schemas.openxmlformats.org/officeDocument/2006/relationships/hyperlink" Target="http://www.scc-csc.ca/case-dossier/info/sum-som-eng.aspx?cas=369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2016-08-17T19:38:00Z</dcterms:created>
  <dcterms:modified xsi:type="dcterms:W3CDTF">2016-08-17T19:38:00Z</dcterms:modified>
</cp:coreProperties>
</file>