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B61D0" w:rsidRDefault="001C4415" w:rsidP="001C4415">
      <w:pPr>
        <w:pStyle w:val="Header"/>
        <w:jc w:val="center"/>
        <w:rPr>
          <w:b/>
          <w:sz w:val="32"/>
        </w:rPr>
      </w:pPr>
      <w:r w:rsidRPr="00AB61D0">
        <w:rPr>
          <w:b/>
          <w:sz w:val="32"/>
        </w:rPr>
        <w:t>Supreme Court of Canada / Cour suprême du Canada</w:t>
      </w:r>
    </w:p>
    <w:p w:rsidR="001C4415" w:rsidRPr="00AB61D0" w:rsidRDefault="001C4415" w:rsidP="001C4415">
      <w:pPr>
        <w:widowControl w:val="0"/>
        <w:rPr>
          <w:i/>
        </w:rPr>
      </w:pPr>
    </w:p>
    <w:p w:rsidR="001C4415" w:rsidRPr="00AB61D0" w:rsidRDefault="001C4415" w:rsidP="001C4415">
      <w:pPr>
        <w:widowControl w:val="0"/>
        <w:rPr>
          <w:i/>
        </w:rPr>
      </w:pPr>
    </w:p>
    <w:p w:rsidR="001C4415" w:rsidRPr="00AB61D0" w:rsidRDefault="001C4415" w:rsidP="001C4415">
      <w:pPr>
        <w:widowControl w:val="0"/>
        <w:rPr>
          <w:i/>
        </w:rPr>
      </w:pPr>
      <w:r w:rsidRPr="00AB61D0">
        <w:rPr>
          <w:i/>
        </w:rPr>
        <w:t>(le français suit)</w:t>
      </w:r>
    </w:p>
    <w:p w:rsidR="001C4415" w:rsidRPr="00AB61D0" w:rsidRDefault="001C4415" w:rsidP="001C4415">
      <w:pPr>
        <w:widowControl w:val="0"/>
      </w:pPr>
    </w:p>
    <w:p w:rsidR="001C4415" w:rsidRPr="00AB61D0" w:rsidRDefault="000347C1" w:rsidP="00214729">
      <w:pPr>
        <w:widowControl w:val="0"/>
        <w:jc w:val="center"/>
        <w:rPr>
          <w:b/>
        </w:rPr>
      </w:pPr>
      <w:r w:rsidRPr="00AB61D0">
        <w:fldChar w:fldCharType="begin"/>
      </w:r>
      <w:r w:rsidR="00FA7412" w:rsidRPr="00AB61D0">
        <w:instrText xml:space="preserve"> SEQ CHAPTER \h \r 1</w:instrText>
      </w:r>
      <w:r w:rsidRPr="00AB61D0">
        <w:fldChar w:fldCharType="end"/>
      </w:r>
      <w:r w:rsidR="00455BB9" w:rsidRPr="00AB61D0">
        <w:rPr>
          <w:b/>
        </w:rPr>
        <w:t>JUDGMENT</w:t>
      </w:r>
      <w:r w:rsidR="00FA7412" w:rsidRPr="00AB61D0">
        <w:rPr>
          <w:b/>
        </w:rPr>
        <w:t xml:space="preserve"> TO BE RENDERED IN APPEA</w:t>
      </w:r>
      <w:r w:rsidR="00342E49" w:rsidRPr="00AB61D0">
        <w:rPr>
          <w:b/>
        </w:rPr>
        <w:t>L</w:t>
      </w:r>
    </w:p>
    <w:p w:rsidR="005A7C1B" w:rsidRPr="00AB61D0" w:rsidRDefault="005A7C1B" w:rsidP="005A7C1B">
      <w:pPr>
        <w:widowControl w:val="0"/>
      </w:pPr>
    </w:p>
    <w:p w:rsidR="00C93BDC" w:rsidRPr="00CF4E46" w:rsidRDefault="00C93BDC" w:rsidP="00C93BDC">
      <w:pPr>
        <w:widowControl w:val="0"/>
        <w:rPr>
          <w:b/>
        </w:rPr>
      </w:pPr>
      <w:r w:rsidRPr="00CF4E46">
        <w:rPr>
          <w:b/>
        </w:rPr>
        <w:t>Ju</w:t>
      </w:r>
      <w:r>
        <w:rPr>
          <w:b/>
        </w:rPr>
        <w:t>ly</w:t>
      </w:r>
      <w:r w:rsidRPr="00CF4E46">
        <w:rPr>
          <w:b/>
        </w:rPr>
        <w:t xml:space="preserve"> 2</w:t>
      </w:r>
      <w:r>
        <w:rPr>
          <w:b/>
        </w:rPr>
        <w:t>1</w:t>
      </w:r>
      <w:r w:rsidRPr="00CF4E46">
        <w:rPr>
          <w:b/>
        </w:rPr>
        <w:t>, 2017</w:t>
      </w:r>
    </w:p>
    <w:p w:rsidR="00C93BDC" w:rsidRPr="00CF4E46" w:rsidRDefault="00C93BDC" w:rsidP="00C93BDC">
      <w:pPr>
        <w:widowControl w:val="0"/>
        <w:rPr>
          <w:b/>
        </w:rPr>
      </w:pPr>
      <w:r w:rsidRPr="00CF4E46">
        <w:rPr>
          <w:b/>
        </w:rPr>
        <w:t>For immediate release</w:t>
      </w:r>
    </w:p>
    <w:p w:rsidR="00C93BDC" w:rsidRPr="00CF4E46" w:rsidRDefault="00C93BDC" w:rsidP="00C93BDC">
      <w:pPr>
        <w:widowControl w:val="0"/>
      </w:pPr>
    </w:p>
    <w:p w:rsidR="00C93BDC" w:rsidRPr="00C749CD" w:rsidRDefault="00C93BDC" w:rsidP="00C93BDC">
      <w:pPr>
        <w:widowControl w:val="0"/>
        <w:rPr>
          <w:lang w:val="fr-CA"/>
        </w:rPr>
      </w:pPr>
      <w:r w:rsidRPr="00CF4E46">
        <w:rPr>
          <w:b/>
        </w:rPr>
        <w:t>OTTAWA</w:t>
      </w:r>
      <w:r w:rsidRPr="00CF4E46">
        <w:t xml:space="preserve"> – The Supreme Court of Canada announced today that judgment in the following appeal will be delivered at 9:45 a.m. EDT on </w:t>
      </w:r>
      <w:r>
        <w:t>Thursday</w:t>
      </w:r>
      <w:r w:rsidRPr="00CF4E46">
        <w:t>, Ju</w:t>
      </w:r>
      <w:r>
        <w:t>ly</w:t>
      </w:r>
      <w:r w:rsidRPr="00CF4E46">
        <w:t xml:space="preserve"> 2</w:t>
      </w:r>
      <w:r>
        <w:t>7</w:t>
      </w:r>
      <w:r w:rsidR="00C749CD">
        <w:t>, 2017</w:t>
      </w:r>
      <w:r w:rsidRPr="00CF4E46">
        <w:t xml:space="preserve">. </w:t>
      </w:r>
      <w:r w:rsidRPr="00C749CD">
        <w:rPr>
          <w:lang w:val="fr-CA"/>
        </w:rPr>
        <w:t xml:space="preserve">This </w:t>
      </w:r>
      <w:proofErr w:type="spellStart"/>
      <w:r w:rsidRPr="00C749CD">
        <w:rPr>
          <w:lang w:val="fr-CA"/>
        </w:rPr>
        <w:t>list</w:t>
      </w:r>
      <w:proofErr w:type="spellEnd"/>
      <w:r w:rsidRPr="00C749CD">
        <w:rPr>
          <w:lang w:val="fr-CA"/>
        </w:rPr>
        <w:t xml:space="preserve"> </w:t>
      </w:r>
      <w:proofErr w:type="spellStart"/>
      <w:r w:rsidRPr="00C749CD">
        <w:rPr>
          <w:lang w:val="fr-CA"/>
        </w:rPr>
        <w:t>is</w:t>
      </w:r>
      <w:proofErr w:type="spellEnd"/>
      <w:r w:rsidRPr="00C749CD">
        <w:rPr>
          <w:lang w:val="fr-CA"/>
        </w:rPr>
        <w:t xml:space="preserve"> </w:t>
      </w:r>
      <w:proofErr w:type="spellStart"/>
      <w:r w:rsidRPr="00C749CD">
        <w:rPr>
          <w:lang w:val="fr-CA"/>
        </w:rPr>
        <w:t>subject</w:t>
      </w:r>
      <w:proofErr w:type="spellEnd"/>
      <w:r w:rsidRPr="00C749CD">
        <w:rPr>
          <w:lang w:val="fr-CA"/>
        </w:rPr>
        <w:t xml:space="preserve"> to change.</w:t>
      </w:r>
    </w:p>
    <w:p w:rsidR="001C4415" w:rsidRPr="00C749CD" w:rsidRDefault="001C4415" w:rsidP="001C4415">
      <w:pPr>
        <w:widowControl w:val="0"/>
        <w:rPr>
          <w:szCs w:val="24"/>
          <w:lang w:val="fr-CA"/>
        </w:rPr>
      </w:pPr>
    </w:p>
    <w:p w:rsidR="001C4415" w:rsidRDefault="001C4415" w:rsidP="001C4415">
      <w:pPr>
        <w:widowControl w:val="0"/>
        <w:rPr>
          <w:lang w:val="fr-CA"/>
        </w:rPr>
      </w:pPr>
    </w:p>
    <w:p w:rsidR="00C749CD" w:rsidRPr="00C749CD" w:rsidRDefault="00C749CD" w:rsidP="001C4415">
      <w:pPr>
        <w:widowControl w:val="0"/>
        <w:rPr>
          <w:lang w:val="fr-CA"/>
        </w:rPr>
      </w:pPr>
    </w:p>
    <w:p w:rsidR="001335A1" w:rsidRPr="00AB61D0" w:rsidRDefault="001335A1" w:rsidP="001335A1">
      <w:pPr>
        <w:widowControl w:val="0"/>
        <w:jc w:val="center"/>
        <w:rPr>
          <w:b/>
          <w:lang w:val="fr-CA"/>
        </w:rPr>
      </w:pPr>
      <w:r w:rsidRPr="00AB61D0">
        <w:rPr>
          <w:b/>
          <w:lang w:val="fr-CA"/>
        </w:rPr>
        <w:t>PROCHAIN JUGEMENT</w:t>
      </w:r>
      <w:bookmarkStart w:id="0" w:name="_GoBack"/>
      <w:bookmarkEnd w:id="0"/>
      <w:r w:rsidR="00455BB9" w:rsidRPr="00AB61D0">
        <w:rPr>
          <w:b/>
          <w:lang w:val="fr-CA"/>
        </w:rPr>
        <w:t xml:space="preserve"> SUR APPEL</w:t>
      </w:r>
    </w:p>
    <w:p w:rsidR="001335A1" w:rsidRPr="00AB61D0" w:rsidRDefault="001335A1" w:rsidP="001335A1">
      <w:pPr>
        <w:widowControl w:val="0"/>
        <w:rPr>
          <w:lang w:val="fr-CA"/>
        </w:rPr>
      </w:pPr>
    </w:p>
    <w:p w:rsidR="00C93BDC" w:rsidRPr="00CF4E46" w:rsidRDefault="00C93BDC" w:rsidP="00C93BDC">
      <w:pPr>
        <w:widowControl w:val="0"/>
        <w:rPr>
          <w:b/>
          <w:lang w:val="fr-CA"/>
        </w:rPr>
      </w:pPr>
      <w:r w:rsidRPr="00CF4E46">
        <w:rPr>
          <w:b/>
          <w:lang w:val="fr-CA"/>
        </w:rPr>
        <w:t>Le 2</w:t>
      </w:r>
      <w:r>
        <w:rPr>
          <w:b/>
          <w:lang w:val="fr-CA"/>
        </w:rPr>
        <w:t>1 juillet</w:t>
      </w:r>
      <w:r w:rsidRPr="00CF4E46">
        <w:rPr>
          <w:b/>
          <w:lang w:val="fr-CA"/>
        </w:rPr>
        <w:t xml:space="preserve"> 2017</w:t>
      </w:r>
    </w:p>
    <w:p w:rsidR="00C93BDC" w:rsidRPr="00CF4E46" w:rsidRDefault="00C93BDC" w:rsidP="00C93BDC">
      <w:pPr>
        <w:widowControl w:val="0"/>
        <w:rPr>
          <w:b/>
          <w:lang w:val="fr-CA"/>
        </w:rPr>
      </w:pPr>
      <w:r w:rsidRPr="00CF4E46">
        <w:rPr>
          <w:b/>
          <w:lang w:val="fr-CA"/>
        </w:rPr>
        <w:t>Pour diffusion immédiate</w:t>
      </w:r>
    </w:p>
    <w:p w:rsidR="00C93BDC" w:rsidRPr="00CF4E46" w:rsidRDefault="00C93BDC" w:rsidP="00C93BDC">
      <w:pPr>
        <w:widowControl w:val="0"/>
        <w:rPr>
          <w:b/>
          <w:lang w:val="fr-CA"/>
        </w:rPr>
      </w:pPr>
    </w:p>
    <w:p w:rsidR="00C93BDC" w:rsidRPr="00CF4E46" w:rsidRDefault="00C93BDC" w:rsidP="00C93BDC">
      <w:pPr>
        <w:widowControl w:val="0"/>
        <w:rPr>
          <w:lang w:val="fr-CA"/>
        </w:rPr>
      </w:pPr>
      <w:r w:rsidRPr="00CF4E46">
        <w:rPr>
          <w:b/>
          <w:lang w:val="fr-CA"/>
        </w:rPr>
        <w:t>OTTAWA</w:t>
      </w:r>
      <w:r w:rsidRPr="00CF4E46">
        <w:rPr>
          <w:lang w:val="fr-CA"/>
        </w:rPr>
        <w:t xml:space="preserve"> – La Cour suprême du Canada annonce que jugement ser</w:t>
      </w:r>
      <w:r w:rsidR="00C749CD">
        <w:rPr>
          <w:lang w:val="fr-CA"/>
        </w:rPr>
        <w:t>a</w:t>
      </w:r>
      <w:r w:rsidRPr="00CF4E46">
        <w:rPr>
          <w:lang w:val="fr-CA"/>
        </w:rPr>
        <w:t xml:space="preserve"> rendu dans l</w:t>
      </w:r>
      <w:r w:rsidR="00C749CD">
        <w:rPr>
          <w:lang w:val="fr-CA"/>
        </w:rPr>
        <w:t>’</w:t>
      </w:r>
      <w:r w:rsidRPr="00CF4E46">
        <w:rPr>
          <w:lang w:val="fr-CA"/>
        </w:rPr>
        <w:t xml:space="preserve">appel suivant le </w:t>
      </w:r>
      <w:r>
        <w:rPr>
          <w:lang w:val="fr-CA"/>
        </w:rPr>
        <w:t xml:space="preserve">jeudi </w:t>
      </w:r>
      <w:r w:rsidRPr="00CF4E46">
        <w:rPr>
          <w:lang w:val="fr-CA"/>
        </w:rPr>
        <w:t>2</w:t>
      </w:r>
      <w:r>
        <w:rPr>
          <w:lang w:val="fr-CA"/>
        </w:rPr>
        <w:t>7</w:t>
      </w:r>
      <w:r w:rsidRPr="00CF4E46">
        <w:rPr>
          <w:lang w:val="fr-CA"/>
        </w:rPr>
        <w:t xml:space="preserve"> jui</w:t>
      </w:r>
      <w:r>
        <w:rPr>
          <w:lang w:val="fr-CA"/>
        </w:rPr>
        <w:t>llet</w:t>
      </w:r>
      <w:r w:rsidRPr="00CF4E46">
        <w:rPr>
          <w:lang w:val="fr-CA"/>
        </w:rPr>
        <w:t xml:space="preserve"> 2017, à 9 h 45 HAE. Cette liste est sujette à modifications.</w:t>
      </w:r>
    </w:p>
    <w:p w:rsidR="001335A1" w:rsidRPr="00C93BDC" w:rsidRDefault="001335A1" w:rsidP="001335A1">
      <w:pPr>
        <w:widowControl w:val="0"/>
        <w:rPr>
          <w:sz w:val="20"/>
          <w:lang w:val="fr-CA"/>
        </w:rPr>
      </w:pPr>
    </w:p>
    <w:p w:rsidR="001335A1" w:rsidRPr="00C93BDC" w:rsidRDefault="005C7A4F" w:rsidP="001335A1">
      <w:pPr>
        <w:widowControl w:val="0"/>
        <w:rPr>
          <w:sz w:val="20"/>
          <w:lang w:val="fr-CA"/>
        </w:rPr>
      </w:pPr>
      <w:r w:rsidRPr="00AB61D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C93BDC" w:rsidRDefault="00340C6D" w:rsidP="00340C6D">
      <w:pPr>
        <w:jc w:val="both"/>
        <w:rPr>
          <w:bCs/>
          <w:lang w:val="fr-CA"/>
        </w:rPr>
      </w:pPr>
    </w:p>
    <w:p w:rsidR="00C93BDC" w:rsidRPr="00EE34BF" w:rsidRDefault="00C93BDC" w:rsidP="00C93BDC">
      <w:pPr>
        <w:jc w:val="both"/>
        <w:rPr>
          <w:szCs w:val="24"/>
          <w:lang w:val="fr-CA"/>
        </w:rPr>
      </w:pPr>
      <w:r>
        <w:rPr>
          <w:i/>
          <w:szCs w:val="24"/>
          <w:lang w:val="fr-CA"/>
        </w:rPr>
        <w:t>Procureure générale du Québec c. Ronald Guérin</w:t>
      </w:r>
      <w:r w:rsidRPr="00CF4E46">
        <w:rPr>
          <w:szCs w:val="24"/>
          <w:lang w:val="fr-CA"/>
        </w:rPr>
        <w:t xml:space="preserve"> </w:t>
      </w:r>
      <w:r w:rsidRPr="00EE34BF">
        <w:rPr>
          <w:szCs w:val="24"/>
          <w:lang w:val="fr-CA"/>
        </w:rPr>
        <w:t>(</w:t>
      </w:r>
      <w:proofErr w:type="spellStart"/>
      <w:r>
        <w:rPr>
          <w:szCs w:val="24"/>
          <w:lang w:val="fr-CA"/>
        </w:rPr>
        <w:t>Qc</w:t>
      </w:r>
      <w:proofErr w:type="spellEnd"/>
      <w:r>
        <w:rPr>
          <w:szCs w:val="24"/>
          <w:lang w:val="fr-CA"/>
        </w:rPr>
        <w:t>)</w:t>
      </w:r>
      <w:r w:rsidRPr="00EE34BF">
        <w:rPr>
          <w:szCs w:val="24"/>
          <w:lang w:val="fr-CA"/>
        </w:rPr>
        <w:t xml:space="preserve"> </w:t>
      </w:r>
      <w:r w:rsidRPr="00EE34BF">
        <w:rPr>
          <w:lang w:val="fr-CA"/>
        </w:rPr>
        <w:t>(</w:t>
      </w:r>
      <w:hyperlink r:id="rId7" w:history="1">
        <w:r w:rsidRPr="00EE34BF">
          <w:rPr>
            <w:rStyle w:val="Hyperlink"/>
            <w:lang w:val="fr-CA"/>
          </w:rPr>
          <w:t>367</w:t>
        </w:r>
        <w:r>
          <w:rPr>
            <w:rStyle w:val="Hyperlink"/>
            <w:lang w:val="fr-CA"/>
          </w:rPr>
          <w:t>75</w:t>
        </w:r>
      </w:hyperlink>
      <w:r w:rsidRPr="00EE34BF">
        <w:rPr>
          <w:lang w:val="fr-CA"/>
        </w:rPr>
        <w:t>)</w:t>
      </w:r>
    </w:p>
    <w:p w:rsidR="00C93BDC" w:rsidRPr="00EE34BF" w:rsidRDefault="00C93BDC" w:rsidP="00C93BDC">
      <w:pPr>
        <w:jc w:val="both"/>
        <w:rPr>
          <w:lang w:val="fr-CA"/>
        </w:rPr>
      </w:pPr>
    </w:p>
    <w:p w:rsidR="00CC4A3C" w:rsidRPr="00C93BDC" w:rsidRDefault="00CC4A3C" w:rsidP="00340C6D">
      <w:pPr>
        <w:jc w:val="both"/>
        <w:rPr>
          <w:szCs w:val="24"/>
          <w:lang w:val="fr-CA"/>
        </w:rPr>
      </w:pPr>
    </w:p>
    <w:p w:rsidR="000F4DF2" w:rsidRDefault="000F4DF2" w:rsidP="00340C6D">
      <w:pPr>
        <w:jc w:val="both"/>
        <w:rPr>
          <w:szCs w:val="24"/>
          <w:lang w:val="fr-CA"/>
        </w:rPr>
      </w:pPr>
    </w:p>
    <w:p w:rsidR="00C93BDC" w:rsidRPr="00C93BDC" w:rsidRDefault="00C93BDC" w:rsidP="00C93BDC">
      <w:pPr>
        <w:pStyle w:val="SCCLsocParty"/>
        <w:tabs>
          <w:tab w:val="left" w:pos="900"/>
        </w:tabs>
        <w:rPr>
          <w:b/>
          <w:sz w:val="20"/>
          <w:szCs w:val="20"/>
          <w:lang w:val="en-CA"/>
        </w:rPr>
      </w:pPr>
      <w:r w:rsidRPr="00C93BDC">
        <w:rPr>
          <w:b/>
          <w:i w:val="0"/>
          <w:sz w:val="20"/>
          <w:szCs w:val="20"/>
          <w:lang w:val="en-CA"/>
        </w:rPr>
        <w:fldChar w:fldCharType="begin"/>
      </w:r>
      <w:r w:rsidRPr="00C93BDC">
        <w:rPr>
          <w:b/>
          <w:i w:val="0"/>
          <w:sz w:val="20"/>
          <w:szCs w:val="20"/>
          <w:lang w:val="en-CA"/>
        </w:rPr>
        <w:instrText xml:space="preserve"> SEQ CHAPTER \h \r 1</w:instrText>
      </w:r>
      <w:r w:rsidRPr="00C93BDC">
        <w:rPr>
          <w:b/>
          <w:i w:val="0"/>
          <w:sz w:val="20"/>
          <w:szCs w:val="20"/>
          <w:lang w:val="en-CA"/>
        </w:rPr>
        <w:fldChar w:fldCharType="end"/>
      </w:r>
      <w:r w:rsidRPr="00C93BDC">
        <w:rPr>
          <w:b/>
          <w:i w:val="0"/>
          <w:sz w:val="20"/>
          <w:szCs w:val="20"/>
          <w:lang w:val="en-CA"/>
        </w:rPr>
        <w:t>36775</w:t>
      </w:r>
      <w:r w:rsidRPr="00C93BDC">
        <w:rPr>
          <w:i w:val="0"/>
          <w:sz w:val="20"/>
          <w:szCs w:val="20"/>
          <w:lang w:val="en-CA"/>
        </w:rPr>
        <w:tab/>
      </w:r>
      <w:r w:rsidRPr="00C93BDC">
        <w:rPr>
          <w:b/>
          <w:sz w:val="20"/>
          <w:szCs w:val="20"/>
          <w:lang w:val="en-US"/>
        </w:rPr>
        <w:t>Attorney</w:t>
      </w:r>
      <w:r w:rsidRPr="00C93BDC">
        <w:rPr>
          <w:b/>
          <w:sz w:val="20"/>
          <w:szCs w:val="20"/>
          <w:lang w:val="en-CA"/>
        </w:rPr>
        <w:t xml:space="preserve"> General of Quebec v. Ronald </w:t>
      </w:r>
      <w:proofErr w:type="spellStart"/>
      <w:r w:rsidRPr="00C93BDC">
        <w:rPr>
          <w:b/>
          <w:sz w:val="20"/>
          <w:szCs w:val="20"/>
          <w:lang w:val="en-CA"/>
        </w:rPr>
        <w:t>Guérin</w:t>
      </w:r>
      <w:proofErr w:type="spellEnd"/>
    </w:p>
    <w:p w:rsidR="00C93BDC" w:rsidRPr="00C93BDC" w:rsidRDefault="00C93BDC" w:rsidP="00C93BDC">
      <w:pPr>
        <w:pStyle w:val="SCCLsocOtherPartySeparator"/>
        <w:tabs>
          <w:tab w:val="left" w:pos="900"/>
        </w:tabs>
        <w:ind w:left="900"/>
        <w:jc w:val="both"/>
        <w:rPr>
          <w:b/>
          <w:sz w:val="20"/>
          <w:szCs w:val="20"/>
          <w:lang w:val="fr-CA"/>
        </w:rPr>
      </w:pPr>
      <w:r w:rsidRPr="00C93BDC">
        <w:rPr>
          <w:b/>
          <w:sz w:val="20"/>
          <w:szCs w:val="20"/>
          <w:lang w:val="fr-CA"/>
        </w:rPr>
        <w:t>- and -</w:t>
      </w:r>
    </w:p>
    <w:p w:rsidR="00C93BDC" w:rsidRPr="00C93BDC" w:rsidRDefault="00C93BDC" w:rsidP="00C93BDC">
      <w:pPr>
        <w:widowControl w:val="0"/>
        <w:tabs>
          <w:tab w:val="left" w:pos="900"/>
        </w:tabs>
        <w:ind w:left="900" w:hanging="720"/>
        <w:jc w:val="both"/>
        <w:rPr>
          <w:b/>
          <w:i/>
          <w:sz w:val="20"/>
          <w:lang w:val="fr-CA"/>
        </w:rPr>
      </w:pPr>
      <w:r w:rsidRPr="00C93BDC">
        <w:rPr>
          <w:b/>
          <w:i/>
          <w:sz w:val="20"/>
          <w:lang w:val="fr-CA"/>
        </w:rPr>
        <w:tab/>
        <w:t>Conseil d’arbitrage, Fédération des médecins spécialistes du Québec and Régie de l’assurance maladie du Québec</w:t>
      </w:r>
    </w:p>
    <w:p w:rsidR="00C93BDC" w:rsidRPr="00C93BDC" w:rsidRDefault="00C93BDC" w:rsidP="00C93BDC">
      <w:pPr>
        <w:widowControl w:val="0"/>
        <w:tabs>
          <w:tab w:val="left" w:pos="900"/>
        </w:tabs>
        <w:ind w:left="900"/>
        <w:jc w:val="both"/>
        <w:rPr>
          <w:b/>
          <w:i/>
          <w:sz w:val="20"/>
          <w:lang w:val="en-CA"/>
        </w:rPr>
      </w:pPr>
      <w:r w:rsidRPr="00C93BDC">
        <w:rPr>
          <w:sz w:val="20"/>
          <w:lang w:val="en-CA"/>
        </w:rPr>
        <w:t>(Que.) (Civil) (By Leave)</w:t>
      </w:r>
    </w:p>
    <w:tbl>
      <w:tblPr>
        <w:tblW w:w="5000" w:type="pct"/>
        <w:tblBorders>
          <w:top w:val="nil"/>
          <w:left w:val="nil"/>
          <w:bottom w:val="nil"/>
          <w:right w:val="nil"/>
          <w:insideH w:val="nil"/>
          <w:insideV w:val="nil"/>
        </w:tblBorders>
        <w:tblLayout w:type="fixed"/>
        <w:tblCellMar>
          <w:top w:w="115" w:type="dxa"/>
          <w:left w:w="0" w:type="dxa"/>
          <w:bottom w:w="58" w:type="dxa"/>
          <w:right w:w="0" w:type="dxa"/>
        </w:tblCellMar>
        <w:tblLook w:val="0000" w:firstRow="0" w:lastRow="0" w:firstColumn="0" w:lastColumn="0" w:noHBand="0" w:noVBand="0"/>
      </w:tblPr>
      <w:tblGrid>
        <w:gridCol w:w="9360"/>
      </w:tblGrid>
      <w:tr w:rsidR="00C93BDC" w:rsidRPr="00C93BDC" w:rsidTr="00B34291">
        <w:tc>
          <w:tcPr>
            <w:tcW w:w="5000" w:type="pct"/>
            <w:tcBorders>
              <w:top w:val="nil"/>
              <w:left w:val="nil"/>
              <w:bottom w:val="nil"/>
              <w:right w:val="nil"/>
            </w:tcBorders>
            <w:tcMar>
              <w:top w:w="0" w:type="dxa"/>
              <w:left w:w="115" w:type="dxa"/>
              <w:bottom w:w="0" w:type="dxa"/>
            </w:tcMar>
          </w:tcPr>
          <w:p w:rsidR="00C93BDC" w:rsidRPr="00C93BDC" w:rsidRDefault="00C93BDC" w:rsidP="00C93BDC">
            <w:pPr>
              <w:jc w:val="both"/>
              <w:rPr>
                <w:sz w:val="20"/>
                <w:lang w:val="en-CA"/>
              </w:rPr>
            </w:pPr>
          </w:p>
        </w:tc>
      </w:tr>
    </w:tbl>
    <w:p w:rsidR="00C93BDC" w:rsidRPr="00C93BDC" w:rsidRDefault="00C93BDC" w:rsidP="00C93BDC">
      <w:pPr>
        <w:autoSpaceDE w:val="0"/>
        <w:autoSpaceDN w:val="0"/>
        <w:adjustRightInd w:val="0"/>
        <w:jc w:val="both"/>
        <w:rPr>
          <w:sz w:val="20"/>
          <w:lang w:val="en-CA"/>
        </w:rPr>
      </w:pPr>
      <w:r w:rsidRPr="00C93BDC">
        <w:rPr>
          <w:sz w:val="20"/>
          <w:lang w:val="en-CA"/>
        </w:rPr>
        <w:t xml:space="preserve">Health law - Public health insurance plan - Administration - Whether medical specialist may personally submit dispute to council of arbitration established under section 54 of </w:t>
      </w:r>
      <w:r w:rsidRPr="00C93BDC">
        <w:rPr>
          <w:i/>
          <w:sz w:val="20"/>
          <w:lang w:val="en-CA"/>
        </w:rPr>
        <w:t>Health Insurance Act</w:t>
      </w:r>
      <w:r w:rsidRPr="00C93BDC">
        <w:rPr>
          <w:sz w:val="20"/>
          <w:lang w:val="en-CA"/>
        </w:rPr>
        <w:t>, CQLR, c. A</w:t>
      </w:r>
      <w:r w:rsidRPr="00C93BDC">
        <w:rPr>
          <w:sz w:val="20"/>
          <w:lang w:val="en-CA"/>
        </w:rPr>
        <w:noBreakHyphen/>
        <w:t xml:space="preserve">29, or whether only his or her representative association, </w:t>
      </w:r>
      <w:proofErr w:type="spellStart"/>
      <w:r w:rsidRPr="00C93BDC">
        <w:rPr>
          <w:sz w:val="20"/>
          <w:lang w:val="en-CA"/>
        </w:rPr>
        <w:t>Fédération</w:t>
      </w:r>
      <w:proofErr w:type="spellEnd"/>
      <w:r w:rsidRPr="00C93BDC">
        <w:rPr>
          <w:sz w:val="20"/>
          <w:lang w:val="en-CA"/>
        </w:rPr>
        <w:t xml:space="preserve"> des </w:t>
      </w:r>
      <w:proofErr w:type="spellStart"/>
      <w:r w:rsidRPr="00C93BDC">
        <w:rPr>
          <w:sz w:val="20"/>
          <w:lang w:val="en-CA"/>
        </w:rPr>
        <w:t>médecins</w:t>
      </w:r>
      <w:proofErr w:type="spellEnd"/>
      <w:r w:rsidRPr="00C93BDC">
        <w:rPr>
          <w:sz w:val="20"/>
          <w:lang w:val="en-CA"/>
        </w:rPr>
        <w:t xml:space="preserve"> </w:t>
      </w:r>
      <w:proofErr w:type="spellStart"/>
      <w:r w:rsidRPr="00C93BDC">
        <w:rPr>
          <w:sz w:val="20"/>
          <w:lang w:val="en-CA"/>
        </w:rPr>
        <w:t>spécialistes</w:t>
      </w:r>
      <w:proofErr w:type="spellEnd"/>
      <w:r w:rsidRPr="00C93BDC">
        <w:rPr>
          <w:sz w:val="20"/>
          <w:lang w:val="en-CA"/>
        </w:rPr>
        <w:t xml:space="preserve"> du Québec (“</w:t>
      </w:r>
      <w:proofErr w:type="spellStart"/>
      <w:r w:rsidRPr="00C93BDC">
        <w:rPr>
          <w:sz w:val="20"/>
          <w:lang w:val="en-CA"/>
        </w:rPr>
        <w:t>Fédération</w:t>
      </w:r>
      <w:proofErr w:type="spellEnd"/>
      <w:r w:rsidRPr="00C93BDC">
        <w:rPr>
          <w:sz w:val="20"/>
          <w:lang w:val="en-CA"/>
        </w:rPr>
        <w:t xml:space="preserve">”), has necessary interest to do so - Whether unanimous refusal of negotiating parties to designate laboratory for purposes of “digitization” fee after specifying in their agreement that such designations would be decided on by them constitutes dispute resulting from interpretation or application of agreement - Whether section 54 of </w:t>
      </w:r>
      <w:r w:rsidRPr="00C93BDC">
        <w:rPr>
          <w:i/>
          <w:sz w:val="20"/>
          <w:lang w:val="en-CA"/>
        </w:rPr>
        <w:t>H.I.A.</w:t>
      </w:r>
      <w:r w:rsidRPr="00C93BDC">
        <w:rPr>
          <w:sz w:val="20"/>
          <w:lang w:val="en-CA"/>
        </w:rPr>
        <w:t xml:space="preserve"> bars negotiating parties (</w:t>
      </w:r>
      <w:proofErr w:type="spellStart"/>
      <w:r w:rsidRPr="00C93BDC">
        <w:rPr>
          <w:sz w:val="20"/>
          <w:lang w:val="en-CA"/>
        </w:rPr>
        <w:t>Fédération</w:t>
      </w:r>
      <w:proofErr w:type="spellEnd"/>
      <w:r w:rsidRPr="00C93BDC">
        <w:rPr>
          <w:sz w:val="20"/>
          <w:lang w:val="en-CA"/>
        </w:rPr>
        <w:t xml:space="preserve"> and Minister of Health and Social Services of Quebec) from having recourse to bipartite process provided for in agreement rather than to arbitration provided for in Act in order to resolve potential disputes with respect to designation of laboratories for purposes of digitization fee - Whether section 54 of </w:t>
      </w:r>
      <w:r w:rsidRPr="00C93BDC">
        <w:rPr>
          <w:i/>
          <w:sz w:val="20"/>
          <w:lang w:val="en-CA"/>
        </w:rPr>
        <w:t>H.I.A.</w:t>
      </w:r>
      <w:r w:rsidRPr="00C93BDC">
        <w:rPr>
          <w:sz w:val="20"/>
          <w:lang w:val="en-CA"/>
        </w:rPr>
        <w:t xml:space="preserve"> bars negotiating parties from setting out in agreement how and by whom dispute may be submitted to council of arbitration.</w:t>
      </w:r>
    </w:p>
    <w:p w:rsidR="00C93BDC" w:rsidRPr="00C93BDC" w:rsidRDefault="00C93BDC" w:rsidP="00C93BDC">
      <w:pPr>
        <w:widowControl w:val="0"/>
        <w:ind w:left="2160" w:hanging="2160"/>
        <w:jc w:val="both"/>
        <w:rPr>
          <w:b/>
          <w:i/>
          <w:sz w:val="20"/>
          <w:lang w:val="en-CA"/>
        </w:rPr>
      </w:pPr>
    </w:p>
    <w:p w:rsidR="00C93BDC" w:rsidRPr="00C93BDC" w:rsidRDefault="00C93BDC" w:rsidP="00C93BDC">
      <w:pPr>
        <w:autoSpaceDE w:val="0"/>
        <w:autoSpaceDN w:val="0"/>
        <w:adjustRightInd w:val="0"/>
        <w:jc w:val="both"/>
        <w:rPr>
          <w:sz w:val="20"/>
          <w:lang w:val="en-CA"/>
        </w:rPr>
      </w:pPr>
      <w:r w:rsidRPr="00C93BDC">
        <w:rPr>
          <w:sz w:val="20"/>
          <w:lang w:val="en-CA"/>
        </w:rPr>
        <w:t xml:space="preserve">The Attorney General of Quebec is appealing from a judgment dated October 21, 2015 in which the Court of Appeal dismissed an appeal from a judgment of December 18, 2013 in which the Superior Court had granted a motion for judicial review brought by the respondent, Dr. Ronald </w:t>
      </w:r>
      <w:proofErr w:type="spellStart"/>
      <w:r w:rsidRPr="00C93BDC">
        <w:rPr>
          <w:sz w:val="20"/>
          <w:lang w:val="en-CA"/>
        </w:rPr>
        <w:t>Guérin</w:t>
      </w:r>
      <w:proofErr w:type="spellEnd"/>
      <w:r w:rsidRPr="00C93BDC">
        <w:rPr>
          <w:sz w:val="20"/>
          <w:lang w:val="en-CA"/>
        </w:rPr>
        <w:t xml:space="preserve">. More specifically, the Superior Court had quashed a decision by a council of arbitration dated January 29, 2013 and declared that the council had jurisdiction to resolve a dispute the respondent had submitted on January 30, 2012. The respondent had asked the council of arbitration to declare that the clinics he represented met the conditions for obtaining a special fee. The issue is whether a medical </w:t>
      </w:r>
      <w:r w:rsidRPr="00C93BDC">
        <w:rPr>
          <w:sz w:val="20"/>
          <w:lang w:val="en-CA"/>
        </w:rPr>
        <w:lastRenderedPageBreak/>
        <w:t xml:space="preserve">specialist may personally submit such a dispute to a council of arbitration established under section 54 of the </w:t>
      </w:r>
      <w:r w:rsidRPr="00C93BDC">
        <w:rPr>
          <w:i/>
          <w:sz w:val="20"/>
          <w:lang w:val="en-CA"/>
        </w:rPr>
        <w:t>Health Insurance Act</w:t>
      </w:r>
      <w:r w:rsidRPr="00C93BDC">
        <w:rPr>
          <w:sz w:val="20"/>
          <w:lang w:val="en-CA"/>
        </w:rPr>
        <w:t>, CQLR, c. A</w:t>
      </w:r>
      <w:r w:rsidRPr="00C93BDC">
        <w:rPr>
          <w:sz w:val="20"/>
          <w:lang w:val="en-CA"/>
        </w:rPr>
        <w:noBreakHyphen/>
        <w:t>29 (the “</w:t>
      </w:r>
      <w:r w:rsidRPr="00C93BDC">
        <w:rPr>
          <w:i/>
          <w:sz w:val="20"/>
          <w:lang w:val="en-CA"/>
        </w:rPr>
        <w:t>H.I.A.</w:t>
      </w:r>
      <w:r w:rsidRPr="00C93BDC">
        <w:rPr>
          <w:sz w:val="20"/>
          <w:lang w:val="en-CA"/>
        </w:rPr>
        <w:t xml:space="preserve">”), or whether only his or her representative association, the </w:t>
      </w:r>
      <w:proofErr w:type="spellStart"/>
      <w:r w:rsidRPr="00C93BDC">
        <w:rPr>
          <w:sz w:val="20"/>
          <w:lang w:val="en-CA"/>
        </w:rPr>
        <w:t>Fédération</w:t>
      </w:r>
      <w:proofErr w:type="spellEnd"/>
      <w:r w:rsidRPr="00C93BDC">
        <w:rPr>
          <w:sz w:val="20"/>
          <w:lang w:val="en-CA"/>
        </w:rPr>
        <w:t xml:space="preserve"> des </w:t>
      </w:r>
      <w:proofErr w:type="spellStart"/>
      <w:r w:rsidRPr="00C93BDC">
        <w:rPr>
          <w:sz w:val="20"/>
          <w:lang w:val="en-CA"/>
        </w:rPr>
        <w:t>médecins</w:t>
      </w:r>
      <w:proofErr w:type="spellEnd"/>
      <w:r w:rsidRPr="00C93BDC">
        <w:rPr>
          <w:sz w:val="20"/>
          <w:lang w:val="en-CA"/>
        </w:rPr>
        <w:t xml:space="preserve"> </w:t>
      </w:r>
      <w:proofErr w:type="spellStart"/>
      <w:r w:rsidRPr="00C93BDC">
        <w:rPr>
          <w:sz w:val="20"/>
          <w:lang w:val="en-CA"/>
        </w:rPr>
        <w:t>spécialistes</w:t>
      </w:r>
      <w:proofErr w:type="spellEnd"/>
      <w:r w:rsidRPr="00C93BDC">
        <w:rPr>
          <w:sz w:val="20"/>
          <w:lang w:val="en-CA"/>
        </w:rPr>
        <w:t xml:space="preserve"> du Québec, has the necessary interest to do so.</w:t>
      </w:r>
    </w:p>
    <w:p w:rsidR="00C93BDC" w:rsidRDefault="00C93BDC" w:rsidP="00C93BDC">
      <w:pPr>
        <w:jc w:val="both"/>
        <w:rPr>
          <w:sz w:val="20"/>
        </w:rPr>
      </w:pPr>
    </w:p>
    <w:p w:rsidR="00C93BDC" w:rsidRDefault="00C93BDC" w:rsidP="00C93BDC">
      <w:pPr>
        <w:jc w:val="both"/>
        <w:rPr>
          <w:sz w:val="20"/>
        </w:rPr>
      </w:pPr>
    </w:p>
    <w:p w:rsidR="00C93BDC" w:rsidRPr="00C93BDC" w:rsidRDefault="00C93BDC" w:rsidP="00C93BDC">
      <w:pPr>
        <w:widowControl w:val="0"/>
        <w:ind w:left="900" w:hanging="900"/>
        <w:jc w:val="both"/>
        <w:rPr>
          <w:b/>
          <w:sz w:val="20"/>
          <w:lang w:val="fr-CA"/>
        </w:rPr>
      </w:pPr>
      <w:r w:rsidRPr="00C93BDC">
        <w:rPr>
          <w:b/>
          <w:sz w:val="20"/>
        </w:rPr>
        <w:fldChar w:fldCharType="begin"/>
      </w:r>
      <w:r w:rsidRPr="00C93BDC">
        <w:rPr>
          <w:b/>
          <w:sz w:val="20"/>
          <w:lang w:val="fr-CA"/>
        </w:rPr>
        <w:instrText xml:space="preserve"> SEQ CHAPTER \h \r 1</w:instrText>
      </w:r>
      <w:r w:rsidRPr="00C93BDC">
        <w:rPr>
          <w:b/>
          <w:sz w:val="20"/>
        </w:rPr>
        <w:fldChar w:fldCharType="end"/>
      </w:r>
      <w:r w:rsidRPr="00C93BDC">
        <w:rPr>
          <w:b/>
          <w:sz w:val="20"/>
          <w:lang w:val="fr-CA"/>
        </w:rPr>
        <w:t>36775</w:t>
      </w:r>
      <w:r w:rsidRPr="00C93BDC">
        <w:rPr>
          <w:sz w:val="20"/>
          <w:lang w:val="fr-CA"/>
        </w:rPr>
        <w:tab/>
      </w:r>
      <w:r w:rsidRPr="00C93BDC">
        <w:rPr>
          <w:b/>
          <w:i/>
          <w:sz w:val="20"/>
          <w:lang w:val="fr-CA"/>
        </w:rPr>
        <w:t>Procureure</w:t>
      </w:r>
      <w:r w:rsidRPr="00C93BDC">
        <w:rPr>
          <w:b/>
          <w:sz w:val="20"/>
          <w:lang w:val="fr-CA"/>
        </w:rPr>
        <w:t xml:space="preserve"> générale du Québec c. Ronald Guérin</w:t>
      </w:r>
    </w:p>
    <w:p w:rsidR="00C93BDC" w:rsidRPr="00C93BDC" w:rsidRDefault="00C93BDC" w:rsidP="00C93BDC">
      <w:pPr>
        <w:pStyle w:val="SCCLsocOtherPartySeparator"/>
        <w:ind w:left="180" w:firstLine="720"/>
        <w:jc w:val="both"/>
        <w:rPr>
          <w:b/>
          <w:sz w:val="20"/>
          <w:szCs w:val="20"/>
          <w:lang w:val="fr-CA"/>
        </w:rPr>
      </w:pPr>
      <w:r w:rsidRPr="00C93BDC">
        <w:rPr>
          <w:b/>
          <w:sz w:val="20"/>
          <w:szCs w:val="20"/>
          <w:lang w:val="fr-CA"/>
        </w:rPr>
        <w:t>- et -</w:t>
      </w:r>
    </w:p>
    <w:p w:rsidR="00C93BDC" w:rsidRPr="00C93BDC" w:rsidRDefault="00C93BDC" w:rsidP="00C93BDC">
      <w:pPr>
        <w:widowControl w:val="0"/>
        <w:ind w:left="900"/>
        <w:jc w:val="both"/>
        <w:rPr>
          <w:b/>
          <w:i/>
          <w:sz w:val="20"/>
          <w:lang w:val="fr-CA"/>
        </w:rPr>
      </w:pPr>
      <w:r w:rsidRPr="00C93BDC">
        <w:rPr>
          <w:b/>
          <w:i/>
          <w:sz w:val="20"/>
          <w:lang w:val="fr-CA"/>
        </w:rPr>
        <w:t>Conseil d’arbitrage, Fédération des médecins spécialistes du Québec et Régie de l’assurance maladie du Québec</w:t>
      </w:r>
    </w:p>
    <w:p w:rsidR="00C93BDC" w:rsidRPr="00C93BDC" w:rsidRDefault="00C93BDC" w:rsidP="00C93BDC">
      <w:pPr>
        <w:widowControl w:val="0"/>
        <w:ind w:left="180" w:firstLine="720"/>
        <w:jc w:val="both"/>
        <w:rPr>
          <w:b/>
          <w:i/>
          <w:sz w:val="20"/>
          <w:lang w:val="fr-CA"/>
        </w:rPr>
      </w:pPr>
      <w:r w:rsidRPr="00C93BDC">
        <w:rPr>
          <w:sz w:val="20"/>
        </w:rPr>
        <w:t>(</w:t>
      </w:r>
      <w:proofErr w:type="gramStart"/>
      <w:r w:rsidRPr="00C93BDC">
        <w:rPr>
          <w:sz w:val="20"/>
        </w:rPr>
        <w:t>Qc</w:t>
      </w:r>
      <w:proofErr w:type="gramEnd"/>
      <w:r w:rsidRPr="00C93BDC">
        <w:rPr>
          <w:sz w:val="20"/>
        </w:rPr>
        <w:t>) (</w:t>
      </w:r>
      <w:proofErr w:type="spellStart"/>
      <w:r w:rsidRPr="00C93BDC">
        <w:rPr>
          <w:sz w:val="20"/>
        </w:rPr>
        <w:t>Civile</w:t>
      </w:r>
      <w:proofErr w:type="spellEnd"/>
      <w:r w:rsidRPr="00C93BDC">
        <w:rPr>
          <w:sz w:val="20"/>
        </w:rPr>
        <w:t>) (</w:t>
      </w:r>
      <w:proofErr w:type="spellStart"/>
      <w:r w:rsidRPr="00C93BDC">
        <w:rPr>
          <w:sz w:val="20"/>
        </w:rPr>
        <w:t>Autorisation</w:t>
      </w:r>
      <w:proofErr w:type="spellEnd"/>
      <w:r w:rsidRPr="00C93BDC">
        <w:rPr>
          <w:sz w:val="20"/>
        </w:rPr>
        <w:t>)</w:t>
      </w:r>
    </w:p>
    <w:tbl>
      <w:tblPr>
        <w:tblW w:w="5000" w:type="pct"/>
        <w:tblBorders>
          <w:top w:val="nil"/>
          <w:left w:val="nil"/>
          <w:bottom w:val="nil"/>
          <w:right w:val="nil"/>
          <w:insideH w:val="nil"/>
          <w:insideV w:val="nil"/>
        </w:tblBorders>
        <w:tblLayout w:type="fixed"/>
        <w:tblCellMar>
          <w:top w:w="115" w:type="dxa"/>
          <w:left w:w="0" w:type="dxa"/>
          <w:bottom w:w="58" w:type="dxa"/>
          <w:right w:w="0" w:type="dxa"/>
        </w:tblCellMar>
        <w:tblLook w:val="0000" w:firstRow="0" w:lastRow="0" w:firstColumn="0" w:lastColumn="0" w:noHBand="0" w:noVBand="0"/>
      </w:tblPr>
      <w:tblGrid>
        <w:gridCol w:w="9360"/>
      </w:tblGrid>
      <w:tr w:rsidR="00C93BDC" w:rsidRPr="00C93BDC" w:rsidTr="00B34291">
        <w:tc>
          <w:tcPr>
            <w:tcW w:w="5000" w:type="pct"/>
            <w:tcBorders>
              <w:top w:val="nil"/>
              <w:left w:val="nil"/>
              <w:bottom w:val="nil"/>
              <w:right w:val="nil"/>
            </w:tcBorders>
            <w:tcMar>
              <w:top w:w="0" w:type="dxa"/>
              <w:left w:w="115" w:type="dxa"/>
              <w:bottom w:w="0" w:type="dxa"/>
            </w:tcMar>
          </w:tcPr>
          <w:p w:rsidR="00C93BDC" w:rsidRPr="00C93BDC" w:rsidRDefault="00C93BDC" w:rsidP="00B34291">
            <w:pPr>
              <w:jc w:val="both"/>
              <w:rPr>
                <w:sz w:val="20"/>
              </w:rPr>
            </w:pPr>
          </w:p>
        </w:tc>
      </w:tr>
    </w:tbl>
    <w:p w:rsidR="00C93BDC" w:rsidRPr="00C93BDC" w:rsidRDefault="00C93BDC" w:rsidP="00C93BDC">
      <w:pPr>
        <w:autoSpaceDE w:val="0"/>
        <w:autoSpaceDN w:val="0"/>
        <w:adjustRightInd w:val="0"/>
        <w:jc w:val="both"/>
        <w:rPr>
          <w:sz w:val="20"/>
          <w:lang w:val="fr-CA"/>
        </w:rPr>
      </w:pPr>
      <w:r w:rsidRPr="00C93BDC">
        <w:rPr>
          <w:sz w:val="20"/>
          <w:lang w:val="fr-CA"/>
        </w:rPr>
        <w:t xml:space="preserve">Droit de la santé - Régime public d’assurance maladie - Administration - Est-ce qu’un médecin spécialiste, à titre individuel, peut porter un différend devant le conseil d’arbitrage institué par l’article 54 de la </w:t>
      </w:r>
      <w:r w:rsidRPr="00C93BDC">
        <w:rPr>
          <w:i/>
          <w:sz w:val="20"/>
          <w:lang w:val="fr-CA"/>
        </w:rPr>
        <w:t>Loi sur l’assurance maladie</w:t>
      </w:r>
      <w:r w:rsidRPr="00C93BDC">
        <w:rPr>
          <w:sz w:val="20"/>
          <w:lang w:val="fr-CA"/>
        </w:rPr>
        <w:t xml:space="preserve">, RLRQ, c. A-29, ou si c’est uniquement son association représentative, la Fédération des médecins spécialistes du Québec (la « Fédération »), qui détient l’intérêt pour agir? - Le refus unanime des parties négociantes de désigner un laboratoire aux fins de l’honoraire de numérisation, alors que celles-ci ont prévu dans l’entente que cette désignation serait déterminée par elles, est-il un différend qui résulte de l’interprétation ou de l’application de l’entente? - L’article 54 de la </w:t>
      </w:r>
      <w:proofErr w:type="spellStart"/>
      <w:r w:rsidRPr="00C93BDC">
        <w:rPr>
          <w:i/>
          <w:sz w:val="20"/>
          <w:lang w:val="fr-CA"/>
        </w:rPr>
        <w:t>L.a.m</w:t>
      </w:r>
      <w:proofErr w:type="spellEnd"/>
      <w:r w:rsidRPr="00C93BDC">
        <w:rPr>
          <w:i/>
          <w:sz w:val="20"/>
          <w:lang w:val="fr-CA"/>
        </w:rPr>
        <w:t>.</w:t>
      </w:r>
      <w:r w:rsidRPr="00C93BDC">
        <w:rPr>
          <w:sz w:val="20"/>
          <w:lang w:val="fr-CA"/>
        </w:rPr>
        <w:t xml:space="preserve"> empêche-t-il les parties négociantes (soit la Fédération et le ministre de la Santé et des Services sociaux du Québec) de recourir à un processus conventionnel bipartite plutôt qu’à l’arbitrage prévu par la loi pour régler les litiges potentiels entourant la désignation des laboratoires aux fins de l’honoraire de numérisation? - L’article 54 de la </w:t>
      </w:r>
      <w:proofErr w:type="spellStart"/>
      <w:r w:rsidRPr="00C93BDC">
        <w:rPr>
          <w:i/>
          <w:sz w:val="20"/>
          <w:lang w:val="fr-CA"/>
        </w:rPr>
        <w:t>L.a.m</w:t>
      </w:r>
      <w:proofErr w:type="spellEnd"/>
      <w:r w:rsidRPr="00C93BDC">
        <w:rPr>
          <w:i/>
          <w:sz w:val="20"/>
          <w:lang w:val="fr-CA"/>
        </w:rPr>
        <w:t>.</w:t>
      </w:r>
      <w:r w:rsidRPr="00C93BDC">
        <w:rPr>
          <w:sz w:val="20"/>
          <w:lang w:val="fr-CA"/>
        </w:rPr>
        <w:t xml:space="preserve"> empêche-t-il les parties négociantes de déterminer, dans une entente, la manière et par qui un différend pourra être soumis au conseil d’arbitrage?</w:t>
      </w:r>
    </w:p>
    <w:p w:rsidR="00C93BDC" w:rsidRPr="00C93BDC" w:rsidRDefault="00C93BDC" w:rsidP="00C93BDC">
      <w:pPr>
        <w:widowControl w:val="0"/>
        <w:ind w:left="2160" w:hanging="2160"/>
        <w:jc w:val="both"/>
        <w:rPr>
          <w:b/>
          <w:i/>
          <w:sz w:val="20"/>
          <w:lang w:val="fr-CA"/>
        </w:rPr>
      </w:pPr>
    </w:p>
    <w:p w:rsidR="00C93BDC" w:rsidRPr="00C93BDC" w:rsidRDefault="00C93BDC" w:rsidP="00C93BDC">
      <w:pPr>
        <w:autoSpaceDE w:val="0"/>
        <w:autoSpaceDN w:val="0"/>
        <w:adjustRightInd w:val="0"/>
        <w:jc w:val="both"/>
        <w:rPr>
          <w:sz w:val="20"/>
          <w:lang w:val="fr-CA"/>
        </w:rPr>
      </w:pPr>
      <w:r w:rsidRPr="00C93BDC">
        <w:rPr>
          <w:sz w:val="20"/>
          <w:lang w:val="fr-CA"/>
        </w:rPr>
        <w:t xml:space="preserve">La procureure générale du Québec appelle du jugement rendu le 21 octobre 2015, par la Cour d’appel, qui a rejeté l’appel du jugement rendu le 18 décembre 2013, par la Cour supérieure, qui a accueilli la requête en révision judiciaire de l’intimé, le docteur Ronald Guérin. Plus particulièrement, la Cour supérieure a cassé la décision du conseil d’arbitrage du 29 janvier 2013 et a déclaré que ce dernier avait la compétence pour trancher le différend soumis par l’intimé le 30 janvier 2012. Ce dernier réclamait du conseil d’arbitrage qu’il déclare que les cliniques qu’il représente remplissaient les conditions requises pour l’obtention d’un honoraire particulier. La question est de savoir si un médecin spécialiste, à titre individuel, peut porter ce différend devant le conseil d’arbitrage institué par l’article 54 de la </w:t>
      </w:r>
      <w:r w:rsidRPr="00C93BDC">
        <w:rPr>
          <w:i/>
          <w:sz w:val="20"/>
          <w:lang w:val="fr-CA"/>
        </w:rPr>
        <w:t>Loi sur l’assurance maladie</w:t>
      </w:r>
      <w:r w:rsidRPr="00C93BDC">
        <w:rPr>
          <w:sz w:val="20"/>
          <w:lang w:val="fr-CA"/>
        </w:rPr>
        <w:t>, RLRQ, c. A-29 (la « </w:t>
      </w:r>
      <w:proofErr w:type="spellStart"/>
      <w:r w:rsidRPr="00C93BDC">
        <w:rPr>
          <w:i/>
          <w:sz w:val="20"/>
          <w:lang w:val="fr-CA"/>
        </w:rPr>
        <w:t>L.a.m</w:t>
      </w:r>
      <w:proofErr w:type="spellEnd"/>
      <w:r w:rsidRPr="00C93BDC">
        <w:rPr>
          <w:i/>
          <w:sz w:val="20"/>
          <w:lang w:val="fr-CA"/>
        </w:rPr>
        <w:t>.</w:t>
      </w:r>
      <w:r w:rsidRPr="00C93BDC">
        <w:rPr>
          <w:sz w:val="20"/>
          <w:lang w:val="fr-CA"/>
        </w:rPr>
        <w:t> »), ou si c’est uniquement son association représentative, l’intervenante Fédération des médecins spécialistes du Québec, qui détient l’intérêt pour agir.</w:t>
      </w:r>
    </w:p>
    <w:p w:rsidR="00C93BDC" w:rsidRPr="000F4DF2" w:rsidRDefault="00C93BDC" w:rsidP="00340C6D">
      <w:pPr>
        <w:jc w:val="both"/>
        <w:rPr>
          <w:szCs w:val="24"/>
          <w:lang w:val="fr-CA"/>
        </w:rPr>
      </w:pPr>
    </w:p>
    <w:p w:rsidR="00072A63" w:rsidRDefault="00072A63" w:rsidP="00EC79B0">
      <w:pPr>
        <w:jc w:val="both"/>
        <w:rPr>
          <w:szCs w:val="24"/>
          <w:lang w:val="fr-CA"/>
        </w:rPr>
      </w:pPr>
    </w:p>
    <w:p w:rsidR="00C93BDC" w:rsidRPr="000F4DF2" w:rsidRDefault="00C93BDC" w:rsidP="00EC79B0">
      <w:pPr>
        <w:jc w:val="both"/>
        <w:rPr>
          <w:szCs w:val="24"/>
          <w:lang w:val="fr-CA"/>
        </w:rPr>
      </w:pPr>
    </w:p>
    <w:p w:rsidR="001C4415" w:rsidRPr="00AB61D0" w:rsidRDefault="001C4415" w:rsidP="001C4415">
      <w:pPr>
        <w:widowControl w:val="0"/>
        <w:outlineLvl w:val="0"/>
      </w:pPr>
      <w:r w:rsidRPr="00AB61D0">
        <w:t xml:space="preserve">Supreme Court of Canada / Cour suprême du </w:t>
      </w:r>
      <w:proofErr w:type="gramStart"/>
      <w:r w:rsidRPr="00AB61D0">
        <w:t>Canada :</w:t>
      </w:r>
      <w:proofErr w:type="gramEnd"/>
      <w:r w:rsidRPr="00AB61D0">
        <w:t xml:space="preserve"> </w:t>
      </w:r>
    </w:p>
    <w:p w:rsidR="001C4415" w:rsidRPr="00AB61D0" w:rsidRDefault="00664EA7" w:rsidP="001C4415">
      <w:pPr>
        <w:widowControl w:val="0"/>
        <w:outlineLvl w:val="0"/>
      </w:pPr>
      <w:hyperlink r:id="rId8" w:history="1">
        <w:r w:rsidR="001C4415" w:rsidRPr="00AB61D0">
          <w:rPr>
            <w:rStyle w:val="Hyperlink"/>
          </w:rPr>
          <w:t>comments-commentaires@scc-csc.ca</w:t>
        </w:r>
      </w:hyperlink>
    </w:p>
    <w:p w:rsidR="001C4415" w:rsidRPr="00AB61D0" w:rsidRDefault="001C4415" w:rsidP="001C4415">
      <w:pPr>
        <w:widowControl w:val="0"/>
        <w:outlineLvl w:val="0"/>
      </w:pPr>
      <w:r w:rsidRPr="00AB61D0">
        <w:t>(613) 995-4330</w:t>
      </w:r>
    </w:p>
    <w:p w:rsidR="001C4415" w:rsidRPr="00AB61D0" w:rsidRDefault="001C4415" w:rsidP="001C4415">
      <w:pPr>
        <w:widowControl w:val="0"/>
        <w:rPr>
          <w:sz w:val="20"/>
        </w:rPr>
      </w:pPr>
    </w:p>
    <w:p w:rsidR="0036476C" w:rsidRPr="003E101F" w:rsidRDefault="001C4415" w:rsidP="0036476C">
      <w:pPr>
        <w:pStyle w:val="Footer"/>
        <w:jc w:val="center"/>
      </w:pPr>
      <w:r w:rsidRPr="00AB61D0">
        <w:t xml:space="preserve">- 30 </w:t>
      </w:r>
      <w:r w:rsidR="003C1B6E" w:rsidRPr="00AB61D0">
        <w:t>-</w:t>
      </w:r>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97AAA"/>
    <w:rsid w:val="000A063C"/>
    <w:rsid w:val="000A21DA"/>
    <w:rsid w:val="000A30BB"/>
    <w:rsid w:val="000A33B2"/>
    <w:rsid w:val="000A401F"/>
    <w:rsid w:val="000A7900"/>
    <w:rsid w:val="000B0E38"/>
    <w:rsid w:val="000B216A"/>
    <w:rsid w:val="000B6CE0"/>
    <w:rsid w:val="000C11C5"/>
    <w:rsid w:val="000C1225"/>
    <w:rsid w:val="000C466B"/>
    <w:rsid w:val="000C7C9D"/>
    <w:rsid w:val="000D25C5"/>
    <w:rsid w:val="000D4096"/>
    <w:rsid w:val="000D413D"/>
    <w:rsid w:val="000D682D"/>
    <w:rsid w:val="000E1FA5"/>
    <w:rsid w:val="000E33A8"/>
    <w:rsid w:val="000E457A"/>
    <w:rsid w:val="000F2225"/>
    <w:rsid w:val="000F2F73"/>
    <w:rsid w:val="000F4DF2"/>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504582"/>
    <w:rsid w:val="0051320D"/>
    <w:rsid w:val="005132EC"/>
    <w:rsid w:val="00520A3C"/>
    <w:rsid w:val="00523038"/>
    <w:rsid w:val="00525362"/>
    <w:rsid w:val="00525B8E"/>
    <w:rsid w:val="00531567"/>
    <w:rsid w:val="005330D9"/>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EA7"/>
    <w:rsid w:val="00666E0D"/>
    <w:rsid w:val="0067017D"/>
    <w:rsid w:val="00676709"/>
    <w:rsid w:val="00680968"/>
    <w:rsid w:val="0068297E"/>
    <w:rsid w:val="00682A71"/>
    <w:rsid w:val="00685A30"/>
    <w:rsid w:val="006942C4"/>
    <w:rsid w:val="006A3523"/>
    <w:rsid w:val="006A58E0"/>
    <w:rsid w:val="006A61C3"/>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7BE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0434"/>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021C"/>
    <w:rsid w:val="00A52FC3"/>
    <w:rsid w:val="00A539FF"/>
    <w:rsid w:val="00A60F48"/>
    <w:rsid w:val="00A64DFD"/>
    <w:rsid w:val="00A709E8"/>
    <w:rsid w:val="00A8420B"/>
    <w:rsid w:val="00A86226"/>
    <w:rsid w:val="00A86D9C"/>
    <w:rsid w:val="00A9462E"/>
    <w:rsid w:val="00A96F68"/>
    <w:rsid w:val="00A97C36"/>
    <w:rsid w:val="00AA6478"/>
    <w:rsid w:val="00AB4EFD"/>
    <w:rsid w:val="00AB61D0"/>
    <w:rsid w:val="00AB6E49"/>
    <w:rsid w:val="00AB7298"/>
    <w:rsid w:val="00AB76F5"/>
    <w:rsid w:val="00AC0E55"/>
    <w:rsid w:val="00AC1EBB"/>
    <w:rsid w:val="00AC29C3"/>
    <w:rsid w:val="00AC3DA6"/>
    <w:rsid w:val="00AD28E3"/>
    <w:rsid w:val="00AD359C"/>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3872"/>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21A8"/>
    <w:rsid w:val="00C343BF"/>
    <w:rsid w:val="00C34DBC"/>
    <w:rsid w:val="00C3754A"/>
    <w:rsid w:val="00C443AF"/>
    <w:rsid w:val="00C51144"/>
    <w:rsid w:val="00C54C7F"/>
    <w:rsid w:val="00C55365"/>
    <w:rsid w:val="00C56B06"/>
    <w:rsid w:val="00C65E58"/>
    <w:rsid w:val="00C724D2"/>
    <w:rsid w:val="00C72BFA"/>
    <w:rsid w:val="00C749CD"/>
    <w:rsid w:val="00C7692E"/>
    <w:rsid w:val="00C76C3D"/>
    <w:rsid w:val="00C76CA2"/>
    <w:rsid w:val="00C77D60"/>
    <w:rsid w:val="00C80CEE"/>
    <w:rsid w:val="00C86395"/>
    <w:rsid w:val="00C87AA9"/>
    <w:rsid w:val="00C92D07"/>
    <w:rsid w:val="00C93BDC"/>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4A3C"/>
    <w:rsid w:val="00CC59DC"/>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23F5D"/>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3859"/>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10F5"/>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0F4D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F4DF2"/>
    <w:rPr>
      <w:rFonts w:eastAsiaTheme="minorHAnsi" w:cstheme="minorBidi"/>
      <w:b/>
      <w:sz w:val="24"/>
      <w:szCs w:val="22"/>
      <w:lang w:val="en-CA"/>
    </w:rPr>
  </w:style>
  <w:style w:type="paragraph" w:customStyle="1" w:styleId="SCCBanSummary">
    <w:name w:val="SCC.BanSummary"/>
    <w:basedOn w:val="Normal"/>
    <w:next w:val="Normal"/>
    <w:link w:val="SCCBanSummaryChar"/>
    <w:rsid w:val="000F4DF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F4DF2"/>
    <w:rPr>
      <w:rFonts w:eastAsiaTheme="minorHAnsi" w:cstheme="minorBidi"/>
      <w:smallCaps/>
      <w:sz w:val="24"/>
      <w:szCs w:val="22"/>
      <w:lang w:val="en-CA"/>
    </w:rPr>
  </w:style>
  <w:style w:type="character" w:customStyle="1" w:styleId="SCCLsocOtherPartySeparatorChar">
    <w:name w:val="SCC.Lsoc.OtherPartySeparator Char"/>
    <w:basedOn w:val="DefaultParagraphFont"/>
    <w:link w:val="SCCLsocOtherPartySeparator"/>
    <w:rsid w:val="00C93BDC"/>
    <w:rPr>
      <w:rFonts w:eastAsiaTheme="minorHAnsi" w:cstheme="minorBidi"/>
      <w:i/>
      <w:sz w:val="24"/>
      <w:szCs w:val="22"/>
    </w:rPr>
  </w:style>
  <w:style w:type="paragraph" w:customStyle="1" w:styleId="SCCLsocOtherPartySeparator">
    <w:name w:val="SCC.Lsoc.OtherPartySeparator"/>
    <w:basedOn w:val="Normal"/>
    <w:next w:val="Normal"/>
    <w:link w:val="SCCLsocOtherPartySeparatorChar"/>
    <w:rsid w:val="00C93BDC"/>
    <w:rPr>
      <w:rFonts w:eastAsiaTheme="minorHAnsi" w:cstheme="minorBidi"/>
      <w:i/>
      <w:szCs w:val="22"/>
    </w:rPr>
  </w:style>
  <w:style w:type="paragraph" w:styleId="BalloonText">
    <w:name w:val="Balloon Text"/>
    <w:basedOn w:val="Normal"/>
    <w:link w:val="BalloonTextChar"/>
    <w:uiPriority w:val="99"/>
    <w:semiHidden/>
    <w:unhideWhenUsed/>
    <w:rsid w:val="00D8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70602658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67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2017-07-19T17:41:00Z</dcterms:created>
  <dcterms:modified xsi:type="dcterms:W3CDTF">2017-07-21T11:12:00Z</dcterms:modified>
</cp:coreProperties>
</file>