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E21ED" w:rsidRDefault="003F43E6" w:rsidP="00122CE1">
      <w:pPr>
        <w:pStyle w:val="Header"/>
        <w:tabs>
          <w:tab w:val="left" w:pos="1620"/>
          <w:tab w:val="left" w:pos="1710"/>
        </w:tabs>
        <w:jc w:val="center"/>
        <w:rPr>
          <w:b/>
          <w:sz w:val="32"/>
        </w:rPr>
      </w:pPr>
      <w:r w:rsidRPr="004E21ED">
        <w:rPr>
          <w:b/>
          <w:sz w:val="32"/>
        </w:rPr>
        <w:t>Supreme Court of Canada / Cour suprême du Canada</w:t>
      </w:r>
    </w:p>
    <w:p w:rsidR="003F43E6" w:rsidRPr="004E21ED" w:rsidRDefault="003F43E6" w:rsidP="006F2579">
      <w:pPr>
        <w:widowControl w:val="0"/>
        <w:rPr>
          <w:i/>
        </w:rPr>
      </w:pPr>
    </w:p>
    <w:p w:rsidR="006F2579" w:rsidRPr="004E21ED" w:rsidRDefault="006F2579" w:rsidP="006F2579">
      <w:pPr>
        <w:widowControl w:val="0"/>
        <w:rPr>
          <w:i/>
        </w:rPr>
      </w:pPr>
      <w:r w:rsidRPr="004E21ED">
        <w:rPr>
          <w:i/>
        </w:rPr>
        <w:t>(le français suit)</w:t>
      </w:r>
    </w:p>
    <w:p w:rsidR="006F2579" w:rsidRPr="004E21ED" w:rsidRDefault="006F2579" w:rsidP="006F2579">
      <w:pPr>
        <w:widowControl w:val="0"/>
      </w:pPr>
    </w:p>
    <w:p w:rsidR="006F2579" w:rsidRPr="004E21ED" w:rsidRDefault="00B07908" w:rsidP="006F2579">
      <w:pPr>
        <w:widowControl w:val="0"/>
        <w:jc w:val="center"/>
        <w:rPr>
          <w:b/>
        </w:rPr>
      </w:pPr>
      <w:r w:rsidRPr="004E21ED">
        <w:fldChar w:fldCharType="begin"/>
      </w:r>
      <w:r w:rsidR="006F2579" w:rsidRPr="004E21ED">
        <w:instrText xml:space="preserve"> SEQ CHAPTER \h \r 1</w:instrText>
      </w:r>
      <w:r w:rsidRPr="004E21ED">
        <w:fldChar w:fldCharType="end"/>
      </w:r>
      <w:r w:rsidR="006F2579" w:rsidRPr="004E21ED">
        <w:rPr>
          <w:b/>
        </w:rPr>
        <w:t>JUDGMENT</w:t>
      </w:r>
      <w:r w:rsidR="00B17AAC" w:rsidRPr="004E21ED">
        <w:rPr>
          <w:b/>
        </w:rPr>
        <w:t>S</w:t>
      </w:r>
      <w:r w:rsidR="006F2579" w:rsidRPr="004E21ED">
        <w:rPr>
          <w:b/>
        </w:rPr>
        <w:t xml:space="preserve"> TO B</w:t>
      </w:r>
      <w:r w:rsidR="00001846" w:rsidRPr="004E21ED">
        <w:rPr>
          <w:b/>
        </w:rPr>
        <w:t>E RENDERED IN LEAVE APPLICATION</w:t>
      </w:r>
      <w:r w:rsidR="00AE4C09" w:rsidRPr="004E21ED">
        <w:rPr>
          <w:b/>
        </w:rPr>
        <w:t>S</w:t>
      </w:r>
    </w:p>
    <w:p w:rsidR="006F2579" w:rsidRPr="004E21ED" w:rsidRDefault="006F2579" w:rsidP="006F2579">
      <w:pPr>
        <w:widowControl w:val="0"/>
      </w:pPr>
    </w:p>
    <w:p w:rsidR="006F2579" w:rsidRPr="004E21ED" w:rsidRDefault="00CA5C69" w:rsidP="006F2579">
      <w:pPr>
        <w:widowControl w:val="0"/>
        <w:rPr>
          <w:b/>
        </w:rPr>
      </w:pPr>
      <w:r>
        <w:rPr>
          <w:b/>
        </w:rPr>
        <w:t>September</w:t>
      </w:r>
      <w:r w:rsidR="00FD37D0" w:rsidRPr="004E21ED">
        <w:rPr>
          <w:b/>
        </w:rPr>
        <w:t xml:space="preserve"> </w:t>
      </w:r>
      <w:r w:rsidR="00567966">
        <w:rPr>
          <w:b/>
        </w:rPr>
        <w:t>5</w:t>
      </w:r>
      <w:r w:rsidR="00AB5538" w:rsidRPr="004E21ED">
        <w:rPr>
          <w:b/>
        </w:rPr>
        <w:t>,</w:t>
      </w:r>
      <w:r w:rsidR="006F2579" w:rsidRPr="004E21ED">
        <w:rPr>
          <w:b/>
        </w:rPr>
        <w:t xml:space="preserve"> </w:t>
      </w:r>
      <w:r w:rsidR="0054689F" w:rsidRPr="004E21ED">
        <w:rPr>
          <w:b/>
        </w:rPr>
        <w:t>201</w:t>
      </w:r>
      <w:r w:rsidR="00A151D1" w:rsidRPr="004E21ED">
        <w:rPr>
          <w:b/>
        </w:rPr>
        <w:t>7</w:t>
      </w:r>
    </w:p>
    <w:p w:rsidR="006F2579" w:rsidRPr="004E21ED" w:rsidRDefault="006F2579" w:rsidP="006F2579">
      <w:pPr>
        <w:widowControl w:val="0"/>
        <w:rPr>
          <w:b/>
        </w:rPr>
      </w:pPr>
      <w:r w:rsidRPr="004E21ED">
        <w:rPr>
          <w:b/>
        </w:rPr>
        <w:t>For immediate release</w:t>
      </w:r>
    </w:p>
    <w:p w:rsidR="006F2579" w:rsidRPr="004E21ED" w:rsidRDefault="006F2579" w:rsidP="006F2579">
      <w:pPr>
        <w:widowControl w:val="0"/>
      </w:pPr>
    </w:p>
    <w:p w:rsidR="006F2579" w:rsidRPr="007334BB" w:rsidRDefault="006F2579" w:rsidP="006F2579">
      <w:pPr>
        <w:widowControl w:val="0"/>
        <w:rPr>
          <w:lang w:val="fr-CA"/>
        </w:rPr>
      </w:pPr>
      <w:r w:rsidRPr="004E21ED">
        <w:rPr>
          <w:b/>
        </w:rPr>
        <w:t>OTTAWA</w:t>
      </w:r>
      <w:r w:rsidRPr="004E21ED">
        <w:t xml:space="preserve"> – The Supreme Court of Canad</w:t>
      </w:r>
      <w:r w:rsidR="006246E4" w:rsidRPr="004E21ED">
        <w:t>a</w:t>
      </w:r>
      <w:r w:rsidRPr="004E21ED">
        <w:t xml:space="preserve"> announced today that judgment in the following application</w:t>
      </w:r>
      <w:r w:rsidR="008600ED" w:rsidRPr="004E21ED">
        <w:t>s</w:t>
      </w:r>
      <w:r w:rsidRPr="004E21ED">
        <w:t xml:space="preserve"> for leave to appeal will be delivered at 9:45 a.m. E</w:t>
      </w:r>
      <w:r w:rsidR="009F6DB9" w:rsidRPr="004E21ED">
        <w:t>D</w:t>
      </w:r>
      <w:r w:rsidRPr="004E21ED">
        <w:t xml:space="preserve">T on Thursday, </w:t>
      </w:r>
      <w:r w:rsidR="00CA5C69">
        <w:t>September</w:t>
      </w:r>
      <w:r w:rsidR="00780317" w:rsidRPr="004E21ED">
        <w:t xml:space="preserve"> </w:t>
      </w:r>
      <w:r w:rsidR="00CA5C69">
        <w:t>7</w:t>
      </w:r>
      <w:r w:rsidR="007E112F" w:rsidRPr="004E21ED">
        <w:t>,</w:t>
      </w:r>
      <w:r w:rsidR="002F38D7" w:rsidRPr="004E21ED">
        <w:t xml:space="preserve"> </w:t>
      </w:r>
      <w:r w:rsidR="006648D1" w:rsidRPr="004E21ED">
        <w:t>201</w:t>
      </w:r>
      <w:r w:rsidR="00A151D1" w:rsidRPr="004E21ED">
        <w:t>7</w:t>
      </w:r>
      <w:r w:rsidRPr="004E21ED">
        <w:t xml:space="preserve">. </w:t>
      </w:r>
      <w:r w:rsidRPr="007334BB">
        <w:rPr>
          <w:lang w:val="fr-CA"/>
        </w:rPr>
        <w:t>This list is subject to chang</w:t>
      </w:r>
      <w:r w:rsidR="00192F7F" w:rsidRPr="007334BB">
        <w:rPr>
          <w:lang w:val="fr-CA"/>
        </w:rPr>
        <w:t>e</w:t>
      </w:r>
      <w:r w:rsidRPr="007334BB">
        <w:rPr>
          <w:lang w:val="fr-CA"/>
        </w:rPr>
        <w:t>.</w:t>
      </w:r>
    </w:p>
    <w:p w:rsidR="00FF5AA4" w:rsidRPr="007334BB" w:rsidRDefault="00FF5AA4" w:rsidP="006F2579">
      <w:pPr>
        <w:widowControl w:val="0"/>
        <w:rPr>
          <w:lang w:val="fr-CA"/>
        </w:rPr>
      </w:pPr>
    </w:p>
    <w:p w:rsidR="00B43418" w:rsidRPr="007334BB" w:rsidRDefault="00B43418" w:rsidP="006F2579">
      <w:pPr>
        <w:widowControl w:val="0"/>
        <w:rPr>
          <w:lang w:val="fr-CA"/>
        </w:rPr>
      </w:pPr>
    </w:p>
    <w:p w:rsidR="006F2579" w:rsidRPr="004E21ED" w:rsidRDefault="006F2579" w:rsidP="006F2579">
      <w:pPr>
        <w:widowControl w:val="0"/>
        <w:jc w:val="center"/>
        <w:rPr>
          <w:lang w:val="fr-CA"/>
        </w:rPr>
      </w:pPr>
      <w:r w:rsidRPr="004E21ED">
        <w:rPr>
          <w:b/>
          <w:lang w:val="fr-CA"/>
        </w:rPr>
        <w:t>PROCHAIN</w:t>
      </w:r>
      <w:r w:rsidR="00B17AAC" w:rsidRPr="004E21ED">
        <w:rPr>
          <w:b/>
          <w:lang w:val="fr-CA"/>
        </w:rPr>
        <w:t>S</w:t>
      </w:r>
      <w:r w:rsidRPr="004E21ED">
        <w:rPr>
          <w:b/>
          <w:lang w:val="fr-CA"/>
        </w:rPr>
        <w:t xml:space="preserve"> JUGEMENT</w:t>
      </w:r>
      <w:r w:rsidR="00B17AAC" w:rsidRPr="004E21ED">
        <w:rPr>
          <w:b/>
          <w:lang w:val="fr-CA"/>
        </w:rPr>
        <w:t>S</w:t>
      </w:r>
      <w:r w:rsidR="00001846" w:rsidRPr="004E21ED">
        <w:rPr>
          <w:b/>
          <w:lang w:val="fr-CA"/>
        </w:rPr>
        <w:t xml:space="preserve"> SUR DEMANDE</w:t>
      </w:r>
      <w:r w:rsidR="00B17AAC" w:rsidRPr="004E21ED">
        <w:rPr>
          <w:b/>
          <w:lang w:val="fr-CA"/>
        </w:rPr>
        <w:t>S</w:t>
      </w:r>
      <w:r w:rsidRPr="004E21ED">
        <w:rPr>
          <w:b/>
          <w:lang w:val="fr-CA"/>
        </w:rPr>
        <w:t xml:space="preserve"> D’AUTORISATION</w:t>
      </w:r>
    </w:p>
    <w:p w:rsidR="006F2579" w:rsidRPr="004E21ED" w:rsidRDefault="006F2579" w:rsidP="006F2579">
      <w:pPr>
        <w:widowControl w:val="0"/>
        <w:rPr>
          <w:lang w:val="fr-CA"/>
        </w:rPr>
      </w:pPr>
    </w:p>
    <w:p w:rsidR="006F2579" w:rsidRPr="004E21ED" w:rsidRDefault="006F2579" w:rsidP="006F2579">
      <w:pPr>
        <w:widowControl w:val="0"/>
        <w:rPr>
          <w:b/>
          <w:lang w:val="fr-CA"/>
        </w:rPr>
      </w:pPr>
      <w:r w:rsidRPr="004E21ED">
        <w:rPr>
          <w:b/>
          <w:lang w:val="fr-CA"/>
        </w:rPr>
        <w:t>Le</w:t>
      </w:r>
      <w:r w:rsidR="00957A76" w:rsidRPr="004E21ED">
        <w:rPr>
          <w:b/>
          <w:lang w:val="fr-CA"/>
        </w:rPr>
        <w:t xml:space="preserve"> </w:t>
      </w:r>
      <w:r w:rsidR="00567966">
        <w:rPr>
          <w:b/>
          <w:lang w:val="fr-CA"/>
        </w:rPr>
        <w:t>5</w:t>
      </w:r>
      <w:r w:rsidR="00FD37D0" w:rsidRPr="004E21ED">
        <w:rPr>
          <w:b/>
          <w:lang w:val="fr-CA"/>
        </w:rPr>
        <w:t xml:space="preserve"> </w:t>
      </w:r>
      <w:r w:rsidR="00CA5C69">
        <w:rPr>
          <w:b/>
          <w:lang w:val="fr-CA"/>
        </w:rPr>
        <w:t>septembre</w:t>
      </w:r>
      <w:r w:rsidR="00A151D1" w:rsidRPr="004E21ED">
        <w:rPr>
          <w:b/>
          <w:lang w:val="fr-CA"/>
        </w:rPr>
        <w:t xml:space="preserve"> 2017</w:t>
      </w:r>
    </w:p>
    <w:p w:rsidR="006F2579" w:rsidRPr="004E21ED" w:rsidRDefault="006F2579" w:rsidP="006F2579">
      <w:pPr>
        <w:widowControl w:val="0"/>
        <w:rPr>
          <w:b/>
          <w:lang w:val="fr-CA"/>
        </w:rPr>
      </w:pPr>
      <w:r w:rsidRPr="004E21ED">
        <w:rPr>
          <w:b/>
          <w:lang w:val="fr-CA"/>
        </w:rPr>
        <w:t>Pour diffusion immédiate</w:t>
      </w:r>
    </w:p>
    <w:p w:rsidR="006F2579" w:rsidRPr="004E21ED" w:rsidRDefault="006F2579" w:rsidP="006F2579">
      <w:pPr>
        <w:widowControl w:val="0"/>
        <w:rPr>
          <w:b/>
          <w:lang w:val="fr-CA"/>
        </w:rPr>
      </w:pPr>
    </w:p>
    <w:p w:rsidR="006F2579" w:rsidRPr="004E21ED" w:rsidRDefault="006F2579" w:rsidP="006F2579">
      <w:pPr>
        <w:widowControl w:val="0"/>
        <w:rPr>
          <w:lang w:val="fr-CA"/>
        </w:rPr>
      </w:pPr>
      <w:r w:rsidRPr="004E21ED">
        <w:rPr>
          <w:b/>
          <w:lang w:val="fr-CA"/>
        </w:rPr>
        <w:t>OTTAWA</w:t>
      </w:r>
      <w:r w:rsidRPr="004E21ED">
        <w:rPr>
          <w:lang w:val="fr-CA"/>
        </w:rPr>
        <w:t xml:space="preserve"> – La Cour suprême du Canada annonce que jugement ser</w:t>
      </w:r>
      <w:r w:rsidR="004259F9" w:rsidRPr="004E21ED">
        <w:rPr>
          <w:lang w:val="fr-CA"/>
        </w:rPr>
        <w:t>a</w:t>
      </w:r>
      <w:r w:rsidRPr="004E21ED">
        <w:rPr>
          <w:lang w:val="fr-CA"/>
        </w:rPr>
        <w:t xml:space="preserve"> rendu dans l</w:t>
      </w:r>
      <w:r w:rsidR="008600ED" w:rsidRPr="004E21ED">
        <w:rPr>
          <w:lang w:val="fr-CA"/>
        </w:rPr>
        <w:t>es</w:t>
      </w:r>
      <w:r w:rsidRPr="004E21ED">
        <w:rPr>
          <w:lang w:val="fr-CA"/>
        </w:rPr>
        <w:t xml:space="preserve"> demande</w:t>
      </w:r>
      <w:r w:rsidR="008600ED" w:rsidRPr="004E21ED">
        <w:rPr>
          <w:lang w:val="fr-CA"/>
        </w:rPr>
        <w:t>s</w:t>
      </w:r>
      <w:r w:rsidRPr="004E21ED">
        <w:rPr>
          <w:lang w:val="fr-CA"/>
        </w:rPr>
        <w:t xml:space="preserve"> d</w:t>
      </w:r>
      <w:r w:rsidR="00001846" w:rsidRPr="004E21ED">
        <w:rPr>
          <w:lang w:val="fr-CA"/>
        </w:rPr>
        <w:t>’autorisation d’appel suivante</w:t>
      </w:r>
      <w:r w:rsidR="008600ED" w:rsidRPr="004E21ED">
        <w:rPr>
          <w:lang w:val="fr-CA"/>
        </w:rPr>
        <w:t>s</w:t>
      </w:r>
      <w:r w:rsidRPr="004E21ED">
        <w:rPr>
          <w:lang w:val="fr-CA"/>
        </w:rPr>
        <w:t xml:space="preserve"> le jeudi </w:t>
      </w:r>
      <w:r w:rsidR="00CA5C69">
        <w:rPr>
          <w:lang w:val="fr-CA"/>
        </w:rPr>
        <w:t>7</w:t>
      </w:r>
      <w:r w:rsidR="00780317" w:rsidRPr="004E21ED">
        <w:rPr>
          <w:lang w:val="fr-CA"/>
        </w:rPr>
        <w:t xml:space="preserve"> </w:t>
      </w:r>
      <w:r w:rsidR="00CA5C69">
        <w:rPr>
          <w:lang w:val="fr-CA"/>
        </w:rPr>
        <w:t>septembre</w:t>
      </w:r>
      <w:r w:rsidR="00674329" w:rsidRPr="004E21ED">
        <w:rPr>
          <w:lang w:val="fr-CA"/>
        </w:rPr>
        <w:t xml:space="preserve"> </w:t>
      </w:r>
      <w:r w:rsidR="006648D1" w:rsidRPr="004E21ED">
        <w:rPr>
          <w:lang w:val="fr-CA"/>
        </w:rPr>
        <w:t>201</w:t>
      </w:r>
      <w:r w:rsidR="00A151D1" w:rsidRPr="004E21ED">
        <w:rPr>
          <w:lang w:val="fr-CA"/>
        </w:rPr>
        <w:t>7</w:t>
      </w:r>
      <w:r w:rsidRPr="004E21ED">
        <w:rPr>
          <w:lang w:val="fr-CA"/>
        </w:rPr>
        <w:t xml:space="preserve">, à 9 h 45 </w:t>
      </w:r>
      <w:r w:rsidR="000627A2" w:rsidRPr="004E21ED">
        <w:rPr>
          <w:lang w:val="fr-CA"/>
        </w:rPr>
        <w:t>H</w:t>
      </w:r>
      <w:r w:rsidR="009F6DB9" w:rsidRPr="004E21ED">
        <w:rPr>
          <w:lang w:val="fr-CA"/>
        </w:rPr>
        <w:t>A</w:t>
      </w:r>
      <w:r w:rsidRPr="004E21ED">
        <w:rPr>
          <w:lang w:val="fr-CA"/>
        </w:rPr>
        <w:t>E. Cette liste est sujette à modifications.</w:t>
      </w:r>
    </w:p>
    <w:p w:rsidR="0080556B" w:rsidRPr="004E21ED" w:rsidRDefault="0080556B" w:rsidP="009B14F4">
      <w:pPr>
        <w:widowControl w:val="0"/>
        <w:jc w:val="both"/>
        <w:rPr>
          <w:sz w:val="20"/>
          <w:lang w:val="fr-CA"/>
        </w:rPr>
      </w:pPr>
    </w:p>
    <w:p w:rsidR="001838E0" w:rsidRPr="004E21ED" w:rsidRDefault="003D353C" w:rsidP="009B14F4">
      <w:pPr>
        <w:widowControl w:val="0"/>
        <w:jc w:val="both"/>
        <w:rPr>
          <w:sz w:val="20"/>
          <w:lang w:val="fr-CA"/>
        </w:rPr>
      </w:pPr>
      <w:r w:rsidRPr="004E21E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621FED" w:rsidRPr="00621FED" w:rsidRDefault="00621FED" w:rsidP="00621FED">
      <w:pPr>
        <w:tabs>
          <w:tab w:val="left" w:pos="900"/>
          <w:tab w:val="center" w:pos="5760"/>
        </w:tabs>
        <w:ind w:left="360" w:hanging="360"/>
        <w:rPr>
          <w:sz w:val="20"/>
        </w:rPr>
      </w:pPr>
    </w:p>
    <w:p w:rsidR="009E68BE" w:rsidRPr="00F96CF3" w:rsidRDefault="009E68BE" w:rsidP="00621FED">
      <w:pPr>
        <w:pStyle w:val="NoSpacing"/>
        <w:numPr>
          <w:ilvl w:val="0"/>
          <w:numId w:val="9"/>
        </w:numPr>
        <w:tabs>
          <w:tab w:val="left" w:pos="720"/>
          <w:tab w:val="center" w:pos="5760"/>
        </w:tabs>
        <w:ind w:left="360"/>
        <w:jc w:val="both"/>
        <w:rPr>
          <w:sz w:val="20"/>
          <w:szCs w:val="20"/>
          <w:lang w:val="en-CA"/>
        </w:rPr>
      </w:pPr>
      <w:r w:rsidRPr="00F96CF3">
        <w:rPr>
          <w:i/>
          <w:sz w:val="20"/>
          <w:szCs w:val="20"/>
          <w:lang w:val="en-CA"/>
        </w:rPr>
        <w:t>Telecommunications Workers’ Union v. Telus Communications Inc.</w:t>
      </w:r>
      <w:r w:rsidRPr="00F96CF3">
        <w:rPr>
          <w:sz w:val="20"/>
          <w:szCs w:val="20"/>
          <w:lang w:val="en-CA"/>
        </w:rPr>
        <w:t xml:space="preserve"> (B.C.) (Civil) (By Leave)</w:t>
      </w:r>
      <w:r w:rsidR="00F96CF3">
        <w:rPr>
          <w:sz w:val="20"/>
          <w:szCs w:val="20"/>
          <w:lang w:val="en-CA"/>
        </w:rPr>
        <w:t xml:space="preserve"> </w:t>
      </w:r>
      <w:r w:rsidR="00F96CF3" w:rsidRPr="00F96CF3">
        <w:rPr>
          <w:sz w:val="20"/>
        </w:rPr>
        <w:t>(</w:t>
      </w:r>
      <w:hyperlink r:id="rId8" w:history="1">
        <w:r w:rsidR="00F96CF3" w:rsidRPr="00F96CF3">
          <w:rPr>
            <w:rStyle w:val="Hyperlink"/>
            <w:sz w:val="20"/>
          </w:rPr>
          <w:t>3</w:t>
        </w:r>
        <w:r w:rsidR="00F96CF3">
          <w:rPr>
            <w:rStyle w:val="Hyperlink"/>
            <w:sz w:val="20"/>
          </w:rPr>
          <w:t>7544</w:t>
        </w:r>
      </w:hyperlink>
      <w:r w:rsidR="00F96CF3" w:rsidRPr="00F96CF3">
        <w:rPr>
          <w:sz w:val="20"/>
        </w:rPr>
        <w:t>)</w:t>
      </w:r>
    </w:p>
    <w:p w:rsidR="00BE187B" w:rsidRPr="00F96CF3" w:rsidRDefault="00BE187B" w:rsidP="00621FED">
      <w:pPr>
        <w:tabs>
          <w:tab w:val="left" w:pos="900"/>
          <w:tab w:val="center" w:pos="5760"/>
        </w:tabs>
        <w:ind w:left="360" w:hanging="360"/>
        <w:rPr>
          <w:sz w:val="20"/>
          <w:lang w:val="en-CA"/>
        </w:rPr>
      </w:pPr>
    </w:p>
    <w:p w:rsidR="00F96CF3" w:rsidRPr="00F96CF3" w:rsidRDefault="00F96CF3" w:rsidP="00621FED">
      <w:pPr>
        <w:pStyle w:val="ListParagraph"/>
        <w:numPr>
          <w:ilvl w:val="0"/>
          <w:numId w:val="9"/>
        </w:numPr>
        <w:ind w:left="360"/>
        <w:jc w:val="both"/>
        <w:rPr>
          <w:sz w:val="20"/>
          <w:lang w:val="en-CA"/>
        </w:rPr>
      </w:pPr>
      <w:r w:rsidRPr="00F96CF3">
        <w:rPr>
          <w:i/>
          <w:sz w:val="20"/>
          <w:lang w:val="en-CA"/>
        </w:rPr>
        <w:t>Chas Berry v. Her Majesty the Queen</w:t>
      </w:r>
      <w:r w:rsidRPr="00160E97">
        <w:rPr>
          <w:sz w:val="20"/>
          <w:lang w:val="en-CA"/>
        </w:rPr>
        <w:t xml:space="preserve"> (</w:t>
      </w:r>
      <w:r w:rsidRPr="00F96CF3">
        <w:rPr>
          <w:sz w:val="20"/>
          <w:lang w:val="en-CA"/>
        </w:rPr>
        <w:t>Ont.) (Criminal) (By Leave)</w:t>
      </w:r>
      <w:r>
        <w:rPr>
          <w:sz w:val="20"/>
          <w:lang w:val="en-CA"/>
        </w:rPr>
        <w:t xml:space="preserve"> </w:t>
      </w:r>
      <w:r w:rsidRPr="00F96CF3">
        <w:rPr>
          <w:sz w:val="20"/>
        </w:rPr>
        <w:t>(</w:t>
      </w:r>
      <w:hyperlink r:id="rId9" w:history="1">
        <w:r w:rsidRPr="00F96CF3">
          <w:rPr>
            <w:rStyle w:val="Hyperlink"/>
            <w:sz w:val="20"/>
          </w:rPr>
          <w:t>3</w:t>
        </w:r>
        <w:r w:rsidR="000023A0">
          <w:rPr>
            <w:rStyle w:val="Hyperlink"/>
            <w:sz w:val="20"/>
          </w:rPr>
          <w:t>7571</w:t>
        </w:r>
      </w:hyperlink>
      <w:r w:rsidRPr="00F96CF3">
        <w:rPr>
          <w:sz w:val="20"/>
        </w:rPr>
        <w:t>)</w:t>
      </w:r>
    </w:p>
    <w:p w:rsidR="00BE187B" w:rsidRPr="009E68BE" w:rsidRDefault="00BE187B" w:rsidP="00AD129B">
      <w:pPr>
        <w:tabs>
          <w:tab w:val="left" w:pos="900"/>
          <w:tab w:val="center" w:pos="5760"/>
        </w:tabs>
        <w:rPr>
          <w:sz w:val="20"/>
        </w:rPr>
      </w:pPr>
    </w:p>
    <w:p w:rsidR="00A43D91" w:rsidRPr="00180396" w:rsidRDefault="00A43D91" w:rsidP="00180396">
      <w:pPr>
        <w:tabs>
          <w:tab w:val="left" w:pos="900"/>
          <w:tab w:val="center" w:pos="5760"/>
        </w:tabs>
        <w:jc w:val="both"/>
        <w:rPr>
          <w:sz w:val="20"/>
          <w:lang w:val="fr-CA"/>
        </w:rPr>
      </w:pPr>
      <w:bookmarkStart w:id="0" w:name="_GoBack"/>
      <w:bookmarkEnd w:id="0"/>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0396" w:rsidRPr="00180396" w:rsidTr="00E95A6A">
        <w:tc>
          <w:tcPr>
            <w:tcW w:w="543" w:type="pct"/>
          </w:tcPr>
          <w:p w:rsidR="00180396" w:rsidRPr="00180396" w:rsidRDefault="00180396" w:rsidP="00180396">
            <w:pPr>
              <w:jc w:val="both"/>
              <w:rPr>
                <w:sz w:val="20"/>
              </w:rPr>
            </w:pPr>
            <w:r w:rsidRPr="00180396">
              <w:rPr>
                <w:rStyle w:val="SCCFileNumberChar"/>
                <w:sz w:val="20"/>
                <w:szCs w:val="20"/>
              </w:rPr>
              <w:t>37544</w:t>
            </w:r>
          </w:p>
        </w:tc>
        <w:tc>
          <w:tcPr>
            <w:tcW w:w="4457" w:type="pct"/>
            <w:gridSpan w:val="3"/>
          </w:tcPr>
          <w:p w:rsidR="00180396" w:rsidRPr="00180396" w:rsidRDefault="00180396" w:rsidP="00180396">
            <w:pPr>
              <w:pStyle w:val="SCCLsocParty"/>
              <w:jc w:val="both"/>
              <w:rPr>
                <w:b/>
                <w:sz w:val="20"/>
                <w:szCs w:val="20"/>
                <w:lang w:val="en-US"/>
              </w:rPr>
            </w:pPr>
            <w:r w:rsidRPr="00180396">
              <w:rPr>
                <w:b/>
                <w:sz w:val="20"/>
                <w:szCs w:val="20"/>
                <w:lang w:val="en-US"/>
              </w:rPr>
              <w:t xml:space="preserve">Telecommunications Workers' Union v. </w:t>
            </w:r>
            <w:proofErr w:type="spellStart"/>
            <w:r w:rsidRPr="00180396">
              <w:rPr>
                <w:b/>
                <w:sz w:val="20"/>
                <w:szCs w:val="20"/>
                <w:lang w:val="en-US"/>
              </w:rPr>
              <w:t>Telus</w:t>
            </w:r>
            <w:proofErr w:type="spellEnd"/>
            <w:r w:rsidRPr="00180396">
              <w:rPr>
                <w:b/>
                <w:sz w:val="20"/>
                <w:szCs w:val="20"/>
                <w:lang w:val="en-US"/>
              </w:rPr>
              <w:t xml:space="preserve"> Communications Inc.</w:t>
            </w:r>
          </w:p>
          <w:p w:rsidR="00180396" w:rsidRPr="00180396" w:rsidRDefault="00180396" w:rsidP="00180396">
            <w:pPr>
              <w:jc w:val="both"/>
              <w:rPr>
                <w:sz w:val="20"/>
              </w:rPr>
            </w:pPr>
            <w:r w:rsidRPr="00180396">
              <w:rPr>
                <w:sz w:val="20"/>
              </w:rPr>
              <w:t>(B.C.) (Civil) (By Leave)</w:t>
            </w:r>
          </w:p>
        </w:tc>
      </w:tr>
      <w:tr w:rsidR="00180396" w:rsidRPr="00180396" w:rsidTr="00E95A6A">
        <w:tc>
          <w:tcPr>
            <w:tcW w:w="5000" w:type="pct"/>
            <w:gridSpan w:val="4"/>
          </w:tcPr>
          <w:p w:rsidR="00180396" w:rsidRPr="00180396" w:rsidRDefault="00180396" w:rsidP="00180396">
            <w:pPr>
              <w:jc w:val="both"/>
              <w:rPr>
                <w:sz w:val="20"/>
              </w:rPr>
            </w:pPr>
            <w:proofErr w:type="spellStart"/>
            <w:r w:rsidRPr="00180396">
              <w:rPr>
                <w:sz w:val="20"/>
              </w:rPr>
              <w:t>Labour</w:t>
            </w:r>
            <w:proofErr w:type="spellEnd"/>
            <w:r w:rsidRPr="00180396">
              <w:rPr>
                <w:sz w:val="20"/>
              </w:rPr>
              <w:t xml:space="preserve"> relations — Collective agreement — Union — Grievance — Union grievance alleging employer in breach of collective agreement for failure to allow union right to notice, information and consultation in all medical disability accommodation cases — Whether a certified trade union has, as exclusive bargaining agent under s. 36(1) the </w:t>
            </w:r>
            <w:r w:rsidRPr="00180396">
              <w:rPr>
                <w:i/>
                <w:sz w:val="20"/>
              </w:rPr>
              <w:t>Canada Labour Code</w:t>
            </w:r>
            <w:r w:rsidRPr="00180396">
              <w:rPr>
                <w:sz w:val="20"/>
              </w:rPr>
              <w:t xml:space="preserve">, R.S.C. 1985, c. L-2, the right to represent bargaining unit employees seeking accommodation from their employer pursuant to their rights under </w:t>
            </w:r>
            <w:r w:rsidRPr="00180396">
              <w:rPr>
                <w:i/>
                <w:sz w:val="20"/>
              </w:rPr>
              <w:t>Canadian Human Rights Act</w:t>
            </w:r>
            <w:r w:rsidRPr="00180396">
              <w:rPr>
                <w:sz w:val="20"/>
              </w:rPr>
              <w:t xml:space="preserve">, R.S.C. 1985, c. H-6 - Whether union has rights to notice, information and consultation in respect of all such employee requests for accommodation — Whether lower courts unjustifiably interfered with Arbitrator’s interpretation of parties’ collective agreement and union’s rights in accommodation process </w:t>
            </w:r>
          </w:p>
          <w:p w:rsidR="00180396" w:rsidRPr="00180396" w:rsidRDefault="00180396" w:rsidP="00180396">
            <w:pPr>
              <w:jc w:val="both"/>
              <w:rPr>
                <w:sz w:val="20"/>
              </w:rPr>
            </w:pPr>
          </w:p>
        </w:tc>
      </w:tr>
      <w:tr w:rsidR="00180396" w:rsidRPr="00180396" w:rsidTr="00E95A6A">
        <w:tc>
          <w:tcPr>
            <w:tcW w:w="5000" w:type="pct"/>
            <w:gridSpan w:val="4"/>
          </w:tcPr>
          <w:p w:rsidR="00180396" w:rsidRPr="00180396" w:rsidRDefault="00180396" w:rsidP="00180396">
            <w:pPr>
              <w:jc w:val="both"/>
              <w:rPr>
                <w:sz w:val="20"/>
              </w:rPr>
            </w:pPr>
            <w:r w:rsidRPr="00180396">
              <w:rPr>
                <w:sz w:val="20"/>
              </w:rPr>
              <w:t xml:space="preserve">The applicant Telecommunications Workers’ Union (“TWU”) filed a grievance alleging that the respondent employer, Telus Communications Inc. had violated the collective agreement, the </w:t>
            </w:r>
            <w:r w:rsidRPr="00180396">
              <w:rPr>
                <w:i/>
                <w:sz w:val="20"/>
              </w:rPr>
              <w:t xml:space="preserve">Canada Labour Code </w:t>
            </w:r>
            <w:r w:rsidRPr="00180396">
              <w:rPr>
                <w:sz w:val="20"/>
              </w:rPr>
              <w:t>(“</w:t>
            </w:r>
            <w:r w:rsidRPr="00180396">
              <w:rPr>
                <w:i/>
                <w:sz w:val="20"/>
              </w:rPr>
              <w:t>CLC</w:t>
            </w:r>
            <w:r w:rsidRPr="00180396">
              <w:rPr>
                <w:sz w:val="20"/>
              </w:rPr>
              <w:t xml:space="preserve">”), and the </w:t>
            </w:r>
            <w:r w:rsidRPr="00180396">
              <w:rPr>
                <w:i/>
                <w:sz w:val="20"/>
              </w:rPr>
              <w:t>Canadian Human Rights Act</w:t>
            </w:r>
            <w:r w:rsidRPr="00180396">
              <w:rPr>
                <w:sz w:val="20"/>
              </w:rPr>
              <w:t xml:space="preserve"> by refusing to allow TWU to participate in the process for employees seeking accommodation of a medical disability. The issue was whether Article A13 of the collective agreement allowed Telus to deal unilaterally with employees over issues of workplace accommodation or whether there was a duty in all such cases to give notice, to provide information and to consult with TWU. </w:t>
            </w:r>
          </w:p>
        </w:tc>
      </w:tr>
      <w:tr w:rsidR="00180396" w:rsidRPr="00180396" w:rsidTr="00E95A6A">
        <w:tc>
          <w:tcPr>
            <w:tcW w:w="5000" w:type="pct"/>
            <w:gridSpan w:val="4"/>
          </w:tcPr>
          <w:p w:rsidR="00180396" w:rsidRPr="00180396" w:rsidRDefault="00180396" w:rsidP="00180396">
            <w:pPr>
              <w:jc w:val="both"/>
              <w:rPr>
                <w:sz w:val="20"/>
              </w:rPr>
            </w:pPr>
          </w:p>
        </w:tc>
      </w:tr>
      <w:tr w:rsidR="00180396" w:rsidRPr="00180396" w:rsidTr="00E95A6A">
        <w:tc>
          <w:tcPr>
            <w:tcW w:w="2427" w:type="pct"/>
            <w:gridSpan w:val="2"/>
          </w:tcPr>
          <w:p w:rsidR="00180396" w:rsidRPr="00180396" w:rsidRDefault="00180396" w:rsidP="00180396">
            <w:pPr>
              <w:jc w:val="both"/>
              <w:rPr>
                <w:sz w:val="20"/>
              </w:rPr>
            </w:pPr>
            <w:r w:rsidRPr="00180396">
              <w:rPr>
                <w:sz w:val="20"/>
              </w:rPr>
              <w:lastRenderedPageBreak/>
              <w:t>July 28, 2014</w:t>
            </w:r>
          </w:p>
          <w:p w:rsidR="00180396" w:rsidRPr="00180396" w:rsidRDefault="00180396" w:rsidP="00180396">
            <w:pPr>
              <w:jc w:val="both"/>
              <w:rPr>
                <w:sz w:val="20"/>
              </w:rPr>
            </w:pPr>
            <w:r w:rsidRPr="00180396">
              <w:rPr>
                <w:sz w:val="20"/>
              </w:rPr>
              <w:t>Labour Relations Board</w:t>
            </w:r>
          </w:p>
          <w:p w:rsidR="00180396" w:rsidRPr="00180396" w:rsidRDefault="00180396" w:rsidP="00180396">
            <w:pPr>
              <w:jc w:val="both"/>
              <w:rPr>
                <w:sz w:val="20"/>
              </w:rPr>
            </w:pPr>
            <w:r w:rsidRPr="00180396">
              <w:rPr>
                <w:sz w:val="20"/>
              </w:rPr>
              <w:t>(Sullivan, Arbitrator)</w:t>
            </w:r>
          </w:p>
          <w:p w:rsidR="00180396" w:rsidRPr="00180396" w:rsidRDefault="00180396" w:rsidP="00180396">
            <w:pPr>
              <w:jc w:val="both"/>
              <w:rPr>
                <w:sz w:val="20"/>
              </w:rPr>
            </w:pPr>
          </w:p>
        </w:tc>
        <w:tc>
          <w:tcPr>
            <w:tcW w:w="243" w:type="pct"/>
          </w:tcPr>
          <w:p w:rsidR="00180396" w:rsidRPr="00180396" w:rsidRDefault="00180396" w:rsidP="00180396">
            <w:pPr>
              <w:jc w:val="both"/>
              <w:rPr>
                <w:sz w:val="20"/>
              </w:rPr>
            </w:pPr>
          </w:p>
        </w:tc>
        <w:tc>
          <w:tcPr>
            <w:tcW w:w="2330" w:type="pct"/>
          </w:tcPr>
          <w:p w:rsidR="00180396" w:rsidRPr="00180396" w:rsidRDefault="00180396" w:rsidP="00180396">
            <w:pPr>
              <w:jc w:val="both"/>
              <w:rPr>
                <w:sz w:val="20"/>
              </w:rPr>
            </w:pPr>
            <w:r w:rsidRPr="00180396">
              <w:rPr>
                <w:sz w:val="20"/>
              </w:rPr>
              <w:t>Union’s grievance successful; union entitled to notice, information and consultation.</w:t>
            </w:r>
          </w:p>
        </w:tc>
      </w:tr>
      <w:tr w:rsidR="00180396" w:rsidRPr="00180396" w:rsidTr="00E95A6A">
        <w:tc>
          <w:tcPr>
            <w:tcW w:w="2427" w:type="pct"/>
            <w:gridSpan w:val="2"/>
          </w:tcPr>
          <w:p w:rsidR="00180396" w:rsidRPr="00180396" w:rsidRDefault="00180396" w:rsidP="00180396">
            <w:pPr>
              <w:jc w:val="both"/>
              <w:rPr>
                <w:sz w:val="20"/>
              </w:rPr>
            </w:pPr>
            <w:r w:rsidRPr="00180396">
              <w:rPr>
                <w:sz w:val="20"/>
              </w:rPr>
              <w:t>September 2, 2015</w:t>
            </w:r>
          </w:p>
          <w:p w:rsidR="00180396" w:rsidRPr="00180396" w:rsidRDefault="00180396" w:rsidP="00180396">
            <w:pPr>
              <w:jc w:val="both"/>
              <w:rPr>
                <w:sz w:val="20"/>
              </w:rPr>
            </w:pPr>
            <w:r w:rsidRPr="00180396">
              <w:rPr>
                <w:sz w:val="20"/>
              </w:rPr>
              <w:t>Supreme Court of British Columbia</w:t>
            </w:r>
          </w:p>
          <w:p w:rsidR="00180396" w:rsidRPr="00180396" w:rsidRDefault="00180396" w:rsidP="00180396">
            <w:pPr>
              <w:jc w:val="both"/>
              <w:rPr>
                <w:sz w:val="20"/>
              </w:rPr>
            </w:pPr>
            <w:r w:rsidRPr="00180396">
              <w:rPr>
                <w:sz w:val="20"/>
              </w:rPr>
              <w:t>(McEwan J.)</w:t>
            </w:r>
          </w:p>
          <w:p w:rsidR="00180396" w:rsidRPr="00180396" w:rsidRDefault="007334BB" w:rsidP="00180396">
            <w:pPr>
              <w:jc w:val="both"/>
              <w:rPr>
                <w:sz w:val="20"/>
              </w:rPr>
            </w:pPr>
            <w:hyperlink r:id="rId10" w:history="1">
              <w:r w:rsidR="00180396" w:rsidRPr="00180396">
                <w:rPr>
                  <w:rStyle w:val="Hyperlink"/>
                  <w:sz w:val="20"/>
                </w:rPr>
                <w:t>2015 BCSC 1570</w:t>
              </w:r>
            </w:hyperlink>
          </w:p>
          <w:p w:rsidR="00180396" w:rsidRPr="00180396" w:rsidRDefault="00180396" w:rsidP="00180396">
            <w:pPr>
              <w:jc w:val="both"/>
              <w:rPr>
                <w:sz w:val="20"/>
              </w:rPr>
            </w:pPr>
          </w:p>
        </w:tc>
        <w:tc>
          <w:tcPr>
            <w:tcW w:w="243" w:type="pct"/>
          </w:tcPr>
          <w:p w:rsidR="00180396" w:rsidRPr="00180396" w:rsidRDefault="00180396" w:rsidP="00180396">
            <w:pPr>
              <w:jc w:val="both"/>
              <w:rPr>
                <w:sz w:val="20"/>
              </w:rPr>
            </w:pPr>
          </w:p>
        </w:tc>
        <w:tc>
          <w:tcPr>
            <w:tcW w:w="2330" w:type="pct"/>
          </w:tcPr>
          <w:p w:rsidR="00180396" w:rsidRPr="00180396" w:rsidRDefault="00180396" w:rsidP="00180396">
            <w:pPr>
              <w:jc w:val="both"/>
              <w:rPr>
                <w:sz w:val="20"/>
              </w:rPr>
            </w:pPr>
            <w:r w:rsidRPr="00180396">
              <w:rPr>
                <w:sz w:val="20"/>
              </w:rPr>
              <w:t>Decision of arbitrator quashed</w:t>
            </w:r>
          </w:p>
          <w:p w:rsidR="00180396" w:rsidRPr="00180396" w:rsidRDefault="00180396" w:rsidP="00180396">
            <w:pPr>
              <w:jc w:val="both"/>
              <w:rPr>
                <w:sz w:val="20"/>
              </w:rPr>
            </w:pPr>
          </w:p>
          <w:p w:rsidR="00180396" w:rsidRPr="00180396" w:rsidRDefault="00180396" w:rsidP="00180396">
            <w:pPr>
              <w:jc w:val="both"/>
              <w:rPr>
                <w:sz w:val="20"/>
              </w:rPr>
            </w:pPr>
          </w:p>
        </w:tc>
      </w:tr>
      <w:tr w:rsidR="00180396" w:rsidRPr="00180396" w:rsidTr="00E95A6A">
        <w:tc>
          <w:tcPr>
            <w:tcW w:w="2427" w:type="pct"/>
            <w:gridSpan w:val="2"/>
          </w:tcPr>
          <w:p w:rsidR="00180396" w:rsidRPr="00180396" w:rsidRDefault="00180396" w:rsidP="00180396">
            <w:pPr>
              <w:jc w:val="both"/>
              <w:rPr>
                <w:sz w:val="20"/>
              </w:rPr>
            </w:pPr>
            <w:r w:rsidRPr="00180396">
              <w:rPr>
                <w:sz w:val="20"/>
              </w:rPr>
              <w:t>February 28, 2017</w:t>
            </w:r>
          </w:p>
          <w:p w:rsidR="00180396" w:rsidRPr="00180396" w:rsidRDefault="00180396" w:rsidP="00180396">
            <w:pPr>
              <w:jc w:val="both"/>
              <w:rPr>
                <w:sz w:val="20"/>
              </w:rPr>
            </w:pPr>
            <w:r w:rsidRPr="00180396">
              <w:rPr>
                <w:sz w:val="20"/>
              </w:rPr>
              <w:t>Court of Appeal for British Columbia</w:t>
            </w:r>
          </w:p>
          <w:p w:rsidR="00180396" w:rsidRPr="00180396" w:rsidRDefault="00180396" w:rsidP="00180396">
            <w:pPr>
              <w:jc w:val="both"/>
              <w:rPr>
                <w:sz w:val="20"/>
              </w:rPr>
            </w:pPr>
            <w:r w:rsidRPr="00180396">
              <w:rPr>
                <w:sz w:val="20"/>
              </w:rPr>
              <w:t>(Vancouver)</w:t>
            </w:r>
          </w:p>
          <w:p w:rsidR="00180396" w:rsidRPr="00180396" w:rsidRDefault="00180396" w:rsidP="00180396">
            <w:pPr>
              <w:jc w:val="both"/>
              <w:rPr>
                <w:sz w:val="20"/>
              </w:rPr>
            </w:pPr>
            <w:r w:rsidRPr="00180396">
              <w:rPr>
                <w:sz w:val="20"/>
              </w:rPr>
              <w:t>(Saunders, Savage and Fenlon JJ.A.)</w:t>
            </w:r>
          </w:p>
          <w:p w:rsidR="00180396" w:rsidRPr="00180396" w:rsidRDefault="007334BB" w:rsidP="00180396">
            <w:pPr>
              <w:jc w:val="both"/>
              <w:rPr>
                <w:sz w:val="20"/>
              </w:rPr>
            </w:pPr>
            <w:hyperlink r:id="rId11" w:history="1">
              <w:r w:rsidR="00180396" w:rsidRPr="00180396">
                <w:rPr>
                  <w:rStyle w:val="Hyperlink"/>
                  <w:sz w:val="20"/>
                </w:rPr>
                <w:t>2017 BCCA 100</w:t>
              </w:r>
            </w:hyperlink>
          </w:p>
          <w:p w:rsidR="00180396" w:rsidRPr="00180396" w:rsidRDefault="00180396" w:rsidP="00180396">
            <w:pPr>
              <w:jc w:val="both"/>
              <w:rPr>
                <w:sz w:val="20"/>
              </w:rPr>
            </w:pPr>
          </w:p>
        </w:tc>
        <w:tc>
          <w:tcPr>
            <w:tcW w:w="243" w:type="pct"/>
          </w:tcPr>
          <w:p w:rsidR="00180396" w:rsidRPr="00180396" w:rsidRDefault="00180396" w:rsidP="00180396">
            <w:pPr>
              <w:jc w:val="both"/>
              <w:rPr>
                <w:sz w:val="20"/>
              </w:rPr>
            </w:pPr>
          </w:p>
        </w:tc>
        <w:tc>
          <w:tcPr>
            <w:tcW w:w="2330" w:type="pct"/>
          </w:tcPr>
          <w:p w:rsidR="00180396" w:rsidRPr="00180396" w:rsidRDefault="00180396" w:rsidP="00180396">
            <w:pPr>
              <w:jc w:val="both"/>
              <w:rPr>
                <w:sz w:val="20"/>
              </w:rPr>
            </w:pPr>
            <w:r w:rsidRPr="00180396">
              <w:rPr>
                <w:sz w:val="20"/>
              </w:rPr>
              <w:t>Applicant’s appeal dismissed</w:t>
            </w:r>
          </w:p>
          <w:p w:rsidR="00180396" w:rsidRPr="00180396" w:rsidRDefault="00180396" w:rsidP="00180396">
            <w:pPr>
              <w:jc w:val="both"/>
              <w:rPr>
                <w:sz w:val="20"/>
              </w:rPr>
            </w:pPr>
          </w:p>
        </w:tc>
      </w:tr>
      <w:tr w:rsidR="00180396" w:rsidRPr="00180396" w:rsidTr="00E95A6A">
        <w:tc>
          <w:tcPr>
            <w:tcW w:w="2427" w:type="pct"/>
            <w:gridSpan w:val="2"/>
          </w:tcPr>
          <w:p w:rsidR="00180396" w:rsidRPr="00180396" w:rsidRDefault="00180396" w:rsidP="00180396">
            <w:pPr>
              <w:jc w:val="both"/>
              <w:rPr>
                <w:sz w:val="20"/>
              </w:rPr>
            </w:pPr>
            <w:r w:rsidRPr="00180396">
              <w:rPr>
                <w:sz w:val="20"/>
              </w:rPr>
              <w:t>April 27, 2017</w:t>
            </w:r>
          </w:p>
          <w:p w:rsidR="00180396" w:rsidRPr="00180396" w:rsidRDefault="00180396" w:rsidP="00180396">
            <w:pPr>
              <w:jc w:val="both"/>
              <w:rPr>
                <w:sz w:val="20"/>
              </w:rPr>
            </w:pPr>
            <w:r w:rsidRPr="00180396">
              <w:rPr>
                <w:sz w:val="20"/>
              </w:rPr>
              <w:t>Supreme Court of Canada</w:t>
            </w:r>
          </w:p>
        </w:tc>
        <w:tc>
          <w:tcPr>
            <w:tcW w:w="243" w:type="pct"/>
          </w:tcPr>
          <w:p w:rsidR="00180396" w:rsidRPr="00180396" w:rsidRDefault="00180396" w:rsidP="00180396">
            <w:pPr>
              <w:jc w:val="both"/>
              <w:rPr>
                <w:sz w:val="20"/>
              </w:rPr>
            </w:pPr>
          </w:p>
        </w:tc>
        <w:tc>
          <w:tcPr>
            <w:tcW w:w="2330" w:type="pct"/>
          </w:tcPr>
          <w:p w:rsidR="00180396" w:rsidRPr="00180396" w:rsidRDefault="00180396" w:rsidP="00180396">
            <w:pPr>
              <w:jc w:val="both"/>
              <w:rPr>
                <w:sz w:val="20"/>
              </w:rPr>
            </w:pPr>
            <w:r w:rsidRPr="00180396">
              <w:rPr>
                <w:sz w:val="20"/>
              </w:rPr>
              <w:t>Application for leave to appeal filed</w:t>
            </w:r>
          </w:p>
          <w:p w:rsidR="00180396" w:rsidRPr="00180396" w:rsidRDefault="00180396" w:rsidP="00180396">
            <w:pPr>
              <w:jc w:val="both"/>
              <w:rPr>
                <w:sz w:val="20"/>
              </w:rPr>
            </w:pPr>
          </w:p>
        </w:tc>
      </w:tr>
    </w:tbl>
    <w:p w:rsidR="00180396" w:rsidRDefault="00180396" w:rsidP="00180396">
      <w:pPr>
        <w:jc w:val="both"/>
        <w:rPr>
          <w:sz w:val="20"/>
        </w:rPr>
      </w:pPr>
    </w:p>
    <w:p w:rsidR="00180396" w:rsidRPr="00180396" w:rsidRDefault="00180396" w:rsidP="001803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0396" w:rsidRPr="007334BB" w:rsidTr="00E95A6A">
        <w:tc>
          <w:tcPr>
            <w:tcW w:w="543" w:type="pct"/>
          </w:tcPr>
          <w:p w:rsidR="00180396" w:rsidRPr="00180396" w:rsidRDefault="00180396" w:rsidP="00180396">
            <w:pPr>
              <w:jc w:val="both"/>
              <w:rPr>
                <w:sz w:val="20"/>
                <w:lang w:val="fr-CA"/>
              </w:rPr>
            </w:pPr>
            <w:r w:rsidRPr="00180396">
              <w:rPr>
                <w:rStyle w:val="SCCFileNumberChar"/>
                <w:sz w:val="20"/>
                <w:szCs w:val="20"/>
                <w:lang w:val="fr-CA"/>
              </w:rPr>
              <w:t>37544</w:t>
            </w:r>
          </w:p>
        </w:tc>
        <w:tc>
          <w:tcPr>
            <w:tcW w:w="4457" w:type="pct"/>
            <w:gridSpan w:val="3"/>
          </w:tcPr>
          <w:p w:rsidR="00180396" w:rsidRPr="00180396" w:rsidRDefault="00180396" w:rsidP="00180396">
            <w:pPr>
              <w:pStyle w:val="SCCLsocParty"/>
              <w:jc w:val="both"/>
              <w:rPr>
                <w:b/>
                <w:sz w:val="20"/>
                <w:szCs w:val="20"/>
                <w:lang w:val="en-US"/>
              </w:rPr>
            </w:pPr>
            <w:r w:rsidRPr="00180396">
              <w:rPr>
                <w:b/>
                <w:sz w:val="20"/>
                <w:szCs w:val="20"/>
                <w:lang w:val="en-US"/>
              </w:rPr>
              <w:t xml:space="preserve">Telecommunications Workers' Union c. </w:t>
            </w:r>
            <w:proofErr w:type="spellStart"/>
            <w:r w:rsidRPr="00180396">
              <w:rPr>
                <w:b/>
                <w:sz w:val="20"/>
                <w:szCs w:val="20"/>
                <w:lang w:val="en-US"/>
              </w:rPr>
              <w:t>Telus</w:t>
            </w:r>
            <w:proofErr w:type="spellEnd"/>
            <w:r w:rsidRPr="00180396">
              <w:rPr>
                <w:b/>
                <w:sz w:val="20"/>
                <w:szCs w:val="20"/>
                <w:lang w:val="en-US"/>
              </w:rPr>
              <w:t xml:space="preserve"> Communications Inc.</w:t>
            </w:r>
          </w:p>
          <w:p w:rsidR="00180396" w:rsidRPr="00180396" w:rsidRDefault="00180396" w:rsidP="00180396">
            <w:pPr>
              <w:jc w:val="both"/>
              <w:rPr>
                <w:sz w:val="20"/>
                <w:lang w:val="fr-CA"/>
              </w:rPr>
            </w:pPr>
            <w:r w:rsidRPr="00180396">
              <w:rPr>
                <w:sz w:val="20"/>
                <w:lang w:val="fr-CA"/>
              </w:rPr>
              <w:t>(C.-B.) (Civile) (Sur autorisation)</w:t>
            </w:r>
          </w:p>
        </w:tc>
      </w:tr>
      <w:tr w:rsidR="00180396" w:rsidRPr="007334BB" w:rsidTr="00E95A6A">
        <w:tc>
          <w:tcPr>
            <w:tcW w:w="5000" w:type="pct"/>
            <w:gridSpan w:val="4"/>
          </w:tcPr>
          <w:p w:rsidR="00180396" w:rsidRPr="00180396" w:rsidRDefault="00180396" w:rsidP="00180396">
            <w:pPr>
              <w:jc w:val="both"/>
              <w:rPr>
                <w:sz w:val="20"/>
                <w:lang w:val="fr-CA"/>
              </w:rPr>
            </w:pPr>
            <w:r w:rsidRPr="00180396">
              <w:rPr>
                <w:sz w:val="20"/>
                <w:lang w:val="fr-CA"/>
              </w:rPr>
              <w:t xml:space="preserve">Relations du travail — Convention collective — Syndicat — Grief — Grief du syndicat alléguant que l’employeur a violé la convention collective en omettant de reconnaître au syndicat le droit d’avis, d’information et de consultation dans tous les dossiers où des mesures d’adaptation sont demandées à l’égard d’une invalidité médicale — Un syndicat accrédité a-t-il le droit, en tant qu’agent négociateur exclusif visé au </w:t>
            </w:r>
            <w:proofErr w:type="spellStart"/>
            <w:r w:rsidRPr="00180396">
              <w:rPr>
                <w:sz w:val="20"/>
                <w:lang w:val="fr-CA"/>
              </w:rPr>
              <w:t>par</w:t>
            </w:r>
            <w:proofErr w:type="spellEnd"/>
            <w:r w:rsidRPr="00180396">
              <w:rPr>
                <w:sz w:val="20"/>
                <w:lang w:val="fr-CA"/>
              </w:rPr>
              <w:t xml:space="preserve">. 36(1) du </w:t>
            </w:r>
            <w:r w:rsidRPr="00180396">
              <w:rPr>
                <w:i/>
                <w:sz w:val="20"/>
                <w:lang w:val="fr-CA"/>
              </w:rPr>
              <w:t>Code canadien du travail</w:t>
            </w:r>
            <w:r w:rsidRPr="00180396">
              <w:rPr>
                <w:sz w:val="20"/>
                <w:lang w:val="fr-CA"/>
              </w:rPr>
              <w:t xml:space="preserve">, L.R.C. 1985, ch. L-2, de représenter les employés de l’unité de négociation qui demandent à leur employeur de prendre des mesures d’adaptation en exécution de leurs droits sous le régime de la </w:t>
            </w:r>
            <w:r w:rsidRPr="00180396">
              <w:rPr>
                <w:i/>
                <w:sz w:val="20"/>
                <w:lang w:val="fr-CA"/>
              </w:rPr>
              <w:t>Loi canadienne sur les droits de la personne</w:t>
            </w:r>
            <w:r w:rsidRPr="00180396">
              <w:rPr>
                <w:sz w:val="20"/>
                <w:lang w:val="fr-CA"/>
              </w:rPr>
              <w:t xml:space="preserve">, L.R.C. 1985, ch. H-6? — Le syndicat </w:t>
            </w:r>
            <w:proofErr w:type="spellStart"/>
            <w:r w:rsidRPr="00180396">
              <w:rPr>
                <w:sz w:val="20"/>
                <w:lang w:val="fr-CA"/>
              </w:rPr>
              <w:t>a-t-il</w:t>
            </w:r>
            <w:proofErr w:type="spellEnd"/>
            <w:r w:rsidRPr="00180396">
              <w:rPr>
                <w:sz w:val="20"/>
                <w:lang w:val="fr-CA"/>
              </w:rPr>
              <w:t xml:space="preserve"> des droits d’avis, d’information et de consultation à l’égard de toutes ces demandes de mesures d’adaptation des employés? — Les juridictions inférieures ont-elles modifié sans justification l’interprétation qu’a donnée l’arbitre de la convention collective des parties et porté atteinte aux droits du syndicat dans le processus relatif à la prise de mesures d’adaptation? </w:t>
            </w:r>
          </w:p>
          <w:p w:rsidR="00180396" w:rsidRPr="00180396" w:rsidRDefault="00180396" w:rsidP="00180396">
            <w:pPr>
              <w:jc w:val="both"/>
              <w:rPr>
                <w:sz w:val="20"/>
                <w:lang w:val="fr-CA"/>
              </w:rPr>
            </w:pPr>
          </w:p>
        </w:tc>
      </w:tr>
      <w:tr w:rsidR="00180396" w:rsidRPr="007334BB" w:rsidTr="00E95A6A">
        <w:tc>
          <w:tcPr>
            <w:tcW w:w="5000" w:type="pct"/>
            <w:gridSpan w:val="4"/>
          </w:tcPr>
          <w:p w:rsidR="00180396" w:rsidRPr="00180396" w:rsidRDefault="00180396" w:rsidP="00180396">
            <w:pPr>
              <w:jc w:val="both"/>
              <w:rPr>
                <w:sz w:val="20"/>
                <w:lang w:val="fr-CA"/>
              </w:rPr>
            </w:pPr>
            <w:r w:rsidRPr="00180396">
              <w:rPr>
                <w:sz w:val="20"/>
                <w:lang w:val="fr-CA"/>
              </w:rPr>
              <w:t xml:space="preserve">Le syndicat demandeur, </w:t>
            </w:r>
            <w:proofErr w:type="spellStart"/>
            <w:r w:rsidRPr="00180396">
              <w:rPr>
                <w:sz w:val="20"/>
                <w:lang w:val="fr-CA"/>
              </w:rPr>
              <w:t>Telecommunications</w:t>
            </w:r>
            <w:proofErr w:type="spellEnd"/>
            <w:r w:rsidRPr="00180396">
              <w:rPr>
                <w:sz w:val="20"/>
                <w:lang w:val="fr-CA"/>
              </w:rPr>
              <w:t xml:space="preserve"> </w:t>
            </w:r>
            <w:proofErr w:type="spellStart"/>
            <w:r w:rsidRPr="00180396">
              <w:rPr>
                <w:sz w:val="20"/>
                <w:lang w:val="fr-CA"/>
              </w:rPr>
              <w:t>Workers</w:t>
            </w:r>
            <w:proofErr w:type="spellEnd"/>
            <w:r w:rsidRPr="00180396">
              <w:rPr>
                <w:sz w:val="20"/>
                <w:lang w:val="fr-CA"/>
              </w:rPr>
              <w:t xml:space="preserve">’ Union (« TWU »), a déposé un grief alléguant que l’employeur intimé, Telus Communications Inc. avait violé la convention collective, le </w:t>
            </w:r>
            <w:r w:rsidRPr="00180396">
              <w:rPr>
                <w:i/>
                <w:sz w:val="20"/>
                <w:lang w:val="fr-CA"/>
              </w:rPr>
              <w:t xml:space="preserve">Code canadien du travail </w:t>
            </w:r>
            <w:r w:rsidRPr="00180396">
              <w:rPr>
                <w:sz w:val="20"/>
                <w:lang w:val="fr-CA"/>
              </w:rPr>
              <w:t>(« </w:t>
            </w:r>
            <w:r w:rsidRPr="00180396">
              <w:rPr>
                <w:i/>
                <w:sz w:val="20"/>
                <w:lang w:val="fr-CA"/>
              </w:rPr>
              <w:t>CCT</w:t>
            </w:r>
            <w:r w:rsidRPr="00180396">
              <w:rPr>
                <w:sz w:val="20"/>
                <w:lang w:val="fr-CA"/>
              </w:rPr>
              <w:t xml:space="preserve"> ») et la </w:t>
            </w:r>
            <w:r w:rsidRPr="00180396">
              <w:rPr>
                <w:i/>
                <w:sz w:val="20"/>
                <w:lang w:val="fr-CA"/>
              </w:rPr>
              <w:t>Loi canadienne sur les droits de la personne</w:t>
            </w:r>
            <w:r w:rsidRPr="00180396">
              <w:rPr>
                <w:sz w:val="20"/>
                <w:lang w:val="fr-CA"/>
              </w:rPr>
              <w:t xml:space="preserve"> en refusant de permettre au TWU de participer au processus applicable aux employés qui demandent que des mesures d’adaptation soient prises à l’égard d’une invalidité médicale. Il s’agissait de trancher la question de savoir si l’article A13 de la convention collective permettait à Telus de traiter unilatéralement avec les employés sur des questions de mesures d’adaptation au travail ou s’il y avait une obligation dans tous ces dossiers de donner avis au TWU, de lui fournir de l’information et de le consulter. </w:t>
            </w:r>
          </w:p>
        </w:tc>
      </w:tr>
      <w:tr w:rsidR="00180396" w:rsidRPr="007334BB" w:rsidTr="00E95A6A">
        <w:tc>
          <w:tcPr>
            <w:tcW w:w="5000" w:type="pct"/>
            <w:gridSpan w:val="4"/>
          </w:tcPr>
          <w:p w:rsidR="00180396" w:rsidRPr="00180396" w:rsidRDefault="00180396" w:rsidP="00180396">
            <w:pPr>
              <w:jc w:val="both"/>
              <w:rPr>
                <w:sz w:val="20"/>
                <w:lang w:val="fr-CA"/>
              </w:rPr>
            </w:pPr>
          </w:p>
        </w:tc>
      </w:tr>
      <w:tr w:rsidR="00180396" w:rsidRPr="007334BB" w:rsidTr="00E95A6A">
        <w:tc>
          <w:tcPr>
            <w:tcW w:w="2427" w:type="pct"/>
            <w:gridSpan w:val="2"/>
          </w:tcPr>
          <w:p w:rsidR="00180396" w:rsidRPr="00180396" w:rsidRDefault="00180396" w:rsidP="00180396">
            <w:pPr>
              <w:jc w:val="both"/>
              <w:rPr>
                <w:sz w:val="20"/>
                <w:lang w:val="fr-CA"/>
              </w:rPr>
            </w:pPr>
            <w:r w:rsidRPr="00180396">
              <w:rPr>
                <w:sz w:val="20"/>
                <w:lang w:val="fr-CA"/>
              </w:rPr>
              <w:t>28 juillet 2014</w:t>
            </w:r>
          </w:p>
          <w:p w:rsidR="00180396" w:rsidRPr="00180396" w:rsidRDefault="00180396" w:rsidP="00180396">
            <w:pPr>
              <w:jc w:val="both"/>
              <w:rPr>
                <w:sz w:val="20"/>
                <w:lang w:val="fr-CA"/>
              </w:rPr>
            </w:pPr>
            <w:r w:rsidRPr="00180396">
              <w:rPr>
                <w:sz w:val="20"/>
                <w:lang w:val="fr-CA"/>
              </w:rPr>
              <w:t>Labour Relations Board</w:t>
            </w:r>
          </w:p>
          <w:p w:rsidR="00180396" w:rsidRPr="00180396" w:rsidRDefault="00180396" w:rsidP="00180396">
            <w:pPr>
              <w:jc w:val="both"/>
              <w:rPr>
                <w:sz w:val="20"/>
                <w:lang w:val="fr-CA"/>
              </w:rPr>
            </w:pPr>
            <w:r w:rsidRPr="00180396">
              <w:rPr>
                <w:sz w:val="20"/>
                <w:lang w:val="fr-CA"/>
              </w:rPr>
              <w:t>(Arbitre Sullivan)</w:t>
            </w:r>
          </w:p>
          <w:p w:rsidR="00180396" w:rsidRPr="00180396" w:rsidRDefault="00180396" w:rsidP="00180396">
            <w:pPr>
              <w:jc w:val="both"/>
              <w:rPr>
                <w:sz w:val="20"/>
                <w:lang w:val="fr-CA"/>
              </w:rPr>
            </w:pPr>
          </w:p>
        </w:tc>
        <w:tc>
          <w:tcPr>
            <w:tcW w:w="243" w:type="pct"/>
          </w:tcPr>
          <w:p w:rsidR="00180396" w:rsidRPr="00180396" w:rsidRDefault="00180396" w:rsidP="00180396">
            <w:pPr>
              <w:jc w:val="both"/>
              <w:rPr>
                <w:sz w:val="20"/>
                <w:lang w:val="fr-CA"/>
              </w:rPr>
            </w:pPr>
          </w:p>
        </w:tc>
        <w:tc>
          <w:tcPr>
            <w:tcW w:w="2330" w:type="pct"/>
          </w:tcPr>
          <w:p w:rsidR="00180396" w:rsidRPr="00180396" w:rsidRDefault="00180396" w:rsidP="00180396">
            <w:pPr>
              <w:jc w:val="both"/>
              <w:rPr>
                <w:sz w:val="20"/>
                <w:lang w:val="fr-CA"/>
              </w:rPr>
            </w:pPr>
            <w:r w:rsidRPr="00180396">
              <w:rPr>
                <w:sz w:val="20"/>
                <w:lang w:val="fr-CA"/>
              </w:rPr>
              <w:t>Sentence accueillant le grief du syndicat et lui reconnaissant le droit d’avis, d’information et de consultation.</w:t>
            </w:r>
          </w:p>
        </w:tc>
      </w:tr>
      <w:tr w:rsidR="00180396" w:rsidRPr="007334BB" w:rsidTr="00E95A6A">
        <w:tc>
          <w:tcPr>
            <w:tcW w:w="2427" w:type="pct"/>
            <w:gridSpan w:val="2"/>
          </w:tcPr>
          <w:p w:rsidR="00180396" w:rsidRPr="00180396" w:rsidRDefault="00180396" w:rsidP="00180396">
            <w:pPr>
              <w:jc w:val="both"/>
              <w:rPr>
                <w:sz w:val="20"/>
                <w:lang w:val="fr-CA"/>
              </w:rPr>
            </w:pPr>
            <w:r w:rsidRPr="00180396">
              <w:rPr>
                <w:sz w:val="20"/>
                <w:lang w:val="fr-CA"/>
              </w:rPr>
              <w:t>2 septembre 2015</w:t>
            </w:r>
          </w:p>
          <w:p w:rsidR="00180396" w:rsidRPr="00180396" w:rsidRDefault="00180396" w:rsidP="00180396">
            <w:pPr>
              <w:jc w:val="both"/>
              <w:rPr>
                <w:sz w:val="20"/>
                <w:lang w:val="fr-CA"/>
              </w:rPr>
            </w:pPr>
            <w:r w:rsidRPr="00180396">
              <w:rPr>
                <w:sz w:val="20"/>
                <w:lang w:val="fr-CA"/>
              </w:rPr>
              <w:t>Cour suprême de la Colombie-Britannique</w:t>
            </w:r>
          </w:p>
          <w:p w:rsidR="00180396" w:rsidRPr="00180396" w:rsidRDefault="00180396" w:rsidP="00180396">
            <w:pPr>
              <w:jc w:val="both"/>
              <w:rPr>
                <w:sz w:val="20"/>
                <w:lang w:val="fr-CA"/>
              </w:rPr>
            </w:pPr>
            <w:r w:rsidRPr="00180396">
              <w:rPr>
                <w:sz w:val="20"/>
                <w:lang w:val="fr-CA"/>
              </w:rPr>
              <w:t>(Juge McEwan)</w:t>
            </w:r>
          </w:p>
          <w:p w:rsidR="00180396" w:rsidRPr="00180396" w:rsidRDefault="007334BB" w:rsidP="00180396">
            <w:pPr>
              <w:jc w:val="both"/>
              <w:rPr>
                <w:sz w:val="20"/>
                <w:lang w:val="fr-CA"/>
              </w:rPr>
            </w:pPr>
            <w:hyperlink r:id="rId12" w:history="1">
              <w:r w:rsidR="00180396" w:rsidRPr="00180396">
                <w:rPr>
                  <w:rStyle w:val="Hyperlink"/>
                  <w:sz w:val="20"/>
                  <w:lang w:val="fr-CA"/>
                </w:rPr>
                <w:t>2015 BCSC 1570</w:t>
              </w:r>
            </w:hyperlink>
          </w:p>
          <w:p w:rsidR="00180396" w:rsidRPr="00180396" w:rsidRDefault="00180396" w:rsidP="00180396">
            <w:pPr>
              <w:jc w:val="both"/>
              <w:rPr>
                <w:sz w:val="20"/>
                <w:lang w:val="fr-CA"/>
              </w:rPr>
            </w:pPr>
          </w:p>
        </w:tc>
        <w:tc>
          <w:tcPr>
            <w:tcW w:w="243" w:type="pct"/>
          </w:tcPr>
          <w:p w:rsidR="00180396" w:rsidRPr="00180396" w:rsidRDefault="00180396" w:rsidP="00180396">
            <w:pPr>
              <w:jc w:val="both"/>
              <w:rPr>
                <w:sz w:val="20"/>
                <w:lang w:val="fr-CA"/>
              </w:rPr>
            </w:pPr>
          </w:p>
        </w:tc>
        <w:tc>
          <w:tcPr>
            <w:tcW w:w="2330" w:type="pct"/>
          </w:tcPr>
          <w:p w:rsidR="00180396" w:rsidRPr="00180396" w:rsidRDefault="00180396" w:rsidP="00180396">
            <w:pPr>
              <w:jc w:val="both"/>
              <w:rPr>
                <w:sz w:val="20"/>
                <w:lang w:val="fr-CA"/>
              </w:rPr>
            </w:pPr>
            <w:r w:rsidRPr="00180396">
              <w:rPr>
                <w:sz w:val="20"/>
                <w:lang w:val="fr-CA"/>
              </w:rPr>
              <w:t>Annulation de la sentence de l’arbitre</w:t>
            </w:r>
          </w:p>
          <w:p w:rsidR="00180396" w:rsidRPr="00180396" w:rsidRDefault="00180396" w:rsidP="00180396">
            <w:pPr>
              <w:jc w:val="both"/>
              <w:rPr>
                <w:sz w:val="20"/>
                <w:lang w:val="fr-CA"/>
              </w:rPr>
            </w:pPr>
          </w:p>
          <w:p w:rsidR="00180396" w:rsidRPr="00180396" w:rsidRDefault="00180396" w:rsidP="00180396">
            <w:pPr>
              <w:jc w:val="both"/>
              <w:rPr>
                <w:sz w:val="20"/>
                <w:lang w:val="fr-CA"/>
              </w:rPr>
            </w:pPr>
          </w:p>
        </w:tc>
      </w:tr>
      <w:tr w:rsidR="00180396" w:rsidRPr="00180396" w:rsidTr="00E95A6A">
        <w:tc>
          <w:tcPr>
            <w:tcW w:w="2427" w:type="pct"/>
            <w:gridSpan w:val="2"/>
          </w:tcPr>
          <w:p w:rsidR="00180396" w:rsidRPr="00180396" w:rsidRDefault="00180396" w:rsidP="00180396">
            <w:pPr>
              <w:jc w:val="both"/>
              <w:rPr>
                <w:sz w:val="20"/>
                <w:lang w:val="fr-CA"/>
              </w:rPr>
            </w:pPr>
            <w:r w:rsidRPr="00180396">
              <w:rPr>
                <w:sz w:val="20"/>
                <w:lang w:val="fr-CA"/>
              </w:rPr>
              <w:t>28 février 2017</w:t>
            </w:r>
          </w:p>
          <w:p w:rsidR="00180396" w:rsidRPr="00180396" w:rsidRDefault="00180396" w:rsidP="00180396">
            <w:pPr>
              <w:jc w:val="both"/>
              <w:rPr>
                <w:sz w:val="20"/>
                <w:lang w:val="fr-CA"/>
              </w:rPr>
            </w:pPr>
            <w:r w:rsidRPr="00180396">
              <w:rPr>
                <w:sz w:val="20"/>
                <w:lang w:val="fr-CA"/>
              </w:rPr>
              <w:lastRenderedPageBreak/>
              <w:t>Cour d’appel de la Colombie-Britannique</w:t>
            </w:r>
          </w:p>
          <w:p w:rsidR="00180396" w:rsidRPr="00180396" w:rsidRDefault="00180396" w:rsidP="00180396">
            <w:pPr>
              <w:jc w:val="both"/>
              <w:rPr>
                <w:sz w:val="20"/>
                <w:lang w:val="fr-CA"/>
              </w:rPr>
            </w:pPr>
            <w:r w:rsidRPr="00180396">
              <w:rPr>
                <w:sz w:val="20"/>
                <w:lang w:val="fr-CA"/>
              </w:rPr>
              <w:t>(Vancouver)</w:t>
            </w:r>
          </w:p>
          <w:p w:rsidR="00180396" w:rsidRPr="00180396" w:rsidRDefault="00180396" w:rsidP="00180396">
            <w:pPr>
              <w:jc w:val="both"/>
              <w:rPr>
                <w:sz w:val="20"/>
                <w:lang w:val="fr-CA"/>
              </w:rPr>
            </w:pPr>
            <w:r w:rsidRPr="00180396">
              <w:rPr>
                <w:sz w:val="20"/>
                <w:lang w:val="fr-CA"/>
              </w:rPr>
              <w:t>(Juges Saunders, Savage et Fenlon)</w:t>
            </w:r>
          </w:p>
          <w:p w:rsidR="00180396" w:rsidRPr="00180396" w:rsidRDefault="007334BB" w:rsidP="00180396">
            <w:pPr>
              <w:jc w:val="both"/>
              <w:rPr>
                <w:sz w:val="20"/>
                <w:lang w:val="fr-CA"/>
              </w:rPr>
            </w:pPr>
            <w:hyperlink r:id="rId13" w:history="1">
              <w:r w:rsidR="00180396" w:rsidRPr="00180396">
                <w:rPr>
                  <w:rStyle w:val="Hyperlink"/>
                  <w:sz w:val="20"/>
                  <w:lang w:val="fr-CA"/>
                </w:rPr>
                <w:t>2017 BCCA 100</w:t>
              </w:r>
            </w:hyperlink>
          </w:p>
          <w:p w:rsidR="00180396" w:rsidRPr="00180396" w:rsidRDefault="00180396" w:rsidP="00180396">
            <w:pPr>
              <w:jc w:val="both"/>
              <w:rPr>
                <w:sz w:val="20"/>
                <w:lang w:val="fr-CA"/>
              </w:rPr>
            </w:pPr>
          </w:p>
        </w:tc>
        <w:tc>
          <w:tcPr>
            <w:tcW w:w="243" w:type="pct"/>
          </w:tcPr>
          <w:p w:rsidR="00180396" w:rsidRPr="00180396" w:rsidRDefault="00180396" w:rsidP="00180396">
            <w:pPr>
              <w:jc w:val="both"/>
              <w:rPr>
                <w:sz w:val="20"/>
                <w:lang w:val="fr-CA"/>
              </w:rPr>
            </w:pPr>
          </w:p>
        </w:tc>
        <w:tc>
          <w:tcPr>
            <w:tcW w:w="2330" w:type="pct"/>
          </w:tcPr>
          <w:p w:rsidR="00180396" w:rsidRPr="00180396" w:rsidRDefault="00180396" w:rsidP="00180396">
            <w:pPr>
              <w:jc w:val="both"/>
              <w:rPr>
                <w:sz w:val="20"/>
                <w:lang w:val="fr-CA"/>
              </w:rPr>
            </w:pPr>
            <w:r w:rsidRPr="00180396">
              <w:rPr>
                <w:sz w:val="20"/>
                <w:lang w:val="fr-CA"/>
              </w:rPr>
              <w:t>Rejet de l’appel du demandeur</w:t>
            </w:r>
          </w:p>
          <w:p w:rsidR="00180396" w:rsidRPr="00180396" w:rsidRDefault="00180396" w:rsidP="00180396">
            <w:pPr>
              <w:jc w:val="both"/>
              <w:rPr>
                <w:sz w:val="20"/>
                <w:lang w:val="fr-CA"/>
              </w:rPr>
            </w:pPr>
          </w:p>
        </w:tc>
      </w:tr>
      <w:tr w:rsidR="00180396" w:rsidRPr="007334BB" w:rsidTr="00E95A6A">
        <w:tc>
          <w:tcPr>
            <w:tcW w:w="2427" w:type="pct"/>
            <w:gridSpan w:val="2"/>
          </w:tcPr>
          <w:p w:rsidR="00180396" w:rsidRPr="00180396" w:rsidRDefault="00180396" w:rsidP="00180396">
            <w:pPr>
              <w:jc w:val="both"/>
              <w:rPr>
                <w:sz w:val="20"/>
                <w:lang w:val="fr-CA"/>
              </w:rPr>
            </w:pPr>
            <w:r w:rsidRPr="00180396">
              <w:rPr>
                <w:sz w:val="20"/>
                <w:lang w:val="fr-CA"/>
              </w:rPr>
              <w:lastRenderedPageBreak/>
              <w:t>27 avril 2017</w:t>
            </w:r>
          </w:p>
          <w:p w:rsidR="00180396" w:rsidRPr="00180396" w:rsidRDefault="00180396" w:rsidP="00180396">
            <w:pPr>
              <w:jc w:val="both"/>
              <w:rPr>
                <w:sz w:val="20"/>
                <w:lang w:val="fr-CA"/>
              </w:rPr>
            </w:pPr>
            <w:r w:rsidRPr="00180396">
              <w:rPr>
                <w:sz w:val="20"/>
                <w:lang w:val="fr-CA"/>
              </w:rPr>
              <w:t>Cour suprême du Canada</w:t>
            </w:r>
          </w:p>
        </w:tc>
        <w:tc>
          <w:tcPr>
            <w:tcW w:w="243" w:type="pct"/>
          </w:tcPr>
          <w:p w:rsidR="00180396" w:rsidRPr="00180396" w:rsidRDefault="00180396" w:rsidP="00180396">
            <w:pPr>
              <w:jc w:val="both"/>
              <w:rPr>
                <w:sz w:val="20"/>
                <w:lang w:val="fr-CA"/>
              </w:rPr>
            </w:pPr>
          </w:p>
        </w:tc>
        <w:tc>
          <w:tcPr>
            <w:tcW w:w="2330" w:type="pct"/>
          </w:tcPr>
          <w:p w:rsidR="00180396" w:rsidRPr="00180396" w:rsidRDefault="00180396" w:rsidP="00180396">
            <w:pPr>
              <w:jc w:val="both"/>
              <w:rPr>
                <w:sz w:val="20"/>
                <w:lang w:val="fr-CA"/>
              </w:rPr>
            </w:pPr>
            <w:r w:rsidRPr="00180396">
              <w:rPr>
                <w:sz w:val="20"/>
                <w:lang w:val="fr-CA"/>
              </w:rPr>
              <w:t>Dépôt de la demande d’autorisation d’appel</w:t>
            </w:r>
          </w:p>
          <w:p w:rsidR="00180396" w:rsidRPr="00180396" w:rsidRDefault="00180396" w:rsidP="00180396">
            <w:pPr>
              <w:jc w:val="both"/>
              <w:rPr>
                <w:sz w:val="20"/>
                <w:lang w:val="fr-CA"/>
              </w:rPr>
            </w:pPr>
          </w:p>
        </w:tc>
      </w:tr>
    </w:tbl>
    <w:p w:rsidR="00180396" w:rsidRPr="00180396" w:rsidRDefault="00180396" w:rsidP="00180396">
      <w:pPr>
        <w:jc w:val="both"/>
        <w:rPr>
          <w:sz w:val="20"/>
          <w:lang w:val="fr-CA"/>
        </w:rPr>
      </w:pPr>
    </w:p>
    <w:p w:rsidR="00A43D91" w:rsidRPr="00180396" w:rsidRDefault="00A43D91" w:rsidP="00180396">
      <w:pPr>
        <w:tabs>
          <w:tab w:val="left" w:pos="900"/>
          <w:tab w:val="center" w:pos="576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0396" w:rsidRPr="00180396" w:rsidTr="00E95A6A">
        <w:tc>
          <w:tcPr>
            <w:tcW w:w="543" w:type="pct"/>
          </w:tcPr>
          <w:p w:rsidR="00180396" w:rsidRPr="00180396" w:rsidRDefault="00180396" w:rsidP="00180396">
            <w:pPr>
              <w:jc w:val="both"/>
              <w:rPr>
                <w:sz w:val="20"/>
              </w:rPr>
            </w:pPr>
            <w:r w:rsidRPr="00180396">
              <w:rPr>
                <w:rStyle w:val="SCCFileNumberChar"/>
                <w:sz w:val="20"/>
                <w:szCs w:val="20"/>
              </w:rPr>
              <w:t>37571</w:t>
            </w:r>
          </w:p>
        </w:tc>
        <w:tc>
          <w:tcPr>
            <w:tcW w:w="4457" w:type="pct"/>
            <w:gridSpan w:val="3"/>
          </w:tcPr>
          <w:p w:rsidR="00180396" w:rsidRPr="00180396" w:rsidRDefault="00180396" w:rsidP="00180396">
            <w:pPr>
              <w:pStyle w:val="SCCLsocParty"/>
              <w:jc w:val="both"/>
              <w:rPr>
                <w:b/>
                <w:sz w:val="20"/>
                <w:szCs w:val="20"/>
                <w:lang w:val="en-US"/>
              </w:rPr>
            </w:pPr>
            <w:r w:rsidRPr="00180396">
              <w:rPr>
                <w:b/>
                <w:sz w:val="20"/>
                <w:szCs w:val="20"/>
                <w:lang w:val="en-US"/>
              </w:rPr>
              <w:t>Chas Berry v. Her Majesty the Queen</w:t>
            </w:r>
          </w:p>
          <w:p w:rsidR="00180396" w:rsidRPr="00180396" w:rsidRDefault="00180396" w:rsidP="00180396">
            <w:pPr>
              <w:jc w:val="both"/>
              <w:rPr>
                <w:sz w:val="20"/>
              </w:rPr>
            </w:pPr>
            <w:r w:rsidRPr="00180396">
              <w:rPr>
                <w:sz w:val="20"/>
              </w:rPr>
              <w:t>(Ont.) (Criminal) (By Leave)</w:t>
            </w:r>
          </w:p>
        </w:tc>
      </w:tr>
      <w:tr w:rsidR="00180396" w:rsidRPr="00180396" w:rsidTr="00E95A6A">
        <w:tc>
          <w:tcPr>
            <w:tcW w:w="5000" w:type="pct"/>
            <w:gridSpan w:val="4"/>
          </w:tcPr>
          <w:p w:rsidR="00180396" w:rsidRPr="00180396" w:rsidRDefault="00180396" w:rsidP="00180396">
            <w:pPr>
              <w:jc w:val="both"/>
              <w:rPr>
                <w:sz w:val="20"/>
              </w:rPr>
            </w:pPr>
            <w:r w:rsidRPr="00180396">
              <w:rPr>
                <w:sz w:val="20"/>
              </w:rPr>
              <w:t>Criminal law – Evidence – Admissibility – To what extent, if at all, should trial judges be permitted to override the tactical decisions of the accused and defence counsel?</w:t>
            </w:r>
          </w:p>
        </w:tc>
      </w:tr>
      <w:tr w:rsidR="00180396" w:rsidRPr="00180396" w:rsidTr="00E95A6A">
        <w:tc>
          <w:tcPr>
            <w:tcW w:w="5000" w:type="pct"/>
            <w:gridSpan w:val="4"/>
          </w:tcPr>
          <w:p w:rsidR="00180396" w:rsidRPr="00180396" w:rsidRDefault="00180396" w:rsidP="00180396">
            <w:pPr>
              <w:jc w:val="both"/>
              <w:rPr>
                <w:sz w:val="20"/>
              </w:rPr>
            </w:pPr>
          </w:p>
        </w:tc>
      </w:tr>
      <w:tr w:rsidR="00180396" w:rsidRPr="00180396" w:rsidTr="00E95A6A">
        <w:tc>
          <w:tcPr>
            <w:tcW w:w="5000" w:type="pct"/>
            <w:gridSpan w:val="4"/>
          </w:tcPr>
          <w:p w:rsidR="00180396" w:rsidRPr="00180396" w:rsidRDefault="00180396" w:rsidP="00180396">
            <w:pPr>
              <w:pStyle w:val="aparanumbering1"/>
              <w:spacing w:after="0"/>
              <w:rPr>
                <w:rFonts w:ascii="Times New Roman" w:hAnsi="Times New Roman" w:cs="Times New Roman"/>
                <w:sz w:val="20"/>
                <w:szCs w:val="20"/>
                <w:lang w:val="en"/>
              </w:rPr>
            </w:pPr>
            <w:r w:rsidRPr="00180396">
              <w:rPr>
                <w:rFonts w:ascii="Times New Roman" w:hAnsi="Times New Roman" w:cs="Times New Roman"/>
                <w:sz w:val="20"/>
                <w:szCs w:val="20"/>
                <w:lang w:val="en"/>
              </w:rPr>
              <w:t xml:space="preserve">The applicant shot and killed Andrew Christie in the doorway of Mr. Christie’s apartment. The applicant testified at trial and he admitted shooting the deceased but claimed he was acting in self-defence; in the alternative, he relied on the defence of provocation. The evidence indicated that the applicant and the deceased were associates in the drug trade, but had had a falling out shortly before the shooting. The trial judge was satisfied that the transcript evidence of the witness </w:t>
            </w:r>
            <w:proofErr w:type="spellStart"/>
            <w:r w:rsidRPr="00180396">
              <w:rPr>
                <w:rFonts w:ascii="Times New Roman" w:hAnsi="Times New Roman" w:cs="Times New Roman"/>
                <w:sz w:val="20"/>
                <w:szCs w:val="20"/>
                <w:lang w:val="en"/>
              </w:rPr>
              <w:t>Jovanovski’s</w:t>
            </w:r>
            <w:proofErr w:type="spellEnd"/>
            <w:r w:rsidRPr="00180396">
              <w:rPr>
                <w:rFonts w:ascii="Times New Roman" w:hAnsi="Times New Roman" w:cs="Times New Roman"/>
                <w:sz w:val="20"/>
                <w:szCs w:val="20"/>
                <w:lang w:val="en"/>
              </w:rPr>
              <w:t xml:space="preserve"> guilty plea, conviction and the sentence he received was highly relevant and material to Jovanovski’s credibility which, in turn, was an important factor for the jury to consider in its determination of the main issues of self-defence, provocation and (if intent to commit murder were established) planning and deliberation. The trial judge gave the jury instructions, both before Jovanovski’s evidence was read to the jury and in his charge to the jury, and also gave a </w:t>
            </w:r>
            <w:r w:rsidRPr="00180396">
              <w:rPr>
                <w:rFonts w:ascii="Times New Roman" w:hAnsi="Times New Roman" w:cs="Times New Roman"/>
                <w:i/>
                <w:sz w:val="20"/>
                <w:szCs w:val="20"/>
                <w:lang w:val="en"/>
              </w:rPr>
              <w:t xml:space="preserve">R. v. </w:t>
            </w:r>
            <w:r w:rsidRPr="00180396">
              <w:rPr>
                <w:rFonts w:ascii="Times New Roman" w:hAnsi="Times New Roman" w:cs="Times New Roman"/>
                <w:i/>
                <w:iCs/>
                <w:sz w:val="20"/>
                <w:szCs w:val="20"/>
                <w:lang w:val="en"/>
              </w:rPr>
              <w:t>Vetrovec</w:t>
            </w:r>
            <w:r w:rsidRPr="00180396">
              <w:rPr>
                <w:rFonts w:ascii="Times New Roman" w:hAnsi="Times New Roman" w:cs="Times New Roman"/>
                <w:sz w:val="20"/>
                <w:szCs w:val="20"/>
                <w:lang w:val="en"/>
              </w:rPr>
              <w:t>, [1982] 1 S.C.R. 811 caution.</w:t>
            </w:r>
            <w:r w:rsidRPr="00180396">
              <w:rPr>
                <w:sz w:val="20"/>
                <w:szCs w:val="20"/>
                <w:lang w:val="en"/>
              </w:rPr>
              <w:t xml:space="preserve"> </w:t>
            </w:r>
            <w:r w:rsidRPr="00180396">
              <w:rPr>
                <w:rFonts w:ascii="Times New Roman" w:hAnsi="Times New Roman" w:cs="Times New Roman"/>
                <w:sz w:val="20"/>
                <w:szCs w:val="20"/>
                <w:lang w:val="en"/>
              </w:rPr>
              <w:t>After a trial by judge and jury, the applicant was convicted of second degree murder. The conviction appeal was dismissed.</w:t>
            </w:r>
          </w:p>
        </w:tc>
      </w:tr>
      <w:tr w:rsidR="00180396" w:rsidRPr="00180396" w:rsidTr="00E95A6A">
        <w:tc>
          <w:tcPr>
            <w:tcW w:w="5000" w:type="pct"/>
            <w:gridSpan w:val="4"/>
          </w:tcPr>
          <w:p w:rsidR="00180396" w:rsidRPr="00180396" w:rsidRDefault="00180396" w:rsidP="00180396">
            <w:pPr>
              <w:jc w:val="both"/>
              <w:rPr>
                <w:sz w:val="20"/>
              </w:rPr>
            </w:pPr>
          </w:p>
        </w:tc>
      </w:tr>
      <w:tr w:rsidR="00180396" w:rsidRPr="00180396" w:rsidTr="00E95A6A">
        <w:tc>
          <w:tcPr>
            <w:tcW w:w="2427" w:type="pct"/>
            <w:gridSpan w:val="2"/>
          </w:tcPr>
          <w:p w:rsidR="00180396" w:rsidRPr="00180396" w:rsidRDefault="00180396" w:rsidP="00180396">
            <w:pPr>
              <w:jc w:val="both"/>
              <w:rPr>
                <w:sz w:val="20"/>
              </w:rPr>
            </w:pPr>
            <w:r w:rsidRPr="00180396">
              <w:rPr>
                <w:sz w:val="20"/>
              </w:rPr>
              <w:t>December 15, 2010</w:t>
            </w:r>
          </w:p>
          <w:p w:rsidR="00180396" w:rsidRPr="00180396" w:rsidRDefault="00180396" w:rsidP="00180396">
            <w:pPr>
              <w:jc w:val="both"/>
              <w:rPr>
                <w:sz w:val="20"/>
              </w:rPr>
            </w:pPr>
            <w:r w:rsidRPr="00180396">
              <w:rPr>
                <w:sz w:val="20"/>
              </w:rPr>
              <w:t>Superior Court of Justice</w:t>
            </w:r>
          </w:p>
          <w:p w:rsidR="00180396" w:rsidRPr="00180396" w:rsidRDefault="00180396" w:rsidP="00180396">
            <w:pPr>
              <w:jc w:val="both"/>
              <w:rPr>
                <w:sz w:val="20"/>
              </w:rPr>
            </w:pPr>
            <w:r w:rsidRPr="00180396">
              <w:rPr>
                <w:sz w:val="20"/>
              </w:rPr>
              <w:t>(McMahon J.)</w:t>
            </w:r>
          </w:p>
          <w:p w:rsidR="00180396" w:rsidRPr="00180396" w:rsidRDefault="00180396" w:rsidP="00180396">
            <w:pPr>
              <w:jc w:val="both"/>
              <w:rPr>
                <w:sz w:val="20"/>
              </w:rPr>
            </w:pPr>
          </w:p>
        </w:tc>
        <w:tc>
          <w:tcPr>
            <w:tcW w:w="243" w:type="pct"/>
          </w:tcPr>
          <w:p w:rsidR="00180396" w:rsidRPr="00180396" w:rsidRDefault="00180396" w:rsidP="00180396">
            <w:pPr>
              <w:jc w:val="both"/>
              <w:rPr>
                <w:sz w:val="20"/>
              </w:rPr>
            </w:pPr>
          </w:p>
        </w:tc>
        <w:tc>
          <w:tcPr>
            <w:tcW w:w="2330" w:type="pct"/>
          </w:tcPr>
          <w:p w:rsidR="00180396" w:rsidRPr="00180396" w:rsidRDefault="00180396" w:rsidP="00180396">
            <w:pPr>
              <w:jc w:val="both"/>
              <w:rPr>
                <w:sz w:val="20"/>
              </w:rPr>
            </w:pPr>
            <w:r w:rsidRPr="00180396">
              <w:rPr>
                <w:sz w:val="20"/>
              </w:rPr>
              <w:t>Conviction for second degree murder</w:t>
            </w:r>
          </w:p>
          <w:p w:rsidR="00180396" w:rsidRPr="00180396" w:rsidRDefault="00180396" w:rsidP="00180396">
            <w:pPr>
              <w:jc w:val="both"/>
              <w:rPr>
                <w:sz w:val="20"/>
              </w:rPr>
            </w:pPr>
          </w:p>
        </w:tc>
      </w:tr>
      <w:tr w:rsidR="00180396" w:rsidRPr="00180396" w:rsidTr="0008328C">
        <w:tc>
          <w:tcPr>
            <w:tcW w:w="2427" w:type="pct"/>
            <w:gridSpan w:val="2"/>
          </w:tcPr>
          <w:p w:rsidR="00180396" w:rsidRPr="00180396" w:rsidRDefault="00180396" w:rsidP="00180396">
            <w:pPr>
              <w:jc w:val="both"/>
              <w:rPr>
                <w:sz w:val="20"/>
              </w:rPr>
            </w:pPr>
            <w:r w:rsidRPr="00180396">
              <w:rPr>
                <w:sz w:val="20"/>
              </w:rPr>
              <w:t>January 12, 2017</w:t>
            </w:r>
          </w:p>
          <w:p w:rsidR="00180396" w:rsidRPr="00180396" w:rsidRDefault="00180396" w:rsidP="00180396">
            <w:pPr>
              <w:jc w:val="both"/>
              <w:rPr>
                <w:sz w:val="20"/>
              </w:rPr>
            </w:pPr>
            <w:r w:rsidRPr="00180396">
              <w:rPr>
                <w:sz w:val="20"/>
              </w:rPr>
              <w:t>Court of Appeal for Ontario</w:t>
            </w:r>
          </w:p>
          <w:p w:rsidR="00180396" w:rsidRPr="00180396" w:rsidRDefault="00180396" w:rsidP="00180396">
            <w:pPr>
              <w:jc w:val="both"/>
              <w:rPr>
                <w:sz w:val="20"/>
              </w:rPr>
            </w:pPr>
            <w:r w:rsidRPr="00180396">
              <w:rPr>
                <w:sz w:val="20"/>
              </w:rPr>
              <w:t>(MacPherson, Blair, Watt JJ.A.)</w:t>
            </w:r>
          </w:p>
          <w:p w:rsidR="00180396" w:rsidRPr="00180396" w:rsidRDefault="00180396" w:rsidP="00180396">
            <w:pPr>
              <w:jc w:val="both"/>
              <w:rPr>
                <w:sz w:val="20"/>
              </w:rPr>
            </w:pPr>
            <w:r w:rsidRPr="00180396">
              <w:rPr>
                <w:sz w:val="20"/>
              </w:rPr>
              <w:t>2017 ONCA 17; C54573</w:t>
            </w:r>
          </w:p>
          <w:p w:rsidR="00180396" w:rsidRPr="00180396" w:rsidRDefault="007334BB" w:rsidP="00180396">
            <w:pPr>
              <w:jc w:val="both"/>
              <w:rPr>
                <w:sz w:val="20"/>
              </w:rPr>
            </w:pPr>
            <w:hyperlink r:id="rId14" w:history="1">
              <w:r w:rsidR="00180396" w:rsidRPr="00180396">
                <w:rPr>
                  <w:rStyle w:val="Hyperlink"/>
                  <w:sz w:val="20"/>
                </w:rPr>
                <w:t>http://canlii.ca/t/gwvpf</w:t>
              </w:r>
            </w:hyperlink>
          </w:p>
          <w:p w:rsidR="00180396" w:rsidRPr="00180396" w:rsidRDefault="00180396" w:rsidP="00180396">
            <w:pPr>
              <w:jc w:val="both"/>
              <w:rPr>
                <w:sz w:val="20"/>
              </w:rPr>
            </w:pPr>
          </w:p>
        </w:tc>
        <w:tc>
          <w:tcPr>
            <w:tcW w:w="243" w:type="pct"/>
          </w:tcPr>
          <w:p w:rsidR="00180396" w:rsidRPr="00180396" w:rsidRDefault="00180396" w:rsidP="00180396">
            <w:pPr>
              <w:jc w:val="both"/>
              <w:rPr>
                <w:sz w:val="20"/>
              </w:rPr>
            </w:pPr>
          </w:p>
        </w:tc>
        <w:tc>
          <w:tcPr>
            <w:tcW w:w="2330" w:type="pct"/>
          </w:tcPr>
          <w:p w:rsidR="00180396" w:rsidRPr="00180396" w:rsidRDefault="00180396" w:rsidP="00180396">
            <w:pPr>
              <w:jc w:val="both"/>
              <w:rPr>
                <w:sz w:val="20"/>
              </w:rPr>
            </w:pPr>
            <w:r w:rsidRPr="00180396">
              <w:rPr>
                <w:sz w:val="20"/>
              </w:rPr>
              <w:t>Appeal dismissed</w:t>
            </w:r>
          </w:p>
        </w:tc>
      </w:tr>
      <w:tr w:rsidR="00180396" w:rsidRPr="00180396" w:rsidTr="00E95A6A">
        <w:tc>
          <w:tcPr>
            <w:tcW w:w="2427" w:type="pct"/>
            <w:gridSpan w:val="2"/>
          </w:tcPr>
          <w:p w:rsidR="00180396" w:rsidRPr="00180396" w:rsidRDefault="00180396" w:rsidP="00180396">
            <w:pPr>
              <w:jc w:val="both"/>
              <w:rPr>
                <w:sz w:val="20"/>
              </w:rPr>
            </w:pPr>
            <w:r w:rsidRPr="00180396">
              <w:rPr>
                <w:sz w:val="20"/>
              </w:rPr>
              <w:t>May 18, 2017</w:t>
            </w:r>
          </w:p>
          <w:p w:rsidR="00180396" w:rsidRPr="00180396" w:rsidRDefault="00180396" w:rsidP="00180396">
            <w:pPr>
              <w:jc w:val="both"/>
              <w:rPr>
                <w:sz w:val="20"/>
              </w:rPr>
            </w:pPr>
            <w:r w:rsidRPr="00180396">
              <w:rPr>
                <w:sz w:val="20"/>
              </w:rPr>
              <w:t>Supreme Court of Canada</w:t>
            </w:r>
          </w:p>
        </w:tc>
        <w:tc>
          <w:tcPr>
            <w:tcW w:w="243" w:type="pct"/>
          </w:tcPr>
          <w:p w:rsidR="00180396" w:rsidRPr="00180396" w:rsidRDefault="00180396" w:rsidP="00180396">
            <w:pPr>
              <w:jc w:val="both"/>
              <w:rPr>
                <w:sz w:val="20"/>
              </w:rPr>
            </w:pPr>
          </w:p>
        </w:tc>
        <w:tc>
          <w:tcPr>
            <w:tcW w:w="2330" w:type="pct"/>
          </w:tcPr>
          <w:p w:rsidR="00180396" w:rsidRPr="00180396" w:rsidRDefault="00180396" w:rsidP="00180396">
            <w:pPr>
              <w:jc w:val="both"/>
              <w:rPr>
                <w:sz w:val="20"/>
              </w:rPr>
            </w:pPr>
            <w:r w:rsidRPr="00180396">
              <w:rPr>
                <w:sz w:val="20"/>
              </w:rPr>
              <w:t>Motion for an extension of time to serve and file the application for leave to appeal and application for leave to appeal filed</w:t>
            </w:r>
          </w:p>
        </w:tc>
      </w:tr>
    </w:tbl>
    <w:p w:rsidR="00180396" w:rsidRDefault="00180396" w:rsidP="00180396">
      <w:pPr>
        <w:jc w:val="both"/>
        <w:rPr>
          <w:sz w:val="20"/>
        </w:rPr>
      </w:pPr>
    </w:p>
    <w:p w:rsidR="00180396" w:rsidRPr="00180396" w:rsidRDefault="00180396" w:rsidP="001803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0396" w:rsidRPr="00180396" w:rsidTr="00E95A6A">
        <w:tc>
          <w:tcPr>
            <w:tcW w:w="543" w:type="pct"/>
          </w:tcPr>
          <w:p w:rsidR="00180396" w:rsidRPr="00180396" w:rsidRDefault="00180396" w:rsidP="00180396">
            <w:pPr>
              <w:jc w:val="both"/>
              <w:rPr>
                <w:sz w:val="20"/>
                <w:lang w:val="fr-CA"/>
              </w:rPr>
            </w:pPr>
            <w:r w:rsidRPr="00180396">
              <w:rPr>
                <w:rStyle w:val="SCCFileNumberChar"/>
                <w:sz w:val="20"/>
                <w:szCs w:val="20"/>
                <w:lang w:val="fr-CA"/>
              </w:rPr>
              <w:t>37571</w:t>
            </w:r>
          </w:p>
        </w:tc>
        <w:tc>
          <w:tcPr>
            <w:tcW w:w="4457" w:type="pct"/>
            <w:gridSpan w:val="3"/>
          </w:tcPr>
          <w:p w:rsidR="00180396" w:rsidRPr="00180396" w:rsidRDefault="00180396" w:rsidP="00180396">
            <w:pPr>
              <w:pStyle w:val="SCCLsocParty"/>
              <w:jc w:val="both"/>
              <w:rPr>
                <w:b/>
                <w:sz w:val="20"/>
                <w:szCs w:val="20"/>
              </w:rPr>
            </w:pPr>
            <w:r w:rsidRPr="00180396">
              <w:rPr>
                <w:b/>
                <w:sz w:val="20"/>
                <w:szCs w:val="20"/>
              </w:rPr>
              <w:t>Chas Berry c. Sa Majesté la Reine</w:t>
            </w:r>
          </w:p>
          <w:p w:rsidR="00180396" w:rsidRPr="00180396" w:rsidRDefault="00180396" w:rsidP="00180396">
            <w:pPr>
              <w:jc w:val="both"/>
              <w:rPr>
                <w:sz w:val="20"/>
                <w:lang w:val="fr-CA"/>
              </w:rPr>
            </w:pPr>
            <w:r w:rsidRPr="00180396">
              <w:rPr>
                <w:sz w:val="20"/>
                <w:lang w:val="fr-CA"/>
              </w:rPr>
              <w:t>(Ont.) (Criminelle) (Sur autorisation)</w:t>
            </w:r>
          </w:p>
        </w:tc>
      </w:tr>
      <w:tr w:rsidR="00180396" w:rsidRPr="007334BB" w:rsidTr="00E95A6A">
        <w:tc>
          <w:tcPr>
            <w:tcW w:w="5000" w:type="pct"/>
            <w:gridSpan w:val="4"/>
          </w:tcPr>
          <w:p w:rsidR="00180396" w:rsidRPr="00180396" w:rsidRDefault="00180396" w:rsidP="00180396">
            <w:pPr>
              <w:jc w:val="both"/>
              <w:rPr>
                <w:sz w:val="20"/>
                <w:lang w:val="fr-CA"/>
              </w:rPr>
            </w:pPr>
            <w:r w:rsidRPr="00180396">
              <w:rPr>
                <w:sz w:val="20"/>
                <w:lang w:val="fr-CA"/>
              </w:rPr>
              <w:t>Droit criminel – Preuve – Admissibilité – Dans quelle mesure, le cas échéant, les juges de procès devraient-ils être autorisés à passer outre aux décisions tactiques de l’accusé et de l’avocat de la défense?</w:t>
            </w:r>
          </w:p>
        </w:tc>
      </w:tr>
      <w:tr w:rsidR="00180396" w:rsidRPr="007334BB" w:rsidTr="00E95A6A">
        <w:tc>
          <w:tcPr>
            <w:tcW w:w="5000" w:type="pct"/>
            <w:gridSpan w:val="4"/>
          </w:tcPr>
          <w:p w:rsidR="00180396" w:rsidRPr="00180396" w:rsidRDefault="00180396" w:rsidP="00180396">
            <w:pPr>
              <w:jc w:val="both"/>
              <w:rPr>
                <w:sz w:val="20"/>
                <w:lang w:val="fr-CA"/>
              </w:rPr>
            </w:pPr>
          </w:p>
        </w:tc>
      </w:tr>
      <w:tr w:rsidR="00180396" w:rsidRPr="00180396" w:rsidTr="00E95A6A">
        <w:tc>
          <w:tcPr>
            <w:tcW w:w="5000" w:type="pct"/>
            <w:gridSpan w:val="4"/>
          </w:tcPr>
          <w:p w:rsidR="00180396" w:rsidRPr="00180396" w:rsidRDefault="00180396" w:rsidP="00180396">
            <w:pPr>
              <w:pStyle w:val="aparanumbering1"/>
              <w:spacing w:after="0"/>
              <w:rPr>
                <w:rFonts w:ascii="Times New Roman" w:hAnsi="Times New Roman" w:cs="Times New Roman"/>
                <w:sz w:val="20"/>
                <w:szCs w:val="20"/>
                <w:lang w:val="fr-CA"/>
              </w:rPr>
            </w:pPr>
            <w:r w:rsidRPr="00180396">
              <w:rPr>
                <w:rFonts w:ascii="Times New Roman" w:hAnsi="Times New Roman" w:cs="Times New Roman"/>
                <w:sz w:val="20"/>
                <w:szCs w:val="20"/>
                <w:lang w:val="fr-CA"/>
              </w:rPr>
              <w:t xml:space="preserve">Le demandeur a abattu d’un coup de feu Andrew Christie dans le portique de l’appartement de M. Christie. Le demandeur a témoigné au procès et il a avoué avoir abattu le défunt, mais a prétendu avoir agi en légitime défense; subsidiairement, il a fait valoir la défense de provocation. Selon la preuve, le demandeur et le défunt étaient associés dans le trafic de drogue, mais ils s’étaient brouillés peu de temps avant l’incident. Le juge du procès était convaincu </w:t>
            </w:r>
            <w:r w:rsidRPr="00180396">
              <w:rPr>
                <w:rFonts w:ascii="Times New Roman" w:hAnsi="Times New Roman" w:cs="Times New Roman"/>
                <w:sz w:val="20"/>
                <w:szCs w:val="20"/>
                <w:lang w:val="fr-CA"/>
              </w:rPr>
              <w:lastRenderedPageBreak/>
              <w:t xml:space="preserve">que la transcription de la preuve du plaidoyer de culpabilité du témoin Jovanovski, de la déclaration de culpabilité et de la peine qui lui a été infligée était très pertinente et importante quant à la crédibilité de M. Jovanovski ce qui, à son tour, était un facteur important dont le jury devait tenir compte dans sa décision à l’égard des principales questions de légitime défense, de provocation et (si l’intention de commettre un meurtre était établie) de préméditation et de propos délibéré. Le juge du procès a donné des directives au jury, avant la lecture au jury du témoignage de M. Jovanovski et dans son exposé au jury, et il a également servi une mise en garde en application de l’arrêt </w:t>
            </w:r>
            <w:r w:rsidRPr="00180396">
              <w:rPr>
                <w:rFonts w:ascii="Times New Roman" w:hAnsi="Times New Roman" w:cs="Times New Roman"/>
                <w:i/>
                <w:sz w:val="20"/>
                <w:szCs w:val="20"/>
                <w:lang w:val="fr-CA"/>
              </w:rPr>
              <w:t xml:space="preserve">R. c. </w:t>
            </w:r>
            <w:r w:rsidRPr="00180396">
              <w:rPr>
                <w:rFonts w:ascii="Times New Roman" w:hAnsi="Times New Roman" w:cs="Times New Roman"/>
                <w:i/>
                <w:iCs/>
                <w:sz w:val="20"/>
                <w:szCs w:val="20"/>
                <w:lang w:val="fr-CA"/>
              </w:rPr>
              <w:t>Vetrovec</w:t>
            </w:r>
            <w:r w:rsidRPr="00180396">
              <w:rPr>
                <w:rFonts w:ascii="Times New Roman" w:hAnsi="Times New Roman" w:cs="Times New Roman"/>
                <w:sz w:val="20"/>
                <w:szCs w:val="20"/>
                <w:lang w:val="fr-CA"/>
              </w:rPr>
              <w:t>, [1982] 1 R.C.S. 811.</w:t>
            </w:r>
            <w:r w:rsidRPr="00180396">
              <w:rPr>
                <w:sz w:val="20"/>
                <w:szCs w:val="20"/>
                <w:lang w:val="fr-CA"/>
              </w:rPr>
              <w:t xml:space="preserve"> </w:t>
            </w:r>
            <w:r w:rsidRPr="00180396">
              <w:rPr>
                <w:rFonts w:ascii="Times New Roman" w:hAnsi="Times New Roman" w:cs="Times New Roman"/>
                <w:sz w:val="20"/>
                <w:szCs w:val="20"/>
                <w:lang w:val="fr-CA"/>
              </w:rPr>
              <w:t>Au terme d’un procès devant juge et jury, le demandeur a été déclaré coupable de meurtre au deuxième degré. L’appel de la déclaration de culpabilité a été rejeté.</w:t>
            </w:r>
          </w:p>
        </w:tc>
      </w:tr>
      <w:tr w:rsidR="00180396" w:rsidRPr="00180396" w:rsidTr="00E95A6A">
        <w:tc>
          <w:tcPr>
            <w:tcW w:w="5000" w:type="pct"/>
            <w:gridSpan w:val="4"/>
          </w:tcPr>
          <w:p w:rsidR="00180396" w:rsidRPr="00180396" w:rsidRDefault="00180396" w:rsidP="00180396">
            <w:pPr>
              <w:jc w:val="both"/>
              <w:rPr>
                <w:sz w:val="20"/>
                <w:lang w:val="fr-CA"/>
              </w:rPr>
            </w:pPr>
          </w:p>
        </w:tc>
      </w:tr>
      <w:tr w:rsidR="00180396" w:rsidRPr="007334BB" w:rsidTr="00E95A6A">
        <w:tc>
          <w:tcPr>
            <w:tcW w:w="2427" w:type="pct"/>
            <w:gridSpan w:val="2"/>
          </w:tcPr>
          <w:p w:rsidR="00180396" w:rsidRPr="00180396" w:rsidRDefault="00180396" w:rsidP="00180396">
            <w:pPr>
              <w:jc w:val="both"/>
              <w:rPr>
                <w:sz w:val="20"/>
                <w:lang w:val="fr-CA"/>
              </w:rPr>
            </w:pPr>
            <w:r w:rsidRPr="00180396">
              <w:rPr>
                <w:sz w:val="20"/>
                <w:lang w:val="fr-CA"/>
              </w:rPr>
              <w:t>15 décembre 2010</w:t>
            </w:r>
          </w:p>
          <w:p w:rsidR="00180396" w:rsidRPr="00180396" w:rsidRDefault="00180396" w:rsidP="00180396">
            <w:pPr>
              <w:jc w:val="both"/>
              <w:rPr>
                <w:sz w:val="20"/>
                <w:lang w:val="fr-CA"/>
              </w:rPr>
            </w:pPr>
            <w:r w:rsidRPr="00180396">
              <w:rPr>
                <w:sz w:val="20"/>
                <w:lang w:val="fr-CA"/>
              </w:rPr>
              <w:t>Cour supérieure de justice</w:t>
            </w:r>
          </w:p>
          <w:p w:rsidR="00180396" w:rsidRPr="00180396" w:rsidRDefault="00180396" w:rsidP="00180396">
            <w:pPr>
              <w:jc w:val="both"/>
              <w:rPr>
                <w:sz w:val="20"/>
                <w:lang w:val="fr-CA"/>
              </w:rPr>
            </w:pPr>
            <w:r w:rsidRPr="00180396">
              <w:rPr>
                <w:sz w:val="20"/>
                <w:lang w:val="fr-CA"/>
              </w:rPr>
              <w:t>(Juge McMahon)</w:t>
            </w:r>
          </w:p>
          <w:p w:rsidR="00180396" w:rsidRPr="00180396" w:rsidRDefault="00180396" w:rsidP="00180396">
            <w:pPr>
              <w:jc w:val="both"/>
              <w:rPr>
                <w:sz w:val="20"/>
                <w:lang w:val="fr-CA"/>
              </w:rPr>
            </w:pPr>
          </w:p>
        </w:tc>
        <w:tc>
          <w:tcPr>
            <w:tcW w:w="243" w:type="pct"/>
          </w:tcPr>
          <w:p w:rsidR="00180396" w:rsidRPr="00180396" w:rsidRDefault="00180396" w:rsidP="00180396">
            <w:pPr>
              <w:jc w:val="both"/>
              <w:rPr>
                <w:sz w:val="20"/>
                <w:lang w:val="fr-CA"/>
              </w:rPr>
            </w:pPr>
          </w:p>
        </w:tc>
        <w:tc>
          <w:tcPr>
            <w:tcW w:w="2330" w:type="pct"/>
          </w:tcPr>
          <w:p w:rsidR="00180396" w:rsidRPr="00180396" w:rsidRDefault="00180396" w:rsidP="00180396">
            <w:pPr>
              <w:jc w:val="both"/>
              <w:rPr>
                <w:sz w:val="20"/>
                <w:lang w:val="fr-CA"/>
              </w:rPr>
            </w:pPr>
            <w:r w:rsidRPr="00180396">
              <w:rPr>
                <w:sz w:val="20"/>
                <w:lang w:val="fr-CA"/>
              </w:rPr>
              <w:t>Déclaration de culpabilité de meurtre au deuxième degré</w:t>
            </w:r>
          </w:p>
          <w:p w:rsidR="00180396" w:rsidRPr="00180396" w:rsidRDefault="00180396" w:rsidP="00180396">
            <w:pPr>
              <w:jc w:val="both"/>
              <w:rPr>
                <w:sz w:val="20"/>
                <w:lang w:val="fr-CA"/>
              </w:rPr>
            </w:pPr>
          </w:p>
        </w:tc>
      </w:tr>
      <w:tr w:rsidR="00180396" w:rsidRPr="00180396" w:rsidTr="0008328C">
        <w:tc>
          <w:tcPr>
            <w:tcW w:w="2427" w:type="pct"/>
            <w:gridSpan w:val="2"/>
          </w:tcPr>
          <w:p w:rsidR="00180396" w:rsidRPr="00180396" w:rsidRDefault="00180396" w:rsidP="00180396">
            <w:pPr>
              <w:jc w:val="both"/>
              <w:rPr>
                <w:sz w:val="20"/>
                <w:lang w:val="fr-CA"/>
              </w:rPr>
            </w:pPr>
            <w:r w:rsidRPr="00180396">
              <w:rPr>
                <w:sz w:val="20"/>
                <w:lang w:val="fr-CA"/>
              </w:rPr>
              <w:t>12 janvier 2017</w:t>
            </w:r>
          </w:p>
          <w:p w:rsidR="00180396" w:rsidRPr="00180396" w:rsidRDefault="00180396" w:rsidP="00180396">
            <w:pPr>
              <w:jc w:val="both"/>
              <w:rPr>
                <w:sz w:val="20"/>
                <w:lang w:val="fr-CA"/>
              </w:rPr>
            </w:pPr>
            <w:r w:rsidRPr="00180396">
              <w:rPr>
                <w:sz w:val="20"/>
                <w:lang w:val="fr-CA"/>
              </w:rPr>
              <w:t>Cour d’appel de l’Ontario</w:t>
            </w:r>
          </w:p>
          <w:p w:rsidR="00180396" w:rsidRPr="00180396" w:rsidRDefault="00180396" w:rsidP="00180396">
            <w:pPr>
              <w:jc w:val="both"/>
              <w:rPr>
                <w:sz w:val="20"/>
                <w:lang w:val="fr-CA"/>
              </w:rPr>
            </w:pPr>
            <w:r w:rsidRPr="00180396">
              <w:rPr>
                <w:sz w:val="20"/>
                <w:lang w:val="fr-CA"/>
              </w:rPr>
              <w:t>(Juges MacPherson, Blair et Watt)</w:t>
            </w:r>
          </w:p>
          <w:p w:rsidR="00180396" w:rsidRPr="00180396" w:rsidRDefault="00180396" w:rsidP="00180396">
            <w:pPr>
              <w:jc w:val="both"/>
              <w:rPr>
                <w:sz w:val="20"/>
              </w:rPr>
            </w:pPr>
            <w:r w:rsidRPr="00180396">
              <w:rPr>
                <w:sz w:val="20"/>
              </w:rPr>
              <w:t>2017 ONCA 17; C54573</w:t>
            </w:r>
          </w:p>
          <w:p w:rsidR="00180396" w:rsidRPr="00180396" w:rsidRDefault="007334BB" w:rsidP="00180396">
            <w:pPr>
              <w:jc w:val="both"/>
              <w:rPr>
                <w:sz w:val="20"/>
              </w:rPr>
            </w:pPr>
            <w:hyperlink r:id="rId15" w:history="1">
              <w:r w:rsidR="00180396" w:rsidRPr="00180396">
                <w:rPr>
                  <w:rStyle w:val="Hyperlink"/>
                  <w:sz w:val="20"/>
                </w:rPr>
                <w:t>http://canlii.ca/t/gwvpf</w:t>
              </w:r>
            </w:hyperlink>
          </w:p>
          <w:p w:rsidR="00180396" w:rsidRPr="00180396" w:rsidRDefault="00180396" w:rsidP="00180396">
            <w:pPr>
              <w:jc w:val="both"/>
              <w:rPr>
                <w:sz w:val="20"/>
              </w:rPr>
            </w:pPr>
          </w:p>
        </w:tc>
        <w:tc>
          <w:tcPr>
            <w:tcW w:w="243" w:type="pct"/>
          </w:tcPr>
          <w:p w:rsidR="00180396" w:rsidRPr="00180396" w:rsidRDefault="00180396" w:rsidP="00180396">
            <w:pPr>
              <w:jc w:val="both"/>
              <w:rPr>
                <w:sz w:val="20"/>
              </w:rPr>
            </w:pPr>
          </w:p>
        </w:tc>
        <w:tc>
          <w:tcPr>
            <w:tcW w:w="2330" w:type="pct"/>
          </w:tcPr>
          <w:p w:rsidR="00180396" w:rsidRPr="00180396" w:rsidRDefault="00180396" w:rsidP="00180396">
            <w:pPr>
              <w:jc w:val="both"/>
              <w:rPr>
                <w:sz w:val="20"/>
                <w:lang w:val="fr-CA"/>
              </w:rPr>
            </w:pPr>
            <w:r w:rsidRPr="00180396">
              <w:rPr>
                <w:sz w:val="20"/>
                <w:lang w:val="fr-CA"/>
              </w:rPr>
              <w:t>Rejet de l’appel</w:t>
            </w:r>
          </w:p>
        </w:tc>
      </w:tr>
      <w:tr w:rsidR="00180396" w:rsidRPr="007334BB" w:rsidTr="00E95A6A">
        <w:tc>
          <w:tcPr>
            <w:tcW w:w="2427" w:type="pct"/>
            <w:gridSpan w:val="2"/>
          </w:tcPr>
          <w:p w:rsidR="00180396" w:rsidRPr="00180396" w:rsidRDefault="00180396" w:rsidP="00180396">
            <w:pPr>
              <w:jc w:val="both"/>
              <w:rPr>
                <w:sz w:val="20"/>
                <w:lang w:val="fr-CA"/>
              </w:rPr>
            </w:pPr>
            <w:r w:rsidRPr="00180396">
              <w:rPr>
                <w:sz w:val="20"/>
                <w:lang w:val="fr-CA"/>
              </w:rPr>
              <w:t>18 mai 2017</w:t>
            </w:r>
          </w:p>
          <w:p w:rsidR="00180396" w:rsidRPr="00180396" w:rsidRDefault="00180396" w:rsidP="00180396">
            <w:pPr>
              <w:jc w:val="both"/>
              <w:rPr>
                <w:sz w:val="20"/>
                <w:lang w:val="fr-CA"/>
              </w:rPr>
            </w:pPr>
            <w:r w:rsidRPr="00180396">
              <w:rPr>
                <w:sz w:val="20"/>
                <w:lang w:val="fr-CA"/>
              </w:rPr>
              <w:t>Cour suprême du Canada</w:t>
            </w:r>
          </w:p>
        </w:tc>
        <w:tc>
          <w:tcPr>
            <w:tcW w:w="243" w:type="pct"/>
          </w:tcPr>
          <w:p w:rsidR="00180396" w:rsidRPr="00180396" w:rsidRDefault="00180396" w:rsidP="00180396">
            <w:pPr>
              <w:jc w:val="both"/>
              <w:rPr>
                <w:sz w:val="20"/>
                <w:lang w:val="fr-CA"/>
              </w:rPr>
            </w:pPr>
          </w:p>
        </w:tc>
        <w:tc>
          <w:tcPr>
            <w:tcW w:w="2330" w:type="pct"/>
          </w:tcPr>
          <w:p w:rsidR="00180396" w:rsidRPr="00180396" w:rsidRDefault="00180396" w:rsidP="00180396">
            <w:pPr>
              <w:jc w:val="both"/>
              <w:rPr>
                <w:sz w:val="20"/>
                <w:lang w:val="fr-CA"/>
              </w:rPr>
            </w:pPr>
            <w:r w:rsidRPr="00180396">
              <w:rPr>
                <w:sz w:val="20"/>
                <w:lang w:val="fr-CA"/>
              </w:rPr>
              <w:t>Dépôt de la requête en prorogation du délai de signification et de dépôt de la demande d’autorisation d’appel de la demande d’autorisation d’appel</w:t>
            </w:r>
          </w:p>
        </w:tc>
      </w:tr>
    </w:tbl>
    <w:p w:rsidR="00A43D91" w:rsidRPr="00180396" w:rsidRDefault="00A43D91" w:rsidP="00AD129B">
      <w:pPr>
        <w:tabs>
          <w:tab w:val="left" w:pos="900"/>
          <w:tab w:val="center" w:pos="5760"/>
        </w:tabs>
        <w:rPr>
          <w:sz w:val="20"/>
          <w:lang w:val="fr-CA"/>
        </w:rPr>
      </w:pPr>
    </w:p>
    <w:p w:rsidR="00A43D91" w:rsidRPr="00180396" w:rsidRDefault="00A43D91" w:rsidP="00AD129B">
      <w:pPr>
        <w:tabs>
          <w:tab w:val="left" w:pos="900"/>
          <w:tab w:val="center" w:pos="5760"/>
        </w:tabs>
        <w:rPr>
          <w:sz w:val="20"/>
          <w:lang w:val="fr-CA"/>
        </w:rPr>
      </w:pPr>
    </w:p>
    <w:p w:rsidR="00BE187B" w:rsidRPr="00180396" w:rsidRDefault="00BE187B" w:rsidP="00AD129B">
      <w:pPr>
        <w:tabs>
          <w:tab w:val="left" w:pos="900"/>
          <w:tab w:val="center" w:pos="5760"/>
        </w:tabs>
        <w:rPr>
          <w:sz w:val="20"/>
          <w:lang w:val="fr-CA"/>
        </w:rPr>
      </w:pPr>
    </w:p>
    <w:p w:rsidR="00D3344A" w:rsidRPr="004E21ED" w:rsidRDefault="00D3344A" w:rsidP="00D3344A">
      <w:pPr>
        <w:widowControl w:val="0"/>
        <w:outlineLvl w:val="0"/>
      </w:pPr>
      <w:r w:rsidRPr="004E21ED">
        <w:t xml:space="preserve">Supreme Court of Canada / Cour suprême du </w:t>
      </w:r>
      <w:proofErr w:type="gramStart"/>
      <w:r w:rsidRPr="004E21ED">
        <w:t>Canad</w:t>
      </w:r>
      <w:r w:rsidR="00EE289F" w:rsidRPr="004E21ED">
        <w:t>a</w:t>
      </w:r>
      <w:r w:rsidRPr="004E21ED">
        <w:t xml:space="preserve"> :</w:t>
      </w:r>
      <w:proofErr w:type="gramEnd"/>
    </w:p>
    <w:p w:rsidR="00D3344A" w:rsidRPr="004E21ED" w:rsidRDefault="007334BB" w:rsidP="00D3344A">
      <w:pPr>
        <w:widowControl w:val="0"/>
        <w:outlineLvl w:val="0"/>
        <w:rPr>
          <w:u w:val="single"/>
        </w:rPr>
      </w:pPr>
      <w:hyperlink r:id="rId16" w:history="1">
        <w:r w:rsidR="009B7391" w:rsidRPr="004E21ED">
          <w:rPr>
            <w:rStyle w:val="Hyperlink"/>
          </w:rPr>
          <w:t>comments-commentaires@scc-csc.ca</w:t>
        </w:r>
      </w:hyperlink>
    </w:p>
    <w:p w:rsidR="00D3344A" w:rsidRPr="004E21ED" w:rsidRDefault="0065588C" w:rsidP="00D3344A">
      <w:pPr>
        <w:widowControl w:val="0"/>
        <w:outlineLvl w:val="0"/>
      </w:pPr>
      <w:r w:rsidRPr="004E21ED">
        <w:t>613-</w:t>
      </w:r>
      <w:r w:rsidR="00D3344A" w:rsidRPr="004E21ED">
        <w:t>995-4330</w:t>
      </w:r>
    </w:p>
    <w:p w:rsidR="00497B5E" w:rsidRPr="004E21ED" w:rsidRDefault="00497B5E" w:rsidP="00497B5E">
      <w:pPr>
        <w:widowControl w:val="0"/>
        <w:rPr>
          <w:sz w:val="20"/>
        </w:rPr>
      </w:pPr>
    </w:p>
    <w:p w:rsidR="00F6251B" w:rsidRPr="006E558B" w:rsidRDefault="003F43E6" w:rsidP="00F6251B">
      <w:pPr>
        <w:pStyle w:val="Footer"/>
        <w:jc w:val="center"/>
      </w:pPr>
      <w:r w:rsidRPr="004E21ED">
        <w:t>- 30 -</w:t>
      </w:r>
    </w:p>
    <w:p w:rsidR="00F6251B" w:rsidRPr="006E558B" w:rsidRDefault="00F6251B" w:rsidP="00F6251B">
      <w:pPr>
        <w:pStyle w:val="Footer"/>
        <w:jc w:val="center"/>
      </w:pPr>
    </w:p>
    <w:sectPr w:rsidR="00F6251B" w:rsidRPr="006E558B" w:rsidSect="0052482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6"/>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613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3A81"/>
    <w:rsid w:val="0006417A"/>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56E"/>
    <w:rsid w:val="00176790"/>
    <w:rsid w:val="00176D8B"/>
    <w:rsid w:val="0017751F"/>
    <w:rsid w:val="00180396"/>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07E7E"/>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1ED"/>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1F0C"/>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4EC2"/>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0A96"/>
    <w:rsid w:val="00711B38"/>
    <w:rsid w:val="00711F83"/>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BB6"/>
    <w:rsid w:val="007334BB"/>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CF"/>
    <w:rsid w:val="00775FEC"/>
    <w:rsid w:val="00776317"/>
    <w:rsid w:val="00776B10"/>
    <w:rsid w:val="00776D06"/>
    <w:rsid w:val="00780317"/>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96875"/>
    <w:rsid w:val="008A0D44"/>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44B"/>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68BE"/>
    <w:rsid w:val="009E7AD8"/>
    <w:rsid w:val="009F096D"/>
    <w:rsid w:val="009F0C01"/>
    <w:rsid w:val="009F0D41"/>
    <w:rsid w:val="009F161C"/>
    <w:rsid w:val="009F1BC2"/>
    <w:rsid w:val="009F29A4"/>
    <w:rsid w:val="009F2BAF"/>
    <w:rsid w:val="009F2F18"/>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168C8"/>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37E"/>
    <w:rsid w:val="00A41B5E"/>
    <w:rsid w:val="00A41E03"/>
    <w:rsid w:val="00A42042"/>
    <w:rsid w:val="00A422C2"/>
    <w:rsid w:val="00A4281A"/>
    <w:rsid w:val="00A43D91"/>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29B"/>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44FB"/>
    <w:rsid w:val="00BF5160"/>
    <w:rsid w:val="00BF7494"/>
    <w:rsid w:val="00C00650"/>
    <w:rsid w:val="00C00E23"/>
    <w:rsid w:val="00C012C4"/>
    <w:rsid w:val="00C021BB"/>
    <w:rsid w:val="00C037A3"/>
    <w:rsid w:val="00C03932"/>
    <w:rsid w:val="00C03D86"/>
    <w:rsid w:val="00C0626D"/>
    <w:rsid w:val="00C06B98"/>
    <w:rsid w:val="00C06DE4"/>
    <w:rsid w:val="00C1171A"/>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8E3"/>
    <w:rsid w:val="00CA0C2B"/>
    <w:rsid w:val="00CA2734"/>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16FF"/>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293"/>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3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aparanumbering1">
    <w:name w:val="aparanumbering1"/>
    <w:basedOn w:val="Normal"/>
    <w:rsid w:val="00180396"/>
    <w:pPr>
      <w:spacing w:before="120" w:after="1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544" TargetMode="External"/><Relationship Id="rId13" Type="http://schemas.openxmlformats.org/officeDocument/2006/relationships/hyperlink" Target="http://canlii.ca/t/gxrk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nlii.ca/t/gkz7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lii.ca/t/gxrk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nlii.ca/t/gwvpf" TargetMode="External"/><Relationship Id="rId23" Type="http://schemas.openxmlformats.org/officeDocument/2006/relationships/fontTable" Target="fontTable.xml"/><Relationship Id="rId10" Type="http://schemas.openxmlformats.org/officeDocument/2006/relationships/hyperlink" Target="http://canlii.ca/t/gkz7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c-csc.ca/case-dossier/info/sum-som-eng.aspx?cas=37571" TargetMode="External"/><Relationship Id="rId14" Type="http://schemas.openxmlformats.org/officeDocument/2006/relationships/hyperlink" Target="http://canlii.ca/t/gwvp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E274B-CE78-4787-A8FB-AAA51C64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9943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2017-08-31T18:41:00Z</dcterms:created>
  <dcterms:modified xsi:type="dcterms:W3CDTF">2017-09-01T18:34:00Z</dcterms:modified>
</cp:coreProperties>
</file>