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3D14D4" w:rsidRDefault="003F43E6" w:rsidP="003F43E6">
      <w:pPr>
        <w:pStyle w:val="Header"/>
        <w:jc w:val="center"/>
        <w:rPr>
          <w:b/>
          <w:sz w:val="32"/>
        </w:rPr>
      </w:pPr>
      <w:r w:rsidRPr="003D14D4">
        <w:rPr>
          <w:b/>
          <w:sz w:val="32"/>
        </w:rPr>
        <w:t>Supreme Court of Canada / Cour suprême du Canada</w:t>
      </w:r>
    </w:p>
    <w:p w:rsidR="003F43E6" w:rsidRPr="003D14D4" w:rsidRDefault="003F43E6" w:rsidP="006F2579">
      <w:pPr>
        <w:widowControl w:val="0"/>
        <w:rPr>
          <w:i/>
        </w:rPr>
      </w:pPr>
    </w:p>
    <w:p w:rsidR="003F43E6" w:rsidRPr="003D14D4" w:rsidRDefault="003F43E6" w:rsidP="006F2579">
      <w:pPr>
        <w:widowControl w:val="0"/>
        <w:rPr>
          <w:i/>
        </w:rPr>
      </w:pPr>
    </w:p>
    <w:p w:rsidR="006F2579" w:rsidRPr="003D14D4" w:rsidRDefault="006F2579" w:rsidP="006F2579">
      <w:pPr>
        <w:widowControl w:val="0"/>
        <w:rPr>
          <w:i/>
          <w:lang w:val="fr-CA"/>
        </w:rPr>
      </w:pPr>
      <w:r w:rsidRPr="003D14D4">
        <w:rPr>
          <w:i/>
          <w:lang w:val="fr-CA"/>
        </w:rPr>
        <w:t>(le français suit)</w:t>
      </w:r>
    </w:p>
    <w:p w:rsidR="006F2579" w:rsidRPr="003D14D4" w:rsidRDefault="006F2579" w:rsidP="006F2579">
      <w:pPr>
        <w:widowControl w:val="0"/>
        <w:rPr>
          <w:lang w:val="fr-CA"/>
        </w:rPr>
      </w:pPr>
    </w:p>
    <w:p w:rsidR="006F2579" w:rsidRPr="003D14D4" w:rsidRDefault="00C007C3" w:rsidP="006F2579">
      <w:pPr>
        <w:widowControl w:val="0"/>
        <w:jc w:val="center"/>
        <w:rPr>
          <w:b/>
          <w:lang w:val="fr-CA"/>
        </w:rPr>
      </w:pPr>
      <w:r w:rsidRPr="003D14D4">
        <w:fldChar w:fldCharType="begin"/>
      </w:r>
      <w:r w:rsidR="006F2579" w:rsidRPr="003D14D4">
        <w:rPr>
          <w:lang w:val="fr-CA"/>
        </w:rPr>
        <w:instrText xml:space="preserve"> SEQ CHAPTER \h \r 1</w:instrText>
      </w:r>
      <w:r w:rsidRPr="003D14D4">
        <w:fldChar w:fldCharType="end"/>
      </w:r>
      <w:r w:rsidR="002767DF" w:rsidRPr="003D14D4">
        <w:rPr>
          <w:b/>
          <w:lang w:val="fr-CA"/>
        </w:rPr>
        <w:t xml:space="preserve">JUDGMENTS </w:t>
      </w:r>
      <w:r w:rsidR="004C4C26" w:rsidRPr="003D14D4">
        <w:rPr>
          <w:b/>
          <w:lang w:val="fr-CA"/>
        </w:rPr>
        <w:t>IN LEAVE APPLICATION</w:t>
      </w:r>
      <w:r w:rsidR="00CC044F" w:rsidRPr="003D14D4">
        <w:rPr>
          <w:b/>
          <w:lang w:val="fr-CA"/>
        </w:rPr>
        <w:t>S</w:t>
      </w:r>
    </w:p>
    <w:p w:rsidR="006F2579" w:rsidRPr="003D14D4" w:rsidRDefault="006F2579" w:rsidP="006F2579">
      <w:pPr>
        <w:widowControl w:val="0"/>
        <w:rPr>
          <w:b/>
          <w:lang w:val="fr-CA"/>
        </w:rPr>
      </w:pPr>
    </w:p>
    <w:p w:rsidR="006F2579" w:rsidRPr="003D14D4" w:rsidRDefault="005F771A" w:rsidP="006F2579">
      <w:pPr>
        <w:widowControl w:val="0"/>
        <w:rPr>
          <w:b/>
        </w:rPr>
      </w:pPr>
      <w:r w:rsidRPr="003D14D4">
        <w:rPr>
          <w:b/>
        </w:rPr>
        <w:t>September</w:t>
      </w:r>
      <w:r w:rsidR="00C9475D" w:rsidRPr="003D14D4">
        <w:rPr>
          <w:b/>
        </w:rPr>
        <w:t xml:space="preserve"> </w:t>
      </w:r>
      <w:r w:rsidR="00C235C7">
        <w:rPr>
          <w:b/>
        </w:rPr>
        <w:t>2</w:t>
      </w:r>
      <w:r w:rsidR="00853253" w:rsidRPr="003D14D4">
        <w:rPr>
          <w:b/>
        </w:rPr>
        <w:t>1</w:t>
      </w:r>
      <w:r w:rsidR="00170148" w:rsidRPr="003D14D4">
        <w:rPr>
          <w:b/>
        </w:rPr>
        <w:t>,</w:t>
      </w:r>
      <w:r w:rsidR="008825DB" w:rsidRPr="003D14D4">
        <w:rPr>
          <w:b/>
        </w:rPr>
        <w:t xml:space="preserve"> 201</w:t>
      </w:r>
      <w:r w:rsidR="00C447A2" w:rsidRPr="003D14D4">
        <w:rPr>
          <w:b/>
        </w:rPr>
        <w:t>7</w:t>
      </w:r>
    </w:p>
    <w:p w:rsidR="006F2579" w:rsidRPr="003D14D4" w:rsidRDefault="006F2579" w:rsidP="006F2579">
      <w:pPr>
        <w:widowControl w:val="0"/>
        <w:rPr>
          <w:b/>
        </w:rPr>
      </w:pPr>
      <w:r w:rsidRPr="003D14D4">
        <w:rPr>
          <w:b/>
        </w:rPr>
        <w:t>For immediate release</w:t>
      </w:r>
      <w:bookmarkStart w:id="0" w:name="_GoBack"/>
      <w:bookmarkEnd w:id="0"/>
    </w:p>
    <w:p w:rsidR="006F2579" w:rsidRPr="003D14D4" w:rsidRDefault="006F2579" w:rsidP="006F2579">
      <w:pPr>
        <w:widowControl w:val="0"/>
      </w:pPr>
    </w:p>
    <w:p w:rsidR="002767DF" w:rsidRPr="003D14D4" w:rsidRDefault="002767DF" w:rsidP="002767DF">
      <w:pPr>
        <w:widowControl w:val="0"/>
      </w:pPr>
      <w:r w:rsidRPr="003D14D4">
        <w:rPr>
          <w:b/>
        </w:rPr>
        <w:t>OTTAWA</w:t>
      </w:r>
      <w:r w:rsidRPr="003D14D4">
        <w:t xml:space="preserve"> – The Supreme Court of Canada has today deposited with the Registrar judgment</w:t>
      </w:r>
      <w:r w:rsidR="004D3B41" w:rsidRPr="003D14D4">
        <w:t>s</w:t>
      </w:r>
      <w:r w:rsidRPr="003D14D4">
        <w:t xml:space="preserve"> in the following application</w:t>
      </w:r>
      <w:r w:rsidR="00CC044F" w:rsidRPr="003D14D4">
        <w:t>s</w:t>
      </w:r>
      <w:r w:rsidRPr="003D14D4">
        <w:t xml:space="preserve"> for leave to appeal.</w:t>
      </w:r>
    </w:p>
    <w:p w:rsidR="00580C53" w:rsidRPr="003D14D4" w:rsidRDefault="00580C53" w:rsidP="00580C53">
      <w:pPr>
        <w:widowControl w:val="0"/>
        <w:rPr>
          <w:szCs w:val="24"/>
        </w:rPr>
      </w:pPr>
    </w:p>
    <w:p w:rsidR="00694BDA" w:rsidRPr="003D14D4" w:rsidRDefault="00580C53" w:rsidP="00580C53">
      <w:pPr>
        <w:widowControl w:val="0"/>
        <w:rPr>
          <w:szCs w:val="24"/>
        </w:rPr>
      </w:pPr>
      <w:r w:rsidRPr="003D14D4">
        <w:rPr>
          <w:szCs w:val="24"/>
        </w:rPr>
        <w:t xml:space="preserve">Summaries of these cases are available at </w:t>
      </w:r>
      <w:hyperlink r:id="rId8" w:history="1">
        <w:r w:rsidR="00C235C7" w:rsidRPr="00B94F1D">
          <w:rPr>
            <w:rStyle w:val="Hyperlink"/>
            <w:szCs w:val="24"/>
          </w:rPr>
          <w:t>http://scc-csc.lexum.com/scc-csc/news/en/item/5607/index.do</w:t>
        </w:r>
      </w:hyperlink>
      <w:r w:rsidR="006B46D8" w:rsidRPr="003D14D4">
        <w:rPr>
          <w:szCs w:val="24"/>
        </w:rPr>
        <w:t xml:space="preserve">. </w:t>
      </w:r>
    </w:p>
    <w:p w:rsidR="006F2579" w:rsidRPr="003D14D4" w:rsidRDefault="006F2579" w:rsidP="006F2579">
      <w:pPr>
        <w:widowControl w:val="0"/>
      </w:pPr>
    </w:p>
    <w:p w:rsidR="006F2579" w:rsidRPr="003D14D4" w:rsidRDefault="006F2579" w:rsidP="006F2579">
      <w:pPr>
        <w:widowControl w:val="0"/>
      </w:pPr>
    </w:p>
    <w:p w:rsidR="002767DF" w:rsidRPr="003D14D4" w:rsidRDefault="002767DF" w:rsidP="002767DF">
      <w:pPr>
        <w:widowControl w:val="0"/>
        <w:jc w:val="center"/>
        <w:rPr>
          <w:lang w:val="fr-CA"/>
        </w:rPr>
      </w:pPr>
      <w:r w:rsidRPr="003D14D4">
        <w:rPr>
          <w:b/>
          <w:lang w:val="fr-CA"/>
        </w:rPr>
        <w:t>JUGEMENT</w:t>
      </w:r>
      <w:r w:rsidR="004C4C26" w:rsidRPr="003D14D4">
        <w:rPr>
          <w:b/>
          <w:lang w:val="fr-CA"/>
        </w:rPr>
        <w:t>S SUR DEMANDE</w:t>
      </w:r>
      <w:r w:rsidR="00CC044F" w:rsidRPr="003D14D4">
        <w:rPr>
          <w:b/>
          <w:lang w:val="fr-CA"/>
        </w:rPr>
        <w:t>S</w:t>
      </w:r>
      <w:r w:rsidRPr="003D14D4">
        <w:rPr>
          <w:b/>
          <w:lang w:val="fr-CA"/>
        </w:rPr>
        <w:t xml:space="preserve"> D’AUTORISATION</w:t>
      </w:r>
    </w:p>
    <w:p w:rsidR="006F2579" w:rsidRPr="003D14D4" w:rsidRDefault="006F2579" w:rsidP="006F2579">
      <w:pPr>
        <w:widowControl w:val="0"/>
        <w:rPr>
          <w:lang w:val="fr-CA"/>
        </w:rPr>
      </w:pPr>
    </w:p>
    <w:p w:rsidR="006F2579" w:rsidRPr="003D14D4" w:rsidRDefault="006F2579" w:rsidP="006F2579">
      <w:pPr>
        <w:widowControl w:val="0"/>
        <w:rPr>
          <w:b/>
          <w:lang w:val="fr-CA"/>
        </w:rPr>
      </w:pPr>
      <w:r w:rsidRPr="003D14D4">
        <w:rPr>
          <w:b/>
          <w:lang w:val="fr-CA"/>
        </w:rPr>
        <w:t>Le</w:t>
      </w:r>
      <w:r w:rsidR="008825DB" w:rsidRPr="003D14D4">
        <w:rPr>
          <w:b/>
          <w:lang w:val="fr-CA"/>
        </w:rPr>
        <w:t xml:space="preserve"> </w:t>
      </w:r>
      <w:r w:rsidR="00C235C7">
        <w:rPr>
          <w:b/>
          <w:lang w:val="fr-CA"/>
        </w:rPr>
        <w:t>21</w:t>
      </w:r>
      <w:r w:rsidR="00C9475D" w:rsidRPr="003D14D4">
        <w:rPr>
          <w:b/>
          <w:lang w:val="fr-CA"/>
        </w:rPr>
        <w:t xml:space="preserve"> </w:t>
      </w:r>
      <w:r w:rsidR="005F771A" w:rsidRPr="003D14D4">
        <w:rPr>
          <w:b/>
          <w:lang w:val="fr-CA"/>
        </w:rPr>
        <w:t>septembre</w:t>
      </w:r>
      <w:r w:rsidR="004E4B02" w:rsidRPr="003D14D4">
        <w:rPr>
          <w:b/>
          <w:lang w:val="fr-CA"/>
        </w:rPr>
        <w:t xml:space="preserve"> </w:t>
      </w:r>
      <w:r w:rsidR="008825DB" w:rsidRPr="003D14D4">
        <w:rPr>
          <w:b/>
          <w:lang w:val="fr-CA"/>
        </w:rPr>
        <w:t>201</w:t>
      </w:r>
      <w:r w:rsidR="00C447A2" w:rsidRPr="003D14D4">
        <w:rPr>
          <w:b/>
          <w:lang w:val="fr-CA"/>
        </w:rPr>
        <w:t>7</w:t>
      </w:r>
    </w:p>
    <w:p w:rsidR="006F2579" w:rsidRPr="003D14D4" w:rsidRDefault="006F2579" w:rsidP="006F2579">
      <w:pPr>
        <w:widowControl w:val="0"/>
        <w:rPr>
          <w:b/>
          <w:lang w:val="fr-CA"/>
        </w:rPr>
      </w:pPr>
      <w:r w:rsidRPr="003D14D4">
        <w:rPr>
          <w:b/>
          <w:lang w:val="fr-CA"/>
        </w:rPr>
        <w:t>Pour diffusion immédiate</w:t>
      </w:r>
    </w:p>
    <w:p w:rsidR="006F2579" w:rsidRPr="003D14D4" w:rsidRDefault="006F2579" w:rsidP="006F2579">
      <w:pPr>
        <w:widowControl w:val="0"/>
        <w:rPr>
          <w:b/>
          <w:lang w:val="fr-CA"/>
        </w:rPr>
      </w:pPr>
    </w:p>
    <w:p w:rsidR="002767DF" w:rsidRPr="003D14D4" w:rsidRDefault="002767DF" w:rsidP="002767DF">
      <w:pPr>
        <w:widowControl w:val="0"/>
        <w:rPr>
          <w:lang w:val="fr-CA"/>
        </w:rPr>
      </w:pPr>
      <w:r w:rsidRPr="003D14D4">
        <w:rPr>
          <w:b/>
          <w:lang w:val="fr-CA"/>
        </w:rPr>
        <w:t>OTTAWA</w:t>
      </w:r>
      <w:r w:rsidRPr="003D14D4">
        <w:rPr>
          <w:lang w:val="fr-CA"/>
        </w:rPr>
        <w:t xml:space="preserve"> – La Cour suprême du Canada a déposé aujourd’hui auprès du registraire les jugements dans </w:t>
      </w:r>
      <w:r w:rsidR="00CC044F" w:rsidRPr="003D14D4">
        <w:rPr>
          <w:lang w:val="fr-CA"/>
        </w:rPr>
        <w:t>les</w:t>
      </w:r>
      <w:r w:rsidR="008C7CD9" w:rsidRPr="003D14D4">
        <w:rPr>
          <w:lang w:val="fr-CA"/>
        </w:rPr>
        <w:t xml:space="preserve"> </w:t>
      </w:r>
      <w:r w:rsidR="004C4C26" w:rsidRPr="003D14D4">
        <w:rPr>
          <w:lang w:val="fr-CA"/>
        </w:rPr>
        <w:t>demande</w:t>
      </w:r>
      <w:r w:rsidR="0088435A" w:rsidRPr="003D14D4">
        <w:rPr>
          <w:lang w:val="fr-CA"/>
        </w:rPr>
        <w:t>s</w:t>
      </w:r>
      <w:r w:rsidRPr="003D14D4">
        <w:rPr>
          <w:lang w:val="fr-CA"/>
        </w:rPr>
        <w:t xml:space="preserve"> d’autorisation d’appel qui suivent. </w:t>
      </w:r>
    </w:p>
    <w:p w:rsidR="002767DF" w:rsidRPr="003D14D4" w:rsidRDefault="002767DF" w:rsidP="002767DF">
      <w:pPr>
        <w:widowControl w:val="0"/>
        <w:rPr>
          <w:lang w:val="fr-CA"/>
        </w:rPr>
      </w:pPr>
    </w:p>
    <w:p w:rsidR="007E5C9C" w:rsidRPr="003D14D4" w:rsidRDefault="007E5C9C" w:rsidP="007E5C9C">
      <w:pPr>
        <w:widowControl w:val="0"/>
        <w:rPr>
          <w:szCs w:val="24"/>
          <w:lang w:val="fr-CA"/>
        </w:rPr>
      </w:pPr>
      <w:r w:rsidRPr="003D14D4">
        <w:rPr>
          <w:lang w:val="fr-CA"/>
        </w:rPr>
        <w:t xml:space="preserve">Les sommaires des causes peuvent être consultés à l'adresse </w:t>
      </w:r>
      <w:r w:rsidRPr="003D14D4">
        <w:rPr>
          <w:szCs w:val="24"/>
          <w:lang w:val="fr-CA"/>
        </w:rPr>
        <w:t xml:space="preserve">suivante : </w:t>
      </w:r>
      <w:hyperlink r:id="rId9" w:history="1">
        <w:r w:rsidR="00C235C7" w:rsidRPr="00B94F1D">
          <w:rPr>
            <w:rStyle w:val="Hyperlink"/>
            <w:szCs w:val="24"/>
            <w:lang w:val="fr-CA"/>
          </w:rPr>
          <w:t>http://scc-csc.lexum.com/scc-csc/news/fr/item/5607/index.do</w:t>
        </w:r>
      </w:hyperlink>
      <w:r w:rsidR="006B46D8" w:rsidRPr="003D14D4">
        <w:rPr>
          <w:szCs w:val="24"/>
          <w:lang w:val="fr-CA"/>
        </w:rPr>
        <w:t xml:space="preserve">. </w:t>
      </w:r>
    </w:p>
    <w:p w:rsidR="00694BDA" w:rsidRPr="003D14D4" w:rsidRDefault="00694BDA" w:rsidP="000B5274">
      <w:pPr>
        <w:jc w:val="both"/>
        <w:rPr>
          <w:sz w:val="20"/>
          <w:lang w:val="fr-CA"/>
        </w:rPr>
      </w:pPr>
    </w:p>
    <w:p w:rsidR="00853253" w:rsidRDefault="00853253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C235C7" w:rsidRPr="003D14D4" w:rsidRDefault="00C235C7" w:rsidP="00C235C7">
      <w:pPr>
        <w:jc w:val="both"/>
        <w:rPr>
          <w:b/>
        </w:rPr>
      </w:pPr>
      <w:r>
        <w:rPr>
          <w:b/>
        </w:rPr>
        <w:t>GRANTED</w:t>
      </w:r>
      <w:r w:rsidRPr="003D14D4">
        <w:rPr>
          <w:b/>
        </w:rPr>
        <w:t xml:space="preserve"> / </w:t>
      </w:r>
      <w:r>
        <w:rPr>
          <w:b/>
        </w:rPr>
        <w:t>ACCORD</w:t>
      </w:r>
      <w:r w:rsidRPr="003D14D4">
        <w:rPr>
          <w:b/>
        </w:rPr>
        <w:t>ÉE</w:t>
      </w:r>
    </w:p>
    <w:p w:rsidR="00C235C7" w:rsidRPr="00EC5968" w:rsidRDefault="00C235C7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306CCE" w:rsidRPr="00306CCE" w:rsidRDefault="00306CCE" w:rsidP="00306CCE">
      <w:pPr>
        <w:pStyle w:val="SCCAppellantInfoAppellantInfo"/>
        <w:rPr>
          <w:sz w:val="22"/>
          <w:szCs w:val="22"/>
          <w:lang w:val="en-US"/>
        </w:rPr>
      </w:pPr>
      <w:r w:rsidRPr="00306CCE">
        <w:rPr>
          <w:i/>
          <w:sz w:val="22"/>
          <w:szCs w:val="22"/>
          <w:lang w:val="en-US"/>
        </w:rPr>
        <w:t>Her Majesty the Queen et al. v. Derek Brassington et al.</w:t>
      </w:r>
      <w:r w:rsidRPr="00306CCE">
        <w:rPr>
          <w:sz w:val="22"/>
          <w:szCs w:val="22"/>
          <w:lang w:val="en-US"/>
        </w:rPr>
        <w:t xml:space="preserve"> (B.C.) (Criminal) (By Leave) </w:t>
      </w:r>
      <w:r w:rsidRPr="00306CCE">
        <w:rPr>
          <w:sz w:val="22"/>
          <w:szCs w:val="22"/>
        </w:rPr>
        <w:t>(</w:t>
      </w:r>
      <w:hyperlink r:id="rId10" w:history="1">
        <w:r w:rsidRPr="00306CCE">
          <w:rPr>
            <w:rStyle w:val="Hyperlink"/>
            <w:sz w:val="22"/>
            <w:szCs w:val="22"/>
          </w:rPr>
          <w:t>37476</w:t>
        </w:r>
      </w:hyperlink>
      <w:r w:rsidRPr="00306CCE">
        <w:rPr>
          <w:sz w:val="22"/>
          <w:szCs w:val="22"/>
        </w:rPr>
        <w:t>)</w:t>
      </w:r>
    </w:p>
    <w:p w:rsidR="00C235C7" w:rsidRPr="00306CCE" w:rsidRDefault="00306CCE" w:rsidP="00306CCE">
      <w:pPr>
        <w:jc w:val="both"/>
        <w:rPr>
          <w:rFonts w:eastAsiaTheme="minorEastAsia"/>
          <w:sz w:val="20"/>
          <w:lang w:eastAsia="en-CA"/>
        </w:rPr>
      </w:pPr>
      <w:r w:rsidRPr="00306CCE">
        <w:rPr>
          <w:rFonts w:eastAsiaTheme="minorEastAsia"/>
          <w:sz w:val="20"/>
          <w:lang w:eastAsia="en-CA"/>
        </w:rPr>
        <w:t>(</w:t>
      </w:r>
      <w:r w:rsidRPr="00306CCE">
        <w:rPr>
          <w:sz w:val="20"/>
        </w:rPr>
        <w:t>The motions for an extension of time to serve and file the applications for leave to appeal are granted.</w:t>
      </w:r>
      <w:r w:rsidRPr="00306CCE">
        <w:rPr>
          <w:sz w:val="20"/>
        </w:rPr>
        <w:t xml:space="preserve"> </w:t>
      </w:r>
      <w:r w:rsidRPr="00306CCE">
        <w:rPr>
          <w:sz w:val="20"/>
        </w:rPr>
        <w:t xml:space="preserve">The applications for leave to appeal from </w:t>
      </w:r>
      <w:bookmarkStart w:id="1" w:name="BM_1_"/>
      <w:bookmarkEnd w:id="1"/>
      <w:r w:rsidRPr="00306CCE">
        <w:rPr>
          <w:sz w:val="20"/>
        </w:rPr>
        <w:t>the judgment of the Supreme Court of British Columbia</w:t>
      </w:r>
      <w:r w:rsidRPr="00306CCE">
        <w:rPr>
          <w:sz w:val="20"/>
        </w:rPr>
        <w:t xml:space="preserve"> </w:t>
      </w:r>
      <w:r w:rsidRPr="00306CCE">
        <w:rPr>
          <w:sz w:val="20"/>
        </w:rPr>
        <w:t>are granted.</w:t>
      </w:r>
      <w:r w:rsidRPr="00306CCE">
        <w:rPr>
          <w:sz w:val="20"/>
        </w:rPr>
        <w:t xml:space="preserve"> </w:t>
      </w:r>
      <w:r w:rsidRPr="00306CCE">
        <w:rPr>
          <w:sz w:val="20"/>
        </w:rPr>
        <w:t>The applications for leave to appeal from the judgment of the Court of Appeal for British Columbia (Vancouver)</w:t>
      </w:r>
      <w:r w:rsidRPr="00306CCE">
        <w:rPr>
          <w:sz w:val="20"/>
        </w:rPr>
        <w:t xml:space="preserve"> </w:t>
      </w:r>
      <w:r w:rsidRPr="00306CCE">
        <w:rPr>
          <w:sz w:val="20"/>
        </w:rPr>
        <w:t>are also granted.</w:t>
      </w:r>
      <w:r w:rsidRPr="00306CCE">
        <w:rPr>
          <w:sz w:val="20"/>
        </w:rPr>
        <w:t xml:space="preserve"> / </w:t>
      </w:r>
    </w:p>
    <w:p w:rsidR="00C235C7" w:rsidRPr="00306CCE" w:rsidRDefault="00306CCE" w:rsidP="00306CCE">
      <w:pPr>
        <w:jc w:val="both"/>
        <w:rPr>
          <w:rFonts w:eastAsiaTheme="minorEastAsia"/>
          <w:sz w:val="20"/>
          <w:lang w:val="fr-CA" w:eastAsia="en-CA"/>
        </w:rPr>
      </w:pPr>
      <w:r w:rsidRPr="00306CCE">
        <w:rPr>
          <w:sz w:val="20"/>
          <w:lang w:val="fr-CA"/>
        </w:rPr>
        <w:t>Les requêtes en prorogation du délai de signification et de dépôt des demandes d’autorisation d’appel sont accueillies.</w:t>
      </w:r>
      <w:r w:rsidRPr="00306CCE">
        <w:rPr>
          <w:sz w:val="20"/>
          <w:lang w:val="fr-CA"/>
        </w:rPr>
        <w:t xml:space="preserve"> </w:t>
      </w:r>
      <w:r w:rsidRPr="00306CCE">
        <w:rPr>
          <w:sz w:val="20"/>
          <w:lang w:val="fr-CA"/>
        </w:rPr>
        <w:t>Les demandes d’autorisation d’appel de l’arrêt de la Cour supr</w:t>
      </w:r>
      <w:r w:rsidRPr="00306CCE">
        <w:rPr>
          <w:sz w:val="20"/>
          <w:lang w:val="fr-CA"/>
        </w:rPr>
        <w:t xml:space="preserve">ême de la Colombie-Britannique </w:t>
      </w:r>
      <w:r w:rsidRPr="00306CCE">
        <w:rPr>
          <w:sz w:val="20"/>
          <w:lang w:val="fr-CA"/>
        </w:rPr>
        <w:t>sont accueillies.</w:t>
      </w:r>
      <w:r w:rsidRPr="00306CCE">
        <w:rPr>
          <w:sz w:val="20"/>
          <w:lang w:val="fr-CA"/>
        </w:rPr>
        <w:t xml:space="preserve"> </w:t>
      </w:r>
      <w:r w:rsidRPr="00306CCE">
        <w:rPr>
          <w:sz w:val="20"/>
          <w:lang w:val="fr-CA"/>
        </w:rPr>
        <w:t xml:space="preserve">Les demandes d’autorisation d’appel de l’arrêt de la </w:t>
      </w:r>
      <w:r w:rsidRPr="00306CCE">
        <w:rPr>
          <w:sz w:val="20"/>
          <w:lang w:val="fr-FR"/>
        </w:rPr>
        <w:t>Cour d’appel de la Colombie-Britannique (Vancouver)</w:t>
      </w:r>
      <w:r w:rsidRPr="00306CCE">
        <w:rPr>
          <w:sz w:val="20"/>
          <w:lang w:val="fr-CA"/>
        </w:rPr>
        <w:t xml:space="preserve"> </w:t>
      </w:r>
      <w:r w:rsidRPr="00306CCE">
        <w:rPr>
          <w:sz w:val="20"/>
          <w:lang w:val="fr-CA"/>
        </w:rPr>
        <w:t>sont également accueillies.</w:t>
      </w:r>
      <w:r w:rsidRPr="00306CCE">
        <w:rPr>
          <w:sz w:val="20"/>
          <w:lang w:val="fr-CA"/>
        </w:rPr>
        <w:t>)</w:t>
      </w:r>
    </w:p>
    <w:p w:rsidR="00C235C7" w:rsidRPr="00306CCE" w:rsidRDefault="00C235C7" w:rsidP="00C235C7">
      <w:pPr>
        <w:tabs>
          <w:tab w:val="left" w:pos="2544"/>
        </w:tabs>
        <w:rPr>
          <w:sz w:val="22"/>
          <w:szCs w:val="22"/>
          <w:lang w:val="fr-CA"/>
        </w:rPr>
      </w:pPr>
    </w:p>
    <w:p w:rsidR="00C235C7" w:rsidRPr="003D14D4" w:rsidRDefault="00C235C7" w:rsidP="00C235C7">
      <w:pPr>
        <w:jc w:val="both"/>
        <w:rPr>
          <w:sz w:val="22"/>
          <w:szCs w:val="22"/>
        </w:rPr>
      </w:pPr>
      <w:r w:rsidRPr="003D14D4">
        <w:rPr>
          <w:sz w:val="22"/>
          <w:szCs w:val="22"/>
        </w:rPr>
        <w:t>****</w:t>
      </w:r>
    </w:p>
    <w:p w:rsidR="00C235C7" w:rsidRPr="00EC5968" w:rsidRDefault="00C235C7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2C446D" w:rsidRPr="003D14D4" w:rsidRDefault="002C446D" w:rsidP="002C446D">
      <w:pPr>
        <w:jc w:val="both"/>
        <w:rPr>
          <w:b/>
        </w:rPr>
      </w:pPr>
      <w:r w:rsidRPr="003D14D4">
        <w:rPr>
          <w:b/>
        </w:rPr>
        <w:t xml:space="preserve">DISMISSED / </w:t>
      </w:r>
      <w:r w:rsidRPr="00D13DE2">
        <w:rPr>
          <w:b/>
        </w:rPr>
        <w:t>REJETÉE</w:t>
      </w:r>
      <w:r w:rsidR="006C37A5" w:rsidRPr="00D13DE2">
        <w:rPr>
          <w:b/>
        </w:rPr>
        <w:t>S</w:t>
      </w:r>
    </w:p>
    <w:p w:rsidR="00D90171" w:rsidRPr="003D14D4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C821A5" w:rsidRPr="00C821A5" w:rsidRDefault="00C821A5" w:rsidP="00C821A5">
      <w:pPr>
        <w:rPr>
          <w:sz w:val="22"/>
          <w:szCs w:val="22"/>
        </w:rPr>
      </w:pPr>
      <w:r w:rsidRPr="00C821A5">
        <w:rPr>
          <w:i/>
          <w:sz w:val="22"/>
          <w:szCs w:val="22"/>
        </w:rPr>
        <w:t>Attorney General of Canada on behalf of the United States of America v. Shane Donald Fraser et al.</w:t>
      </w:r>
      <w:r w:rsidRPr="00C821A5">
        <w:rPr>
          <w:sz w:val="22"/>
          <w:szCs w:val="22"/>
        </w:rPr>
        <w:t xml:space="preserve"> (B.C.) (Criminal) (By Leave) (</w:t>
      </w:r>
      <w:hyperlink r:id="rId11" w:history="1">
        <w:r w:rsidRPr="00C821A5">
          <w:rPr>
            <w:rStyle w:val="Hyperlink"/>
            <w:sz w:val="22"/>
            <w:szCs w:val="22"/>
          </w:rPr>
          <w:t>37588</w:t>
        </w:r>
      </w:hyperlink>
      <w:r w:rsidRPr="00C821A5">
        <w:rPr>
          <w:sz w:val="22"/>
          <w:szCs w:val="22"/>
        </w:rPr>
        <w:t>)</w:t>
      </w:r>
    </w:p>
    <w:p w:rsidR="002A6D35" w:rsidRPr="00C821A5" w:rsidRDefault="002A6D35" w:rsidP="00C821A5">
      <w:pPr>
        <w:tabs>
          <w:tab w:val="left" w:pos="2544"/>
        </w:tabs>
        <w:rPr>
          <w:sz w:val="20"/>
        </w:rPr>
      </w:pPr>
      <w:r w:rsidRPr="00C821A5">
        <w:rPr>
          <w:sz w:val="20"/>
        </w:rPr>
        <w:t>(</w:t>
      </w:r>
      <w:r w:rsidR="00C821A5" w:rsidRPr="00C821A5">
        <w:rPr>
          <w:sz w:val="20"/>
        </w:rPr>
        <w:t>The motion to join three orders into one application for leave to appeal is granted. The application for leave to appeal is dismissed.</w:t>
      </w:r>
      <w:r w:rsidR="00C821A5" w:rsidRPr="00C821A5">
        <w:rPr>
          <w:sz w:val="20"/>
        </w:rPr>
        <w:t xml:space="preserve"> / </w:t>
      </w:r>
    </w:p>
    <w:p w:rsidR="00C821A5" w:rsidRPr="00C821A5" w:rsidRDefault="00C821A5" w:rsidP="00C821A5">
      <w:pPr>
        <w:tabs>
          <w:tab w:val="left" w:pos="2544"/>
        </w:tabs>
        <w:rPr>
          <w:sz w:val="20"/>
          <w:lang w:val="fr-CA"/>
        </w:rPr>
      </w:pPr>
      <w:r w:rsidRPr="00C821A5">
        <w:rPr>
          <w:sz w:val="20"/>
          <w:lang w:val="fr-CA"/>
        </w:rPr>
        <w:t>La requête pour joindre trois ordonnances dans une demande d’autorisation d’appel est accueillie. La demande d’autorisation d’appel est rejetée.</w:t>
      </w:r>
      <w:r w:rsidRPr="00C821A5">
        <w:rPr>
          <w:sz w:val="20"/>
          <w:lang w:val="fr-CA"/>
        </w:rPr>
        <w:t>)</w:t>
      </w:r>
    </w:p>
    <w:p w:rsidR="00457ABE" w:rsidRPr="00C821A5" w:rsidRDefault="00457ABE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A61077" w:rsidRDefault="00EF4903" w:rsidP="00EF4903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A906B6" w:rsidRPr="00A61077" w:rsidRDefault="00A906B6" w:rsidP="00A906B6">
      <w:pPr>
        <w:rPr>
          <w:sz w:val="22"/>
          <w:szCs w:val="22"/>
          <w:lang w:val="fr-CA"/>
        </w:rPr>
      </w:pPr>
    </w:p>
    <w:p w:rsidR="00A61077" w:rsidRPr="00A61077" w:rsidRDefault="00A61077" w:rsidP="00A61077">
      <w:pPr>
        <w:rPr>
          <w:sz w:val="22"/>
          <w:szCs w:val="22"/>
          <w:lang w:val="fr-CA"/>
        </w:rPr>
      </w:pPr>
      <w:r w:rsidRPr="00A61077">
        <w:rPr>
          <w:rFonts w:eastAsia="Calibri"/>
          <w:i/>
          <w:sz w:val="22"/>
          <w:szCs w:val="22"/>
          <w:lang w:val="fr-CA"/>
        </w:rPr>
        <w:t xml:space="preserve">R.A c. A.AB. </w:t>
      </w:r>
      <w:proofErr w:type="gramStart"/>
      <w:r w:rsidRPr="00A61077">
        <w:rPr>
          <w:rFonts w:eastAsia="Calibri"/>
          <w:i/>
          <w:sz w:val="22"/>
          <w:szCs w:val="22"/>
          <w:lang w:val="fr-CA"/>
        </w:rPr>
        <w:t>et</w:t>
      </w:r>
      <w:proofErr w:type="gramEnd"/>
      <w:r w:rsidRPr="00A61077">
        <w:rPr>
          <w:rFonts w:eastAsia="Calibri"/>
          <w:i/>
          <w:sz w:val="22"/>
          <w:szCs w:val="22"/>
          <w:lang w:val="fr-CA"/>
        </w:rPr>
        <w:t xml:space="preserve"> autres</w:t>
      </w:r>
      <w:r w:rsidRPr="00A61077">
        <w:rPr>
          <w:rFonts w:eastAsia="Calibri"/>
          <w:sz w:val="22"/>
          <w:szCs w:val="22"/>
          <w:lang w:val="fr-CA"/>
        </w:rPr>
        <w:t xml:space="preserve"> (Qc) (Civile) (Autorisation) </w:t>
      </w:r>
      <w:r w:rsidRPr="00A61077">
        <w:rPr>
          <w:sz w:val="22"/>
          <w:szCs w:val="22"/>
          <w:lang w:val="fr-CA"/>
        </w:rPr>
        <w:t>(</w:t>
      </w:r>
      <w:hyperlink r:id="rId12" w:history="1">
        <w:r w:rsidRPr="00A61077">
          <w:rPr>
            <w:rStyle w:val="Hyperlink"/>
            <w:sz w:val="22"/>
            <w:szCs w:val="22"/>
            <w:lang w:val="fr-CA"/>
          </w:rPr>
          <w:t>37565</w:t>
        </w:r>
      </w:hyperlink>
      <w:r w:rsidRPr="00A61077">
        <w:rPr>
          <w:sz w:val="22"/>
          <w:szCs w:val="22"/>
          <w:lang w:val="fr-CA"/>
        </w:rPr>
        <w:t>)</w:t>
      </w:r>
    </w:p>
    <w:p w:rsidR="00853253" w:rsidRPr="00A61077" w:rsidRDefault="00A61077" w:rsidP="00A906B6">
      <w:pPr>
        <w:rPr>
          <w:sz w:val="20"/>
          <w:lang w:val="fr-CA"/>
        </w:rPr>
      </w:pPr>
      <w:r w:rsidRPr="00A61077">
        <w:rPr>
          <w:sz w:val="20"/>
          <w:lang w:val="fr-CA"/>
        </w:rPr>
        <w:t>(</w:t>
      </w:r>
      <w:r w:rsidRPr="00A61077">
        <w:rPr>
          <w:sz w:val="20"/>
          <w:lang w:val="fr-CA"/>
        </w:rPr>
        <w:t>La demande d’autorisation d’appel est rejetée avec dépens en faveur des intimés, A.AB., M.K. et Compagnie A.</w:t>
      </w:r>
      <w:r w:rsidRPr="00A61077">
        <w:rPr>
          <w:sz w:val="20"/>
          <w:lang w:val="fr-CA"/>
        </w:rPr>
        <w:t xml:space="preserve"> / </w:t>
      </w:r>
    </w:p>
    <w:p w:rsidR="00C235C7" w:rsidRPr="00A61077" w:rsidRDefault="00A61077" w:rsidP="00A906B6">
      <w:pPr>
        <w:rPr>
          <w:sz w:val="20"/>
        </w:rPr>
      </w:pPr>
      <w:r w:rsidRPr="00A61077">
        <w:rPr>
          <w:sz w:val="20"/>
          <w:lang w:val="en-CA"/>
        </w:rPr>
        <w:t xml:space="preserve">The application for leave to appeal is dismissed with costs to the respondents, </w:t>
      </w:r>
      <w:proofErr w:type="gramStart"/>
      <w:r w:rsidRPr="00A61077">
        <w:rPr>
          <w:sz w:val="20"/>
          <w:lang w:val="en-CA"/>
        </w:rPr>
        <w:t>A.AB.,</w:t>
      </w:r>
      <w:proofErr w:type="gramEnd"/>
      <w:r w:rsidRPr="00A61077">
        <w:rPr>
          <w:sz w:val="20"/>
          <w:lang w:val="en-CA"/>
        </w:rPr>
        <w:t xml:space="preserve"> M.K. and </w:t>
      </w:r>
      <w:proofErr w:type="spellStart"/>
      <w:r w:rsidRPr="00A61077">
        <w:rPr>
          <w:sz w:val="20"/>
        </w:rPr>
        <w:t>Compagnie</w:t>
      </w:r>
      <w:proofErr w:type="spellEnd"/>
      <w:r w:rsidRPr="00A61077">
        <w:rPr>
          <w:sz w:val="20"/>
        </w:rPr>
        <w:t xml:space="preserve"> A</w:t>
      </w:r>
      <w:r w:rsidRPr="00A61077">
        <w:rPr>
          <w:sz w:val="20"/>
          <w:lang w:val="en-CA"/>
        </w:rPr>
        <w:t>.</w:t>
      </w:r>
      <w:r w:rsidRPr="00A61077">
        <w:rPr>
          <w:sz w:val="20"/>
          <w:lang w:val="en-CA"/>
        </w:rPr>
        <w:t>)</w:t>
      </w:r>
    </w:p>
    <w:p w:rsidR="00C235C7" w:rsidRPr="00A61077" w:rsidRDefault="00C235C7" w:rsidP="00A906B6">
      <w:pPr>
        <w:rPr>
          <w:sz w:val="22"/>
          <w:szCs w:val="22"/>
        </w:rPr>
      </w:pPr>
    </w:p>
    <w:p w:rsidR="00A906B6" w:rsidRPr="00A61077" w:rsidRDefault="00A906B6" w:rsidP="00A906B6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8024BB" w:rsidRPr="008024BB" w:rsidRDefault="008024BB" w:rsidP="008024BB">
      <w:pPr>
        <w:rPr>
          <w:sz w:val="22"/>
          <w:szCs w:val="22"/>
          <w:lang w:val="en-CA"/>
        </w:rPr>
      </w:pPr>
      <w:r w:rsidRPr="008024BB">
        <w:rPr>
          <w:rFonts w:eastAsia="Calibri"/>
          <w:i/>
          <w:sz w:val="22"/>
          <w:szCs w:val="22"/>
          <w:lang w:val="en-CA"/>
        </w:rPr>
        <w:t>John F. Schneider Professional Corporation, operating as Canmore Legal Services et al. v. Horst Tyson Dahlem Professional Corporation</w:t>
      </w:r>
      <w:r w:rsidRPr="008024BB">
        <w:rPr>
          <w:rFonts w:eastAsia="Calibri"/>
          <w:sz w:val="22"/>
          <w:szCs w:val="22"/>
          <w:lang w:val="en-CA"/>
        </w:rPr>
        <w:t xml:space="preserve"> (Alta.) (Civil) (By Leave) </w:t>
      </w:r>
      <w:r w:rsidRPr="008024BB">
        <w:rPr>
          <w:sz w:val="22"/>
          <w:szCs w:val="22"/>
        </w:rPr>
        <w:t>(</w:t>
      </w:r>
      <w:hyperlink r:id="rId13" w:history="1">
        <w:r w:rsidRPr="008024BB">
          <w:rPr>
            <w:rStyle w:val="Hyperlink"/>
            <w:sz w:val="22"/>
            <w:szCs w:val="22"/>
          </w:rPr>
          <w:t>37582</w:t>
        </w:r>
      </w:hyperlink>
      <w:r w:rsidRPr="008024BB">
        <w:rPr>
          <w:sz w:val="22"/>
          <w:szCs w:val="22"/>
        </w:rPr>
        <w:t>)</w:t>
      </w:r>
    </w:p>
    <w:p w:rsidR="00C235C7" w:rsidRPr="008024BB" w:rsidRDefault="008024BB" w:rsidP="00C235C7">
      <w:pPr>
        <w:rPr>
          <w:sz w:val="20"/>
          <w:lang w:val="fr-CA"/>
        </w:rPr>
      </w:pPr>
      <w:r w:rsidRPr="008024BB">
        <w:rPr>
          <w:sz w:val="20"/>
        </w:rPr>
        <w:t>(</w:t>
      </w:r>
      <w:r w:rsidRPr="008024BB">
        <w:rPr>
          <w:sz w:val="20"/>
        </w:rPr>
        <w:t>The application for leave to appeal is dismissed with costs.</w:t>
      </w:r>
      <w:r w:rsidRPr="008024BB">
        <w:rPr>
          <w:sz w:val="20"/>
        </w:rPr>
        <w:t xml:space="preserve"> / </w:t>
      </w:r>
      <w:r w:rsidRPr="008024BB">
        <w:rPr>
          <w:sz w:val="20"/>
          <w:lang w:val="fr-CA"/>
        </w:rPr>
        <w:t xml:space="preserve">La demande d’autorisation d’appel </w:t>
      </w:r>
      <w:proofErr w:type="gramStart"/>
      <w:r w:rsidRPr="008024BB">
        <w:rPr>
          <w:sz w:val="20"/>
          <w:lang w:val="fr-CA"/>
        </w:rPr>
        <w:t>est</w:t>
      </w:r>
      <w:proofErr w:type="gramEnd"/>
      <w:r w:rsidRPr="008024BB">
        <w:rPr>
          <w:sz w:val="20"/>
          <w:lang w:val="fr-CA"/>
        </w:rPr>
        <w:t xml:space="preserve"> rejetée avec dépens.</w:t>
      </w:r>
      <w:r w:rsidRPr="008024BB">
        <w:rPr>
          <w:sz w:val="20"/>
          <w:lang w:val="fr-CA"/>
        </w:rPr>
        <w:t>)</w:t>
      </w:r>
    </w:p>
    <w:p w:rsidR="00C235C7" w:rsidRPr="008024BB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D35C17" w:rsidRPr="00D35C17" w:rsidRDefault="00D35C17" w:rsidP="00D35C17">
      <w:pPr>
        <w:rPr>
          <w:rFonts w:eastAsia="Calibri"/>
          <w:sz w:val="22"/>
          <w:szCs w:val="22"/>
          <w:lang w:val="fr-CA"/>
        </w:rPr>
      </w:pPr>
      <w:r w:rsidRPr="00D35C17">
        <w:rPr>
          <w:rFonts w:eastAsia="Calibri"/>
          <w:i/>
          <w:sz w:val="22"/>
          <w:szCs w:val="22"/>
          <w:lang w:val="fr-CA"/>
        </w:rPr>
        <w:t>Marcel Nadeau c. Mercedes Benz Canada Inc. et autre</w:t>
      </w:r>
      <w:r w:rsidRPr="00D35C17">
        <w:rPr>
          <w:rFonts w:eastAsia="Calibri"/>
          <w:sz w:val="22"/>
          <w:szCs w:val="22"/>
          <w:lang w:val="fr-CA"/>
        </w:rPr>
        <w:t xml:space="preserve"> (Qc) (Civile) (Autorisation) </w:t>
      </w:r>
      <w:r w:rsidRPr="00D35C17">
        <w:rPr>
          <w:sz w:val="22"/>
          <w:szCs w:val="22"/>
          <w:lang w:val="fr-CA"/>
        </w:rPr>
        <w:t>(</w:t>
      </w:r>
      <w:hyperlink r:id="rId14" w:history="1">
        <w:r w:rsidRPr="00D35C17">
          <w:rPr>
            <w:rStyle w:val="Hyperlink"/>
            <w:sz w:val="22"/>
            <w:szCs w:val="22"/>
            <w:lang w:val="fr-CA"/>
          </w:rPr>
          <w:t>37576</w:t>
        </w:r>
      </w:hyperlink>
      <w:r w:rsidRPr="00D35C17">
        <w:rPr>
          <w:sz w:val="22"/>
          <w:szCs w:val="22"/>
          <w:lang w:val="fr-CA"/>
        </w:rPr>
        <w:t>)</w:t>
      </w:r>
    </w:p>
    <w:p w:rsidR="00C235C7" w:rsidRPr="00D35C17" w:rsidRDefault="00D35C17" w:rsidP="00C235C7">
      <w:pPr>
        <w:rPr>
          <w:sz w:val="20"/>
        </w:rPr>
      </w:pPr>
      <w:r w:rsidRPr="00D35C17">
        <w:rPr>
          <w:sz w:val="20"/>
          <w:lang w:val="fr-CA"/>
        </w:rPr>
        <w:t>(</w:t>
      </w:r>
      <w:r w:rsidRPr="00D35C17">
        <w:rPr>
          <w:sz w:val="20"/>
          <w:lang w:val="fr-CA"/>
        </w:rPr>
        <w:t>La demande d’autorisation d’appel est rejetée sans dépens.</w:t>
      </w:r>
      <w:r w:rsidRPr="00D35C17">
        <w:rPr>
          <w:sz w:val="20"/>
          <w:lang w:val="fr-CA"/>
        </w:rPr>
        <w:t xml:space="preserve"> / </w:t>
      </w:r>
      <w:r w:rsidRPr="00D35C17">
        <w:rPr>
          <w:sz w:val="20"/>
          <w:lang w:val="en-CA"/>
        </w:rPr>
        <w:t>The application for leave to appeal is dismissed without costs.</w:t>
      </w:r>
      <w:r w:rsidRPr="00D35C17">
        <w:rPr>
          <w:sz w:val="20"/>
          <w:lang w:val="en-CA"/>
        </w:rPr>
        <w:t>)</w:t>
      </w:r>
    </w:p>
    <w:p w:rsidR="00C235C7" w:rsidRPr="00D35C17" w:rsidRDefault="00C235C7" w:rsidP="00C235C7">
      <w:pPr>
        <w:rPr>
          <w:sz w:val="22"/>
          <w:szCs w:val="22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2E5371" w:rsidRPr="002E5371" w:rsidRDefault="002E5371" w:rsidP="002E5371">
      <w:pPr>
        <w:rPr>
          <w:rFonts w:eastAsia="Calibri"/>
          <w:sz w:val="22"/>
          <w:szCs w:val="22"/>
          <w:lang w:val="en-CA"/>
        </w:rPr>
      </w:pPr>
      <w:r w:rsidRPr="002E5371">
        <w:rPr>
          <w:rFonts w:eastAsia="Calibri"/>
          <w:i/>
          <w:sz w:val="22"/>
          <w:szCs w:val="22"/>
          <w:lang w:val="en-CA"/>
        </w:rPr>
        <w:t>Earl Daniel Stevenson v. Her Majesty the Queen</w:t>
      </w:r>
      <w:r w:rsidRPr="002E5371">
        <w:rPr>
          <w:rFonts w:eastAsia="Calibri"/>
          <w:sz w:val="22"/>
          <w:szCs w:val="22"/>
          <w:lang w:val="en-CA"/>
        </w:rPr>
        <w:t xml:space="preserve"> (Sask.) (Criminal) (By Leave) </w:t>
      </w:r>
      <w:r w:rsidRPr="002E5371">
        <w:rPr>
          <w:sz w:val="22"/>
          <w:szCs w:val="22"/>
        </w:rPr>
        <w:t>(</w:t>
      </w:r>
      <w:hyperlink r:id="rId15" w:history="1">
        <w:r w:rsidRPr="002E5371">
          <w:rPr>
            <w:rStyle w:val="Hyperlink"/>
            <w:sz w:val="22"/>
            <w:szCs w:val="22"/>
          </w:rPr>
          <w:t>27620</w:t>
        </w:r>
      </w:hyperlink>
      <w:r w:rsidRPr="002E5371">
        <w:rPr>
          <w:sz w:val="22"/>
          <w:szCs w:val="22"/>
        </w:rPr>
        <w:t>)</w:t>
      </w:r>
    </w:p>
    <w:p w:rsidR="00C235C7" w:rsidRPr="002E5371" w:rsidRDefault="002E5371" w:rsidP="00C235C7">
      <w:pPr>
        <w:rPr>
          <w:sz w:val="20"/>
        </w:rPr>
      </w:pPr>
      <w:r w:rsidRPr="002E5371">
        <w:rPr>
          <w:sz w:val="20"/>
        </w:rPr>
        <w:t>(</w:t>
      </w:r>
      <w:r w:rsidRPr="002E5371">
        <w:rPr>
          <w:sz w:val="20"/>
        </w:rPr>
        <w:t>The motion for an extension of time to serve and file the application for leave to appeal is dismissed.</w:t>
      </w:r>
      <w:r w:rsidRPr="002E5371">
        <w:rPr>
          <w:sz w:val="20"/>
        </w:rPr>
        <w:t xml:space="preserve"> / </w:t>
      </w:r>
    </w:p>
    <w:p w:rsidR="00C235C7" w:rsidRPr="002E5371" w:rsidRDefault="002E5371" w:rsidP="00C235C7">
      <w:pPr>
        <w:rPr>
          <w:sz w:val="20"/>
          <w:lang w:val="fr-CA"/>
        </w:rPr>
      </w:pPr>
      <w:r w:rsidRPr="002E5371">
        <w:rPr>
          <w:sz w:val="20"/>
          <w:lang w:val="fr-CA"/>
        </w:rPr>
        <w:t>La requête en prorogation du délai de signification et de dépôt de la demande d’autorisation d’appel est rejetée.</w:t>
      </w:r>
      <w:r w:rsidRPr="002E5371">
        <w:rPr>
          <w:sz w:val="20"/>
          <w:lang w:val="fr-CA"/>
        </w:rPr>
        <w:t>)</w:t>
      </w:r>
    </w:p>
    <w:p w:rsidR="00C235C7" w:rsidRPr="002E5371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711062" w:rsidRPr="00711062" w:rsidRDefault="00711062" w:rsidP="00711062">
      <w:pPr>
        <w:jc w:val="both"/>
        <w:rPr>
          <w:sz w:val="22"/>
          <w:szCs w:val="22"/>
          <w:lang w:val="en-CA"/>
        </w:rPr>
      </w:pPr>
      <w:r w:rsidRPr="00711062">
        <w:rPr>
          <w:i/>
          <w:sz w:val="22"/>
          <w:szCs w:val="22"/>
          <w:lang w:val="en-CA"/>
        </w:rPr>
        <w:t xml:space="preserve">Canpotex Shipping Services Limited at al. v. ING Bank N.V. et al. </w:t>
      </w:r>
      <w:r w:rsidRPr="00711062">
        <w:rPr>
          <w:sz w:val="22"/>
          <w:szCs w:val="22"/>
          <w:lang w:val="en-CA"/>
        </w:rPr>
        <w:t xml:space="preserve">(F.C.) (Civil) (By Leave) </w:t>
      </w:r>
      <w:r w:rsidRPr="00711062">
        <w:rPr>
          <w:sz w:val="22"/>
          <w:szCs w:val="22"/>
        </w:rPr>
        <w:t>(</w:t>
      </w:r>
      <w:hyperlink r:id="rId16" w:history="1">
        <w:r w:rsidRPr="00711062">
          <w:rPr>
            <w:rStyle w:val="Hyperlink"/>
            <w:sz w:val="22"/>
            <w:szCs w:val="22"/>
          </w:rPr>
          <w:t>37553</w:t>
        </w:r>
      </w:hyperlink>
      <w:r w:rsidRPr="00711062">
        <w:rPr>
          <w:sz w:val="22"/>
          <w:szCs w:val="22"/>
        </w:rPr>
        <w:t>)</w:t>
      </w:r>
    </w:p>
    <w:p w:rsidR="00C235C7" w:rsidRPr="00711062" w:rsidRDefault="00711062" w:rsidP="00C235C7">
      <w:pPr>
        <w:rPr>
          <w:sz w:val="20"/>
          <w:lang w:val="fr-CA"/>
        </w:rPr>
      </w:pPr>
      <w:r w:rsidRPr="00711062">
        <w:rPr>
          <w:sz w:val="20"/>
        </w:rPr>
        <w:t>(</w:t>
      </w:r>
      <w:r w:rsidRPr="00711062">
        <w:rPr>
          <w:sz w:val="20"/>
        </w:rPr>
        <w:t>The application for leave to appeal is dismissed with costs.</w:t>
      </w:r>
      <w:r w:rsidRPr="00711062">
        <w:rPr>
          <w:sz w:val="20"/>
        </w:rPr>
        <w:t xml:space="preserve"> / </w:t>
      </w:r>
      <w:r w:rsidRPr="00711062">
        <w:rPr>
          <w:sz w:val="20"/>
          <w:lang w:val="fr-CA"/>
        </w:rPr>
        <w:t xml:space="preserve">La demande d’autorisation d’appel </w:t>
      </w:r>
      <w:proofErr w:type="gramStart"/>
      <w:r w:rsidRPr="00711062">
        <w:rPr>
          <w:sz w:val="20"/>
          <w:lang w:val="fr-CA"/>
        </w:rPr>
        <w:t>est</w:t>
      </w:r>
      <w:proofErr w:type="gramEnd"/>
      <w:r w:rsidRPr="00711062">
        <w:rPr>
          <w:sz w:val="20"/>
          <w:lang w:val="fr-CA"/>
        </w:rPr>
        <w:t xml:space="preserve"> rejetée avec dépens.</w:t>
      </w:r>
      <w:r w:rsidRPr="00711062">
        <w:rPr>
          <w:sz w:val="20"/>
          <w:lang w:val="fr-CA"/>
        </w:rPr>
        <w:t>)</w:t>
      </w:r>
    </w:p>
    <w:p w:rsidR="00C235C7" w:rsidRPr="00711062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870830" w:rsidRPr="00870830" w:rsidRDefault="00870830" w:rsidP="00870830">
      <w:pPr>
        <w:jc w:val="both"/>
        <w:rPr>
          <w:rFonts w:eastAsia="Calibri"/>
          <w:sz w:val="22"/>
          <w:szCs w:val="22"/>
          <w:lang w:val="en-CA"/>
        </w:rPr>
      </w:pPr>
      <w:r w:rsidRPr="00870830">
        <w:rPr>
          <w:rFonts w:eastAsia="Calibri"/>
          <w:i/>
          <w:sz w:val="22"/>
          <w:szCs w:val="22"/>
          <w:lang w:val="en-CA"/>
        </w:rPr>
        <w:t>S.A. v. Z.G.</w:t>
      </w:r>
      <w:r w:rsidRPr="00870830">
        <w:rPr>
          <w:rFonts w:eastAsia="Calibri"/>
          <w:sz w:val="22"/>
          <w:szCs w:val="22"/>
          <w:lang w:val="en-CA"/>
        </w:rPr>
        <w:t xml:space="preserve"> (Ont.) (Civil) (By Leave) </w:t>
      </w:r>
      <w:r w:rsidRPr="00870830">
        <w:rPr>
          <w:sz w:val="22"/>
          <w:szCs w:val="22"/>
        </w:rPr>
        <w:t>(</w:t>
      </w:r>
      <w:hyperlink r:id="rId17" w:history="1">
        <w:r w:rsidRPr="00870830">
          <w:rPr>
            <w:rStyle w:val="Hyperlink"/>
            <w:sz w:val="22"/>
            <w:szCs w:val="22"/>
          </w:rPr>
          <w:t>37578</w:t>
        </w:r>
      </w:hyperlink>
      <w:r w:rsidRPr="00870830">
        <w:rPr>
          <w:sz w:val="22"/>
          <w:szCs w:val="22"/>
        </w:rPr>
        <w:t>)</w:t>
      </w:r>
    </w:p>
    <w:p w:rsidR="00C235C7" w:rsidRPr="00870830" w:rsidRDefault="00870830" w:rsidP="00C235C7">
      <w:pPr>
        <w:rPr>
          <w:sz w:val="20"/>
          <w:lang w:val="fr-CA"/>
        </w:rPr>
      </w:pPr>
      <w:r w:rsidRPr="00870830">
        <w:rPr>
          <w:sz w:val="20"/>
          <w:lang w:val="en-CA"/>
        </w:rPr>
        <w:t>(</w:t>
      </w:r>
      <w:r w:rsidRPr="00870830">
        <w:rPr>
          <w:sz w:val="20"/>
        </w:rPr>
        <w:t>The application for leave to appeal is dismissed with costs.</w:t>
      </w:r>
      <w:r w:rsidRPr="00870830">
        <w:rPr>
          <w:sz w:val="20"/>
        </w:rPr>
        <w:t xml:space="preserve"> / </w:t>
      </w:r>
      <w:r w:rsidRPr="00870830">
        <w:rPr>
          <w:sz w:val="20"/>
          <w:lang w:val="fr-CA"/>
        </w:rPr>
        <w:t xml:space="preserve">La demande d’autorisation d’appel </w:t>
      </w:r>
      <w:proofErr w:type="gramStart"/>
      <w:r w:rsidRPr="00870830">
        <w:rPr>
          <w:sz w:val="20"/>
          <w:lang w:val="fr-CA"/>
        </w:rPr>
        <w:t>est</w:t>
      </w:r>
      <w:proofErr w:type="gramEnd"/>
      <w:r w:rsidRPr="00870830">
        <w:rPr>
          <w:sz w:val="20"/>
          <w:lang w:val="fr-CA"/>
        </w:rPr>
        <w:t xml:space="preserve"> rejetée avec dépens.</w:t>
      </w:r>
      <w:r w:rsidRPr="00870830">
        <w:rPr>
          <w:sz w:val="20"/>
          <w:lang w:val="fr-CA"/>
        </w:rPr>
        <w:t>)</w:t>
      </w:r>
    </w:p>
    <w:p w:rsidR="00C235C7" w:rsidRPr="00870830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9360C1" w:rsidRPr="009360C1" w:rsidRDefault="009360C1" w:rsidP="009360C1">
      <w:pPr>
        <w:jc w:val="both"/>
        <w:rPr>
          <w:rFonts w:eastAsia="Calibri"/>
          <w:sz w:val="22"/>
          <w:szCs w:val="22"/>
          <w:lang w:val="fr-CA"/>
        </w:rPr>
      </w:pPr>
      <w:r w:rsidRPr="009360C1">
        <w:rPr>
          <w:rFonts w:eastAsia="Calibri"/>
          <w:i/>
          <w:sz w:val="22"/>
          <w:szCs w:val="22"/>
          <w:lang w:val="fr-CA"/>
        </w:rPr>
        <w:t>Teledyne Continental Motors, Inc. et al. v. 1205055 Ontario Limited c.o.b. Aviation Technical Consultants et al.</w:t>
      </w:r>
      <w:r w:rsidRPr="009360C1">
        <w:rPr>
          <w:rFonts w:eastAsia="Calibri"/>
          <w:sz w:val="22"/>
          <w:szCs w:val="22"/>
          <w:lang w:val="fr-CA"/>
        </w:rPr>
        <w:t xml:space="preserve"> (Ont.) (Civil) (By Leave) </w:t>
      </w:r>
      <w:r w:rsidRPr="009360C1">
        <w:rPr>
          <w:sz w:val="22"/>
          <w:szCs w:val="22"/>
          <w:lang w:val="fr-CA"/>
        </w:rPr>
        <w:t>(</w:t>
      </w:r>
      <w:hyperlink r:id="rId18" w:history="1">
        <w:r w:rsidRPr="009360C1">
          <w:rPr>
            <w:rStyle w:val="Hyperlink"/>
            <w:sz w:val="22"/>
            <w:szCs w:val="22"/>
            <w:lang w:val="fr-CA"/>
          </w:rPr>
          <w:t>37554</w:t>
        </w:r>
      </w:hyperlink>
      <w:r w:rsidRPr="009360C1">
        <w:rPr>
          <w:sz w:val="22"/>
          <w:szCs w:val="22"/>
          <w:lang w:val="fr-CA"/>
        </w:rPr>
        <w:t>)</w:t>
      </w:r>
    </w:p>
    <w:p w:rsidR="00C235C7" w:rsidRPr="009360C1" w:rsidRDefault="009360C1" w:rsidP="00C235C7">
      <w:pPr>
        <w:rPr>
          <w:sz w:val="20"/>
          <w:lang w:val="fr-CA"/>
        </w:rPr>
      </w:pPr>
      <w:r w:rsidRPr="009360C1">
        <w:rPr>
          <w:sz w:val="20"/>
        </w:rPr>
        <w:t>(</w:t>
      </w:r>
      <w:r w:rsidRPr="009360C1">
        <w:rPr>
          <w:sz w:val="20"/>
        </w:rPr>
        <w:t>The application for leave to appeal is dismissed with costs.</w:t>
      </w:r>
      <w:r w:rsidRPr="009360C1">
        <w:rPr>
          <w:sz w:val="20"/>
        </w:rPr>
        <w:t xml:space="preserve"> / </w:t>
      </w:r>
      <w:r w:rsidRPr="009360C1">
        <w:rPr>
          <w:sz w:val="20"/>
          <w:lang w:val="fr-CA"/>
        </w:rPr>
        <w:t xml:space="preserve">La demande d’autorisation d’appel </w:t>
      </w:r>
      <w:proofErr w:type="gramStart"/>
      <w:r w:rsidRPr="009360C1">
        <w:rPr>
          <w:sz w:val="20"/>
          <w:lang w:val="fr-CA"/>
        </w:rPr>
        <w:t>est</w:t>
      </w:r>
      <w:proofErr w:type="gramEnd"/>
      <w:r w:rsidRPr="009360C1">
        <w:rPr>
          <w:sz w:val="20"/>
          <w:lang w:val="fr-CA"/>
        </w:rPr>
        <w:t xml:space="preserve"> rejetée avec dépens.</w:t>
      </w:r>
      <w:r w:rsidRPr="009360C1">
        <w:rPr>
          <w:sz w:val="20"/>
          <w:lang w:val="fr-CA"/>
        </w:rPr>
        <w:t>)</w:t>
      </w:r>
    </w:p>
    <w:p w:rsidR="00C235C7" w:rsidRPr="009360C1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BC6C6D" w:rsidRPr="00BC6C6D" w:rsidRDefault="00BC6C6D" w:rsidP="00BC6C6D">
      <w:pPr>
        <w:jc w:val="both"/>
        <w:rPr>
          <w:i/>
          <w:sz w:val="22"/>
          <w:szCs w:val="22"/>
          <w:lang w:val="en-CA"/>
        </w:rPr>
      </w:pPr>
      <w:r w:rsidRPr="00BC6C6D">
        <w:rPr>
          <w:rFonts w:eastAsia="Calibri"/>
          <w:i/>
          <w:sz w:val="22"/>
          <w:szCs w:val="22"/>
          <w:lang w:val="en-CA"/>
        </w:rPr>
        <w:t>Charles Zubovits v. Her Majesty the Queen in Right of Ontario as Represented by the Minister of Environment and Energy et al.</w:t>
      </w:r>
      <w:r w:rsidRPr="00BC6C6D">
        <w:rPr>
          <w:i/>
          <w:sz w:val="22"/>
          <w:szCs w:val="22"/>
          <w:lang w:val="en-CA"/>
        </w:rPr>
        <w:t xml:space="preserve"> </w:t>
      </w:r>
      <w:r w:rsidRPr="00BC6C6D">
        <w:rPr>
          <w:rFonts w:eastAsia="Calibri"/>
          <w:sz w:val="22"/>
          <w:szCs w:val="22"/>
          <w:lang w:val="en-CA"/>
        </w:rPr>
        <w:t xml:space="preserve">(Ont.) (Civil) (By Leave) </w:t>
      </w:r>
      <w:r w:rsidRPr="00BC6C6D">
        <w:rPr>
          <w:sz w:val="22"/>
          <w:szCs w:val="22"/>
        </w:rPr>
        <w:t>(</w:t>
      </w:r>
      <w:hyperlink r:id="rId19" w:history="1">
        <w:r w:rsidRPr="00BC6C6D">
          <w:rPr>
            <w:rStyle w:val="Hyperlink"/>
            <w:sz w:val="22"/>
            <w:szCs w:val="22"/>
          </w:rPr>
          <w:t>37589</w:t>
        </w:r>
      </w:hyperlink>
      <w:r w:rsidRPr="00BC6C6D">
        <w:rPr>
          <w:sz w:val="22"/>
          <w:szCs w:val="22"/>
        </w:rPr>
        <w:t>)</w:t>
      </w:r>
    </w:p>
    <w:p w:rsidR="00C235C7" w:rsidRPr="00BC6C6D" w:rsidRDefault="00BC6C6D" w:rsidP="00C235C7">
      <w:pPr>
        <w:rPr>
          <w:sz w:val="20"/>
        </w:rPr>
      </w:pPr>
      <w:r w:rsidRPr="00BC6C6D">
        <w:rPr>
          <w:sz w:val="20"/>
        </w:rPr>
        <w:t>(</w:t>
      </w:r>
      <w:r w:rsidRPr="00BC6C6D">
        <w:rPr>
          <w:sz w:val="20"/>
        </w:rPr>
        <w:t>The application for leave to appeal is dismissed with costs to Her Majesty in Right of Ontario as represented by the Ministry of the Environment and Climate Change.</w:t>
      </w:r>
      <w:r w:rsidRPr="00BC6C6D">
        <w:rPr>
          <w:sz w:val="20"/>
        </w:rPr>
        <w:t xml:space="preserve"> / </w:t>
      </w:r>
    </w:p>
    <w:p w:rsidR="00C235C7" w:rsidRPr="00BC6C6D" w:rsidRDefault="00BC6C6D" w:rsidP="00C235C7">
      <w:pPr>
        <w:rPr>
          <w:sz w:val="20"/>
          <w:lang w:val="fr-CA"/>
        </w:rPr>
      </w:pPr>
      <w:r w:rsidRPr="00BC6C6D">
        <w:rPr>
          <w:sz w:val="20"/>
          <w:lang w:val="fr-CA"/>
        </w:rPr>
        <w:t xml:space="preserve">La demande d’autorisation d’appel est rejetée avec dépens en faveur de l’intimée, </w:t>
      </w:r>
      <w:r w:rsidRPr="00BC6C6D">
        <w:rPr>
          <w:sz w:val="20"/>
          <w:lang w:val="fr-FR"/>
        </w:rPr>
        <w:t>Sa Majesté la Reine du chef de l’Ontario, représentée par le Ministère de l’Environnement et de l’Action en matière de changement climatique.</w:t>
      </w:r>
      <w:r w:rsidRPr="00BC6C6D">
        <w:rPr>
          <w:sz w:val="20"/>
          <w:lang w:val="fr-FR"/>
        </w:rPr>
        <w:t>)</w:t>
      </w:r>
    </w:p>
    <w:p w:rsidR="00C235C7" w:rsidRPr="00BC6C6D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247667" w:rsidRPr="00247667" w:rsidRDefault="00247667" w:rsidP="00247667">
      <w:pPr>
        <w:pStyle w:val="SCCAppellantInfoAppellantInfo"/>
        <w:rPr>
          <w:sz w:val="22"/>
          <w:szCs w:val="22"/>
        </w:rPr>
      </w:pPr>
      <w:r w:rsidRPr="00247667">
        <w:rPr>
          <w:i/>
          <w:sz w:val="22"/>
          <w:szCs w:val="22"/>
        </w:rPr>
        <w:t>Ivan Cavric v. Ontario Securities Commission</w:t>
      </w:r>
      <w:r w:rsidRPr="00247667">
        <w:rPr>
          <w:sz w:val="22"/>
          <w:szCs w:val="22"/>
        </w:rPr>
        <w:t xml:space="preserve"> (Ont.) (Civil) (By Leave) (</w:t>
      </w:r>
      <w:hyperlink r:id="rId20" w:history="1">
        <w:r w:rsidRPr="00247667">
          <w:rPr>
            <w:rStyle w:val="Hyperlink"/>
            <w:sz w:val="22"/>
            <w:szCs w:val="22"/>
          </w:rPr>
          <w:t>37579</w:t>
        </w:r>
      </w:hyperlink>
      <w:r w:rsidRPr="00247667">
        <w:rPr>
          <w:sz w:val="22"/>
          <w:szCs w:val="22"/>
        </w:rPr>
        <w:t>)</w:t>
      </w:r>
    </w:p>
    <w:p w:rsidR="00C235C7" w:rsidRPr="00247667" w:rsidRDefault="00247667" w:rsidP="00C235C7">
      <w:pPr>
        <w:rPr>
          <w:sz w:val="20"/>
          <w:lang w:val="fr-CA"/>
        </w:rPr>
      </w:pPr>
      <w:r w:rsidRPr="00247667">
        <w:rPr>
          <w:sz w:val="20"/>
          <w:lang w:val="en-CA"/>
        </w:rPr>
        <w:lastRenderedPageBreak/>
        <w:t>(</w:t>
      </w:r>
      <w:r w:rsidRPr="00247667">
        <w:rPr>
          <w:sz w:val="20"/>
        </w:rPr>
        <w:t>The application for leave to appeal is dismissed with costs.</w:t>
      </w:r>
      <w:r w:rsidRPr="00247667">
        <w:rPr>
          <w:sz w:val="20"/>
        </w:rPr>
        <w:t xml:space="preserve"> /</w:t>
      </w:r>
      <w:r w:rsidRPr="00247667">
        <w:rPr>
          <w:sz w:val="20"/>
          <w:lang w:val="fr-CA"/>
        </w:rPr>
        <w:t xml:space="preserve">La demande d’autorisation d’appel </w:t>
      </w:r>
      <w:proofErr w:type="gramStart"/>
      <w:r w:rsidRPr="00247667">
        <w:rPr>
          <w:sz w:val="20"/>
          <w:lang w:val="fr-CA"/>
        </w:rPr>
        <w:t>est</w:t>
      </w:r>
      <w:proofErr w:type="gramEnd"/>
      <w:r w:rsidRPr="00247667">
        <w:rPr>
          <w:sz w:val="20"/>
          <w:lang w:val="fr-CA"/>
        </w:rPr>
        <w:t xml:space="preserve"> rejetée avec dépens.</w:t>
      </w:r>
      <w:r w:rsidRPr="00247667">
        <w:rPr>
          <w:sz w:val="20"/>
          <w:lang w:val="fr-CA"/>
        </w:rPr>
        <w:t>)</w:t>
      </w:r>
    </w:p>
    <w:p w:rsidR="00C235C7" w:rsidRPr="00247667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A61077" w:rsidRDefault="00C235C7" w:rsidP="00C235C7">
      <w:pPr>
        <w:rPr>
          <w:sz w:val="22"/>
          <w:szCs w:val="22"/>
          <w:lang w:val="fr-CA"/>
        </w:rPr>
      </w:pPr>
    </w:p>
    <w:p w:rsidR="00D6784F" w:rsidRPr="00D6784F" w:rsidRDefault="00D6784F" w:rsidP="00D6784F">
      <w:pPr>
        <w:jc w:val="both"/>
        <w:rPr>
          <w:rFonts w:eastAsia="Calibri"/>
          <w:sz w:val="22"/>
          <w:szCs w:val="22"/>
          <w:lang w:val="en-CA"/>
        </w:rPr>
      </w:pPr>
      <w:r w:rsidRPr="00D6784F">
        <w:rPr>
          <w:rFonts w:eastAsia="Calibri"/>
          <w:i/>
          <w:sz w:val="22"/>
          <w:szCs w:val="22"/>
          <w:lang w:val="en-CA"/>
        </w:rPr>
        <w:t>James T. Grenon v. Canada Revenue Agency et al.</w:t>
      </w:r>
      <w:r w:rsidRPr="00D6784F">
        <w:rPr>
          <w:rFonts w:eastAsia="Calibri"/>
          <w:sz w:val="22"/>
          <w:szCs w:val="22"/>
          <w:lang w:val="en-CA"/>
        </w:rPr>
        <w:t xml:space="preserve"> (Alta) (Civil) (By Leave) </w:t>
      </w:r>
      <w:r w:rsidRPr="00D6784F">
        <w:rPr>
          <w:sz w:val="22"/>
          <w:szCs w:val="22"/>
        </w:rPr>
        <w:t>(</w:t>
      </w:r>
      <w:hyperlink r:id="rId21" w:history="1">
        <w:r w:rsidRPr="00D6784F">
          <w:rPr>
            <w:rStyle w:val="Hyperlink"/>
            <w:sz w:val="22"/>
            <w:szCs w:val="22"/>
          </w:rPr>
          <w:t>37584</w:t>
        </w:r>
      </w:hyperlink>
      <w:r w:rsidRPr="00D6784F">
        <w:rPr>
          <w:sz w:val="22"/>
          <w:szCs w:val="22"/>
        </w:rPr>
        <w:t>)</w:t>
      </w:r>
    </w:p>
    <w:p w:rsidR="00C235C7" w:rsidRPr="00D6784F" w:rsidRDefault="00D6784F" w:rsidP="00C235C7">
      <w:pPr>
        <w:rPr>
          <w:sz w:val="20"/>
          <w:lang w:val="fr-CA"/>
        </w:rPr>
      </w:pPr>
      <w:r w:rsidRPr="00D6784F">
        <w:rPr>
          <w:sz w:val="20"/>
          <w:lang w:val="en-CA"/>
        </w:rPr>
        <w:t>(</w:t>
      </w:r>
      <w:r w:rsidRPr="00D6784F">
        <w:rPr>
          <w:sz w:val="20"/>
        </w:rPr>
        <w:t>The application for leave to appeal is dismissed with costs.</w:t>
      </w:r>
      <w:r w:rsidRPr="00D6784F">
        <w:rPr>
          <w:sz w:val="20"/>
        </w:rPr>
        <w:t xml:space="preserve"> / </w:t>
      </w:r>
      <w:r w:rsidRPr="00D6784F">
        <w:rPr>
          <w:sz w:val="20"/>
          <w:lang w:val="fr-CA"/>
        </w:rPr>
        <w:t xml:space="preserve">La demande d’autorisation d’appel </w:t>
      </w:r>
      <w:proofErr w:type="gramStart"/>
      <w:r w:rsidRPr="00D6784F">
        <w:rPr>
          <w:sz w:val="20"/>
          <w:lang w:val="fr-CA"/>
        </w:rPr>
        <w:t>est</w:t>
      </w:r>
      <w:proofErr w:type="gramEnd"/>
      <w:r w:rsidRPr="00D6784F">
        <w:rPr>
          <w:sz w:val="20"/>
          <w:lang w:val="fr-CA"/>
        </w:rPr>
        <w:t xml:space="preserve"> rejetée avec dépens.</w:t>
      </w:r>
      <w:r w:rsidRPr="00D6784F">
        <w:rPr>
          <w:sz w:val="20"/>
          <w:lang w:val="fr-CA"/>
        </w:rPr>
        <w:t>)</w:t>
      </w:r>
    </w:p>
    <w:p w:rsidR="00C235C7" w:rsidRPr="00D6784F" w:rsidRDefault="00C235C7" w:rsidP="00C235C7">
      <w:pPr>
        <w:rPr>
          <w:sz w:val="22"/>
          <w:szCs w:val="22"/>
          <w:lang w:val="fr-CA"/>
        </w:rPr>
      </w:pPr>
    </w:p>
    <w:p w:rsidR="00C235C7" w:rsidRPr="00A61077" w:rsidRDefault="00C235C7" w:rsidP="00C235C7">
      <w:pPr>
        <w:jc w:val="both"/>
        <w:rPr>
          <w:sz w:val="22"/>
          <w:szCs w:val="22"/>
          <w:lang w:val="fr-CA"/>
        </w:rPr>
      </w:pPr>
      <w:r w:rsidRPr="00A61077">
        <w:rPr>
          <w:sz w:val="22"/>
          <w:szCs w:val="22"/>
          <w:lang w:val="fr-CA"/>
        </w:rPr>
        <w:t>****</w:t>
      </w:r>
    </w:p>
    <w:p w:rsidR="00C235C7" w:rsidRPr="00C235C7" w:rsidRDefault="00C235C7" w:rsidP="00F31A65">
      <w:pPr>
        <w:ind w:left="360" w:hanging="360"/>
        <w:jc w:val="both"/>
        <w:rPr>
          <w:sz w:val="20"/>
          <w:lang w:val="en-CA"/>
        </w:rPr>
      </w:pPr>
    </w:p>
    <w:p w:rsidR="00853253" w:rsidRPr="003D14D4" w:rsidRDefault="00853253" w:rsidP="00F31A65">
      <w:pPr>
        <w:ind w:left="360" w:hanging="360"/>
        <w:jc w:val="both"/>
        <w:rPr>
          <w:sz w:val="20"/>
        </w:rPr>
      </w:pPr>
    </w:p>
    <w:p w:rsidR="00853253" w:rsidRPr="003D14D4" w:rsidRDefault="00853253" w:rsidP="00F31A65">
      <w:pPr>
        <w:ind w:left="360" w:hanging="360"/>
        <w:jc w:val="both"/>
        <w:rPr>
          <w:sz w:val="20"/>
        </w:rPr>
      </w:pPr>
    </w:p>
    <w:p w:rsidR="00D3344A" w:rsidRPr="003D14D4" w:rsidRDefault="00D3344A" w:rsidP="00D3344A">
      <w:pPr>
        <w:widowControl w:val="0"/>
        <w:outlineLvl w:val="0"/>
      </w:pPr>
      <w:r w:rsidRPr="003D14D4">
        <w:t xml:space="preserve">Supreme Court of Canada / Cour suprême du </w:t>
      </w:r>
      <w:proofErr w:type="gramStart"/>
      <w:r w:rsidRPr="003D14D4">
        <w:t>Canada :</w:t>
      </w:r>
      <w:proofErr w:type="gramEnd"/>
      <w:r w:rsidRPr="003D14D4">
        <w:t xml:space="preserve"> </w:t>
      </w:r>
    </w:p>
    <w:p w:rsidR="00D3344A" w:rsidRPr="003D14D4" w:rsidRDefault="007F3205" w:rsidP="00D3344A">
      <w:pPr>
        <w:widowControl w:val="0"/>
        <w:outlineLvl w:val="0"/>
        <w:rPr>
          <w:color w:val="0000FF"/>
          <w:u w:val="single"/>
        </w:rPr>
      </w:pPr>
      <w:hyperlink r:id="rId22" w:history="1">
        <w:r w:rsidR="00D3344A" w:rsidRPr="003D14D4">
          <w:rPr>
            <w:rStyle w:val="Hyperlink"/>
          </w:rPr>
          <w:t>comments-commentaires@scc-csc.ca</w:t>
        </w:r>
      </w:hyperlink>
    </w:p>
    <w:p w:rsidR="00D3344A" w:rsidRPr="003D14D4" w:rsidRDefault="00D3344A" w:rsidP="00D3344A">
      <w:pPr>
        <w:widowControl w:val="0"/>
        <w:outlineLvl w:val="0"/>
      </w:pPr>
      <w:r w:rsidRPr="003D14D4">
        <w:t>(613) 995-4330</w:t>
      </w:r>
    </w:p>
    <w:p w:rsidR="00497B5E" w:rsidRPr="003D14D4" w:rsidRDefault="00497B5E" w:rsidP="00497B5E">
      <w:pPr>
        <w:widowControl w:val="0"/>
        <w:rPr>
          <w:sz w:val="20"/>
        </w:rPr>
      </w:pPr>
    </w:p>
    <w:p w:rsidR="003F43E6" w:rsidRPr="003D14D4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3D14D4">
        <w:t>- 30</w:t>
      </w:r>
      <w:r w:rsidR="00312438" w:rsidRPr="003D14D4">
        <w:t xml:space="preserve"> -</w:t>
      </w:r>
    </w:p>
    <w:sectPr w:rsidR="00224F26" w:rsidRPr="00910AEC" w:rsidSect="007C3E9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22"/>
  </w:num>
  <w:num w:numId="9">
    <w:abstractNumId w:val="2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20"/>
  </w:num>
  <w:num w:numId="17">
    <w:abstractNumId w:val="17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5371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6CCE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52AB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0722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6C6D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5C7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1A5"/>
    <w:rsid w:val="00C826BF"/>
    <w:rsid w:val="00C8493F"/>
    <w:rsid w:val="00C85915"/>
    <w:rsid w:val="00C85F5E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2C1A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817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607/index.do" TargetMode="External"/><Relationship Id="rId13" Type="http://schemas.openxmlformats.org/officeDocument/2006/relationships/hyperlink" Target="http://www.scc-csc.ca/case-dossier/info/sum-som-eng.aspx?cas=37582" TargetMode="External"/><Relationship Id="rId18" Type="http://schemas.openxmlformats.org/officeDocument/2006/relationships/hyperlink" Target="http://www.scc-csc.ca/case-dossier/info/sum-som-eng.aspx?cas=3755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cc-csc.ca/case-dossier/info/sum-som-eng.aspx?cas=375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fra.aspx?cas=37565" TargetMode="External"/><Relationship Id="rId17" Type="http://schemas.openxmlformats.org/officeDocument/2006/relationships/hyperlink" Target="http://www.scc-csc.ca/case-dossier/info/sum-som-eng.aspx?cas=3757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7553" TargetMode="External"/><Relationship Id="rId20" Type="http://schemas.openxmlformats.org/officeDocument/2006/relationships/hyperlink" Target="http://www.scc-csc.ca/case-dossier/info/sum-som-eng.aspx?cas=3757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758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2762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scc-csc.ca/case-dossier/info/sum-som-eng.aspx?cas=37476" TargetMode="External"/><Relationship Id="rId19" Type="http://schemas.openxmlformats.org/officeDocument/2006/relationships/hyperlink" Target="http://www.scc-csc.ca/case-dossier/info/sum-som-eng.aspx?cas=37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607/index.do" TargetMode="External"/><Relationship Id="rId14" Type="http://schemas.openxmlformats.org/officeDocument/2006/relationships/hyperlink" Target="http://www.scc-csc.ca/case-dossier/info/sum-som-fra.aspx?cas=37576" TargetMode="External"/><Relationship Id="rId22" Type="http://schemas.openxmlformats.org/officeDocument/2006/relationships/hyperlink" Target="mailto:comments-commentaires@scc-csc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79D9-B586-4940-A239-B2CBE938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6165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2017-09-20T13:36:00Z</dcterms:created>
  <dcterms:modified xsi:type="dcterms:W3CDTF">2017-09-20T13:36:00Z</dcterms:modified>
</cp:coreProperties>
</file>