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0A0834" w:rsidRDefault="001C4415" w:rsidP="001C4415">
      <w:pPr>
        <w:pStyle w:val="Header"/>
        <w:jc w:val="center"/>
        <w:rPr>
          <w:b/>
          <w:sz w:val="32"/>
        </w:rPr>
      </w:pPr>
      <w:r w:rsidRPr="000A0834">
        <w:rPr>
          <w:b/>
          <w:sz w:val="32"/>
        </w:rPr>
        <w:t>Supreme Court of Canada / Cour suprême du Canada</w:t>
      </w:r>
    </w:p>
    <w:p w:rsidR="001C4415" w:rsidRPr="000A0834" w:rsidRDefault="001C4415" w:rsidP="001C4415">
      <w:pPr>
        <w:widowControl w:val="0"/>
        <w:rPr>
          <w:i/>
        </w:rPr>
      </w:pPr>
    </w:p>
    <w:p w:rsidR="001C4415" w:rsidRPr="000A0834" w:rsidRDefault="001C4415" w:rsidP="001C4415">
      <w:pPr>
        <w:widowControl w:val="0"/>
        <w:rPr>
          <w:i/>
        </w:rPr>
      </w:pPr>
    </w:p>
    <w:p w:rsidR="001C4415" w:rsidRPr="000A0834" w:rsidRDefault="001C4415" w:rsidP="001C4415">
      <w:pPr>
        <w:widowControl w:val="0"/>
        <w:rPr>
          <w:i/>
        </w:rPr>
      </w:pPr>
      <w:r w:rsidRPr="000A0834">
        <w:rPr>
          <w:i/>
        </w:rPr>
        <w:t>(le français suit)</w:t>
      </w:r>
    </w:p>
    <w:p w:rsidR="001C4415" w:rsidRPr="000A0834" w:rsidRDefault="001C4415" w:rsidP="001C4415">
      <w:pPr>
        <w:widowControl w:val="0"/>
      </w:pPr>
    </w:p>
    <w:p w:rsidR="001C4415" w:rsidRPr="000A0834" w:rsidRDefault="000347C1" w:rsidP="00214729">
      <w:pPr>
        <w:widowControl w:val="0"/>
        <w:jc w:val="center"/>
        <w:rPr>
          <w:b/>
        </w:rPr>
      </w:pPr>
      <w:r w:rsidRPr="000A0834">
        <w:fldChar w:fldCharType="begin"/>
      </w:r>
      <w:r w:rsidR="00FA7412" w:rsidRPr="000A0834">
        <w:instrText xml:space="preserve"> SEQ CHAPTER \h \r 1</w:instrText>
      </w:r>
      <w:r w:rsidRPr="000A0834">
        <w:fldChar w:fldCharType="end"/>
      </w:r>
      <w:r w:rsidR="00455BB9" w:rsidRPr="000A0834">
        <w:rPr>
          <w:b/>
        </w:rPr>
        <w:t>JUDGMENT</w:t>
      </w:r>
      <w:r w:rsidR="00FA7412" w:rsidRPr="000A0834">
        <w:rPr>
          <w:b/>
        </w:rPr>
        <w:t xml:space="preserve"> TO BE RENDERED IN APPEA</w:t>
      </w:r>
      <w:r w:rsidR="00342E49" w:rsidRPr="000A0834">
        <w:rPr>
          <w:b/>
        </w:rPr>
        <w:t>L</w:t>
      </w:r>
    </w:p>
    <w:p w:rsidR="005A7C1B" w:rsidRPr="000A0834" w:rsidRDefault="005A7C1B" w:rsidP="005A7C1B">
      <w:pPr>
        <w:widowControl w:val="0"/>
      </w:pPr>
    </w:p>
    <w:p w:rsidR="00EC79B0" w:rsidRPr="000A0834" w:rsidRDefault="00E538AE" w:rsidP="00EC79B0">
      <w:pPr>
        <w:widowControl w:val="0"/>
        <w:rPr>
          <w:b/>
        </w:rPr>
      </w:pPr>
      <w:r>
        <w:rPr>
          <w:b/>
        </w:rPr>
        <w:t>November</w:t>
      </w:r>
      <w:r w:rsidR="00C86395" w:rsidRPr="000A0834">
        <w:rPr>
          <w:b/>
        </w:rPr>
        <w:t xml:space="preserve"> </w:t>
      </w:r>
      <w:r>
        <w:rPr>
          <w:b/>
        </w:rPr>
        <w:t>6</w:t>
      </w:r>
      <w:r w:rsidR="00EC79B0" w:rsidRPr="000A0834">
        <w:rPr>
          <w:b/>
        </w:rPr>
        <w:t>, 201</w:t>
      </w:r>
      <w:r w:rsidR="00833C42" w:rsidRPr="000A0834">
        <w:rPr>
          <w:b/>
        </w:rPr>
        <w:t>7</w:t>
      </w:r>
    </w:p>
    <w:p w:rsidR="00EC79B0" w:rsidRPr="000A0834" w:rsidRDefault="00EC79B0" w:rsidP="00EC79B0">
      <w:pPr>
        <w:widowControl w:val="0"/>
        <w:rPr>
          <w:b/>
        </w:rPr>
      </w:pPr>
      <w:r w:rsidRPr="000A0834">
        <w:rPr>
          <w:b/>
        </w:rPr>
        <w:t>For immediate release</w:t>
      </w:r>
    </w:p>
    <w:p w:rsidR="00EC79B0" w:rsidRPr="000A0834" w:rsidRDefault="00EC79B0" w:rsidP="00EC79B0">
      <w:pPr>
        <w:widowControl w:val="0"/>
      </w:pPr>
    </w:p>
    <w:p w:rsidR="00EC79B0" w:rsidRPr="000A0834" w:rsidRDefault="00EC79B0" w:rsidP="00EC79B0">
      <w:pPr>
        <w:widowControl w:val="0"/>
      </w:pPr>
      <w:r w:rsidRPr="000A0834">
        <w:rPr>
          <w:b/>
        </w:rPr>
        <w:t>OTTAWA</w:t>
      </w:r>
      <w:r w:rsidRPr="000A0834">
        <w:t xml:space="preserve"> – The Supreme Court of Canad</w:t>
      </w:r>
      <w:r w:rsidR="00455BB9" w:rsidRPr="000A0834">
        <w:t>a announced today that judgment</w:t>
      </w:r>
      <w:r w:rsidRPr="000A0834">
        <w:t xml:space="preserve"> in the following appeal will be delivered at 9:45 a.m. E</w:t>
      </w:r>
      <w:r w:rsidR="00E538AE">
        <w:t>S</w:t>
      </w:r>
      <w:r w:rsidR="00DC6C1E" w:rsidRPr="000A0834">
        <w:t>T</w:t>
      </w:r>
      <w:r w:rsidR="00D74667" w:rsidRPr="000A0834">
        <w:t xml:space="preserve"> on</w:t>
      </w:r>
      <w:r w:rsidR="00DC6C1E" w:rsidRPr="000A0834">
        <w:t xml:space="preserve"> </w:t>
      </w:r>
      <w:r w:rsidR="006861E2" w:rsidRPr="000A0834">
        <w:t>Fri</w:t>
      </w:r>
      <w:r w:rsidR="002C177C" w:rsidRPr="000A0834">
        <w:t>day</w:t>
      </w:r>
      <w:r w:rsidR="000A7900" w:rsidRPr="000A0834">
        <w:t xml:space="preserve">, </w:t>
      </w:r>
      <w:r w:rsidR="002C177C" w:rsidRPr="000A0834">
        <w:t>November</w:t>
      </w:r>
      <w:r w:rsidR="004E605A" w:rsidRPr="000A0834">
        <w:t xml:space="preserve"> </w:t>
      </w:r>
      <w:r w:rsidR="00E538AE">
        <w:t>10</w:t>
      </w:r>
      <w:r w:rsidR="00E63199" w:rsidRPr="000A0834">
        <w:t>, 2</w:t>
      </w:r>
      <w:r w:rsidR="0086609D" w:rsidRPr="000A0834">
        <w:t>01</w:t>
      </w:r>
      <w:r w:rsidR="00AC3DA6" w:rsidRPr="000A0834">
        <w:t>7</w:t>
      </w:r>
      <w:r w:rsidR="00455BB9" w:rsidRPr="000A0834">
        <w:t>. This</w:t>
      </w:r>
      <w:r w:rsidRPr="000A0834">
        <w:t xml:space="preserve"> list is subject to change.</w:t>
      </w:r>
    </w:p>
    <w:p w:rsidR="001C4415" w:rsidRPr="000A0834" w:rsidRDefault="001C4415" w:rsidP="001C4415">
      <w:pPr>
        <w:widowControl w:val="0"/>
        <w:rPr>
          <w:szCs w:val="24"/>
        </w:rPr>
      </w:pPr>
    </w:p>
    <w:p w:rsidR="001C4415" w:rsidRPr="000A0834" w:rsidRDefault="001C4415" w:rsidP="001C4415">
      <w:pPr>
        <w:widowControl w:val="0"/>
      </w:pPr>
    </w:p>
    <w:p w:rsidR="001335A1" w:rsidRPr="000A0834" w:rsidRDefault="001335A1" w:rsidP="001335A1">
      <w:pPr>
        <w:widowControl w:val="0"/>
        <w:jc w:val="center"/>
        <w:rPr>
          <w:b/>
          <w:lang w:val="fr-CA"/>
        </w:rPr>
      </w:pPr>
      <w:r w:rsidRPr="000A0834">
        <w:rPr>
          <w:b/>
          <w:lang w:val="fr-CA"/>
        </w:rPr>
        <w:t>PROCHAIN JUGEMENT</w:t>
      </w:r>
      <w:r w:rsidR="00455BB9" w:rsidRPr="000A0834">
        <w:rPr>
          <w:b/>
          <w:lang w:val="fr-CA"/>
        </w:rPr>
        <w:t xml:space="preserve"> SUR APPEL</w:t>
      </w:r>
    </w:p>
    <w:p w:rsidR="001335A1" w:rsidRPr="000A0834" w:rsidRDefault="001335A1" w:rsidP="001335A1">
      <w:pPr>
        <w:widowControl w:val="0"/>
        <w:rPr>
          <w:lang w:val="fr-CA"/>
        </w:rPr>
      </w:pPr>
    </w:p>
    <w:p w:rsidR="00EC79B0" w:rsidRPr="000A0834" w:rsidRDefault="00EC79B0" w:rsidP="00EC79B0">
      <w:pPr>
        <w:widowControl w:val="0"/>
        <w:rPr>
          <w:b/>
          <w:lang w:val="fr-CA"/>
        </w:rPr>
      </w:pPr>
      <w:r w:rsidRPr="000A0834">
        <w:rPr>
          <w:b/>
          <w:lang w:val="fr-CA"/>
        </w:rPr>
        <w:t xml:space="preserve">Le </w:t>
      </w:r>
      <w:r w:rsidR="00E538AE">
        <w:rPr>
          <w:b/>
          <w:lang w:val="fr-CA"/>
        </w:rPr>
        <w:t>6</w:t>
      </w:r>
      <w:r w:rsidR="002F28E0" w:rsidRPr="000A0834">
        <w:rPr>
          <w:b/>
          <w:lang w:val="fr-CA"/>
        </w:rPr>
        <w:t xml:space="preserve"> </w:t>
      </w:r>
      <w:r w:rsidR="00E538AE">
        <w:rPr>
          <w:b/>
          <w:lang w:val="fr-CA"/>
        </w:rPr>
        <w:t>novem</w:t>
      </w:r>
      <w:r w:rsidR="00C7690C" w:rsidRPr="000A0834">
        <w:rPr>
          <w:b/>
          <w:lang w:val="fr-CA"/>
        </w:rPr>
        <w:t>bre</w:t>
      </w:r>
      <w:r w:rsidR="00C86395" w:rsidRPr="000A0834">
        <w:rPr>
          <w:b/>
          <w:lang w:val="fr-CA"/>
        </w:rPr>
        <w:t xml:space="preserve"> </w:t>
      </w:r>
      <w:r w:rsidR="0086609D" w:rsidRPr="000A0834">
        <w:rPr>
          <w:b/>
          <w:lang w:val="fr-CA"/>
        </w:rPr>
        <w:t>201</w:t>
      </w:r>
      <w:r w:rsidR="00AC3DA6" w:rsidRPr="000A0834">
        <w:rPr>
          <w:b/>
          <w:lang w:val="fr-CA"/>
        </w:rPr>
        <w:t>7</w:t>
      </w:r>
    </w:p>
    <w:p w:rsidR="00EC79B0" w:rsidRPr="000A0834" w:rsidRDefault="00EC79B0" w:rsidP="00EC79B0">
      <w:pPr>
        <w:widowControl w:val="0"/>
        <w:rPr>
          <w:b/>
          <w:lang w:val="fr-CA"/>
        </w:rPr>
      </w:pPr>
      <w:r w:rsidRPr="000A0834">
        <w:rPr>
          <w:b/>
          <w:lang w:val="fr-CA"/>
        </w:rPr>
        <w:t>Pour diffusion immédiate</w:t>
      </w:r>
    </w:p>
    <w:p w:rsidR="00EC79B0" w:rsidRPr="000A0834" w:rsidRDefault="00EC79B0" w:rsidP="00EC79B0">
      <w:pPr>
        <w:widowControl w:val="0"/>
        <w:rPr>
          <w:b/>
          <w:lang w:val="fr-CA"/>
        </w:rPr>
      </w:pPr>
    </w:p>
    <w:p w:rsidR="00EC79B0" w:rsidRPr="000A0834" w:rsidRDefault="00EC79B0" w:rsidP="00EC79B0">
      <w:pPr>
        <w:widowControl w:val="0"/>
        <w:rPr>
          <w:lang w:val="fr-CA"/>
        </w:rPr>
      </w:pPr>
      <w:r w:rsidRPr="000A0834">
        <w:rPr>
          <w:b/>
          <w:lang w:val="fr-CA"/>
        </w:rPr>
        <w:t>OTTAWA</w:t>
      </w:r>
      <w:r w:rsidRPr="000A0834">
        <w:rPr>
          <w:lang w:val="fr-CA"/>
        </w:rPr>
        <w:t xml:space="preserve"> – La Cour suprême du Canada annonce que jugement ser</w:t>
      </w:r>
      <w:r w:rsidR="00C86395" w:rsidRPr="000A0834">
        <w:rPr>
          <w:lang w:val="fr-CA"/>
        </w:rPr>
        <w:t>a</w:t>
      </w:r>
      <w:r w:rsidRPr="000A0834">
        <w:rPr>
          <w:lang w:val="fr-CA"/>
        </w:rPr>
        <w:t xml:space="preserve"> rendu dans </w:t>
      </w:r>
      <w:r w:rsidR="001F1643" w:rsidRPr="000A0834">
        <w:rPr>
          <w:lang w:val="fr-CA"/>
        </w:rPr>
        <w:t>l</w:t>
      </w:r>
      <w:r w:rsidR="00C86395" w:rsidRPr="000A0834">
        <w:rPr>
          <w:lang w:val="fr-CA"/>
        </w:rPr>
        <w:t>’</w:t>
      </w:r>
      <w:r w:rsidR="001F1643" w:rsidRPr="000A0834">
        <w:rPr>
          <w:lang w:val="fr-CA"/>
        </w:rPr>
        <w:t xml:space="preserve">appel </w:t>
      </w:r>
      <w:r w:rsidRPr="000A0834">
        <w:rPr>
          <w:lang w:val="fr-CA"/>
        </w:rPr>
        <w:t xml:space="preserve">suivant le </w:t>
      </w:r>
      <w:r w:rsidR="006861E2" w:rsidRPr="000A0834">
        <w:rPr>
          <w:lang w:val="fr-CA"/>
        </w:rPr>
        <w:t>v</w:t>
      </w:r>
      <w:r w:rsidR="00FF69FD" w:rsidRPr="000A0834">
        <w:rPr>
          <w:lang w:val="fr-CA"/>
        </w:rPr>
        <w:t>e</w:t>
      </w:r>
      <w:r w:rsidR="006861E2" w:rsidRPr="000A0834">
        <w:rPr>
          <w:lang w:val="fr-CA"/>
        </w:rPr>
        <w:t>ndre</w:t>
      </w:r>
      <w:r w:rsidR="00FF69FD" w:rsidRPr="000A0834">
        <w:rPr>
          <w:lang w:val="fr-CA"/>
        </w:rPr>
        <w:t>d</w:t>
      </w:r>
      <w:r w:rsidR="00DB406B" w:rsidRPr="000A0834">
        <w:rPr>
          <w:lang w:val="fr-CA"/>
        </w:rPr>
        <w:t>i</w:t>
      </w:r>
      <w:r w:rsidR="00970EDF" w:rsidRPr="000A0834">
        <w:rPr>
          <w:lang w:val="fr-CA"/>
        </w:rPr>
        <w:t xml:space="preserve"> </w:t>
      </w:r>
      <w:r w:rsidR="00E538AE">
        <w:rPr>
          <w:lang w:val="fr-CA"/>
        </w:rPr>
        <w:t>10</w:t>
      </w:r>
      <w:r w:rsidR="00C7690C" w:rsidRPr="000A0834">
        <w:rPr>
          <w:lang w:val="fr-CA"/>
        </w:rPr>
        <w:t xml:space="preserve"> </w:t>
      </w:r>
      <w:r w:rsidR="002C177C" w:rsidRPr="000A0834">
        <w:rPr>
          <w:lang w:val="fr-CA"/>
        </w:rPr>
        <w:t>n</w:t>
      </w:r>
      <w:r w:rsidR="00C7690C" w:rsidRPr="000A0834">
        <w:rPr>
          <w:lang w:val="fr-CA"/>
        </w:rPr>
        <w:t>o</w:t>
      </w:r>
      <w:r w:rsidR="002C177C" w:rsidRPr="000A0834">
        <w:rPr>
          <w:lang w:val="fr-CA"/>
        </w:rPr>
        <w:t>vem</w:t>
      </w:r>
      <w:r w:rsidR="00475644" w:rsidRPr="000A0834">
        <w:rPr>
          <w:lang w:val="fr-CA"/>
        </w:rPr>
        <w:t>br</w:t>
      </w:r>
      <w:r w:rsidR="00DB406B" w:rsidRPr="000A0834">
        <w:rPr>
          <w:lang w:val="fr-CA"/>
        </w:rPr>
        <w:t>e</w:t>
      </w:r>
      <w:r w:rsidR="00282563" w:rsidRPr="000A0834">
        <w:rPr>
          <w:lang w:val="fr-CA"/>
        </w:rPr>
        <w:t xml:space="preserve"> </w:t>
      </w:r>
      <w:r w:rsidRPr="000A0834">
        <w:rPr>
          <w:lang w:val="fr-CA"/>
        </w:rPr>
        <w:t>201</w:t>
      </w:r>
      <w:r w:rsidR="00AC3DA6" w:rsidRPr="000A0834">
        <w:rPr>
          <w:lang w:val="fr-CA"/>
        </w:rPr>
        <w:t>7</w:t>
      </w:r>
      <w:r w:rsidRPr="000A0834">
        <w:rPr>
          <w:lang w:val="fr-CA"/>
        </w:rPr>
        <w:t>, à 9 h 45 H</w:t>
      </w:r>
      <w:r w:rsidR="00E538AE">
        <w:rPr>
          <w:lang w:val="fr-CA"/>
        </w:rPr>
        <w:t>N</w:t>
      </w:r>
      <w:r w:rsidRPr="000A0834">
        <w:rPr>
          <w:lang w:val="fr-CA"/>
        </w:rPr>
        <w:t>E. Cette liste est sujette à modifications.</w:t>
      </w:r>
    </w:p>
    <w:p w:rsidR="001335A1" w:rsidRPr="000A0834" w:rsidRDefault="001335A1" w:rsidP="001335A1">
      <w:pPr>
        <w:widowControl w:val="0"/>
        <w:rPr>
          <w:sz w:val="20"/>
          <w:lang w:val="fr-CA"/>
        </w:rPr>
      </w:pPr>
    </w:p>
    <w:p w:rsidR="001335A1" w:rsidRPr="000A0834" w:rsidRDefault="005C7A4F" w:rsidP="001335A1">
      <w:pPr>
        <w:widowControl w:val="0"/>
        <w:rPr>
          <w:sz w:val="20"/>
          <w:lang w:val="fr-CA"/>
        </w:rPr>
      </w:pPr>
      <w:r w:rsidRPr="000A083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0A0834" w:rsidRDefault="00340C6D" w:rsidP="00340C6D">
      <w:pPr>
        <w:jc w:val="both"/>
        <w:rPr>
          <w:bCs/>
          <w:lang w:val="fr-CA"/>
        </w:rPr>
      </w:pPr>
    </w:p>
    <w:p w:rsidR="00772636" w:rsidRPr="00254D6F" w:rsidRDefault="000E1ABF" w:rsidP="00772636">
      <w:pPr>
        <w:jc w:val="both"/>
        <w:rPr>
          <w:szCs w:val="24"/>
          <w:lang w:val="fr-CA"/>
        </w:rPr>
      </w:pPr>
      <w:r>
        <w:rPr>
          <w:i/>
          <w:szCs w:val="24"/>
          <w:lang w:val="fr-CA"/>
        </w:rPr>
        <w:t>Barreau</w:t>
      </w:r>
      <w:r w:rsidR="00D02758" w:rsidRPr="000A0834">
        <w:rPr>
          <w:i/>
          <w:szCs w:val="24"/>
          <w:lang w:val="fr-CA"/>
        </w:rPr>
        <w:t xml:space="preserve"> d</w:t>
      </w:r>
      <w:r>
        <w:rPr>
          <w:i/>
          <w:szCs w:val="24"/>
          <w:lang w:val="fr-CA"/>
        </w:rPr>
        <w:t>u</w:t>
      </w:r>
      <w:r w:rsidR="00D02758" w:rsidRPr="000A0834">
        <w:rPr>
          <w:i/>
          <w:szCs w:val="24"/>
          <w:lang w:val="fr-CA"/>
        </w:rPr>
        <w:t xml:space="preserve"> </w:t>
      </w:r>
      <w:r>
        <w:rPr>
          <w:i/>
          <w:szCs w:val="24"/>
          <w:lang w:val="fr-CA"/>
        </w:rPr>
        <w:t>Québec</w:t>
      </w:r>
      <w:r w:rsidR="00E919F1" w:rsidRPr="000A0834">
        <w:rPr>
          <w:i/>
          <w:szCs w:val="24"/>
          <w:lang w:val="fr-CA"/>
        </w:rPr>
        <w:t xml:space="preserve"> </w:t>
      </w:r>
      <w:r w:rsidR="00785AB9" w:rsidRPr="000A0834">
        <w:rPr>
          <w:i/>
          <w:szCs w:val="24"/>
          <w:lang w:val="fr-CA"/>
        </w:rPr>
        <w:t>c</w:t>
      </w:r>
      <w:r w:rsidR="00772636" w:rsidRPr="000A0834">
        <w:rPr>
          <w:i/>
          <w:szCs w:val="24"/>
          <w:lang w:val="fr-CA"/>
        </w:rPr>
        <w:t xml:space="preserve">. </w:t>
      </w:r>
      <w:r w:rsidR="00D02758" w:rsidRPr="000A0834">
        <w:rPr>
          <w:i/>
          <w:szCs w:val="24"/>
          <w:lang w:val="fr-CA"/>
        </w:rPr>
        <w:t>Procureur</w:t>
      </w:r>
      <w:r>
        <w:rPr>
          <w:i/>
          <w:szCs w:val="24"/>
          <w:lang w:val="fr-CA"/>
        </w:rPr>
        <w:t>e</w:t>
      </w:r>
      <w:r w:rsidR="00D02758" w:rsidRPr="000A0834">
        <w:rPr>
          <w:i/>
          <w:szCs w:val="24"/>
          <w:lang w:val="fr-CA"/>
        </w:rPr>
        <w:t xml:space="preserve"> général</w:t>
      </w:r>
      <w:r>
        <w:rPr>
          <w:i/>
          <w:szCs w:val="24"/>
          <w:lang w:val="fr-CA"/>
        </w:rPr>
        <w:t xml:space="preserve">e </w:t>
      </w:r>
      <w:r w:rsidR="00D02758" w:rsidRPr="000A0834">
        <w:rPr>
          <w:i/>
          <w:szCs w:val="24"/>
          <w:lang w:val="fr-CA"/>
        </w:rPr>
        <w:t xml:space="preserve">du </w:t>
      </w:r>
      <w:r>
        <w:rPr>
          <w:i/>
          <w:szCs w:val="24"/>
          <w:lang w:val="fr-CA"/>
        </w:rPr>
        <w:t>Québec</w:t>
      </w:r>
      <w:r w:rsidR="00772636" w:rsidRPr="000A0834">
        <w:rPr>
          <w:i/>
          <w:szCs w:val="24"/>
          <w:lang w:val="fr-CA"/>
        </w:rPr>
        <w:t xml:space="preserve"> </w:t>
      </w:r>
      <w:r w:rsidR="00772636" w:rsidRPr="000A0834">
        <w:rPr>
          <w:szCs w:val="24"/>
          <w:lang w:val="fr-CA"/>
        </w:rPr>
        <w:t>(</w:t>
      </w:r>
      <w:r w:rsidR="00254D6F">
        <w:rPr>
          <w:szCs w:val="24"/>
          <w:lang w:val="fr-CA"/>
        </w:rPr>
        <w:t>Qc</w:t>
      </w:r>
      <w:r w:rsidR="00772636" w:rsidRPr="000A0834">
        <w:rPr>
          <w:szCs w:val="24"/>
          <w:lang w:val="fr-CA"/>
        </w:rPr>
        <w:t xml:space="preserve">) </w:t>
      </w:r>
      <w:r w:rsidR="00772636" w:rsidRPr="00254D6F">
        <w:rPr>
          <w:lang w:val="fr-CA"/>
        </w:rPr>
        <w:t>(</w:t>
      </w:r>
      <w:hyperlink r:id="rId7" w:history="1">
        <w:r w:rsidR="00772636" w:rsidRPr="00254D6F">
          <w:rPr>
            <w:rStyle w:val="Hyperlink"/>
            <w:lang w:val="fr-CA"/>
          </w:rPr>
          <w:t>3</w:t>
        </w:r>
        <w:r w:rsidR="00785AB9" w:rsidRPr="00254D6F">
          <w:rPr>
            <w:rStyle w:val="Hyperlink"/>
            <w:lang w:val="fr-CA"/>
          </w:rPr>
          <w:t>70</w:t>
        </w:r>
        <w:r w:rsidR="00254D6F" w:rsidRPr="00254D6F">
          <w:rPr>
            <w:rStyle w:val="Hyperlink"/>
            <w:lang w:val="fr-CA"/>
          </w:rPr>
          <w:t>3</w:t>
        </w:r>
        <w:r w:rsidR="00785AB9" w:rsidRPr="00254D6F">
          <w:rPr>
            <w:rStyle w:val="Hyperlink"/>
            <w:lang w:val="fr-CA"/>
          </w:rPr>
          <w:t>4</w:t>
        </w:r>
      </w:hyperlink>
      <w:r w:rsidR="00772636" w:rsidRPr="00254D6F">
        <w:rPr>
          <w:lang w:val="fr-CA"/>
        </w:rPr>
        <w:t>)</w:t>
      </w:r>
    </w:p>
    <w:p w:rsidR="009F18D7" w:rsidRPr="00254D6F" w:rsidRDefault="009F18D7" w:rsidP="00340C6D">
      <w:pPr>
        <w:jc w:val="both"/>
        <w:rPr>
          <w:lang w:val="fr-CA"/>
        </w:rPr>
      </w:pPr>
    </w:p>
    <w:p w:rsidR="00072A63" w:rsidRDefault="00072A63" w:rsidP="00340C6D">
      <w:pPr>
        <w:jc w:val="both"/>
        <w:rPr>
          <w:szCs w:val="24"/>
          <w:lang w:val="fr-CA"/>
        </w:rPr>
      </w:pPr>
    </w:p>
    <w:bookmarkStart w:id="0" w:name="1"/>
    <w:bookmarkEnd w:id="0"/>
    <w:p w:rsidR="0093420D" w:rsidRPr="0093420D" w:rsidRDefault="0093420D" w:rsidP="00186855">
      <w:pPr>
        <w:pStyle w:val="SCCLsocParty"/>
        <w:ind w:left="720" w:hanging="720"/>
        <w:jc w:val="left"/>
        <w:rPr>
          <w:b/>
          <w:i w:val="0"/>
          <w:sz w:val="20"/>
          <w:szCs w:val="20"/>
          <w:lang w:val="en-CA"/>
        </w:rPr>
      </w:pPr>
      <w:r w:rsidRPr="0093420D">
        <w:rPr>
          <w:b/>
          <w:i w:val="0"/>
          <w:sz w:val="20"/>
          <w:szCs w:val="20"/>
          <w:lang w:val="en-CA"/>
        </w:rPr>
        <w:fldChar w:fldCharType="begin"/>
      </w:r>
      <w:r w:rsidRPr="0093420D">
        <w:rPr>
          <w:b/>
          <w:i w:val="0"/>
          <w:sz w:val="20"/>
          <w:szCs w:val="20"/>
          <w:lang w:val="en-CA"/>
        </w:rPr>
        <w:instrText xml:space="preserve"> SEQ CHAPTER \h \r 1</w:instrText>
      </w:r>
      <w:r w:rsidRPr="0093420D">
        <w:rPr>
          <w:b/>
          <w:i w:val="0"/>
          <w:sz w:val="20"/>
          <w:szCs w:val="20"/>
          <w:lang w:val="en-CA"/>
        </w:rPr>
        <w:fldChar w:fldCharType="end"/>
      </w:r>
      <w:r w:rsidRPr="0093420D">
        <w:rPr>
          <w:b/>
          <w:i w:val="0"/>
          <w:sz w:val="20"/>
          <w:szCs w:val="20"/>
          <w:lang w:val="en-CA"/>
        </w:rPr>
        <w:t>37034</w:t>
      </w:r>
      <w:r w:rsidRPr="0093420D">
        <w:rPr>
          <w:b/>
          <w:i w:val="0"/>
          <w:sz w:val="20"/>
          <w:szCs w:val="20"/>
          <w:lang w:val="en-CA"/>
        </w:rPr>
        <w:tab/>
      </w:r>
      <w:bookmarkStart w:id="1" w:name="3"/>
      <w:bookmarkEnd w:id="1"/>
      <w:proofErr w:type="spellStart"/>
      <w:r w:rsidRPr="0093420D">
        <w:rPr>
          <w:b/>
          <w:sz w:val="20"/>
          <w:szCs w:val="20"/>
          <w:lang w:val="en-CA"/>
        </w:rPr>
        <w:t>Barreau</w:t>
      </w:r>
      <w:proofErr w:type="spellEnd"/>
      <w:r w:rsidRPr="0093420D">
        <w:rPr>
          <w:b/>
          <w:sz w:val="20"/>
          <w:szCs w:val="20"/>
          <w:lang w:val="en-CA"/>
        </w:rPr>
        <w:t xml:space="preserve"> du Québec v. Attorney General of Quebec</w:t>
      </w:r>
    </w:p>
    <w:p w:rsidR="0093420D" w:rsidRPr="0093420D" w:rsidRDefault="0093420D" w:rsidP="00032E8E">
      <w:pPr>
        <w:pStyle w:val="SCCCaseDescriptor"/>
        <w:rPr>
          <w:b w:val="0"/>
          <w:sz w:val="20"/>
          <w:lang w:val="en-CA"/>
        </w:rPr>
      </w:pPr>
      <w:r>
        <w:rPr>
          <w:b w:val="0"/>
          <w:sz w:val="20"/>
          <w:lang w:val="en-CA"/>
        </w:rPr>
        <w:tab/>
      </w:r>
      <w:r w:rsidRPr="0093420D">
        <w:rPr>
          <w:b w:val="0"/>
          <w:sz w:val="20"/>
          <w:lang w:val="en-CA"/>
        </w:rPr>
        <w:tab/>
        <w:t>(Que.) (Civil) (By Leave)</w:t>
      </w:r>
      <w:bookmarkStart w:id="2" w:name="4"/>
      <w:bookmarkEnd w:id="2"/>
    </w:p>
    <w:p w:rsidR="0093420D" w:rsidRPr="0093420D" w:rsidRDefault="0093420D">
      <w:pPr>
        <w:widowControl w:val="0"/>
        <w:jc w:val="both"/>
        <w:rPr>
          <w:sz w:val="20"/>
          <w:lang w:val="en-CA"/>
        </w:rPr>
      </w:pPr>
      <w:bookmarkStart w:id="3" w:name="QuickMark_1"/>
      <w:bookmarkEnd w:id="3"/>
    </w:p>
    <w:p w:rsidR="0093420D" w:rsidRPr="0093420D" w:rsidRDefault="0093420D" w:rsidP="00A142F1">
      <w:pPr>
        <w:jc w:val="both"/>
        <w:rPr>
          <w:sz w:val="20"/>
          <w:lang w:val="en-CA"/>
        </w:rPr>
      </w:pPr>
      <w:r w:rsidRPr="0093420D">
        <w:rPr>
          <w:bCs/>
          <w:sz w:val="20"/>
          <w:lang w:val="en-CA"/>
        </w:rPr>
        <w:t xml:space="preserve">Administrative law - Judicial review - Standard of review - Law of professions - Lawyers - Legislation - Interpretation - Whether Court of Appeal erred as regards standard of review applicable in this case - Whether Court of Appeal erred in finding that exceptions to professional legislation, in this case exception in s. 102 of </w:t>
      </w:r>
      <w:r w:rsidRPr="0093420D">
        <w:rPr>
          <w:bCs/>
          <w:i/>
          <w:iCs/>
          <w:sz w:val="20"/>
          <w:lang w:val="en-CA"/>
        </w:rPr>
        <w:t>Act respecting administrative justice</w:t>
      </w:r>
      <w:r w:rsidRPr="0093420D">
        <w:rPr>
          <w:bCs/>
          <w:iCs/>
          <w:sz w:val="20"/>
          <w:lang w:val="en-CA"/>
        </w:rPr>
        <w:t>,</w:t>
      </w:r>
      <w:r w:rsidRPr="0093420D">
        <w:rPr>
          <w:bCs/>
          <w:sz w:val="20"/>
          <w:lang w:val="en-CA"/>
        </w:rPr>
        <w:t xml:space="preserve"> must be interpreted broadly - Whether Court of Appeal erred as regards distinction between act of drawing up and act of representing within meaning of s. 128 of </w:t>
      </w:r>
      <w:r w:rsidRPr="0093420D">
        <w:rPr>
          <w:bCs/>
          <w:i/>
          <w:iCs/>
          <w:sz w:val="20"/>
          <w:lang w:val="en-CA"/>
        </w:rPr>
        <w:t xml:space="preserve">Act respecting the </w:t>
      </w:r>
      <w:proofErr w:type="spellStart"/>
      <w:r w:rsidRPr="0093420D">
        <w:rPr>
          <w:bCs/>
          <w:i/>
          <w:iCs/>
          <w:sz w:val="20"/>
          <w:lang w:val="en-CA"/>
        </w:rPr>
        <w:t>Barreau</w:t>
      </w:r>
      <w:proofErr w:type="spellEnd"/>
      <w:r w:rsidRPr="0093420D">
        <w:rPr>
          <w:bCs/>
          <w:iCs/>
          <w:sz w:val="20"/>
          <w:lang w:val="en-CA"/>
        </w:rPr>
        <w:t xml:space="preserve"> - </w:t>
      </w:r>
      <w:r w:rsidRPr="0093420D">
        <w:rPr>
          <w:bCs/>
          <w:sz w:val="20"/>
          <w:lang w:val="en-CA"/>
        </w:rPr>
        <w:t xml:space="preserve">Whether Court of Appeal erred in finding that s. 102 of </w:t>
      </w:r>
      <w:r w:rsidRPr="0093420D">
        <w:rPr>
          <w:bCs/>
          <w:i/>
          <w:iCs/>
          <w:sz w:val="20"/>
          <w:lang w:val="en-CA"/>
        </w:rPr>
        <w:t xml:space="preserve">Act respecting administrative justice </w:t>
      </w:r>
      <w:r w:rsidRPr="0093420D">
        <w:rPr>
          <w:bCs/>
          <w:sz w:val="20"/>
          <w:lang w:val="en-CA"/>
        </w:rPr>
        <w:t xml:space="preserve">can override application of whole of s. 128 of </w:t>
      </w:r>
      <w:r w:rsidRPr="0093420D">
        <w:rPr>
          <w:bCs/>
          <w:i/>
          <w:iCs/>
          <w:sz w:val="20"/>
          <w:lang w:val="en-CA"/>
        </w:rPr>
        <w:t xml:space="preserve">Act respecting the </w:t>
      </w:r>
      <w:proofErr w:type="spellStart"/>
      <w:r w:rsidRPr="0093420D">
        <w:rPr>
          <w:bCs/>
          <w:i/>
          <w:iCs/>
          <w:sz w:val="20"/>
          <w:lang w:val="en-CA"/>
        </w:rPr>
        <w:t>Barreau</w:t>
      </w:r>
      <w:proofErr w:type="spellEnd"/>
      <w:r w:rsidRPr="0093420D">
        <w:rPr>
          <w:bCs/>
          <w:iCs/>
          <w:sz w:val="20"/>
          <w:lang w:val="en-CA"/>
        </w:rPr>
        <w:t xml:space="preserve"> - </w:t>
      </w:r>
      <w:r w:rsidRPr="0093420D">
        <w:rPr>
          <w:bCs/>
          <w:i/>
          <w:sz w:val="20"/>
          <w:lang w:val="en-CA"/>
        </w:rPr>
        <w:t>Act respecting administrative justice</w:t>
      </w:r>
      <w:r w:rsidRPr="0093420D">
        <w:rPr>
          <w:bCs/>
          <w:sz w:val="20"/>
          <w:lang w:val="en-CA"/>
        </w:rPr>
        <w:t xml:space="preserve">, CQLR c. J-3, s. 102 - </w:t>
      </w:r>
      <w:r w:rsidRPr="0093420D">
        <w:rPr>
          <w:bCs/>
          <w:i/>
          <w:sz w:val="20"/>
          <w:lang w:val="en-CA"/>
        </w:rPr>
        <w:t xml:space="preserve">Act respecting the </w:t>
      </w:r>
      <w:proofErr w:type="spellStart"/>
      <w:r w:rsidRPr="0093420D">
        <w:rPr>
          <w:bCs/>
          <w:i/>
          <w:sz w:val="20"/>
          <w:lang w:val="en-CA"/>
        </w:rPr>
        <w:t>Barreau</w:t>
      </w:r>
      <w:proofErr w:type="spellEnd"/>
      <w:r w:rsidRPr="0093420D">
        <w:rPr>
          <w:bCs/>
          <w:sz w:val="20"/>
          <w:lang w:val="en-CA"/>
        </w:rPr>
        <w:t>, CQLR c. B-1, ss. 128, 129.</w:t>
      </w:r>
    </w:p>
    <w:p w:rsidR="0093420D" w:rsidRPr="0093420D" w:rsidRDefault="0093420D">
      <w:pPr>
        <w:widowControl w:val="0"/>
        <w:jc w:val="both"/>
        <w:rPr>
          <w:sz w:val="20"/>
          <w:lang w:val="en-CA"/>
        </w:rPr>
      </w:pPr>
    </w:p>
    <w:p w:rsidR="0093420D" w:rsidRPr="0093420D" w:rsidRDefault="0093420D" w:rsidP="00186855">
      <w:pPr>
        <w:autoSpaceDE w:val="0"/>
        <w:autoSpaceDN w:val="0"/>
        <w:adjustRightInd w:val="0"/>
        <w:jc w:val="both"/>
        <w:rPr>
          <w:sz w:val="20"/>
          <w:lang w:val="en-CA"/>
        </w:rPr>
      </w:pPr>
      <w:r w:rsidRPr="0093420D">
        <w:rPr>
          <w:sz w:val="20"/>
          <w:lang w:val="en-CA"/>
        </w:rPr>
        <w:t xml:space="preserve">In proceedings before the social affairs division of the Administrative Tribunal of Québec (“ATQ”) dealing with the granting of social assistance, the Minister of Employment and Social Solidarity (“Minister”) filed motions for review with the ATQ that had been prepared, drawn up, signed and filed by an official of the </w:t>
      </w:r>
      <w:proofErr w:type="spellStart"/>
      <w:r w:rsidRPr="0093420D">
        <w:rPr>
          <w:sz w:val="20"/>
          <w:lang w:val="en-CA"/>
        </w:rPr>
        <w:t>Ministère</w:t>
      </w:r>
      <w:proofErr w:type="spellEnd"/>
      <w:r w:rsidRPr="0093420D">
        <w:rPr>
          <w:sz w:val="20"/>
          <w:lang w:val="en-CA"/>
        </w:rPr>
        <w:t xml:space="preserve"> de </w:t>
      </w:r>
      <w:proofErr w:type="spellStart"/>
      <w:r w:rsidRPr="0093420D">
        <w:rPr>
          <w:sz w:val="20"/>
          <w:lang w:val="en-CA"/>
        </w:rPr>
        <w:t>l’Emploi</w:t>
      </w:r>
      <w:proofErr w:type="spellEnd"/>
      <w:r w:rsidRPr="0093420D">
        <w:rPr>
          <w:sz w:val="20"/>
          <w:lang w:val="en-CA"/>
        </w:rPr>
        <w:t xml:space="preserve"> et de la </w:t>
      </w:r>
      <w:proofErr w:type="spellStart"/>
      <w:r w:rsidRPr="0093420D">
        <w:rPr>
          <w:sz w:val="20"/>
          <w:lang w:val="en-CA"/>
        </w:rPr>
        <w:t>Solidarité</w:t>
      </w:r>
      <w:proofErr w:type="spellEnd"/>
      <w:r w:rsidRPr="0093420D">
        <w:rPr>
          <w:sz w:val="20"/>
          <w:lang w:val="en-CA"/>
        </w:rPr>
        <w:t xml:space="preserve"> </w:t>
      </w:r>
      <w:proofErr w:type="spellStart"/>
      <w:r w:rsidRPr="0093420D">
        <w:rPr>
          <w:sz w:val="20"/>
          <w:lang w:val="en-CA"/>
        </w:rPr>
        <w:t>sociale</w:t>
      </w:r>
      <w:proofErr w:type="spellEnd"/>
      <w:r w:rsidRPr="0093420D">
        <w:rPr>
          <w:sz w:val="20"/>
          <w:lang w:val="en-CA"/>
        </w:rPr>
        <w:t xml:space="preserve">. The individuals concerned, who were represented by counsel, filed motions to dismiss those proceedings on the ground that they had not been drawn up by a member of the </w:t>
      </w:r>
      <w:proofErr w:type="spellStart"/>
      <w:r w:rsidRPr="0093420D">
        <w:rPr>
          <w:sz w:val="20"/>
          <w:lang w:val="en-CA"/>
        </w:rPr>
        <w:t>Barreau</w:t>
      </w:r>
      <w:proofErr w:type="spellEnd"/>
      <w:r w:rsidRPr="0093420D">
        <w:rPr>
          <w:sz w:val="20"/>
          <w:lang w:val="en-CA"/>
        </w:rPr>
        <w:t xml:space="preserve"> du Québec. The ATQ dismissed the motions. The Superior Court allowed the motions for judicial review brought by the individuals concerned against the Minister, reviewed the ATQ’s decisions and found that the Minister’s proceedings were null and inadmissible. The Attorney General of Quebec appealed that judgment to the Court of Appeal, which set aside the Superior Court’s decision. For this appeal, the </w:t>
      </w:r>
      <w:proofErr w:type="spellStart"/>
      <w:r w:rsidRPr="0093420D">
        <w:rPr>
          <w:sz w:val="20"/>
          <w:lang w:val="en-CA"/>
        </w:rPr>
        <w:t>Barreau</w:t>
      </w:r>
      <w:proofErr w:type="spellEnd"/>
      <w:r w:rsidRPr="0093420D">
        <w:rPr>
          <w:sz w:val="20"/>
          <w:lang w:val="en-CA"/>
        </w:rPr>
        <w:t xml:space="preserve"> was granted leave to be substituted for the individuals involved in the proceedings below.</w:t>
      </w:r>
    </w:p>
    <w:p w:rsidR="0093420D" w:rsidRPr="0093420D" w:rsidRDefault="0093420D" w:rsidP="00186855">
      <w:pPr>
        <w:autoSpaceDE w:val="0"/>
        <w:autoSpaceDN w:val="0"/>
        <w:adjustRightInd w:val="0"/>
        <w:jc w:val="both"/>
        <w:rPr>
          <w:sz w:val="20"/>
          <w:lang w:val="en-CA"/>
        </w:rPr>
      </w:pPr>
      <w:bookmarkStart w:id="4" w:name="_GoBack"/>
      <w:bookmarkEnd w:id="4"/>
    </w:p>
    <w:p w:rsidR="0093420D" w:rsidRPr="0093420D" w:rsidRDefault="0093420D" w:rsidP="00186855">
      <w:pPr>
        <w:autoSpaceDE w:val="0"/>
        <w:autoSpaceDN w:val="0"/>
        <w:adjustRightInd w:val="0"/>
        <w:jc w:val="both"/>
        <w:rPr>
          <w:sz w:val="20"/>
          <w:lang w:val="en-CA"/>
        </w:rPr>
      </w:pPr>
    </w:p>
    <w:p w:rsidR="0093420D" w:rsidRPr="0093420D" w:rsidRDefault="0093420D" w:rsidP="00186855">
      <w:pPr>
        <w:pStyle w:val="SCCLsocParty"/>
        <w:ind w:left="720" w:hanging="720"/>
        <w:jc w:val="left"/>
        <w:rPr>
          <w:b/>
          <w:i w:val="0"/>
          <w:sz w:val="20"/>
          <w:szCs w:val="20"/>
        </w:rPr>
      </w:pPr>
      <w:r w:rsidRPr="0093420D">
        <w:rPr>
          <w:b/>
          <w:i w:val="0"/>
          <w:sz w:val="20"/>
          <w:szCs w:val="20"/>
          <w:lang w:val="en-CA"/>
        </w:rPr>
        <w:fldChar w:fldCharType="begin"/>
      </w:r>
      <w:r w:rsidRPr="0093420D">
        <w:rPr>
          <w:b/>
          <w:i w:val="0"/>
          <w:sz w:val="20"/>
          <w:szCs w:val="20"/>
        </w:rPr>
        <w:instrText xml:space="preserve"> SEQ CHAPTER \h \r 1</w:instrText>
      </w:r>
      <w:r w:rsidRPr="0093420D">
        <w:rPr>
          <w:b/>
          <w:i w:val="0"/>
          <w:sz w:val="20"/>
          <w:szCs w:val="20"/>
        </w:rPr>
        <w:fldChar w:fldCharType="end"/>
      </w:r>
      <w:r w:rsidRPr="0093420D">
        <w:rPr>
          <w:b/>
          <w:i w:val="0"/>
          <w:sz w:val="20"/>
          <w:szCs w:val="20"/>
        </w:rPr>
        <w:t>37034</w:t>
      </w:r>
      <w:r w:rsidRPr="0093420D">
        <w:rPr>
          <w:b/>
          <w:i w:val="0"/>
          <w:sz w:val="20"/>
          <w:szCs w:val="20"/>
        </w:rPr>
        <w:tab/>
      </w:r>
      <w:r w:rsidRPr="0093420D">
        <w:rPr>
          <w:b/>
          <w:sz w:val="20"/>
          <w:szCs w:val="20"/>
        </w:rPr>
        <w:t>Barreau du Québec c. Procureure générale du Québec</w:t>
      </w:r>
    </w:p>
    <w:p w:rsidR="0093420D" w:rsidRPr="0093420D" w:rsidRDefault="0093420D" w:rsidP="00032E8E">
      <w:pPr>
        <w:pStyle w:val="SCCCaseDescriptor"/>
        <w:rPr>
          <w:b w:val="0"/>
          <w:sz w:val="20"/>
        </w:rPr>
      </w:pPr>
      <w:r w:rsidRPr="0093420D">
        <w:rPr>
          <w:b w:val="0"/>
          <w:sz w:val="20"/>
        </w:rPr>
        <w:lastRenderedPageBreak/>
        <w:tab/>
      </w:r>
      <w:r w:rsidRPr="0093420D">
        <w:rPr>
          <w:b w:val="0"/>
          <w:sz w:val="20"/>
        </w:rPr>
        <w:tab/>
        <w:t>(Qc) (Civile) (Autorisation)</w:t>
      </w:r>
    </w:p>
    <w:p w:rsidR="0093420D" w:rsidRPr="0093420D" w:rsidRDefault="0093420D">
      <w:pPr>
        <w:widowControl w:val="0"/>
        <w:jc w:val="both"/>
        <w:rPr>
          <w:sz w:val="20"/>
          <w:lang w:val="fr-CA"/>
        </w:rPr>
      </w:pPr>
    </w:p>
    <w:p w:rsidR="0093420D" w:rsidRPr="0093420D" w:rsidRDefault="0093420D" w:rsidP="00A142F1">
      <w:pPr>
        <w:jc w:val="both"/>
        <w:rPr>
          <w:sz w:val="20"/>
          <w:lang w:val="fr-CA"/>
        </w:rPr>
      </w:pPr>
      <w:r w:rsidRPr="0093420D">
        <w:rPr>
          <w:bCs/>
          <w:sz w:val="20"/>
          <w:lang w:val="fr-CA"/>
        </w:rPr>
        <w:t xml:space="preserve">Droit administratif - Contrôle judiciaire - Norme de contrôle - Droit des professions - Avocats - Législation - Interprétation - La Cour d’appel a-t-elle erré eu égard à la norme de contrôle applicable en l’espèce? - La Cour d’appel a-t-elle erré en concluant que les exceptions aux lois professionnelles, en l’occurrence l’exception prévue à l’article 102 de la </w:t>
      </w:r>
      <w:r w:rsidRPr="0093420D">
        <w:rPr>
          <w:bCs/>
          <w:i/>
          <w:iCs/>
          <w:sz w:val="20"/>
          <w:lang w:val="fr-CA"/>
        </w:rPr>
        <w:t>Loi sur la justice administrative</w:t>
      </w:r>
      <w:r w:rsidRPr="0093420D">
        <w:rPr>
          <w:bCs/>
          <w:iCs/>
          <w:sz w:val="20"/>
          <w:lang w:val="fr-CA"/>
        </w:rPr>
        <w:t>,</w:t>
      </w:r>
      <w:r w:rsidRPr="0093420D">
        <w:rPr>
          <w:bCs/>
          <w:sz w:val="20"/>
          <w:lang w:val="fr-CA"/>
        </w:rPr>
        <w:t xml:space="preserve"> doivent être interprétées largement? - La Cour d’appel a-t-elle erré quant à la </w:t>
      </w:r>
      <w:r w:rsidRPr="0093420D">
        <w:rPr>
          <w:sz w:val="20"/>
          <w:lang w:val="fr-CA"/>
        </w:rPr>
        <w:t xml:space="preserve">distinction entre l’acte de rédaction et l’acte de représentation au sens de </w:t>
      </w:r>
      <w:r w:rsidRPr="0093420D">
        <w:rPr>
          <w:bCs/>
          <w:sz w:val="20"/>
          <w:lang w:val="fr-CA"/>
        </w:rPr>
        <w:t xml:space="preserve">l’article 128 de la </w:t>
      </w:r>
      <w:r w:rsidRPr="0093420D">
        <w:rPr>
          <w:bCs/>
          <w:i/>
          <w:iCs/>
          <w:sz w:val="20"/>
          <w:lang w:val="fr-CA"/>
        </w:rPr>
        <w:t>Loi sur le Barreau</w:t>
      </w:r>
      <w:r w:rsidRPr="0093420D">
        <w:rPr>
          <w:bCs/>
          <w:iCs/>
          <w:sz w:val="20"/>
          <w:lang w:val="fr-CA"/>
        </w:rPr>
        <w:t xml:space="preserve">? - </w:t>
      </w:r>
      <w:r w:rsidRPr="0093420D">
        <w:rPr>
          <w:sz w:val="20"/>
          <w:lang w:val="fr-CA"/>
        </w:rPr>
        <w:t xml:space="preserve">La Cour d’appel a-t-elle erré en concluant que l’article 102 de la </w:t>
      </w:r>
      <w:r w:rsidRPr="0093420D">
        <w:rPr>
          <w:i/>
          <w:iCs/>
          <w:sz w:val="20"/>
          <w:lang w:val="fr-CA"/>
        </w:rPr>
        <w:t xml:space="preserve">Loi sur la justice administrative </w:t>
      </w:r>
      <w:r w:rsidRPr="0093420D">
        <w:rPr>
          <w:sz w:val="20"/>
          <w:lang w:val="fr-CA"/>
        </w:rPr>
        <w:t xml:space="preserve">peut écarter l’application de la totalité de l’article 128 de la </w:t>
      </w:r>
      <w:r w:rsidRPr="0093420D">
        <w:rPr>
          <w:i/>
          <w:iCs/>
          <w:sz w:val="20"/>
          <w:lang w:val="fr-CA"/>
        </w:rPr>
        <w:t>Loi sur le Barreau</w:t>
      </w:r>
      <w:r w:rsidRPr="0093420D">
        <w:rPr>
          <w:iCs/>
          <w:sz w:val="20"/>
          <w:lang w:val="fr-CA"/>
        </w:rPr>
        <w:t xml:space="preserve">? - </w:t>
      </w:r>
      <w:r w:rsidRPr="0093420D">
        <w:rPr>
          <w:i/>
          <w:sz w:val="20"/>
          <w:lang w:val="fr-CA"/>
        </w:rPr>
        <w:t>Loi sur la justice administrative</w:t>
      </w:r>
      <w:r w:rsidRPr="0093420D">
        <w:rPr>
          <w:sz w:val="20"/>
          <w:lang w:val="fr-CA"/>
        </w:rPr>
        <w:t xml:space="preserve">, RLRQ c. J-3, art. 102 - </w:t>
      </w:r>
      <w:r w:rsidRPr="0093420D">
        <w:rPr>
          <w:i/>
          <w:sz w:val="20"/>
          <w:lang w:val="fr-CA"/>
        </w:rPr>
        <w:t>Loi sur le barreau</w:t>
      </w:r>
      <w:r w:rsidRPr="0093420D">
        <w:rPr>
          <w:sz w:val="20"/>
          <w:lang w:val="fr-CA"/>
        </w:rPr>
        <w:t>, RLRQ c. B-1, art. 128, 129.</w:t>
      </w:r>
    </w:p>
    <w:p w:rsidR="0093420D" w:rsidRPr="0093420D" w:rsidRDefault="0093420D">
      <w:pPr>
        <w:widowControl w:val="0"/>
        <w:jc w:val="both"/>
        <w:rPr>
          <w:sz w:val="20"/>
          <w:lang w:val="fr-CA"/>
        </w:rPr>
      </w:pPr>
    </w:p>
    <w:p w:rsidR="0093420D" w:rsidRPr="0093420D" w:rsidRDefault="0093420D" w:rsidP="00186855">
      <w:pPr>
        <w:autoSpaceDE w:val="0"/>
        <w:autoSpaceDN w:val="0"/>
        <w:adjustRightInd w:val="0"/>
        <w:jc w:val="both"/>
        <w:rPr>
          <w:sz w:val="20"/>
          <w:lang w:val="fr-CA"/>
        </w:rPr>
      </w:pPr>
      <w:r w:rsidRPr="0093420D">
        <w:rPr>
          <w:sz w:val="20"/>
          <w:lang w:val="fr-CA"/>
        </w:rPr>
        <w:t>Dans le cadre de litiges devant la section des affaires sociales du Tribunal administratif du Québec (le « TAQ ») en matière d’octroi de l’aide sociale, le ministre de l’Emploi et de la Solidarité sociale (le « Ministre ») a produit au TAQ des requêtes en révision, préparées, rédigées, signées et déposées par l’un des fonctionnaires du Ministère de l’Emploi et de la Solidarité sociale. Les citoyens visés, représentés par procureurs, ont déposé des requêtes en irrecevabilité de ces procédures, au motif qu’elles n’avaient pas été rédigées par un membre du Barreau du Québec. Ces requêtes ont été rejetées par le TAQ. La Cour supérieure a accueilli les requêtes en révision judiciaire des citoyens visés contre le Ministre et a révisé les décisions du TAQ et a déclaré nulles et irrecevables les procédures du Ministre. La Procureure générale du Québec a porté ce jugement devant la Cour d’appel, qui a cassé la décision de la Cour supérieure. Pour le présent appel, le Barreau a été autorisé à se substituer aux citoyens impliqués dans les litiges dans les instances inférieures.</w:t>
      </w:r>
    </w:p>
    <w:p w:rsidR="001412B0" w:rsidRDefault="001412B0" w:rsidP="00340C6D">
      <w:pPr>
        <w:jc w:val="both"/>
        <w:rPr>
          <w:szCs w:val="24"/>
          <w:lang w:val="fr-CA"/>
        </w:rPr>
      </w:pPr>
    </w:p>
    <w:p w:rsidR="001412B0" w:rsidRPr="00254D6F" w:rsidRDefault="001412B0" w:rsidP="00340C6D">
      <w:pPr>
        <w:jc w:val="both"/>
        <w:rPr>
          <w:szCs w:val="24"/>
          <w:lang w:val="fr-CA"/>
        </w:rPr>
      </w:pPr>
    </w:p>
    <w:p w:rsidR="00072A63" w:rsidRPr="00254D6F" w:rsidRDefault="00072A63" w:rsidP="00EC79B0">
      <w:pPr>
        <w:jc w:val="both"/>
        <w:rPr>
          <w:szCs w:val="24"/>
          <w:lang w:val="fr-CA"/>
        </w:rPr>
      </w:pPr>
    </w:p>
    <w:p w:rsidR="001C4415" w:rsidRPr="000A0834" w:rsidRDefault="001C4415" w:rsidP="001C4415">
      <w:pPr>
        <w:widowControl w:val="0"/>
        <w:outlineLvl w:val="0"/>
      </w:pPr>
      <w:r w:rsidRPr="000A0834">
        <w:t xml:space="preserve">Supreme Court of Canada / Cour suprême du </w:t>
      </w:r>
      <w:proofErr w:type="gramStart"/>
      <w:r w:rsidRPr="000A0834">
        <w:t>Canada :</w:t>
      </w:r>
      <w:proofErr w:type="gramEnd"/>
      <w:r w:rsidRPr="000A0834">
        <w:t xml:space="preserve"> </w:t>
      </w:r>
    </w:p>
    <w:p w:rsidR="001C4415" w:rsidRPr="000A0834" w:rsidRDefault="0093420D" w:rsidP="001C4415">
      <w:pPr>
        <w:widowControl w:val="0"/>
        <w:outlineLvl w:val="0"/>
      </w:pPr>
      <w:hyperlink r:id="rId8" w:history="1">
        <w:r w:rsidR="001C4415" w:rsidRPr="000A0834">
          <w:rPr>
            <w:rStyle w:val="Hyperlink"/>
          </w:rPr>
          <w:t>comments-commentaires@scc-csc.ca</w:t>
        </w:r>
      </w:hyperlink>
    </w:p>
    <w:p w:rsidR="001C4415" w:rsidRPr="000A0834" w:rsidRDefault="001C4415" w:rsidP="001C4415">
      <w:pPr>
        <w:widowControl w:val="0"/>
        <w:outlineLvl w:val="0"/>
      </w:pPr>
      <w:r w:rsidRPr="000A0834">
        <w:t>(613) 995-4330</w:t>
      </w:r>
    </w:p>
    <w:p w:rsidR="001C4415" w:rsidRPr="000A0834" w:rsidRDefault="001C4415" w:rsidP="001C4415">
      <w:pPr>
        <w:widowControl w:val="0"/>
        <w:rPr>
          <w:sz w:val="20"/>
        </w:rPr>
      </w:pPr>
    </w:p>
    <w:p w:rsidR="0036476C" w:rsidRPr="00A8502B" w:rsidRDefault="001C4415" w:rsidP="0036476C">
      <w:pPr>
        <w:pStyle w:val="Footer"/>
        <w:jc w:val="center"/>
        <w:rPr>
          <w:lang w:val="fr-CA"/>
        </w:rPr>
      </w:pPr>
      <w:r w:rsidRPr="000A0834">
        <w:rPr>
          <w:lang w:val="fr-CA"/>
        </w:rPr>
        <w:t xml:space="preserve">- 30 </w:t>
      </w:r>
      <w:r w:rsidR="003C1B6E" w:rsidRPr="000A0834">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2B0"/>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4DD7"/>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64C3"/>
    <w:rsid w:val="00807EAE"/>
    <w:rsid w:val="00810A3F"/>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20D"/>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93420D"/>
    <w:rPr>
      <w:b/>
      <w:lang w:val="fr-CA" w:eastAsia="en-CA"/>
    </w:rPr>
  </w:style>
  <w:style w:type="character" w:customStyle="1" w:styleId="SCCCaseDescriptorChar">
    <w:name w:val="SCC.CaseDescriptor Char"/>
    <w:basedOn w:val="DefaultParagraphFont"/>
    <w:link w:val="SCCCaseDescriptor"/>
    <w:rsid w:val="0093420D"/>
    <w:rPr>
      <w:b/>
      <w:sz w:val="24"/>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fra.aspx?cas=3703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4233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2017-10-30T19:30:00Z</dcterms:created>
  <dcterms:modified xsi:type="dcterms:W3CDTF">2017-10-30T19:32:00Z</dcterms:modified>
</cp:coreProperties>
</file>