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110FB" w:rsidRDefault="003F43E6" w:rsidP="00122CE1">
      <w:pPr>
        <w:pStyle w:val="Header"/>
        <w:tabs>
          <w:tab w:val="left" w:pos="1620"/>
          <w:tab w:val="left" w:pos="1710"/>
        </w:tabs>
        <w:jc w:val="center"/>
        <w:rPr>
          <w:b/>
          <w:sz w:val="32"/>
        </w:rPr>
      </w:pPr>
      <w:r w:rsidRPr="00C110FB">
        <w:rPr>
          <w:b/>
          <w:sz w:val="32"/>
        </w:rPr>
        <w:t xml:space="preserve">Supreme Court of Canada / </w:t>
      </w:r>
      <w:proofErr w:type="spellStart"/>
      <w:r w:rsidRPr="00C110FB">
        <w:rPr>
          <w:b/>
          <w:sz w:val="32"/>
        </w:rPr>
        <w:t>Cour</w:t>
      </w:r>
      <w:proofErr w:type="spellEnd"/>
      <w:r w:rsidRPr="00C110FB">
        <w:rPr>
          <w:b/>
          <w:sz w:val="32"/>
        </w:rPr>
        <w:t xml:space="preserve"> </w:t>
      </w:r>
      <w:proofErr w:type="spellStart"/>
      <w:r w:rsidRPr="00C110FB">
        <w:rPr>
          <w:b/>
          <w:sz w:val="32"/>
        </w:rPr>
        <w:t>suprême</w:t>
      </w:r>
      <w:proofErr w:type="spellEnd"/>
      <w:r w:rsidRPr="00C110FB">
        <w:rPr>
          <w:b/>
          <w:sz w:val="32"/>
        </w:rPr>
        <w:t xml:space="preserve"> du Canada</w:t>
      </w:r>
    </w:p>
    <w:p w:rsidR="003F43E6" w:rsidRPr="00C110FB" w:rsidRDefault="003F43E6" w:rsidP="006F2579">
      <w:pPr>
        <w:widowControl w:val="0"/>
        <w:rPr>
          <w:i/>
        </w:rPr>
      </w:pPr>
    </w:p>
    <w:p w:rsidR="006F2579" w:rsidRPr="00C110FB" w:rsidRDefault="006F2579" w:rsidP="006F2579">
      <w:pPr>
        <w:widowControl w:val="0"/>
        <w:rPr>
          <w:i/>
        </w:rPr>
      </w:pPr>
      <w:r w:rsidRPr="00C110FB">
        <w:rPr>
          <w:i/>
        </w:rPr>
        <w:t>(</w:t>
      </w:r>
      <w:proofErr w:type="gramStart"/>
      <w:r w:rsidRPr="00C110FB">
        <w:rPr>
          <w:i/>
        </w:rPr>
        <w:t>le</w:t>
      </w:r>
      <w:proofErr w:type="gramEnd"/>
      <w:r w:rsidRPr="00C110FB">
        <w:rPr>
          <w:i/>
        </w:rPr>
        <w:t xml:space="preserve"> </w:t>
      </w:r>
      <w:proofErr w:type="spellStart"/>
      <w:r w:rsidRPr="00C110FB">
        <w:rPr>
          <w:i/>
        </w:rPr>
        <w:t>français</w:t>
      </w:r>
      <w:proofErr w:type="spellEnd"/>
      <w:r w:rsidRPr="00C110FB">
        <w:rPr>
          <w:i/>
        </w:rPr>
        <w:t xml:space="preserve"> suit)</w:t>
      </w:r>
    </w:p>
    <w:p w:rsidR="006F2579" w:rsidRPr="00C110FB" w:rsidRDefault="006F2579" w:rsidP="006F2579">
      <w:pPr>
        <w:widowControl w:val="0"/>
      </w:pPr>
    </w:p>
    <w:p w:rsidR="006F2579" w:rsidRPr="00C110FB" w:rsidRDefault="00B07908" w:rsidP="006F2579">
      <w:pPr>
        <w:widowControl w:val="0"/>
        <w:jc w:val="center"/>
        <w:rPr>
          <w:b/>
        </w:rPr>
      </w:pPr>
      <w:r w:rsidRPr="00C110FB">
        <w:fldChar w:fldCharType="begin"/>
      </w:r>
      <w:r w:rsidR="006F2579" w:rsidRPr="00C110FB">
        <w:instrText xml:space="preserve"> SEQ CHAPTER \h \r 1</w:instrText>
      </w:r>
      <w:r w:rsidRPr="00C110FB">
        <w:fldChar w:fldCharType="end"/>
      </w:r>
      <w:r w:rsidR="006F2579" w:rsidRPr="00C110FB">
        <w:rPr>
          <w:b/>
        </w:rPr>
        <w:t>JUDGMENT</w:t>
      </w:r>
      <w:r w:rsidR="00B17AAC" w:rsidRPr="00C110FB">
        <w:rPr>
          <w:b/>
        </w:rPr>
        <w:t>S</w:t>
      </w:r>
      <w:r w:rsidR="006F2579" w:rsidRPr="00C110FB">
        <w:rPr>
          <w:b/>
        </w:rPr>
        <w:t xml:space="preserve"> TO B</w:t>
      </w:r>
      <w:r w:rsidR="00001846" w:rsidRPr="00C110FB">
        <w:rPr>
          <w:b/>
        </w:rPr>
        <w:t>E RENDERED IN LEAVE APPLICATION</w:t>
      </w:r>
      <w:r w:rsidR="00E94FDF" w:rsidRPr="00C110FB">
        <w:rPr>
          <w:b/>
        </w:rPr>
        <w:t>S</w:t>
      </w:r>
    </w:p>
    <w:p w:rsidR="006F2579" w:rsidRPr="00C110FB" w:rsidRDefault="006F2579" w:rsidP="006F2579">
      <w:pPr>
        <w:widowControl w:val="0"/>
      </w:pPr>
    </w:p>
    <w:p w:rsidR="006F2579" w:rsidRPr="00C110FB" w:rsidRDefault="00685F7C" w:rsidP="006F2579">
      <w:pPr>
        <w:widowControl w:val="0"/>
        <w:rPr>
          <w:b/>
        </w:rPr>
      </w:pPr>
      <w:r>
        <w:rPr>
          <w:b/>
        </w:rPr>
        <w:t>January</w:t>
      </w:r>
      <w:r w:rsidR="00FD37D0" w:rsidRPr="00C110FB">
        <w:rPr>
          <w:b/>
        </w:rPr>
        <w:t xml:space="preserve"> </w:t>
      </w:r>
      <w:r w:rsidR="003C3097" w:rsidRPr="00C110FB">
        <w:rPr>
          <w:b/>
        </w:rPr>
        <w:t>8</w:t>
      </w:r>
      <w:r w:rsidR="00AB5538" w:rsidRPr="00C110FB">
        <w:rPr>
          <w:b/>
        </w:rPr>
        <w:t>,</w:t>
      </w:r>
      <w:r w:rsidR="006F2579" w:rsidRPr="00C110FB">
        <w:rPr>
          <w:b/>
        </w:rPr>
        <w:t xml:space="preserve"> </w:t>
      </w:r>
      <w:r w:rsidR="0054689F" w:rsidRPr="00C110FB">
        <w:rPr>
          <w:b/>
        </w:rPr>
        <w:t>201</w:t>
      </w:r>
      <w:r>
        <w:rPr>
          <w:b/>
        </w:rPr>
        <w:t>8</w:t>
      </w:r>
    </w:p>
    <w:p w:rsidR="006F2579" w:rsidRPr="00C110FB" w:rsidRDefault="00674F39" w:rsidP="006F2579">
      <w:pPr>
        <w:widowControl w:val="0"/>
        <w:rPr>
          <w:b/>
        </w:rPr>
      </w:pPr>
      <w:r w:rsidRPr="00C110FB">
        <w:rPr>
          <w:b/>
        </w:rPr>
        <w:t>For immediate release</w:t>
      </w:r>
    </w:p>
    <w:p w:rsidR="006F2579" w:rsidRPr="00C110FB" w:rsidRDefault="006F2579" w:rsidP="006F2579">
      <w:pPr>
        <w:widowControl w:val="0"/>
      </w:pPr>
    </w:p>
    <w:p w:rsidR="006F2579" w:rsidRPr="00711002" w:rsidRDefault="006F2579" w:rsidP="006F2579">
      <w:pPr>
        <w:widowControl w:val="0"/>
        <w:rPr>
          <w:lang w:val="fr-CA"/>
        </w:rPr>
      </w:pPr>
      <w:r w:rsidRPr="00C110FB">
        <w:rPr>
          <w:b/>
        </w:rPr>
        <w:t>OTTAWA</w:t>
      </w:r>
      <w:r w:rsidRPr="00C110FB">
        <w:t xml:space="preserve"> – The Supreme Court of Canad</w:t>
      </w:r>
      <w:r w:rsidR="006246E4" w:rsidRPr="00C110FB">
        <w:t>a</w:t>
      </w:r>
      <w:r w:rsidRPr="00C110FB">
        <w:t xml:space="preserve"> announced today that judgment in the following application</w:t>
      </w:r>
      <w:r w:rsidR="008600ED" w:rsidRPr="00C110FB">
        <w:t>s</w:t>
      </w:r>
      <w:r w:rsidRPr="00C110FB">
        <w:t xml:space="preserve"> for leave to appeal will be delivered at 9:45 a.m. E</w:t>
      </w:r>
      <w:r w:rsidR="00213196" w:rsidRPr="00C110FB">
        <w:t>S</w:t>
      </w:r>
      <w:r w:rsidRPr="00C110FB">
        <w:t xml:space="preserve">T on Thursday, </w:t>
      </w:r>
      <w:r w:rsidR="00685F7C">
        <w:t>January</w:t>
      </w:r>
      <w:r w:rsidR="00780317" w:rsidRPr="00C110FB">
        <w:t xml:space="preserve"> </w:t>
      </w:r>
      <w:r w:rsidR="00685F7C">
        <w:t>1</w:t>
      </w:r>
      <w:r w:rsidR="00BF7FF6" w:rsidRPr="00C110FB">
        <w:t>1</w:t>
      </w:r>
      <w:r w:rsidR="007E112F" w:rsidRPr="00C110FB">
        <w:t>,</w:t>
      </w:r>
      <w:r w:rsidR="002F38D7" w:rsidRPr="00C110FB">
        <w:t xml:space="preserve"> </w:t>
      </w:r>
      <w:r w:rsidR="006648D1" w:rsidRPr="00C110FB">
        <w:t>201</w:t>
      </w:r>
      <w:r w:rsidR="00685F7C">
        <w:t>8</w:t>
      </w:r>
      <w:r w:rsidRPr="00C110FB">
        <w:t xml:space="preserve">. </w:t>
      </w:r>
      <w:r w:rsidRPr="00711002">
        <w:rPr>
          <w:lang w:val="fr-CA"/>
        </w:rPr>
        <w:t xml:space="preserve">This </w:t>
      </w:r>
      <w:proofErr w:type="spellStart"/>
      <w:r w:rsidRPr="00711002">
        <w:rPr>
          <w:lang w:val="fr-CA"/>
        </w:rPr>
        <w:t>list</w:t>
      </w:r>
      <w:proofErr w:type="spellEnd"/>
      <w:r w:rsidRPr="00711002">
        <w:rPr>
          <w:lang w:val="fr-CA"/>
        </w:rPr>
        <w:t xml:space="preserve"> </w:t>
      </w:r>
      <w:proofErr w:type="spellStart"/>
      <w:r w:rsidRPr="00711002">
        <w:rPr>
          <w:lang w:val="fr-CA"/>
        </w:rPr>
        <w:t>is</w:t>
      </w:r>
      <w:proofErr w:type="spellEnd"/>
      <w:r w:rsidRPr="00711002">
        <w:rPr>
          <w:lang w:val="fr-CA"/>
        </w:rPr>
        <w:t xml:space="preserve"> </w:t>
      </w:r>
      <w:proofErr w:type="spellStart"/>
      <w:r w:rsidRPr="00711002">
        <w:rPr>
          <w:lang w:val="fr-CA"/>
        </w:rPr>
        <w:t>subject</w:t>
      </w:r>
      <w:proofErr w:type="spellEnd"/>
      <w:r w:rsidRPr="00711002">
        <w:rPr>
          <w:lang w:val="fr-CA"/>
        </w:rPr>
        <w:t xml:space="preserve"> to chang</w:t>
      </w:r>
      <w:r w:rsidR="00192F7F" w:rsidRPr="00711002">
        <w:rPr>
          <w:lang w:val="fr-CA"/>
        </w:rPr>
        <w:t>e</w:t>
      </w:r>
      <w:r w:rsidRPr="00711002">
        <w:rPr>
          <w:lang w:val="fr-CA"/>
        </w:rPr>
        <w:t>.</w:t>
      </w:r>
    </w:p>
    <w:p w:rsidR="00D4457A" w:rsidRPr="00711002" w:rsidRDefault="00D4457A" w:rsidP="006F2579">
      <w:pPr>
        <w:widowControl w:val="0"/>
        <w:rPr>
          <w:lang w:val="fr-CA"/>
        </w:rPr>
      </w:pPr>
    </w:p>
    <w:p w:rsidR="00B43418" w:rsidRPr="00711002" w:rsidRDefault="00B43418" w:rsidP="006F2579">
      <w:pPr>
        <w:widowControl w:val="0"/>
        <w:rPr>
          <w:lang w:val="fr-CA"/>
        </w:rPr>
      </w:pPr>
    </w:p>
    <w:p w:rsidR="006F2579" w:rsidRPr="00C110FB" w:rsidRDefault="006F2579" w:rsidP="006F2579">
      <w:pPr>
        <w:widowControl w:val="0"/>
        <w:jc w:val="center"/>
        <w:rPr>
          <w:lang w:val="fr-CA"/>
        </w:rPr>
      </w:pPr>
      <w:r w:rsidRPr="00C110FB">
        <w:rPr>
          <w:b/>
          <w:lang w:val="fr-CA"/>
        </w:rPr>
        <w:t>PROCHAIN</w:t>
      </w:r>
      <w:r w:rsidR="00B17AAC" w:rsidRPr="00C110FB">
        <w:rPr>
          <w:b/>
          <w:lang w:val="fr-CA"/>
        </w:rPr>
        <w:t>S</w:t>
      </w:r>
      <w:r w:rsidRPr="00C110FB">
        <w:rPr>
          <w:b/>
          <w:lang w:val="fr-CA"/>
        </w:rPr>
        <w:t xml:space="preserve"> JUGEMENT</w:t>
      </w:r>
      <w:r w:rsidR="00B17AAC" w:rsidRPr="00C110FB">
        <w:rPr>
          <w:b/>
          <w:lang w:val="fr-CA"/>
        </w:rPr>
        <w:t>S</w:t>
      </w:r>
      <w:r w:rsidR="00001846" w:rsidRPr="00C110FB">
        <w:rPr>
          <w:b/>
          <w:lang w:val="fr-CA"/>
        </w:rPr>
        <w:t xml:space="preserve"> SUR DEMANDE</w:t>
      </w:r>
      <w:r w:rsidR="00B17AAC" w:rsidRPr="00C110FB">
        <w:rPr>
          <w:b/>
          <w:lang w:val="fr-CA"/>
        </w:rPr>
        <w:t>S</w:t>
      </w:r>
      <w:r w:rsidRPr="00C110FB">
        <w:rPr>
          <w:b/>
          <w:lang w:val="fr-CA"/>
        </w:rPr>
        <w:t xml:space="preserve"> D’AUTORISATION</w:t>
      </w:r>
    </w:p>
    <w:p w:rsidR="006F2579" w:rsidRPr="00C110FB" w:rsidRDefault="006F2579" w:rsidP="006F2579">
      <w:pPr>
        <w:widowControl w:val="0"/>
        <w:rPr>
          <w:lang w:val="fr-CA"/>
        </w:rPr>
      </w:pPr>
    </w:p>
    <w:p w:rsidR="006F2579" w:rsidRPr="00C110FB" w:rsidRDefault="006F2579" w:rsidP="006F2579">
      <w:pPr>
        <w:widowControl w:val="0"/>
        <w:rPr>
          <w:b/>
          <w:lang w:val="fr-CA"/>
        </w:rPr>
      </w:pPr>
      <w:r w:rsidRPr="00C110FB">
        <w:rPr>
          <w:b/>
          <w:lang w:val="fr-CA"/>
        </w:rPr>
        <w:t>Le</w:t>
      </w:r>
      <w:r w:rsidR="00957A76" w:rsidRPr="00C110FB">
        <w:rPr>
          <w:b/>
          <w:lang w:val="fr-CA"/>
        </w:rPr>
        <w:t xml:space="preserve"> </w:t>
      </w:r>
      <w:r w:rsidR="003C3097" w:rsidRPr="00C110FB">
        <w:rPr>
          <w:b/>
          <w:lang w:val="fr-CA"/>
        </w:rPr>
        <w:t>8</w:t>
      </w:r>
      <w:r w:rsidR="00FD37D0" w:rsidRPr="00C110FB">
        <w:rPr>
          <w:b/>
          <w:lang w:val="fr-CA"/>
        </w:rPr>
        <w:t xml:space="preserve"> </w:t>
      </w:r>
      <w:r w:rsidR="00685F7C">
        <w:rPr>
          <w:b/>
          <w:lang w:val="fr-CA"/>
        </w:rPr>
        <w:t>janvier</w:t>
      </w:r>
      <w:r w:rsidR="00A151D1" w:rsidRPr="00C110FB">
        <w:rPr>
          <w:b/>
          <w:lang w:val="fr-CA"/>
        </w:rPr>
        <w:t xml:space="preserve"> 201</w:t>
      </w:r>
      <w:r w:rsidR="00685F7C">
        <w:rPr>
          <w:b/>
          <w:lang w:val="fr-CA"/>
        </w:rPr>
        <w:t>8</w:t>
      </w:r>
    </w:p>
    <w:p w:rsidR="006F2579" w:rsidRPr="00C110FB" w:rsidRDefault="006F2579" w:rsidP="006F2579">
      <w:pPr>
        <w:widowControl w:val="0"/>
        <w:rPr>
          <w:b/>
          <w:lang w:val="fr-CA"/>
        </w:rPr>
      </w:pPr>
      <w:r w:rsidRPr="00C110FB">
        <w:rPr>
          <w:b/>
          <w:lang w:val="fr-CA"/>
        </w:rPr>
        <w:t>Pour diffusion immédiate</w:t>
      </w:r>
    </w:p>
    <w:p w:rsidR="006F2579" w:rsidRPr="00C110FB" w:rsidRDefault="006F2579" w:rsidP="006F2579">
      <w:pPr>
        <w:widowControl w:val="0"/>
        <w:rPr>
          <w:b/>
          <w:lang w:val="fr-CA"/>
        </w:rPr>
      </w:pPr>
    </w:p>
    <w:p w:rsidR="006F2579" w:rsidRPr="00C110FB" w:rsidRDefault="006F2579" w:rsidP="006F2579">
      <w:pPr>
        <w:widowControl w:val="0"/>
        <w:rPr>
          <w:lang w:val="fr-CA"/>
        </w:rPr>
      </w:pPr>
      <w:r w:rsidRPr="00C110FB">
        <w:rPr>
          <w:b/>
          <w:lang w:val="fr-CA"/>
        </w:rPr>
        <w:t>OTTAWA</w:t>
      </w:r>
      <w:r w:rsidRPr="00C110FB">
        <w:rPr>
          <w:lang w:val="fr-CA"/>
        </w:rPr>
        <w:t xml:space="preserve"> – La Cour suprême du Canada annonce que jugement ser</w:t>
      </w:r>
      <w:r w:rsidR="004259F9" w:rsidRPr="00C110FB">
        <w:rPr>
          <w:lang w:val="fr-CA"/>
        </w:rPr>
        <w:t>a</w:t>
      </w:r>
      <w:r w:rsidRPr="00C110FB">
        <w:rPr>
          <w:lang w:val="fr-CA"/>
        </w:rPr>
        <w:t xml:space="preserve"> rendu dans l</w:t>
      </w:r>
      <w:r w:rsidR="008600ED" w:rsidRPr="00C110FB">
        <w:rPr>
          <w:lang w:val="fr-CA"/>
        </w:rPr>
        <w:t>es</w:t>
      </w:r>
      <w:r w:rsidRPr="00C110FB">
        <w:rPr>
          <w:lang w:val="fr-CA"/>
        </w:rPr>
        <w:t xml:space="preserve"> demande</w:t>
      </w:r>
      <w:r w:rsidR="008600ED" w:rsidRPr="00C110FB">
        <w:rPr>
          <w:lang w:val="fr-CA"/>
        </w:rPr>
        <w:t>s</w:t>
      </w:r>
      <w:r w:rsidRPr="00C110FB">
        <w:rPr>
          <w:lang w:val="fr-CA"/>
        </w:rPr>
        <w:t xml:space="preserve"> d</w:t>
      </w:r>
      <w:r w:rsidR="00001846" w:rsidRPr="00C110FB">
        <w:rPr>
          <w:lang w:val="fr-CA"/>
        </w:rPr>
        <w:t>’autorisation d’appel suivante</w:t>
      </w:r>
      <w:r w:rsidR="008600ED" w:rsidRPr="00C110FB">
        <w:rPr>
          <w:lang w:val="fr-CA"/>
        </w:rPr>
        <w:t>s</w:t>
      </w:r>
      <w:r w:rsidRPr="00C110FB">
        <w:rPr>
          <w:lang w:val="fr-CA"/>
        </w:rPr>
        <w:t xml:space="preserve"> le jeudi </w:t>
      </w:r>
      <w:r w:rsidR="00685F7C">
        <w:rPr>
          <w:lang w:val="fr-CA"/>
        </w:rPr>
        <w:t>1</w:t>
      </w:r>
      <w:r w:rsidR="00BF7FF6" w:rsidRPr="00C110FB">
        <w:rPr>
          <w:lang w:val="fr-CA"/>
        </w:rPr>
        <w:t>1</w:t>
      </w:r>
      <w:r w:rsidR="00780317" w:rsidRPr="00C110FB">
        <w:rPr>
          <w:lang w:val="fr-CA"/>
        </w:rPr>
        <w:t xml:space="preserve"> </w:t>
      </w:r>
      <w:r w:rsidR="00685F7C">
        <w:rPr>
          <w:lang w:val="fr-CA"/>
        </w:rPr>
        <w:t>janvier</w:t>
      </w:r>
      <w:r w:rsidR="00674329" w:rsidRPr="00C110FB">
        <w:rPr>
          <w:lang w:val="fr-CA"/>
        </w:rPr>
        <w:t xml:space="preserve"> </w:t>
      </w:r>
      <w:r w:rsidR="006648D1" w:rsidRPr="00C110FB">
        <w:rPr>
          <w:lang w:val="fr-CA"/>
        </w:rPr>
        <w:t>201</w:t>
      </w:r>
      <w:r w:rsidR="00685F7C">
        <w:rPr>
          <w:lang w:val="fr-CA"/>
        </w:rPr>
        <w:t>8</w:t>
      </w:r>
      <w:r w:rsidRPr="00C110FB">
        <w:rPr>
          <w:lang w:val="fr-CA"/>
        </w:rPr>
        <w:t xml:space="preserve">, à 9 h 45 </w:t>
      </w:r>
      <w:r w:rsidR="000627A2" w:rsidRPr="00C110FB">
        <w:rPr>
          <w:lang w:val="fr-CA"/>
        </w:rPr>
        <w:t>H</w:t>
      </w:r>
      <w:r w:rsidR="00213196" w:rsidRPr="00C110FB">
        <w:rPr>
          <w:lang w:val="fr-CA"/>
        </w:rPr>
        <w:t>N</w:t>
      </w:r>
      <w:r w:rsidRPr="00C110FB">
        <w:rPr>
          <w:lang w:val="fr-CA"/>
        </w:rPr>
        <w:t>E. Cette liste est sujette à modifications.</w:t>
      </w:r>
    </w:p>
    <w:p w:rsidR="0080556B" w:rsidRPr="00C110FB" w:rsidRDefault="0080556B" w:rsidP="009B14F4">
      <w:pPr>
        <w:widowControl w:val="0"/>
        <w:jc w:val="both"/>
        <w:rPr>
          <w:sz w:val="20"/>
          <w:lang w:val="fr-CA"/>
        </w:rPr>
      </w:pPr>
    </w:p>
    <w:p w:rsidR="001838E0" w:rsidRPr="00C110FB" w:rsidRDefault="003D353C" w:rsidP="009B14F4">
      <w:pPr>
        <w:widowControl w:val="0"/>
        <w:jc w:val="both"/>
        <w:rPr>
          <w:sz w:val="20"/>
          <w:lang w:val="fr-CA"/>
        </w:rPr>
      </w:pPr>
      <w:r w:rsidRPr="00C110F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Default="00957A1E" w:rsidP="00957A1E">
      <w:pPr>
        <w:jc w:val="both"/>
        <w:rPr>
          <w:sz w:val="20"/>
          <w:lang w:val="fr-CA"/>
        </w:rPr>
      </w:pPr>
    </w:p>
    <w:p w:rsidR="001D073F" w:rsidRPr="00381877" w:rsidRDefault="001D073F" w:rsidP="001D073F">
      <w:pPr>
        <w:pStyle w:val="ListParagraph"/>
        <w:numPr>
          <w:ilvl w:val="0"/>
          <w:numId w:val="50"/>
        </w:numPr>
        <w:ind w:left="360"/>
        <w:jc w:val="both"/>
        <w:rPr>
          <w:rFonts w:eastAsia="Calibri"/>
          <w:sz w:val="20"/>
          <w:lang w:val="en-CA"/>
        </w:rPr>
      </w:pPr>
      <w:r w:rsidRPr="00381877">
        <w:rPr>
          <w:rFonts w:eastAsia="Calibri"/>
          <w:i/>
          <w:sz w:val="20"/>
          <w:lang w:val="en-CA"/>
        </w:rPr>
        <w:t>Shirley Tibbetts v. Reginald Greg Murphy et al.</w:t>
      </w:r>
      <w:r w:rsidRPr="00381877">
        <w:rPr>
          <w:rFonts w:eastAsia="Calibri"/>
          <w:sz w:val="20"/>
          <w:lang w:val="en-CA"/>
        </w:rPr>
        <w:t xml:space="preserve"> (N.S.) (Civil) (By Leave)</w:t>
      </w:r>
      <w:r w:rsidR="00517065" w:rsidRPr="00381877">
        <w:rPr>
          <w:rFonts w:eastAsia="Calibri"/>
          <w:sz w:val="20"/>
          <w:lang w:val="en-CA"/>
        </w:rPr>
        <w:t xml:space="preserve"> </w:t>
      </w:r>
      <w:r w:rsidR="00517065" w:rsidRPr="00381877">
        <w:rPr>
          <w:sz w:val="20"/>
          <w:szCs w:val="20"/>
        </w:rPr>
        <w:t>(</w:t>
      </w:r>
      <w:hyperlink r:id="rId8" w:history="1">
        <w:r w:rsidR="00517065" w:rsidRPr="00381877">
          <w:rPr>
            <w:rStyle w:val="Hyperlink"/>
            <w:sz w:val="20"/>
            <w:szCs w:val="20"/>
          </w:rPr>
          <w:t>37</w:t>
        </w:r>
        <w:r w:rsidR="0091409A" w:rsidRPr="00381877">
          <w:rPr>
            <w:rStyle w:val="Hyperlink"/>
            <w:sz w:val="20"/>
            <w:szCs w:val="20"/>
          </w:rPr>
          <w:t>6</w:t>
        </w:r>
        <w:r w:rsidR="00517065" w:rsidRPr="00381877">
          <w:rPr>
            <w:rStyle w:val="Hyperlink"/>
            <w:sz w:val="20"/>
            <w:szCs w:val="20"/>
          </w:rPr>
          <w:t>7</w:t>
        </w:r>
        <w:r w:rsidR="0091409A" w:rsidRPr="00381877">
          <w:rPr>
            <w:rStyle w:val="Hyperlink"/>
            <w:sz w:val="20"/>
            <w:szCs w:val="20"/>
          </w:rPr>
          <w:t>0</w:t>
        </w:r>
      </w:hyperlink>
      <w:r w:rsidR="00517065" w:rsidRPr="00381877">
        <w:rPr>
          <w:sz w:val="20"/>
          <w:szCs w:val="20"/>
        </w:rPr>
        <w:t>)</w:t>
      </w:r>
    </w:p>
    <w:p w:rsidR="001D073F" w:rsidRPr="00381877" w:rsidRDefault="001D073F" w:rsidP="001D073F">
      <w:pPr>
        <w:ind w:left="360" w:hanging="360"/>
        <w:jc w:val="both"/>
        <w:rPr>
          <w:rFonts w:eastAsia="Calibri"/>
          <w:sz w:val="20"/>
          <w:lang w:val="en-CA"/>
        </w:rPr>
      </w:pPr>
    </w:p>
    <w:p w:rsidR="001D073F" w:rsidRPr="00381877" w:rsidRDefault="001D073F" w:rsidP="001D073F">
      <w:pPr>
        <w:pStyle w:val="ListParagraph"/>
        <w:numPr>
          <w:ilvl w:val="0"/>
          <w:numId w:val="50"/>
        </w:numPr>
        <w:ind w:left="360"/>
        <w:jc w:val="both"/>
        <w:rPr>
          <w:rFonts w:eastAsia="Calibri"/>
          <w:sz w:val="20"/>
          <w:lang w:val="en-CA"/>
        </w:rPr>
      </w:pPr>
      <w:r w:rsidRPr="00381877">
        <w:rPr>
          <w:rFonts w:eastAsia="Calibri"/>
          <w:i/>
          <w:sz w:val="20"/>
          <w:lang w:val="en-CA"/>
        </w:rPr>
        <w:t xml:space="preserve">Robert Must v. Yana </w:t>
      </w:r>
      <w:proofErr w:type="spellStart"/>
      <w:r w:rsidRPr="00381877">
        <w:rPr>
          <w:rFonts w:eastAsia="Calibri"/>
          <w:i/>
          <w:sz w:val="20"/>
          <w:lang w:val="en-CA"/>
        </w:rPr>
        <w:t>Shkuryna</w:t>
      </w:r>
      <w:proofErr w:type="spellEnd"/>
      <w:r w:rsidRPr="00381877">
        <w:rPr>
          <w:rFonts w:eastAsia="Calibri"/>
          <w:i/>
          <w:sz w:val="20"/>
          <w:lang w:val="en-CA"/>
        </w:rPr>
        <w:t xml:space="preserve"> et al.</w:t>
      </w:r>
      <w:r w:rsidRPr="00381877">
        <w:rPr>
          <w:rFonts w:eastAsia="Calibri"/>
          <w:sz w:val="20"/>
          <w:lang w:val="en-CA"/>
        </w:rPr>
        <w:t xml:space="preserve"> </w:t>
      </w:r>
      <w:r w:rsidR="00BB6658" w:rsidRPr="00381877">
        <w:rPr>
          <w:rFonts w:eastAsia="Calibri"/>
          <w:sz w:val="20"/>
          <w:lang w:val="en-CA"/>
        </w:rPr>
        <w:t>(Ont.) (Civil) (By Leave)</w:t>
      </w:r>
      <w:r w:rsidR="00517065" w:rsidRPr="00381877">
        <w:rPr>
          <w:rFonts w:eastAsia="Calibri"/>
          <w:sz w:val="20"/>
          <w:lang w:val="en-CA"/>
        </w:rPr>
        <w:t xml:space="preserve"> </w:t>
      </w:r>
      <w:r w:rsidR="00517065" w:rsidRPr="00381877">
        <w:rPr>
          <w:sz w:val="20"/>
          <w:szCs w:val="20"/>
        </w:rPr>
        <w:t>(</w:t>
      </w:r>
      <w:hyperlink r:id="rId9" w:history="1">
        <w:r w:rsidR="00517065" w:rsidRPr="00381877">
          <w:rPr>
            <w:rStyle w:val="Hyperlink"/>
            <w:sz w:val="20"/>
            <w:szCs w:val="20"/>
          </w:rPr>
          <w:t>37</w:t>
        </w:r>
        <w:r w:rsidR="00BB6658" w:rsidRPr="00381877">
          <w:rPr>
            <w:rStyle w:val="Hyperlink"/>
            <w:sz w:val="20"/>
            <w:szCs w:val="20"/>
          </w:rPr>
          <w:t>675</w:t>
        </w:r>
      </w:hyperlink>
      <w:r w:rsidR="00517065" w:rsidRPr="00381877">
        <w:rPr>
          <w:sz w:val="20"/>
          <w:szCs w:val="20"/>
        </w:rPr>
        <w:t>)</w:t>
      </w:r>
    </w:p>
    <w:p w:rsidR="001D073F" w:rsidRPr="00381877" w:rsidRDefault="001D073F" w:rsidP="001D073F">
      <w:pPr>
        <w:ind w:left="360" w:hanging="360"/>
        <w:jc w:val="both"/>
        <w:rPr>
          <w:rFonts w:eastAsia="Calibri"/>
          <w:sz w:val="20"/>
          <w:lang w:val="en-CA"/>
        </w:rPr>
      </w:pPr>
    </w:p>
    <w:p w:rsidR="001D073F" w:rsidRPr="00381877" w:rsidRDefault="001D073F" w:rsidP="001D073F">
      <w:pPr>
        <w:pStyle w:val="ListParagraph"/>
        <w:numPr>
          <w:ilvl w:val="0"/>
          <w:numId w:val="50"/>
        </w:numPr>
        <w:ind w:left="360"/>
        <w:jc w:val="both"/>
        <w:rPr>
          <w:rFonts w:eastAsia="Calibri"/>
          <w:sz w:val="20"/>
        </w:rPr>
      </w:pPr>
      <w:proofErr w:type="spellStart"/>
      <w:r w:rsidRPr="00381877">
        <w:rPr>
          <w:rFonts w:eastAsia="Calibri"/>
          <w:i/>
          <w:sz w:val="20"/>
          <w:lang w:val="en-CA"/>
        </w:rPr>
        <w:t>Agri</w:t>
      </w:r>
      <w:proofErr w:type="spellEnd"/>
      <w:r w:rsidRPr="00381877">
        <w:rPr>
          <w:rFonts w:eastAsia="Calibri"/>
          <w:i/>
          <w:sz w:val="20"/>
          <w:lang w:val="en-CA"/>
        </w:rPr>
        <w:t xml:space="preserve"> Resource Mgt. 2001 Ltd. v. Saskatchewan Crop Insurance Corp</w:t>
      </w:r>
      <w:r w:rsidR="00F65925" w:rsidRPr="00381877">
        <w:rPr>
          <w:rFonts w:eastAsia="Calibri"/>
          <w:i/>
          <w:sz w:val="20"/>
          <w:lang w:val="en-CA"/>
        </w:rPr>
        <w:t>oration</w:t>
      </w:r>
      <w:r w:rsidRPr="00381877">
        <w:rPr>
          <w:rFonts w:eastAsia="Calibri"/>
          <w:sz w:val="20"/>
          <w:lang w:val="en-CA"/>
        </w:rPr>
        <w:t xml:space="preserve"> </w:t>
      </w:r>
      <w:r w:rsidRPr="00381877">
        <w:rPr>
          <w:rFonts w:eastAsia="Calibri"/>
          <w:sz w:val="20"/>
        </w:rPr>
        <w:t>(Sask.) (Civil) (By Leave)</w:t>
      </w:r>
      <w:r w:rsidR="00517065" w:rsidRPr="00381877">
        <w:rPr>
          <w:rFonts w:eastAsia="Calibri"/>
          <w:sz w:val="20"/>
        </w:rPr>
        <w:t xml:space="preserve"> </w:t>
      </w:r>
      <w:r w:rsidR="00517065" w:rsidRPr="00381877">
        <w:rPr>
          <w:sz w:val="20"/>
          <w:szCs w:val="20"/>
        </w:rPr>
        <w:t>(</w:t>
      </w:r>
      <w:hyperlink r:id="rId10" w:history="1">
        <w:r w:rsidR="00517065" w:rsidRPr="00381877">
          <w:rPr>
            <w:rStyle w:val="Hyperlink"/>
            <w:sz w:val="20"/>
            <w:szCs w:val="20"/>
          </w:rPr>
          <w:t>37</w:t>
        </w:r>
        <w:r w:rsidR="00F65925" w:rsidRPr="00381877">
          <w:rPr>
            <w:rStyle w:val="Hyperlink"/>
            <w:sz w:val="20"/>
            <w:szCs w:val="20"/>
          </w:rPr>
          <w:t>685</w:t>
        </w:r>
      </w:hyperlink>
      <w:r w:rsidR="00517065" w:rsidRPr="00381877">
        <w:rPr>
          <w:sz w:val="20"/>
          <w:szCs w:val="20"/>
        </w:rPr>
        <w:t>)</w:t>
      </w:r>
    </w:p>
    <w:p w:rsidR="001D073F" w:rsidRPr="00381877" w:rsidRDefault="001D073F" w:rsidP="001D073F">
      <w:pPr>
        <w:ind w:left="360" w:hanging="360"/>
        <w:jc w:val="both"/>
        <w:rPr>
          <w:sz w:val="20"/>
        </w:rPr>
      </w:pPr>
    </w:p>
    <w:p w:rsidR="001D073F" w:rsidRPr="00381877" w:rsidRDefault="001D073F" w:rsidP="001D073F">
      <w:pPr>
        <w:pStyle w:val="ListParagraph"/>
        <w:numPr>
          <w:ilvl w:val="0"/>
          <w:numId w:val="50"/>
        </w:numPr>
        <w:tabs>
          <w:tab w:val="left" w:pos="-1440"/>
        </w:tabs>
        <w:ind w:left="360"/>
        <w:jc w:val="both"/>
        <w:rPr>
          <w:sz w:val="20"/>
          <w:lang w:val="fr-CA"/>
        </w:rPr>
      </w:pPr>
      <w:r w:rsidRPr="00381877">
        <w:rPr>
          <w:i/>
          <w:sz w:val="20"/>
          <w:lang w:val="fr-CA"/>
        </w:rPr>
        <w:t>Jacques Gagné c. Sa Majesté la Reine</w:t>
      </w:r>
      <w:r w:rsidRPr="00381877">
        <w:rPr>
          <w:sz w:val="20"/>
          <w:lang w:val="fr-CA"/>
        </w:rPr>
        <w:t xml:space="preserve"> (</w:t>
      </w:r>
      <w:proofErr w:type="spellStart"/>
      <w:r w:rsidRPr="00381877">
        <w:rPr>
          <w:sz w:val="20"/>
          <w:lang w:val="fr-CA"/>
        </w:rPr>
        <w:t>Qc</w:t>
      </w:r>
      <w:proofErr w:type="spellEnd"/>
      <w:r w:rsidRPr="00381877">
        <w:rPr>
          <w:sz w:val="20"/>
          <w:lang w:val="fr-CA"/>
        </w:rPr>
        <w:t>) (Civile) (Autorisation)</w:t>
      </w:r>
      <w:r w:rsidR="00517065" w:rsidRPr="00381877">
        <w:rPr>
          <w:sz w:val="20"/>
          <w:lang w:val="fr-CA"/>
        </w:rPr>
        <w:t xml:space="preserve"> </w:t>
      </w:r>
      <w:r w:rsidR="00517065" w:rsidRPr="00381877">
        <w:rPr>
          <w:sz w:val="20"/>
          <w:szCs w:val="20"/>
          <w:lang w:val="fr-CA"/>
        </w:rPr>
        <w:t>(</w:t>
      </w:r>
      <w:hyperlink r:id="rId11" w:history="1">
        <w:r w:rsidR="00517065" w:rsidRPr="00381877">
          <w:rPr>
            <w:rStyle w:val="Hyperlink"/>
            <w:sz w:val="20"/>
            <w:szCs w:val="20"/>
            <w:lang w:val="fr-CA"/>
          </w:rPr>
          <w:t>3772</w:t>
        </w:r>
        <w:r w:rsidR="00683926" w:rsidRPr="00381877">
          <w:rPr>
            <w:rStyle w:val="Hyperlink"/>
            <w:sz w:val="20"/>
            <w:szCs w:val="20"/>
            <w:lang w:val="fr-CA"/>
          </w:rPr>
          <w:t>0</w:t>
        </w:r>
      </w:hyperlink>
      <w:r w:rsidR="00517065" w:rsidRPr="00381877">
        <w:rPr>
          <w:sz w:val="20"/>
          <w:szCs w:val="20"/>
          <w:lang w:val="fr-CA"/>
        </w:rPr>
        <w:t>)</w:t>
      </w:r>
    </w:p>
    <w:p w:rsidR="001D073F" w:rsidRPr="00381877" w:rsidRDefault="001D073F" w:rsidP="001D073F">
      <w:pPr>
        <w:pStyle w:val="ListParagraph"/>
        <w:ind w:left="360" w:hanging="360"/>
        <w:jc w:val="both"/>
        <w:rPr>
          <w:sz w:val="20"/>
          <w:szCs w:val="20"/>
          <w:lang w:val="fr-CA"/>
        </w:rPr>
      </w:pPr>
    </w:p>
    <w:p w:rsidR="00685F7C" w:rsidRPr="00381877" w:rsidRDefault="001D073F" w:rsidP="001D073F">
      <w:pPr>
        <w:pStyle w:val="ListParagraph"/>
        <w:numPr>
          <w:ilvl w:val="0"/>
          <w:numId w:val="50"/>
        </w:numPr>
        <w:tabs>
          <w:tab w:val="left" w:pos="0"/>
        </w:tabs>
        <w:ind w:left="360"/>
        <w:jc w:val="both"/>
        <w:rPr>
          <w:sz w:val="20"/>
          <w:szCs w:val="20"/>
        </w:rPr>
      </w:pPr>
      <w:r w:rsidRPr="00381877">
        <w:rPr>
          <w:i/>
          <w:sz w:val="20"/>
          <w:szCs w:val="20"/>
          <w:lang w:val="en-CA"/>
        </w:rPr>
        <w:t xml:space="preserve">Paul </w:t>
      </w:r>
      <w:proofErr w:type="spellStart"/>
      <w:r w:rsidRPr="00381877">
        <w:rPr>
          <w:i/>
          <w:sz w:val="20"/>
          <w:szCs w:val="20"/>
          <w:lang w:val="en-CA"/>
        </w:rPr>
        <w:t>Oommen</w:t>
      </w:r>
      <w:proofErr w:type="spellEnd"/>
      <w:r w:rsidRPr="00381877">
        <w:rPr>
          <w:i/>
          <w:sz w:val="20"/>
          <w:szCs w:val="20"/>
          <w:lang w:val="en-CA"/>
        </w:rPr>
        <w:t xml:space="preserve"> </w:t>
      </w:r>
      <w:r w:rsidR="001E4EBC" w:rsidRPr="00381877">
        <w:rPr>
          <w:i/>
          <w:sz w:val="20"/>
          <w:szCs w:val="20"/>
          <w:lang w:val="en-CA"/>
        </w:rPr>
        <w:t>v</w:t>
      </w:r>
      <w:r w:rsidRPr="00381877">
        <w:rPr>
          <w:i/>
          <w:sz w:val="20"/>
          <w:szCs w:val="20"/>
          <w:lang w:val="en-CA"/>
        </w:rPr>
        <w:t>. Capital Regional Housing Corporation et al.</w:t>
      </w:r>
      <w:r w:rsidRPr="00381877">
        <w:rPr>
          <w:sz w:val="20"/>
          <w:szCs w:val="20"/>
          <w:lang w:val="en-CA"/>
        </w:rPr>
        <w:t xml:space="preserve"> (Alta.) (Civil) (By Leave)</w:t>
      </w:r>
      <w:r w:rsidR="00517065" w:rsidRPr="00381877">
        <w:rPr>
          <w:sz w:val="20"/>
          <w:szCs w:val="20"/>
          <w:lang w:val="en-CA"/>
        </w:rPr>
        <w:t xml:space="preserve"> </w:t>
      </w:r>
      <w:r w:rsidR="00517065" w:rsidRPr="00381877">
        <w:rPr>
          <w:sz w:val="20"/>
          <w:szCs w:val="20"/>
        </w:rPr>
        <w:t>(</w:t>
      </w:r>
      <w:hyperlink r:id="rId12" w:history="1">
        <w:r w:rsidR="00517065" w:rsidRPr="00381877">
          <w:rPr>
            <w:rStyle w:val="Hyperlink"/>
            <w:sz w:val="20"/>
            <w:szCs w:val="20"/>
          </w:rPr>
          <w:t>377</w:t>
        </w:r>
        <w:r w:rsidR="001E4EBC" w:rsidRPr="00381877">
          <w:rPr>
            <w:rStyle w:val="Hyperlink"/>
            <w:sz w:val="20"/>
            <w:szCs w:val="20"/>
          </w:rPr>
          <w:t>19</w:t>
        </w:r>
      </w:hyperlink>
      <w:r w:rsidR="00517065" w:rsidRPr="00381877">
        <w:rPr>
          <w:sz w:val="20"/>
          <w:szCs w:val="20"/>
        </w:rPr>
        <w:t>)</w:t>
      </w:r>
    </w:p>
    <w:p w:rsidR="00685F7C" w:rsidRPr="00381877" w:rsidRDefault="00685F7C" w:rsidP="001D073F">
      <w:pPr>
        <w:ind w:left="360" w:hanging="360"/>
        <w:jc w:val="both"/>
        <w:rPr>
          <w:sz w:val="20"/>
        </w:rPr>
      </w:pPr>
    </w:p>
    <w:p w:rsidR="001D073F" w:rsidRPr="00381877" w:rsidRDefault="001D073F" w:rsidP="001D073F">
      <w:pPr>
        <w:pStyle w:val="ListParagraph"/>
        <w:numPr>
          <w:ilvl w:val="0"/>
          <w:numId w:val="50"/>
        </w:numPr>
        <w:ind w:left="360"/>
        <w:jc w:val="both"/>
        <w:rPr>
          <w:sz w:val="20"/>
          <w:lang w:val="en-CA"/>
        </w:rPr>
      </w:pPr>
      <w:r w:rsidRPr="00381877">
        <w:rPr>
          <w:i/>
          <w:sz w:val="20"/>
          <w:lang w:val="en-CA"/>
        </w:rPr>
        <w:t xml:space="preserve">56 King Inc. v. Aviva Canada Inc. </w:t>
      </w:r>
      <w:r w:rsidRPr="00381877">
        <w:rPr>
          <w:sz w:val="20"/>
          <w:lang w:val="en-CA"/>
        </w:rPr>
        <w:t>(Ont.) (Civil) (By Leave)</w:t>
      </w:r>
      <w:r w:rsidR="00517065" w:rsidRPr="00381877">
        <w:rPr>
          <w:sz w:val="20"/>
          <w:lang w:val="en-CA"/>
        </w:rPr>
        <w:t xml:space="preserve"> </w:t>
      </w:r>
      <w:r w:rsidR="00517065" w:rsidRPr="00381877">
        <w:rPr>
          <w:sz w:val="20"/>
          <w:szCs w:val="20"/>
        </w:rPr>
        <w:t>(</w:t>
      </w:r>
      <w:hyperlink r:id="rId13" w:history="1">
        <w:r w:rsidR="00517065" w:rsidRPr="00381877">
          <w:rPr>
            <w:rStyle w:val="Hyperlink"/>
            <w:sz w:val="20"/>
            <w:szCs w:val="20"/>
          </w:rPr>
          <w:t>377</w:t>
        </w:r>
        <w:r w:rsidR="00CA37CC" w:rsidRPr="00381877">
          <w:rPr>
            <w:rStyle w:val="Hyperlink"/>
            <w:sz w:val="20"/>
            <w:szCs w:val="20"/>
          </w:rPr>
          <w:t>0</w:t>
        </w:r>
        <w:r w:rsidR="00517065" w:rsidRPr="00381877">
          <w:rPr>
            <w:rStyle w:val="Hyperlink"/>
            <w:sz w:val="20"/>
            <w:szCs w:val="20"/>
          </w:rPr>
          <w:t>2</w:t>
        </w:r>
      </w:hyperlink>
      <w:r w:rsidR="00517065" w:rsidRPr="00381877">
        <w:rPr>
          <w:sz w:val="20"/>
          <w:szCs w:val="20"/>
        </w:rPr>
        <w:t>)</w:t>
      </w:r>
    </w:p>
    <w:p w:rsidR="001D073F" w:rsidRPr="00381877" w:rsidRDefault="001D073F" w:rsidP="001D073F">
      <w:pPr>
        <w:widowControl w:val="0"/>
        <w:ind w:left="360" w:hanging="360"/>
        <w:jc w:val="both"/>
        <w:rPr>
          <w:sz w:val="20"/>
          <w:lang w:val="en-CA"/>
        </w:rPr>
      </w:pPr>
    </w:p>
    <w:p w:rsidR="001D073F" w:rsidRPr="00381877" w:rsidRDefault="001D073F" w:rsidP="001D073F">
      <w:pPr>
        <w:pStyle w:val="ListParagraph"/>
        <w:numPr>
          <w:ilvl w:val="0"/>
          <w:numId w:val="50"/>
        </w:numPr>
        <w:ind w:left="360"/>
        <w:jc w:val="both"/>
        <w:rPr>
          <w:sz w:val="20"/>
          <w:lang w:val="en-CA"/>
        </w:rPr>
      </w:pPr>
      <w:r w:rsidRPr="00381877">
        <w:rPr>
          <w:i/>
          <w:sz w:val="20"/>
          <w:lang w:val="en-CA"/>
        </w:rPr>
        <w:t xml:space="preserve">311165 BC Ltd. v. Attorney General of Canada et al. </w:t>
      </w:r>
      <w:r w:rsidRPr="00381877">
        <w:rPr>
          <w:sz w:val="20"/>
          <w:lang w:val="en-CA"/>
        </w:rPr>
        <w:t>(B.C.) (Civil) (By Leave)</w:t>
      </w:r>
      <w:r w:rsidR="00517065" w:rsidRPr="00381877">
        <w:rPr>
          <w:sz w:val="20"/>
          <w:lang w:val="en-CA"/>
        </w:rPr>
        <w:t xml:space="preserve"> </w:t>
      </w:r>
      <w:r w:rsidR="00517065" w:rsidRPr="00381877">
        <w:rPr>
          <w:sz w:val="20"/>
          <w:szCs w:val="20"/>
        </w:rPr>
        <w:t>(</w:t>
      </w:r>
      <w:hyperlink r:id="rId14" w:history="1">
        <w:r w:rsidR="00517065" w:rsidRPr="00381877">
          <w:rPr>
            <w:rStyle w:val="Hyperlink"/>
            <w:sz w:val="20"/>
            <w:szCs w:val="20"/>
          </w:rPr>
          <w:t>37</w:t>
        </w:r>
        <w:r w:rsidR="00193F5B" w:rsidRPr="00381877">
          <w:rPr>
            <w:rStyle w:val="Hyperlink"/>
            <w:sz w:val="20"/>
            <w:szCs w:val="20"/>
          </w:rPr>
          <w:t>694</w:t>
        </w:r>
      </w:hyperlink>
      <w:r w:rsidR="00517065" w:rsidRPr="00381877">
        <w:rPr>
          <w:sz w:val="20"/>
          <w:szCs w:val="20"/>
        </w:rPr>
        <w:t>)</w:t>
      </w:r>
    </w:p>
    <w:p w:rsidR="00685F7C" w:rsidRPr="00381877" w:rsidRDefault="00685F7C" w:rsidP="00957A1E">
      <w:pPr>
        <w:jc w:val="both"/>
        <w:rPr>
          <w:sz w:val="20"/>
          <w:lang w:val="en-CA"/>
        </w:rPr>
      </w:pPr>
    </w:p>
    <w:p w:rsidR="00685F7C" w:rsidRPr="00381877" w:rsidRDefault="00685F7C"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4383" w:rsidRPr="00E94383" w:rsidTr="00E94383">
        <w:tc>
          <w:tcPr>
            <w:tcW w:w="543" w:type="pct"/>
          </w:tcPr>
          <w:p w:rsidR="00E94383" w:rsidRPr="00E94383" w:rsidRDefault="00E94383" w:rsidP="00E94383">
            <w:pPr>
              <w:jc w:val="both"/>
              <w:rPr>
                <w:sz w:val="20"/>
              </w:rPr>
            </w:pPr>
            <w:r w:rsidRPr="00E94383">
              <w:rPr>
                <w:rStyle w:val="SCCFileNumberChar"/>
                <w:sz w:val="20"/>
                <w:szCs w:val="20"/>
              </w:rPr>
              <w:t>37670</w:t>
            </w:r>
          </w:p>
        </w:tc>
        <w:tc>
          <w:tcPr>
            <w:tcW w:w="4457" w:type="pct"/>
            <w:gridSpan w:val="3"/>
          </w:tcPr>
          <w:p w:rsidR="00E94383" w:rsidRPr="00E94383" w:rsidRDefault="00E94383" w:rsidP="00E94383">
            <w:pPr>
              <w:pStyle w:val="SCCLsocParty"/>
              <w:jc w:val="both"/>
              <w:rPr>
                <w:b/>
                <w:sz w:val="20"/>
                <w:szCs w:val="20"/>
                <w:lang w:val="en-US"/>
              </w:rPr>
            </w:pPr>
            <w:r w:rsidRPr="00E94383">
              <w:rPr>
                <w:b/>
                <w:sz w:val="20"/>
                <w:szCs w:val="20"/>
                <w:lang w:val="en-US"/>
              </w:rPr>
              <w:t>Shirley Tibbetts v. Reginald Greg Murphy, Joseph George Joyce</w:t>
            </w:r>
          </w:p>
          <w:p w:rsidR="00E94383" w:rsidRPr="00E94383" w:rsidRDefault="00E94383" w:rsidP="00E94383">
            <w:pPr>
              <w:jc w:val="both"/>
              <w:rPr>
                <w:sz w:val="20"/>
              </w:rPr>
            </w:pPr>
            <w:r w:rsidRPr="00E94383">
              <w:rPr>
                <w:sz w:val="20"/>
              </w:rPr>
              <w:t>(N.S.) (Civil) (By Leave)</w:t>
            </w:r>
          </w:p>
        </w:tc>
      </w:tr>
      <w:tr w:rsidR="00E94383" w:rsidRPr="00E94383" w:rsidTr="00E94383">
        <w:tc>
          <w:tcPr>
            <w:tcW w:w="5000" w:type="pct"/>
            <w:gridSpan w:val="4"/>
          </w:tcPr>
          <w:p w:rsidR="00E94383" w:rsidRPr="00E94383" w:rsidRDefault="00E94383" w:rsidP="00E94383">
            <w:pPr>
              <w:jc w:val="both"/>
              <w:rPr>
                <w:sz w:val="20"/>
              </w:rPr>
            </w:pPr>
          </w:p>
          <w:p w:rsidR="00E94383" w:rsidRPr="00E94383" w:rsidRDefault="00E94383" w:rsidP="00E94383">
            <w:pPr>
              <w:jc w:val="both"/>
              <w:rPr>
                <w:sz w:val="20"/>
              </w:rPr>
            </w:pPr>
            <w:r w:rsidRPr="00E94383">
              <w:rPr>
                <w:sz w:val="20"/>
              </w:rPr>
              <w:t xml:space="preserve">Legislation – Interpretation – Does an existing entitlement to Canada Pension Plan (“CPP”) benefits disentitle accident victims from obtaining just compensation – Are disability benefits payable under the CPP deductible from an award of damages as payments made “in respect of the incident” for income loss or loss of earning capacity pursuant to s. 113A of the </w:t>
            </w:r>
            <w:r w:rsidRPr="00E94383">
              <w:rPr>
                <w:i/>
                <w:sz w:val="20"/>
              </w:rPr>
              <w:t>Insurance Act</w:t>
            </w:r>
            <w:r w:rsidRPr="00E94383">
              <w:rPr>
                <w:sz w:val="20"/>
              </w:rPr>
              <w:t>, R.S.N.S. 1989, c. 231 (the “</w:t>
            </w:r>
            <w:r w:rsidRPr="00E94383">
              <w:rPr>
                <w:i/>
                <w:sz w:val="20"/>
              </w:rPr>
              <w:t>Act</w:t>
            </w:r>
            <w:r w:rsidRPr="00E94383">
              <w:rPr>
                <w:sz w:val="20"/>
              </w:rPr>
              <w:t xml:space="preserve">”) – Does s. 113A of the </w:t>
            </w:r>
            <w:r w:rsidRPr="00E94383">
              <w:rPr>
                <w:i/>
                <w:sz w:val="20"/>
              </w:rPr>
              <w:t>Act</w:t>
            </w:r>
            <w:r w:rsidRPr="00E94383">
              <w:rPr>
                <w:sz w:val="20"/>
              </w:rPr>
              <w:t xml:space="preserve"> provide sufficiently clear and unambiguous language to disentitle the plaintiff? – Has the Court of Appeal misinterpreted s. 113A of the </w:t>
            </w:r>
            <w:r w:rsidRPr="00E94383">
              <w:rPr>
                <w:i/>
                <w:sz w:val="20"/>
              </w:rPr>
              <w:t>Act</w:t>
            </w:r>
            <w:r w:rsidRPr="00E94383">
              <w:rPr>
                <w:sz w:val="20"/>
              </w:rPr>
              <w:t xml:space="preserve"> as a clear and unambiguous amendment to the common law collateral benefits rule – Is the Court of Appeal’s policy choice an improper foray into the domain of the </w:t>
            </w:r>
            <w:proofErr w:type="gramStart"/>
            <w:r w:rsidRPr="00E94383">
              <w:rPr>
                <w:sz w:val="20"/>
              </w:rPr>
              <w:t>legislature.</w:t>
            </w:r>
            <w:proofErr w:type="gramEnd"/>
          </w:p>
          <w:p w:rsidR="00E94383" w:rsidRPr="00E94383" w:rsidRDefault="00E94383" w:rsidP="00E94383">
            <w:pPr>
              <w:jc w:val="both"/>
              <w:rPr>
                <w:sz w:val="20"/>
              </w:rPr>
            </w:pPr>
          </w:p>
        </w:tc>
      </w:tr>
      <w:tr w:rsidR="00E94383" w:rsidRPr="00E94383" w:rsidTr="00E94383">
        <w:tc>
          <w:tcPr>
            <w:tcW w:w="5000" w:type="pct"/>
            <w:gridSpan w:val="4"/>
          </w:tcPr>
          <w:p w:rsidR="00E94383" w:rsidRPr="00E94383" w:rsidRDefault="00E94383" w:rsidP="00E94383">
            <w:pPr>
              <w:jc w:val="both"/>
              <w:rPr>
                <w:sz w:val="20"/>
              </w:rPr>
            </w:pPr>
            <w:r w:rsidRPr="00E94383">
              <w:rPr>
                <w:sz w:val="20"/>
              </w:rPr>
              <w:lastRenderedPageBreak/>
              <w:t xml:space="preserve">As Ms. Tibbetts drove her motorcycle behind that of Mr. Joyce along a road in </w:t>
            </w:r>
            <w:proofErr w:type="spellStart"/>
            <w:r w:rsidRPr="00E94383">
              <w:rPr>
                <w:sz w:val="20"/>
              </w:rPr>
              <w:t>Antigonish</w:t>
            </w:r>
            <w:proofErr w:type="spellEnd"/>
            <w:r w:rsidRPr="00E94383">
              <w:rPr>
                <w:sz w:val="20"/>
              </w:rPr>
              <w:t xml:space="preserve"> County, she was struck by an oncoming truck driven by Mr. Murphy. Ms. Tibbetts brought an action in negligence against Mr. Murphy, who added Mr. Joyce as a third party. The trial judge apportioned liability for the accident as two-thirds by Ms. Tibbetts and one-third to Mr. Murphy. The only issue in the application for leave is the proper interpretation of s. 113A of the </w:t>
            </w:r>
            <w:r w:rsidRPr="00E94383">
              <w:rPr>
                <w:i/>
                <w:sz w:val="20"/>
              </w:rPr>
              <w:t>Act</w:t>
            </w:r>
            <w:r w:rsidRPr="00E94383">
              <w:rPr>
                <w:sz w:val="20"/>
              </w:rPr>
              <w:t>, which provides that “</w:t>
            </w:r>
            <w:r w:rsidRPr="00E94383">
              <w:rPr>
                <w:color w:val="000000"/>
                <w:sz w:val="20"/>
                <w:lang w:val="en"/>
              </w:rPr>
              <w:t xml:space="preserve">the damages to which a plaintiff is entitled for income loss and loss of earning capacity shall be reduced by all payments in respect of the incident that the plaintiff has received…for income loss or loss of earning capacity under the laws of any jurisdiction or under an income-continuation benefit plan”. </w:t>
            </w:r>
            <w:r w:rsidRPr="00E94383">
              <w:rPr>
                <w:sz w:val="20"/>
              </w:rPr>
              <w:t xml:space="preserve">The parties disagree over whether the disability payments Ms. Tibbetts received under the CPP must be deducted from the damages awarded. The Supreme Court of Nova Scotia, Trial Division held that the CPP payments were deductible from the damages awarded for loss of income and lost earning capacity. The Nova Scotia Court of Appeal dismissed the appeal, holding that through s. 113A of the </w:t>
            </w:r>
            <w:r w:rsidRPr="00E94383">
              <w:rPr>
                <w:i/>
                <w:sz w:val="20"/>
              </w:rPr>
              <w:t>Act</w:t>
            </w:r>
            <w:r w:rsidRPr="00E94383">
              <w:rPr>
                <w:sz w:val="20"/>
              </w:rPr>
              <w:t>,</w:t>
            </w:r>
            <w:r w:rsidRPr="00E94383">
              <w:rPr>
                <w:i/>
                <w:sz w:val="20"/>
              </w:rPr>
              <w:t xml:space="preserve"> </w:t>
            </w:r>
            <w:r w:rsidRPr="00E94383">
              <w:rPr>
                <w:sz w:val="20"/>
              </w:rPr>
              <w:t xml:space="preserve">the Legislature intended to reduce automobile insurance premiums, thereby changing the collateral benefits rule and the treatment of CPP disability benefits. </w:t>
            </w:r>
          </w:p>
        </w:tc>
      </w:tr>
      <w:tr w:rsidR="00E94383" w:rsidRPr="00E94383" w:rsidTr="00E94383">
        <w:tc>
          <w:tcPr>
            <w:tcW w:w="5000" w:type="pct"/>
            <w:gridSpan w:val="4"/>
          </w:tcPr>
          <w:p w:rsidR="00E94383" w:rsidRPr="00E94383" w:rsidRDefault="00E94383" w:rsidP="00E94383">
            <w:pPr>
              <w:jc w:val="both"/>
              <w:rPr>
                <w:sz w:val="20"/>
              </w:rPr>
            </w:pPr>
          </w:p>
        </w:tc>
      </w:tr>
      <w:tr w:rsidR="00E94383" w:rsidRPr="00E94383" w:rsidTr="00E94383">
        <w:tc>
          <w:tcPr>
            <w:tcW w:w="2427" w:type="pct"/>
            <w:gridSpan w:val="2"/>
          </w:tcPr>
          <w:p w:rsidR="00E94383" w:rsidRPr="00E94383" w:rsidRDefault="00E94383" w:rsidP="00E94383">
            <w:pPr>
              <w:jc w:val="both"/>
              <w:rPr>
                <w:sz w:val="20"/>
              </w:rPr>
            </w:pPr>
            <w:r w:rsidRPr="00E94383">
              <w:rPr>
                <w:sz w:val="20"/>
              </w:rPr>
              <w:t>September 11, 2014</w:t>
            </w:r>
          </w:p>
          <w:p w:rsidR="00E94383" w:rsidRPr="00E94383" w:rsidRDefault="00E94383" w:rsidP="00E94383">
            <w:pPr>
              <w:jc w:val="both"/>
              <w:rPr>
                <w:sz w:val="20"/>
              </w:rPr>
            </w:pPr>
            <w:r w:rsidRPr="00E94383">
              <w:rPr>
                <w:sz w:val="20"/>
              </w:rPr>
              <w:t>Supreme Court of Nova Scotia, Trial Division</w:t>
            </w:r>
          </w:p>
          <w:p w:rsidR="00E94383" w:rsidRPr="00E94383" w:rsidRDefault="00E94383" w:rsidP="00E94383">
            <w:pPr>
              <w:jc w:val="both"/>
              <w:rPr>
                <w:sz w:val="20"/>
              </w:rPr>
            </w:pPr>
            <w:r w:rsidRPr="00E94383">
              <w:rPr>
                <w:sz w:val="20"/>
              </w:rPr>
              <w:t>(Moir J.)</w:t>
            </w:r>
          </w:p>
          <w:p w:rsidR="00E94383" w:rsidRPr="00E94383" w:rsidRDefault="00711002" w:rsidP="00E94383">
            <w:pPr>
              <w:jc w:val="both"/>
              <w:rPr>
                <w:sz w:val="20"/>
              </w:rPr>
            </w:pPr>
            <w:hyperlink r:id="rId15" w:history="1">
              <w:r w:rsidR="00E94383" w:rsidRPr="00E94383">
                <w:rPr>
                  <w:rStyle w:val="Hyperlink"/>
                  <w:sz w:val="20"/>
                </w:rPr>
                <w:t>2014 NSSC 360</w:t>
              </w:r>
            </w:hyperlink>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Motion for summary judgment on third party proceeding dismissed</w:t>
            </w:r>
          </w:p>
          <w:p w:rsidR="00E94383" w:rsidRPr="00E94383" w:rsidRDefault="00E94383" w:rsidP="00E94383">
            <w:pPr>
              <w:jc w:val="both"/>
              <w:rPr>
                <w:sz w:val="20"/>
              </w:rPr>
            </w:pPr>
          </w:p>
        </w:tc>
      </w:tr>
      <w:tr w:rsidR="00E94383" w:rsidRPr="00E94383" w:rsidTr="00E94383">
        <w:tc>
          <w:tcPr>
            <w:tcW w:w="2427" w:type="pct"/>
            <w:gridSpan w:val="2"/>
          </w:tcPr>
          <w:p w:rsidR="00E94383" w:rsidRPr="00E94383" w:rsidRDefault="00E94383" w:rsidP="00E94383">
            <w:pPr>
              <w:jc w:val="both"/>
              <w:rPr>
                <w:sz w:val="20"/>
              </w:rPr>
            </w:pPr>
            <w:r w:rsidRPr="00E94383">
              <w:rPr>
                <w:sz w:val="20"/>
              </w:rPr>
              <w:t>October 7, 2015</w:t>
            </w:r>
          </w:p>
          <w:p w:rsidR="00E94383" w:rsidRPr="00E94383" w:rsidRDefault="00E94383" w:rsidP="00E94383">
            <w:pPr>
              <w:jc w:val="both"/>
              <w:rPr>
                <w:sz w:val="20"/>
              </w:rPr>
            </w:pPr>
            <w:r w:rsidRPr="00E94383">
              <w:rPr>
                <w:sz w:val="20"/>
              </w:rPr>
              <w:t>Supreme Court of Nova Scotia, Trial Division</w:t>
            </w:r>
          </w:p>
          <w:p w:rsidR="00E94383" w:rsidRPr="00E94383" w:rsidRDefault="00E94383" w:rsidP="00E94383">
            <w:pPr>
              <w:jc w:val="both"/>
              <w:rPr>
                <w:sz w:val="20"/>
              </w:rPr>
            </w:pPr>
            <w:r w:rsidRPr="00E94383">
              <w:rPr>
                <w:sz w:val="20"/>
              </w:rPr>
              <w:t>(</w:t>
            </w:r>
            <w:proofErr w:type="spellStart"/>
            <w:r w:rsidRPr="00E94383">
              <w:rPr>
                <w:sz w:val="20"/>
              </w:rPr>
              <w:t>MacAdam</w:t>
            </w:r>
            <w:proofErr w:type="spellEnd"/>
            <w:r w:rsidRPr="00E94383">
              <w:rPr>
                <w:sz w:val="20"/>
              </w:rPr>
              <w:t xml:space="preserve"> J.)</w:t>
            </w:r>
          </w:p>
          <w:p w:rsidR="00E94383" w:rsidRPr="00E94383" w:rsidRDefault="00711002" w:rsidP="00E94383">
            <w:pPr>
              <w:jc w:val="both"/>
              <w:rPr>
                <w:sz w:val="20"/>
              </w:rPr>
            </w:pPr>
            <w:hyperlink r:id="rId16" w:history="1">
              <w:r w:rsidR="00E94383" w:rsidRPr="00E94383">
                <w:rPr>
                  <w:rStyle w:val="Hyperlink"/>
                  <w:sz w:val="20"/>
                </w:rPr>
                <w:t>2015 NSSC 280</w:t>
              </w:r>
            </w:hyperlink>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Liability apportioned as 2/3 by Ms. Tibbetts, 1/3 by Mr. Murphy; damages for loss of income and loss of earning capacity reduced by amount of CPP disability benefits</w:t>
            </w:r>
          </w:p>
          <w:p w:rsidR="00E94383" w:rsidRPr="00E94383" w:rsidRDefault="00E94383" w:rsidP="00E94383">
            <w:pPr>
              <w:jc w:val="both"/>
              <w:rPr>
                <w:sz w:val="20"/>
              </w:rPr>
            </w:pPr>
          </w:p>
        </w:tc>
      </w:tr>
      <w:tr w:rsidR="00E94383" w:rsidRPr="00E94383" w:rsidTr="00E94383">
        <w:tc>
          <w:tcPr>
            <w:tcW w:w="2427" w:type="pct"/>
            <w:gridSpan w:val="2"/>
          </w:tcPr>
          <w:p w:rsidR="00E94383" w:rsidRPr="00E94383" w:rsidRDefault="00E94383" w:rsidP="00E94383">
            <w:pPr>
              <w:jc w:val="both"/>
              <w:rPr>
                <w:sz w:val="20"/>
              </w:rPr>
            </w:pPr>
            <w:r w:rsidRPr="00E94383">
              <w:rPr>
                <w:sz w:val="20"/>
              </w:rPr>
              <w:t>May 2, 2017</w:t>
            </w:r>
          </w:p>
          <w:p w:rsidR="00E94383" w:rsidRPr="00E94383" w:rsidRDefault="00E94383" w:rsidP="00E94383">
            <w:pPr>
              <w:jc w:val="both"/>
              <w:rPr>
                <w:sz w:val="20"/>
              </w:rPr>
            </w:pPr>
            <w:r w:rsidRPr="00E94383">
              <w:rPr>
                <w:sz w:val="20"/>
              </w:rPr>
              <w:t>Nova Scotia Court of Appeal</w:t>
            </w:r>
          </w:p>
          <w:p w:rsidR="00E94383" w:rsidRPr="00E94383" w:rsidRDefault="00E94383" w:rsidP="00E94383">
            <w:pPr>
              <w:jc w:val="both"/>
              <w:rPr>
                <w:sz w:val="20"/>
              </w:rPr>
            </w:pPr>
            <w:r w:rsidRPr="00E94383">
              <w:rPr>
                <w:sz w:val="20"/>
              </w:rPr>
              <w:t>(</w:t>
            </w:r>
            <w:proofErr w:type="spellStart"/>
            <w:r w:rsidRPr="00E94383">
              <w:rPr>
                <w:sz w:val="20"/>
              </w:rPr>
              <w:t>Fichaud</w:t>
            </w:r>
            <w:proofErr w:type="spellEnd"/>
            <w:r w:rsidRPr="00E94383">
              <w:rPr>
                <w:sz w:val="20"/>
              </w:rPr>
              <w:t>, Oland and Bryson JJ.A.)</w:t>
            </w:r>
          </w:p>
          <w:p w:rsidR="00E94383" w:rsidRPr="00E94383" w:rsidRDefault="00711002" w:rsidP="00E94383">
            <w:pPr>
              <w:jc w:val="both"/>
              <w:rPr>
                <w:sz w:val="20"/>
              </w:rPr>
            </w:pPr>
            <w:hyperlink r:id="rId17" w:history="1">
              <w:r w:rsidR="00E94383" w:rsidRPr="00E94383">
                <w:rPr>
                  <w:rStyle w:val="Hyperlink"/>
                  <w:sz w:val="20"/>
                </w:rPr>
                <w:t>2017 NSCA 35</w:t>
              </w:r>
            </w:hyperlink>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Appeal dismissed</w:t>
            </w:r>
          </w:p>
          <w:p w:rsidR="00E94383" w:rsidRPr="00E94383" w:rsidRDefault="00E94383" w:rsidP="00E94383">
            <w:pPr>
              <w:jc w:val="both"/>
              <w:rPr>
                <w:sz w:val="20"/>
              </w:rPr>
            </w:pPr>
          </w:p>
        </w:tc>
      </w:tr>
      <w:tr w:rsidR="00E94383" w:rsidRPr="00E94383" w:rsidTr="00E94383">
        <w:tc>
          <w:tcPr>
            <w:tcW w:w="2427" w:type="pct"/>
            <w:gridSpan w:val="2"/>
          </w:tcPr>
          <w:p w:rsidR="00E94383" w:rsidRPr="00E94383" w:rsidRDefault="00E94383" w:rsidP="00E94383">
            <w:pPr>
              <w:jc w:val="both"/>
              <w:rPr>
                <w:sz w:val="20"/>
              </w:rPr>
            </w:pPr>
            <w:r w:rsidRPr="00E94383">
              <w:rPr>
                <w:sz w:val="20"/>
              </w:rPr>
              <w:t>July 31, 2017</w:t>
            </w:r>
          </w:p>
          <w:p w:rsidR="00E94383" w:rsidRPr="00E94383" w:rsidRDefault="00E94383" w:rsidP="00E94383">
            <w:pPr>
              <w:jc w:val="both"/>
              <w:rPr>
                <w:sz w:val="20"/>
              </w:rPr>
            </w:pPr>
            <w:r w:rsidRPr="00E94383">
              <w:rPr>
                <w:sz w:val="20"/>
              </w:rPr>
              <w:t>Supreme Court of Canada</w:t>
            </w: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Application for leave to appeal filed</w:t>
            </w:r>
          </w:p>
          <w:p w:rsidR="00E94383" w:rsidRPr="00E94383" w:rsidRDefault="00E94383" w:rsidP="00E94383">
            <w:pPr>
              <w:jc w:val="both"/>
              <w:rPr>
                <w:sz w:val="20"/>
              </w:rPr>
            </w:pPr>
          </w:p>
        </w:tc>
      </w:tr>
    </w:tbl>
    <w:p w:rsidR="00E94383" w:rsidRDefault="00E94383" w:rsidP="00E94383">
      <w:pPr>
        <w:jc w:val="both"/>
        <w:rPr>
          <w:sz w:val="20"/>
        </w:rPr>
      </w:pPr>
    </w:p>
    <w:p w:rsidR="00E94383" w:rsidRPr="00E94383" w:rsidRDefault="00E94383" w:rsidP="00E943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4383" w:rsidRPr="00711002" w:rsidTr="00E94383">
        <w:tc>
          <w:tcPr>
            <w:tcW w:w="543" w:type="pct"/>
          </w:tcPr>
          <w:p w:rsidR="00E94383" w:rsidRPr="00E94383" w:rsidRDefault="00E94383" w:rsidP="00E94383">
            <w:pPr>
              <w:jc w:val="both"/>
              <w:rPr>
                <w:sz w:val="20"/>
                <w:lang w:val="fr-CA"/>
              </w:rPr>
            </w:pPr>
            <w:r w:rsidRPr="00E94383">
              <w:rPr>
                <w:rStyle w:val="SCCFileNumberChar"/>
                <w:sz w:val="20"/>
                <w:szCs w:val="20"/>
                <w:lang w:val="fr-CA"/>
              </w:rPr>
              <w:t>37670</w:t>
            </w:r>
          </w:p>
        </w:tc>
        <w:tc>
          <w:tcPr>
            <w:tcW w:w="4457" w:type="pct"/>
            <w:gridSpan w:val="3"/>
          </w:tcPr>
          <w:p w:rsidR="00E94383" w:rsidRPr="00E94383" w:rsidRDefault="00E94383" w:rsidP="00E94383">
            <w:pPr>
              <w:pStyle w:val="SCCLsocParty"/>
              <w:jc w:val="both"/>
              <w:rPr>
                <w:b/>
                <w:sz w:val="20"/>
                <w:szCs w:val="20"/>
                <w:lang w:val="en-US"/>
              </w:rPr>
            </w:pPr>
            <w:r w:rsidRPr="00E94383">
              <w:rPr>
                <w:b/>
                <w:sz w:val="20"/>
                <w:szCs w:val="20"/>
                <w:lang w:val="en-US"/>
              </w:rPr>
              <w:t>Shirley Tibbetts c. Reginald Greg Murphy, Joseph George Joyce</w:t>
            </w:r>
          </w:p>
          <w:p w:rsidR="00E94383" w:rsidRPr="00E94383" w:rsidRDefault="00E94383" w:rsidP="00E94383">
            <w:pPr>
              <w:jc w:val="both"/>
              <w:rPr>
                <w:sz w:val="20"/>
                <w:lang w:val="fr-CA"/>
              </w:rPr>
            </w:pPr>
            <w:r w:rsidRPr="00E94383">
              <w:rPr>
                <w:sz w:val="20"/>
                <w:lang w:val="fr-CA"/>
              </w:rPr>
              <w:t>(N.-É.) (Civile) (Sur autorisation)</w:t>
            </w:r>
          </w:p>
        </w:tc>
      </w:tr>
      <w:tr w:rsidR="00E94383" w:rsidRPr="00711002" w:rsidTr="00E94383">
        <w:tc>
          <w:tcPr>
            <w:tcW w:w="5000" w:type="pct"/>
            <w:gridSpan w:val="4"/>
          </w:tcPr>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Législation – Interprétation – Les victimes d’accident qui ont déjà droit à des prestations du Régime de pensions du Canada (« RPC ») perdent-elles de ce fait le droit d’obtenir une juste compensation? – Les prestations d’invalidité payables sous le RPC sont-elles déductibles d’un octroi de dommages-intérêts au titre de paiements [</w:t>
            </w:r>
            <w:r w:rsidRPr="00E94383">
              <w:rPr>
                <w:smallCaps/>
                <w:sz w:val="20"/>
                <w:lang w:val="fr-CA"/>
              </w:rPr>
              <w:t>traduction</w:t>
            </w:r>
            <w:r w:rsidRPr="00E94383">
              <w:rPr>
                <w:sz w:val="20"/>
                <w:lang w:val="fr-CA"/>
              </w:rPr>
              <w:t>] « relatifs à l’incident » pour perte de revenu ou perte de capacité de gain en application de l’art. 113A de l’</w:t>
            </w:r>
            <w:proofErr w:type="spellStart"/>
            <w:r w:rsidRPr="00E94383">
              <w:rPr>
                <w:i/>
                <w:sz w:val="20"/>
                <w:lang w:val="fr-CA"/>
              </w:rPr>
              <w:t>Insurance</w:t>
            </w:r>
            <w:proofErr w:type="spellEnd"/>
            <w:r w:rsidRPr="00E94383">
              <w:rPr>
                <w:i/>
                <w:sz w:val="20"/>
                <w:lang w:val="fr-CA"/>
              </w:rPr>
              <w:t xml:space="preserve"> </w:t>
            </w:r>
            <w:proofErr w:type="spellStart"/>
            <w:r w:rsidRPr="00E94383">
              <w:rPr>
                <w:i/>
                <w:sz w:val="20"/>
                <w:lang w:val="fr-CA"/>
              </w:rPr>
              <w:t>Act</w:t>
            </w:r>
            <w:proofErr w:type="spellEnd"/>
            <w:r w:rsidRPr="00E94383">
              <w:rPr>
                <w:sz w:val="20"/>
                <w:lang w:val="fr-CA"/>
              </w:rPr>
              <w:t>, R.S.N.S. 1989, ch. 231 (la « </w:t>
            </w:r>
            <w:r w:rsidRPr="00E94383">
              <w:rPr>
                <w:i/>
                <w:sz w:val="20"/>
                <w:lang w:val="fr-CA"/>
              </w:rPr>
              <w:t>Loi</w:t>
            </w:r>
            <w:r w:rsidRPr="00E94383">
              <w:rPr>
                <w:sz w:val="20"/>
                <w:lang w:val="fr-CA"/>
              </w:rPr>
              <w:t xml:space="preserve"> »)? – Le libellé de l’art. 113A de la </w:t>
            </w:r>
            <w:r w:rsidRPr="00E94383">
              <w:rPr>
                <w:i/>
                <w:sz w:val="20"/>
                <w:lang w:val="fr-CA"/>
              </w:rPr>
              <w:t>Loi</w:t>
            </w:r>
            <w:r w:rsidRPr="00E94383">
              <w:rPr>
                <w:sz w:val="20"/>
                <w:lang w:val="fr-CA"/>
              </w:rPr>
              <w:t xml:space="preserve"> est-t-il suffisamment clair et non ambigu pour faire perdre le droit de la demanderesse? – La Cour d’appel a-t-elle mal interprété l’art. 113A de la </w:t>
            </w:r>
            <w:r w:rsidRPr="00E94383">
              <w:rPr>
                <w:i/>
                <w:sz w:val="20"/>
                <w:lang w:val="fr-CA"/>
              </w:rPr>
              <w:t>Loi</w:t>
            </w:r>
            <w:r w:rsidRPr="00E94383">
              <w:rPr>
                <w:sz w:val="20"/>
                <w:lang w:val="fr-CA"/>
              </w:rPr>
              <w:t xml:space="preserve"> comme une modification claire et non ambiguë de la règle de </w:t>
            </w:r>
            <w:proofErr w:type="spellStart"/>
            <w:r w:rsidRPr="00E94383">
              <w:rPr>
                <w:sz w:val="20"/>
                <w:lang w:val="fr-CA"/>
              </w:rPr>
              <w:t>common</w:t>
            </w:r>
            <w:proofErr w:type="spellEnd"/>
            <w:r w:rsidRPr="00E94383">
              <w:rPr>
                <w:sz w:val="20"/>
                <w:lang w:val="fr-CA"/>
              </w:rPr>
              <w:t xml:space="preserve"> </w:t>
            </w:r>
            <w:proofErr w:type="spellStart"/>
            <w:r w:rsidRPr="00E94383">
              <w:rPr>
                <w:sz w:val="20"/>
                <w:lang w:val="fr-CA"/>
              </w:rPr>
              <w:t>law</w:t>
            </w:r>
            <w:proofErr w:type="spellEnd"/>
            <w:r w:rsidRPr="00E94383">
              <w:rPr>
                <w:sz w:val="20"/>
                <w:lang w:val="fr-CA"/>
              </w:rPr>
              <w:t xml:space="preserve"> sur les prestations parallèles? – La décision de principe de la Cour d’appel constitue-t-elle une intervention indue dans un domaine qui relève du législateur?</w:t>
            </w:r>
          </w:p>
          <w:p w:rsidR="00E94383" w:rsidRPr="00E94383" w:rsidRDefault="00E94383" w:rsidP="00E94383">
            <w:pPr>
              <w:jc w:val="both"/>
              <w:rPr>
                <w:sz w:val="20"/>
                <w:lang w:val="fr-CA"/>
              </w:rPr>
            </w:pPr>
          </w:p>
        </w:tc>
      </w:tr>
      <w:tr w:rsidR="00E94383" w:rsidRPr="00711002" w:rsidTr="00E94383">
        <w:tc>
          <w:tcPr>
            <w:tcW w:w="5000" w:type="pct"/>
            <w:gridSpan w:val="4"/>
          </w:tcPr>
          <w:p w:rsidR="00E94383" w:rsidRPr="00E94383" w:rsidRDefault="00E94383" w:rsidP="00E94383">
            <w:pPr>
              <w:jc w:val="both"/>
              <w:rPr>
                <w:sz w:val="20"/>
                <w:lang w:val="fr-CA"/>
              </w:rPr>
            </w:pPr>
            <w:r w:rsidRPr="00E94383">
              <w:rPr>
                <w:sz w:val="20"/>
                <w:lang w:val="fr-CA"/>
              </w:rPr>
              <w:t>Alors que Mme </w:t>
            </w:r>
            <w:proofErr w:type="spellStart"/>
            <w:r w:rsidRPr="00E94383">
              <w:rPr>
                <w:sz w:val="20"/>
                <w:lang w:val="fr-CA"/>
              </w:rPr>
              <w:t>Tibbetts</w:t>
            </w:r>
            <w:proofErr w:type="spellEnd"/>
            <w:r w:rsidRPr="00E94383">
              <w:rPr>
                <w:sz w:val="20"/>
                <w:lang w:val="fr-CA"/>
              </w:rPr>
              <w:t xml:space="preserve"> conduisait sa motocyclette derrière celle de M. Joyce sur une route dans le comté d’</w:t>
            </w:r>
            <w:proofErr w:type="spellStart"/>
            <w:r w:rsidRPr="00E94383">
              <w:rPr>
                <w:sz w:val="20"/>
                <w:lang w:val="fr-CA"/>
              </w:rPr>
              <w:t>Antigonish</w:t>
            </w:r>
            <w:proofErr w:type="spellEnd"/>
            <w:r w:rsidRPr="00E94383">
              <w:rPr>
                <w:sz w:val="20"/>
                <w:lang w:val="fr-CA"/>
              </w:rPr>
              <w:t>, elle a été heurtée par un camion venant en sens inverse conduit par M. Murphy. Madame </w:t>
            </w:r>
            <w:proofErr w:type="spellStart"/>
            <w:r w:rsidRPr="00E94383">
              <w:rPr>
                <w:sz w:val="20"/>
                <w:lang w:val="fr-CA"/>
              </w:rPr>
              <w:t>Tibbetts</w:t>
            </w:r>
            <w:proofErr w:type="spellEnd"/>
            <w:r w:rsidRPr="00E94383">
              <w:rPr>
                <w:sz w:val="20"/>
                <w:lang w:val="fr-CA"/>
              </w:rPr>
              <w:t xml:space="preserve"> a intenté une action en négligence contre M. Murphy, qui a mis en cause M. Joyce. Le juge du procès a tenu Mme </w:t>
            </w:r>
            <w:proofErr w:type="spellStart"/>
            <w:r w:rsidRPr="00E94383">
              <w:rPr>
                <w:sz w:val="20"/>
                <w:lang w:val="fr-CA"/>
              </w:rPr>
              <w:t>Tibbetts</w:t>
            </w:r>
            <w:proofErr w:type="spellEnd"/>
            <w:r w:rsidRPr="00E94383">
              <w:rPr>
                <w:sz w:val="20"/>
                <w:lang w:val="fr-CA"/>
              </w:rPr>
              <w:t xml:space="preserve"> responsable de l’accident pour deux tiers et M. Murphy responsable pour un tiers. La seule question en litige dans la demande d’autorisation est l’interprétation qu’il convient de donner à l’art. 113A de la </w:t>
            </w:r>
            <w:r w:rsidRPr="00E94383">
              <w:rPr>
                <w:i/>
                <w:sz w:val="20"/>
                <w:lang w:val="fr-CA"/>
              </w:rPr>
              <w:t>Loi</w:t>
            </w:r>
            <w:r w:rsidRPr="00E94383">
              <w:rPr>
                <w:sz w:val="20"/>
                <w:lang w:val="fr-CA"/>
              </w:rPr>
              <w:t>, qui dispose : [</w:t>
            </w:r>
            <w:r w:rsidRPr="00E94383">
              <w:rPr>
                <w:smallCaps/>
                <w:sz w:val="20"/>
                <w:lang w:val="fr-CA"/>
              </w:rPr>
              <w:t>traduction</w:t>
            </w:r>
            <w:r w:rsidRPr="00E94383">
              <w:rPr>
                <w:sz w:val="20"/>
                <w:lang w:val="fr-CA"/>
              </w:rPr>
              <w:t>] « </w:t>
            </w:r>
            <w:r w:rsidRPr="00E94383">
              <w:rPr>
                <w:color w:val="000000"/>
                <w:sz w:val="20"/>
                <w:lang w:val="fr-CA"/>
              </w:rPr>
              <w:t xml:space="preserve">les dommages-intérêts auxquels le demandeur a droit pour perte de revenu et perte de capacité de gain font l’objet d’une réduction au titre de tous les paiements relatifs à l’incident que le demandeur a </w:t>
            </w:r>
            <w:r w:rsidRPr="00E94383">
              <w:rPr>
                <w:color w:val="000000"/>
                <w:sz w:val="20"/>
                <w:lang w:val="fr-CA"/>
              </w:rPr>
              <w:lastRenderedPageBreak/>
              <w:t xml:space="preserve">reçus [...] pour perte de revenu ou perte de capacité de gain aux termes des lois de n’importe quel ressort ou d’un régime de prestations pour le maintien du revenu ». </w:t>
            </w:r>
            <w:r w:rsidRPr="00E94383">
              <w:rPr>
                <w:sz w:val="20"/>
                <w:lang w:val="fr-CA"/>
              </w:rPr>
              <w:t>Les parties sont en désaccord sur la question de savoir si les prestations d’invalidité que Mme </w:t>
            </w:r>
            <w:proofErr w:type="spellStart"/>
            <w:r w:rsidRPr="00E94383">
              <w:rPr>
                <w:sz w:val="20"/>
                <w:lang w:val="fr-CA"/>
              </w:rPr>
              <w:t>Tibbetts</w:t>
            </w:r>
            <w:proofErr w:type="spellEnd"/>
            <w:r w:rsidRPr="00E94383">
              <w:rPr>
                <w:sz w:val="20"/>
                <w:lang w:val="fr-CA"/>
              </w:rPr>
              <w:t xml:space="preserve"> a reçues sous le RPC doivent être déduites des dommages-intérêts octroyés. La Section de première instance de la Cour suprême de la Nouvelle-Écosse a statué que les prestations du RPC étaient déductibles des dommages-intérêts octroyés au titre de la perte de revenu et de la perte de capacité de gain. La Cour d’appel de la Nouvelle-Écosse a rejeté l’appel, statuant que par l’art. 113A de la </w:t>
            </w:r>
            <w:r w:rsidRPr="00E94383">
              <w:rPr>
                <w:i/>
                <w:sz w:val="20"/>
                <w:lang w:val="fr-CA"/>
              </w:rPr>
              <w:t>Loi</w:t>
            </w:r>
            <w:r w:rsidRPr="00E94383">
              <w:rPr>
                <w:sz w:val="20"/>
                <w:lang w:val="fr-CA"/>
              </w:rPr>
              <w:t>,</w:t>
            </w:r>
            <w:r w:rsidRPr="00E94383">
              <w:rPr>
                <w:i/>
                <w:sz w:val="20"/>
                <w:lang w:val="fr-CA"/>
              </w:rPr>
              <w:t xml:space="preserve"> </w:t>
            </w:r>
            <w:r w:rsidRPr="00E94383">
              <w:rPr>
                <w:sz w:val="20"/>
                <w:lang w:val="fr-CA"/>
              </w:rPr>
              <w:t xml:space="preserve">le législateur entendait réduire les primes d’assurance automobile, modifiant ainsi la règle des prestations parallèles et le traitement des prestations d’invalidité du RPC. </w:t>
            </w:r>
          </w:p>
        </w:tc>
      </w:tr>
      <w:tr w:rsidR="00E94383" w:rsidRPr="00711002" w:rsidTr="00E94383">
        <w:tc>
          <w:tcPr>
            <w:tcW w:w="5000" w:type="pct"/>
            <w:gridSpan w:val="4"/>
          </w:tcPr>
          <w:p w:rsidR="00E94383" w:rsidRPr="00E94383" w:rsidRDefault="00E94383" w:rsidP="00E94383">
            <w:pPr>
              <w:jc w:val="both"/>
              <w:rPr>
                <w:sz w:val="20"/>
                <w:lang w:val="fr-CA"/>
              </w:rPr>
            </w:pP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11 septembre 2014</w:t>
            </w:r>
          </w:p>
          <w:p w:rsidR="00E94383" w:rsidRPr="00E94383" w:rsidRDefault="00E94383" w:rsidP="00E94383">
            <w:pPr>
              <w:jc w:val="both"/>
              <w:rPr>
                <w:sz w:val="20"/>
                <w:lang w:val="fr-CA"/>
              </w:rPr>
            </w:pPr>
            <w:r w:rsidRPr="00E94383">
              <w:rPr>
                <w:sz w:val="20"/>
                <w:lang w:val="fr-CA"/>
              </w:rPr>
              <w:t>Cour suprême de la Nouvelle-Écosse, Section de première instance</w:t>
            </w:r>
          </w:p>
          <w:p w:rsidR="00E94383" w:rsidRPr="00E94383" w:rsidRDefault="00E94383" w:rsidP="00E94383">
            <w:pPr>
              <w:jc w:val="both"/>
              <w:rPr>
                <w:sz w:val="20"/>
                <w:lang w:val="fr-CA"/>
              </w:rPr>
            </w:pPr>
            <w:r w:rsidRPr="00E94383">
              <w:rPr>
                <w:sz w:val="20"/>
                <w:lang w:val="fr-CA"/>
              </w:rPr>
              <w:t xml:space="preserve">(Juge </w:t>
            </w:r>
            <w:proofErr w:type="spellStart"/>
            <w:r w:rsidRPr="00E94383">
              <w:rPr>
                <w:sz w:val="20"/>
                <w:lang w:val="fr-CA"/>
              </w:rPr>
              <w:t>Moir</w:t>
            </w:r>
            <w:proofErr w:type="spellEnd"/>
            <w:r w:rsidRPr="00E94383">
              <w:rPr>
                <w:sz w:val="20"/>
                <w:lang w:val="fr-CA"/>
              </w:rPr>
              <w:t>)</w:t>
            </w:r>
          </w:p>
          <w:p w:rsidR="00E94383" w:rsidRPr="00E94383" w:rsidRDefault="00711002" w:rsidP="00E94383">
            <w:pPr>
              <w:jc w:val="both"/>
              <w:rPr>
                <w:sz w:val="20"/>
                <w:lang w:val="fr-CA"/>
              </w:rPr>
            </w:pPr>
            <w:hyperlink r:id="rId18" w:history="1">
              <w:r w:rsidR="00E94383" w:rsidRPr="00E94383">
                <w:rPr>
                  <w:rStyle w:val="Hyperlink"/>
                  <w:sz w:val="20"/>
                  <w:lang w:val="fr-CA"/>
                </w:rPr>
                <w:t>2014 NSSC 360</w:t>
              </w:r>
            </w:hyperlink>
          </w:p>
          <w:p w:rsidR="00E94383" w:rsidRPr="00E94383" w:rsidRDefault="00E94383" w:rsidP="00E94383">
            <w:pPr>
              <w:jc w:val="both"/>
              <w:rPr>
                <w:sz w:val="20"/>
                <w:lang w:val="fr-CA"/>
              </w:rPr>
            </w:pP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Rejet de la requête en jugement sommaire sur la mise en cause</w:t>
            </w:r>
          </w:p>
          <w:p w:rsidR="00E94383" w:rsidRPr="00E94383" w:rsidRDefault="00E94383" w:rsidP="00E94383">
            <w:pPr>
              <w:jc w:val="both"/>
              <w:rPr>
                <w:sz w:val="20"/>
                <w:lang w:val="fr-CA"/>
              </w:rPr>
            </w:pP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7 octobre 2015</w:t>
            </w:r>
          </w:p>
          <w:p w:rsidR="00E94383" w:rsidRPr="00E94383" w:rsidRDefault="00E94383" w:rsidP="00E94383">
            <w:pPr>
              <w:jc w:val="both"/>
              <w:rPr>
                <w:sz w:val="20"/>
                <w:lang w:val="fr-CA"/>
              </w:rPr>
            </w:pPr>
            <w:r w:rsidRPr="00E94383">
              <w:rPr>
                <w:sz w:val="20"/>
                <w:lang w:val="fr-CA"/>
              </w:rPr>
              <w:t>Cour suprême de la Nouvelle-Écosse, Section de première instance</w:t>
            </w:r>
          </w:p>
          <w:p w:rsidR="00E94383" w:rsidRPr="00E94383" w:rsidRDefault="00E94383" w:rsidP="00E94383">
            <w:pPr>
              <w:jc w:val="both"/>
              <w:rPr>
                <w:sz w:val="20"/>
                <w:lang w:val="fr-CA"/>
              </w:rPr>
            </w:pPr>
            <w:r w:rsidRPr="00E94383">
              <w:rPr>
                <w:sz w:val="20"/>
                <w:lang w:val="fr-CA"/>
              </w:rPr>
              <w:t xml:space="preserve">(Juge </w:t>
            </w:r>
            <w:proofErr w:type="spellStart"/>
            <w:r w:rsidRPr="00E94383">
              <w:rPr>
                <w:sz w:val="20"/>
                <w:lang w:val="fr-CA"/>
              </w:rPr>
              <w:t>MacAdam</w:t>
            </w:r>
            <w:proofErr w:type="spellEnd"/>
            <w:r w:rsidRPr="00E94383">
              <w:rPr>
                <w:sz w:val="20"/>
                <w:lang w:val="fr-CA"/>
              </w:rPr>
              <w:t>)</w:t>
            </w:r>
          </w:p>
          <w:p w:rsidR="00E94383" w:rsidRPr="00E94383" w:rsidRDefault="00711002" w:rsidP="00E94383">
            <w:pPr>
              <w:jc w:val="both"/>
              <w:rPr>
                <w:sz w:val="20"/>
                <w:lang w:val="fr-CA"/>
              </w:rPr>
            </w:pPr>
            <w:hyperlink r:id="rId19" w:history="1">
              <w:r w:rsidR="00E94383" w:rsidRPr="00E94383">
                <w:rPr>
                  <w:rStyle w:val="Hyperlink"/>
                  <w:sz w:val="20"/>
                  <w:lang w:val="fr-CA"/>
                </w:rPr>
                <w:t>2015 NSSC 280</w:t>
              </w:r>
            </w:hyperlink>
          </w:p>
          <w:p w:rsidR="00E94383" w:rsidRPr="00E94383" w:rsidRDefault="00E94383" w:rsidP="00E94383">
            <w:pPr>
              <w:jc w:val="both"/>
              <w:rPr>
                <w:sz w:val="20"/>
                <w:lang w:val="fr-CA"/>
              </w:rPr>
            </w:pP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Jugement statuant que Mme </w:t>
            </w:r>
            <w:proofErr w:type="spellStart"/>
            <w:r w:rsidRPr="00E94383">
              <w:rPr>
                <w:sz w:val="20"/>
                <w:lang w:val="fr-CA"/>
              </w:rPr>
              <w:t>Tibbetts</w:t>
            </w:r>
            <w:proofErr w:type="spellEnd"/>
            <w:r w:rsidRPr="00E94383">
              <w:rPr>
                <w:sz w:val="20"/>
                <w:lang w:val="fr-CA"/>
              </w:rPr>
              <w:t xml:space="preserve"> était responsable pour deux tiers et que M. Murphy était responsable pour un tiers et réduisant les dommages-intérêts octroyés au titre de la perte de revenu et de la perte de capacité de gain du montant des prestations du RPC</w:t>
            </w:r>
          </w:p>
          <w:p w:rsidR="00E94383" w:rsidRPr="00E94383" w:rsidRDefault="00E94383" w:rsidP="00E94383">
            <w:pPr>
              <w:jc w:val="both"/>
              <w:rPr>
                <w:sz w:val="20"/>
                <w:lang w:val="fr-CA"/>
              </w:rPr>
            </w:pPr>
          </w:p>
        </w:tc>
      </w:tr>
      <w:tr w:rsidR="00E94383" w:rsidRPr="00E94383" w:rsidTr="00E94383">
        <w:tc>
          <w:tcPr>
            <w:tcW w:w="2427" w:type="pct"/>
            <w:gridSpan w:val="2"/>
          </w:tcPr>
          <w:p w:rsidR="00E94383" w:rsidRPr="00E94383" w:rsidRDefault="00E94383" w:rsidP="00E94383">
            <w:pPr>
              <w:jc w:val="both"/>
              <w:rPr>
                <w:sz w:val="20"/>
                <w:lang w:val="fr-CA"/>
              </w:rPr>
            </w:pPr>
            <w:r w:rsidRPr="00E94383">
              <w:rPr>
                <w:sz w:val="20"/>
                <w:lang w:val="fr-CA"/>
              </w:rPr>
              <w:t>2 mai 2017</w:t>
            </w:r>
          </w:p>
          <w:p w:rsidR="00E94383" w:rsidRPr="00E94383" w:rsidRDefault="00E94383" w:rsidP="00E94383">
            <w:pPr>
              <w:jc w:val="both"/>
              <w:rPr>
                <w:sz w:val="20"/>
                <w:lang w:val="fr-CA"/>
              </w:rPr>
            </w:pPr>
            <w:r w:rsidRPr="00E94383">
              <w:rPr>
                <w:sz w:val="20"/>
                <w:lang w:val="fr-CA"/>
              </w:rPr>
              <w:t>Cour d’appel de la Nouvelle-Écosse</w:t>
            </w:r>
          </w:p>
          <w:p w:rsidR="00E94383" w:rsidRPr="00E94383" w:rsidRDefault="00E94383" w:rsidP="00E94383">
            <w:pPr>
              <w:jc w:val="both"/>
              <w:rPr>
                <w:sz w:val="20"/>
                <w:lang w:val="fr-CA"/>
              </w:rPr>
            </w:pPr>
            <w:r w:rsidRPr="00E94383">
              <w:rPr>
                <w:sz w:val="20"/>
                <w:lang w:val="fr-CA"/>
              </w:rPr>
              <w:t xml:space="preserve">(Juges </w:t>
            </w:r>
            <w:proofErr w:type="spellStart"/>
            <w:r w:rsidRPr="00E94383">
              <w:rPr>
                <w:sz w:val="20"/>
                <w:lang w:val="fr-CA"/>
              </w:rPr>
              <w:t>Fichaud</w:t>
            </w:r>
            <w:proofErr w:type="spellEnd"/>
            <w:r w:rsidRPr="00E94383">
              <w:rPr>
                <w:sz w:val="20"/>
                <w:lang w:val="fr-CA"/>
              </w:rPr>
              <w:t xml:space="preserve">, </w:t>
            </w:r>
            <w:proofErr w:type="spellStart"/>
            <w:r w:rsidRPr="00E94383">
              <w:rPr>
                <w:sz w:val="20"/>
                <w:lang w:val="fr-CA"/>
              </w:rPr>
              <w:t>Oland</w:t>
            </w:r>
            <w:proofErr w:type="spellEnd"/>
            <w:r w:rsidRPr="00E94383">
              <w:rPr>
                <w:sz w:val="20"/>
                <w:lang w:val="fr-CA"/>
              </w:rPr>
              <w:t xml:space="preserve"> et </w:t>
            </w:r>
            <w:proofErr w:type="spellStart"/>
            <w:r w:rsidRPr="00E94383">
              <w:rPr>
                <w:sz w:val="20"/>
                <w:lang w:val="fr-CA"/>
              </w:rPr>
              <w:t>Bryson</w:t>
            </w:r>
            <w:proofErr w:type="spellEnd"/>
            <w:r w:rsidRPr="00E94383">
              <w:rPr>
                <w:sz w:val="20"/>
                <w:lang w:val="fr-CA"/>
              </w:rPr>
              <w:t>)</w:t>
            </w:r>
          </w:p>
          <w:p w:rsidR="00E94383" w:rsidRPr="00E94383" w:rsidRDefault="00711002" w:rsidP="00E94383">
            <w:pPr>
              <w:jc w:val="both"/>
              <w:rPr>
                <w:sz w:val="20"/>
                <w:lang w:val="fr-CA"/>
              </w:rPr>
            </w:pPr>
            <w:hyperlink r:id="rId20" w:history="1">
              <w:r w:rsidR="00E94383" w:rsidRPr="00E94383">
                <w:rPr>
                  <w:rStyle w:val="Hyperlink"/>
                  <w:sz w:val="20"/>
                  <w:lang w:val="fr-CA"/>
                </w:rPr>
                <w:t>2017 NSCA 35</w:t>
              </w:r>
            </w:hyperlink>
          </w:p>
          <w:p w:rsidR="00E94383" w:rsidRPr="00E94383" w:rsidRDefault="00E94383" w:rsidP="00E94383">
            <w:pPr>
              <w:jc w:val="both"/>
              <w:rPr>
                <w:sz w:val="20"/>
                <w:lang w:val="fr-CA"/>
              </w:rPr>
            </w:pP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Rejet de l’appel</w:t>
            </w:r>
          </w:p>
          <w:p w:rsidR="00E94383" w:rsidRPr="00E94383" w:rsidRDefault="00E94383" w:rsidP="00E94383">
            <w:pPr>
              <w:jc w:val="both"/>
              <w:rPr>
                <w:sz w:val="20"/>
                <w:lang w:val="fr-CA"/>
              </w:rPr>
            </w:pP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31 juillet 2017</w:t>
            </w:r>
          </w:p>
          <w:p w:rsidR="00E94383" w:rsidRPr="00E94383" w:rsidRDefault="00E94383" w:rsidP="00E94383">
            <w:pPr>
              <w:jc w:val="both"/>
              <w:rPr>
                <w:sz w:val="20"/>
                <w:lang w:val="fr-CA"/>
              </w:rPr>
            </w:pPr>
            <w:r w:rsidRPr="00E94383">
              <w:rPr>
                <w:sz w:val="20"/>
                <w:lang w:val="fr-CA"/>
              </w:rPr>
              <w:t>Cour suprême du Canada</w:t>
            </w: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Dépôt de la demande d’autorisation d’appel</w:t>
            </w:r>
          </w:p>
          <w:p w:rsidR="00E94383" w:rsidRPr="00E94383" w:rsidRDefault="00E94383" w:rsidP="00E94383">
            <w:pPr>
              <w:jc w:val="both"/>
              <w:rPr>
                <w:sz w:val="20"/>
                <w:lang w:val="fr-CA"/>
              </w:rPr>
            </w:pPr>
          </w:p>
        </w:tc>
      </w:tr>
    </w:tbl>
    <w:p w:rsidR="00E94383" w:rsidRPr="00E94383" w:rsidRDefault="00E94383" w:rsidP="00E94383">
      <w:pPr>
        <w:jc w:val="both"/>
        <w:rPr>
          <w:sz w:val="20"/>
          <w:lang w:val="fr-CA"/>
        </w:rPr>
      </w:pPr>
    </w:p>
    <w:p w:rsidR="00691CDA" w:rsidRPr="00E94383" w:rsidRDefault="00691CDA" w:rsidP="00E94383">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94383" w:rsidRPr="00E94383" w:rsidTr="00E94383">
        <w:trPr>
          <w:gridAfter w:val="1"/>
          <w:wAfter w:w="48" w:type="pct"/>
        </w:trPr>
        <w:tc>
          <w:tcPr>
            <w:tcW w:w="537" w:type="pct"/>
          </w:tcPr>
          <w:p w:rsidR="00E94383" w:rsidRPr="00E94383" w:rsidRDefault="00E94383" w:rsidP="00E94383">
            <w:pPr>
              <w:jc w:val="both"/>
              <w:rPr>
                <w:sz w:val="20"/>
              </w:rPr>
            </w:pPr>
            <w:r w:rsidRPr="00E94383">
              <w:rPr>
                <w:rStyle w:val="SCCFileNumberChar"/>
                <w:sz w:val="20"/>
                <w:szCs w:val="20"/>
              </w:rPr>
              <w:t>37675</w:t>
            </w:r>
          </w:p>
        </w:tc>
        <w:tc>
          <w:tcPr>
            <w:tcW w:w="4415" w:type="pct"/>
            <w:gridSpan w:val="3"/>
          </w:tcPr>
          <w:p w:rsidR="00E94383" w:rsidRPr="00E94383" w:rsidRDefault="00E94383" w:rsidP="00E94383">
            <w:pPr>
              <w:pStyle w:val="SCCLsocParty"/>
              <w:jc w:val="both"/>
              <w:rPr>
                <w:b/>
                <w:sz w:val="20"/>
                <w:szCs w:val="20"/>
                <w:lang w:val="en-US"/>
              </w:rPr>
            </w:pPr>
            <w:r w:rsidRPr="00E94383">
              <w:rPr>
                <w:b/>
                <w:sz w:val="20"/>
                <w:szCs w:val="20"/>
                <w:lang w:val="en-US"/>
              </w:rPr>
              <w:t xml:space="preserve">Robert Must v. Yana </w:t>
            </w:r>
            <w:proofErr w:type="spellStart"/>
            <w:r w:rsidRPr="00E94383">
              <w:rPr>
                <w:b/>
                <w:sz w:val="20"/>
                <w:szCs w:val="20"/>
                <w:lang w:val="en-US"/>
              </w:rPr>
              <w:t>Shkuryna</w:t>
            </w:r>
            <w:proofErr w:type="spellEnd"/>
            <w:r w:rsidRPr="00E94383">
              <w:rPr>
                <w:b/>
                <w:sz w:val="20"/>
                <w:szCs w:val="20"/>
                <w:lang w:val="en-US"/>
              </w:rPr>
              <w:t xml:space="preserve">, Nicholas </w:t>
            </w:r>
            <w:proofErr w:type="spellStart"/>
            <w:r w:rsidRPr="00E94383">
              <w:rPr>
                <w:b/>
                <w:sz w:val="20"/>
                <w:szCs w:val="20"/>
                <w:lang w:val="en-US"/>
              </w:rPr>
              <w:t>Deeley</w:t>
            </w:r>
            <w:proofErr w:type="spellEnd"/>
            <w:r w:rsidRPr="00E94383">
              <w:rPr>
                <w:b/>
                <w:sz w:val="20"/>
                <w:szCs w:val="20"/>
                <w:lang w:val="en-US"/>
              </w:rPr>
              <w:t xml:space="preserve">, Ontario Teachers’ Pension Plan, James Leech, Marcia </w:t>
            </w:r>
            <w:proofErr w:type="spellStart"/>
            <w:r w:rsidRPr="00E94383">
              <w:rPr>
                <w:b/>
                <w:sz w:val="20"/>
                <w:szCs w:val="20"/>
                <w:lang w:val="en-US"/>
              </w:rPr>
              <w:t>Mandes-d’Abreau</w:t>
            </w:r>
            <w:proofErr w:type="spellEnd"/>
            <w:r w:rsidRPr="00E94383">
              <w:rPr>
                <w:b/>
                <w:sz w:val="20"/>
                <w:szCs w:val="20"/>
                <w:lang w:val="en-US"/>
              </w:rPr>
              <w:t xml:space="preserve"> and Angela Rae</w:t>
            </w:r>
          </w:p>
          <w:p w:rsidR="00E94383" w:rsidRPr="00E94383" w:rsidRDefault="00E94383" w:rsidP="00E94383">
            <w:pPr>
              <w:jc w:val="both"/>
              <w:rPr>
                <w:sz w:val="20"/>
              </w:rPr>
            </w:pPr>
            <w:r w:rsidRPr="00E94383">
              <w:rPr>
                <w:sz w:val="20"/>
              </w:rPr>
              <w:t>(Ont.) (Civil) (By Leave)</w:t>
            </w:r>
          </w:p>
        </w:tc>
      </w:tr>
      <w:tr w:rsidR="00E94383" w:rsidRPr="00E94383" w:rsidTr="00E94383">
        <w:trPr>
          <w:gridAfter w:val="1"/>
          <w:wAfter w:w="48" w:type="pct"/>
        </w:trPr>
        <w:tc>
          <w:tcPr>
            <w:tcW w:w="4952" w:type="pct"/>
            <w:gridSpan w:val="4"/>
          </w:tcPr>
          <w:p w:rsidR="00E94383" w:rsidRPr="00E94383" w:rsidRDefault="00E94383" w:rsidP="00E94383">
            <w:pPr>
              <w:jc w:val="both"/>
              <w:rPr>
                <w:sz w:val="20"/>
              </w:rPr>
            </w:pPr>
          </w:p>
          <w:p w:rsidR="00E94383" w:rsidRPr="00E94383" w:rsidRDefault="00E94383" w:rsidP="00E94383">
            <w:pPr>
              <w:jc w:val="both"/>
              <w:rPr>
                <w:sz w:val="20"/>
              </w:rPr>
            </w:pPr>
            <w:r w:rsidRPr="00E94383">
              <w:rPr>
                <w:sz w:val="20"/>
              </w:rPr>
              <w:t>Status of persons – Appointment of Public Guardian and Trustee – Whether application for leave to appeal raises an issue of public importance.</w:t>
            </w:r>
          </w:p>
        </w:tc>
      </w:tr>
      <w:tr w:rsidR="00E94383" w:rsidRPr="00E94383" w:rsidTr="00E94383">
        <w:trPr>
          <w:gridAfter w:val="1"/>
          <w:wAfter w:w="48" w:type="pct"/>
        </w:trPr>
        <w:tc>
          <w:tcPr>
            <w:tcW w:w="4952" w:type="pct"/>
            <w:gridSpan w:val="4"/>
          </w:tcPr>
          <w:p w:rsidR="00E94383" w:rsidRPr="00E94383" w:rsidRDefault="00E94383" w:rsidP="00E94383">
            <w:pPr>
              <w:jc w:val="both"/>
              <w:rPr>
                <w:sz w:val="20"/>
              </w:rPr>
            </w:pPr>
          </w:p>
        </w:tc>
      </w:tr>
      <w:tr w:rsidR="00E94383" w:rsidRPr="00E94383" w:rsidTr="00E94383">
        <w:trPr>
          <w:gridAfter w:val="1"/>
          <w:wAfter w:w="48" w:type="pct"/>
        </w:trPr>
        <w:tc>
          <w:tcPr>
            <w:tcW w:w="4952" w:type="pct"/>
            <w:gridSpan w:val="4"/>
          </w:tcPr>
          <w:p w:rsidR="00E94383" w:rsidRPr="00E94383" w:rsidRDefault="00E94383" w:rsidP="00E94383">
            <w:pPr>
              <w:jc w:val="both"/>
              <w:rPr>
                <w:sz w:val="20"/>
              </w:rPr>
            </w:pPr>
            <w:r w:rsidRPr="00E94383">
              <w:rPr>
                <w:sz w:val="20"/>
              </w:rPr>
              <w:t>In the context of an action initiated by the Applicant against the Respondents, a motion was brought seeking an order appointing the Office of the Public Guardian and Trustee as his legal representative. The order was granted and the Applicant subsequently sought to have the appointment order overturned.</w:t>
            </w:r>
          </w:p>
          <w:p w:rsidR="00E94383" w:rsidRPr="00E94383" w:rsidRDefault="00E94383" w:rsidP="00E94383">
            <w:pPr>
              <w:jc w:val="both"/>
              <w:rPr>
                <w:sz w:val="20"/>
              </w:rPr>
            </w:pP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November 10, 2015</w:t>
            </w:r>
          </w:p>
          <w:p w:rsidR="00E94383" w:rsidRPr="00E94383" w:rsidRDefault="00E94383" w:rsidP="00E94383">
            <w:pPr>
              <w:jc w:val="both"/>
              <w:rPr>
                <w:sz w:val="20"/>
              </w:rPr>
            </w:pPr>
            <w:r w:rsidRPr="00E94383">
              <w:rPr>
                <w:sz w:val="20"/>
              </w:rPr>
              <w:t>Ontario Superior Court of Justice</w:t>
            </w:r>
          </w:p>
          <w:p w:rsidR="00E94383" w:rsidRPr="00E94383" w:rsidRDefault="00E94383" w:rsidP="00E94383">
            <w:pPr>
              <w:jc w:val="both"/>
              <w:rPr>
                <w:sz w:val="20"/>
              </w:rPr>
            </w:pPr>
            <w:r w:rsidRPr="00E94383">
              <w:rPr>
                <w:sz w:val="20"/>
              </w:rPr>
              <w:t>(</w:t>
            </w:r>
            <w:proofErr w:type="spellStart"/>
            <w:r w:rsidRPr="00E94383">
              <w:rPr>
                <w:sz w:val="20"/>
              </w:rPr>
              <w:t>Snowie</w:t>
            </w:r>
            <w:proofErr w:type="spellEnd"/>
            <w:r w:rsidRPr="00E94383">
              <w:rPr>
                <w:sz w:val="20"/>
              </w:rPr>
              <w:t xml:space="preserve"> J.)</w:t>
            </w:r>
          </w:p>
          <w:p w:rsidR="00E94383" w:rsidRPr="00E94383" w:rsidRDefault="00E94383" w:rsidP="00E94383">
            <w:pPr>
              <w:jc w:val="both"/>
              <w:rPr>
                <w:sz w:val="20"/>
              </w:rPr>
            </w:pPr>
            <w:r w:rsidRPr="00E94383">
              <w:rPr>
                <w:sz w:val="20"/>
              </w:rPr>
              <w:t>No. CV-14-3080-00</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Public Guardian and Trustee appointed as legal representative to the Applicant.</w:t>
            </w: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March 17, 2016</w:t>
            </w:r>
          </w:p>
          <w:p w:rsidR="00E94383" w:rsidRPr="00E94383" w:rsidRDefault="00E94383" w:rsidP="00E94383">
            <w:pPr>
              <w:jc w:val="both"/>
              <w:rPr>
                <w:sz w:val="20"/>
              </w:rPr>
            </w:pPr>
            <w:r w:rsidRPr="00E94383">
              <w:rPr>
                <w:sz w:val="20"/>
              </w:rPr>
              <w:t>Court of Appeal for Ontario</w:t>
            </w:r>
          </w:p>
          <w:p w:rsidR="00E94383" w:rsidRPr="00E94383" w:rsidRDefault="00E94383" w:rsidP="00E94383">
            <w:pPr>
              <w:jc w:val="both"/>
              <w:rPr>
                <w:sz w:val="20"/>
              </w:rPr>
            </w:pPr>
            <w:r w:rsidRPr="00E94383">
              <w:rPr>
                <w:sz w:val="20"/>
              </w:rPr>
              <w:t xml:space="preserve">(Strathy C.J. and </w:t>
            </w:r>
            <w:proofErr w:type="spellStart"/>
            <w:r w:rsidRPr="00E94383">
              <w:rPr>
                <w:sz w:val="20"/>
              </w:rPr>
              <w:t>Lauwers</w:t>
            </w:r>
            <w:proofErr w:type="spellEnd"/>
            <w:r w:rsidRPr="00E94383">
              <w:rPr>
                <w:sz w:val="20"/>
              </w:rPr>
              <w:t xml:space="preserve"> and </w:t>
            </w:r>
            <w:proofErr w:type="spellStart"/>
            <w:r w:rsidRPr="00E94383">
              <w:rPr>
                <w:sz w:val="20"/>
              </w:rPr>
              <w:t>Benotto</w:t>
            </w:r>
            <w:proofErr w:type="spellEnd"/>
            <w:r w:rsidRPr="00E94383">
              <w:rPr>
                <w:sz w:val="20"/>
              </w:rPr>
              <w:t xml:space="preserve"> JJ.A.)</w:t>
            </w:r>
          </w:p>
          <w:p w:rsidR="00E94383" w:rsidRPr="00E94383" w:rsidRDefault="00E94383" w:rsidP="00E94383">
            <w:pPr>
              <w:jc w:val="both"/>
              <w:rPr>
                <w:sz w:val="20"/>
              </w:rPr>
            </w:pPr>
            <w:r w:rsidRPr="00E94383">
              <w:rPr>
                <w:sz w:val="20"/>
              </w:rPr>
              <w:t>No. C61426</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Appeal quashed.</w:t>
            </w: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lastRenderedPageBreak/>
              <w:t>July 12, 2016</w:t>
            </w:r>
          </w:p>
          <w:p w:rsidR="00E94383" w:rsidRPr="00E94383" w:rsidRDefault="00E94383" w:rsidP="00E94383">
            <w:pPr>
              <w:jc w:val="both"/>
              <w:rPr>
                <w:sz w:val="20"/>
              </w:rPr>
            </w:pPr>
            <w:r w:rsidRPr="00E94383">
              <w:rPr>
                <w:sz w:val="20"/>
              </w:rPr>
              <w:t>Ontario Divisional Court</w:t>
            </w:r>
          </w:p>
          <w:p w:rsidR="00E94383" w:rsidRPr="00E94383" w:rsidRDefault="00E94383" w:rsidP="00E94383">
            <w:pPr>
              <w:jc w:val="both"/>
              <w:rPr>
                <w:sz w:val="20"/>
              </w:rPr>
            </w:pPr>
            <w:r w:rsidRPr="00E94383">
              <w:rPr>
                <w:sz w:val="20"/>
              </w:rPr>
              <w:t>(Daley J.)</w:t>
            </w:r>
          </w:p>
          <w:p w:rsidR="00E94383" w:rsidRPr="00E94383" w:rsidRDefault="00E94383" w:rsidP="00E94383">
            <w:pPr>
              <w:jc w:val="both"/>
              <w:rPr>
                <w:sz w:val="20"/>
              </w:rPr>
            </w:pPr>
            <w:r w:rsidRPr="00E94383">
              <w:rPr>
                <w:sz w:val="20"/>
              </w:rPr>
              <w:t>No. DC-16-59-00</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Motion for leave to appeal appointment order denied.</w:t>
            </w: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November 25, 2016</w:t>
            </w:r>
          </w:p>
          <w:p w:rsidR="00E94383" w:rsidRPr="00E94383" w:rsidRDefault="00E94383" w:rsidP="00E94383">
            <w:pPr>
              <w:jc w:val="both"/>
              <w:rPr>
                <w:sz w:val="20"/>
              </w:rPr>
            </w:pPr>
            <w:r w:rsidRPr="00E94383">
              <w:rPr>
                <w:sz w:val="20"/>
              </w:rPr>
              <w:t>Court of Appeal for Ontario</w:t>
            </w:r>
          </w:p>
          <w:p w:rsidR="00E94383" w:rsidRPr="00E94383" w:rsidRDefault="00E94383" w:rsidP="00E94383">
            <w:pPr>
              <w:jc w:val="both"/>
              <w:rPr>
                <w:sz w:val="20"/>
              </w:rPr>
            </w:pPr>
            <w:r w:rsidRPr="00E94383">
              <w:rPr>
                <w:sz w:val="20"/>
              </w:rPr>
              <w:t>(</w:t>
            </w:r>
            <w:proofErr w:type="spellStart"/>
            <w:r w:rsidRPr="00E94383">
              <w:rPr>
                <w:sz w:val="20"/>
              </w:rPr>
              <w:t>Gillese</w:t>
            </w:r>
            <w:proofErr w:type="spellEnd"/>
            <w:r w:rsidRPr="00E94383">
              <w:rPr>
                <w:sz w:val="20"/>
              </w:rPr>
              <w:t xml:space="preserve">, </w:t>
            </w:r>
            <w:proofErr w:type="spellStart"/>
            <w:r w:rsidRPr="00E94383">
              <w:rPr>
                <w:sz w:val="20"/>
              </w:rPr>
              <w:t>Benotto</w:t>
            </w:r>
            <w:proofErr w:type="spellEnd"/>
            <w:r w:rsidRPr="00E94383">
              <w:rPr>
                <w:sz w:val="20"/>
              </w:rPr>
              <w:t xml:space="preserve"> and Roberts JJ.A.)</w:t>
            </w:r>
          </w:p>
          <w:p w:rsidR="00E94383" w:rsidRPr="00E94383" w:rsidRDefault="00E94383" w:rsidP="00E94383">
            <w:pPr>
              <w:jc w:val="both"/>
              <w:rPr>
                <w:sz w:val="20"/>
              </w:rPr>
            </w:pPr>
            <w:r w:rsidRPr="00E94383">
              <w:rPr>
                <w:sz w:val="20"/>
              </w:rPr>
              <w:t>No. M46762</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Motion for leave to appeal appointment order denied.</w:t>
            </w: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April 3, 2017</w:t>
            </w:r>
          </w:p>
          <w:p w:rsidR="00E94383" w:rsidRPr="00E94383" w:rsidRDefault="00E94383" w:rsidP="00E94383">
            <w:pPr>
              <w:jc w:val="both"/>
              <w:rPr>
                <w:sz w:val="20"/>
              </w:rPr>
            </w:pPr>
            <w:r w:rsidRPr="00E94383">
              <w:rPr>
                <w:sz w:val="20"/>
              </w:rPr>
              <w:t>Court of Appeal for Ontario</w:t>
            </w:r>
          </w:p>
          <w:p w:rsidR="00E94383" w:rsidRPr="00E94383" w:rsidRDefault="00E94383" w:rsidP="00E94383">
            <w:pPr>
              <w:jc w:val="both"/>
              <w:rPr>
                <w:sz w:val="20"/>
              </w:rPr>
            </w:pPr>
            <w:r w:rsidRPr="00E94383">
              <w:rPr>
                <w:sz w:val="20"/>
              </w:rPr>
              <w:t>(</w:t>
            </w:r>
            <w:proofErr w:type="spellStart"/>
            <w:r w:rsidRPr="00E94383">
              <w:rPr>
                <w:sz w:val="20"/>
              </w:rPr>
              <w:t>Gillese</w:t>
            </w:r>
            <w:proofErr w:type="spellEnd"/>
            <w:r w:rsidRPr="00E94383">
              <w:rPr>
                <w:sz w:val="20"/>
              </w:rPr>
              <w:t xml:space="preserve">, </w:t>
            </w:r>
            <w:proofErr w:type="spellStart"/>
            <w:r w:rsidRPr="00E94383">
              <w:rPr>
                <w:sz w:val="20"/>
              </w:rPr>
              <w:t>Benotto</w:t>
            </w:r>
            <w:proofErr w:type="spellEnd"/>
            <w:r w:rsidRPr="00E94383">
              <w:rPr>
                <w:sz w:val="20"/>
              </w:rPr>
              <w:t xml:space="preserve"> and Roberts JJ.A.)</w:t>
            </w:r>
          </w:p>
          <w:p w:rsidR="00E94383" w:rsidRPr="00E94383" w:rsidRDefault="00E94383" w:rsidP="00E94383">
            <w:pPr>
              <w:jc w:val="both"/>
              <w:rPr>
                <w:sz w:val="20"/>
              </w:rPr>
            </w:pPr>
            <w:r w:rsidRPr="00E94383">
              <w:rPr>
                <w:sz w:val="20"/>
              </w:rPr>
              <w:t>No. M47455 (M46762)</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 xml:space="preserve">Motion to re-open motion for leave to appeal appointment order denied. </w:t>
            </w: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June 28, 2017</w:t>
            </w:r>
          </w:p>
          <w:p w:rsidR="00E94383" w:rsidRPr="00E94383" w:rsidRDefault="00E94383" w:rsidP="00E94383">
            <w:pPr>
              <w:jc w:val="both"/>
              <w:rPr>
                <w:sz w:val="20"/>
              </w:rPr>
            </w:pPr>
            <w:r w:rsidRPr="00E94383">
              <w:rPr>
                <w:sz w:val="20"/>
              </w:rPr>
              <w:t>Supreme Court of Canada</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Motion for extension of time to file and serve application for leave to appeal filed.</w:t>
            </w: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June 28, 2017</w:t>
            </w:r>
          </w:p>
          <w:p w:rsidR="00E94383" w:rsidRPr="00E94383" w:rsidRDefault="00E94383" w:rsidP="00E94383">
            <w:pPr>
              <w:jc w:val="both"/>
              <w:rPr>
                <w:sz w:val="20"/>
              </w:rPr>
            </w:pPr>
            <w:r w:rsidRPr="00E94383">
              <w:rPr>
                <w:sz w:val="20"/>
              </w:rPr>
              <w:t>Supreme Court of Canada</w:t>
            </w: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Application for leave to appeal filed.</w:t>
            </w:r>
          </w:p>
          <w:p w:rsidR="00E94383" w:rsidRPr="00E94383" w:rsidRDefault="00E94383" w:rsidP="00E94383">
            <w:pPr>
              <w:jc w:val="both"/>
              <w:rPr>
                <w:sz w:val="20"/>
              </w:rPr>
            </w:pPr>
          </w:p>
        </w:tc>
      </w:tr>
    </w:tbl>
    <w:p w:rsidR="00E94383" w:rsidRDefault="00E94383" w:rsidP="00E94383">
      <w:pPr>
        <w:jc w:val="both"/>
        <w:rPr>
          <w:sz w:val="20"/>
        </w:rPr>
      </w:pPr>
    </w:p>
    <w:p w:rsidR="00E94383" w:rsidRPr="00E94383" w:rsidRDefault="00E94383" w:rsidP="00E9438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94383" w:rsidRPr="00E94383" w:rsidTr="00E94383">
        <w:trPr>
          <w:gridAfter w:val="1"/>
          <w:wAfter w:w="48" w:type="pct"/>
        </w:trPr>
        <w:tc>
          <w:tcPr>
            <w:tcW w:w="537" w:type="pct"/>
          </w:tcPr>
          <w:p w:rsidR="00E94383" w:rsidRPr="00E94383" w:rsidRDefault="00E94383" w:rsidP="00E94383">
            <w:pPr>
              <w:jc w:val="both"/>
              <w:rPr>
                <w:sz w:val="20"/>
                <w:lang w:val="fr-CA"/>
              </w:rPr>
            </w:pPr>
            <w:r w:rsidRPr="00E94383">
              <w:rPr>
                <w:rStyle w:val="SCCFileNumberChar"/>
                <w:sz w:val="20"/>
                <w:szCs w:val="20"/>
                <w:lang w:val="fr-CA"/>
              </w:rPr>
              <w:t>37675</w:t>
            </w:r>
          </w:p>
        </w:tc>
        <w:tc>
          <w:tcPr>
            <w:tcW w:w="4415" w:type="pct"/>
            <w:gridSpan w:val="3"/>
          </w:tcPr>
          <w:p w:rsidR="00E94383" w:rsidRPr="00E94383" w:rsidRDefault="00E94383" w:rsidP="00E94383">
            <w:pPr>
              <w:pStyle w:val="SCCLsocParty"/>
              <w:jc w:val="both"/>
              <w:rPr>
                <w:b/>
                <w:sz w:val="20"/>
                <w:szCs w:val="20"/>
              </w:rPr>
            </w:pPr>
            <w:r w:rsidRPr="00E94383">
              <w:rPr>
                <w:b/>
                <w:sz w:val="20"/>
                <w:szCs w:val="20"/>
              </w:rPr>
              <w:t xml:space="preserve">Robert Must c. </w:t>
            </w:r>
            <w:proofErr w:type="spellStart"/>
            <w:r w:rsidRPr="00E94383">
              <w:rPr>
                <w:b/>
                <w:sz w:val="20"/>
                <w:szCs w:val="20"/>
              </w:rPr>
              <w:t>Yana</w:t>
            </w:r>
            <w:proofErr w:type="spellEnd"/>
            <w:r w:rsidRPr="00E94383">
              <w:rPr>
                <w:b/>
                <w:sz w:val="20"/>
                <w:szCs w:val="20"/>
              </w:rPr>
              <w:t xml:space="preserve"> </w:t>
            </w:r>
            <w:proofErr w:type="spellStart"/>
            <w:r w:rsidRPr="00E94383">
              <w:rPr>
                <w:b/>
                <w:sz w:val="20"/>
                <w:szCs w:val="20"/>
              </w:rPr>
              <w:t>Shkuryna</w:t>
            </w:r>
            <w:proofErr w:type="spellEnd"/>
            <w:r w:rsidRPr="00E94383">
              <w:rPr>
                <w:b/>
                <w:sz w:val="20"/>
                <w:szCs w:val="20"/>
              </w:rPr>
              <w:t xml:space="preserve">, Nicholas </w:t>
            </w:r>
            <w:proofErr w:type="spellStart"/>
            <w:r w:rsidRPr="00E94383">
              <w:rPr>
                <w:b/>
                <w:sz w:val="20"/>
                <w:szCs w:val="20"/>
              </w:rPr>
              <w:t>Deeley</w:t>
            </w:r>
            <w:proofErr w:type="spellEnd"/>
            <w:r w:rsidRPr="00E94383">
              <w:rPr>
                <w:b/>
                <w:sz w:val="20"/>
                <w:szCs w:val="20"/>
              </w:rPr>
              <w:t xml:space="preserve">, Régime de retraite des enseignantes et enseignants de l’Ontario, James </w:t>
            </w:r>
            <w:proofErr w:type="spellStart"/>
            <w:r w:rsidRPr="00E94383">
              <w:rPr>
                <w:b/>
                <w:sz w:val="20"/>
                <w:szCs w:val="20"/>
              </w:rPr>
              <w:t>Leech</w:t>
            </w:r>
            <w:proofErr w:type="spellEnd"/>
            <w:r w:rsidRPr="00E94383">
              <w:rPr>
                <w:b/>
                <w:sz w:val="20"/>
                <w:szCs w:val="20"/>
              </w:rPr>
              <w:t>, Marcia Mandes-</w:t>
            </w:r>
            <w:proofErr w:type="spellStart"/>
            <w:r w:rsidRPr="00E94383">
              <w:rPr>
                <w:b/>
                <w:sz w:val="20"/>
                <w:szCs w:val="20"/>
              </w:rPr>
              <w:t>d’Abreau</w:t>
            </w:r>
            <w:proofErr w:type="spellEnd"/>
            <w:r w:rsidRPr="00E94383">
              <w:rPr>
                <w:b/>
                <w:sz w:val="20"/>
                <w:szCs w:val="20"/>
              </w:rPr>
              <w:t xml:space="preserve"> et Angela Rae</w:t>
            </w:r>
          </w:p>
          <w:p w:rsidR="00E94383" w:rsidRPr="00E94383" w:rsidRDefault="00E94383" w:rsidP="00E94383">
            <w:pPr>
              <w:jc w:val="both"/>
              <w:rPr>
                <w:sz w:val="20"/>
                <w:lang w:val="fr-CA"/>
              </w:rPr>
            </w:pPr>
            <w:r w:rsidRPr="00E94383">
              <w:rPr>
                <w:sz w:val="20"/>
                <w:lang w:val="fr-CA"/>
              </w:rPr>
              <w:t>(Ont.) (Civile) (Sur autorisation)</w:t>
            </w:r>
          </w:p>
        </w:tc>
      </w:tr>
      <w:tr w:rsidR="00E94383" w:rsidRPr="00711002" w:rsidTr="00E94383">
        <w:trPr>
          <w:gridAfter w:val="1"/>
          <w:wAfter w:w="48" w:type="pct"/>
        </w:trPr>
        <w:tc>
          <w:tcPr>
            <w:tcW w:w="4952" w:type="pct"/>
            <w:gridSpan w:val="4"/>
          </w:tcPr>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Droit des personnes – Nomination du Tuteur et curateur public – La demande d’autorisation d’appel soulève-t-elle une question d’importance pour le public?</w:t>
            </w:r>
          </w:p>
        </w:tc>
      </w:tr>
      <w:tr w:rsidR="00E94383" w:rsidRPr="00711002" w:rsidTr="00E94383">
        <w:trPr>
          <w:gridAfter w:val="1"/>
          <w:wAfter w:w="48" w:type="pct"/>
        </w:trPr>
        <w:tc>
          <w:tcPr>
            <w:tcW w:w="4952" w:type="pct"/>
            <w:gridSpan w:val="4"/>
          </w:tcPr>
          <w:p w:rsidR="00E94383" w:rsidRPr="00E94383" w:rsidRDefault="00E94383" w:rsidP="00E94383">
            <w:pPr>
              <w:jc w:val="both"/>
              <w:rPr>
                <w:sz w:val="20"/>
                <w:lang w:val="fr-CA"/>
              </w:rPr>
            </w:pPr>
          </w:p>
        </w:tc>
      </w:tr>
      <w:tr w:rsidR="00E94383" w:rsidRPr="00711002" w:rsidTr="00E94383">
        <w:trPr>
          <w:gridAfter w:val="1"/>
          <w:wAfter w:w="48" w:type="pct"/>
        </w:trPr>
        <w:tc>
          <w:tcPr>
            <w:tcW w:w="4952" w:type="pct"/>
            <w:gridSpan w:val="4"/>
          </w:tcPr>
          <w:p w:rsidR="00E94383" w:rsidRPr="00E94383" w:rsidRDefault="00E94383" w:rsidP="00E94383">
            <w:pPr>
              <w:jc w:val="both"/>
              <w:rPr>
                <w:sz w:val="20"/>
                <w:lang w:val="fr-CA"/>
              </w:rPr>
            </w:pPr>
            <w:r w:rsidRPr="00E94383">
              <w:rPr>
                <w:sz w:val="20"/>
                <w:lang w:val="fr-CA"/>
              </w:rPr>
              <w:t>Dans le cadre d’une action intentée par le demandeur contre les intimés, une motion a été présentée en vue d’obtenir une ordonnance nommant le Bureau du Tuteur et curateur public comme son représentant légal. L’ordonnance de nomination a été prononcée et le demandeur a par la suite sollicité son annulation.</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10 novembre 2015</w:t>
            </w:r>
          </w:p>
          <w:p w:rsidR="00E94383" w:rsidRPr="00E94383" w:rsidRDefault="00E94383" w:rsidP="00E94383">
            <w:pPr>
              <w:jc w:val="both"/>
              <w:rPr>
                <w:sz w:val="20"/>
                <w:lang w:val="fr-CA"/>
              </w:rPr>
            </w:pPr>
            <w:r w:rsidRPr="00E94383">
              <w:rPr>
                <w:sz w:val="20"/>
                <w:lang w:val="fr-CA"/>
              </w:rPr>
              <w:t>Cour supérieure de justice de l’Ontario</w:t>
            </w:r>
          </w:p>
          <w:p w:rsidR="00E94383" w:rsidRPr="00E94383" w:rsidRDefault="00E94383" w:rsidP="00E94383">
            <w:pPr>
              <w:jc w:val="both"/>
              <w:rPr>
                <w:sz w:val="20"/>
                <w:lang w:val="fr-CA"/>
              </w:rPr>
            </w:pPr>
            <w:r w:rsidRPr="00E94383">
              <w:rPr>
                <w:sz w:val="20"/>
                <w:lang w:val="fr-CA"/>
              </w:rPr>
              <w:t xml:space="preserve">(Juge </w:t>
            </w:r>
            <w:proofErr w:type="spellStart"/>
            <w:r w:rsidRPr="00E94383">
              <w:rPr>
                <w:sz w:val="20"/>
                <w:lang w:val="fr-CA"/>
              </w:rPr>
              <w:t>Snowie</w:t>
            </w:r>
            <w:proofErr w:type="spellEnd"/>
            <w:r w:rsidRPr="00E94383">
              <w:rPr>
                <w:sz w:val="20"/>
                <w:lang w:val="fr-CA"/>
              </w:rPr>
              <w:t>)</w:t>
            </w:r>
          </w:p>
          <w:p w:rsidR="00E94383" w:rsidRPr="00E94383" w:rsidRDefault="00E94383" w:rsidP="00E94383">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CV-14-3080-00</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Nomination du Tuteur et curateur public comme représentant légal du demandeur.</w:t>
            </w: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17 mars 2016</w:t>
            </w:r>
          </w:p>
          <w:p w:rsidR="00E94383" w:rsidRPr="00E94383" w:rsidRDefault="00E94383" w:rsidP="00E94383">
            <w:pPr>
              <w:jc w:val="both"/>
              <w:rPr>
                <w:sz w:val="20"/>
                <w:lang w:val="fr-CA"/>
              </w:rPr>
            </w:pPr>
            <w:r w:rsidRPr="00E94383">
              <w:rPr>
                <w:sz w:val="20"/>
                <w:lang w:val="fr-CA"/>
              </w:rPr>
              <w:t>Cour d’appel de l’Ontario</w:t>
            </w:r>
          </w:p>
          <w:p w:rsidR="00E94383" w:rsidRPr="00E94383" w:rsidRDefault="00E94383" w:rsidP="00E94383">
            <w:pPr>
              <w:jc w:val="both"/>
              <w:rPr>
                <w:sz w:val="20"/>
                <w:lang w:val="fr-CA"/>
              </w:rPr>
            </w:pPr>
            <w:r w:rsidRPr="00E94383">
              <w:rPr>
                <w:sz w:val="20"/>
                <w:lang w:val="fr-CA"/>
              </w:rPr>
              <w:t xml:space="preserve">(Juge en chef </w:t>
            </w:r>
            <w:proofErr w:type="spellStart"/>
            <w:r w:rsidRPr="00E94383">
              <w:rPr>
                <w:sz w:val="20"/>
                <w:lang w:val="fr-CA"/>
              </w:rPr>
              <w:t>Strathy</w:t>
            </w:r>
            <w:proofErr w:type="spellEnd"/>
            <w:r w:rsidRPr="00E94383">
              <w:rPr>
                <w:sz w:val="20"/>
                <w:lang w:val="fr-CA"/>
              </w:rPr>
              <w:t xml:space="preserve">, juges </w:t>
            </w:r>
            <w:proofErr w:type="spellStart"/>
            <w:r w:rsidRPr="00E94383">
              <w:rPr>
                <w:sz w:val="20"/>
                <w:lang w:val="fr-CA"/>
              </w:rPr>
              <w:t>Lauwers</w:t>
            </w:r>
            <w:proofErr w:type="spellEnd"/>
            <w:r w:rsidRPr="00E94383">
              <w:rPr>
                <w:sz w:val="20"/>
                <w:lang w:val="fr-CA"/>
              </w:rPr>
              <w:t xml:space="preserve"> et </w:t>
            </w:r>
            <w:proofErr w:type="spellStart"/>
            <w:r w:rsidRPr="00E94383">
              <w:rPr>
                <w:sz w:val="20"/>
                <w:lang w:val="fr-CA"/>
              </w:rPr>
              <w:t>Benotto</w:t>
            </w:r>
            <w:proofErr w:type="spellEnd"/>
            <w:r w:rsidRPr="00E94383">
              <w:rPr>
                <w:sz w:val="20"/>
                <w:lang w:val="fr-CA"/>
              </w:rPr>
              <w:t>)</w:t>
            </w:r>
          </w:p>
          <w:p w:rsidR="00E94383" w:rsidRPr="00E94383" w:rsidRDefault="00E94383" w:rsidP="00E94383">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C61426</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Annulation de l’appel.</w:t>
            </w: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12 juillet 2016</w:t>
            </w:r>
          </w:p>
          <w:p w:rsidR="00E94383" w:rsidRPr="00E94383" w:rsidRDefault="00E94383" w:rsidP="00E94383">
            <w:pPr>
              <w:jc w:val="both"/>
              <w:rPr>
                <w:sz w:val="20"/>
                <w:lang w:val="fr-CA"/>
              </w:rPr>
            </w:pPr>
            <w:r w:rsidRPr="00E94383">
              <w:rPr>
                <w:sz w:val="20"/>
                <w:lang w:val="fr-CA"/>
              </w:rPr>
              <w:t>Cour divisionnaire de l’Ontario</w:t>
            </w:r>
          </w:p>
          <w:p w:rsidR="00E94383" w:rsidRPr="00E94383" w:rsidRDefault="00E94383" w:rsidP="00E94383">
            <w:pPr>
              <w:jc w:val="both"/>
              <w:rPr>
                <w:sz w:val="20"/>
                <w:lang w:val="fr-CA"/>
              </w:rPr>
            </w:pPr>
            <w:r w:rsidRPr="00E94383">
              <w:rPr>
                <w:sz w:val="20"/>
                <w:lang w:val="fr-CA"/>
              </w:rPr>
              <w:t>(Juge Daley)</w:t>
            </w:r>
          </w:p>
          <w:p w:rsidR="00E94383" w:rsidRPr="00E94383" w:rsidRDefault="00E94383" w:rsidP="00E94383">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DC-16-59-00</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Rejet de la motion en autorisation d’interjeter appel de l’ordonnance de nomination.</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25 novembre 2016</w:t>
            </w:r>
          </w:p>
          <w:p w:rsidR="00E94383" w:rsidRPr="00E94383" w:rsidRDefault="00E94383" w:rsidP="00E94383">
            <w:pPr>
              <w:jc w:val="both"/>
              <w:rPr>
                <w:sz w:val="20"/>
                <w:lang w:val="fr-CA"/>
              </w:rPr>
            </w:pPr>
            <w:r w:rsidRPr="00E94383">
              <w:rPr>
                <w:sz w:val="20"/>
                <w:lang w:val="fr-CA"/>
              </w:rPr>
              <w:t>Cour d’appel de l’Ontario</w:t>
            </w:r>
          </w:p>
          <w:p w:rsidR="00E94383" w:rsidRPr="00E94383" w:rsidRDefault="00E94383" w:rsidP="00E94383">
            <w:pPr>
              <w:jc w:val="both"/>
              <w:rPr>
                <w:sz w:val="20"/>
                <w:lang w:val="fr-CA"/>
              </w:rPr>
            </w:pPr>
            <w:r w:rsidRPr="00E94383">
              <w:rPr>
                <w:sz w:val="20"/>
                <w:lang w:val="fr-CA"/>
              </w:rPr>
              <w:t xml:space="preserve">(Juges </w:t>
            </w:r>
            <w:proofErr w:type="spellStart"/>
            <w:r w:rsidRPr="00E94383">
              <w:rPr>
                <w:sz w:val="20"/>
                <w:lang w:val="fr-CA"/>
              </w:rPr>
              <w:t>Gillese</w:t>
            </w:r>
            <w:proofErr w:type="spellEnd"/>
            <w:r w:rsidRPr="00E94383">
              <w:rPr>
                <w:sz w:val="20"/>
                <w:lang w:val="fr-CA"/>
              </w:rPr>
              <w:t xml:space="preserve">, </w:t>
            </w:r>
            <w:proofErr w:type="spellStart"/>
            <w:r w:rsidRPr="00E94383">
              <w:rPr>
                <w:sz w:val="20"/>
                <w:lang w:val="fr-CA"/>
              </w:rPr>
              <w:t>Benotto</w:t>
            </w:r>
            <w:proofErr w:type="spellEnd"/>
            <w:r w:rsidRPr="00E94383">
              <w:rPr>
                <w:sz w:val="20"/>
                <w:lang w:val="fr-CA"/>
              </w:rPr>
              <w:t xml:space="preserve"> et Roberts)</w:t>
            </w:r>
          </w:p>
          <w:p w:rsidR="00E94383" w:rsidRPr="00E94383" w:rsidRDefault="00E94383" w:rsidP="00E94383">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M46762</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Rejet de la motion en autorisation d’interjeter appel de l’ordonnance de nomination.</w:t>
            </w: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lastRenderedPageBreak/>
              <w:t>3 avril 2017</w:t>
            </w:r>
          </w:p>
          <w:p w:rsidR="00E94383" w:rsidRPr="00E94383" w:rsidRDefault="00E94383" w:rsidP="00E94383">
            <w:pPr>
              <w:jc w:val="both"/>
              <w:rPr>
                <w:sz w:val="20"/>
                <w:lang w:val="fr-CA"/>
              </w:rPr>
            </w:pPr>
            <w:r w:rsidRPr="00E94383">
              <w:rPr>
                <w:sz w:val="20"/>
                <w:lang w:val="fr-CA"/>
              </w:rPr>
              <w:t>Cour d’appel de l’Ontario</w:t>
            </w:r>
          </w:p>
          <w:p w:rsidR="00E94383" w:rsidRPr="00E94383" w:rsidRDefault="00E94383" w:rsidP="00E94383">
            <w:pPr>
              <w:jc w:val="both"/>
              <w:rPr>
                <w:sz w:val="20"/>
                <w:lang w:val="fr-CA"/>
              </w:rPr>
            </w:pPr>
            <w:r w:rsidRPr="00E94383">
              <w:rPr>
                <w:sz w:val="20"/>
                <w:lang w:val="fr-CA"/>
              </w:rPr>
              <w:t xml:space="preserve">(Juges </w:t>
            </w:r>
            <w:proofErr w:type="spellStart"/>
            <w:r w:rsidRPr="00E94383">
              <w:rPr>
                <w:sz w:val="20"/>
                <w:lang w:val="fr-CA"/>
              </w:rPr>
              <w:t>Gillese</w:t>
            </w:r>
            <w:proofErr w:type="spellEnd"/>
            <w:r w:rsidRPr="00E94383">
              <w:rPr>
                <w:sz w:val="20"/>
                <w:lang w:val="fr-CA"/>
              </w:rPr>
              <w:t xml:space="preserve">, </w:t>
            </w:r>
            <w:proofErr w:type="spellStart"/>
            <w:r w:rsidRPr="00E94383">
              <w:rPr>
                <w:sz w:val="20"/>
                <w:lang w:val="fr-CA"/>
              </w:rPr>
              <w:t>Benotto</w:t>
            </w:r>
            <w:proofErr w:type="spellEnd"/>
            <w:r w:rsidRPr="00E94383">
              <w:rPr>
                <w:sz w:val="20"/>
                <w:lang w:val="fr-CA"/>
              </w:rPr>
              <w:t xml:space="preserve"> et Roberts)</w:t>
            </w:r>
          </w:p>
          <w:p w:rsidR="00E94383" w:rsidRPr="00E94383" w:rsidRDefault="00E94383" w:rsidP="00E94383">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M47455 (M46762)</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 xml:space="preserve">Rejet de la motion en réexamen de la motion en autorisation d’interjeter appel de l’ordonnance de nomination. </w:t>
            </w:r>
          </w:p>
        </w:tc>
      </w:tr>
      <w:tr w:rsidR="00E94383" w:rsidRPr="00711002" w:rsidTr="00E94383">
        <w:tblPrEx>
          <w:tblCellMar>
            <w:bottom w:w="0" w:type="dxa"/>
          </w:tblCellMar>
        </w:tblPrEx>
        <w:trPr>
          <w:trHeight w:val="1071"/>
        </w:trPr>
        <w:tc>
          <w:tcPr>
            <w:tcW w:w="2367" w:type="pct"/>
            <w:gridSpan w:val="2"/>
          </w:tcPr>
          <w:p w:rsidR="00E94383" w:rsidRPr="00E94383" w:rsidRDefault="00E94383" w:rsidP="00E94383">
            <w:pPr>
              <w:jc w:val="both"/>
              <w:rPr>
                <w:sz w:val="20"/>
                <w:lang w:val="fr-CA"/>
              </w:rPr>
            </w:pPr>
            <w:r w:rsidRPr="00E94383">
              <w:rPr>
                <w:sz w:val="20"/>
                <w:lang w:val="fr-CA"/>
              </w:rPr>
              <w:t>28 juin 2017</w:t>
            </w:r>
          </w:p>
          <w:p w:rsidR="00E94383" w:rsidRPr="00E94383" w:rsidRDefault="00E94383" w:rsidP="00E94383">
            <w:pPr>
              <w:jc w:val="both"/>
              <w:rPr>
                <w:sz w:val="20"/>
                <w:lang w:val="fr-CA"/>
              </w:rPr>
            </w:pPr>
            <w:r w:rsidRPr="00E94383">
              <w:rPr>
                <w:sz w:val="20"/>
                <w:lang w:val="fr-CA"/>
              </w:rPr>
              <w:t>Cour suprême du Canada</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Dépôt de la requête en prorogation du délai de dépôt et de signification de la demande d’autorisation d’appel.</w:t>
            </w: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28 juin 2017</w:t>
            </w:r>
          </w:p>
          <w:p w:rsidR="00E94383" w:rsidRPr="00E94383" w:rsidRDefault="00E94383" w:rsidP="00E94383">
            <w:pPr>
              <w:jc w:val="both"/>
              <w:rPr>
                <w:sz w:val="20"/>
                <w:lang w:val="fr-CA"/>
              </w:rPr>
            </w:pPr>
            <w:r w:rsidRPr="00E94383">
              <w:rPr>
                <w:sz w:val="20"/>
                <w:lang w:val="fr-CA"/>
              </w:rPr>
              <w:t>Cour suprême du Canada</w:t>
            </w: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Dépôt de la demande d’autorisation d’appel.</w:t>
            </w:r>
          </w:p>
          <w:p w:rsidR="00E94383" w:rsidRPr="00E94383" w:rsidRDefault="00E94383" w:rsidP="00E94383">
            <w:pPr>
              <w:jc w:val="both"/>
              <w:rPr>
                <w:sz w:val="20"/>
                <w:lang w:val="fr-CA"/>
              </w:rPr>
            </w:pPr>
          </w:p>
        </w:tc>
      </w:tr>
    </w:tbl>
    <w:p w:rsidR="00E94383" w:rsidRPr="00E94383" w:rsidRDefault="00E94383" w:rsidP="00E94383">
      <w:pPr>
        <w:jc w:val="both"/>
        <w:rPr>
          <w:sz w:val="20"/>
          <w:lang w:val="fr-CA"/>
        </w:rPr>
      </w:pPr>
    </w:p>
    <w:p w:rsidR="00E94383" w:rsidRDefault="00E94383" w:rsidP="00E943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1002" w:rsidRPr="00711002" w:rsidTr="006B0656">
        <w:tc>
          <w:tcPr>
            <w:tcW w:w="543" w:type="pct"/>
          </w:tcPr>
          <w:p w:rsidR="00711002" w:rsidRPr="00711002" w:rsidRDefault="00711002" w:rsidP="00711002">
            <w:pPr>
              <w:jc w:val="both"/>
              <w:rPr>
                <w:sz w:val="20"/>
              </w:rPr>
            </w:pPr>
            <w:r w:rsidRPr="00711002">
              <w:rPr>
                <w:rStyle w:val="SCCFileNumberChar"/>
                <w:sz w:val="20"/>
                <w:szCs w:val="20"/>
              </w:rPr>
              <w:t>37685</w:t>
            </w:r>
          </w:p>
        </w:tc>
        <w:tc>
          <w:tcPr>
            <w:tcW w:w="4457" w:type="pct"/>
            <w:gridSpan w:val="3"/>
          </w:tcPr>
          <w:p w:rsidR="00711002" w:rsidRPr="00711002" w:rsidRDefault="00711002" w:rsidP="00711002">
            <w:pPr>
              <w:pStyle w:val="SCCLsocParty"/>
              <w:jc w:val="both"/>
              <w:rPr>
                <w:b/>
                <w:sz w:val="20"/>
                <w:szCs w:val="20"/>
              </w:rPr>
            </w:pPr>
            <w:proofErr w:type="spellStart"/>
            <w:r w:rsidRPr="00711002">
              <w:rPr>
                <w:b/>
                <w:sz w:val="20"/>
                <w:szCs w:val="20"/>
              </w:rPr>
              <w:t>Agri</w:t>
            </w:r>
            <w:proofErr w:type="spellEnd"/>
            <w:r w:rsidRPr="00711002">
              <w:rPr>
                <w:b/>
                <w:sz w:val="20"/>
                <w:szCs w:val="20"/>
              </w:rPr>
              <w:t xml:space="preserve"> Resource Mgt. 2001 Ltd. v. Saskatchewan Crop Insurance Corporation</w:t>
            </w:r>
          </w:p>
          <w:p w:rsidR="00711002" w:rsidRPr="00711002" w:rsidRDefault="00711002" w:rsidP="00711002">
            <w:pPr>
              <w:jc w:val="both"/>
              <w:rPr>
                <w:sz w:val="20"/>
              </w:rPr>
            </w:pPr>
            <w:r w:rsidRPr="00711002">
              <w:rPr>
                <w:sz w:val="20"/>
              </w:rPr>
              <w:t>(Sask.) (Civil) (By Leave</w:t>
            </w:r>
            <w:r w:rsidRPr="00711002">
              <w:rPr>
                <w:sz w:val="20"/>
              </w:rPr>
              <w:t>)</w:t>
            </w:r>
          </w:p>
        </w:tc>
      </w:tr>
      <w:tr w:rsidR="00711002" w:rsidRPr="00711002" w:rsidTr="006B0656">
        <w:tc>
          <w:tcPr>
            <w:tcW w:w="5000" w:type="pct"/>
            <w:gridSpan w:val="4"/>
          </w:tcPr>
          <w:p w:rsidR="00711002" w:rsidRPr="00711002" w:rsidRDefault="00711002" w:rsidP="00711002">
            <w:pPr>
              <w:jc w:val="both"/>
              <w:rPr>
                <w:sz w:val="20"/>
              </w:rPr>
            </w:pPr>
          </w:p>
          <w:p w:rsidR="00711002" w:rsidRPr="00711002" w:rsidRDefault="00711002" w:rsidP="00711002">
            <w:pPr>
              <w:jc w:val="both"/>
              <w:rPr>
                <w:sz w:val="20"/>
              </w:rPr>
            </w:pPr>
            <w:r w:rsidRPr="00711002">
              <w:rPr>
                <w:sz w:val="20"/>
              </w:rPr>
              <w:t>Civil procedure – Time – Application for dismissal of claim for want of prosecution – Whether it was appropriate to ignore the public interest nature and importance of the respondent’s activities in dismissing the applicant’s action for want of prosecution</w:t>
            </w:r>
            <w:r w:rsidRPr="00711002">
              <w:rPr>
                <w:sz w:val="20"/>
              </w:rPr>
              <w:t>.</w:t>
            </w:r>
          </w:p>
          <w:p w:rsidR="00711002" w:rsidRPr="00711002" w:rsidRDefault="00711002" w:rsidP="00711002">
            <w:pPr>
              <w:jc w:val="both"/>
              <w:rPr>
                <w:sz w:val="20"/>
              </w:rPr>
            </w:pPr>
          </w:p>
        </w:tc>
      </w:tr>
      <w:tr w:rsidR="00711002" w:rsidRPr="00711002" w:rsidTr="006B0656">
        <w:tc>
          <w:tcPr>
            <w:tcW w:w="5000" w:type="pct"/>
            <w:gridSpan w:val="4"/>
          </w:tcPr>
          <w:p w:rsidR="00711002" w:rsidRPr="00711002" w:rsidRDefault="00711002" w:rsidP="00711002">
            <w:pPr>
              <w:jc w:val="both"/>
              <w:rPr>
                <w:sz w:val="20"/>
              </w:rPr>
            </w:pPr>
            <w:r w:rsidRPr="00711002">
              <w:rPr>
                <w:sz w:val="20"/>
              </w:rPr>
              <w:t xml:space="preserve">The applicant owned considerable farmland and obtained crop insurance through the respondent. Disputes arose between them, leading to a denial of some of the applicant’s claims and the eventual cancellation of the policies. In July, 1993, the applicant commenced an action against the respondent, who filed a notice of intent to defend and a statement of defence. Various applications were brought by the parties. The statement of claim was amended, to which the respondent filed a counterclaim and statement of defence, and examinations for discovery were held. The applicant delayed in replying to its undertakings, obtaining an expert report quantifying its damages (for which a pre-trial conference was adjourned) and filing its amended statement of claim and a defense to the respondent’s counterclaim. </w:t>
            </w:r>
          </w:p>
          <w:p w:rsidR="00711002" w:rsidRPr="00711002" w:rsidRDefault="00711002" w:rsidP="00711002">
            <w:pPr>
              <w:jc w:val="both"/>
              <w:rPr>
                <w:sz w:val="20"/>
              </w:rPr>
            </w:pPr>
          </w:p>
          <w:p w:rsidR="00711002" w:rsidRPr="00711002" w:rsidRDefault="00711002" w:rsidP="00711002">
            <w:pPr>
              <w:jc w:val="both"/>
              <w:rPr>
                <w:sz w:val="20"/>
              </w:rPr>
            </w:pPr>
            <w:r w:rsidRPr="00711002">
              <w:rPr>
                <w:sz w:val="20"/>
              </w:rPr>
              <w:t xml:space="preserve">Twenty-three years later, and after giving several months’ notice of its intention to do so, the respondent applied to have the claim dismissed for want of prosecution pursuant to Rule 4-44 of </w:t>
            </w:r>
            <w:r w:rsidRPr="00711002">
              <w:rPr>
                <w:i/>
                <w:sz w:val="20"/>
              </w:rPr>
              <w:t>The Queen’s Bench Rules</w:t>
            </w:r>
            <w:r w:rsidRPr="00711002">
              <w:rPr>
                <w:sz w:val="20"/>
              </w:rPr>
              <w:t>. The Court of Queen’s Bench of Saskatchewan granted the application, finding inordinate delay that was inexcusable. While the Court found that the respondent bore some responsibility for delay, it held that it was not in the interests of justice for the case proceed to trial notwithstanding the delay. The Court of Appeal for Saskatchewan dismissed the appeal</w:t>
            </w:r>
            <w:r w:rsidRPr="00711002">
              <w:rPr>
                <w:sz w:val="20"/>
              </w:rPr>
              <w:t xml:space="preserve">. </w:t>
            </w:r>
          </w:p>
        </w:tc>
      </w:tr>
      <w:tr w:rsidR="00711002" w:rsidRPr="00711002" w:rsidTr="006B0656">
        <w:tc>
          <w:tcPr>
            <w:tcW w:w="5000" w:type="pct"/>
            <w:gridSpan w:val="4"/>
          </w:tcPr>
          <w:p w:rsidR="00711002" w:rsidRPr="00711002" w:rsidRDefault="00711002" w:rsidP="00711002">
            <w:pPr>
              <w:jc w:val="both"/>
              <w:rPr>
                <w:sz w:val="20"/>
              </w:rPr>
            </w:pPr>
          </w:p>
        </w:tc>
      </w:tr>
      <w:tr w:rsidR="00711002" w:rsidRPr="00711002" w:rsidTr="006B0656">
        <w:tc>
          <w:tcPr>
            <w:tcW w:w="2427" w:type="pct"/>
            <w:gridSpan w:val="2"/>
          </w:tcPr>
          <w:p w:rsidR="00711002" w:rsidRPr="00711002" w:rsidRDefault="00711002" w:rsidP="00711002">
            <w:pPr>
              <w:jc w:val="both"/>
              <w:rPr>
                <w:sz w:val="20"/>
              </w:rPr>
            </w:pPr>
            <w:r w:rsidRPr="00711002">
              <w:rPr>
                <w:sz w:val="20"/>
              </w:rPr>
              <w:t>August 3, 2016</w:t>
            </w:r>
          </w:p>
          <w:p w:rsidR="00711002" w:rsidRPr="00711002" w:rsidRDefault="00711002" w:rsidP="00711002">
            <w:pPr>
              <w:jc w:val="both"/>
              <w:rPr>
                <w:sz w:val="20"/>
              </w:rPr>
            </w:pPr>
            <w:r w:rsidRPr="00711002">
              <w:rPr>
                <w:sz w:val="20"/>
              </w:rPr>
              <w:t>Court of Queen’s Bench of Saskatchewan</w:t>
            </w:r>
          </w:p>
          <w:p w:rsidR="00711002" w:rsidRPr="00711002" w:rsidRDefault="00711002" w:rsidP="00711002">
            <w:pPr>
              <w:jc w:val="both"/>
              <w:rPr>
                <w:sz w:val="20"/>
              </w:rPr>
            </w:pPr>
            <w:r w:rsidRPr="00711002">
              <w:rPr>
                <w:sz w:val="20"/>
              </w:rPr>
              <w:t>(</w:t>
            </w:r>
            <w:proofErr w:type="spellStart"/>
            <w:r w:rsidRPr="00711002">
              <w:rPr>
                <w:sz w:val="20"/>
              </w:rPr>
              <w:t>Allbright</w:t>
            </w:r>
            <w:proofErr w:type="spellEnd"/>
            <w:r w:rsidRPr="00711002">
              <w:rPr>
                <w:sz w:val="20"/>
              </w:rPr>
              <w:t xml:space="preserve"> J.)</w:t>
            </w:r>
          </w:p>
          <w:p w:rsidR="00711002" w:rsidRPr="00711002" w:rsidRDefault="00711002" w:rsidP="00711002">
            <w:pPr>
              <w:jc w:val="both"/>
              <w:rPr>
                <w:sz w:val="20"/>
              </w:rPr>
            </w:pPr>
            <w:hyperlink r:id="rId21" w:history="1">
              <w:r w:rsidRPr="00711002">
                <w:rPr>
                  <w:rStyle w:val="Hyperlink"/>
                  <w:sz w:val="20"/>
                </w:rPr>
                <w:t>2016 SKQB 254</w:t>
              </w:r>
            </w:hyperlink>
          </w:p>
        </w:tc>
        <w:tc>
          <w:tcPr>
            <w:tcW w:w="243" w:type="pct"/>
          </w:tcPr>
          <w:p w:rsidR="00711002" w:rsidRPr="00711002" w:rsidRDefault="00711002" w:rsidP="00711002">
            <w:pPr>
              <w:jc w:val="both"/>
              <w:rPr>
                <w:sz w:val="20"/>
              </w:rPr>
            </w:pPr>
          </w:p>
        </w:tc>
        <w:tc>
          <w:tcPr>
            <w:tcW w:w="2330" w:type="pct"/>
          </w:tcPr>
          <w:p w:rsidR="00711002" w:rsidRPr="00711002" w:rsidRDefault="00711002" w:rsidP="00711002">
            <w:pPr>
              <w:jc w:val="both"/>
              <w:rPr>
                <w:sz w:val="20"/>
              </w:rPr>
            </w:pPr>
            <w:r w:rsidRPr="00711002">
              <w:rPr>
                <w:sz w:val="20"/>
              </w:rPr>
              <w:t>Applicant’s action dismissed for want of prosecution</w:t>
            </w:r>
          </w:p>
          <w:p w:rsidR="00711002" w:rsidRPr="00711002" w:rsidRDefault="00711002" w:rsidP="00711002">
            <w:pPr>
              <w:jc w:val="both"/>
              <w:rPr>
                <w:sz w:val="20"/>
              </w:rPr>
            </w:pPr>
          </w:p>
        </w:tc>
      </w:tr>
      <w:tr w:rsidR="00711002" w:rsidRPr="00711002" w:rsidTr="006B0656">
        <w:tc>
          <w:tcPr>
            <w:tcW w:w="2427" w:type="pct"/>
            <w:gridSpan w:val="2"/>
          </w:tcPr>
          <w:p w:rsidR="00711002" w:rsidRPr="00711002" w:rsidRDefault="00711002" w:rsidP="00711002">
            <w:pPr>
              <w:jc w:val="both"/>
              <w:rPr>
                <w:sz w:val="20"/>
              </w:rPr>
            </w:pPr>
          </w:p>
          <w:p w:rsidR="00711002" w:rsidRPr="00711002" w:rsidRDefault="00711002" w:rsidP="00711002">
            <w:pPr>
              <w:jc w:val="both"/>
              <w:rPr>
                <w:sz w:val="20"/>
              </w:rPr>
            </w:pPr>
            <w:r w:rsidRPr="00711002">
              <w:rPr>
                <w:sz w:val="20"/>
              </w:rPr>
              <w:t>May 10, 2017</w:t>
            </w:r>
          </w:p>
          <w:p w:rsidR="00711002" w:rsidRPr="00711002" w:rsidRDefault="00711002" w:rsidP="00711002">
            <w:pPr>
              <w:jc w:val="both"/>
              <w:rPr>
                <w:sz w:val="20"/>
              </w:rPr>
            </w:pPr>
            <w:r w:rsidRPr="00711002">
              <w:rPr>
                <w:sz w:val="20"/>
              </w:rPr>
              <w:t>Court of Appeal for Saskatchewan</w:t>
            </w:r>
          </w:p>
          <w:p w:rsidR="00711002" w:rsidRPr="00711002" w:rsidRDefault="00711002" w:rsidP="00711002">
            <w:pPr>
              <w:jc w:val="both"/>
              <w:rPr>
                <w:sz w:val="20"/>
              </w:rPr>
            </w:pPr>
            <w:r w:rsidRPr="00711002">
              <w:rPr>
                <w:sz w:val="20"/>
              </w:rPr>
              <w:t>(Ryan-</w:t>
            </w:r>
            <w:proofErr w:type="spellStart"/>
            <w:r w:rsidRPr="00711002">
              <w:rPr>
                <w:sz w:val="20"/>
              </w:rPr>
              <w:t>Froslie</w:t>
            </w:r>
            <w:proofErr w:type="spellEnd"/>
            <w:r w:rsidRPr="00711002">
              <w:rPr>
                <w:sz w:val="20"/>
              </w:rPr>
              <w:t>, Jackson and Whitmore JJ.A.)</w:t>
            </w:r>
          </w:p>
          <w:p w:rsidR="00711002" w:rsidRPr="00711002" w:rsidRDefault="00711002" w:rsidP="00711002">
            <w:pPr>
              <w:jc w:val="both"/>
              <w:rPr>
                <w:sz w:val="20"/>
              </w:rPr>
            </w:pPr>
            <w:hyperlink r:id="rId22" w:history="1">
              <w:r w:rsidRPr="00711002">
                <w:rPr>
                  <w:rStyle w:val="Hyperlink"/>
                  <w:sz w:val="20"/>
                </w:rPr>
                <w:t>2017 SKCA 35</w:t>
              </w:r>
            </w:hyperlink>
          </w:p>
          <w:p w:rsidR="00711002" w:rsidRPr="00711002" w:rsidRDefault="00711002" w:rsidP="00711002">
            <w:pPr>
              <w:jc w:val="both"/>
              <w:rPr>
                <w:sz w:val="20"/>
              </w:rPr>
            </w:pPr>
          </w:p>
        </w:tc>
        <w:tc>
          <w:tcPr>
            <w:tcW w:w="243" w:type="pct"/>
          </w:tcPr>
          <w:p w:rsidR="00711002" w:rsidRPr="00711002" w:rsidRDefault="00711002" w:rsidP="00711002">
            <w:pPr>
              <w:jc w:val="both"/>
              <w:rPr>
                <w:sz w:val="20"/>
              </w:rPr>
            </w:pPr>
          </w:p>
        </w:tc>
        <w:tc>
          <w:tcPr>
            <w:tcW w:w="2330" w:type="pct"/>
          </w:tcPr>
          <w:p w:rsidR="00711002" w:rsidRPr="00711002" w:rsidRDefault="00711002" w:rsidP="00711002">
            <w:pPr>
              <w:jc w:val="both"/>
              <w:rPr>
                <w:sz w:val="20"/>
              </w:rPr>
            </w:pPr>
            <w:r w:rsidRPr="00711002">
              <w:rPr>
                <w:sz w:val="20"/>
              </w:rPr>
              <w:t>Appeal dismissed</w:t>
            </w:r>
          </w:p>
          <w:p w:rsidR="00711002" w:rsidRPr="00711002" w:rsidRDefault="00711002" w:rsidP="00711002">
            <w:pPr>
              <w:jc w:val="both"/>
              <w:rPr>
                <w:sz w:val="20"/>
              </w:rPr>
            </w:pPr>
          </w:p>
        </w:tc>
      </w:tr>
      <w:tr w:rsidR="00711002" w:rsidRPr="00711002" w:rsidTr="006B0656">
        <w:tc>
          <w:tcPr>
            <w:tcW w:w="2427" w:type="pct"/>
            <w:gridSpan w:val="2"/>
          </w:tcPr>
          <w:p w:rsidR="00711002" w:rsidRPr="00711002" w:rsidRDefault="00711002" w:rsidP="00711002">
            <w:pPr>
              <w:jc w:val="both"/>
              <w:rPr>
                <w:sz w:val="20"/>
              </w:rPr>
            </w:pPr>
            <w:r w:rsidRPr="00711002">
              <w:rPr>
                <w:sz w:val="20"/>
              </w:rPr>
              <w:t>August 8, 2017</w:t>
            </w:r>
          </w:p>
          <w:p w:rsidR="00711002" w:rsidRPr="00711002" w:rsidRDefault="00711002" w:rsidP="00711002">
            <w:pPr>
              <w:jc w:val="both"/>
              <w:rPr>
                <w:sz w:val="20"/>
              </w:rPr>
            </w:pPr>
            <w:r w:rsidRPr="00711002">
              <w:rPr>
                <w:sz w:val="20"/>
              </w:rPr>
              <w:t>Supreme Court of Canada</w:t>
            </w:r>
          </w:p>
        </w:tc>
        <w:tc>
          <w:tcPr>
            <w:tcW w:w="243" w:type="pct"/>
          </w:tcPr>
          <w:p w:rsidR="00711002" w:rsidRPr="00711002" w:rsidRDefault="00711002" w:rsidP="00711002">
            <w:pPr>
              <w:jc w:val="both"/>
              <w:rPr>
                <w:sz w:val="20"/>
              </w:rPr>
            </w:pPr>
          </w:p>
        </w:tc>
        <w:tc>
          <w:tcPr>
            <w:tcW w:w="2330" w:type="pct"/>
          </w:tcPr>
          <w:p w:rsidR="00711002" w:rsidRPr="00711002" w:rsidRDefault="00711002" w:rsidP="00711002">
            <w:pPr>
              <w:jc w:val="both"/>
              <w:rPr>
                <w:sz w:val="20"/>
              </w:rPr>
            </w:pPr>
            <w:r w:rsidRPr="00711002">
              <w:rPr>
                <w:sz w:val="20"/>
              </w:rPr>
              <w:t>Application for leave to appeal filed</w:t>
            </w:r>
            <w:r w:rsidRPr="00711002">
              <w:rPr>
                <w:sz w:val="20"/>
              </w:rPr>
              <w:t xml:space="preserve"> </w:t>
            </w:r>
          </w:p>
        </w:tc>
      </w:tr>
    </w:tbl>
    <w:p w:rsidR="00711002" w:rsidRPr="00711002" w:rsidRDefault="00711002" w:rsidP="00711002">
      <w:pPr>
        <w:jc w:val="both"/>
        <w:rPr>
          <w:sz w:val="20"/>
        </w:rPr>
      </w:pPr>
    </w:p>
    <w:p w:rsidR="00711002" w:rsidRPr="00711002" w:rsidRDefault="00711002" w:rsidP="007110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1002" w:rsidRPr="00711002" w:rsidTr="006B0656">
        <w:tc>
          <w:tcPr>
            <w:tcW w:w="543" w:type="pct"/>
          </w:tcPr>
          <w:p w:rsidR="00711002" w:rsidRPr="00711002" w:rsidRDefault="00711002" w:rsidP="00711002">
            <w:pPr>
              <w:jc w:val="both"/>
              <w:rPr>
                <w:sz w:val="20"/>
                <w:lang w:val="fr-CA"/>
              </w:rPr>
            </w:pPr>
            <w:r w:rsidRPr="00711002">
              <w:rPr>
                <w:rStyle w:val="SCCFileNumberChar"/>
                <w:sz w:val="20"/>
                <w:szCs w:val="20"/>
              </w:rPr>
              <w:t>37685</w:t>
            </w:r>
          </w:p>
        </w:tc>
        <w:tc>
          <w:tcPr>
            <w:tcW w:w="4457" w:type="pct"/>
            <w:gridSpan w:val="3"/>
          </w:tcPr>
          <w:p w:rsidR="00711002" w:rsidRPr="00711002" w:rsidRDefault="00711002" w:rsidP="00711002">
            <w:pPr>
              <w:pStyle w:val="SCCLsocParty"/>
              <w:jc w:val="both"/>
              <w:rPr>
                <w:b/>
                <w:sz w:val="20"/>
                <w:szCs w:val="20"/>
                <w:lang w:val="en-US"/>
              </w:rPr>
            </w:pPr>
            <w:proofErr w:type="spellStart"/>
            <w:r w:rsidRPr="00711002">
              <w:rPr>
                <w:b/>
                <w:sz w:val="20"/>
                <w:szCs w:val="20"/>
                <w:lang w:val="en-US"/>
              </w:rPr>
              <w:t>Agri</w:t>
            </w:r>
            <w:proofErr w:type="spellEnd"/>
            <w:r w:rsidRPr="00711002">
              <w:rPr>
                <w:b/>
                <w:sz w:val="20"/>
                <w:szCs w:val="20"/>
                <w:lang w:val="en-US"/>
              </w:rPr>
              <w:t xml:space="preserve"> Resource Mgt. 2001 Ltd. c. Saskatchewan Crop Insurance Corporation</w:t>
            </w:r>
          </w:p>
          <w:p w:rsidR="00711002" w:rsidRPr="00711002" w:rsidRDefault="00711002" w:rsidP="00711002">
            <w:pPr>
              <w:jc w:val="both"/>
              <w:rPr>
                <w:sz w:val="20"/>
                <w:lang w:val="fr-CA"/>
              </w:rPr>
            </w:pPr>
            <w:r w:rsidRPr="00711002">
              <w:rPr>
                <w:sz w:val="20"/>
                <w:lang w:val="fr-CA"/>
              </w:rPr>
              <w:t>(</w:t>
            </w:r>
            <w:proofErr w:type="spellStart"/>
            <w:r w:rsidRPr="00711002">
              <w:rPr>
                <w:sz w:val="20"/>
                <w:lang w:val="fr-CA"/>
              </w:rPr>
              <w:t>Sask</w:t>
            </w:r>
            <w:proofErr w:type="spellEnd"/>
            <w:r w:rsidRPr="00711002">
              <w:rPr>
                <w:sz w:val="20"/>
                <w:lang w:val="fr-CA"/>
              </w:rPr>
              <w:t>.) (Civile) (Sur autorisation</w:t>
            </w:r>
            <w:r w:rsidRPr="00711002">
              <w:rPr>
                <w:sz w:val="20"/>
                <w:lang w:val="fr-CA"/>
              </w:rPr>
              <w:t>)</w:t>
            </w:r>
          </w:p>
        </w:tc>
      </w:tr>
      <w:tr w:rsidR="00711002" w:rsidRPr="00711002" w:rsidTr="006B0656">
        <w:tc>
          <w:tcPr>
            <w:tcW w:w="5000" w:type="pct"/>
            <w:gridSpan w:val="4"/>
          </w:tcPr>
          <w:p w:rsidR="00711002" w:rsidRPr="00711002" w:rsidRDefault="00711002" w:rsidP="00711002">
            <w:pPr>
              <w:jc w:val="both"/>
              <w:rPr>
                <w:sz w:val="20"/>
                <w:lang w:val="fr-CA"/>
              </w:rPr>
            </w:pPr>
          </w:p>
          <w:p w:rsidR="00711002" w:rsidRPr="00711002" w:rsidRDefault="00711002" w:rsidP="00711002">
            <w:pPr>
              <w:jc w:val="both"/>
              <w:rPr>
                <w:sz w:val="20"/>
                <w:lang w:val="fr-CA"/>
              </w:rPr>
            </w:pPr>
            <w:r w:rsidRPr="00711002">
              <w:rPr>
                <w:sz w:val="20"/>
                <w:lang w:val="fr-CA"/>
              </w:rPr>
              <w:t>Procédure civile – Délai – Demande de rejet de l’action pour défaut de poursuivre – Était-il opportun de faire abstraction de la nature d’intérêt public et de l’importance des activités de l’intimée en rejetant l’action de la demanderesse pour défaut de poursuivre?</w:t>
            </w:r>
          </w:p>
          <w:p w:rsidR="00711002" w:rsidRPr="00711002" w:rsidRDefault="00711002" w:rsidP="00711002">
            <w:pPr>
              <w:jc w:val="both"/>
              <w:rPr>
                <w:sz w:val="20"/>
                <w:lang w:val="fr-CA"/>
              </w:rPr>
            </w:pPr>
          </w:p>
        </w:tc>
      </w:tr>
      <w:tr w:rsidR="00711002" w:rsidRPr="00711002" w:rsidTr="006B0656">
        <w:tc>
          <w:tcPr>
            <w:tcW w:w="5000" w:type="pct"/>
            <w:gridSpan w:val="4"/>
          </w:tcPr>
          <w:p w:rsidR="00711002" w:rsidRPr="00711002" w:rsidRDefault="00711002" w:rsidP="00711002">
            <w:pPr>
              <w:jc w:val="both"/>
              <w:rPr>
                <w:sz w:val="20"/>
                <w:lang w:val="fr-CA"/>
              </w:rPr>
            </w:pPr>
            <w:r w:rsidRPr="00711002">
              <w:rPr>
                <w:sz w:val="20"/>
                <w:lang w:val="fr-CA"/>
              </w:rPr>
              <w:t xml:space="preserve">La demanderesse était propriétaire de terres agricoles considérables et a obtenu une assurance-récolte par l’entremise de l’intimée. Des différends ont pris naissance entre les parties, entraînant le rejet de certaines demandes d’indemnisation de la demanderesse, puis l’annulation des polices. En juillet 1993, la demanderesse a intenté une action contre l’intimée, qui a déposé un avis d’intention de présenter une défense et une défense. Les parties ont présenté diverses requêtes. La déclaration a été modifiée, après quoi l’intimée a présenté une demande reconventionnelle et une défense, et il y a eu des interrogatoires préalables. La demanderesse a tardé à donner suite à ses engagements, à obtenir un rapport d’expert quantifiant son préjudice (entraînant l’ajournement d’une conférence préalable à l’instruction) et à déposer sa déclaration modifiée et une défense à la demande reconventionnelle de l’intimée. </w:t>
            </w:r>
          </w:p>
          <w:p w:rsidR="00711002" w:rsidRPr="00711002" w:rsidRDefault="00711002" w:rsidP="00711002">
            <w:pPr>
              <w:jc w:val="both"/>
              <w:rPr>
                <w:sz w:val="20"/>
                <w:lang w:val="fr-CA"/>
              </w:rPr>
            </w:pPr>
          </w:p>
          <w:p w:rsidR="00711002" w:rsidRPr="00711002" w:rsidRDefault="00711002" w:rsidP="00711002">
            <w:pPr>
              <w:jc w:val="both"/>
              <w:rPr>
                <w:sz w:val="20"/>
                <w:lang w:val="fr-CA"/>
              </w:rPr>
            </w:pPr>
            <w:r w:rsidRPr="00711002">
              <w:rPr>
                <w:sz w:val="20"/>
                <w:lang w:val="fr-CA"/>
              </w:rPr>
              <w:t xml:space="preserve">Vingt-trois ans plus tard, et après avoir donné un avis préalable de plusieurs mois de son intention de le faire, l’intimée a demandé le rejet de l’action pour défaut de poursuive en application de la règle 4-44 de </w:t>
            </w:r>
            <w:r w:rsidRPr="00711002">
              <w:rPr>
                <w:i/>
                <w:sz w:val="20"/>
                <w:lang w:val="fr-CA"/>
              </w:rPr>
              <w:t xml:space="preserve">The </w:t>
            </w:r>
            <w:proofErr w:type="spellStart"/>
            <w:r w:rsidRPr="00711002">
              <w:rPr>
                <w:i/>
                <w:sz w:val="20"/>
                <w:lang w:val="fr-CA"/>
              </w:rPr>
              <w:t>Queen’s</w:t>
            </w:r>
            <w:proofErr w:type="spellEnd"/>
            <w:r w:rsidRPr="00711002">
              <w:rPr>
                <w:i/>
                <w:sz w:val="20"/>
                <w:lang w:val="fr-CA"/>
              </w:rPr>
              <w:t xml:space="preserve"> </w:t>
            </w:r>
            <w:proofErr w:type="spellStart"/>
            <w:r w:rsidRPr="00711002">
              <w:rPr>
                <w:i/>
                <w:sz w:val="20"/>
                <w:lang w:val="fr-CA"/>
              </w:rPr>
              <w:t>Bench</w:t>
            </w:r>
            <w:proofErr w:type="spellEnd"/>
            <w:r w:rsidRPr="00711002">
              <w:rPr>
                <w:i/>
                <w:sz w:val="20"/>
                <w:lang w:val="fr-CA"/>
              </w:rPr>
              <w:t xml:space="preserve"> </w:t>
            </w:r>
            <w:proofErr w:type="spellStart"/>
            <w:r w:rsidRPr="00711002">
              <w:rPr>
                <w:i/>
                <w:sz w:val="20"/>
                <w:lang w:val="fr-CA"/>
              </w:rPr>
              <w:t>Rules</w:t>
            </w:r>
            <w:proofErr w:type="spellEnd"/>
            <w:r w:rsidRPr="00711002">
              <w:rPr>
                <w:sz w:val="20"/>
                <w:lang w:val="fr-CA"/>
              </w:rPr>
              <w:t>. La Cour du Banc de la Reine de la Saskatchewan a accueilli la demande, concluant que le retard indu était inexcusable. Bien que la Cour ait conclu que le retard était partiellement imputable à l’intimée, elle a conclu qu’il n’était pas dans l’intérêt de la justice que l’affaire aille à procès malgré le retard. La Cour d’appel de la Saskatchewan a rejeté l’appel.</w:t>
            </w:r>
          </w:p>
          <w:p w:rsidR="00711002" w:rsidRPr="00711002" w:rsidRDefault="00711002" w:rsidP="00711002">
            <w:pPr>
              <w:jc w:val="both"/>
              <w:rPr>
                <w:sz w:val="20"/>
                <w:lang w:val="fr-CA"/>
              </w:rPr>
            </w:pPr>
          </w:p>
        </w:tc>
      </w:tr>
      <w:tr w:rsidR="00711002" w:rsidRPr="00711002" w:rsidTr="006B0656">
        <w:tc>
          <w:tcPr>
            <w:tcW w:w="2427" w:type="pct"/>
            <w:gridSpan w:val="2"/>
          </w:tcPr>
          <w:p w:rsidR="00711002" w:rsidRPr="00711002" w:rsidRDefault="00711002" w:rsidP="00711002">
            <w:pPr>
              <w:jc w:val="both"/>
              <w:rPr>
                <w:sz w:val="20"/>
                <w:lang w:val="fr-CA"/>
              </w:rPr>
            </w:pPr>
            <w:r w:rsidRPr="00711002">
              <w:rPr>
                <w:sz w:val="20"/>
                <w:lang w:val="fr-CA"/>
              </w:rPr>
              <w:t>3 août 2016</w:t>
            </w:r>
          </w:p>
          <w:p w:rsidR="00711002" w:rsidRPr="00711002" w:rsidRDefault="00711002" w:rsidP="00711002">
            <w:pPr>
              <w:jc w:val="both"/>
              <w:rPr>
                <w:sz w:val="20"/>
                <w:lang w:val="fr-CA"/>
              </w:rPr>
            </w:pPr>
            <w:r w:rsidRPr="00711002">
              <w:rPr>
                <w:sz w:val="20"/>
                <w:lang w:val="fr-CA"/>
              </w:rPr>
              <w:t>Cour du Banc de la Reine de la Saskatchewan</w:t>
            </w:r>
          </w:p>
          <w:p w:rsidR="00711002" w:rsidRPr="00711002" w:rsidRDefault="00711002" w:rsidP="00711002">
            <w:pPr>
              <w:jc w:val="both"/>
              <w:rPr>
                <w:sz w:val="20"/>
                <w:lang w:val="fr-CA"/>
              </w:rPr>
            </w:pPr>
            <w:r w:rsidRPr="00711002">
              <w:rPr>
                <w:sz w:val="20"/>
                <w:lang w:val="fr-CA"/>
              </w:rPr>
              <w:t xml:space="preserve">(Juge </w:t>
            </w:r>
            <w:proofErr w:type="spellStart"/>
            <w:r w:rsidRPr="00711002">
              <w:rPr>
                <w:sz w:val="20"/>
                <w:lang w:val="fr-CA"/>
              </w:rPr>
              <w:t>Allbright</w:t>
            </w:r>
            <w:proofErr w:type="spellEnd"/>
            <w:r w:rsidRPr="00711002">
              <w:rPr>
                <w:sz w:val="20"/>
                <w:lang w:val="fr-CA"/>
              </w:rPr>
              <w:t>)</w:t>
            </w:r>
          </w:p>
          <w:p w:rsidR="00711002" w:rsidRPr="00711002" w:rsidRDefault="00711002" w:rsidP="00711002">
            <w:pPr>
              <w:jc w:val="both"/>
              <w:rPr>
                <w:rStyle w:val="Hyperlink"/>
                <w:sz w:val="20"/>
                <w:lang w:val="fr-CA"/>
              </w:rPr>
            </w:pPr>
            <w:hyperlink r:id="rId23" w:history="1">
              <w:r w:rsidRPr="00711002">
                <w:rPr>
                  <w:rStyle w:val="Hyperlink"/>
                  <w:sz w:val="20"/>
                  <w:lang w:val="fr-CA"/>
                </w:rPr>
                <w:t>2016 SKQB 254</w:t>
              </w:r>
            </w:hyperlink>
          </w:p>
          <w:p w:rsidR="00711002" w:rsidRPr="00711002" w:rsidRDefault="00711002" w:rsidP="00711002">
            <w:pPr>
              <w:jc w:val="both"/>
              <w:rPr>
                <w:sz w:val="20"/>
                <w:lang w:val="fr-CA"/>
              </w:rPr>
            </w:pPr>
          </w:p>
        </w:tc>
        <w:tc>
          <w:tcPr>
            <w:tcW w:w="243" w:type="pct"/>
          </w:tcPr>
          <w:p w:rsidR="00711002" w:rsidRPr="00711002" w:rsidRDefault="00711002" w:rsidP="00711002">
            <w:pPr>
              <w:jc w:val="both"/>
              <w:rPr>
                <w:sz w:val="20"/>
                <w:lang w:val="fr-CA"/>
              </w:rPr>
            </w:pPr>
          </w:p>
        </w:tc>
        <w:tc>
          <w:tcPr>
            <w:tcW w:w="2330" w:type="pct"/>
          </w:tcPr>
          <w:p w:rsidR="00711002" w:rsidRPr="00711002" w:rsidRDefault="00711002" w:rsidP="00711002">
            <w:pPr>
              <w:jc w:val="both"/>
              <w:rPr>
                <w:sz w:val="20"/>
                <w:lang w:val="fr-CA"/>
              </w:rPr>
            </w:pPr>
            <w:r w:rsidRPr="00711002">
              <w:rPr>
                <w:sz w:val="20"/>
                <w:lang w:val="fr-CA"/>
              </w:rPr>
              <w:t>Rejet de l’action de la demanderesse pour défaut de poursuivre</w:t>
            </w:r>
          </w:p>
          <w:p w:rsidR="00711002" w:rsidRPr="00711002" w:rsidRDefault="00711002" w:rsidP="00711002">
            <w:pPr>
              <w:jc w:val="both"/>
              <w:rPr>
                <w:sz w:val="20"/>
                <w:lang w:val="fr-CA"/>
              </w:rPr>
            </w:pPr>
          </w:p>
        </w:tc>
      </w:tr>
      <w:tr w:rsidR="00711002" w:rsidRPr="00711002" w:rsidTr="006B0656">
        <w:tc>
          <w:tcPr>
            <w:tcW w:w="2427" w:type="pct"/>
            <w:gridSpan w:val="2"/>
          </w:tcPr>
          <w:p w:rsidR="00711002" w:rsidRPr="00711002" w:rsidRDefault="00711002" w:rsidP="00711002">
            <w:pPr>
              <w:jc w:val="both"/>
              <w:rPr>
                <w:sz w:val="20"/>
                <w:lang w:val="fr-CA"/>
              </w:rPr>
            </w:pPr>
            <w:r w:rsidRPr="00711002">
              <w:rPr>
                <w:sz w:val="20"/>
                <w:lang w:val="fr-CA"/>
              </w:rPr>
              <w:t>10 mai 2017</w:t>
            </w:r>
          </w:p>
          <w:p w:rsidR="00711002" w:rsidRPr="00711002" w:rsidRDefault="00711002" w:rsidP="00711002">
            <w:pPr>
              <w:jc w:val="both"/>
              <w:rPr>
                <w:sz w:val="20"/>
                <w:lang w:val="fr-CA"/>
              </w:rPr>
            </w:pPr>
            <w:r w:rsidRPr="00711002">
              <w:rPr>
                <w:sz w:val="20"/>
                <w:lang w:val="fr-CA"/>
              </w:rPr>
              <w:t>Cour d’appel de la Saskatchewan</w:t>
            </w:r>
          </w:p>
          <w:p w:rsidR="00711002" w:rsidRPr="00711002" w:rsidRDefault="00711002" w:rsidP="00711002">
            <w:pPr>
              <w:jc w:val="both"/>
              <w:rPr>
                <w:sz w:val="20"/>
                <w:lang w:val="fr-CA"/>
              </w:rPr>
            </w:pPr>
            <w:r w:rsidRPr="00711002">
              <w:rPr>
                <w:sz w:val="20"/>
                <w:lang w:val="fr-CA"/>
              </w:rPr>
              <w:t>(Juges Ryan-</w:t>
            </w:r>
            <w:proofErr w:type="spellStart"/>
            <w:r w:rsidRPr="00711002">
              <w:rPr>
                <w:sz w:val="20"/>
                <w:lang w:val="fr-CA"/>
              </w:rPr>
              <w:t>Froslie</w:t>
            </w:r>
            <w:proofErr w:type="spellEnd"/>
            <w:r w:rsidRPr="00711002">
              <w:rPr>
                <w:sz w:val="20"/>
                <w:lang w:val="fr-CA"/>
              </w:rPr>
              <w:t xml:space="preserve">, Jackson et </w:t>
            </w:r>
            <w:proofErr w:type="spellStart"/>
            <w:r w:rsidRPr="00711002">
              <w:rPr>
                <w:sz w:val="20"/>
                <w:lang w:val="fr-CA"/>
              </w:rPr>
              <w:t>Whitmore</w:t>
            </w:r>
            <w:proofErr w:type="spellEnd"/>
            <w:r w:rsidRPr="00711002">
              <w:rPr>
                <w:sz w:val="20"/>
                <w:lang w:val="fr-CA"/>
              </w:rPr>
              <w:t>)</w:t>
            </w:r>
          </w:p>
          <w:p w:rsidR="00711002" w:rsidRPr="00711002" w:rsidRDefault="00711002" w:rsidP="00711002">
            <w:pPr>
              <w:jc w:val="both"/>
              <w:rPr>
                <w:sz w:val="20"/>
                <w:lang w:val="fr-CA"/>
              </w:rPr>
            </w:pPr>
            <w:hyperlink r:id="rId24" w:history="1">
              <w:r w:rsidRPr="00711002">
                <w:rPr>
                  <w:rStyle w:val="Hyperlink"/>
                  <w:sz w:val="20"/>
                  <w:lang w:val="fr-CA"/>
                </w:rPr>
                <w:t>2017 SKCA 35</w:t>
              </w:r>
            </w:hyperlink>
          </w:p>
          <w:p w:rsidR="00711002" w:rsidRPr="00711002" w:rsidRDefault="00711002" w:rsidP="00711002">
            <w:pPr>
              <w:jc w:val="both"/>
              <w:rPr>
                <w:sz w:val="20"/>
                <w:lang w:val="fr-CA"/>
              </w:rPr>
            </w:pPr>
          </w:p>
        </w:tc>
        <w:tc>
          <w:tcPr>
            <w:tcW w:w="243" w:type="pct"/>
          </w:tcPr>
          <w:p w:rsidR="00711002" w:rsidRPr="00711002" w:rsidRDefault="00711002" w:rsidP="00711002">
            <w:pPr>
              <w:jc w:val="both"/>
              <w:rPr>
                <w:sz w:val="20"/>
                <w:lang w:val="fr-CA"/>
              </w:rPr>
            </w:pPr>
          </w:p>
        </w:tc>
        <w:tc>
          <w:tcPr>
            <w:tcW w:w="2330" w:type="pct"/>
          </w:tcPr>
          <w:p w:rsidR="00711002" w:rsidRPr="00711002" w:rsidRDefault="00711002" w:rsidP="00711002">
            <w:pPr>
              <w:jc w:val="both"/>
              <w:rPr>
                <w:sz w:val="20"/>
                <w:lang w:val="fr-CA"/>
              </w:rPr>
            </w:pPr>
            <w:r w:rsidRPr="00711002">
              <w:rPr>
                <w:sz w:val="20"/>
                <w:lang w:val="fr-CA"/>
              </w:rPr>
              <w:t>Rejet de l’appel</w:t>
            </w:r>
          </w:p>
          <w:p w:rsidR="00711002" w:rsidRPr="00711002" w:rsidRDefault="00711002" w:rsidP="00711002">
            <w:pPr>
              <w:jc w:val="both"/>
              <w:rPr>
                <w:sz w:val="20"/>
                <w:lang w:val="fr-CA"/>
              </w:rPr>
            </w:pPr>
          </w:p>
        </w:tc>
      </w:tr>
      <w:tr w:rsidR="00711002" w:rsidRPr="00711002" w:rsidTr="006B0656">
        <w:tc>
          <w:tcPr>
            <w:tcW w:w="2427" w:type="pct"/>
            <w:gridSpan w:val="2"/>
          </w:tcPr>
          <w:p w:rsidR="00711002" w:rsidRPr="00711002" w:rsidRDefault="00711002" w:rsidP="00711002">
            <w:pPr>
              <w:jc w:val="both"/>
              <w:rPr>
                <w:sz w:val="20"/>
                <w:lang w:val="fr-CA"/>
              </w:rPr>
            </w:pPr>
            <w:r w:rsidRPr="00711002">
              <w:rPr>
                <w:sz w:val="20"/>
                <w:lang w:val="fr-CA"/>
              </w:rPr>
              <w:t>8 août 2017</w:t>
            </w:r>
          </w:p>
          <w:p w:rsidR="00711002" w:rsidRPr="00711002" w:rsidRDefault="00711002" w:rsidP="00711002">
            <w:pPr>
              <w:jc w:val="both"/>
              <w:rPr>
                <w:sz w:val="20"/>
                <w:lang w:val="fr-CA"/>
              </w:rPr>
            </w:pPr>
            <w:r w:rsidRPr="00711002">
              <w:rPr>
                <w:sz w:val="20"/>
                <w:lang w:val="fr-CA"/>
              </w:rPr>
              <w:t>Cour suprême du Canada</w:t>
            </w:r>
          </w:p>
        </w:tc>
        <w:tc>
          <w:tcPr>
            <w:tcW w:w="243" w:type="pct"/>
          </w:tcPr>
          <w:p w:rsidR="00711002" w:rsidRPr="00711002" w:rsidRDefault="00711002" w:rsidP="00711002">
            <w:pPr>
              <w:jc w:val="both"/>
              <w:rPr>
                <w:sz w:val="20"/>
                <w:lang w:val="fr-CA"/>
              </w:rPr>
            </w:pPr>
          </w:p>
        </w:tc>
        <w:tc>
          <w:tcPr>
            <w:tcW w:w="2330" w:type="pct"/>
          </w:tcPr>
          <w:p w:rsidR="00711002" w:rsidRPr="00711002" w:rsidRDefault="00711002" w:rsidP="00711002">
            <w:pPr>
              <w:jc w:val="both"/>
              <w:rPr>
                <w:sz w:val="20"/>
                <w:lang w:val="fr-CA"/>
              </w:rPr>
            </w:pPr>
            <w:r w:rsidRPr="00711002">
              <w:rPr>
                <w:sz w:val="20"/>
                <w:lang w:val="fr-CA"/>
              </w:rPr>
              <w:t>Dépôt de la demande d’autorisation d’appel</w:t>
            </w:r>
          </w:p>
          <w:p w:rsidR="00711002" w:rsidRPr="00711002" w:rsidRDefault="00711002" w:rsidP="00711002">
            <w:pPr>
              <w:jc w:val="both"/>
              <w:rPr>
                <w:sz w:val="20"/>
                <w:lang w:val="fr-CA"/>
              </w:rPr>
            </w:pPr>
          </w:p>
        </w:tc>
      </w:tr>
    </w:tbl>
    <w:p w:rsidR="00711002" w:rsidRPr="00711002" w:rsidRDefault="00711002" w:rsidP="00711002">
      <w:pPr>
        <w:jc w:val="both"/>
        <w:rPr>
          <w:sz w:val="20"/>
          <w:lang w:val="fr-CA"/>
        </w:rPr>
      </w:pPr>
    </w:p>
    <w:p w:rsidR="00E94383" w:rsidRPr="00711002" w:rsidRDefault="00E94383" w:rsidP="00711002">
      <w:pPr>
        <w:jc w:val="both"/>
        <w:rPr>
          <w:sz w:val="20"/>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4383" w:rsidRPr="00E94383" w:rsidTr="00E94383">
        <w:tc>
          <w:tcPr>
            <w:tcW w:w="543" w:type="pct"/>
          </w:tcPr>
          <w:p w:rsidR="00E94383" w:rsidRPr="00E94383" w:rsidRDefault="00E94383" w:rsidP="00E94383">
            <w:pPr>
              <w:jc w:val="both"/>
              <w:rPr>
                <w:sz w:val="20"/>
                <w:lang w:val="en-CA"/>
              </w:rPr>
            </w:pPr>
            <w:r w:rsidRPr="00E94383">
              <w:rPr>
                <w:rStyle w:val="SCCFileNumberChar"/>
                <w:sz w:val="20"/>
                <w:szCs w:val="20"/>
              </w:rPr>
              <w:t>37720</w:t>
            </w:r>
          </w:p>
        </w:tc>
        <w:tc>
          <w:tcPr>
            <w:tcW w:w="4457" w:type="pct"/>
            <w:gridSpan w:val="3"/>
          </w:tcPr>
          <w:p w:rsidR="00E94383" w:rsidRPr="00BB3B17" w:rsidRDefault="00E94383" w:rsidP="00E94383">
            <w:pPr>
              <w:pStyle w:val="SCCLsocParty"/>
              <w:jc w:val="both"/>
              <w:rPr>
                <w:b/>
                <w:sz w:val="20"/>
                <w:szCs w:val="20"/>
                <w:lang w:val="en-CA"/>
              </w:rPr>
            </w:pPr>
            <w:r w:rsidRPr="00BB3B17">
              <w:rPr>
                <w:b/>
                <w:sz w:val="20"/>
                <w:szCs w:val="20"/>
                <w:lang w:val="en-CA"/>
              </w:rPr>
              <w:t>Jacques Gagné v. Her Majesty the Queen</w:t>
            </w:r>
          </w:p>
          <w:p w:rsidR="00E94383" w:rsidRPr="00E94383" w:rsidRDefault="00E94383" w:rsidP="00E94383">
            <w:pPr>
              <w:jc w:val="both"/>
              <w:rPr>
                <w:sz w:val="20"/>
                <w:lang w:val="en-CA"/>
              </w:rPr>
            </w:pPr>
            <w:r w:rsidRPr="00E94383">
              <w:rPr>
                <w:sz w:val="20"/>
                <w:lang w:val="en-CA"/>
              </w:rPr>
              <w:t>(Que.) (Civil) (By Leave)</w:t>
            </w:r>
          </w:p>
        </w:tc>
      </w:tr>
      <w:tr w:rsidR="00E94383" w:rsidRPr="00E94383" w:rsidTr="00E94383">
        <w:tc>
          <w:tcPr>
            <w:tcW w:w="5000" w:type="pct"/>
            <w:gridSpan w:val="4"/>
          </w:tcPr>
          <w:p w:rsidR="00E94383" w:rsidRPr="00E94383" w:rsidRDefault="00E94383" w:rsidP="00E94383">
            <w:pPr>
              <w:jc w:val="both"/>
              <w:rPr>
                <w:sz w:val="20"/>
                <w:lang w:val="en-CA"/>
              </w:rPr>
            </w:pPr>
          </w:p>
          <w:p w:rsidR="00E94383" w:rsidRPr="00E94383" w:rsidRDefault="00E94383" w:rsidP="00E94383">
            <w:pPr>
              <w:jc w:val="both"/>
              <w:rPr>
                <w:sz w:val="20"/>
                <w:lang w:val="en-CA"/>
              </w:rPr>
            </w:pPr>
            <w:proofErr w:type="gramStart"/>
            <w:r w:rsidRPr="00E94383">
              <w:rPr>
                <w:sz w:val="20"/>
                <w:lang w:val="en-CA"/>
              </w:rPr>
              <w:t xml:space="preserve">Taxation – Income tax– Applicant convicted of wilfully evading or attempting to evade compliance with </w:t>
            </w:r>
            <w:r w:rsidRPr="00E94383">
              <w:rPr>
                <w:i/>
                <w:sz w:val="20"/>
                <w:lang w:val="en-CA"/>
              </w:rPr>
              <w:t>Income Tax Act</w:t>
            </w:r>
            <w:r w:rsidRPr="00E94383">
              <w:rPr>
                <w:sz w:val="20"/>
                <w:lang w:val="en-CA"/>
              </w:rPr>
              <w:t xml:space="preserve"> by enabling several taxpayers not to report amounts withdrawn from their registered retirement savings plans, registered pension plans or locked</w:t>
            </w:r>
            <w:r w:rsidRPr="00E94383">
              <w:rPr>
                <w:sz w:val="20"/>
                <w:lang w:val="en-CA"/>
              </w:rPr>
              <w:noBreakHyphen/>
              <w:t xml:space="preserve">in retirement accounts – Whether specific intent to wilfully evade or attempt to evade compliance with </w:t>
            </w:r>
            <w:r w:rsidRPr="00E94383">
              <w:rPr>
                <w:i/>
                <w:sz w:val="20"/>
                <w:lang w:val="en-CA"/>
              </w:rPr>
              <w:t xml:space="preserve">Income Tax Act </w:t>
            </w:r>
            <w:r w:rsidRPr="00E94383">
              <w:rPr>
                <w:sz w:val="20"/>
                <w:lang w:val="en-CA"/>
              </w:rPr>
              <w:t xml:space="preserve">can be proved beyond reasonable doubt in complete absence of provision in </w:t>
            </w:r>
            <w:r w:rsidRPr="00E94383">
              <w:rPr>
                <w:i/>
                <w:sz w:val="20"/>
                <w:lang w:val="en-CA"/>
              </w:rPr>
              <w:t>Income Tax Act</w:t>
            </w:r>
            <w:r w:rsidRPr="00E94383">
              <w:rPr>
                <w:sz w:val="20"/>
                <w:lang w:val="en-CA"/>
              </w:rPr>
              <w:t xml:space="preserve"> at material time that imposed tax obligation breached, as worded in indictment – Whether specific intent stated in charge may be replaced by other specific intent not stated in same charge.</w:t>
            </w:r>
            <w:proofErr w:type="gramEnd"/>
            <w:r w:rsidRPr="00E94383">
              <w:rPr>
                <w:sz w:val="20"/>
                <w:lang w:val="en-CA"/>
              </w:rPr>
              <w:t xml:space="preserve"> </w:t>
            </w:r>
          </w:p>
        </w:tc>
      </w:tr>
      <w:tr w:rsidR="00E94383" w:rsidRPr="00E94383" w:rsidTr="00E94383">
        <w:tc>
          <w:tcPr>
            <w:tcW w:w="5000" w:type="pct"/>
            <w:gridSpan w:val="4"/>
          </w:tcPr>
          <w:p w:rsidR="00E94383" w:rsidRPr="00E94383" w:rsidRDefault="00E94383" w:rsidP="00E94383">
            <w:pPr>
              <w:jc w:val="both"/>
              <w:rPr>
                <w:sz w:val="20"/>
                <w:lang w:val="en-CA"/>
              </w:rPr>
            </w:pPr>
          </w:p>
        </w:tc>
      </w:tr>
      <w:tr w:rsidR="00E94383" w:rsidRPr="00E94383" w:rsidTr="00E94383">
        <w:tc>
          <w:tcPr>
            <w:tcW w:w="5000" w:type="pct"/>
            <w:gridSpan w:val="4"/>
          </w:tcPr>
          <w:p w:rsidR="00E94383" w:rsidRPr="00E94383" w:rsidRDefault="00E94383" w:rsidP="00E94383">
            <w:pPr>
              <w:jc w:val="both"/>
              <w:rPr>
                <w:sz w:val="20"/>
                <w:lang w:val="en-CA"/>
              </w:rPr>
            </w:pPr>
            <w:r w:rsidRPr="00E94383">
              <w:rPr>
                <w:sz w:val="20"/>
                <w:lang w:val="en-CA"/>
              </w:rPr>
              <w:t xml:space="preserve">In 1997, 1998 and 1999, the applicant Mr. Gagné developed and carried out a scheme that enabled taxpayers to withdraw money from their RRSPs, RPPs or LIRAs without paying taxes. </w:t>
            </w:r>
          </w:p>
          <w:p w:rsidR="00E94383" w:rsidRPr="00E94383" w:rsidRDefault="00E94383" w:rsidP="00E94383">
            <w:pPr>
              <w:jc w:val="both"/>
              <w:rPr>
                <w:sz w:val="20"/>
                <w:lang w:val="en-CA"/>
              </w:rPr>
            </w:pPr>
          </w:p>
          <w:p w:rsidR="00E94383" w:rsidRPr="00E94383" w:rsidRDefault="00E94383" w:rsidP="00E94383">
            <w:pPr>
              <w:jc w:val="both"/>
              <w:rPr>
                <w:sz w:val="20"/>
                <w:lang w:val="en-CA"/>
              </w:rPr>
            </w:pPr>
            <w:r w:rsidRPr="00E94383">
              <w:rPr>
                <w:sz w:val="20"/>
                <w:lang w:val="en-CA"/>
              </w:rPr>
              <w:t xml:space="preserve">Mr. Gagné </w:t>
            </w:r>
            <w:proofErr w:type="gramStart"/>
            <w:r w:rsidRPr="00E94383">
              <w:rPr>
                <w:sz w:val="20"/>
                <w:lang w:val="en-CA"/>
              </w:rPr>
              <w:t>was convicted</w:t>
            </w:r>
            <w:proofErr w:type="gramEnd"/>
            <w:r w:rsidRPr="00E94383">
              <w:rPr>
                <w:sz w:val="20"/>
                <w:lang w:val="en-CA"/>
              </w:rPr>
              <w:t xml:space="preserve"> of four of the seven charges laid against him under the </w:t>
            </w:r>
            <w:r w:rsidRPr="00E94383">
              <w:rPr>
                <w:i/>
                <w:sz w:val="20"/>
                <w:lang w:val="en-CA"/>
              </w:rPr>
              <w:t>Income Tax Act</w:t>
            </w:r>
            <w:r w:rsidRPr="00E94383">
              <w:rPr>
                <w:sz w:val="20"/>
                <w:lang w:val="en-CA"/>
              </w:rPr>
              <w:t>. The charges in question were for offences under s. 239(1</w:t>
            </w:r>
            <w:proofErr w:type="gramStart"/>
            <w:r w:rsidRPr="00E94383">
              <w:rPr>
                <w:sz w:val="20"/>
                <w:lang w:val="en-CA"/>
              </w:rPr>
              <w:t>)(</w:t>
            </w:r>
            <w:proofErr w:type="gramEnd"/>
            <w:r w:rsidRPr="00E94383">
              <w:rPr>
                <w:sz w:val="20"/>
                <w:lang w:val="en-CA"/>
              </w:rPr>
              <w:t xml:space="preserve">d) (wilfully evading or attempting to evade compliance with the </w:t>
            </w:r>
            <w:r w:rsidRPr="00E94383">
              <w:rPr>
                <w:i/>
                <w:sz w:val="20"/>
                <w:lang w:val="en-CA"/>
              </w:rPr>
              <w:t xml:space="preserve">Income </w:t>
            </w:r>
            <w:r w:rsidRPr="00E94383">
              <w:rPr>
                <w:i/>
                <w:sz w:val="20"/>
                <w:lang w:val="en-CA"/>
              </w:rPr>
              <w:lastRenderedPageBreak/>
              <w:t>Tax Act</w:t>
            </w:r>
            <w:r w:rsidRPr="00E94383">
              <w:rPr>
                <w:sz w:val="20"/>
                <w:lang w:val="en-CA"/>
              </w:rPr>
              <w:t xml:space="preserve">). He </w:t>
            </w:r>
            <w:proofErr w:type="gramStart"/>
            <w:r w:rsidRPr="00E94383">
              <w:rPr>
                <w:sz w:val="20"/>
                <w:lang w:val="en-CA"/>
              </w:rPr>
              <w:t>was sentenced</w:t>
            </w:r>
            <w:proofErr w:type="gramEnd"/>
            <w:r w:rsidRPr="00E94383">
              <w:rPr>
                <w:sz w:val="20"/>
                <w:lang w:val="en-CA"/>
              </w:rPr>
              <w:t xml:space="preserve"> to imprisonment for 42 months and fined $616,000. The Court of Appeal dismissed the appeal. </w:t>
            </w:r>
          </w:p>
          <w:p w:rsidR="00E94383" w:rsidRPr="00E94383" w:rsidRDefault="00E94383" w:rsidP="00E94383">
            <w:pPr>
              <w:jc w:val="both"/>
              <w:rPr>
                <w:sz w:val="20"/>
                <w:lang w:val="en-CA"/>
              </w:rPr>
            </w:pPr>
          </w:p>
          <w:p w:rsidR="00E94383" w:rsidRPr="00E94383" w:rsidRDefault="00E94383" w:rsidP="00E94383">
            <w:pPr>
              <w:jc w:val="both"/>
              <w:rPr>
                <w:sz w:val="20"/>
                <w:lang w:val="en-CA"/>
              </w:rPr>
            </w:pPr>
            <w:proofErr w:type="gramStart"/>
            <w:r w:rsidRPr="00E94383">
              <w:rPr>
                <w:sz w:val="20"/>
                <w:lang w:val="en-CA"/>
              </w:rPr>
              <w:t>Mr. Gagné argued that s. 239(1)(d) contains two separate offences, namely evading or attempting to evade compliance with the Act and evading or attempting to evade payment of taxes, that he had been charged only with the former offence and that the judge had wrongly included the charge of evading or attempting to evade payment of taxes in his analysis.</w:t>
            </w:r>
            <w:proofErr w:type="gramEnd"/>
            <w:r w:rsidRPr="00E94383">
              <w:rPr>
                <w:sz w:val="20"/>
                <w:lang w:val="en-CA"/>
              </w:rPr>
              <w:t xml:space="preserve"> He also argued that he had not breached any tax obligation to which he himself was subject. </w:t>
            </w:r>
          </w:p>
          <w:p w:rsidR="00E94383" w:rsidRPr="00E94383" w:rsidRDefault="00E94383" w:rsidP="00E94383">
            <w:pPr>
              <w:jc w:val="both"/>
              <w:rPr>
                <w:sz w:val="20"/>
                <w:lang w:val="en-CA"/>
              </w:rPr>
            </w:pPr>
          </w:p>
          <w:p w:rsidR="00E94383" w:rsidRPr="00E94383" w:rsidRDefault="00E94383" w:rsidP="00E94383">
            <w:pPr>
              <w:jc w:val="both"/>
              <w:rPr>
                <w:sz w:val="20"/>
                <w:lang w:val="en-CA"/>
              </w:rPr>
            </w:pPr>
          </w:p>
        </w:tc>
      </w:tr>
      <w:tr w:rsidR="00E94383" w:rsidRPr="00E94383" w:rsidTr="00E94383">
        <w:tc>
          <w:tcPr>
            <w:tcW w:w="2427" w:type="pct"/>
            <w:gridSpan w:val="2"/>
          </w:tcPr>
          <w:p w:rsidR="00E94383" w:rsidRPr="00E94383" w:rsidRDefault="00E94383" w:rsidP="00E94383">
            <w:pPr>
              <w:jc w:val="both"/>
              <w:rPr>
                <w:sz w:val="20"/>
                <w:lang w:val="en-CA"/>
              </w:rPr>
            </w:pPr>
            <w:r w:rsidRPr="00E94383">
              <w:rPr>
                <w:sz w:val="20"/>
                <w:lang w:val="en-CA"/>
              </w:rPr>
              <w:lastRenderedPageBreak/>
              <w:t>August 5, 2010</w:t>
            </w:r>
          </w:p>
          <w:p w:rsidR="00E94383" w:rsidRPr="00E94383" w:rsidRDefault="00E94383" w:rsidP="00E94383">
            <w:pPr>
              <w:jc w:val="both"/>
              <w:rPr>
                <w:sz w:val="20"/>
                <w:lang w:val="en-CA"/>
              </w:rPr>
            </w:pPr>
            <w:r w:rsidRPr="00E94383">
              <w:rPr>
                <w:sz w:val="20"/>
                <w:lang w:val="en-CA"/>
              </w:rPr>
              <w:t>Court of Québec</w:t>
            </w:r>
          </w:p>
          <w:p w:rsidR="00E94383" w:rsidRPr="00E94383" w:rsidRDefault="00E94383" w:rsidP="00E94383">
            <w:pPr>
              <w:jc w:val="both"/>
              <w:rPr>
                <w:sz w:val="20"/>
                <w:lang w:val="en-CA"/>
              </w:rPr>
            </w:pPr>
            <w:r w:rsidRPr="00E94383">
              <w:rPr>
                <w:sz w:val="20"/>
                <w:lang w:val="en-CA"/>
              </w:rPr>
              <w:t xml:space="preserve">(Judge </w:t>
            </w:r>
            <w:proofErr w:type="spellStart"/>
            <w:r w:rsidRPr="00E94383">
              <w:rPr>
                <w:sz w:val="20"/>
                <w:lang w:val="en-CA"/>
              </w:rPr>
              <w:t>Paré</w:t>
            </w:r>
            <w:proofErr w:type="spellEnd"/>
            <w:r w:rsidRPr="00E94383">
              <w:rPr>
                <w:sz w:val="20"/>
                <w:lang w:val="en-CA"/>
              </w:rPr>
              <w:t>)</w:t>
            </w:r>
          </w:p>
          <w:p w:rsidR="00E94383" w:rsidRPr="00E94383" w:rsidRDefault="00711002" w:rsidP="00E94383">
            <w:pPr>
              <w:jc w:val="both"/>
              <w:rPr>
                <w:sz w:val="20"/>
                <w:lang w:val="en-CA"/>
              </w:rPr>
            </w:pPr>
            <w:hyperlink r:id="rId25" w:history="1">
              <w:r w:rsidR="00E94383" w:rsidRPr="00E94383">
                <w:rPr>
                  <w:rStyle w:val="Hyperlink"/>
                  <w:sz w:val="20"/>
                  <w:lang w:val="en-CA"/>
                </w:rPr>
                <w:t>2010 QCCQ 18420</w:t>
              </w:r>
            </w:hyperlink>
          </w:p>
          <w:p w:rsidR="00E94383" w:rsidRPr="00E94383" w:rsidRDefault="00E94383" w:rsidP="00E94383">
            <w:pPr>
              <w:jc w:val="both"/>
              <w:rPr>
                <w:sz w:val="20"/>
                <w:lang w:val="en-CA"/>
              </w:rPr>
            </w:pPr>
          </w:p>
        </w:tc>
        <w:tc>
          <w:tcPr>
            <w:tcW w:w="243" w:type="pct"/>
          </w:tcPr>
          <w:p w:rsidR="00E94383" w:rsidRPr="00E94383" w:rsidRDefault="00E94383" w:rsidP="00E94383">
            <w:pPr>
              <w:jc w:val="both"/>
              <w:rPr>
                <w:sz w:val="20"/>
                <w:lang w:val="en-CA"/>
              </w:rPr>
            </w:pPr>
          </w:p>
        </w:tc>
        <w:tc>
          <w:tcPr>
            <w:tcW w:w="2330" w:type="pct"/>
          </w:tcPr>
          <w:p w:rsidR="00E94383" w:rsidRPr="00E94383" w:rsidRDefault="00E94383" w:rsidP="00E94383">
            <w:pPr>
              <w:jc w:val="both"/>
              <w:rPr>
                <w:sz w:val="20"/>
                <w:lang w:val="en-CA"/>
              </w:rPr>
            </w:pPr>
            <w:r w:rsidRPr="00E94383">
              <w:rPr>
                <w:sz w:val="20"/>
                <w:lang w:val="en-CA"/>
              </w:rPr>
              <w:t>Applicant convicted of four counts of tax evasion</w:t>
            </w:r>
          </w:p>
          <w:p w:rsidR="00E94383" w:rsidRPr="00E94383" w:rsidRDefault="00E94383" w:rsidP="00E94383">
            <w:pPr>
              <w:jc w:val="both"/>
              <w:rPr>
                <w:sz w:val="20"/>
                <w:lang w:val="en-CA"/>
              </w:rPr>
            </w:pPr>
          </w:p>
        </w:tc>
      </w:tr>
      <w:tr w:rsidR="00E94383" w:rsidRPr="00E94383" w:rsidTr="00E94383">
        <w:tc>
          <w:tcPr>
            <w:tcW w:w="2427" w:type="pct"/>
            <w:gridSpan w:val="2"/>
          </w:tcPr>
          <w:p w:rsidR="00E94383" w:rsidRPr="00E94383" w:rsidRDefault="00E94383" w:rsidP="00E94383">
            <w:pPr>
              <w:jc w:val="both"/>
              <w:rPr>
                <w:sz w:val="20"/>
                <w:lang w:val="en-CA"/>
              </w:rPr>
            </w:pPr>
            <w:r w:rsidRPr="00E94383">
              <w:rPr>
                <w:sz w:val="20"/>
                <w:lang w:val="en-CA"/>
              </w:rPr>
              <w:t>May 9, 2017</w:t>
            </w:r>
          </w:p>
          <w:p w:rsidR="00E94383" w:rsidRPr="00E94383" w:rsidRDefault="00E94383" w:rsidP="00E94383">
            <w:pPr>
              <w:jc w:val="both"/>
              <w:rPr>
                <w:sz w:val="20"/>
                <w:lang w:val="en-CA"/>
              </w:rPr>
            </w:pPr>
            <w:r w:rsidRPr="00E94383">
              <w:rPr>
                <w:sz w:val="20"/>
                <w:lang w:val="en-CA"/>
              </w:rPr>
              <w:t>Quebec Court of Appeal (Montréal)</w:t>
            </w:r>
          </w:p>
          <w:p w:rsidR="00E94383" w:rsidRPr="00E94383" w:rsidRDefault="00E94383" w:rsidP="00E94383">
            <w:pPr>
              <w:jc w:val="both"/>
              <w:rPr>
                <w:sz w:val="20"/>
                <w:lang w:val="en-CA"/>
              </w:rPr>
            </w:pPr>
            <w:r w:rsidRPr="00E94383">
              <w:rPr>
                <w:sz w:val="20"/>
                <w:lang w:val="en-CA"/>
              </w:rPr>
              <w:t>(</w:t>
            </w:r>
            <w:proofErr w:type="spellStart"/>
            <w:r w:rsidRPr="00E94383">
              <w:rPr>
                <w:sz w:val="20"/>
                <w:lang w:val="en-CA"/>
              </w:rPr>
              <w:t>Vézina</w:t>
            </w:r>
            <w:proofErr w:type="spellEnd"/>
            <w:r w:rsidRPr="00E94383">
              <w:rPr>
                <w:sz w:val="20"/>
                <w:lang w:val="en-CA"/>
              </w:rPr>
              <w:t xml:space="preserve">, </w:t>
            </w:r>
            <w:proofErr w:type="spellStart"/>
            <w:r w:rsidRPr="00E94383">
              <w:rPr>
                <w:sz w:val="20"/>
                <w:lang w:val="en-CA"/>
              </w:rPr>
              <w:t>Mainville</w:t>
            </w:r>
            <w:proofErr w:type="spellEnd"/>
            <w:r w:rsidRPr="00E94383">
              <w:rPr>
                <w:sz w:val="20"/>
                <w:lang w:val="en-CA"/>
              </w:rPr>
              <w:t xml:space="preserve"> and Healy JJ.A.)</w:t>
            </w:r>
          </w:p>
          <w:p w:rsidR="00E94383" w:rsidRPr="00E94383" w:rsidRDefault="00711002" w:rsidP="00E94383">
            <w:pPr>
              <w:jc w:val="both"/>
              <w:rPr>
                <w:sz w:val="20"/>
                <w:lang w:val="en-CA"/>
              </w:rPr>
            </w:pPr>
            <w:hyperlink r:id="rId26" w:history="1">
              <w:r w:rsidR="00E94383" w:rsidRPr="00E94383">
                <w:rPr>
                  <w:rStyle w:val="Hyperlink"/>
                  <w:sz w:val="20"/>
                  <w:lang w:val="en-CA"/>
                </w:rPr>
                <w:t>2017 QCCA 788</w:t>
              </w:r>
            </w:hyperlink>
          </w:p>
          <w:p w:rsidR="00E94383" w:rsidRPr="00E94383" w:rsidRDefault="00E94383" w:rsidP="00E94383">
            <w:pPr>
              <w:jc w:val="both"/>
              <w:rPr>
                <w:sz w:val="20"/>
                <w:lang w:val="en-CA"/>
              </w:rPr>
            </w:pPr>
          </w:p>
        </w:tc>
        <w:tc>
          <w:tcPr>
            <w:tcW w:w="243" w:type="pct"/>
          </w:tcPr>
          <w:p w:rsidR="00E94383" w:rsidRPr="00E94383" w:rsidRDefault="00E94383" w:rsidP="00E94383">
            <w:pPr>
              <w:jc w:val="both"/>
              <w:rPr>
                <w:sz w:val="20"/>
                <w:lang w:val="en-CA"/>
              </w:rPr>
            </w:pPr>
          </w:p>
        </w:tc>
        <w:tc>
          <w:tcPr>
            <w:tcW w:w="2330" w:type="pct"/>
          </w:tcPr>
          <w:p w:rsidR="00E94383" w:rsidRPr="00E94383" w:rsidRDefault="00E94383" w:rsidP="00E94383">
            <w:pPr>
              <w:jc w:val="both"/>
              <w:rPr>
                <w:sz w:val="20"/>
                <w:lang w:val="en-CA"/>
              </w:rPr>
            </w:pPr>
          </w:p>
          <w:p w:rsidR="00E94383" w:rsidRPr="00E94383" w:rsidRDefault="00E94383" w:rsidP="00E94383">
            <w:pPr>
              <w:jc w:val="both"/>
              <w:rPr>
                <w:sz w:val="20"/>
                <w:lang w:val="en-CA"/>
              </w:rPr>
            </w:pPr>
            <w:r w:rsidRPr="00E94383">
              <w:rPr>
                <w:sz w:val="20"/>
                <w:lang w:val="en-CA"/>
              </w:rPr>
              <w:t>Appeal dismissed</w:t>
            </w:r>
          </w:p>
        </w:tc>
      </w:tr>
      <w:tr w:rsidR="00E94383" w:rsidRPr="00E94383" w:rsidTr="00E94383">
        <w:tc>
          <w:tcPr>
            <w:tcW w:w="2427" w:type="pct"/>
            <w:gridSpan w:val="2"/>
          </w:tcPr>
          <w:p w:rsidR="00E94383" w:rsidRPr="00E94383" w:rsidRDefault="00E94383" w:rsidP="00E94383">
            <w:pPr>
              <w:jc w:val="both"/>
              <w:rPr>
                <w:sz w:val="20"/>
                <w:lang w:val="en-CA"/>
              </w:rPr>
            </w:pPr>
            <w:r w:rsidRPr="00E94383">
              <w:rPr>
                <w:sz w:val="20"/>
                <w:lang w:val="en-CA"/>
              </w:rPr>
              <w:t>August 4, 2017</w:t>
            </w:r>
          </w:p>
          <w:p w:rsidR="00E94383" w:rsidRPr="00E94383" w:rsidRDefault="00E94383" w:rsidP="00E94383">
            <w:pPr>
              <w:jc w:val="both"/>
              <w:rPr>
                <w:sz w:val="20"/>
                <w:lang w:val="en-CA"/>
              </w:rPr>
            </w:pPr>
            <w:r w:rsidRPr="00E94383">
              <w:rPr>
                <w:sz w:val="20"/>
                <w:lang w:val="en-CA"/>
              </w:rPr>
              <w:t>Supreme Court of Canada</w:t>
            </w:r>
          </w:p>
        </w:tc>
        <w:tc>
          <w:tcPr>
            <w:tcW w:w="243" w:type="pct"/>
          </w:tcPr>
          <w:p w:rsidR="00E94383" w:rsidRPr="00E94383" w:rsidRDefault="00E94383" w:rsidP="00E94383">
            <w:pPr>
              <w:jc w:val="both"/>
              <w:rPr>
                <w:sz w:val="20"/>
                <w:lang w:val="en-CA"/>
              </w:rPr>
            </w:pPr>
          </w:p>
        </w:tc>
        <w:tc>
          <w:tcPr>
            <w:tcW w:w="2330" w:type="pct"/>
          </w:tcPr>
          <w:p w:rsidR="00E94383" w:rsidRPr="00E94383" w:rsidRDefault="00E94383" w:rsidP="00E94383">
            <w:pPr>
              <w:jc w:val="both"/>
              <w:rPr>
                <w:sz w:val="20"/>
                <w:lang w:val="en-CA"/>
              </w:rPr>
            </w:pPr>
            <w:r w:rsidRPr="00E94383">
              <w:rPr>
                <w:sz w:val="20"/>
                <w:lang w:val="en-CA"/>
              </w:rPr>
              <w:t>Application for leave to appeal filed</w:t>
            </w:r>
          </w:p>
          <w:p w:rsidR="00E94383" w:rsidRPr="00E94383" w:rsidRDefault="00E94383" w:rsidP="00E94383">
            <w:pPr>
              <w:jc w:val="both"/>
              <w:rPr>
                <w:sz w:val="20"/>
                <w:lang w:val="en-CA"/>
              </w:rPr>
            </w:pPr>
          </w:p>
        </w:tc>
      </w:tr>
    </w:tbl>
    <w:p w:rsidR="00E94383" w:rsidRDefault="00E94383" w:rsidP="00E94383">
      <w:pPr>
        <w:jc w:val="both"/>
        <w:rPr>
          <w:sz w:val="20"/>
          <w:lang w:val="en-CA"/>
        </w:rPr>
      </w:pPr>
    </w:p>
    <w:p w:rsidR="00BB3B17" w:rsidRPr="00E94383" w:rsidRDefault="00BB3B17" w:rsidP="00E9438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4383" w:rsidRPr="00E94383" w:rsidTr="00E94383">
        <w:tc>
          <w:tcPr>
            <w:tcW w:w="543" w:type="pct"/>
          </w:tcPr>
          <w:p w:rsidR="00E94383" w:rsidRPr="00E94383" w:rsidRDefault="00E94383" w:rsidP="00E94383">
            <w:pPr>
              <w:jc w:val="both"/>
              <w:rPr>
                <w:sz w:val="20"/>
              </w:rPr>
            </w:pPr>
            <w:r w:rsidRPr="00E94383">
              <w:rPr>
                <w:rStyle w:val="SCCFileNumberChar"/>
                <w:sz w:val="20"/>
                <w:szCs w:val="20"/>
              </w:rPr>
              <w:t>37720</w:t>
            </w:r>
          </w:p>
        </w:tc>
        <w:tc>
          <w:tcPr>
            <w:tcW w:w="4457" w:type="pct"/>
            <w:gridSpan w:val="3"/>
          </w:tcPr>
          <w:p w:rsidR="00E94383" w:rsidRPr="00BB3B17" w:rsidRDefault="00E94383" w:rsidP="00E94383">
            <w:pPr>
              <w:pStyle w:val="SCCLsocParty"/>
              <w:jc w:val="both"/>
              <w:rPr>
                <w:b/>
                <w:sz w:val="20"/>
                <w:szCs w:val="20"/>
              </w:rPr>
            </w:pPr>
            <w:r w:rsidRPr="00BB3B17">
              <w:rPr>
                <w:b/>
                <w:sz w:val="20"/>
                <w:szCs w:val="20"/>
              </w:rPr>
              <w:t>Jacques Gagné c. Sa Majesté la Reine</w:t>
            </w:r>
          </w:p>
          <w:p w:rsidR="00E94383" w:rsidRPr="00E94383" w:rsidRDefault="00E94383" w:rsidP="00E94383">
            <w:pPr>
              <w:jc w:val="both"/>
              <w:rPr>
                <w:sz w:val="20"/>
              </w:rPr>
            </w:pPr>
            <w:r w:rsidRPr="00E94383">
              <w:rPr>
                <w:sz w:val="20"/>
              </w:rPr>
              <w:t>(Qc) (</w:t>
            </w:r>
            <w:proofErr w:type="spellStart"/>
            <w:r w:rsidRPr="00E94383">
              <w:rPr>
                <w:sz w:val="20"/>
              </w:rPr>
              <w:t>Civile</w:t>
            </w:r>
            <w:proofErr w:type="spellEnd"/>
            <w:r w:rsidRPr="00E94383">
              <w:rPr>
                <w:sz w:val="20"/>
              </w:rPr>
              <w:t>) (</w:t>
            </w:r>
            <w:proofErr w:type="spellStart"/>
            <w:r w:rsidRPr="00E94383">
              <w:rPr>
                <w:sz w:val="20"/>
              </w:rPr>
              <w:t>Autorisation</w:t>
            </w:r>
            <w:proofErr w:type="spellEnd"/>
            <w:r w:rsidRPr="00E94383">
              <w:rPr>
                <w:sz w:val="20"/>
              </w:rPr>
              <w:t>)</w:t>
            </w:r>
          </w:p>
        </w:tc>
      </w:tr>
      <w:tr w:rsidR="00E94383" w:rsidRPr="00711002" w:rsidTr="00E94383">
        <w:tc>
          <w:tcPr>
            <w:tcW w:w="5000" w:type="pct"/>
            <w:gridSpan w:val="4"/>
          </w:tcPr>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 xml:space="preserve">Droit fiscal – Impôt sur le revenu– Demandeur trouvé coupable d’avoir volontairement éludé ou tenté d’éluder l’observation de la Loi de l’impôt sur le revenu en permettant à plusieurs contribuables de ne pas déclarer des montants retirés de leurs régimes enregistrés d’épargne-retraite, de leurs régimes de pension agrées ou de leurs comptes de retraite immobilisés – Est-ce que la preuve hors de tout doute raisonnable de l’intention spécifique «d’avoir volontairement éludé ou tenté d’éluder l’observation de la </w:t>
            </w:r>
            <w:r w:rsidRPr="00E94383">
              <w:rPr>
                <w:i/>
                <w:sz w:val="20"/>
                <w:lang w:val="fr-CA"/>
              </w:rPr>
              <w:t>Loi de l’impôt sur le revenu </w:t>
            </w:r>
            <w:r w:rsidRPr="00E94383">
              <w:rPr>
                <w:sz w:val="20"/>
                <w:lang w:val="fr-CA"/>
              </w:rPr>
              <w:t xml:space="preserve">» peut être faite sur l’absence totale d’une disposition existante de la </w:t>
            </w:r>
            <w:r w:rsidRPr="00E94383">
              <w:rPr>
                <w:i/>
                <w:sz w:val="20"/>
                <w:lang w:val="fr-CA"/>
              </w:rPr>
              <w:t>Loi de l’impôt sur le revenu</w:t>
            </w:r>
            <w:r w:rsidRPr="00E94383">
              <w:rPr>
                <w:sz w:val="20"/>
                <w:lang w:val="fr-CA"/>
              </w:rPr>
              <w:t xml:space="preserve"> au moment des faits reprochés édictant l’obligation fiscale enfreinte et libellée dans cet acte d’accusation? – L’intention spécifique qui est libellée dans un chef d’accusation peut-elle être substituée par une autre intention spécifique qui n’est pas libellée dans ce même chef d’accusation?</w:t>
            </w:r>
          </w:p>
        </w:tc>
      </w:tr>
      <w:tr w:rsidR="00E94383" w:rsidRPr="00711002" w:rsidTr="00E94383">
        <w:tc>
          <w:tcPr>
            <w:tcW w:w="5000" w:type="pct"/>
            <w:gridSpan w:val="4"/>
          </w:tcPr>
          <w:p w:rsidR="00E94383" w:rsidRPr="00E94383" w:rsidRDefault="00E94383" w:rsidP="00E94383">
            <w:pPr>
              <w:jc w:val="both"/>
              <w:rPr>
                <w:sz w:val="20"/>
                <w:lang w:val="fr-CA"/>
              </w:rPr>
            </w:pPr>
          </w:p>
        </w:tc>
      </w:tr>
      <w:tr w:rsidR="00E94383" w:rsidRPr="00711002" w:rsidTr="00E94383">
        <w:tc>
          <w:tcPr>
            <w:tcW w:w="5000" w:type="pct"/>
            <w:gridSpan w:val="4"/>
          </w:tcPr>
          <w:p w:rsidR="00E94383" w:rsidRPr="00E94383" w:rsidRDefault="00E94383" w:rsidP="00E94383">
            <w:pPr>
              <w:jc w:val="both"/>
              <w:rPr>
                <w:sz w:val="20"/>
                <w:lang w:val="fr-CA"/>
              </w:rPr>
            </w:pPr>
            <w:r w:rsidRPr="00E94383">
              <w:rPr>
                <w:sz w:val="20"/>
                <w:lang w:val="fr-CA"/>
              </w:rPr>
              <w:t xml:space="preserve">Durant les années 1997, 1998 et 1999, le demandeur, M. Gagné, met au point et exécute un stratagème qui permet à des contribuables de retirer de l’argent de leurs REER, RPA ou CRI sans payer d’impôt. </w:t>
            </w:r>
          </w:p>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M. Gagné a été trouvé coupable de quatre des sept chefs d’accusation portés contre lui en vertu de la Loi de l’impôt sur le revenu. Les chefs en question sont relatifs à des contraventions à l’al. 239(1</w:t>
            </w:r>
            <w:proofErr w:type="gramStart"/>
            <w:r w:rsidRPr="00E94383">
              <w:rPr>
                <w:sz w:val="20"/>
                <w:lang w:val="fr-CA"/>
              </w:rPr>
              <w:t>)(</w:t>
            </w:r>
            <w:proofErr w:type="gramEnd"/>
            <w:r w:rsidRPr="00E94383">
              <w:rPr>
                <w:sz w:val="20"/>
                <w:lang w:val="fr-CA"/>
              </w:rPr>
              <w:t xml:space="preserve">d) (avoir volontairement éludé ou tenté d’éluder l’observation de la </w:t>
            </w:r>
            <w:r w:rsidRPr="00E94383">
              <w:rPr>
                <w:i/>
                <w:sz w:val="20"/>
                <w:lang w:val="fr-CA"/>
              </w:rPr>
              <w:t>Loi de l’impôt sur le revenu</w:t>
            </w:r>
            <w:r w:rsidRPr="00E94383">
              <w:rPr>
                <w:sz w:val="20"/>
                <w:lang w:val="fr-CA"/>
              </w:rPr>
              <w:t xml:space="preserve">). On lui a imposé une peine d’emprisonnement de 42 mois en plus d’une amende de 616 000 $. La Cour d’appel rejette l’appel. </w:t>
            </w:r>
          </w:p>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 xml:space="preserve">M. Gagné soumet que le paragraphe 239(1)d) comprend deux infractions distinctes, soient éluder ou tenter d’éluder l’observation de loi et éluder ou tenter d’éluder le paiement d’un impôt, qu’il n’était accusé que de la première et que la juge a inclus, à tort, dans son analyse l’accusation d’avoir éludé ou tenté d’éluder le paiement d’un impôt. Il soumet également qu’il n’a enfreint aucune obligation fiscale à laquelle il était lui-même soumis. </w:t>
            </w:r>
          </w:p>
          <w:p w:rsidR="00E94383" w:rsidRPr="00E94383" w:rsidRDefault="00E94383" w:rsidP="00E94383">
            <w:pPr>
              <w:jc w:val="both"/>
              <w:rPr>
                <w:sz w:val="20"/>
                <w:lang w:val="fr-CA"/>
              </w:rPr>
            </w:pPr>
          </w:p>
          <w:p w:rsidR="00E94383" w:rsidRPr="00E94383" w:rsidRDefault="00E94383" w:rsidP="00E94383">
            <w:pPr>
              <w:jc w:val="both"/>
              <w:rPr>
                <w:sz w:val="20"/>
                <w:lang w:val="fr-CA"/>
              </w:rPr>
            </w:pP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Le 5 août 2010</w:t>
            </w:r>
          </w:p>
          <w:p w:rsidR="00E94383" w:rsidRPr="00E94383" w:rsidRDefault="00E94383" w:rsidP="00E94383">
            <w:pPr>
              <w:jc w:val="both"/>
              <w:rPr>
                <w:sz w:val="20"/>
                <w:lang w:val="fr-CA"/>
              </w:rPr>
            </w:pPr>
            <w:r w:rsidRPr="00E94383">
              <w:rPr>
                <w:sz w:val="20"/>
                <w:lang w:val="fr-CA"/>
              </w:rPr>
              <w:t>Cour du Québec</w:t>
            </w:r>
          </w:p>
          <w:p w:rsidR="00E94383" w:rsidRPr="00E94383" w:rsidRDefault="00E94383" w:rsidP="00E94383">
            <w:pPr>
              <w:jc w:val="both"/>
              <w:rPr>
                <w:sz w:val="20"/>
                <w:lang w:val="fr-CA"/>
              </w:rPr>
            </w:pPr>
            <w:r w:rsidRPr="00E94383">
              <w:rPr>
                <w:sz w:val="20"/>
                <w:lang w:val="fr-CA"/>
              </w:rPr>
              <w:lastRenderedPageBreak/>
              <w:t>(La juge Paré)</w:t>
            </w:r>
          </w:p>
          <w:p w:rsidR="00E94383" w:rsidRPr="00E94383" w:rsidRDefault="00711002" w:rsidP="00E94383">
            <w:pPr>
              <w:jc w:val="both"/>
              <w:rPr>
                <w:sz w:val="20"/>
              </w:rPr>
            </w:pPr>
            <w:hyperlink r:id="rId27" w:history="1">
              <w:r w:rsidR="00E94383" w:rsidRPr="00E94383">
                <w:rPr>
                  <w:rStyle w:val="Hyperlink"/>
                  <w:sz w:val="20"/>
                </w:rPr>
                <w:t>2010 QCCQ 18420</w:t>
              </w:r>
            </w:hyperlink>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lang w:val="fr-CA"/>
              </w:rPr>
            </w:pPr>
            <w:r w:rsidRPr="00E94383">
              <w:rPr>
                <w:sz w:val="20"/>
                <w:lang w:val="fr-CA"/>
              </w:rPr>
              <w:t>Déclaration de culpabilité à quatre chefs d’évasion fiscale</w:t>
            </w:r>
          </w:p>
          <w:p w:rsidR="00E94383" w:rsidRPr="00E94383" w:rsidRDefault="00E94383" w:rsidP="00E94383">
            <w:pPr>
              <w:jc w:val="both"/>
              <w:rPr>
                <w:sz w:val="20"/>
                <w:lang w:val="fr-CA"/>
              </w:rPr>
            </w:pPr>
          </w:p>
        </w:tc>
      </w:tr>
      <w:tr w:rsidR="00E94383" w:rsidRPr="00E94383" w:rsidTr="00E94383">
        <w:tc>
          <w:tcPr>
            <w:tcW w:w="2427" w:type="pct"/>
            <w:gridSpan w:val="2"/>
          </w:tcPr>
          <w:p w:rsidR="00E94383" w:rsidRPr="00E94383" w:rsidRDefault="00E94383" w:rsidP="00E94383">
            <w:pPr>
              <w:jc w:val="both"/>
              <w:rPr>
                <w:sz w:val="20"/>
                <w:lang w:val="fr-CA"/>
              </w:rPr>
            </w:pPr>
            <w:r w:rsidRPr="00E94383">
              <w:rPr>
                <w:sz w:val="20"/>
                <w:lang w:val="fr-CA"/>
              </w:rPr>
              <w:lastRenderedPageBreak/>
              <w:t>Le 9 mai 2017</w:t>
            </w:r>
          </w:p>
          <w:p w:rsidR="00E94383" w:rsidRPr="00E94383" w:rsidRDefault="00E94383" w:rsidP="00E94383">
            <w:pPr>
              <w:jc w:val="both"/>
              <w:rPr>
                <w:sz w:val="20"/>
                <w:lang w:val="fr-CA"/>
              </w:rPr>
            </w:pPr>
            <w:r w:rsidRPr="00E94383">
              <w:rPr>
                <w:sz w:val="20"/>
                <w:lang w:val="fr-CA"/>
              </w:rPr>
              <w:t>Cour d’appel du Québec (Montréal)</w:t>
            </w:r>
          </w:p>
          <w:p w:rsidR="00E94383" w:rsidRPr="00E94383" w:rsidRDefault="00E94383" w:rsidP="00E94383">
            <w:pPr>
              <w:jc w:val="both"/>
              <w:rPr>
                <w:sz w:val="20"/>
                <w:lang w:val="fr-CA"/>
              </w:rPr>
            </w:pPr>
            <w:r w:rsidRPr="00E94383">
              <w:rPr>
                <w:sz w:val="20"/>
                <w:lang w:val="fr-CA"/>
              </w:rPr>
              <w:t xml:space="preserve">(Les juges Vézina, Mainville et </w:t>
            </w:r>
            <w:proofErr w:type="spellStart"/>
            <w:r w:rsidRPr="00E94383">
              <w:rPr>
                <w:sz w:val="20"/>
                <w:lang w:val="fr-CA"/>
              </w:rPr>
              <w:t>Healy</w:t>
            </w:r>
            <w:proofErr w:type="spellEnd"/>
            <w:r w:rsidRPr="00E94383">
              <w:rPr>
                <w:sz w:val="20"/>
                <w:lang w:val="fr-CA"/>
              </w:rPr>
              <w:t>)</w:t>
            </w:r>
          </w:p>
          <w:p w:rsidR="00E94383" w:rsidRPr="00E94383" w:rsidRDefault="00711002" w:rsidP="00E94383">
            <w:pPr>
              <w:jc w:val="both"/>
              <w:rPr>
                <w:sz w:val="20"/>
              </w:rPr>
            </w:pPr>
            <w:hyperlink r:id="rId28" w:history="1">
              <w:r w:rsidR="00E94383" w:rsidRPr="00E94383">
                <w:rPr>
                  <w:rStyle w:val="Hyperlink"/>
                  <w:sz w:val="20"/>
                </w:rPr>
                <w:t>2017 QCCA 788</w:t>
              </w:r>
            </w:hyperlink>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p>
          <w:p w:rsidR="00E94383" w:rsidRPr="00E94383" w:rsidRDefault="00E94383" w:rsidP="00E94383">
            <w:pPr>
              <w:jc w:val="both"/>
              <w:rPr>
                <w:sz w:val="20"/>
              </w:rPr>
            </w:pPr>
            <w:r w:rsidRPr="00E94383">
              <w:rPr>
                <w:sz w:val="20"/>
              </w:rPr>
              <w:t xml:space="preserve">Appel </w:t>
            </w:r>
            <w:proofErr w:type="spellStart"/>
            <w:r w:rsidRPr="00E94383">
              <w:rPr>
                <w:sz w:val="20"/>
              </w:rPr>
              <w:t>rejeté</w:t>
            </w:r>
            <w:proofErr w:type="spellEnd"/>
          </w:p>
        </w:tc>
      </w:tr>
      <w:tr w:rsidR="00E94383" w:rsidRPr="00E94383" w:rsidTr="00E94383">
        <w:tc>
          <w:tcPr>
            <w:tcW w:w="2427" w:type="pct"/>
            <w:gridSpan w:val="2"/>
          </w:tcPr>
          <w:p w:rsidR="00E94383" w:rsidRPr="00E94383" w:rsidRDefault="00E94383" w:rsidP="00E94383">
            <w:pPr>
              <w:jc w:val="both"/>
              <w:rPr>
                <w:sz w:val="20"/>
                <w:lang w:val="fr-CA"/>
              </w:rPr>
            </w:pPr>
            <w:r w:rsidRPr="00E94383">
              <w:rPr>
                <w:sz w:val="20"/>
                <w:lang w:val="fr-CA"/>
              </w:rPr>
              <w:t>Le 4 août 2017</w:t>
            </w:r>
          </w:p>
          <w:p w:rsidR="00E94383" w:rsidRPr="00E94383" w:rsidRDefault="00E94383" w:rsidP="00E94383">
            <w:pPr>
              <w:jc w:val="both"/>
              <w:rPr>
                <w:sz w:val="20"/>
                <w:lang w:val="fr-CA"/>
              </w:rPr>
            </w:pPr>
            <w:r w:rsidRPr="00E94383">
              <w:rPr>
                <w:sz w:val="20"/>
                <w:lang w:val="fr-CA"/>
              </w:rPr>
              <w:t>Cour suprême du Canada</w:t>
            </w: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rPr>
            </w:pPr>
            <w:proofErr w:type="spellStart"/>
            <w:r w:rsidRPr="00E94383">
              <w:rPr>
                <w:sz w:val="20"/>
              </w:rPr>
              <w:t>Demande</w:t>
            </w:r>
            <w:proofErr w:type="spellEnd"/>
            <w:r w:rsidRPr="00E94383">
              <w:rPr>
                <w:sz w:val="20"/>
              </w:rPr>
              <w:t xml:space="preserve"> </w:t>
            </w:r>
            <w:proofErr w:type="spellStart"/>
            <w:r w:rsidRPr="00E94383">
              <w:rPr>
                <w:sz w:val="20"/>
              </w:rPr>
              <w:t>d'autorisation</w:t>
            </w:r>
            <w:proofErr w:type="spellEnd"/>
            <w:r w:rsidRPr="00E94383">
              <w:rPr>
                <w:sz w:val="20"/>
              </w:rPr>
              <w:t xml:space="preserve"> </w:t>
            </w:r>
            <w:proofErr w:type="spellStart"/>
            <w:r w:rsidRPr="00E94383">
              <w:rPr>
                <w:sz w:val="20"/>
              </w:rPr>
              <w:t>d'appel</w:t>
            </w:r>
            <w:proofErr w:type="spellEnd"/>
            <w:r w:rsidRPr="00E94383">
              <w:rPr>
                <w:sz w:val="20"/>
              </w:rPr>
              <w:t xml:space="preserve"> </w:t>
            </w:r>
            <w:proofErr w:type="spellStart"/>
            <w:r w:rsidRPr="00E94383">
              <w:rPr>
                <w:sz w:val="20"/>
              </w:rPr>
              <w:t>déposée</w:t>
            </w:r>
            <w:proofErr w:type="spellEnd"/>
          </w:p>
          <w:p w:rsidR="00E94383" w:rsidRPr="00E94383" w:rsidRDefault="00E94383" w:rsidP="00E94383">
            <w:pPr>
              <w:jc w:val="both"/>
              <w:rPr>
                <w:sz w:val="20"/>
              </w:rPr>
            </w:pPr>
          </w:p>
        </w:tc>
      </w:tr>
    </w:tbl>
    <w:p w:rsidR="00E94383" w:rsidRPr="00E94383" w:rsidRDefault="00E94383" w:rsidP="00E94383">
      <w:pPr>
        <w:jc w:val="both"/>
        <w:rPr>
          <w:sz w:val="20"/>
        </w:rPr>
      </w:pPr>
    </w:p>
    <w:p w:rsidR="00E94383" w:rsidRPr="00E94383" w:rsidRDefault="00E94383" w:rsidP="00E9438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4383" w:rsidRPr="00E94383" w:rsidTr="00E94383">
        <w:tc>
          <w:tcPr>
            <w:tcW w:w="543" w:type="pct"/>
          </w:tcPr>
          <w:p w:rsidR="00E94383" w:rsidRPr="00E94383" w:rsidRDefault="00E94383" w:rsidP="00E94383">
            <w:pPr>
              <w:jc w:val="both"/>
              <w:rPr>
                <w:sz w:val="20"/>
              </w:rPr>
            </w:pPr>
            <w:r w:rsidRPr="00E94383">
              <w:rPr>
                <w:rStyle w:val="SCCFileNumberChar"/>
                <w:sz w:val="20"/>
                <w:szCs w:val="20"/>
              </w:rPr>
              <w:t>37719</w:t>
            </w:r>
          </w:p>
        </w:tc>
        <w:tc>
          <w:tcPr>
            <w:tcW w:w="4457" w:type="pct"/>
            <w:gridSpan w:val="3"/>
          </w:tcPr>
          <w:p w:rsidR="00E94383" w:rsidRPr="00BB3B17" w:rsidRDefault="00E94383" w:rsidP="00E94383">
            <w:pPr>
              <w:pStyle w:val="SCCLsocParty"/>
              <w:jc w:val="both"/>
              <w:rPr>
                <w:b/>
                <w:sz w:val="20"/>
                <w:szCs w:val="20"/>
                <w:lang w:val="en-US"/>
              </w:rPr>
            </w:pPr>
            <w:r w:rsidRPr="00BB3B17">
              <w:rPr>
                <w:b/>
                <w:sz w:val="20"/>
                <w:szCs w:val="20"/>
                <w:lang w:val="en-US"/>
              </w:rPr>
              <w:t xml:space="preserve">Paul </w:t>
            </w:r>
            <w:proofErr w:type="spellStart"/>
            <w:r w:rsidRPr="00BB3B17">
              <w:rPr>
                <w:b/>
                <w:sz w:val="20"/>
                <w:szCs w:val="20"/>
                <w:lang w:val="en-US"/>
              </w:rPr>
              <w:t>Oommen</w:t>
            </w:r>
            <w:proofErr w:type="spellEnd"/>
            <w:r w:rsidRPr="00BB3B17">
              <w:rPr>
                <w:b/>
                <w:sz w:val="20"/>
                <w:szCs w:val="20"/>
                <w:lang w:val="en-US"/>
              </w:rPr>
              <w:t xml:space="preserve"> v. Capital Region Housing Corporation, Jeff Doe</w:t>
            </w:r>
          </w:p>
          <w:p w:rsidR="00E94383" w:rsidRPr="00E94383" w:rsidRDefault="00E94383" w:rsidP="00E94383">
            <w:pPr>
              <w:jc w:val="both"/>
              <w:rPr>
                <w:sz w:val="20"/>
              </w:rPr>
            </w:pPr>
            <w:r w:rsidRPr="00E94383">
              <w:rPr>
                <w:sz w:val="20"/>
              </w:rPr>
              <w:t>(Alta.) (Civil) (By Leave)</w:t>
            </w:r>
          </w:p>
        </w:tc>
      </w:tr>
      <w:tr w:rsidR="00E94383" w:rsidRPr="00E94383" w:rsidTr="00E94383">
        <w:tc>
          <w:tcPr>
            <w:tcW w:w="5000" w:type="pct"/>
            <w:gridSpan w:val="4"/>
          </w:tcPr>
          <w:p w:rsidR="00E94383" w:rsidRPr="00E94383" w:rsidRDefault="00E94383" w:rsidP="00E94383">
            <w:pPr>
              <w:pStyle w:val="SCCBanSummary"/>
              <w:rPr>
                <w:sz w:val="20"/>
                <w:szCs w:val="20"/>
              </w:rPr>
            </w:pPr>
          </w:p>
          <w:p w:rsidR="00E94383" w:rsidRPr="00E94383" w:rsidRDefault="00E94383" w:rsidP="00E94383">
            <w:pPr>
              <w:jc w:val="both"/>
              <w:rPr>
                <w:sz w:val="20"/>
              </w:rPr>
            </w:pPr>
            <w:r w:rsidRPr="00E94383">
              <w:rPr>
                <w:i/>
                <w:sz w:val="20"/>
              </w:rPr>
              <w:t>Charter of rights</w:t>
            </w:r>
            <w:r w:rsidRPr="00E94383">
              <w:rPr>
                <w:sz w:val="20"/>
              </w:rPr>
              <w:t xml:space="preserve"> — Self-incrimination — Civil procedure — Contempt of court — In context of discovery in civil action, Applicant ordered to produce certain documents and fulfill certain undertakings by court-ordered deadline — Having failed to comply with order, Applicant cited in civil contempt of court — Court of Appeal upholding contempt order — Whether alleged contemnor can be open to direct questioning by presiding judge at contempt hearing, despite being non-compellable as witness against himself or herself — Whether presiding judge may ask questions, not based on how available evidence should be constructed, but rather based on whether alleged contemnor has committed underlying contemptuous acts — Whether presiding judge should issue warning before alleged contemnor chooses whether to proceed and answer incriminating line of inquiry — </w:t>
            </w:r>
            <w:r w:rsidRPr="00E94383">
              <w:rPr>
                <w:i/>
                <w:sz w:val="20"/>
              </w:rPr>
              <w:t>Canadian Charter of Rights and Freedoms</w:t>
            </w:r>
            <w:r w:rsidRPr="00E94383">
              <w:rPr>
                <w:sz w:val="20"/>
              </w:rPr>
              <w:t>, s. 11(c).</w:t>
            </w:r>
          </w:p>
        </w:tc>
      </w:tr>
      <w:tr w:rsidR="00E94383" w:rsidRPr="00E94383" w:rsidTr="00E94383">
        <w:tc>
          <w:tcPr>
            <w:tcW w:w="5000" w:type="pct"/>
            <w:gridSpan w:val="4"/>
          </w:tcPr>
          <w:p w:rsidR="00E94383" w:rsidRPr="00E94383" w:rsidRDefault="00E94383" w:rsidP="00E94383">
            <w:pPr>
              <w:jc w:val="both"/>
              <w:rPr>
                <w:sz w:val="20"/>
              </w:rPr>
            </w:pPr>
          </w:p>
        </w:tc>
      </w:tr>
      <w:tr w:rsidR="00E94383" w:rsidRPr="00E94383" w:rsidTr="00E94383">
        <w:tc>
          <w:tcPr>
            <w:tcW w:w="5000" w:type="pct"/>
            <w:gridSpan w:val="4"/>
          </w:tcPr>
          <w:p w:rsidR="00E94383" w:rsidRPr="00E94383" w:rsidRDefault="00E94383" w:rsidP="00E94383">
            <w:pPr>
              <w:jc w:val="both"/>
              <w:rPr>
                <w:sz w:val="20"/>
              </w:rPr>
            </w:pPr>
            <w:r w:rsidRPr="00E94383">
              <w:rPr>
                <w:sz w:val="20"/>
              </w:rPr>
              <w:t xml:space="preserve">The applicant, Mr. Paul </w:t>
            </w:r>
            <w:proofErr w:type="spellStart"/>
            <w:r w:rsidRPr="00E94383">
              <w:rPr>
                <w:sz w:val="20"/>
              </w:rPr>
              <w:t>Oommen</w:t>
            </w:r>
            <w:proofErr w:type="spellEnd"/>
            <w:r w:rsidRPr="00E94383">
              <w:rPr>
                <w:sz w:val="20"/>
              </w:rPr>
              <w:t>, is a resident of a property operated by the respondent Capital Regional Housing Corporation (“CRHC”), whose core business is providing affordable housing in Edmonton. Mr. </w:t>
            </w:r>
            <w:proofErr w:type="spellStart"/>
            <w:r w:rsidRPr="00E94383">
              <w:rPr>
                <w:sz w:val="20"/>
              </w:rPr>
              <w:t>Oommen</w:t>
            </w:r>
            <w:proofErr w:type="spellEnd"/>
            <w:r w:rsidRPr="00E94383">
              <w:rPr>
                <w:sz w:val="20"/>
              </w:rPr>
              <w:t xml:space="preserve"> alleges that a theft occurred in his suite in 2007, committed by either a co-tenant or an employee of the property (identified as the other respondent, “Jeff Doe”). Mr. </w:t>
            </w:r>
            <w:proofErr w:type="spellStart"/>
            <w:r w:rsidRPr="00E94383">
              <w:rPr>
                <w:sz w:val="20"/>
              </w:rPr>
              <w:t>Oommen</w:t>
            </w:r>
            <w:proofErr w:type="spellEnd"/>
            <w:r w:rsidRPr="00E94383">
              <w:rPr>
                <w:sz w:val="20"/>
              </w:rPr>
              <w:t xml:space="preserve"> alleges that CRHC failed to ensure appropriate security for the property and for Mr. </w:t>
            </w:r>
            <w:proofErr w:type="spellStart"/>
            <w:r w:rsidRPr="00E94383">
              <w:rPr>
                <w:sz w:val="20"/>
              </w:rPr>
              <w:t>Oommen’s</w:t>
            </w:r>
            <w:proofErr w:type="spellEnd"/>
            <w:r w:rsidRPr="00E94383">
              <w:rPr>
                <w:sz w:val="20"/>
              </w:rPr>
              <w:t xml:space="preserve"> suite, and failed or refused to cooperate with police during an investigation of Mr. </w:t>
            </w:r>
            <w:proofErr w:type="spellStart"/>
            <w:r w:rsidRPr="00E94383">
              <w:rPr>
                <w:sz w:val="20"/>
              </w:rPr>
              <w:t>Oommen’s</w:t>
            </w:r>
            <w:proofErr w:type="spellEnd"/>
            <w:r w:rsidRPr="00E94383">
              <w:rPr>
                <w:sz w:val="20"/>
              </w:rPr>
              <w:t xml:space="preserve"> complaints. As a result of the theft and of these alleged failures, Mr. </w:t>
            </w:r>
            <w:proofErr w:type="spellStart"/>
            <w:r w:rsidRPr="00E94383">
              <w:rPr>
                <w:sz w:val="20"/>
              </w:rPr>
              <w:t>Oommen</w:t>
            </w:r>
            <w:proofErr w:type="spellEnd"/>
            <w:r w:rsidRPr="00E94383">
              <w:rPr>
                <w:sz w:val="20"/>
              </w:rPr>
              <w:t xml:space="preserve"> claims he has suffered property losses, as well as personal injuries including psychological injuries. He therefore sought relief against CRHC in the form of a civil action for damages. During discovery, CRHC made a number of requests for Mr. </w:t>
            </w:r>
            <w:proofErr w:type="spellStart"/>
            <w:r w:rsidRPr="00E94383">
              <w:rPr>
                <w:sz w:val="20"/>
              </w:rPr>
              <w:t>Oommen</w:t>
            </w:r>
            <w:proofErr w:type="spellEnd"/>
            <w:r w:rsidRPr="00E94383">
              <w:rPr>
                <w:sz w:val="20"/>
              </w:rPr>
              <w:t xml:space="preserve"> to provide various documents and undertake to fulfill various undertakings. Mr. </w:t>
            </w:r>
            <w:proofErr w:type="spellStart"/>
            <w:r w:rsidRPr="00E94383">
              <w:rPr>
                <w:sz w:val="20"/>
              </w:rPr>
              <w:t>Oommen</w:t>
            </w:r>
            <w:proofErr w:type="spellEnd"/>
            <w:r w:rsidRPr="00E94383">
              <w:rPr>
                <w:sz w:val="20"/>
              </w:rPr>
              <w:t xml:space="preserve"> having failed to do so by a court-ordered deadline, CRHC then brought an application seeking to cite Mr. </w:t>
            </w:r>
            <w:proofErr w:type="spellStart"/>
            <w:r w:rsidRPr="00E94383">
              <w:rPr>
                <w:sz w:val="20"/>
              </w:rPr>
              <w:t>Oommen</w:t>
            </w:r>
            <w:proofErr w:type="spellEnd"/>
            <w:r w:rsidRPr="00E94383">
              <w:rPr>
                <w:sz w:val="20"/>
              </w:rPr>
              <w:t xml:space="preserve"> in civil contempt of court.</w:t>
            </w:r>
          </w:p>
          <w:p w:rsidR="00E94383" w:rsidRPr="00E94383" w:rsidRDefault="00E94383" w:rsidP="00E94383">
            <w:pPr>
              <w:jc w:val="both"/>
              <w:rPr>
                <w:sz w:val="20"/>
              </w:rPr>
            </w:pPr>
          </w:p>
          <w:p w:rsidR="00E94383" w:rsidRPr="00E94383" w:rsidRDefault="00E94383" w:rsidP="00E94383">
            <w:pPr>
              <w:jc w:val="both"/>
              <w:rPr>
                <w:sz w:val="20"/>
              </w:rPr>
            </w:pPr>
            <w:r w:rsidRPr="00E94383">
              <w:rPr>
                <w:sz w:val="20"/>
              </w:rPr>
              <w:t>The chambers judge at the Alberta Court of Queen’s Bench allowed CRHC’s application and found Mr. </w:t>
            </w:r>
            <w:proofErr w:type="spellStart"/>
            <w:r w:rsidRPr="00E94383">
              <w:rPr>
                <w:sz w:val="20"/>
              </w:rPr>
              <w:t>Oommen</w:t>
            </w:r>
            <w:proofErr w:type="spellEnd"/>
            <w:r w:rsidRPr="00E94383">
              <w:rPr>
                <w:sz w:val="20"/>
              </w:rPr>
              <w:t xml:space="preserve"> in contempt of the court order for production. The chambers judge concluded that the breaches of the order were obvious, the law on the issue of contempt was clear, and Mr. </w:t>
            </w:r>
            <w:proofErr w:type="spellStart"/>
            <w:r w:rsidRPr="00E94383">
              <w:rPr>
                <w:sz w:val="20"/>
              </w:rPr>
              <w:t>Oommen’s</w:t>
            </w:r>
            <w:proofErr w:type="spellEnd"/>
            <w:r w:rsidRPr="00E94383">
              <w:rPr>
                <w:sz w:val="20"/>
              </w:rPr>
              <w:t xml:space="preserve"> refusal to comply with the order was deliberate and </w:t>
            </w:r>
            <w:proofErr w:type="spellStart"/>
            <w:r w:rsidRPr="00E94383">
              <w:rPr>
                <w:sz w:val="20"/>
              </w:rPr>
              <w:t>wilful</w:t>
            </w:r>
            <w:proofErr w:type="spellEnd"/>
            <w:r w:rsidRPr="00E94383">
              <w:rPr>
                <w:sz w:val="20"/>
              </w:rPr>
              <w:t>. She therefore fined him $1,000.00 as a penalty for his contempt, and ordered him to comply with the original order by a new deadline, failing which CRHC would be at liberty to apply to strike his claim. The Court of Appeal unanimously upheld the chambers judge’s order. The Court of Queen’s Bench then issued a subsequent order striking Mr. </w:t>
            </w:r>
            <w:proofErr w:type="spellStart"/>
            <w:r w:rsidRPr="00E94383">
              <w:rPr>
                <w:sz w:val="20"/>
              </w:rPr>
              <w:t>Oommen’s</w:t>
            </w:r>
            <w:proofErr w:type="spellEnd"/>
            <w:r w:rsidRPr="00E94383">
              <w:rPr>
                <w:sz w:val="20"/>
              </w:rPr>
              <w:t xml:space="preserve"> claim, pending the outcome of his application for leave to appeal before the Supreme Court of Canada.</w:t>
            </w:r>
          </w:p>
          <w:p w:rsidR="00E94383" w:rsidRPr="00E94383" w:rsidRDefault="00E94383" w:rsidP="00E94383">
            <w:pPr>
              <w:jc w:val="both"/>
              <w:rPr>
                <w:sz w:val="20"/>
              </w:rPr>
            </w:pPr>
          </w:p>
          <w:p w:rsidR="00E94383" w:rsidRPr="00E94383" w:rsidRDefault="00E94383" w:rsidP="00E94383">
            <w:pPr>
              <w:jc w:val="both"/>
              <w:rPr>
                <w:sz w:val="20"/>
              </w:rPr>
            </w:pPr>
          </w:p>
        </w:tc>
      </w:tr>
      <w:tr w:rsidR="00E94383" w:rsidRPr="00E94383" w:rsidTr="00E94383">
        <w:tc>
          <w:tcPr>
            <w:tcW w:w="2427" w:type="pct"/>
            <w:gridSpan w:val="2"/>
          </w:tcPr>
          <w:p w:rsidR="00E94383" w:rsidRPr="00E94383" w:rsidRDefault="00E94383" w:rsidP="00E94383">
            <w:pPr>
              <w:jc w:val="both"/>
              <w:rPr>
                <w:sz w:val="20"/>
              </w:rPr>
            </w:pPr>
            <w:r w:rsidRPr="00E94383">
              <w:rPr>
                <w:sz w:val="20"/>
              </w:rPr>
              <w:t>May 17, 2016</w:t>
            </w:r>
          </w:p>
          <w:p w:rsidR="00E94383" w:rsidRPr="00E94383" w:rsidRDefault="00E94383" w:rsidP="00E94383">
            <w:pPr>
              <w:jc w:val="both"/>
              <w:rPr>
                <w:sz w:val="20"/>
              </w:rPr>
            </w:pPr>
            <w:r w:rsidRPr="00E94383">
              <w:rPr>
                <w:sz w:val="20"/>
              </w:rPr>
              <w:t>Court of Queen’s Bench of Alberta</w:t>
            </w:r>
          </w:p>
          <w:p w:rsidR="00E94383" w:rsidRPr="00E94383" w:rsidRDefault="00E94383" w:rsidP="00E94383">
            <w:pPr>
              <w:jc w:val="both"/>
              <w:rPr>
                <w:sz w:val="20"/>
              </w:rPr>
            </w:pPr>
            <w:r w:rsidRPr="00E94383">
              <w:rPr>
                <w:sz w:val="20"/>
              </w:rPr>
              <w:t>(</w:t>
            </w:r>
            <w:proofErr w:type="spellStart"/>
            <w:r w:rsidRPr="00E94383">
              <w:rPr>
                <w:sz w:val="20"/>
              </w:rPr>
              <w:t>Veit</w:t>
            </w:r>
            <w:proofErr w:type="spellEnd"/>
            <w:r w:rsidRPr="00E94383">
              <w:rPr>
                <w:sz w:val="20"/>
              </w:rPr>
              <w:t xml:space="preserve"> J.)</w:t>
            </w:r>
          </w:p>
          <w:p w:rsidR="00E94383" w:rsidRPr="00E94383" w:rsidRDefault="00711002" w:rsidP="00E94383">
            <w:pPr>
              <w:jc w:val="both"/>
              <w:rPr>
                <w:sz w:val="20"/>
              </w:rPr>
            </w:pPr>
            <w:hyperlink r:id="rId29" w:history="1">
              <w:r w:rsidR="00E94383" w:rsidRPr="00E94383">
                <w:rPr>
                  <w:rStyle w:val="Hyperlink"/>
                  <w:sz w:val="20"/>
                </w:rPr>
                <w:t>2016 ABQB 283</w:t>
              </w:r>
            </w:hyperlink>
            <w:r w:rsidR="00E94383" w:rsidRPr="00E94383">
              <w:rPr>
                <w:sz w:val="20"/>
              </w:rPr>
              <w:t xml:space="preserve"> </w:t>
            </w:r>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Order finding Mr. </w:t>
            </w:r>
            <w:proofErr w:type="spellStart"/>
            <w:r w:rsidRPr="00E94383">
              <w:rPr>
                <w:sz w:val="20"/>
              </w:rPr>
              <w:t>Oommen</w:t>
            </w:r>
            <w:proofErr w:type="spellEnd"/>
            <w:r w:rsidRPr="00E94383">
              <w:rPr>
                <w:sz w:val="20"/>
              </w:rPr>
              <w:t xml:space="preserve"> in civil contempt of court</w:t>
            </w:r>
          </w:p>
          <w:p w:rsidR="00E94383" w:rsidRPr="00E94383" w:rsidRDefault="00E94383" w:rsidP="00E94383">
            <w:pPr>
              <w:jc w:val="both"/>
              <w:rPr>
                <w:sz w:val="20"/>
              </w:rPr>
            </w:pPr>
          </w:p>
        </w:tc>
      </w:tr>
      <w:tr w:rsidR="00E94383" w:rsidRPr="00E94383" w:rsidTr="00E94383">
        <w:tc>
          <w:tcPr>
            <w:tcW w:w="2427" w:type="pct"/>
            <w:gridSpan w:val="2"/>
          </w:tcPr>
          <w:p w:rsidR="00E94383" w:rsidRPr="00E94383" w:rsidRDefault="00E94383" w:rsidP="00E94383">
            <w:pPr>
              <w:jc w:val="both"/>
              <w:rPr>
                <w:sz w:val="20"/>
              </w:rPr>
            </w:pPr>
            <w:r w:rsidRPr="00E94383">
              <w:rPr>
                <w:sz w:val="20"/>
              </w:rPr>
              <w:lastRenderedPageBreak/>
              <w:t>May 9, 2017</w:t>
            </w:r>
          </w:p>
          <w:p w:rsidR="00E94383" w:rsidRPr="00E94383" w:rsidRDefault="00E94383" w:rsidP="00E94383">
            <w:pPr>
              <w:jc w:val="both"/>
              <w:rPr>
                <w:sz w:val="20"/>
              </w:rPr>
            </w:pPr>
            <w:r w:rsidRPr="00E94383">
              <w:rPr>
                <w:sz w:val="20"/>
              </w:rPr>
              <w:t>Court of Appeal of Alberta (Edmonton)</w:t>
            </w:r>
          </w:p>
          <w:p w:rsidR="00E94383" w:rsidRPr="00E94383" w:rsidRDefault="00E94383" w:rsidP="00E94383">
            <w:pPr>
              <w:jc w:val="both"/>
              <w:rPr>
                <w:sz w:val="20"/>
              </w:rPr>
            </w:pPr>
            <w:r w:rsidRPr="00E94383">
              <w:rPr>
                <w:sz w:val="20"/>
              </w:rPr>
              <w:t xml:space="preserve">(McDonald, </w:t>
            </w:r>
            <w:proofErr w:type="spellStart"/>
            <w:r w:rsidRPr="00E94383">
              <w:rPr>
                <w:sz w:val="20"/>
              </w:rPr>
              <w:t>Wakeling</w:t>
            </w:r>
            <w:proofErr w:type="spellEnd"/>
            <w:r w:rsidRPr="00E94383">
              <w:rPr>
                <w:sz w:val="20"/>
              </w:rPr>
              <w:t xml:space="preserve"> and </w:t>
            </w:r>
            <w:proofErr w:type="spellStart"/>
            <w:r w:rsidRPr="00E94383">
              <w:rPr>
                <w:sz w:val="20"/>
              </w:rPr>
              <w:t>Greckol</w:t>
            </w:r>
            <w:proofErr w:type="spellEnd"/>
            <w:r w:rsidRPr="00E94383">
              <w:rPr>
                <w:sz w:val="20"/>
              </w:rPr>
              <w:t xml:space="preserve"> JJ.A.)</w:t>
            </w:r>
          </w:p>
          <w:p w:rsidR="00E94383" w:rsidRPr="00E94383" w:rsidRDefault="00711002" w:rsidP="00E94383">
            <w:pPr>
              <w:jc w:val="both"/>
              <w:rPr>
                <w:sz w:val="20"/>
              </w:rPr>
            </w:pPr>
            <w:hyperlink r:id="rId30" w:history="1">
              <w:r w:rsidR="00E94383" w:rsidRPr="00E94383">
                <w:rPr>
                  <w:rStyle w:val="Hyperlink"/>
                  <w:sz w:val="20"/>
                </w:rPr>
                <w:t>2017 ABCA 143</w:t>
              </w:r>
            </w:hyperlink>
            <w:r w:rsidR="00E94383" w:rsidRPr="00E94383">
              <w:rPr>
                <w:sz w:val="20"/>
              </w:rPr>
              <w:t xml:space="preserve"> </w:t>
            </w:r>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Mr. </w:t>
            </w:r>
            <w:proofErr w:type="spellStart"/>
            <w:r w:rsidRPr="00E94383">
              <w:rPr>
                <w:sz w:val="20"/>
              </w:rPr>
              <w:t>Oommen’s</w:t>
            </w:r>
            <w:proofErr w:type="spellEnd"/>
            <w:r w:rsidRPr="00E94383">
              <w:rPr>
                <w:sz w:val="20"/>
              </w:rPr>
              <w:t xml:space="preserve"> appeal from contempt order – dismissed</w:t>
            </w:r>
          </w:p>
        </w:tc>
      </w:tr>
      <w:tr w:rsidR="00E94383" w:rsidRPr="00E94383" w:rsidTr="00E94383">
        <w:tc>
          <w:tcPr>
            <w:tcW w:w="2427" w:type="pct"/>
            <w:gridSpan w:val="2"/>
          </w:tcPr>
          <w:p w:rsidR="00E94383" w:rsidRPr="00E94383" w:rsidRDefault="00E94383" w:rsidP="00E94383">
            <w:pPr>
              <w:jc w:val="both"/>
              <w:rPr>
                <w:sz w:val="20"/>
              </w:rPr>
            </w:pPr>
            <w:r w:rsidRPr="00E94383">
              <w:rPr>
                <w:sz w:val="20"/>
              </w:rPr>
              <w:t>June 2, 2017</w:t>
            </w:r>
          </w:p>
          <w:p w:rsidR="00E94383" w:rsidRPr="00E94383" w:rsidRDefault="00E94383" w:rsidP="00E94383">
            <w:pPr>
              <w:jc w:val="both"/>
              <w:rPr>
                <w:sz w:val="20"/>
              </w:rPr>
            </w:pPr>
            <w:r w:rsidRPr="00E94383">
              <w:rPr>
                <w:sz w:val="20"/>
              </w:rPr>
              <w:t>Court of Queen’s Bench of Alberta</w:t>
            </w:r>
          </w:p>
          <w:p w:rsidR="00E94383" w:rsidRPr="00E94383" w:rsidRDefault="00E94383" w:rsidP="00E94383">
            <w:pPr>
              <w:jc w:val="both"/>
              <w:rPr>
                <w:sz w:val="20"/>
              </w:rPr>
            </w:pPr>
            <w:r w:rsidRPr="00E94383">
              <w:rPr>
                <w:sz w:val="20"/>
              </w:rPr>
              <w:t>(Ross J.)</w:t>
            </w:r>
          </w:p>
          <w:p w:rsidR="00E94383" w:rsidRPr="00E94383" w:rsidRDefault="00E94383" w:rsidP="00E94383">
            <w:pPr>
              <w:jc w:val="both"/>
              <w:rPr>
                <w:sz w:val="20"/>
              </w:rPr>
            </w:pPr>
            <w:r w:rsidRPr="00E94383">
              <w:rPr>
                <w:sz w:val="20"/>
              </w:rPr>
              <w:t>Court file number: 0903 03854</w:t>
            </w:r>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Mr. </w:t>
            </w:r>
            <w:proofErr w:type="spellStart"/>
            <w:r w:rsidRPr="00E94383">
              <w:rPr>
                <w:sz w:val="20"/>
              </w:rPr>
              <w:t>Oommen’s</w:t>
            </w:r>
            <w:proofErr w:type="spellEnd"/>
            <w:r w:rsidRPr="00E94383">
              <w:rPr>
                <w:sz w:val="20"/>
              </w:rPr>
              <w:t xml:space="preserve"> statement of claim struck, pending outcome of application for leave to appeal to Supreme Court of Canada</w:t>
            </w:r>
          </w:p>
        </w:tc>
      </w:tr>
      <w:tr w:rsidR="00E94383" w:rsidRPr="00E94383" w:rsidTr="00E94383">
        <w:tc>
          <w:tcPr>
            <w:tcW w:w="2427" w:type="pct"/>
            <w:gridSpan w:val="2"/>
          </w:tcPr>
          <w:p w:rsidR="00E94383" w:rsidRPr="00E94383" w:rsidRDefault="00E94383" w:rsidP="00E94383">
            <w:pPr>
              <w:jc w:val="both"/>
              <w:rPr>
                <w:sz w:val="20"/>
              </w:rPr>
            </w:pPr>
            <w:r w:rsidRPr="00E94383">
              <w:rPr>
                <w:sz w:val="20"/>
              </w:rPr>
              <w:t>August 3, 2017</w:t>
            </w:r>
          </w:p>
          <w:p w:rsidR="00E94383" w:rsidRPr="00E94383" w:rsidRDefault="00E94383" w:rsidP="00E94383">
            <w:pPr>
              <w:jc w:val="both"/>
              <w:rPr>
                <w:sz w:val="20"/>
              </w:rPr>
            </w:pPr>
            <w:r w:rsidRPr="00E94383">
              <w:rPr>
                <w:sz w:val="20"/>
              </w:rPr>
              <w:t>Supreme Court of Canada</w:t>
            </w: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rPr>
            </w:pPr>
            <w:r w:rsidRPr="00E94383">
              <w:rPr>
                <w:sz w:val="20"/>
              </w:rPr>
              <w:t>Application for leave to appeal filed by Mr. </w:t>
            </w:r>
            <w:proofErr w:type="spellStart"/>
            <w:r w:rsidRPr="00E94383">
              <w:rPr>
                <w:sz w:val="20"/>
              </w:rPr>
              <w:t>Oommen</w:t>
            </w:r>
            <w:proofErr w:type="spellEnd"/>
          </w:p>
        </w:tc>
      </w:tr>
    </w:tbl>
    <w:p w:rsidR="00E94383" w:rsidRDefault="00E94383" w:rsidP="00E94383">
      <w:pPr>
        <w:jc w:val="both"/>
        <w:rPr>
          <w:sz w:val="20"/>
        </w:rPr>
      </w:pPr>
    </w:p>
    <w:p w:rsidR="00BB3B17" w:rsidRPr="00E94383" w:rsidRDefault="00BB3B17" w:rsidP="00E943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4383" w:rsidRPr="00E94383" w:rsidTr="00E94383">
        <w:tc>
          <w:tcPr>
            <w:tcW w:w="543" w:type="pct"/>
          </w:tcPr>
          <w:p w:rsidR="00E94383" w:rsidRPr="00E94383" w:rsidRDefault="00E94383" w:rsidP="00E94383">
            <w:pPr>
              <w:jc w:val="both"/>
              <w:rPr>
                <w:sz w:val="20"/>
                <w:lang w:val="fr-CA"/>
              </w:rPr>
            </w:pPr>
            <w:r w:rsidRPr="00E94383">
              <w:rPr>
                <w:rStyle w:val="SCCFileNumberChar"/>
                <w:sz w:val="20"/>
                <w:szCs w:val="20"/>
                <w:lang w:val="fr-CA"/>
              </w:rPr>
              <w:t>37719</w:t>
            </w:r>
          </w:p>
        </w:tc>
        <w:tc>
          <w:tcPr>
            <w:tcW w:w="4457" w:type="pct"/>
            <w:gridSpan w:val="3"/>
          </w:tcPr>
          <w:p w:rsidR="00E94383" w:rsidRPr="00BB3B17" w:rsidRDefault="00E94383" w:rsidP="00E94383">
            <w:pPr>
              <w:pStyle w:val="SCCLsocParty"/>
              <w:jc w:val="both"/>
              <w:rPr>
                <w:b/>
                <w:sz w:val="20"/>
                <w:szCs w:val="20"/>
                <w:lang w:val="en-US"/>
              </w:rPr>
            </w:pPr>
            <w:r w:rsidRPr="00BB3B17">
              <w:rPr>
                <w:b/>
                <w:sz w:val="20"/>
                <w:szCs w:val="20"/>
                <w:lang w:val="en-US"/>
              </w:rPr>
              <w:t xml:space="preserve">Paul </w:t>
            </w:r>
            <w:proofErr w:type="spellStart"/>
            <w:r w:rsidRPr="00BB3B17">
              <w:rPr>
                <w:b/>
                <w:sz w:val="20"/>
                <w:szCs w:val="20"/>
                <w:lang w:val="en-US"/>
              </w:rPr>
              <w:t>Oommen</w:t>
            </w:r>
            <w:proofErr w:type="spellEnd"/>
            <w:r w:rsidRPr="00BB3B17">
              <w:rPr>
                <w:b/>
                <w:sz w:val="20"/>
                <w:szCs w:val="20"/>
                <w:lang w:val="en-US"/>
              </w:rPr>
              <w:t xml:space="preserve"> c. Capital Region Housing Corporation, Jeff </w:t>
            </w:r>
            <w:proofErr w:type="spellStart"/>
            <w:r w:rsidRPr="00BB3B17">
              <w:rPr>
                <w:b/>
                <w:sz w:val="20"/>
                <w:szCs w:val="20"/>
                <w:lang w:val="en-US"/>
              </w:rPr>
              <w:t>Untel</w:t>
            </w:r>
            <w:proofErr w:type="spellEnd"/>
          </w:p>
          <w:p w:rsidR="00E94383" w:rsidRPr="00E94383" w:rsidRDefault="00E94383" w:rsidP="00E94383">
            <w:pPr>
              <w:jc w:val="both"/>
              <w:rPr>
                <w:sz w:val="20"/>
                <w:lang w:val="fr-CA"/>
              </w:rPr>
            </w:pPr>
            <w:r w:rsidRPr="00E94383">
              <w:rPr>
                <w:sz w:val="20"/>
                <w:lang w:val="fr-CA"/>
              </w:rPr>
              <w:t>(</w:t>
            </w:r>
            <w:proofErr w:type="spellStart"/>
            <w:r w:rsidRPr="00E94383">
              <w:rPr>
                <w:sz w:val="20"/>
                <w:lang w:val="fr-CA"/>
              </w:rPr>
              <w:t>Alb</w:t>
            </w:r>
            <w:proofErr w:type="spellEnd"/>
            <w:r w:rsidRPr="00E94383">
              <w:rPr>
                <w:sz w:val="20"/>
                <w:lang w:val="fr-CA"/>
              </w:rPr>
              <w:t>.) (Civile) (Sur autorisation)</w:t>
            </w:r>
          </w:p>
        </w:tc>
      </w:tr>
      <w:tr w:rsidR="00E94383" w:rsidRPr="00711002" w:rsidTr="00E94383">
        <w:tc>
          <w:tcPr>
            <w:tcW w:w="5000" w:type="pct"/>
            <w:gridSpan w:val="4"/>
          </w:tcPr>
          <w:p w:rsidR="00E94383" w:rsidRPr="00E94383" w:rsidRDefault="00E94383" w:rsidP="00E94383">
            <w:pPr>
              <w:pStyle w:val="SCCBanSummary"/>
              <w:rPr>
                <w:sz w:val="20"/>
                <w:szCs w:val="20"/>
                <w:lang w:val="fr-CA"/>
              </w:rPr>
            </w:pPr>
          </w:p>
          <w:p w:rsidR="00E94383" w:rsidRPr="00E94383" w:rsidRDefault="00E94383" w:rsidP="00E94383">
            <w:pPr>
              <w:jc w:val="both"/>
              <w:rPr>
                <w:sz w:val="20"/>
                <w:lang w:val="fr-CA"/>
              </w:rPr>
            </w:pPr>
            <w:r w:rsidRPr="00E94383">
              <w:rPr>
                <w:i/>
                <w:sz w:val="20"/>
                <w:lang w:val="fr-CA"/>
              </w:rPr>
              <w:t>Charte des droits</w:t>
            </w:r>
            <w:r w:rsidRPr="00E94383">
              <w:rPr>
                <w:sz w:val="20"/>
                <w:lang w:val="fr-CA"/>
              </w:rPr>
              <w:t xml:space="preserve"> — Auto-incrimination — Procédure civile — Outrage au tribunal — Dans le contexte de la communication préalable dans une action civile, le demandeur a été sommé de produire certains documents et de remplir certains engagements dans un délai imparti par le tribunal — Ayant omis de se conformer à l’ordonnance, le demandeur a été condamné pour outrage au tribunal civil — La Cour d’appel a confirmé la condamnation pour outrage — L’auteur présumé de l’outrage peut-il être interrogé directement par le juge présidant l’audience relative à l’outrage, et ce, même s’il ne peut être contraint de témoigner contre lui-même? — Le juge présidant l’audience peut-il poser des questions, fondées non pas sur la manière dont la preuve disponible doit être interprétée, mais plutôt sur la question de savoir si l’auteur présumé de l’outrage a commis les actes qui ont donné lieu à la condamnation pour outrage? — Le juge présidant l’audience doit-il servir une mise en garde avant que l’auteur présumé de l’outrage choisisse d’aller ou non de l’avant et de répondre ou non aux questions incriminantes? — </w:t>
            </w:r>
            <w:r w:rsidRPr="00E94383">
              <w:rPr>
                <w:i/>
                <w:sz w:val="20"/>
                <w:lang w:val="fr-CA"/>
              </w:rPr>
              <w:t>Charte canadienne des droits et libertés</w:t>
            </w:r>
            <w:r w:rsidRPr="00E94383">
              <w:rPr>
                <w:sz w:val="20"/>
                <w:lang w:val="fr-CA"/>
              </w:rPr>
              <w:t>, al. 11c).</w:t>
            </w:r>
          </w:p>
        </w:tc>
      </w:tr>
      <w:tr w:rsidR="00E94383" w:rsidRPr="00711002" w:rsidTr="00E94383">
        <w:tc>
          <w:tcPr>
            <w:tcW w:w="5000" w:type="pct"/>
            <w:gridSpan w:val="4"/>
          </w:tcPr>
          <w:p w:rsidR="00E94383" w:rsidRPr="00E94383" w:rsidRDefault="00E94383" w:rsidP="00E94383">
            <w:pPr>
              <w:jc w:val="both"/>
              <w:rPr>
                <w:sz w:val="20"/>
                <w:lang w:val="fr-CA"/>
              </w:rPr>
            </w:pPr>
          </w:p>
        </w:tc>
      </w:tr>
      <w:tr w:rsidR="00E94383" w:rsidRPr="00711002" w:rsidTr="00E94383">
        <w:tc>
          <w:tcPr>
            <w:tcW w:w="5000" w:type="pct"/>
            <w:gridSpan w:val="4"/>
          </w:tcPr>
          <w:p w:rsidR="00E94383" w:rsidRPr="00E94383" w:rsidRDefault="00E94383" w:rsidP="00E94383">
            <w:pPr>
              <w:jc w:val="both"/>
              <w:rPr>
                <w:sz w:val="20"/>
                <w:lang w:val="fr-CA"/>
              </w:rPr>
            </w:pPr>
            <w:r w:rsidRPr="00E94383">
              <w:rPr>
                <w:sz w:val="20"/>
                <w:lang w:val="fr-CA"/>
              </w:rPr>
              <w:t xml:space="preserve">Le demandeur, M. Paul </w:t>
            </w:r>
            <w:proofErr w:type="spellStart"/>
            <w:r w:rsidRPr="00E94383">
              <w:rPr>
                <w:sz w:val="20"/>
                <w:lang w:val="fr-CA"/>
              </w:rPr>
              <w:t>Oommen</w:t>
            </w:r>
            <w:proofErr w:type="spellEnd"/>
            <w:r w:rsidRPr="00E94383">
              <w:rPr>
                <w:sz w:val="20"/>
                <w:lang w:val="fr-CA"/>
              </w:rPr>
              <w:t xml:space="preserve">, est résident d’un immeuble exploité par l’intimée Capital </w:t>
            </w:r>
            <w:proofErr w:type="spellStart"/>
            <w:r w:rsidRPr="00E94383">
              <w:rPr>
                <w:sz w:val="20"/>
                <w:lang w:val="fr-CA"/>
              </w:rPr>
              <w:t>Regional</w:t>
            </w:r>
            <w:proofErr w:type="spellEnd"/>
            <w:r w:rsidRPr="00E94383">
              <w:rPr>
                <w:sz w:val="20"/>
                <w:lang w:val="fr-CA"/>
              </w:rPr>
              <w:t xml:space="preserve"> </w:t>
            </w:r>
            <w:proofErr w:type="spellStart"/>
            <w:r w:rsidRPr="00E94383">
              <w:rPr>
                <w:sz w:val="20"/>
                <w:lang w:val="fr-CA"/>
              </w:rPr>
              <w:t>Housing</w:t>
            </w:r>
            <w:proofErr w:type="spellEnd"/>
            <w:r w:rsidRPr="00E94383">
              <w:rPr>
                <w:sz w:val="20"/>
                <w:lang w:val="fr-CA"/>
              </w:rPr>
              <w:t xml:space="preserve"> Corporation (« CRHC »), dont l’activité centrale consiste à fournir des logements abordables à Edmonton. Monsieur </w:t>
            </w:r>
            <w:proofErr w:type="spellStart"/>
            <w:r w:rsidRPr="00E94383">
              <w:rPr>
                <w:sz w:val="20"/>
                <w:lang w:val="fr-CA"/>
              </w:rPr>
              <w:t>Oommen</w:t>
            </w:r>
            <w:proofErr w:type="spellEnd"/>
            <w:r w:rsidRPr="00E94383">
              <w:rPr>
                <w:sz w:val="20"/>
                <w:lang w:val="fr-CA"/>
              </w:rPr>
              <w:t xml:space="preserve"> allègue qu’en 2007, un vol a eu lieu dans son logement, commis soit par un colocataire, soit par un employé de l’immeuble (désigné comme l’autre intimé, « Jeff Untel »). Monsieur </w:t>
            </w:r>
            <w:proofErr w:type="spellStart"/>
            <w:r w:rsidRPr="00E94383">
              <w:rPr>
                <w:sz w:val="20"/>
                <w:lang w:val="fr-CA"/>
              </w:rPr>
              <w:t>Oommen</w:t>
            </w:r>
            <w:proofErr w:type="spellEnd"/>
            <w:r w:rsidRPr="00E94383">
              <w:rPr>
                <w:sz w:val="20"/>
                <w:lang w:val="fr-CA"/>
              </w:rPr>
              <w:t xml:space="preserve"> allègue que CRHC a omis d’assurer une sécurité appropriée dans l’immeuble et dans le logement de M. </w:t>
            </w:r>
            <w:proofErr w:type="spellStart"/>
            <w:r w:rsidRPr="00E94383">
              <w:rPr>
                <w:sz w:val="20"/>
                <w:lang w:val="fr-CA"/>
              </w:rPr>
              <w:t>Oommen</w:t>
            </w:r>
            <w:proofErr w:type="spellEnd"/>
            <w:r w:rsidRPr="00E94383">
              <w:rPr>
                <w:sz w:val="20"/>
                <w:lang w:val="fr-CA"/>
              </w:rPr>
              <w:t xml:space="preserve"> et qu’elle a omis ou refusé de collaborer avec la police pendant une enquête sur les plaintes de M. </w:t>
            </w:r>
            <w:proofErr w:type="spellStart"/>
            <w:r w:rsidRPr="00E94383">
              <w:rPr>
                <w:sz w:val="20"/>
                <w:lang w:val="fr-CA"/>
              </w:rPr>
              <w:t>Oommen</w:t>
            </w:r>
            <w:proofErr w:type="spellEnd"/>
            <w:r w:rsidRPr="00E94383">
              <w:rPr>
                <w:sz w:val="20"/>
                <w:lang w:val="fr-CA"/>
              </w:rPr>
              <w:t xml:space="preserve">. Monsieur </w:t>
            </w:r>
            <w:proofErr w:type="spellStart"/>
            <w:r w:rsidRPr="00E94383">
              <w:rPr>
                <w:sz w:val="20"/>
                <w:lang w:val="fr-CA"/>
              </w:rPr>
              <w:t>Oommen</w:t>
            </w:r>
            <w:proofErr w:type="spellEnd"/>
            <w:r w:rsidRPr="00E94383">
              <w:rPr>
                <w:sz w:val="20"/>
                <w:lang w:val="fr-CA"/>
              </w:rPr>
              <w:t xml:space="preserve"> prétend qu’en raison du vol et de ces manquements présumés, il a subi des pertes matérielles ainsi que des préjudices personnels, y compris des préjudices psychologiques. Il a donc intenté un recours contre CRHC, c’est-à-dire une action civile en dommages-intérêts. Pendant la communication préalable, CRHC a fait un certain nombre de demandes à M. </w:t>
            </w:r>
            <w:proofErr w:type="spellStart"/>
            <w:r w:rsidRPr="00E94383">
              <w:rPr>
                <w:sz w:val="20"/>
                <w:lang w:val="fr-CA"/>
              </w:rPr>
              <w:t>Oommen</w:t>
            </w:r>
            <w:proofErr w:type="spellEnd"/>
            <w:r w:rsidRPr="00E94383">
              <w:rPr>
                <w:sz w:val="20"/>
                <w:lang w:val="fr-CA"/>
              </w:rPr>
              <w:t>, à savoir de fournir divers documents et de remplir certains engagements. Monsieur </w:t>
            </w:r>
            <w:proofErr w:type="spellStart"/>
            <w:r w:rsidRPr="00E94383">
              <w:rPr>
                <w:sz w:val="20"/>
                <w:lang w:val="fr-CA"/>
              </w:rPr>
              <w:t>Oommen</w:t>
            </w:r>
            <w:proofErr w:type="spellEnd"/>
            <w:r w:rsidRPr="00E94383">
              <w:rPr>
                <w:sz w:val="20"/>
                <w:lang w:val="fr-CA"/>
              </w:rPr>
              <w:t xml:space="preserve"> ne l’ayant pas fait dans le délai imparti par le tribunal, CRHC a ensuite présenté une demande pour faire condamner M. </w:t>
            </w:r>
            <w:proofErr w:type="spellStart"/>
            <w:r w:rsidRPr="00E94383">
              <w:rPr>
                <w:sz w:val="20"/>
                <w:lang w:val="fr-CA"/>
              </w:rPr>
              <w:t>Oommen</w:t>
            </w:r>
            <w:proofErr w:type="spellEnd"/>
            <w:r w:rsidRPr="00E94383">
              <w:rPr>
                <w:sz w:val="20"/>
                <w:lang w:val="fr-CA"/>
              </w:rPr>
              <w:t xml:space="preserve"> pour outrage au tribunal civil.</w:t>
            </w:r>
          </w:p>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La juge en cabinet de la Cour du Banc de la Reine de l’Alberta a accueilli la demande de CRHC et a déclaré M. </w:t>
            </w:r>
            <w:proofErr w:type="spellStart"/>
            <w:r w:rsidRPr="00E94383">
              <w:rPr>
                <w:sz w:val="20"/>
                <w:lang w:val="fr-CA"/>
              </w:rPr>
              <w:t>Oommen</w:t>
            </w:r>
            <w:proofErr w:type="spellEnd"/>
            <w:r w:rsidRPr="00E94383">
              <w:rPr>
                <w:sz w:val="20"/>
                <w:lang w:val="fr-CA"/>
              </w:rPr>
              <w:t xml:space="preserve"> coupable d’outrage à l’égard de l’ordonnance de production prononcée par le tribunal. La juge en cabinet a conclu que les manquements à l’ordonnance étaient évidents, que la règle de droit sur la question de l’outrage était claire et que le refus de M. </w:t>
            </w:r>
            <w:proofErr w:type="spellStart"/>
            <w:r w:rsidRPr="00E94383">
              <w:rPr>
                <w:sz w:val="20"/>
                <w:lang w:val="fr-CA"/>
              </w:rPr>
              <w:t>Oommen</w:t>
            </w:r>
            <w:proofErr w:type="spellEnd"/>
            <w:r w:rsidRPr="00E94383">
              <w:rPr>
                <w:sz w:val="20"/>
                <w:lang w:val="fr-CA"/>
              </w:rPr>
              <w:t xml:space="preserve"> de se conformer à l’ordonnance était délibéré et volontaire. La juge l’a donc condamné à une amende de 1 000 $ à titre de pénalité pour son outrage et lui a ordonné de se conformer à l’ordonnance initiale à l’intérieur d’un nouveau délai, à défaut de quoi il serait loisible à CRHC de demander la radiation de sa demande. À l’unanimité, la Cour d’appel a confirmé l’ordonnance de la juge en cabinet. La Cour du Banc de la Reine a ensuite prononcé une ordonnance subséquente radiant la demande de M. </w:t>
            </w:r>
            <w:proofErr w:type="spellStart"/>
            <w:r w:rsidRPr="00E94383">
              <w:rPr>
                <w:sz w:val="20"/>
                <w:lang w:val="fr-CA"/>
              </w:rPr>
              <w:t>Oommen</w:t>
            </w:r>
            <w:proofErr w:type="spellEnd"/>
            <w:r w:rsidRPr="00E94383">
              <w:rPr>
                <w:sz w:val="20"/>
                <w:lang w:val="fr-CA"/>
              </w:rPr>
              <w:t>, en attendant l’issue de sa demande d’autorisation d’appel à la Cour suprême du Canada.</w:t>
            </w:r>
          </w:p>
          <w:p w:rsidR="00E94383" w:rsidRPr="00E94383" w:rsidRDefault="00E94383" w:rsidP="00E94383">
            <w:pPr>
              <w:jc w:val="both"/>
              <w:rPr>
                <w:sz w:val="20"/>
                <w:lang w:val="fr-CA"/>
              </w:rPr>
            </w:pPr>
          </w:p>
          <w:p w:rsidR="00E94383" w:rsidRPr="00E94383" w:rsidRDefault="00E94383" w:rsidP="00E94383">
            <w:pPr>
              <w:jc w:val="both"/>
              <w:rPr>
                <w:sz w:val="20"/>
                <w:lang w:val="fr-CA"/>
              </w:rPr>
            </w:pP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lastRenderedPageBreak/>
              <w:t>17 mai 2016</w:t>
            </w:r>
          </w:p>
          <w:p w:rsidR="00E94383" w:rsidRPr="00E94383" w:rsidRDefault="00E94383" w:rsidP="00E94383">
            <w:pPr>
              <w:jc w:val="both"/>
              <w:rPr>
                <w:sz w:val="20"/>
                <w:lang w:val="fr-CA"/>
              </w:rPr>
            </w:pPr>
            <w:r w:rsidRPr="00E94383">
              <w:rPr>
                <w:sz w:val="20"/>
                <w:lang w:val="fr-CA"/>
              </w:rPr>
              <w:t>Cour du Banc de la Reine de l’Alberta</w:t>
            </w:r>
          </w:p>
          <w:p w:rsidR="00E94383" w:rsidRPr="00E94383" w:rsidRDefault="00E94383" w:rsidP="00E94383">
            <w:pPr>
              <w:jc w:val="both"/>
              <w:rPr>
                <w:sz w:val="20"/>
                <w:lang w:val="fr-CA"/>
              </w:rPr>
            </w:pPr>
            <w:r w:rsidRPr="00E94383">
              <w:rPr>
                <w:sz w:val="20"/>
                <w:lang w:val="fr-CA"/>
              </w:rPr>
              <w:t>(Juge Veit)</w:t>
            </w:r>
          </w:p>
          <w:p w:rsidR="00E94383" w:rsidRPr="00E94383" w:rsidRDefault="00711002" w:rsidP="00E94383">
            <w:pPr>
              <w:jc w:val="both"/>
              <w:rPr>
                <w:sz w:val="20"/>
                <w:lang w:val="fr-CA"/>
              </w:rPr>
            </w:pPr>
            <w:hyperlink r:id="rId31" w:history="1">
              <w:r w:rsidR="00E94383" w:rsidRPr="00E94383">
                <w:rPr>
                  <w:rStyle w:val="Hyperlink"/>
                  <w:sz w:val="20"/>
                  <w:lang w:val="fr-CA"/>
                </w:rPr>
                <w:t>2016 ABQB 283</w:t>
              </w:r>
            </w:hyperlink>
            <w:r w:rsidR="00E94383" w:rsidRPr="00E94383">
              <w:rPr>
                <w:sz w:val="20"/>
                <w:lang w:val="fr-CA"/>
              </w:rPr>
              <w:t xml:space="preserve"> </w:t>
            </w:r>
          </w:p>
          <w:p w:rsidR="00E94383" w:rsidRPr="00E94383" w:rsidRDefault="00E94383" w:rsidP="00E94383">
            <w:pPr>
              <w:jc w:val="both"/>
              <w:rPr>
                <w:sz w:val="20"/>
                <w:lang w:val="fr-CA"/>
              </w:rPr>
            </w:pP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Ordonnance déclarant M. </w:t>
            </w:r>
            <w:proofErr w:type="spellStart"/>
            <w:r w:rsidRPr="00E94383">
              <w:rPr>
                <w:sz w:val="20"/>
                <w:lang w:val="fr-CA"/>
              </w:rPr>
              <w:t>Oommen</w:t>
            </w:r>
            <w:proofErr w:type="spellEnd"/>
            <w:r w:rsidRPr="00E94383">
              <w:rPr>
                <w:sz w:val="20"/>
                <w:lang w:val="fr-CA"/>
              </w:rPr>
              <w:t xml:space="preserve"> coupable d’outrage au tribunal civil </w:t>
            </w:r>
          </w:p>
          <w:p w:rsidR="00E94383" w:rsidRPr="00E94383" w:rsidRDefault="00E94383" w:rsidP="00E94383">
            <w:pPr>
              <w:jc w:val="both"/>
              <w:rPr>
                <w:sz w:val="20"/>
                <w:lang w:val="fr-CA"/>
              </w:rPr>
            </w:pP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9 mai 2017</w:t>
            </w:r>
          </w:p>
          <w:p w:rsidR="00E94383" w:rsidRPr="00E94383" w:rsidRDefault="00E94383" w:rsidP="00E94383">
            <w:pPr>
              <w:jc w:val="both"/>
              <w:rPr>
                <w:sz w:val="20"/>
                <w:lang w:val="fr-CA"/>
              </w:rPr>
            </w:pPr>
            <w:r w:rsidRPr="00E94383">
              <w:rPr>
                <w:sz w:val="20"/>
                <w:lang w:val="fr-CA"/>
              </w:rPr>
              <w:t>Cour d’appel de l’Alberta (Edmonton)</w:t>
            </w:r>
          </w:p>
          <w:p w:rsidR="00E94383" w:rsidRPr="00E94383" w:rsidRDefault="00E94383" w:rsidP="00E94383">
            <w:pPr>
              <w:jc w:val="both"/>
              <w:rPr>
                <w:sz w:val="20"/>
              </w:rPr>
            </w:pPr>
            <w:r w:rsidRPr="00E94383">
              <w:rPr>
                <w:sz w:val="20"/>
              </w:rPr>
              <w:t>(</w:t>
            </w:r>
            <w:proofErr w:type="spellStart"/>
            <w:r w:rsidRPr="00E94383">
              <w:rPr>
                <w:sz w:val="20"/>
              </w:rPr>
              <w:t>Juges</w:t>
            </w:r>
            <w:proofErr w:type="spellEnd"/>
            <w:r w:rsidRPr="00E94383">
              <w:rPr>
                <w:sz w:val="20"/>
              </w:rPr>
              <w:t xml:space="preserve"> McDonald, </w:t>
            </w:r>
            <w:proofErr w:type="spellStart"/>
            <w:r w:rsidRPr="00E94383">
              <w:rPr>
                <w:sz w:val="20"/>
              </w:rPr>
              <w:t>Wakeling</w:t>
            </w:r>
            <w:proofErr w:type="spellEnd"/>
            <w:r w:rsidRPr="00E94383">
              <w:rPr>
                <w:sz w:val="20"/>
              </w:rPr>
              <w:t xml:space="preserve"> et </w:t>
            </w:r>
            <w:proofErr w:type="spellStart"/>
            <w:r w:rsidRPr="00E94383">
              <w:rPr>
                <w:sz w:val="20"/>
              </w:rPr>
              <w:t>Greckol</w:t>
            </w:r>
            <w:proofErr w:type="spellEnd"/>
            <w:r w:rsidRPr="00E94383">
              <w:rPr>
                <w:sz w:val="20"/>
              </w:rPr>
              <w:t>)</w:t>
            </w:r>
          </w:p>
          <w:p w:rsidR="00E94383" w:rsidRPr="00E94383" w:rsidRDefault="00711002" w:rsidP="00E94383">
            <w:pPr>
              <w:jc w:val="both"/>
              <w:rPr>
                <w:sz w:val="20"/>
              </w:rPr>
            </w:pPr>
            <w:hyperlink r:id="rId32" w:history="1">
              <w:r w:rsidR="00E94383" w:rsidRPr="00E94383">
                <w:rPr>
                  <w:rStyle w:val="Hyperlink"/>
                  <w:sz w:val="20"/>
                </w:rPr>
                <w:t>2017 ABCA 143</w:t>
              </w:r>
            </w:hyperlink>
            <w:r w:rsidR="00E94383" w:rsidRPr="00E94383">
              <w:rPr>
                <w:sz w:val="20"/>
              </w:rPr>
              <w:t xml:space="preserve"> </w:t>
            </w:r>
          </w:p>
          <w:p w:rsidR="00E94383" w:rsidRPr="00E94383" w:rsidRDefault="00E94383" w:rsidP="00E94383">
            <w:pPr>
              <w:jc w:val="both"/>
              <w:rPr>
                <w:sz w:val="20"/>
              </w:rPr>
            </w:pPr>
          </w:p>
        </w:tc>
        <w:tc>
          <w:tcPr>
            <w:tcW w:w="243" w:type="pct"/>
          </w:tcPr>
          <w:p w:rsidR="00E94383" w:rsidRPr="00E94383" w:rsidRDefault="00E94383" w:rsidP="00E94383">
            <w:pPr>
              <w:jc w:val="both"/>
              <w:rPr>
                <w:sz w:val="20"/>
              </w:rPr>
            </w:pPr>
          </w:p>
        </w:tc>
        <w:tc>
          <w:tcPr>
            <w:tcW w:w="2330" w:type="pct"/>
          </w:tcPr>
          <w:p w:rsidR="00E94383" w:rsidRPr="00E94383" w:rsidRDefault="00E94383" w:rsidP="00E94383">
            <w:pPr>
              <w:jc w:val="both"/>
              <w:rPr>
                <w:sz w:val="20"/>
                <w:lang w:val="fr-CA"/>
              </w:rPr>
            </w:pPr>
            <w:r w:rsidRPr="00E94383">
              <w:rPr>
                <w:sz w:val="20"/>
                <w:lang w:val="fr-CA"/>
              </w:rPr>
              <w:t>Rejet de l’appel de M. </w:t>
            </w:r>
            <w:proofErr w:type="spellStart"/>
            <w:r w:rsidRPr="00E94383">
              <w:rPr>
                <w:sz w:val="20"/>
                <w:lang w:val="fr-CA"/>
              </w:rPr>
              <w:t>Oommen</w:t>
            </w:r>
            <w:proofErr w:type="spellEnd"/>
            <w:r w:rsidRPr="00E94383">
              <w:rPr>
                <w:sz w:val="20"/>
                <w:lang w:val="fr-CA"/>
              </w:rPr>
              <w:t xml:space="preserve"> de sa condamnation pour outrage au tribunal </w:t>
            </w: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2 juin 2017</w:t>
            </w:r>
          </w:p>
          <w:p w:rsidR="00E94383" w:rsidRPr="00E94383" w:rsidRDefault="00E94383" w:rsidP="00E94383">
            <w:pPr>
              <w:jc w:val="both"/>
              <w:rPr>
                <w:sz w:val="20"/>
                <w:lang w:val="fr-CA"/>
              </w:rPr>
            </w:pPr>
            <w:r w:rsidRPr="00E94383">
              <w:rPr>
                <w:sz w:val="20"/>
                <w:lang w:val="fr-CA"/>
              </w:rPr>
              <w:t>Cour du Banc de la Reine de l’Alberta</w:t>
            </w:r>
          </w:p>
          <w:p w:rsidR="00E94383" w:rsidRPr="00E94383" w:rsidRDefault="00E94383" w:rsidP="00E94383">
            <w:pPr>
              <w:jc w:val="both"/>
              <w:rPr>
                <w:sz w:val="20"/>
                <w:lang w:val="fr-CA"/>
              </w:rPr>
            </w:pPr>
            <w:r w:rsidRPr="00E94383">
              <w:rPr>
                <w:sz w:val="20"/>
                <w:lang w:val="fr-CA"/>
              </w:rPr>
              <w:t>(Juge Ross)</w:t>
            </w:r>
          </w:p>
          <w:p w:rsidR="00E94383" w:rsidRPr="00E94383" w:rsidRDefault="00E94383" w:rsidP="00E94383">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du dossier de la Cour : 0903 03854</w:t>
            </w:r>
          </w:p>
          <w:p w:rsidR="00E94383" w:rsidRPr="00E94383" w:rsidRDefault="00E94383" w:rsidP="00E94383">
            <w:pPr>
              <w:jc w:val="both"/>
              <w:rPr>
                <w:sz w:val="20"/>
                <w:lang w:val="fr-CA"/>
              </w:rPr>
            </w:pP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Radiation de la déclaration de M. </w:t>
            </w:r>
            <w:proofErr w:type="spellStart"/>
            <w:r w:rsidRPr="00E94383">
              <w:rPr>
                <w:sz w:val="20"/>
                <w:lang w:val="fr-CA"/>
              </w:rPr>
              <w:t>Oommen</w:t>
            </w:r>
            <w:proofErr w:type="spellEnd"/>
            <w:r w:rsidRPr="00E94383">
              <w:rPr>
                <w:sz w:val="20"/>
                <w:lang w:val="fr-CA"/>
              </w:rPr>
              <w:t xml:space="preserve"> en attendant l’issue de sa demande d’autorisation d’appel à la Cour suprême du Canada </w:t>
            </w:r>
          </w:p>
        </w:tc>
      </w:tr>
      <w:tr w:rsidR="00E94383" w:rsidRPr="00711002" w:rsidTr="00E94383">
        <w:tc>
          <w:tcPr>
            <w:tcW w:w="2427" w:type="pct"/>
            <w:gridSpan w:val="2"/>
          </w:tcPr>
          <w:p w:rsidR="00E94383" w:rsidRPr="00E94383" w:rsidRDefault="00E94383" w:rsidP="00E94383">
            <w:pPr>
              <w:jc w:val="both"/>
              <w:rPr>
                <w:sz w:val="20"/>
                <w:lang w:val="fr-CA"/>
              </w:rPr>
            </w:pPr>
            <w:r w:rsidRPr="00E94383">
              <w:rPr>
                <w:sz w:val="20"/>
                <w:lang w:val="fr-CA"/>
              </w:rPr>
              <w:t>3 août 2017</w:t>
            </w:r>
          </w:p>
          <w:p w:rsidR="00E94383" w:rsidRPr="00E94383" w:rsidRDefault="00E94383" w:rsidP="00E94383">
            <w:pPr>
              <w:jc w:val="both"/>
              <w:rPr>
                <w:sz w:val="20"/>
                <w:lang w:val="fr-CA"/>
              </w:rPr>
            </w:pPr>
            <w:r w:rsidRPr="00E94383">
              <w:rPr>
                <w:sz w:val="20"/>
                <w:lang w:val="fr-CA"/>
              </w:rPr>
              <w:t>Cour suprême du Canada</w:t>
            </w:r>
          </w:p>
        </w:tc>
        <w:tc>
          <w:tcPr>
            <w:tcW w:w="243" w:type="pct"/>
          </w:tcPr>
          <w:p w:rsidR="00E94383" w:rsidRPr="00E94383" w:rsidRDefault="00E94383" w:rsidP="00E94383">
            <w:pPr>
              <w:jc w:val="both"/>
              <w:rPr>
                <w:sz w:val="20"/>
                <w:lang w:val="fr-CA"/>
              </w:rPr>
            </w:pPr>
          </w:p>
        </w:tc>
        <w:tc>
          <w:tcPr>
            <w:tcW w:w="2330" w:type="pct"/>
          </w:tcPr>
          <w:p w:rsidR="00E94383" w:rsidRPr="00E94383" w:rsidRDefault="00E94383" w:rsidP="00E94383">
            <w:pPr>
              <w:jc w:val="both"/>
              <w:rPr>
                <w:sz w:val="20"/>
                <w:lang w:val="fr-CA"/>
              </w:rPr>
            </w:pPr>
            <w:r w:rsidRPr="00E94383">
              <w:rPr>
                <w:sz w:val="20"/>
                <w:lang w:val="fr-CA"/>
              </w:rPr>
              <w:t>Dépôt par M. </w:t>
            </w:r>
            <w:proofErr w:type="spellStart"/>
            <w:r w:rsidRPr="00E94383">
              <w:rPr>
                <w:sz w:val="20"/>
                <w:lang w:val="fr-CA"/>
              </w:rPr>
              <w:t>Oommen</w:t>
            </w:r>
            <w:proofErr w:type="spellEnd"/>
            <w:r w:rsidRPr="00E94383">
              <w:rPr>
                <w:sz w:val="20"/>
                <w:lang w:val="fr-CA"/>
              </w:rPr>
              <w:t xml:space="preserve"> de la demande d’autorisation d’appel</w:t>
            </w:r>
          </w:p>
        </w:tc>
      </w:tr>
    </w:tbl>
    <w:p w:rsidR="00E94383" w:rsidRPr="00E94383" w:rsidRDefault="00E94383" w:rsidP="00E94383">
      <w:pPr>
        <w:jc w:val="both"/>
        <w:rPr>
          <w:sz w:val="20"/>
          <w:lang w:val="fr-CA"/>
        </w:rPr>
      </w:pPr>
    </w:p>
    <w:p w:rsidR="00E94383" w:rsidRPr="00E94383" w:rsidRDefault="00E94383" w:rsidP="00E94383">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E94383" w:rsidRPr="00E94383" w:rsidTr="00E94383">
        <w:trPr>
          <w:gridAfter w:val="1"/>
          <w:wAfter w:w="48" w:type="pct"/>
        </w:trPr>
        <w:tc>
          <w:tcPr>
            <w:tcW w:w="538" w:type="pct"/>
          </w:tcPr>
          <w:p w:rsidR="00E94383" w:rsidRPr="00E94383" w:rsidRDefault="00E94383" w:rsidP="00E94383">
            <w:pPr>
              <w:jc w:val="both"/>
              <w:rPr>
                <w:sz w:val="20"/>
              </w:rPr>
            </w:pPr>
            <w:r w:rsidRPr="00E94383">
              <w:rPr>
                <w:rStyle w:val="SCCFileNumberChar"/>
                <w:sz w:val="20"/>
                <w:szCs w:val="20"/>
              </w:rPr>
              <w:t>37702</w:t>
            </w:r>
          </w:p>
        </w:tc>
        <w:tc>
          <w:tcPr>
            <w:tcW w:w="4414" w:type="pct"/>
            <w:gridSpan w:val="3"/>
          </w:tcPr>
          <w:p w:rsidR="00E94383" w:rsidRPr="00BB3B17" w:rsidRDefault="00E94383" w:rsidP="00E94383">
            <w:pPr>
              <w:pStyle w:val="SCCLsocParty"/>
              <w:jc w:val="both"/>
              <w:rPr>
                <w:b/>
                <w:sz w:val="20"/>
                <w:szCs w:val="20"/>
                <w:lang w:val="en-US"/>
              </w:rPr>
            </w:pPr>
            <w:r w:rsidRPr="00BB3B17">
              <w:rPr>
                <w:b/>
                <w:sz w:val="20"/>
                <w:szCs w:val="20"/>
                <w:lang w:val="en-US"/>
              </w:rPr>
              <w:t>56 King Inc. v. Aviva Canada Inc.</w:t>
            </w:r>
          </w:p>
          <w:p w:rsidR="00E94383" w:rsidRPr="00E94383" w:rsidRDefault="00E94383" w:rsidP="00E94383">
            <w:pPr>
              <w:jc w:val="both"/>
              <w:rPr>
                <w:sz w:val="20"/>
              </w:rPr>
            </w:pPr>
            <w:r w:rsidRPr="00E94383">
              <w:rPr>
                <w:sz w:val="20"/>
              </w:rPr>
              <w:t>(Ont.) (Civil) (By Leave)</w:t>
            </w:r>
          </w:p>
        </w:tc>
      </w:tr>
      <w:tr w:rsidR="00E94383" w:rsidRPr="00E94383" w:rsidTr="00E94383">
        <w:trPr>
          <w:gridAfter w:val="1"/>
          <w:wAfter w:w="48" w:type="pct"/>
        </w:trPr>
        <w:tc>
          <w:tcPr>
            <w:tcW w:w="4952" w:type="pct"/>
            <w:gridSpan w:val="4"/>
          </w:tcPr>
          <w:p w:rsidR="00E94383" w:rsidRPr="00E94383" w:rsidRDefault="00E94383" w:rsidP="00E94383">
            <w:pPr>
              <w:pStyle w:val="SCCBanSummary"/>
              <w:rPr>
                <w:sz w:val="20"/>
                <w:szCs w:val="20"/>
              </w:rPr>
            </w:pPr>
          </w:p>
          <w:p w:rsidR="00E94383" w:rsidRPr="00E94383" w:rsidRDefault="00E94383" w:rsidP="00E94383">
            <w:pPr>
              <w:jc w:val="both"/>
              <w:rPr>
                <w:sz w:val="20"/>
              </w:rPr>
            </w:pPr>
            <w:r w:rsidRPr="00E94383">
              <w:rPr>
                <w:sz w:val="20"/>
              </w:rPr>
              <w:t xml:space="preserve">Insurance – Property insurance – Appraisal – Determination of losses – Whether the court has discretion to decline to make an order under s. 128(5) of the Ontario </w:t>
            </w:r>
            <w:r w:rsidRPr="00E94383">
              <w:rPr>
                <w:i/>
                <w:sz w:val="20"/>
              </w:rPr>
              <w:t>Insurance Act</w:t>
            </w:r>
            <w:r w:rsidRPr="00E94383">
              <w:rPr>
                <w:sz w:val="20"/>
              </w:rPr>
              <w:t xml:space="preserve">, where a request for appraisal under s. 148(1), Statutory Condition 11, is not made until after litigation has commenced – If the court has such a discretion, how should it be exercised – </w:t>
            </w:r>
            <w:r w:rsidRPr="00E94383">
              <w:rPr>
                <w:i/>
                <w:sz w:val="20"/>
              </w:rPr>
              <w:t>Insurance Act</w:t>
            </w:r>
            <w:r w:rsidRPr="00E94383">
              <w:rPr>
                <w:sz w:val="20"/>
              </w:rPr>
              <w:t>, R.S.O. 1990, c. I.8, ss. 128, 148.</w:t>
            </w:r>
          </w:p>
        </w:tc>
      </w:tr>
      <w:tr w:rsidR="00E94383" w:rsidRPr="00E94383" w:rsidTr="00BB3B17">
        <w:trPr>
          <w:gridAfter w:val="1"/>
          <w:wAfter w:w="48" w:type="pct"/>
        </w:trPr>
        <w:tc>
          <w:tcPr>
            <w:tcW w:w="4952" w:type="pct"/>
            <w:gridSpan w:val="4"/>
          </w:tcPr>
          <w:p w:rsidR="00E94383" w:rsidRPr="00E94383" w:rsidRDefault="00E94383" w:rsidP="00E94383">
            <w:pPr>
              <w:jc w:val="both"/>
              <w:rPr>
                <w:sz w:val="20"/>
              </w:rPr>
            </w:pPr>
          </w:p>
          <w:p w:rsidR="00E94383" w:rsidRPr="00E94383" w:rsidRDefault="00E94383" w:rsidP="00E94383">
            <w:pPr>
              <w:jc w:val="both"/>
              <w:rPr>
                <w:sz w:val="20"/>
              </w:rPr>
            </w:pPr>
            <w:r w:rsidRPr="00E94383">
              <w:rPr>
                <w:sz w:val="20"/>
              </w:rPr>
              <w:t>An insured, 56 King Inc., commenced a claim under an insurance policy it had with an insurer</w:t>
            </w:r>
            <w:proofErr w:type="gramStart"/>
            <w:r w:rsidRPr="00E94383">
              <w:rPr>
                <w:sz w:val="20"/>
              </w:rPr>
              <w:t>,  Aviva</w:t>
            </w:r>
            <w:proofErr w:type="gramEnd"/>
            <w:r w:rsidRPr="00E94383">
              <w:rPr>
                <w:sz w:val="20"/>
              </w:rPr>
              <w:t xml:space="preserve"> Canada Inc., for damage to a commercial property caused by windstorms in July 2013. The action is for damages under the policy and damages for breach of the insurer’s duty of utmost good faith in handling the claim for coverage. The statement of claim was issued on February 14, 2014. On January 25, 2016, Aviva elected an appraisal under s. 128 of the </w:t>
            </w:r>
            <w:r w:rsidRPr="00E94383">
              <w:rPr>
                <w:i/>
                <w:sz w:val="20"/>
              </w:rPr>
              <w:t>Insurance Act</w:t>
            </w:r>
            <w:r w:rsidRPr="00E94383">
              <w:rPr>
                <w:sz w:val="20"/>
              </w:rPr>
              <w:t>, R.S.O. 1990, c. I.8. 56 King rejected the appraisal on the basis that it was too late and that, in any event, the bad faith claim could not proceed by appraisal. Aviva brought a motion requesting a declaration that 56 King’s losses could be determined by appraisal.</w:t>
            </w:r>
          </w:p>
          <w:p w:rsidR="00E94383" w:rsidRPr="00E94383" w:rsidRDefault="00E94383" w:rsidP="00E94383">
            <w:pPr>
              <w:jc w:val="both"/>
              <w:rPr>
                <w:sz w:val="20"/>
              </w:rPr>
            </w:pPr>
          </w:p>
          <w:p w:rsidR="00E94383" w:rsidRPr="00E94383" w:rsidRDefault="00E94383" w:rsidP="00E94383">
            <w:pPr>
              <w:jc w:val="both"/>
              <w:rPr>
                <w:sz w:val="20"/>
              </w:rPr>
            </w:pPr>
            <w:r w:rsidRPr="00E94383">
              <w:rPr>
                <w:sz w:val="20"/>
              </w:rPr>
              <w:t>The Ontario Superior Court of Justice granted Aviva’s motion to have the quantum of the claim for damages under the provisions of the policy be determined by appraisal. The Ontario Court of Appeal dismissed 56 King’s appeal.</w:t>
            </w:r>
          </w:p>
          <w:p w:rsidR="00E94383" w:rsidRPr="00E94383" w:rsidRDefault="00E94383" w:rsidP="00BB3B17">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November 21, 2016</w:t>
            </w:r>
          </w:p>
          <w:p w:rsidR="00E94383" w:rsidRPr="00E94383" w:rsidRDefault="00E94383" w:rsidP="00E94383">
            <w:pPr>
              <w:jc w:val="both"/>
              <w:rPr>
                <w:sz w:val="20"/>
              </w:rPr>
            </w:pPr>
            <w:r w:rsidRPr="00E94383">
              <w:rPr>
                <w:sz w:val="20"/>
              </w:rPr>
              <w:t>Ontario Superior Court of Justice</w:t>
            </w:r>
          </w:p>
          <w:p w:rsidR="00E94383" w:rsidRPr="00E94383" w:rsidRDefault="00E94383" w:rsidP="00E94383">
            <w:pPr>
              <w:jc w:val="both"/>
              <w:rPr>
                <w:sz w:val="20"/>
              </w:rPr>
            </w:pPr>
            <w:r w:rsidRPr="00E94383">
              <w:rPr>
                <w:sz w:val="20"/>
              </w:rPr>
              <w:t>(</w:t>
            </w:r>
            <w:proofErr w:type="spellStart"/>
            <w:r w:rsidRPr="00E94383">
              <w:rPr>
                <w:sz w:val="20"/>
              </w:rPr>
              <w:t>Lofchik</w:t>
            </w:r>
            <w:proofErr w:type="spellEnd"/>
            <w:r w:rsidRPr="00E94383">
              <w:rPr>
                <w:sz w:val="20"/>
              </w:rPr>
              <w:t xml:space="preserve"> J)</w:t>
            </w:r>
          </w:p>
          <w:p w:rsidR="00E94383" w:rsidRPr="00E94383" w:rsidRDefault="00711002" w:rsidP="00E94383">
            <w:pPr>
              <w:jc w:val="both"/>
              <w:rPr>
                <w:sz w:val="20"/>
              </w:rPr>
            </w:pPr>
            <w:hyperlink r:id="rId33" w:history="1">
              <w:r w:rsidR="00E94383" w:rsidRPr="00E94383">
                <w:rPr>
                  <w:rStyle w:val="Hyperlink"/>
                  <w:sz w:val="20"/>
                </w:rPr>
                <w:t>2016 ONSC 7139</w:t>
              </w:r>
            </w:hyperlink>
            <w:r w:rsidR="00E94383" w:rsidRPr="00E94383">
              <w:rPr>
                <w:sz w:val="20"/>
              </w:rPr>
              <w:t xml:space="preserve"> </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Respondent’s motion for declaration that quantum of insured’s claim for damages be determined by appraisal, granted.</w:t>
            </w: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May 23, 2017</w:t>
            </w:r>
          </w:p>
          <w:p w:rsidR="00E94383" w:rsidRPr="00E94383" w:rsidRDefault="00E94383" w:rsidP="00E94383">
            <w:pPr>
              <w:jc w:val="both"/>
              <w:rPr>
                <w:sz w:val="20"/>
              </w:rPr>
            </w:pPr>
            <w:r w:rsidRPr="00E94383">
              <w:rPr>
                <w:sz w:val="20"/>
              </w:rPr>
              <w:t>Court of Appeal for Ontario</w:t>
            </w:r>
          </w:p>
          <w:p w:rsidR="00E94383" w:rsidRPr="00E94383" w:rsidRDefault="00E94383" w:rsidP="00E94383">
            <w:pPr>
              <w:jc w:val="both"/>
              <w:rPr>
                <w:sz w:val="20"/>
              </w:rPr>
            </w:pPr>
            <w:r w:rsidRPr="00E94383">
              <w:rPr>
                <w:sz w:val="20"/>
              </w:rPr>
              <w:t>(</w:t>
            </w:r>
            <w:proofErr w:type="spellStart"/>
            <w:r w:rsidRPr="00E94383">
              <w:rPr>
                <w:sz w:val="20"/>
              </w:rPr>
              <w:t>Lauwers</w:t>
            </w:r>
            <w:proofErr w:type="spellEnd"/>
            <w:r w:rsidRPr="00E94383">
              <w:rPr>
                <w:sz w:val="20"/>
              </w:rPr>
              <w:t xml:space="preserve">, Hourigan and </w:t>
            </w:r>
            <w:proofErr w:type="spellStart"/>
            <w:r w:rsidRPr="00E94383">
              <w:rPr>
                <w:sz w:val="20"/>
              </w:rPr>
              <w:t>Benotto</w:t>
            </w:r>
            <w:proofErr w:type="spellEnd"/>
            <w:r w:rsidRPr="00E94383">
              <w:rPr>
                <w:sz w:val="20"/>
              </w:rPr>
              <w:t xml:space="preserve"> JJ.A.)</w:t>
            </w:r>
          </w:p>
          <w:p w:rsidR="00E94383" w:rsidRPr="00E94383" w:rsidRDefault="00711002" w:rsidP="00E94383">
            <w:pPr>
              <w:jc w:val="both"/>
              <w:rPr>
                <w:sz w:val="20"/>
              </w:rPr>
            </w:pPr>
            <w:hyperlink r:id="rId34" w:history="1">
              <w:r w:rsidR="00E94383" w:rsidRPr="00E94383">
                <w:rPr>
                  <w:rStyle w:val="Hyperlink"/>
                  <w:sz w:val="20"/>
                </w:rPr>
                <w:t>2017 ONCA 408</w:t>
              </w:r>
            </w:hyperlink>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Applicant’s appeal, dismissed.</w:t>
            </w: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August 18, 2017</w:t>
            </w:r>
          </w:p>
          <w:p w:rsidR="00E94383" w:rsidRPr="00E94383" w:rsidRDefault="00E94383" w:rsidP="00E94383">
            <w:pPr>
              <w:jc w:val="both"/>
              <w:rPr>
                <w:sz w:val="20"/>
              </w:rPr>
            </w:pPr>
            <w:r w:rsidRPr="00E94383">
              <w:rPr>
                <w:sz w:val="20"/>
              </w:rPr>
              <w:t>Supreme Court of Canada</w:t>
            </w: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Application for leave to appeal, filed.</w:t>
            </w:r>
          </w:p>
          <w:p w:rsidR="00E94383" w:rsidRPr="00E94383" w:rsidRDefault="00E94383" w:rsidP="00E94383">
            <w:pPr>
              <w:jc w:val="both"/>
              <w:rPr>
                <w:sz w:val="20"/>
              </w:rPr>
            </w:pPr>
          </w:p>
        </w:tc>
      </w:tr>
    </w:tbl>
    <w:p w:rsidR="00E94383" w:rsidRDefault="00E94383" w:rsidP="00E94383">
      <w:pPr>
        <w:jc w:val="both"/>
        <w:rPr>
          <w:sz w:val="20"/>
        </w:rPr>
      </w:pPr>
    </w:p>
    <w:p w:rsidR="00BB3B17" w:rsidRPr="00E94383" w:rsidRDefault="00BB3B17" w:rsidP="00E9438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E94383" w:rsidRPr="00E94383" w:rsidTr="00E94383">
        <w:trPr>
          <w:gridAfter w:val="1"/>
          <w:wAfter w:w="48" w:type="pct"/>
        </w:trPr>
        <w:tc>
          <w:tcPr>
            <w:tcW w:w="538" w:type="pct"/>
          </w:tcPr>
          <w:p w:rsidR="00E94383" w:rsidRPr="00E94383" w:rsidRDefault="00E94383" w:rsidP="00E94383">
            <w:pPr>
              <w:jc w:val="both"/>
              <w:rPr>
                <w:sz w:val="20"/>
                <w:lang w:val="fr-CA"/>
              </w:rPr>
            </w:pPr>
            <w:r w:rsidRPr="00E94383">
              <w:rPr>
                <w:rStyle w:val="SCCFileNumberChar"/>
                <w:sz w:val="20"/>
                <w:szCs w:val="20"/>
                <w:lang w:val="fr-CA"/>
              </w:rPr>
              <w:lastRenderedPageBreak/>
              <w:t>37702</w:t>
            </w:r>
          </w:p>
        </w:tc>
        <w:tc>
          <w:tcPr>
            <w:tcW w:w="4414" w:type="pct"/>
            <w:gridSpan w:val="3"/>
          </w:tcPr>
          <w:p w:rsidR="00E94383" w:rsidRPr="00BB3B17" w:rsidRDefault="00E94383" w:rsidP="00E94383">
            <w:pPr>
              <w:pStyle w:val="SCCLsocParty"/>
              <w:jc w:val="both"/>
              <w:rPr>
                <w:b/>
                <w:sz w:val="20"/>
                <w:szCs w:val="20"/>
                <w:lang w:val="en-US"/>
              </w:rPr>
            </w:pPr>
            <w:r w:rsidRPr="00BB3B17">
              <w:rPr>
                <w:b/>
                <w:sz w:val="20"/>
                <w:szCs w:val="20"/>
                <w:lang w:val="en-US"/>
              </w:rPr>
              <w:t>56 King Inc. c. Aviva Canada Inc.</w:t>
            </w:r>
          </w:p>
          <w:p w:rsidR="00E94383" w:rsidRPr="00E94383" w:rsidRDefault="00E94383" w:rsidP="00E94383">
            <w:pPr>
              <w:jc w:val="both"/>
              <w:rPr>
                <w:sz w:val="20"/>
                <w:lang w:val="fr-CA"/>
              </w:rPr>
            </w:pPr>
            <w:r w:rsidRPr="00E94383">
              <w:rPr>
                <w:sz w:val="20"/>
                <w:lang w:val="fr-CA"/>
              </w:rPr>
              <w:t>(Ont.) (Civile) (Sur autorisation)</w:t>
            </w:r>
          </w:p>
        </w:tc>
      </w:tr>
      <w:tr w:rsidR="00E94383" w:rsidRPr="00E94383" w:rsidTr="00E94383">
        <w:trPr>
          <w:gridAfter w:val="1"/>
          <w:wAfter w:w="48" w:type="pct"/>
        </w:trPr>
        <w:tc>
          <w:tcPr>
            <w:tcW w:w="4952" w:type="pct"/>
            <w:gridSpan w:val="4"/>
          </w:tcPr>
          <w:p w:rsidR="00E94383" w:rsidRPr="00E94383" w:rsidRDefault="00E94383" w:rsidP="00E94383">
            <w:pPr>
              <w:pStyle w:val="SCCBanSummary"/>
              <w:rPr>
                <w:sz w:val="20"/>
                <w:szCs w:val="20"/>
                <w:lang w:val="fr-CA"/>
              </w:rPr>
            </w:pPr>
          </w:p>
          <w:p w:rsidR="00E94383" w:rsidRPr="00E94383" w:rsidRDefault="00E94383" w:rsidP="00E94383">
            <w:pPr>
              <w:jc w:val="both"/>
              <w:rPr>
                <w:sz w:val="20"/>
                <w:lang w:val="fr-CA"/>
              </w:rPr>
            </w:pPr>
            <w:r w:rsidRPr="00E94383">
              <w:rPr>
                <w:sz w:val="20"/>
                <w:lang w:val="fr-CA"/>
              </w:rPr>
              <w:t xml:space="preserve">Assurance – Assurance de biens – Estimation – Évaluation des sinistres – Le tribunal </w:t>
            </w:r>
            <w:proofErr w:type="spellStart"/>
            <w:r w:rsidRPr="00E94383">
              <w:rPr>
                <w:sz w:val="20"/>
                <w:lang w:val="fr-CA"/>
              </w:rPr>
              <w:t>a-t-il</w:t>
            </w:r>
            <w:proofErr w:type="spellEnd"/>
            <w:r w:rsidRPr="00E94383">
              <w:rPr>
                <w:sz w:val="20"/>
                <w:lang w:val="fr-CA"/>
              </w:rPr>
              <w:t xml:space="preserve"> le pouvoir discrétionnaire de ne pas rendre d’ordonnance en application du par. 128(5) de la </w:t>
            </w:r>
            <w:r w:rsidRPr="00E94383">
              <w:rPr>
                <w:i/>
                <w:sz w:val="20"/>
                <w:lang w:val="fr-CA"/>
              </w:rPr>
              <w:t>Loi sur les assurances</w:t>
            </w:r>
            <w:r w:rsidRPr="00E94383">
              <w:rPr>
                <w:sz w:val="20"/>
                <w:lang w:val="fr-CA"/>
              </w:rPr>
              <w:t xml:space="preserve"> (Ontario), lorsqu’une demande d’estimation en application du par. 148(1), Condition légale n</w:t>
            </w:r>
            <w:r w:rsidRPr="00E94383">
              <w:rPr>
                <w:sz w:val="20"/>
                <w:vertAlign w:val="superscript"/>
                <w:lang w:val="fr-CA"/>
              </w:rPr>
              <w:t>o</w:t>
            </w:r>
            <w:r w:rsidRPr="00E94383">
              <w:rPr>
                <w:sz w:val="20"/>
                <w:lang w:val="fr-CA"/>
              </w:rPr>
              <w:t xml:space="preserve"> 11, n’est faite qu’après l’introduction de l’action? – Si le tribunal a un tel pouvoir discrétionnaire, comment doit-il être exercé? – </w:t>
            </w:r>
            <w:r w:rsidRPr="00E94383">
              <w:rPr>
                <w:i/>
                <w:sz w:val="20"/>
                <w:lang w:val="fr-CA"/>
              </w:rPr>
              <w:t>Loi sur les assurances</w:t>
            </w:r>
            <w:r w:rsidRPr="00E94383">
              <w:rPr>
                <w:sz w:val="20"/>
                <w:lang w:val="fr-CA"/>
              </w:rPr>
              <w:t>, L.R.O. 1990, ch. I.8, art. 128, 148.</w:t>
            </w:r>
          </w:p>
        </w:tc>
      </w:tr>
      <w:tr w:rsidR="00E94383" w:rsidRPr="00711002" w:rsidTr="00BB3B17">
        <w:trPr>
          <w:gridAfter w:val="1"/>
          <w:wAfter w:w="48" w:type="pct"/>
        </w:trPr>
        <w:tc>
          <w:tcPr>
            <w:tcW w:w="4952" w:type="pct"/>
            <w:gridSpan w:val="4"/>
          </w:tcPr>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 xml:space="preserve">Une assurée, 56 King Inc., a intenté une action fondée sur un contrat d’assurance qu’elle avait souscrite auprès d’un assureur, Aviva Canada Inc., relativement à des dommages causés à un immeuble commercial par des tempêtes de vent en juillet 2013. L’action vise à obtenir des dommages-intérêts au titre du contrat d’assurance et des dommages-intérêts pour manquement à l’obligation de l’assureur d’agir en toute bonne foi dans le traitement de la demande d’indemnisation. La déclaration a été délivrée le 14 février 2014. Le 26 janvier 2016, Aviva </w:t>
            </w:r>
            <w:proofErr w:type="gramStart"/>
            <w:r w:rsidRPr="00E94383">
              <w:rPr>
                <w:sz w:val="20"/>
                <w:lang w:val="fr-CA"/>
              </w:rPr>
              <w:t>a</w:t>
            </w:r>
            <w:proofErr w:type="gramEnd"/>
            <w:r w:rsidRPr="00E94383">
              <w:rPr>
                <w:sz w:val="20"/>
                <w:lang w:val="fr-CA"/>
              </w:rPr>
              <w:t xml:space="preserve"> demandé une estimation en application de l’art. 128 de la </w:t>
            </w:r>
            <w:r w:rsidRPr="00E94383">
              <w:rPr>
                <w:i/>
                <w:sz w:val="20"/>
                <w:lang w:val="fr-CA"/>
              </w:rPr>
              <w:t>Loi sur les assurances</w:t>
            </w:r>
            <w:r w:rsidRPr="00E94383">
              <w:rPr>
                <w:sz w:val="20"/>
                <w:lang w:val="fr-CA"/>
              </w:rPr>
              <w:t>, L.R.O. 1990, ch. I.8. 56 King a rejeté l’estimation, soutenant qu’elle avait été faite trop tard et que, de toute façon, l’allégation de mauvaise foi ne pouvait pas être tranchée par une estimation. Aviva a présenté une motion en vue d’obtenir un jugement déclarant que les sinistres de 56 King pouvaient être évalués par estimation.</w:t>
            </w:r>
          </w:p>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La Cour supérieure de justice de l’Ontario a accueilli la motion d’Aviva pour que le montant de la demande en dommages-intérêts en application des dispositions du contrat d’assurance soit déterminé par estimation. La Cour d’appel de l’Ontario a rejeté l’appel de 56 King.</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21 novembre 2016</w:t>
            </w:r>
          </w:p>
          <w:p w:rsidR="00E94383" w:rsidRPr="00E94383" w:rsidRDefault="00E94383" w:rsidP="00E94383">
            <w:pPr>
              <w:jc w:val="both"/>
              <w:rPr>
                <w:sz w:val="20"/>
                <w:lang w:val="fr-CA"/>
              </w:rPr>
            </w:pPr>
            <w:r w:rsidRPr="00E94383">
              <w:rPr>
                <w:sz w:val="20"/>
                <w:lang w:val="fr-CA"/>
              </w:rPr>
              <w:t>Cour supérieure de justice de l’Ontario</w:t>
            </w:r>
          </w:p>
          <w:p w:rsidR="00E94383" w:rsidRPr="00E94383" w:rsidRDefault="00E94383" w:rsidP="00E94383">
            <w:pPr>
              <w:jc w:val="both"/>
              <w:rPr>
                <w:sz w:val="20"/>
                <w:lang w:val="fr-CA"/>
              </w:rPr>
            </w:pPr>
            <w:r w:rsidRPr="00E94383">
              <w:rPr>
                <w:sz w:val="20"/>
                <w:lang w:val="fr-CA"/>
              </w:rPr>
              <w:t xml:space="preserve">(Juge </w:t>
            </w:r>
            <w:proofErr w:type="spellStart"/>
            <w:r w:rsidRPr="00E94383">
              <w:rPr>
                <w:sz w:val="20"/>
                <w:lang w:val="fr-CA"/>
              </w:rPr>
              <w:t>Lofchik</w:t>
            </w:r>
            <w:proofErr w:type="spellEnd"/>
            <w:r w:rsidRPr="00E94383">
              <w:rPr>
                <w:sz w:val="20"/>
                <w:lang w:val="fr-CA"/>
              </w:rPr>
              <w:t>)</w:t>
            </w:r>
          </w:p>
          <w:p w:rsidR="00E94383" w:rsidRPr="00E94383" w:rsidRDefault="00711002" w:rsidP="00E94383">
            <w:pPr>
              <w:jc w:val="both"/>
              <w:rPr>
                <w:sz w:val="20"/>
                <w:lang w:val="fr-CA"/>
              </w:rPr>
            </w:pPr>
            <w:hyperlink r:id="rId35" w:history="1">
              <w:r w:rsidR="00E94383" w:rsidRPr="00E94383">
                <w:rPr>
                  <w:rStyle w:val="Hyperlink"/>
                  <w:sz w:val="20"/>
                  <w:lang w:val="fr-CA"/>
                </w:rPr>
                <w:t>2016 ONSC 7139</w:t>
              </w:r>
            </w:hyperlink>
            <w:r w:rsidR="00E94383" w:rsidRPr="00E94383">
              <w:rPr>
                <w:sz w:val="20"/>
                <w:lang w:val="fr-CA"/>
              </w:rPr>
              <w:t xml:space="preserve"> </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Jugement accueillant la motion de l’intimée en vue d’obtenir un jugement déclarant que le montant de la demande en dommages-intérêts de l’assurée devait être déterminé par estimation.</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23 mai 2017</w:t>
            </w:r>
          </w:p>
          <w:p w:rsidR="00E94383" w:rsidRPr="00E94383" w:rsidRDefault="00E94383" w:rsidP="00E94383">
            <w:pPr>
              <w:jc w:val="both"/>
              <w:rPr>
                <w:sz w:val="20"/>
                <w:lang w:val="fr-CA"/>
              </w:rPr>
            </w:pPr>
            <w:r w:rsidRPr="00E94383">
              <w:rPr>
                <w:sz w:val="20"/>
                <w:lang w:val="fr-CA"/>
              </w:rPr>
              <w:t>Cour d’appel de l’Ontario</w:t>
            </w:r>
          </w:p>
          <w:p w:rsidR="00E94383" w:rsidRPr="00E94383" w:rsidRDefault="00E94383" w:rsidP="00E94383">
            <w:pPr>
              <w:jc w:val="both"/>
              <w:rPr>
                <w:sz w:val="20"/>
                <w:lang w:val="fr-CA"/>
              </w:rPr>
            </w:pPr>
            <w:r w:rsidRPr="00E94383">
              <w:rPr>
                <w:sz w:val="20"/>
                <w:lang w:val="fr-CA"/>
              </w:rPr>
              <w:t xml:space="preserve">(Juge </w:t>
            </w:r>
            <w:proofErr w:type="spellStart"/>
            <w:r w:rsidRPr="00E94383">
              <w:rPr>
                <w:sz w:val="20"/>
                <w:lang w:val="fr-CA"/>
              </w:rPr>
              <w:t>Lauwers</w:t>
            </w:r>
            <w:proofErr w:type="spellEnd"/>
            <w:r w:rsidRPr="00E94383">
              <w:rPr>
                <w:sz w:val="20"/>
                <w:lang w:val="fr-CA"/>
              </w:rPr>
              <w:t xml:space="preserve">, </w:t>
            </w:r>
            <w:proofErr w:type="spellStart"/>
            <w:r w:rsidRPr="00E94383">
              <w:rPr>
                <w:sz w:val="20"/>
                <w:lang w:val="fr-CA"/>
              </w:rPr>
              <w:t>Hourigan</w:t>
            </w:r>
            <w:proofErr w:type="spellEnd"/>
            <w:r w:rsidRPr="00E94383">
              <w:rPr>
                <w:sz w:val="20"/>
                <w:lang w:val="fr-CA"/>
              </w:rPr>
              <w:t xml:space="preserve"> et </w:t>
            </w:r>
            <w:proofErr w:type="spellStart"/>
            <w:r w:rsidRPr="00E94383">
              <w:rPr>
                <w:sz w:val="20"/>
                <w:lang w:val="fr-CA"/>
              </w:rPr>
              <w:t>Benotto</w:t>
            </w:r>
            <w:proofErr w:type="spellEnd"/>
            <w:r w:rsidRPr="00E94383">
              <w:rPr>
                <w:sz w:val="20"/>
                <w:lang w:val="fr-CA"/>
              </w:rPr>
              <w:t>)</w:t>
            </w:r>
          </w:p>
          <w:p w:rsidR="00E94383" w:rsidRPr="00E94383" w:rsidRDefault="00711002" w:rsidP="00E94383">
            <w:pPr>
              <w:jc w:val="both"/>
              <w:rPr>
                <w:sz w:val="20"/>
                <w:lang w:val="fr-CA"/>
              </w:rPr>
            </w:pPr>
            <w:hyperlink r:id="rId36" w:history="1">
              <w:r w:rsidR="00E94383" w:rsidRPr="00E94383">
                <w:rPr>
                  <w:rStyle w:val="Hyperlink"/>
                  <w:sz w:val="20"/>
                  <w:lang w:val="fr-CA"/>
                </w:rPr>
                <w:t>2017 ONCA 408</w:t>
              </w:r>
            </w:hyperlink>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Rejet de l’appel de la demanderesse.</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18 août 2017</w:t>
            </w:r>
          </w:p>
          <w:p w:rsidR="00E94383" w:rsidRPr="00E94383" w:rsidRDefault="00E94383" w:rsidP="00E94383">
            <w:pPr>
              <w:jc w:val="both"/>
              <w:rPr>
                <w:sz w:val="20"/>
                <w:lang w:val="fr-CA"/>
              </w:rPr>
            </w:pPr>
            <w:r w:rsidRPr="00E94383">
              <w:rPr>
                <w:sz w:val="20"/>
                <w:lang w:val="fr-CA"/>
              </w:rPr>
              <w:t>Cour suprême du Canada</w:t>
            </w: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Dépôt de la demande d’autorisation d’appel.</w:t>
            </w:r>
          </w:p>
          <w:p w:rsidR="00E94383" w:rsidRPr="00E94383" w:rsidRDefault="00E94383" w:rsidP="00E94383">
            <w:pPr>
              <w:jc w:val="both"/>
              <w:rPr>
                <w:sz w:val="20"/>
                <w:lang w:val="fr-CA"/>
              </w:rPr>
            </w:pPr>
          </w:p>
        </w:tc>
      </w:tr>
    </w:tbl>
    <w:p w:rsidR="00E94383" w:rsidRPr="00E94383" w:rsidRDefault="00E94383" w:rsidP="00E94383">
      <w:pPr>
        <w:jc w:val="both"/>
        <w:rPr>
          <w:sz w:val="20"/>
          <w:lang w:val="fr-CA"/>
        </w:rPr>
      </w:pPr>
    </w:p>
    <w:p w:rsidR="00E94383" w:rsidRPr="00E94383" w:rsidRDefault="00E94383" w:rsidP="00E94383">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E94383" w:rsidRPr="00E94383" w:rsidTr="00E94383">
        <w:trPr>
          <w:gridAfter w:val="1"/>
          <w:wAfter w:w="48" w:type="pct"/>
        </w:trPr>
        <w:tc>
          <w:tcPr>
            <w:tcW w:w="538" w:type="pct"/>
          </w:tcPr>
          <w:p w:rsidR="00E94383" w:rsidRPr="00E94383" w:rsidRDefault="00E94383" w:rsidP="00E94383">
            <w:pPr>
              <w:jc w:val="both"/>
              <w:rPr>
                <w:sz w:val="20"/>
              </w:rPr>
            </w:pPr>
            <w:r w:rsidRPr="00E94383">
              <w:rPr>
                <w:rStyle w:val="SCCFileNumberChar"/>
                <w:sz w:val="20"/>
                <w:szCs w:val="20"/>
              </w:rPr>
              <w:t>37694</w:t>
            </w:r>
          </w:p>
        </w:tc>
        <w:tc>
          <w:tcPr>
            <w:tcW w:w="4414" w:type="pct"/>
            <w:gridSpan w:val="3"/>
          </w:tcPr>
          <w:p w:rsidR="00E94383" w:rsidRPr="00BB3B17" w:rsidRDefault="00E94383" w:rsidP="00E94383">
            <w:pPr>
              <w:pStyle w:val="SCCLsocParty"/>
              <w:jc w:val="both"/>
              <w:rPr>
                <w:b/>
                <w:sz w:val="20"/>
                <w:szCs w:val="20"/>
                <w:lang w:val="en-US"/>
              </w:rPr>
            </w:pPr>
            <w:r w:rsidRPr="00BB3B17">
              <w:rPr>
                <w:b/>
                <w:sz w:val="20"/>
                <w:szCs w:val="20"/>
                <w:lang w:val="en-US"/>
              </w:rPr>
              <w:t>311165 BC Ltd. v. Attorney General of Canada, Attorney General of British Columbia, Constable Scott Gardiner and the Royal Canadian Mounted Police</w:t>
            </w:r>
          </w:p>
          <w:p w:rsidR="00E94383" w:rsidRPr="00E94383" w:rsidRDefault="00E94383" w:rsidP="00E94383">
            <w:pPr>
              <w:jc w:val="both"/>
              <w:rPr>
                <w:sz w:val="20"/>
              </w:rPr>
            </w:pPr>
            <w:r w:rsidRPr="00E94383">
              <w:rPr>
                <w:sz w:val="20"/>
              </w:rPr>
              <w:t>(B.C.) (Civil) (By Leave)</w:t>
            </w:r>
          </w:p>
        </w:tc>
      </w:tr>
      <w:tr w:rsidR="00E94383" w:rsidRPr="00E94383" w:rsidTr="00E94383">
        <w:trPr>
          <w:gridAfter w:val="1"/>
          <w:wAfter w:w="48" w:type="pct"/>
        </w:trPr>
        <w:tc>
          <w:tcPr>
            <w:tcW w:w="4952" w:type="pct"/>
            <w:gridSpan w:val="4"/>
          </w:tcPr>
          <w:p w:rsidR="00E94383" w:rsidRPr="00E94383" w:rsidRDefault="00E94383" w:rsidP="00E94383">
            <w:pPr>
              <w:pStyle w:val="SCCBanSummary"/>
              <w:rPr>
                <w:sz w:val="20"/>
                <w:szCs w:val="20"/>
              </w:rPr>
            </w:pPr>
          </w:p>
          <w:p w:rsidR="00E94383" w:rsidRPr="00E94383" w:rsidRDefault="00E94383" w:rsidP="00E94383">
            <w:pPr>
              <w:jc w:val="both"/>
              <w:rPr>
                <w:sz w:val="20"/>
              </w:rPr>
            </w:pPr>
            <w:r w:rsidRPr="00E94383">
              <w:rPr>
                <w:sz w:val="20"/>
              </w:rPr>
              <w:t>Civil procedure – Striking pleadings – Whether the Court of Appeal erred in finding that presumption of a grant of immunity is automatic and not a complex question of fact and law to be left to the trial judge, and in failing to found their reasoning in the extensive common law that had developed in respect of striking pleadings.</w:t>
            </w:r>
          </w:p>
        </w:tc>
      </w:tr>
      <w:tr w:rsidR="00E94383" w:rsidRPr="00E94383" w:rsidTr="00E94383">
        <w:trPr>
          <w:gridAfter w:val="1"/>
          <w:wAfter w:w="48" w:type="pct"/>
        </w:trPr>
        <w:tc>
          <w:tcPr>
            <w:tcW w:w="4952" w:type="pct"/>
            <w:gridSpan w:val="4"/>
          </w:tcPr>
          <w:p w:rsidR="00E94383" w:rsidRPr="00E94383" w:rsidRDefault="00E94383" w:rsidP="00E94383">
            <w:pPr>
              <w:jc w:val="both"/>
              <w:rPr>
                <w:sz w:val="20"/>
              </w:rPr>
            </w:pPr>
          </w:p>
          <w:p w:rsidR="00E94383" w:rsidRPr="00E94383" w:rsidRDefault="00E94383" w:rsidP="00E94383">
            <w:pPr>
              <w:jc w:val="both"/>
              <w:rPr>
                <w:sz w:val="20"/>
              </w:rPr>
            </w:pPr>
            <w:r w:rsidRPr="00E94383">
              <w:rPr>
                <w:sz w:val="20"/>
              </w:rPr>
              <w:t xml:space="preserve">The claims set out in 311165 BC Ltd.’s notice of civil claim are for losses allegedly suffered as a result of the Attorney General of Canada obtaining a restraint order under s. 14 of the </w:t>
            </w:r>
            <w:r w:rsidRPr="00E94383">
              <w:rPr>
                <w:i/>
                <w:sz w:val="20"/>
              </w:rPr>
              <w:t>Controlled Drugs and Substances Act</w:t>
            </w:r>
            <w:r w:rsidRPr="00E94383">
              <w:rPr>
                <w:sz w:val="20"/>
              </w:rPr>
              <w:t xml:space="preserve">, S.C. 1996, c. 19, prohibiting 311165 BC Ltd. from dealing with a piece of property, and for punitive damages. Compensatory damages are claimed for damage to a home on the property while it was uninsured, for losses resulting from an inability to dispose of the property in </w:t>
            </w:r>
            <w:proofErr w:type="spellStart"/>
            <w:r w:rsidRPr="00E94383">
              <w:rPr>
                <w:sz w:val="20"/>
              </w:rPr>
              <w:t>favourable</w:t>
            </w:r>
            <w:proofErr w:type="spellEnd"/>
            <w:r w:rsidRPr="00E94383">
              <w:rPr>
                <w:sz w:val="20"/>
              </w:rPr>
              <w:t xml:space="preserve"> market conditions, and for costs expended in attempting to deal with the restraint order and an application for forfeiture. The notice alleges multiple causes of action against various defendants. The respondents, Attorney General of Canada </w:t>
            </w:r>
            <w:r w:rsidRPr="00E94383">
              <w:rPr>
                <w:i/>
                <w:sz w:val="20"/>
              </w:rPr>
              <w:t>et al</w:t>
            </w:r>
            <w:r w:rsidRPr="00E94383">
              <w:rPr>
                <w:sz w:val="20"/>
              </w:rPr>
              <w:t>, brought a motion to strike the notice of civil claim in its entirety.</w:t>
            </w:r>
          </w:p>
        </w:tc>
      </w:tr>
      <w:tr w:rsidR="00E94383" w:rsidRPr="00E94383" w:rsidTr="00E94383">
        <w:trPr>
          <w:gridAfter w:val="1"/>
          <w:wAfter w:w="48" w:type="pct"/>
        </w:trPr>
        <w:tc>
          <w:tcPr>
            <w:tcW w:w="4952" w:type="pct"/>
            <w:gridSpan w:val="4"/>
          </w:tcPr>
          <w:p w:rsidR="00E94383" w:rsidRPr="00E94383" w:rsidRDefault="00E94383" w:rsidP="00E94383">
            <w:pPr>
              <w:jc w:val="both"/>
              <w:rPr>
                <w:sz w:val="20"/>
              </w:rPr>
            </w:pPr>
          </w:p>
          <w:p w:rsidR="00E94383" w:rsidRPr="00E94383" w:rsidRDefault="00E94383" w:rsidP="00E94383">
            <w:pPr>
              <w:jc w:val="both"/>
              <w:rPr>
                <w:sz w:val="20"/>
              </w:rPr>
            </w:pPr>
            <w:r w:rsidRPr="00E94383">
              <w:rPr>
                <w:sz w:val="20"/>
              </w:rPr>
              <w:t>The Supreme Court of British Columbia struck the claims set out in the notice of civil claim, other than the claim for abuse of process against the Attorney General of Canada. The B.C. Court of Appeal granted the appeal, in part, reinstating the claim for malicious prosecution, and dismissed the cross-appeal to strike the claim of abuse of process against the Attorney General of Canada.</w:t>
            </w:r>
          </w:p>
          <w:p w:rsidR="00E94383" w:rsidRPr="00E94383" w:rsidRDefault="00E94383" w:rsidP="00E94383">
            <w:pPr>
              <w:jc w:val="both"/>
              <w:rPr>
                <w:sz w:val="20"/>
              </w:rPr>
            </w:pP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November 9, 2016</w:t>
            </w:r>
          </w:p>
          <w:p w:rsidR="00E94383" w:rsidRPr="00E94383" w:rsidRDefault="00E94383" w:rsidP="00E94383">
            <w:pPr>
              <w:jc w:val="both"/>
              <w:rPr>
                <w:sz w:val="20"/>
              </w:rPr>
            </w:pPr>
            <w:r w:rsidRPr="00E94383">
              <w:rPr>
                <w:sz w:val="20"/>
              </w:rPr>
              <w:t>Supreme Court of British Columbia</w:t>
            </w:r>
          </w:p>
          <w:p w:rsidR="00E94383" w:rsidRPr="00E94383" w:rsidRDefault="00E94383" w:rsidP="00E94383">
            <w:pPr>
              <w:jc w:val="both"/>
              <w:rPr>
                <w:sz w:val="20"/>
              </w:rPr>
            </w:pPr>
            <w:r w:rsidRPr="00E94383">
              <w:rPr>
                <w:sz w:val="20"/>
              </w:rPr>
              <w:t>(Masuhara J.)</w:t>
            </w:r>
          </w:p>
          <w:p w:rsidR="00E94383" w:rsidRPr="00E94383" w:rsidRDefault="00711002" w:rsidP="00E94383">
            <w:pPr>
              <w:jc w:val="both"/>
              <w:rPr>
                <w:sz w:val="20"/>
              </w:rPr>
            </w:pPr>
            <w:hyperlink r:id="rId37" w:history="1">
              <w:r w:rsidR="00E94383" w:rsidRPr="00E94383">
                <w:rPr>
                  <w:rStyle w:val="Hyperlink"/>
                  <w:sz w:val="20"/>
                </w:rPr>
                <w:t>2016 BCSC 2068</w:t>
              </w:r>
            </w:hyperlink>
            <w:r w:rsidR="00E94383" w:rsidRPr="00E94383">
              <w:rPr>
                <w:sz w:val="20"/>
              </w:rPr>
              <w:t xml:space="preserve"> </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Respondents’ motion to strike applicant’s notice of civil claim, substantially granted.</w:t>
            </w: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May 15, 2017</w:t>
            </w:r>
          </w:p>
          <w:p w:rsidR="00E94383" w:rsidRPr="00E94383" w:rsidRDefault="00E94383" w:rsidP="00E94383">
            <w:pPr>
              <w:jc w:val="both"/>
              <w:rPr>
                <w:sz w:val="20"/>
              </w:rPr>
            </w:pPr>
            <w:r w:rsidRPr="00E94383">
              <w:rPr>
                <w:sz w:val="20"/>
              </w:rPr>
              <w:t xml:space="preserve">Court of Appeal for British Columbia </w:t>
            </w:r>
          </w:p>
          <w:p w:rsidR="00E94383" w:rsidRPr="00E94383" w:rsidRDefault="00E94383" w:rsidP="00E94383">
            <w:pPr>
              <w:jc w:val="both"/>
              <w:rPr>
                <w:sz w:val="20"/>
              </w:rPr>
            </w:pPr>
            <w:r w:rsidRPr="00E94383">
              <w:rPr>
                <w:sz w:val="20"/>
              </w:rPr>
              <w:t>(Vancouver)</w:t>
            </w:r>
          </w:p>
          <w:p w:rsidR="00E94383" w:rsidRPr="00E94383" w:rsidRDefault="00E94383" w:rsidP="00E94383">
            <w:pPr>
              <w:jc w:val="both"/>
              <w:rPr>
                <w:sz w:val="20"/>
              </w:rPr>
            </w:pPr>
            <w:r w:rsidRPr="00E94383">
              <w:rPr>
                <w:sz w:val="20"/>
              </w:rPr>
              <w:t>(</w:t>
            </w:r>
            <w:proofErr w:type="spellStart"/>
            <w:r w:rsidRPr="00E94383">
              <w:rPr>
                <w:sz w:val="20"/>
              </w:rPr>
              <w:t>Groberman</w:t>
            </w:r>
            <w:proofErr w:type="spellEnd"/>
            <w:r w:rsidRPr="00E94383">
              <w:rPr>
                <w:sz w:val="20"/>
              </w:rPr>
              <w:t>, Garson and Savage JJ.A.)</w:t>
            </w:r>
          </w:p>
          <w:p w:rsidR="00E94383" w:rsidRPr="00E94383" w:rsidRDefault="00711002" w:rsidP="00E94383">
            <w:pPr>
              <w:jc w:val="both"/>
              <w:rPr>
                <w:sz w:val="20"/>
              </w:rPr>
            </w:pPr>
            <w:hyperlink r:id="rId38" w:history="1">
              <w:r w:rsidR="00E94383" w:rsidRPr="00E94383">
                <w:rPr>
                  <w:rStyle w:val="Hyperlink"/>
                  <w:sz w:val="20"/>
                </w:rPr>
                <w:t>2017 BCCA 196</w:t>
              </w:r>
            </w:hyperlink>
            <w:r w:rsidR="00E94383" w:rsidRPr="00E94383">
              <w:rPr>
                <w:sz w:val="20"/>
              </w:rPr>
              <w:t xml:space="preserve"> </w:t>
            </w:r>
          </w:p>
          <w:p w:rsidR="00E94383" w:rsidRPr="00E94383" w:rsidRDefault="00E94383" w:rsidP="00E94383">
            <w:pPr>
              <w:jc w:val="both"/>
              <w:rPr>
                <w:sz w:val="20"/>
              </w:rPr>
            </w:pP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Applicant’s appeal allowed, in part; respondents’ cross-appeal dismissed.</w:t>
            </w:r>
          </w:p>
          <w:p w:rsidR="00E94383" w:rsidRPr="00E94383" w:rsidRDefault="00E94383" w:rsidP="00E94383">
            <w:pPr>
              <w:jc w:val="both"/>
              <w:rPr>
                <w:sz w:val="20"/>
              </w:rPr>
            </w:pPr>
          </w:p>
        </w:tc>
      </w:tr>
      <w:tr w:rsidR="00E94383" w:rsidRPr="00E94383" w:rsidTr="00E94383">
        <w:tblPrEx>
          <w:tblCellMar>
            <w:bottom w:w="0" w:type="dxa"/>
          </w:tblCellMar>
        </w:tblPrEx>
        <w:tc>
          <w:tcPr>
            <w:tcW w:w="2367" w:type="pct"/>
            <w:gridSpan w:val="2"/>
          </w:tcPr>
          <w:p w:rsidR="00E94383" w:rsidRPr="00E94383" w:rsidRDefault="00E94383" w:rsidP="00E94383">
            <w:pPr>
              <w:jc w:val="both"/>
              <w:rPr>
                <w:sz w:val="20"/>
              </w:rPr>
            </w:pPr>
            <w:r w:rsidRPr="00E94383">
              <w:rPr>
                <w:sz w:val="20"/>
              </w:rPr>
              <w:t>August 9, 2017</w:t>
            </w:r>
          </w:p>
          <w:p w:rsidR="00E94383" w:rsidRPr="00E94383" w:rsidRDefault="00E94383" w:rsidP="00E94383">
            <w:pPr>
              <w:jc w:val="both"/>
              <w:rPr>
                <w:sz w:val="20"/>
              </w:rPr>
            </w:pPr>
            <w:r w:rsidRPr="00E94383">
              <w:rPr>
                <w:sz w:val="20"/>
              </w:rPr>
              <w:t>Supreme Court of Canada</w:t>
            </w:r>
          </w:p>
        </w:tc>
        <w:tc>
          <w:tcPr>
            <w:tcW w:w="267" w:type="pct"/>
          </w:tcPr>
          <w:p w:rsidR="00E94383" w:rsidRPr="00E94383" w:rsidRDefault="00E94383" w:rsidP="00E94383">
            <w:pPr>
              <w:jc w:val="both"/>
              <w:rPr>
                <w:sz w:val="20"/>
              </w:rPr>
            </w:pPr>
          </w:p>
        </w:tc>
        <w:tc>
          <w:tcPr>
            <w:tcW w:w="2366" w:type="pct"/>
            <w:gridSpan w:val="2"/>
          </w:tcPr>
          <w:p w:rsidR="00E94383" w:rsidRPr="00E94383" w:rsidRDefault="00E94383" w:rsidP="00E94383">
            <w:pPr>
              <w:jc w:val="both"/>
              <w:rPr>
                <w:sz w:val="20"/>
              </w:rPr>
            </w:pPr>
            <w:r w:rsidRPr="00E94383">
              <w:rPr>
                <w:sz w:val="20"/>
              </w:rPr>
              <w:t>Application for leave to appeal, filed.</w:t>
            </w:r>
          </w:p>
          <w:p w:rsidR="00E94383" w:rsidRPr="00E94383" w:rsidRDefault="00E94383" w:rsidP="00E94383">
            <w:pPr>
              <w:jc w:val="both"/>
              <w:rPr>
                <w:sz w:val="20"/>
              </w:rPr>
            </w:pPr>
          </w:p>
        </w:tc>
      </w:tr>
    </w:tbl>
    <w:p w:rsidR="00E94383" w:rsidRPr="00E94383" w:rsidRDefault="00E94383" w:rsidP="00E94383">
      <w:pPr>
        <w:jc w:val="both"/>
        <w:rPr>
          <w:sz w:val="20"/>
        </w:rPr>
      </w:pPr>
    </w:p>
    <w:p w:rsidR="00E94383" w:rsidRPr="00E94383" w:rsidRDefault="00E94383" w:rsidP="00E9438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E94383" w:rsidRPr="00711002" w:rsidTr="00E94383">
        <w:trPr>
          <w:gridAfter w:val="1"/>
          <w:wAfter w:w="48" w:type="pct"/>
        </w:trPr>
        <w:tc>
          <w:tcPr>
            <w:tcW w:w="538" w:type="pct"/>
          </w:tcPr>
          <w:p w:rsidR="00E94383" w:rsidRPr="00E94383" w:rsidRDefault="00E94383" w:rsidP="00E94383">
            <w:pPr>
              <w:jc w:val="both"/>
              <w:rPr>
                <w:sz w:val="20"/>
                <w:lang w:val="fr-CA"/>
              </w:rPr>
            </w:pPr>
            <w:r w:rsidRPr="00E94383">
              <w:rPr>
                <w:rStyle w:val="SCCFileNumberChar"/>
                <w:sz w:val="20"/>
                <w:szCs w:val="20"/>
                <w:lang w:val="fr-CA"/>
              </w:rPr>
              <w:t>37694</w:t>
            </w:r>
          </w:p>
        </w:tc>
        <w:tc>
          <w:tcPr>
            <w:tcW w:w="4414" w:type="pct"/>
            <w:gridSpan w:val="3"/>
          </w:tcPr>
          <w:p w:rsidR="00E94383" w:rsidRPr="00BB3B17" w:rsidRDefault="00E94383" w:rsidP="00E94383">
            <w:pPr>
              <w:pStyle w:val="SCCLsocParty"/>
              <w:jc w:val="both"/>
              <w:rPr>
                <w:b/>
                <w:sz w:val="20"/>
                <w:szCs w:val="20"/>
              </w:rPr>
            </w:pPr>
            <w:r w:rsidRPr="00BB3B17">
              <w:rPr>
                <w:b/>
                <w:sz w:val="20"/>
                <w:szCs w:val="20"/>
              </w:rPr>
              <w:t>311165 BC Ltd. c. Procureur général du Canada, procureur général de la Colombie-Britannique, agent Scott Gardiner et Gendarmerie royale du Canada</w:t>
            </w:r>
          </w:p>
          <w:p w:rsidR="00E94383" w:rsidRPr="00E94383" w:rsidRDefault="00E94383" w:rsidP="00E94383">
            <w:pPr>
              <w:jc w:val="both"/>
              <w:rPr>
                <w:sz w:val="20"/>
                <w:lang w:val="fr-CA"/>
              </w:rPr>
            </w:pPr>
            <w:r w:rsidRPr="00E94383">
              <w:rPr>
                <w:sz w:val="20"/>
                <w:lang w:val="fr-CA"/>
              </w:rPr>
              <w:t>(C.-B.) (Civile) (Sur autorisation)</w:t>
            </w:r>
          </w:p>
        </w:tc>
      </w:tr>
      <w:tr w:rsidR="00E94383" w:rsidRPr="00711002" w:rsidTr="00E94383">
        <w:trPr>
          <w:gridAfter w:val="1"/>
          <w:wAfter w:w="48" w:type="pct"/>
        </w:trPr>
        <w:tc>
          <w:tcPr>
            <w:tcW w:w="4952" w:type="pct"/>
            <w:gridSpan w:val="4"/>
          </w:tcPr>
          <w:p w:rsidR="00E94383" w:rsidRPr="00E94383" w:rsidRDefault="00E94383" w:rsidP="00E94383">
            <w:pPr>
              <w:pStyle w:val="SCCBanSummary"/>
              <w:rPr>
                <w:sz w:val="20"/>
                <w:szCs w:val="20"/>
                <w:lang w:val="fr-CA"/>
              </w:rPr>
            </w:pPr>
          </w:p>
          <w:p w:rsidR="00E94383" w:rsidRPr="00E94383" w:rsidRDefault="00E94383" w:rsidP="00E94383">
            <w:pPr>
              <w:jc w:val="both"/>
              <w:rPr>
                <w:sz w:val="20"/>
                <w:lang w:val="fr-CA"/>
              </w:rPr>
            </w:pPr>
            <w:r w:rsidRPr="00E94383">
              <w:rPr>
                <w:sz w:val="20"/>
                <w:lang w:val="fr-CA"/>
              </w:rPr>
              <w:t xml:space="preserve">Procédure civile – Radiation d’actes de procédure – La Cour d’appel a-t-elle eu tort de conclure que la présomption de reconnaissance d’immunité est automatique et non une question complexe de fait et de droit qui relève du juge de première instance et de ne pas avoir fondé son raisonnement sur l’abondante </w:t>
            </w:r>
            <w:proofErr w:type="spellStart"/>
            <w:r w:rsidRPr="00E94383">
              <w:rPr>
                <w:sz w:val="20"/>
                <w:lang w:val="fr-CA"/>
              </w:rPr>
              <w:t>common</w:t>
            </w:r>
            <w:proofErr w:type="spellEnd"/>
            <w:r w:rsidRPr="00E94383">
              <w:rPr>
                <w:sz w:val="20"/>
                <w:lang w:val="fr-CA"/>
              </w:rPr>
              <w:t xml:space="preserve"> </w:t>
            </w:r>
            <w:proofErr w:type="spellStart"/>
            <w:r w:rsidRPr="00E94383">
              <w:rPr>
                <w:sz w:val="20"/>
                <w:lang w:val="fr-CA"/>
              </w:rPr>
              <w:t>law</w:t>
            </w:r>
            <w:proofErr w:type="spellEnd"/>
            <w:r w:rsidRPr="00E94383">
              <w:rPr>
                <w:sz w:val="20"/>
                <w:lang w:val="fr-CA"/>
              </w:rPr>
              <w:t xml:space="preserve"> qui s’était développée en ce qui concerne la radiation d’actes de procédure?</w:t>
            </w:r>
          </w:p>
        </w:tc>
      </w:tr>
      <w:tr w:rsidR="00E94383" w:rsidRPr="00711002" w:rsidTr="00E94383">
        <w:trPr>
          <w:gridAfter w:val="1"/>
          <w:wAfter w:w="48" w:type="pct"/>
        </w:trPr>
        <w:tc>
          <w:tcPr>
            <w:tcW w:w="4952" w:type="pct"/>
            <w:gridSpan w:val="4"/>
          </w:tcPr>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 xml:space="preserve">Les demandes énoncées dans l’avis de poursuite civile de 311165 BC Ltd. ont pour objet des pertes qui auraient été subies du fait que le procureur général du Canada a obtenu une ordonnance de blocage en application de l’art. 14 de la </w:t>
            </w:r>
            <w:r w:rsidRPr="00E94383">
              <w:rPr>
                <w:i/>
                <w:sz w:val="20"/>
                <w:lang w:val="fr-CA"/>
              </w:rPr>
              <w:t>Loi réglementant certaines drogues et autres substances</w:t>
            </w:r>
            <w:r w:rsidRPr="00E94383">
              <w:rPr>
                <w:sz w:val="20"/>
                <w:lang w:val="fr-CA"/>
              </w:rPr>
              <w:t xml:space="preserve">, L.C. 1996, ch. 19, interdisant à 311165 BC Ltd. de faire quelque opération que ce soit relativement à un immeuble, et des dommages-intérêts punitifs. Des dommages-intérêts compensatoires sont demandés au titre des dommages causés à une demeure sur la propriété alors qu’elle n’était pas assurée, des pertes résultant de l’incapacité d’aliéner l’immeuble dans des conditions de marché favorables et des frais engagés pour tenter de composer avec l’ordonnance de blocage et une demande de confiscation. L’avis allègue de nombreuses causes d’action contre divers défendeurs. Les intimés, procureur général du Canada et </w:t>
            </w:r>
            <w:proofErr w:type="gramStart"/>
            <w:r w:rsidRPr="00E94383">
              <w:rPr>
                <w:sz w:val="20"/>
                <w:lang w:val="fr-CA"/>
              </w:rPr>
              <w:t>al.,</w:t>
            </w:r>
            <w:proofErr w:type="gramEnd"/>
            <w:r w:rsidRPr="00E94383">
              <w:rPr>
                <w:sz w:val="20"/>
                <w:lang w:val="fr-CA"/>
              </w:rPr>
              <w:t xml:space="preserve"> ont présenté une requête en radiation de l’avis de poursuite civile dans son intégralité.</w:t>
            </w:r>
          </w:p>
        </w:tc>
      </w:tr>
      <w:tr w:rsidR="00E94383" w:rsidRPr="00711002" w:rsidTr="00E94383">
        <w:trPr>
          <w:gridAfter w:val="1"/>
          <w:wAfter w:w="48" w:type="pct"/>
        </w:trPr>
        <w:tc>
          <w:tcPr>
            <w:tcW w:w="4952" w:type="pct"/>
            <w:gridSpan w:val="4"/>
          </w:tcPr>
          <w:p w:rsidR="00E94383" w:rsidRPr="00E94383" w:rsidRDefault="00E94383" w:rsidP="00E94383">
            <w:pPr>
              <w:jc w:val="both"/>
              <w:rPr>
                <w:sz w:val="20"/>
                <w:lang w:val="fr-CA"/>
              </w:rPr>
            </w:pPr>
          </w:p>
          <w:p w:rsidR="00E94383" w:rsidRPr="00E94383" w:rsidRDefault="00E94383" w:rsidP="00E94383">
            <w:pPr>
              <w:jc w:val="both"/>
              <w:rPr>
                <w:sz w:val="20"/>
                <w:lang w:val="fr-CA"/>
              </w:rPr>
            </w:pPr>
            <w:r w:rsidRPr="00E94383">
              <w:rPr>
                <w:sz w:val="20"/>
                <w:lang w:val="fr-CA"/>
              </w:rPr>
              <w:t>La Cour suprême de la Colombie-Britannique a radié les demandes énoncées dans l’avis de poursuite civile autres que la demande relative à l’abus de procédure contre le procureur général du Canada. La Cour d’appel de la Colombie-Britannique a accueilli l’appel en partie, rétablissant la demande relative à la poursuite malveillante et a rejeté l’appel incident pour radier l’allégation relative à l’abus de procédure contre le procureur général du Canada.</w:t>
            </w:r>
          </w:p>
          <w:p w:rsidR="00E94383" w:rsidRPr="00E94383" w:rsidRDefault="00E94383" w:rsidP="00E94383">
            <w:pPr>
              <w:jc w:val="both"/>
              <w:rPr>
                <w:sz w:val="20"/>
                <w:lang w:val="fr-CA"/>
              </w:rPr>
            </w:pP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9 novembre 2016</w:t>
            </w:r>
          </w:p>
          <w:p w:rsidR="00E94383" w:rsidRPr="00E94383" w:rsidRDefault="00E94383" w:rsidP="00E94383">
            <w:pPr>
              <w:jc w:val="both"/>
              <w:rPr>
                <w:sz w:val="20"/>
                <w:lang w:val="fr-CA"/>
              </w:rPr>
            </w:pPr>
            <w:r w:rsidRPr="00E94383">
              <w:rPr>
                <w:sz w:val="20"/>
                <w:lang w:val="fr-CA"/>
              </w:rPr>
              <w:t>Cour suprême de la Colombie-Britannique</w:t>
            </w:r>
          </w:p>
          <w:p w:rsidR="00E94383" w:rsidRPr="00E94383" w:rsidRDefault="00E94383" w:rsidP="00E94383">
            <w:pPr>
              <w:jc w:val="both"/>
              <w:rPr>
                <w:sz w:val="20"/>
                <w:lang w:val="fr-CA"/>
              </w:rPr>
            </w:pPr>
            <w:r w:rsidRPr="00E94383">
              <w:rPr>
                <w:sz w:val="20"/>
                <w:lang w:val="fr-CA"/>
              </w:rPr>
              <w:t xml:space="preserve">(Juge </w:t>
            </w:r>
            <w:proofErr w:type="spellStart"/>
            <w:r w:rsidRPr="00E94383">
              <w:rPr>
                <w:sz w:val="20"/>
                <w:lang w:val="fr-CA"/>
              </w:rPr>
              <w:t>Masuhara</w:t>
            </w:r>
            <w:proofErr w:type="spellEnd"/>
            <w:r w:rsidRPr="00E94383">
              <w:rPr>
                <w:sz w:val="20"/>
                <w:lang w:val="fr-CA"/>
              </w:rPr>
              <w:t>)</w:t>
            </w:r>
          </w:p>
          <w:p w:rsidR="00E94383" w:rsidRPr="00E94383" w:rsidRDefault="00711002" w:rsidP="00E94383">
            <w:pPr>
              <w:jc w:val="both"/>
              <w:rPr>
                <w:sz w:val="20"/>
                <w:lang w:val="fr-CA"/>
              </w:rPr>
            </w:pPr>
            <w:hyperlink r:id="rId39" w:history="1">
              <w:r w:rsidR="00E94383" w:rsidRPr="00E94383">
                <w:rPr>
                  <w:rStyle w:val="Hyperlink"/>
                  <w:sz w:val="20"/>
                  <w:lang w:val="fr-CA"/>
                </w:rPr>
                <w:t>2016 BCSC 2068</w:t>
              </w:r>
            </w:hyperlink>
            <w:r w:rsidR="00E94383" w:rsidRPr="00E94383">
              <w:rPr>
                <w:sz w:val="20"/>
                <w:lang w:val="fr-CA"/>
              </w:rPr>
              <w:t xml:space="preserve"> </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Jugement accueillant en grande partie la requête des intimés en radiation de l’avis de poursuite civile de la demanderesse.</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t>15 mai 2017</w:t>
            </w:r>
          </w:p>
          <w:p w:rsidR="00E94383" w:rsidRPr="00E94383" w:rsidRDefault="00E94383" w:rsidP="00E94383">
            <w:pPr>
              <w:jc w:val="both"/>
              <w:rPr>
                <w:sz w:val="20"/>
                <w:lang w:val="fr-CA"/>
              </w:rPr>
            </w:pPr>
            <w:r w:rsidRPr="00E94383">
              <w:rPr>
                <w:sz w:val="20"/>
                <w:lang w:val="fr-CA"/>
              </w:rPr>
              <w:t xml:space="preserve">Cour d’appel de la Colombie-Britannique </w:t>
            </w:r>
          </w:p>
          <w:p w:rsidR="00E94383" w:rsidRPr="00E94383" w:rsidRDefault="00E94383" w:rsidP="00E94383">
            <w:pPr>
              <w:jc w:val="both"/>
              <w:rPr>
                <w:sz w:val="20"/>
                <w:lang w:val="fr-CA"/>
              </w:rPr>
            </w:pPr>
            <w:r w:rsidRPr="00E94383">
              <w:rPr>
                <w:sz w:val="20"/>
                <w:lang w:val="fr-CA"/>
              </w:rPr>
              <w:lastRenderedPageBreak/>
              <w:t>(Vancouver)</w:t>
            </w:r>
          </w:p>
          <w:p w:rsidR="00E94383" w:rsidRPr="00E94383" w:rsidRDefault="00E94383" w:rsidP="00E94383">
            <w:pPr>
              <w:jc w:val="both"/>
              <w:rPr>
                <w:sz w:val="20"/>
                <w:lang w:val="fr-CA"/>
              </w:rPr>
            </w:pPr>
            <w:r w:rsidRPr="00E94383">
              <w:rPr>
                <w:sz w:val="20"/>
                <w:lang w:val="fr-CA"/>
              </w:rPr>
              <w:t xml:space="preserve">(Juges </w:t>
            </w:r>
            <w:proofErr w:type="spellStart"/>
            <w:r w:rsidRPr="00E94383">
              <w:rPr>
                <w:sz w:val="20"/>
                <w:lang w:val="fr-CA"/>
              </w:rPr>
              <w:t>Groberman</w:t>
            </w:r>
            <w:proofErr w:type="spellEnd"/>
            <w:r w:rsidRPr="00E94383">
              <w:rPr>
                <w:sz w:val="20"/>
                <w:lang w:val="fr-CA"/>
              </w:rPr>
              <w:t xml:space="preserve">, </w:t>
            </w:r>
            <w:proofErr w:type="spellStart"/>
            <w:r w:rsidRPr="00E94383">
              <w:rPr>
                <w:sz w:val="20"/>
                <w:lang w:val="fr-CA"/>
              </w:rPr>
              <w:t>Garson</w:t>
            </w:r>
            <w:proofErr w:type="spellEnd"/>
            <w:r w:rsidRPr="00E94383">
              <w:rPr>
                <w:sz w:val="20"/>
                <w:lang w:val="fr-CA"/>
              </w:rPr>
              <w:t xml:space="preserve"> et Savage)</w:t>
            </w:r>
          </w:p>
          <w:p w:rsidR="00E94383" w:rsidRPr="00E94383" w:rsidRDefault="00711002" w:rsidP="00E94383">
            <w:pPr>
              <w:jc w:val="both"/>
              <w:rPr>
                <w:sz w:val="20"/>
                <w:lang w:val="fr-CA"/>
              </w:rPr>
            </w:pPr>
            <w:hyperlink r:id="rId40" w:history="1">
              <w:r w:rsidR="00E94383" w:rsidRPr="00E94383">
                <w:rPr>
                  <w:rStyle w:val="Hyperlink"/>
                  <w:sz w:val="20"/>
                  <w:lang w:val="fr-CA"/>
                </w:rPr>
                <w:t>2017 BCCA 196</w:t>
              </w:r>
            </w:hyperlink>
            <w:r w:rsidR="00E94383" w:rsidRPr="00E94383">
              <w:rPr>
                <w:sz w:val="20"/>
                <w:lang w:val="fr-CA"/>
              </w:rPr>
              <w:t xml:space="preserve"> </w:t>
            </w:r>
          </w:p>
          <w:p w:rsidR="00E94383" w:rsidRPr="00E94383" w:rsidRDefault="00E94383" w:rsidP="00E94383">
            <w:pPr>
              <w:jc w:val="both"/>
              <w:rPr>
                <w:sz w:val="20"/>
                <w:lang w:val="fr-CA"/>
              </w:rPr>
            </w:pP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Arrêt accueillant de la demanderesse l’appel en partie et rejetant l’appel incident des intimés.</w:t>
            </w:r>
          </w:p>
          <w:p w:rsidR="00E94383" w:rsidRPr="00E94383" w:rsidRDefault="00E94383" w:rsidP="00E94383">
            <w:pPr>
              <w:jc w:val="both"/>
              <w:rPr>
                <w:sz w:val="20"/>
                <w:lang w:val="fr-CA"/>
              </w:rPr>
            </w:pPr>
          </w:p>
        </w:tc>
      </w:tr>
      <w:tr w:rsidR="00E94383" w:rsidRPr="00711002" w:rsidTr="00E94383">
        <w:tblPrEx>
          <w:tblCellMar>
            <w:bottom w:w="0" w:type="dxa"/>
          </w:tblCellMar>
        </w:tblPrEx>
        <w:tc>
          <w:tcPr>
            <w:tcW w:w="2367" w:type="pct"/>
            <w:gridSpan w:val="2"/>
          </w:tcPr>
          <w:p w:rsidR="00E94383" w:rsidRPr="00E94383" w:rsidRDefault="00E94383" w:rsidP="00E94383">
            <w:pPr>
              <w:jc w:val="both"/>
              <w:rPr>
                <w:sz w:val="20"/>
                <w:lang w:val="fr-CA"/>
              </w:rPr>
            </w:pPr>
            <w:r w:rsidRPr="00E94383">
              <w:rPr>
                <w:sz w:val="20"/>
                <w:lang w:val="fr-CA"/>
              </w:rPr>
              <w:lastRenderedPageBreak/>
              <w:t>9 août 2017</w:t>
            </w:r>
          </w:p>
          <w:p w:rsidR="00E94383" w:rsidRPr="00E94383" w:rsidRDefault="00E94383" w:rsidP="00E94383">
            <w:pPr>
              <w:jc w:val="both"/>
              <w:rPr>
                <w:sz w:val="20"/>
                <w:lang w:val="fr-CA"/>
              </w:rPr>
            </w:pPr>
            <w:r w:rsidRPr="00E94383">
              <w:rPr>
                <w:sz w:val="20"/>
                <w:lang w:val="fr-CA"/>
              </w:rPr>
              <w:t>Cour suprême du Canada</w:t>
            </w:r>
          </w:p>
        </w:tc>
        <w:tc>
          <w:tcPr>
            <w:tcW w:w="267" w:type="pct"/>
          </w:tcPr>
          <w:p w:rsidR="00E94383" w:rsidRPr="00E94383" w:rsidRDefault="00E94383" w:rsidP="00E94383">
            <w:pPr>
              <w:jc w:val="both"/>
              <w:rPr>
                <w:sz w:val="20"/>
                <w:lang w:val="fr-CA"/>
              </w:rPr>
            </w:pPr>
          </w:p>
        </w:tc>
        <w:tc>
          <w:tcPr>
            <w:tcW w:w="2366" w:type="pct"/>
            <w:gridSpan w:val="2"/>
          </w:tcPr>
          <w:p w:rsidR="00E94383" w:rsidRPr="00E94383" w:rsidRDefault="00E94383" w:rsidP="00E94383">
            <w:pPr>
              <w:jc w:val="both"/>
              <w:rPr>
                <w:sz w:val="20"/>
                <w:lang w:val="fr-CA"/>
              </w:rPr>
            </w:pPr>
            <w:r w:rsidRPr="00E94383">
              <w:rPr>
                <w:sz w:val="20"/>
                <w:lang w:val="fr-CA"/>
              </w:rPr>
              <w:t>Dépôt de la demande d’autorisation d’appel.</w:t>
            </w:r>
          </w:p>
          <w:p w:rsidR="00E94383" w:rsidRPr="00E94383" w:rsidRDefault="00E94383" w:rsidP="00E94383">
            <w:pPr>
              <w:jc w:val="both"/>
              <w:rPr>
                <w:sz w:val="20"/>
                <w:lang w:val="fr-CA"/>
              </w:rPr>
            </w:pPr>
          </w:p>
        </w:tc>
      </w:tr>
    </w:tbl>
    <w:p w:rsidR="00E94383" w:rsidRPr="00E94383" w:rsidRDefault="00E94383" w:rsidP="00E94383">
      <w:pPr>
        <w:jc w:val="both"/>
        <w:rPr>
          <w:sz w:val="20"/>
          <w:lang w:val="fr-CA"/>
        </w:rPr>
      </w:pPr>
    </w:p>
    <w:p w:rsidR="00E94383" w:rsidRDefault="00E94383" w:rsidP="00A169B5">
      <w:pPr>
        <w:tabs>
          <w:tab w:val="left" w:pos="900"/>
          <w:tab w:val="center" w:pos="5760"/>
        </w:tabs>
        <w:ind w:left="360" w:hanging="360"/>
        <w:rPr>
          <w:sz w:val="20"/>
          <w:lang w:val="fr-CA"/>
        </w:rPr>
      </w:pPr>
    </w:p>
    <w:p w:rsidR="00BB3B17" w:rsidRPr="00E94383" w:rsidRDefault="00BB3B17" w:rsidP="00A169B5">
      <w:pPr>
        <w:tabs>
          <w:tab w:val="left" w:pos="900"/>
          <w:tab w:val="center" w:pos="5760"/>
        </w:tabs>
        <w:ind w:left="360" w:hanging="360"/>
        <w:rPr>
          <w:sz w:val="20"/>
          <w:lang w:val="fr-CA"/>
        </w:rPr>
      </w:pPr>
    </w:p>
    <w:p w:rsidR="00D3344A" w:rsidRPr="00C110FB" w:rsidRDefault="00D3344A" w:rsidP="00D3344A">
      <w:pPr>
        <w:widowControl w:val="0"/>
        <w:outlineLvl w:val="0"/>
      </w:pPr>
      <w:r w:rsidRPr="00381877">
        <w:t xml:space="preserve">Supreme Court of Canada / </w:t>
      </w:r>
      <w:proofErr w:type="spellStart"/>
      <w:r w:rsidRPr="00381877">
        <w:t>Cour</w:t>
      </w:r>
      <w:proofErr w:type="spellEnd"/>
      <w:r w:rsidRPr="00381877">
        <w:t xml:space="preserve"> </w:t>
      </w:r>
      <w:proofErr w:type="spellStart"/>
      <w:r w:rsidRPr="00381877">
        <w:t>suprême</w:t>
      </w:r>
      <w:proofErr w:type="spellEnd"/>
      <w:r w:rsidRPr="00381877">
        <w:t xml:space="preserve"> du </w:t>
      </w:r>
      <w:proofErr w:type="gramStart"/>
      <w:r w:rsidRPr="00381877">
        <w:t>Canad</w:t>
      </w:r>
      <w:r w:rsidR="00EE289F" w:rsidRPr="00381877">
        <w:t>a</w:t>
      </w:r>
      <w:r w:rsidRPr="00381877">
        <w:t xml:space="preserve"> :</w:t>
      </w:r>
      <w:proofErr w:type="gramEnd"/>
    </w:p>
    <w:p w:rsidR="00D3344A" w:rsidRPr="00C110FB" w:rsidRDefault="00711002" w:rsidP="00D3344A">
      <w:pPr>
        <w:widowControl w:val="0"/>
        <w:outlineLvl w:val="0"/>
        <w:rPr>
          <w:u w:val="single"/>
        </w:rPr>
      </w:pPr>
      <w:hyperlink r:id="rId41" w:history="1">
        <w:r w:rsidR="009B7391" w:rsidRPr="00C110FB">
          <w:rPr>
            <w:rStyle w:val="Hyperlink"/>
          </w:rPr>
          <w:t>comments-commentaires@scc-csc.ca</w:t>
        </w:r>
      </w:hyperlink>
    </w:p>
    <w:p w:rsidR="00D3344A" w:rsidRPr="00C110FB" w:rsidRDefault="0065588C" w:rsidP="00D3344A">
      <w:pPr>
        <w:widowControl w:val="0"/>
        <w:outlineLvl w:val="0"/>
      </w:pPr>
      <w:r w:rsidRPr="00C110FB">
        <w:t>613-</w:t>
      </w:r>
      <w:r w:rsidR="00D3344A" w:rsidRPr="00C110FB">
        <w:t>995-4330</w:t>
      </w:r>
    </w:p>
    <w:p w:rsidR="00497B5E" w:rsidRPr="00C110FB" w:rsidRDefault="00497B5E" w:rsidP="00497B5E">
      <w:pPr>
        <w:widowControl w:val="0"/>
        <w:rPr>
          <w:sz w:val="20"/>
        </w:rPr>
      </w:pPr>
    </w:p>
    <w:p w:rsidR="00F6251B" w:rsidRPr="006E558B" w:rsidRDefault="003F43E6" w:rsidP="00F6251B">
      <w:pPr>
        <w:pStyle w:val="Footer"/>
        <w:jc w:val="center"/>
      </w:pPr>
      <w:r w:rsidRPr="00C110FB">
        <w:t>- 30 -</w:t>
      </w:r>
    </w:p>
    <w:sectPr w:rsidR="00F6251B" w:rsidRPr="006E558B" w:rsidSect="00524822">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83" w:rsidRDefault="00E94383" w:rsidP="0034178A">
      <w:r>
        <w:separator/>
      </w:r>
    </w:p>
  </w:endnote>
  <w:endnote w:type="continuationSeparator" w:id="0">
    <w:p w:rsidR="00E94383" w:rsidRDefault="00E9438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83" w:rsidRDefault="00E94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83" w:rsidRPr="009F77F0" w:rsidRDefault="00E9438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83" w:rsidRDefault="00E9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83" w:rsidRDefault="00E94383" w:rsidP="0034178A">
      <w:r>
        <w:separator/>
      </w:r>
    </w:p>
  </w:footnote>
  <w:footnote w:type="continuationSeparator" w:id="0">
    <w:p w:rsidR="00E94383" w:rsidRDefault="00E9438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83" w:rsidRDefault="00E94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83" w:rsidRDefault="00E94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83" w:rsidRDefault="00E94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910"/>
    <w:multiLevelType w:val="hybridMultilevel"/>
    <w:tmpl w:val="025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603315"/>
    <w:multiLevelType w:val="hybridMultilevel"/>
    <w:tmpl w:val="CC40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21659"/>
    <w:multiLevelType w:val="hybridMultilevel"/>
    <w:tmpl w:val="08C24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66AF2"/>
    <w:multiLevelType w:val="hybridMultilevel"/>
    <w:tmpl w:val="649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98465C"/>
    <w:multiLevelType w:val="hybridMultilevel"/>
    <w:tmpl w:val="89BA10FA"/>
    <w:lvl w:ilvl="0" w:tplc="CD14F4A6">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94F2B"/>
    <w:multiLevelType w:val="hybridMultilevel"/>
    <w:tmpl w:val="F5D8E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101502"/>
    <w:multiLevelType w:val="hybridMultilevel"/>
    <w:tmpl w:val="4E347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B560D0"/>
    <w:multiLevelType w:val="hybridMultilevel"/>
    <w:tmpl w:val="2C20167E"/>
    <w:lvl w:ilvl="0" w:tplc="6178C58A">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5"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2D32CC8"/>
    <w:multiLevelType w:val="hybridMultilevel"/>
    <w:tmpl w:val="E6700D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E0C321A"/>
    <w:multiLevelType w:val="hybridMultilevel"/>
    <w:tmpl w:val="7DCE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24D9A"/>
    <w:multiLevelType w:val="hybridMultilevel"/>
    <w:tmpl w:val="E4D8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5CD1D4C"/>
    <w:multiLevelType w:val="hybridMultilevel"/>
    <w:tmpl w:val="2AA69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num>
  <w:num w:numId="6">
    <w:abstractNumId w:val="25"/>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4"/>
  </w:num>
  <w:num w:numId="12">
    <w:abstractNumId w:val="18"/>
  </w:num>
  <w:num w:numId="13">
    <w:abstractNumId w:val="12"/>
  </w:num>
  <w:num w:numId="14">
    <w:abstractNumId w:val="3"/>
  </w:num>
  <w:num w:numId="15">
    <w:abstractNumId w:val="42"/>
  </w:num>
  <w:num w:numId="16">
    <w:abstractNumId w:val="7"/>
  </w:num>
  <w:num w:numId="17">
    <w:abstractNumId w:val="15"/>
  </w:num>
  <w:num w:numId="18">
    <w:abstractNumId w:val="44"/>
  </w:num>
  <w:num w:numId="19">
    <w:abstractNumId w:val="45"/>
  </w:num>
  <w:num w:numId="20">
    <w:abstractNumId w:val="11"/>
  </w:num>
  <w:num w:numId="21">
    <w:abstractNumId w:val="24"/>
  </w:num>
  <w:num w:numId="22">
    <w:abstractNumId w:val="35"/>
  </w:num>
  <w:num w:numId="23">
    <w:abstractNumId w:val="33"/>
  </w:num>
  <w:num w:numId="24">
    <w:abstractNumId w:val="19"/>
  </w:num>
  <w:num w:numId="25">
    <w:abstractNumId w:val="21"/>
  </w:num>
  <w:num w:numId="26">
    <w:abstractNumId w:val="22"/>
  </w:num>
  <w:num w:numId="27">
    <w:abstractNumId w:val="34"/>
  </w:num>
  <w:num w:numId="28">
    <w:abstractNumId w:val="27"/>
  </w:num>
  <w:num w:numId="29">
    <w:abstractNumId w:val="41"/>
  </w:num>
  <w:num w:numId="30">
    <w:abstractNumId w:val="32"/>
  </w:num>
  <w:num w:numId="31">
    <w:abstractNumId w:val="37"/>
  </w:num>
  <w:num w:numId="32">
    <w:abstractNumId w:val="43"/>
  </w:num>
  <w:num w:numId="33">
    <w:abstractNumId w:val="4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3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7"/>
  </w:num>
  <w:num w:numId="41">
    <w:abstractNumId w:val="5"/>
  </w:num>
  <w:num w:numId="42">
    <w:abstractNumId w:val="48"/>
  </w:num>
  <w:num w:numId="43">
    <w:abstractNumId w:val="38"/>
  </w:num>
  <w:num w:numId="44">
    <w:abstractNumId w:val="10"/>
  </w:num>
  <w:num w:numId="45">
    <w:abstractNumId w:val="9"/>
  </w:num>
  <w:num w:numId="46">
    <w:abstractNumId w:val="49"/>
  </w:num>
  <w:num w:numId="47">
    <w:abstractNumId w:val="29"/>
  </w:num>
  <w:num w:numId="48">
    <w:abstractNumId w:val="26"/>
  </w:num>
  <w:num w:numId="49">
    <w:abstractNumId w:val="4"/>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3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1877"/>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0AB"/>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B58"/>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2088"/>
    <w:rsid w:val="0068303F"/>
    <w:rsid w:val="006830FC"/>
    <w:rsid w:val="00683770"/>
    <w:rsid w:val="00683926"/>
    <w:rsid w:val="00683B58"/>
    <w:rsid w:val="006849D2"/>
    <w:rsid w:val="00685F7C"/>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002"/>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A7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624"/>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B17"/>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383"/>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02" TargetMode="External"/><Relationship Id="rId18" Type="http://schemas.openxmlformats.org/officeDocument/2006/relationships/hyperlink" Target="https://www.canlii.org/en/ns/nssc/doc/2014/2014nssc360/2014nssc360.html" TargetMode="External"/><Relationship Id="rId26" Type="http://schemas.openxmlformats.org/officeDocument/2006/relationships/hyperlink" Target="https://www.canlii.org/fr/qc/qcca/doc/2017/2017qcca788/2017qcca788.html?autocompleteStr=2017%20QCCA%20788&amp;autocompletePos=1" TargetMode="External"/><Relationship Id="rId39" Type="http://schemas.openxmlformats.org/officeDocument/2006/relationships/hyperlink" Target="https://www.canlii.org/en/bc/bcsc/doc/2016/2016bcsc2068/2016bcsc2068.html?autocompleteStr=2016%20BCSC%202068%20&amp;autocompletePos=1" TargetMode="External"/><Relationship Id="rId3" Type="http://schemas.openxmlformats.org/officeDocument/2006/relationships/styles" Target="styles.xml"/><Relationship Id="rId21" Type="http://schemas.openxmlformats.org/officeDocument/2006/relationships/hyperlink" Target="https://www.canlii.org/en/sk/skqb/doc/2016/2016skqb254/2016skqb254.html" TargetMode="External"/><Relationship Id="rId34" Type="http://schemas.openxmlformats.org/officeDocument/2006/relationships/hyperlink" Target="https://www.canlii.org/en/on/onca/doc/2017/2017onca408/2017onca408.html?autocompleteStr=2017%20ONCA%20408&amp;autocompletePos=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719" TargetMode="External"/><Relationship Id="rId17" Type="http://schemas.openxmlformats.org/officeDocument/2006/relationships/hyperlink" Target="https://www.canlii.org/en/ns/nsca/doc/2017/2017nsca35/2017nsca35.html?autocompleteStr=2017%20NSCA%2035&amp;autocompletePos=1" TargetMode="External"/><Relationship Id="rId25" Type="http://schemas.openxmlformats.org/officeDocument/2006/relationships/hyperlink" Target="https://www.canlii.org/fr/qc/qccq/doc/2010/2010qccq18420/2010qccq18420.html" TargetMode="External"/><Relationship Id="rId33" Type="http://schemas.openxmlformats.org/officeDocument/2006/relationships/hyperlink" Target="https://www.canlii.org/en/on/onsc/doc/2016/2016onsc7139/2016onsc7139.html?autocompleteStr=2016%20ONSC%207139&amp;autocompletePos=1" TargetMode="External"/><Relationship Id="rId38" Type="http://schemas.openxmlformats.org/officeDocument/2006/relationships/hyperlink" Target="https://www.canlii.org/en/bc/bcca/doc/2017/2017bcca196/2017bcca196.html?autocompleteStr=2017%20BCCA%20196%20&amp;autocompletePos=1"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en/ns/nssc/doc/2015/2015nssc280/2015nssc280.html" TargetMode="External"/><Relationship Id="rId20" Type="http://schemas.openxmlformats.org/officeDocument/2006/relationships/hyperlink" Target="https://www.canlii.org/en/ns/nsca/doc/2017/2017nsca35/2017nsca35.html?autocompleteStr=2017%20NSCA%2035&amp;autocompletePos=1" TargetMode="External"/><Relationship Id="rId29" Type="http://schemas.openxmlformats.org/officeDocument/2006/relationships/hyperlink" Target="https://www.canlii.org/en/ab/abqb/doc/2016/2016abqb283/2016abqb283.html" TargetMode="External"/><Relationship Id="rId41"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720" TargetMode="External"/><Relationship Id="rId24" Type="http://schemas.openxmlformats.org/officeDocument/2006/relationships/hyperlink" Target="https://www.canlii.org/en/sk/skca/doc/2017/2017skca35/2017skca35.html?autocompleteStr=2017%20SKCA%2035&amp;autocompletePos=1" TargetMode="External"/><Relationship Id="rId32" Type="http://schemas.openxmlformats.org/officeDocument/2006/relationships/hyperlink" Target="https://www.canlii.org/en/ab/abca/doc/2017/2017abca143/2017abca143.html" TargetMode="External"/><Relationship Id="rId37" Type="http://schemas.openxmlformats.org/officeDocument/2006/relationships/hyperlink" Target="https://www.canlii.org/en/bc/bcsc/doc/2016/2016bcsc2068/2016bcsc2068.html?autocompleteStr=2016%20BCSC%202068%20&amp;autocompletePos=1" TargetMode="External"/><Relationship Id="rId40" Type="http://schemas.openxmlformats.org/officeDocument/2006/relationships/hyperlink" Target="https://www.canlii.org/en/bc/bcca/doc/2017/2017bcca196/2017bcca196.html?autocompleteStr=2017%20BCCA%20196%20&amp;autocompletePos=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en/ns/nssc/doc/2014/2014nssc360/2014nssc360.html" TargetMode="External"/><Relationship Id="rId23" Type="http://schemas.openxmlformats.org/officeDocument/2006/relationships/hyperlink" Target="https://www.canlii.org/en/sk/skqb/doc/2016/2016skqb254/2016skqb254.html" TargetMode="External"/><Relationship Id="rId28" Type="http://schemas.openxmlformats.org/officeDocument/2006/relationships/hyperlink" Target="https://www.canlii.org/fr/qc/qcca/doc/2017/2017qcca788/2017qcca788.html?autocompleteStr=2017%20QCCA%20788&amp;autocompletePos=1" TargetMode="External"/><Relationship Id="rId36" Type="http://schemas.openxmlformats.org/officeDocument/2006/relationships/hyperlink" Target="https://www.canlii.org/en/on/onca/doc/2017/2017onca408/2017onca408.html?autocompleteStr=2017%20ONCA%20408&amp;autocompletePos=1" TargetMode="External"/><Relationship Id="rId49" Type="http://schemas.openxmlformats.org/officeDocument/2006/relationships/theme" Target="theme/theme1.xml"/><Relationship Id="rId10" Type="http://schemas.openxmlformats.org/officeDocument/2006/relationships/hyperlink" Target="http://www.scc-csc.ca/case-dossier/info/sum-som-eng.aspx?cas=37685" TargetMode="External"/><Relationship Id="rId19" Type="http://schemas.openxmlformats.org/officeDocument/2006/relationships/hyperlink" Target="https://www.canlii.org/en/ns/nssc/doc/2015/2015nssc280/2015nssc280.html" TargetMode="External"/><Relationship Id="rId31" Type="http://schemas.openxmlformats.org/officeDocument/2006/relationships/hyperlink" Target="https://www.canlii.org/en/ab/abqb/doc/2016/2016abqb283/2016abqb283.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7675" TargetMode="External"/><Relationship Id="rId14" Type="http://schemas.openxmlformats.org/officeDocument/2006/relationships/hyperlink" Target="http://www.scc-csc.ca/case-dossier/info/sum-som-eng.aspx?cas=37694" TargetMode="External"/><Relationship Id="rId22" Type="http://schemas.openxmlformats.org/officeDocument/2006/relationships/hyperlink" Target="https://www.canlii.org/en/sk/skca/doc/2017/2017skca35/2017skca35.html?autocompleteStr=2017%20SKCA%2035&amp;autocompletePos=1" TargetMode="External"/><Relationship Id="rId27" Type="http://schemas.openxmlformats.org/officeDocument/2006/relationships/hyperlink" Target="https://www.canlii.org/fr/qc/qccq/doc/2010/2010qccq18420/2010qccq18420.html" TargetMode="External"/><Relationship Id="rId30" Type="http://schemas.openxmlformats.org/officeDocument/2006/relationships/hyperlink" Target="https://www.canlii.org/en/ab/abca/doc/2017/2017abca143/2017abca143.html" TargetMode="External"/><Relationship Id="rId35" Type="http://schemas.openxmlformats.org/officeDocument/2006/relationships/hyperlink" Target="https://www.canlii.org/en/on/onsc/doc/2016/2016onsc7139/2016onsc7139.html?autocompleteStr=2016%20ONSC%207139&amp;autocompletePos=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scc-csc.ca/case-dossier/info/sum-som-eng.aspx?cas=37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4FE35-D263-4085-A47B-B228A43D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5973</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2018-01-08T12:25:00Z</dcterms:created>
  <dcterms:modified xsi:type="dcterms:W3CDTF">2018-01-08T14:03:00Z</dcterms:modified>
</cp:coreProperties>
</file>