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6329F" w:rsidRDefault="003F43E6" w:rsidP="00122CE1">
      <w:pPr>
        <w:pStyle w:val="Header"/>
        <w:tabs>
          <w:tab w:val="left" w:pos="1620"/>
          <w:tab w:val="left" w:pos="1710"/>
        </w:tabs>
        <w:jc w:val="center"/>
        <w:rPr>
          <w:b/>
          <w:sz w:val="32"/>
        </w:rPr>
      </w:pPr>
      <w:r w:rsidRPr="0056329F">
        <w:rPr>
          <w:b/>
          <w:sz w:val="32"/>
        </w:rPr>
        <w:t>Supreme Court of Canada / Cour suprême du Canada</w:t>
      </w:r>
    </w:p>
    <w:p w:rsidR="003F43E6" w:rsidRPr="0056329F" w:rsidRDefault="003F43E6" w:rsidP="006F2579">
      <w:pPr>
        <w:widowControl w:val="0"/>
        <w:rPr>
          <w:i/>
        </w:rPr>
      </w:pPr>
    </w:p>
    <w:p w:rsidR="006F2579" w:rsidRPr="0056329F" w:rsidRDefault="006F2579" w:rsidP="006F2579">
      <w:pPr>
        <w:widowControl w:val="0"/>
        <w:rPr>
          <w:i/>
        </w:rPr>
      </w:pPr>
      <w:r w:rsidRPr="0056329F">
        <w:rPr>
          <w:i/>
        </w:rPr>
        <w:t>(le français suit)</w:t>
      </w:r>
    </w:p>
    <w:p w:rsidR="006F2579" w:rsidRPr="0056329F" w:rsidRDefault="006F2579" w:rsidP="006F2579">
      <w:pPr>
        <w:widowControl w:val="0"/>
      </w:pPr>
    </w:p>
    <w:p w:rsidR="006F2579" w:rsidRPr="0056329F" w:rsidRDefault="00B07908" w:rsidP="006F2579">
      <w:pPr>
        <w:widowControl w:val="0"/>
        <w:jc w:val="center"/>
        <w:rPr>
          <w:b/>
        </w:rPr>
      </w:pPr>
      <w:r w:rsidRPr="0056329F">
        <w:fldChar w:fldCharType="begin"/>
      </w:r>
      <w:r w:rsidR="006F2579" w:rsidRPr="0056329F">
        <w:instrText xml:space="preserve"> SEQ CHAPTER \h \r 1</w:instrText>
      </w:r>
      <w:r w:rsidRPr="0056329F">
        <w:fldChar w:fldCharType="end"/>
      </w:r>
      <w:r w:rsidR="006F2579" w:rsidRPr="0056329F">
        <w:rPr>
          <w:b/>
        </w:rPr>
        <w:t>JUDGMENT</w:t>
      </w:r>
      <w:r w:rsidR="00B17AAC" w:rsidRPr="0056329F">
        <w:rPr>
          <w:b/>
        </w:rPr>
        <w:t>S</w:t>
      </w:r>
      <w:r w:rsidR="006F2579" w:rsidRPr="0056329F">
        <w:rPr>
          <w:b/>
        </w:rPr>
        <w:t xml:space="preserve"> TO B</w:t>
      </w:r>
      <w:r w:rsidR="00001846" w:rsidRPr="0056329F">
        <w:rPr>
          <w:b/>
        </w:rPr>
        <w:t>E RENDERED IN LEAVE APPLICATION</w:t>
      </w:r>
      <w:r w:rsidR="00E94FDF" w:rsidRPr="0056329F">
        <w:rPr>
          <w:b/>
        </w:rPr>
        <w:t>S</w:t>
      </w:r>
    </w:p>
    <w:p w:rsidR="006F2579" w:rsidRPr="0056329F" w:rsidRDefault="006F2579" w:rsidP="006F2579">
      <w:pPr>
        <w:widowControl w:val="0"/>
      </w:pPr>
    </w:p>
    <w:p w:rsidR="006F2579" w:rsidRPr="0056329F" w:rsidRDefault="00F840B9" w:rsidP="006F2579">
      <w:pPr>
        <w:widowControl w:val="0"/>
        <w:rPr>
          <w:b/>
        </w:rPr>
      </w:pPr>
      <w:r>
        <w:rPr>
          <w:b/>
        </w:rPr>
        <w:t>February</w:t>
      </w:r>
      <w:r w:rsidR="00FD37D0" w:rsidRPr="0056329F">
        <w:rPr>
          <w:b/>
        </w:rPr>
        <w:t xml:space="preserve"> </w:t>
      </w:r>
      <w:r>
        <w:rPr>
          <w:b/>
        </w:rPr>
        <w:t>5</w:t>
      </w:r>
      <w:r w:rsidR="00AB5538" w:rsidRPr="0056329F">
        <w:rPr>
          <w:b/>
        </w:rPr>
        <w:t>,</w:t>
      </w:r>
      <w:r w:rsidR="006F2579" w:rsidRPr="0056329F">
        <w:rPr>
          <w:b/>
        </w:rPr>
        <w:t xml:space="preserve"> </w:t>
      </w:r>
      <w:r w:rsidR="0054689F" w:rsidRPr="0056329F">
        <w:rPr>
          <w:b/>
        </w:rPr>
        <w:t>201</w:t>
      </w:r>
      <w:r w:rsidR="00685F7C" w:rsidRPr="0056329F">
        <w:rPr>
          <w:b/>
        </w:rPr>
        <w:t>8</w:t>
      </w:r>
    </w:p>
    <w:p w:rsidR="006F2579" w:rsidRPr="0056329F" w:rsidRDefault="00674F39" w:rsidP="006F2579">
      <w:pPr>
        <w:widowControl w:val="0"/>
        <w:rPr>
          <w:b/>
        </w:rPr>
      </w:pPr>
      <w:r w:rsidRPr="0056329F">
        <w:rPr>
          <w:b/>
        </w:rPr>
        <w:t>For immediate release</w:t>
      </w:r>
    </w:p>
    <w:p w:rsidR="006F2579" w:rsidRPr="0056329F" w:rsidRDefault="006F2579" w:rsidP="006F2579">
      <w:pPr>
        <w:widowControl w:val="0"/>
      </w:pPr>
    </w:p>
    <w:p w:rsidR="006F2579" w:rsidRPr="0056329F" w:rsidRDefault="006F2579" w:rsidP="006F2579">
      <w:pPr>
        <w:widowControl w:val="0"/>
      </w:pPr>
      <w:r w:rsidRPr="0056329F">
        <w:rPr>
          <w:b/>
        </w:rPr>
        <w:t>OTTAWA</w:t>
      </w:r>
      <w:r w:rsidRPr="0056329F">
        <w:t xml:space="preserve"> – The Supreme Court of Canad</w:t>
      </w:r>
      <w:r w:rsidR="006246E4" w:rsidRPr="0056329F">
        <w:t>a</w:t>
      </w:r>
      <w:r w:rsidRPr="0056329F">
        <w:t xml:space="preserve"> announced today that judgment in the following application</w:t>
      </w:r>
      <w:r w:rsidR="008600ED" w:rsidRPr="0056329F">
        <w:t>s</w:t>
      </w:r>
      <w:r w:rsidRPr="0056329F">
        <w:t xml:space="preserve"> for leave to appeal will be delivered at 9:45 a.m. E</w:t>
      </w:r>
      <w:r w:rsidR="00213196" w:rsidRPr="0056329F">
        <w:t>S</w:t>
      </w:r>
      <w:r w:rsidRPr="0056329F">
        <w:t xml:space="preserve">T on Thursday, </w:t>
      </w:r>
      <w:r w:rsidR="009F28F7" w:rsidRPr="0056329F">
        <w:t>February</w:t>
      </w:r>
      <w:r w:rsidR="00780317" w:rsidRPr="0056329F">
        <w:t xml:space="preserve"> </w:t>
      </w:r>
      <w:r w:rsidR="00F840B9">
        <w:t>8</w:t>
      </w:r>
      <w:r w:rsidR="007E112F" w:rsidRPr="0056329F">
        <w:t>,</w:t>
      </w:r>
      <w:r w:rsidR="002F38D7" w:rsidRPr="0056329F">
        <w:t xml:space="preserve"> </w:t>
      </w:r>
      <w:r w:rsidR="006648D1" w:rsidRPr="0056329F">
        <w:t>201</w:t>
      </w:r>
      <w:r w:rsidR="00685F7C" w:rsidRPr="0056329F">
        <w:t>8</w:t>
      </w:r>
      <w:r w:rsidRPr="0056329F">
        <w:t>. This list is subject to chang</w:t>
      </w:r>
      <w:r w:rsidR="00192F7F" w:rsidRPr="0056329F">
        <w:t>e</w:t>
      </w:r>
      <w:r w:rsidRPr="0056329F">
        <w:t>.</w:t>
      </w:r>
    </w:p>
    <w:p w:rsidR="00FF5AA4" w:rsidRPr="0056329F" w:rsidRDefault="00FF5AA4" w:rsidP="006F2579">
      <w:pPr>
        <w:widowControl w:val="0"/>
      </w:pPr>
    </w:p>
    <w:p w:rsidR="00B43418" w:rsidRPr="0056329F" w:rsidRDefault="00B43418" w:rsidP="006F2579">
      <w:pPr>
        <w:widowControl w:val="0"/>
      </w:pPr>
    </w:p>
    <w:p w:rsidR="006F2579" w:rsidRPr="0056329F" w:rsidRDefault="006F2579" w:rsidP="006F2579">
      <w:pPr>
        <w:widowControl w:val="0"/>
        <w:jc w:val="center"/>
        <w:rPr>
          <w:lang w:val="fr-CA"/>
        </w:rPr>
      </w:pPr>
      <w:r w:rsidRPr="0056329F">
        <w:rPr>
          <w:b/>
          <w:lang w:val="fr-CA"/>
        </w:rPr>
        <w:t>PROCHAIN</w:t>
      </w:r>
      <w:r w:rsidR="00B17AAC" w:rsidRPr="0056329F">
        <w:rPr>
          <w:b/>
          <w:lang w:val="fr-CA"/>
        </w:rPr>
        <w:t>S</w:t>
      </w:r>
      <w:r w:rsidRPr="0056329F">
        <w:rPr>
          <w:b/>
          <w:lang w:val="fr-CA"/>
        </w:rPr>
        <w:t xml:space="preserve"> JUGEMENT</w:t>
      </w:r>
      <w:r w:rsidR="00B17AAC" w:rsidRPr="0056329F">
        <w:rPr>
          <w:b/>
          <w:lang w:val="fr-CA"/>
        </w:rPr>
        <w:t>S</w:t>
      </w:r>
      <w:r w:rsidR="00001846" w:rsidRPr="0056329F">
        <w:rPr>
          <w:b/>
          <w:lang w:val="fr-CA"/>
        </w:rPr>
        <w:t xml:space="preserve"> SUR DEMANDE</w:t>
      </w:r>
      <w:r w:rsidR="00B17AAC" w:rsidRPr="0056329F">
        <w:rPr>
          <w:b/>
          <w:lang w:val="fr-CA"/>
        </w:rPr>
        <w:t>S</w:t>
      </w:r>
      <w:r w:rsidRPr="0056329F">
        <w:rPr>
          <w:b/>
          <w:lang w:val="fr-CA"/>
        </w:rPr>
        <w:t xml:space="preserve"> D’AUTORISATION</w:t>
      </w:r>
    </w:p>
    <w:p w:rsidR="006F2579" w:rsidRPr="0056329F" w:rsidRDefault="006F2579" w:rsidP="006F2579">
      <w:pPr>
        <w:widowControl w:val="0"/>
        <w:rPr>
          <w:lang w:val="fr-CA"/>
        </w:rPr>
      </w:pPr>
    </w:p>
    <w:p w:rsidR="006F2579" w:rsidRPr="0056329F" w:rsidRDefault="006F2579" w:rsidP="006F2579">
      <w:pPr>
        <w:widowControl w:val="0"/>
        <w:rPr>
          <w:b/>
          <w:lang w:val="fr-CA"/>
        </w:rPr>
      </w:pPr>
      <w:r w:rsidRPr="0056329F">
        <w:rPr>
          <w:b/>
          <w:lang w:val="fr-CA"/>
        </w:rPr>
        <w:t>Le</w:t>
      </w:r>
      <w:r w:rsidR="00957A76" w:rsidRPr="0056329F">
        <w:rPr>
          <w:b/>
          <w:lang w:val="fr-CA"/>
        </w:rPr>
        <w:t xml:space="preserve"> </w:t>
      </w:r>
      <w:r w:rsidR="00F840B9">
        <w:rPr>
          <w:b/>
          <w:lang w:val="fr-CA"/>
        </w:rPr>
        <w:t>5</w:t>
      </w:r>
      <w:r w:rsidR="00FD37D0" w:rsidRPr="0056329F">
        <w:rPr>
          <w:b/>
          <w:lang w:val="fr-CA"/>
        </w:rPr>
        <w:t xml:space="preserve"> </w:t>
      </w:r>
      <w:r w:rsidR="00F840B9">
        <w:rPr>
          <w:b/>
          <w:lang w:val="fr-CA"/>
        </w:rPr>
        <w:t>février</w:t>
      </w:r>
      <w:r w:rsidR="00A151D1" w:rsidRPr="0056329F">
        <w:rPr>
          <w:b/>
          <w:lang w:val="fr-CA"/>
        </w:rPr>
        <w:t xml:space="preserve"> 201</w:t>
      </w:r>
      <w:r w:rsidR="00685F7C" w:rsidRPr="0056329F">
        <w:rPr>
          <w:b/>
          <w:lang w:val="fr-CA"/>
        </w:rPr>
        <w:t>8</w:t>
      </w:r>
    </w:p>
    <w:p w:rsidR="006F2579" w:rsidRPr="0056329F" w:rsidRDefault="006F2579" w:rsidP="006F2579">
      <w:pPr>
        <w:widowControl w:val="0"/>
        <w:rPr>
          <w:b/>
          <w:lang w:val="fr-CA"/>
        </w:rPr>
      </w:pPr>
      <w:r w:rsidRPr="0056329F">
        <w:rPr>
          <w:b/>
          <w:lang w:val="fr-CA"/>
        </w:rPr>
        <w:t>Pour diffusion immédiate</w:t>
      </w:r>
    </w:p>
    <w:p w:rsidR="006F2579" w:rsidRPr="0056329F" w:rsidRDefault="006F2579" w:rsidP="006F2579">
      <w:pPr>
        <w:widowControl w:val="0"/>
        <w:rPr>
          <w:b/>
          <w:lang w:val="fr-CA"/>
        </w:rPr>
      </w:pPr>
    </w:p>
    <w:p w:rsidR="006F2579" w:rsidRPr="0056329F" w:rsidRDefault="006F2579" w:rsidP="006F2579">
      <w:pPr>
        <w:widowControl w:val="0"/>
        <w:rPr>
          <w:lang w:val="fr-CA"/>
        </w:rPr>
      </w:pPr>
      <w:r w:rsidRPr="0056329F">
        <w:rPr>
          <w:b/>
          <w:lang w:val="fr-CA"/>
        </w:rPr>
        <w:t>OTTAWA</w:t>
      </w:r>
      <w:r w:rsidRPr="0056329F">
        <w:rPr>
          <w:lang w:val="fr-CA"/>
        </w:rPr>
        <w:t xml:space="preserve"> – La Cour suprême du Canada annonce que jugement ser</w:t>
      </w:r>
      <w:r w:rsidR="004259F9" w:rsidRPr="0056329F">
        <w:rPr>
          <w:lang w:val="fr-CA"/>
        </w:rPr>
        <w:t>a</w:t>
      </w:r>
      <w:r w:rsidRPr="0056329F">
        <w:rPr>
          <w:lang w:val="fr-CA"/>
        </w:rPr>
        <w:t xml:space="preserve"> rendu dans l</w:t>
      </w:r>
      <w:r w:rsidR="008600ED" w:rsidRPr="0056329F">
        <w:rPr>
          <w:lang w:val="fr-CA"/>
        </w:rPr>
        <w:t>es</w:t>
      </w:r>
      <w:r w:rsidRPr="0056329F">
        <w:rPr>
          <w:lang w:val="fr-CA"/>
        </w:rPr>
        <w:t xml:space="preserve"> demande</w:t>
      </w:r>
      <w:r w:rsidR="008600ED" w:rsidRPr="0056329F">
        <w:rPr>
          <w:lang w:val="fr-CA"/>
        </w:rPr>
        <w:t>s</w:t>
      </w:r>
      <w:r w:rsidRPr="0056329F">
        <w:rPr>
          <w:lang w:val="fr-CA"/>
        </w:rPr>
        <w:t xml:space="preserve"> d</w:t>
      </w:r>
      <w:r w:rsidR="00001846" w:rsidRPr="0056329F">
        <w:rPr>
          <w:lang w:val="fr-CA"/>
        </w:rPr>
        <w:t>’autorisation d’appel suivante</w:t>
      </w:r>
      <w:r w:rsidR="008600ED" w:rsidRPr="0056329F">
        <w:rPr>
          <w:lang w:val="fr-CA"/>
        </w:rPr>
        <w:t>s</w:t>
      </w:r>
      <w:r w:rsidRPr="0056329F">
        <w:rPr>
          <w:lang w:val="fr-CA"/>
        </w:rPr>
        <w:t xml:space="preserve"> le jeudi </w:t>
      </w:r>
      <w:r w:rsidR="00F840B9">
        <w:rPr>
          <w:lang w:val="fr-CA"/>
        </w:rPr>
        <w:t>8</w:t>
      </w:r>
      <w:r w:rsidR="00780317" w:rsidRPr="0056329F">
        <w:rPr>
          <w:lang w:val="fr-CA"/>
        </w:rPr>
        <w:t xml:space="preserve"> </w:t>
      </w:r>
      <w:r w:rsidR="009F28F7" w:rsidRPr="0056329F">
        <w:rPr>
          <w:lang w:val="fr-CA"/>
        </w:rPr>
        <w:t>févr</w:t>
      </w:r>
      <w:r w:rsidR="00685F7C" w:rsidRPr="0056329F">
        <w:rPr>
          <w:lang w:val="fr-CA"/>
        </w:rPr>
        <w:t>ier</w:t>
      </w:r>
      <w:r w:rsidR="00674329" w:rsidRPr="0056329F">
        <w:rPr>
          <w:lang w:val="fr-CA"/>
        </w:rPr>
        <w:t xml:space="preserve"> </w:t>
      </w:r>
      <w:r w:rsidR="006648D1" w:rsidRPr="0056329F">
        <w:rPr>
          <w:lang w:val="fr-CA"/>
        </w:rPr>
        <w:t>201</w:t>
      </w:r>
      <w:r w:rsidR="00685F7C" w:rsidRPr="0056329F">
        <w:rPr>
          <w:lang w:val="fr-CA"/>
        </w:rPr>
        <w:t>8</w:t>
      </w:r>
      <w:r w:rsidRPr="0056329F">
        <w:rPr>
          <w:lang w:val="fr-CA"/>
        </w:rPr>
        <w:t xml:space="preserve">, à 9 h 45 </w:t>
      </w:r>
      <w:r w:rsidR="000627A2" w:rsidRPr="0056329F">
        <w:rPr>
          <w:lang w:val="fr-CA"/>
        </w:rPr>
        <w:t>H</w:t>
      </w:r>
      <w:r w:rsidR="00213196" w:rsidRPr="0056329F">
        <w:rPr>
          <w:lang w:val="fr-CA"/>
        </w:rPr>
        <w:t>N</w:t>
      </w:r>
      <w:r w:rsidRPr="0056329F">
        <w:rPr>
          <w:lang w:val="fr-CA"/>
        </w:rPr>
        <w:t>E. Cette liste est sujette à modifications.</w:t>
      </w:r>
    </w:p>
    <w:p w:rsidR="0080556B" w:rsidRPr="0056329F" w:rsidRDefault="0080556B" w:rsidP="009B14F4">
      <w:pPr>
        <w:widowControl w:val="0"/>
        <w:jc w:val="both"/>
        <w:rPr>
          <w:sz w:val="20"/>
          <w:lang w:val="fr-CA"/>
        </w:rPr>
      </w:pPr>
    </w:p>
    <w:p w:rsidR="001838E0" w:rsidRPr="0056329F" w:rsidRDefault="003D353C" w:rsidP="009B14F4">
      <w:pPr>
        <w:widowControl w:val="0"/>
        <w:jc w:val="both"/>
        <w:rPr>
          <w:sz w:val="20"/>
          <w:lang w:val="fr-CA"/>
        </w:rPr>
      </w:pPr>
      <w:r w:rsidRPr="0056329F">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957A1E" w:rsidRDefault="00957A1E" w:rsidP="00957A1E">
      <w:pPr>
        <w:jc w:val="both"/>
        <w:rPr>
          <w:sz w:val="20"/>
          <w:lang w:val="fr-CA"/>
        </w:rPr>
      </w:pPr>
    </w:p>
    <w:p w:rsidR="002926A4" w:rsidRPr="002926A4" w:rsidRDefault="002926A4" w:rsidP="002926A4">
      <w:pPr>
        <w:pStyle w:val="ListParagraph"/>
        <w:numPr>
          <w:ilvl w:val="0"/>
          <w:numId w:val="9"/>
        </w:numPr>
        <w:ind w:left="360"/>
        <w:jc w:val="both"/>
        <w:rPr>
          <w:sz w:val="20"/>
          <w:szCs w:val="20"/>
          <w:lang w:val="fr-FR"/>
        </w:rPr>
      </w:pPr>
      <w:r w:rsidRPr="002926A4">
        <w:rPr>
          <w:i/>
          <w:sz w:val="20"/>
          <w:szCs w:val="20"/>
          <w:lang w:val="fr-FR"/>
        </w:rPr>
        <w:t>Claude Trépanier et a</w:t>
      </w:r>
      <w:r w:rsidR="00202E67">
        <w:rPr>
          <w:i/>
          <w:sz w:val="20"/>
          <w:szCs w:val="20"/>
          <w:lang w:val="fr-FR"/>
        </w:rPr>
        <w:t>utre</w:t>
      </w:r>
      <w:r w:rsidRPr="002926A4">
        <w:rPr>
          <w:i/>
          <w:sz w:val="20"/>
          <w:szCs w:val="20"/>
          <w:lang w:val="fr-FR"/>
        </w:rPr>
        <w:t xml:space="preserve"> c. Yves Bolduc, en sa qualité de ministre de la santé et des services sociaux et a</w:t>
      </w:r>
      <w:r w:rsidR="00202E67">
        <w:rPr>
          <w:i/>
          <w:sz w:val="20"/>
          <w:szCs w:val="20"/>
          <w:lang w:val="fr-FR"/>
        </w:rPr>
        <w:t>utre</w:t>
      </w:r>
      <w:r w:rsidRPr="002926A4">
        <w:rPr>
          <w:i/>
          <w:sz w:val="20"/>
          <w:szCs w:val="20"/>
          <w:lang w:val="fr-FR"/>
        </w:rPr>
        <w:t xml:space="preserve"> </w:t>
      </w:r>
      <w:r w:rsidRPr="002926A4">
        <w:rPr>
          <w:sz w:val="20"/>
          <w:szCs w:val="20"/>
          <w:lang w:val="fr-FR"/>
        </w:rPr>
        <w:t>(Qc) (Civile) (Autorisation)</w:t>
      </w:r>
      <w:r>
        <w:rPr>
          <w:sz w:val="20"/>
          <w:szCs w:val="20"/>
          <w:lang w:val="fr-FR"/>
        </w:rPr>
        <w:t xml:space="preserve"> </w:t>
      </w:r>
      <w:r w:rsidRPr="00E140FF">
        <w:rPr>
          <w:sz w:val="20"/>
          <w:szCs w:val="20"/>
          <w:lang w:val="fr-CA"/>
        </w:rPr>
        <w:t>(</w:t>
      </w:r>
      <w:hyperlink r:id="rId7" w:history="1">
        <w:r w:rsidRPr="00E140FF">
          <w:rPr>
            <w:rStyle w:val="Hyperlink"/>
            <w:sz w:val="20"/>
            <w:szCs w:val="20"/>
            <w:lang w:val="fr-CA"/>
          </w:rPr>
          <w:t>37</w:t>
        </w:r>
        <w:r w:rsidR="006D46C7">
          <w:rPr>
            <w:rStyle w:val="Hyperlink"/>
            <w:sz w:val="20"/>
            <w:szCs w:val="20"/>
            <w:lang w:val="fr-CA"/>
          </w:rPr>
          <w:t>723</w:t>
        </w:r>
      </w:hyperlink>
      <w:r w:rsidRPr="00E140FF">
        <w:rPr>
          <w:sz w:val="20"/>
          <w:szCs w:val="20"/>
          <w:lang w:val="fr-CA"/>
        </w:rPr>
        <w:t>)</w:t>
      </w:r>
    </w:p>
    <w:p w:rsidR="002926A4" w:rsidRPr="002926A4" w:rsidRDefault="002926A4" w:rsidP="002926A4">
      <w:pPr>
        <w:ind w:left="360" w:hanging="360"/>
        <w:contextualSpacing/>
        <w:jc w:val="both"/>
        <w:rPr>
          <w:sz w:val="20"/>
          <w:lang w:val="fr-FR"/>
        </w:rPr>
      </w:pPr>
    </w:p>
    <w:p w:rsidR="002926A4" w:rsidRPr="002926A4" w:rsidRDefault="002926A4" w:rsidP="002926A4">
      <w:pPr>
        <w:pStyle w:val="ListParagraph"/>
        <w:numPr>
          <w:ilvl w:val="0"/>
          <w:numId w:val="9"/>
        </w:numPr>
        <w:ind w:left="360"/>
        <w:jc w:val="both"/>
        <w:rPr>
          <w:sz w:val="20"/>
          <w:szCs w:val="20"/>
          <w:lang w:val="fr-FR"/>
        </w:rPr>
      </w:pPr>
      <w:r w:rsidRPr="002926A4">
        <w:rPr>
          <w:i/>
          <w:sz w:val="20"/>
          <w:szCs w:val="20"/>
          <w:lang w:val="fr-FR"/>
        </w:rPr>
        <w:t>Gilles Patenaude c. Ville de Longueuil</w:t>
      </w:r>
      <w:r w:rsidRPr="002926A4">
        <w:rPr>
          <w:sz w:val="20"/>
          <w:szCs w:val="20"/>
          <w:lang w:val="fr-FR"/>
        </w:rPr>
        <w:t xml:space="preserve"> (Qc) (Criminelle) (Autorisation)</w:t>
      </w:r>
      <w:r>
        <w:rPr>
          <w:sz w:val="20"/>
          <w:szCs w:val="20"/>
          <w:lang w:val="fr-FR"/>
        </w:rPr>
        <w:t xml:space="preserve"> </w:t>
      </w:r>
      <w:r w:rsidRPr="002926A4">
        <w:rPr>
          <w:sz w:val="20"/>
          <w:szCs w:val="20"/>
          <w:lang w:val="fr-CA"/>
        </w:rPr>
        <w:t>(</w:t>
      </w:r>
      <w:hyperlink r:id="rId8" w:history="1">
        <w:r w:rsidRPr="002926A4">
          <w:rPr>
            <w:rStyle w:val="Hyperlink"/>
            <w:sz w:val="20"/>
            <w:szCs w:val="20"/>
            <w:lang w:val="fr-CA"/>
          </w:rPr>
          <w:t>37</w:t>
        </w:r>
        <w:r w:rsidR="00C53FC7">
          <w:rPr>
            <w:rStyle w:val="Hyperlink"/>
            <w:sz w:val="20"/>
            <w:szCs w:val="20"/>
            <w:lang w:val="fr-CA"/>
          </w:rPr>
          <w:t>5</w:t>
        </w:r>
        <w:r w:rsidRPr="002926A4">
          <w:rPr>
            <w:rStyle w:val="Hyperlink"/>
            <w:sz w:val="20"/>
            <w:szCs w:val="20"/>
            <w:lang w:val="fr-CA"/>
          </w:rPr>
          <w:t>6</w:t>
        </w:r>
        <w:r w:rsidR="00C53FC7">
          <w:rPr>
            <w:rStyle w:val="Hyperlink"/>
            <w:sz w:val="20"/>
            <w:szCs w:val="20"/>
            <w:lang w:val="fr-CA"/>
          </w:rPr>
          <w:t>0</w:t>
        </w:r>
      </w:hyperlink>
      <w:r w:rsidRPr="002926A4">
        <w:rPr>
          <w:sz w:val="20"/>
          <w:szCs w:val="20"/>
          <w:lang w:val="fr-CA"/>
        </w:rPr>
        <w:t>)</w:t>
      </w:r>
    </w:p>
    <w:p w:rsidR="002926A4" w:rsidRPr="002926A4" w:rsidRDefault="002926A4" w:rsidP="002926A4">
      <w:pPr>
        <w:ind w:left="360" w:hanging="360"/>
        <w:jc w:val="both"/>
        <w:rPr>
          <w:sz w:val="20"/>
          <w:lang w:val="fr-FR"/>
        </w:rPr>
      </w:pPr>
    </w:p>
    <w:p w:rsidR="002926A4" w:rsidRPr="002926A4" w:rsidRDefault="002926A4" w:rsidP="002926A4">
      <w:pPr>
        <w:pStyle w:val="ListParagraph"/>
        <w:numPr>
          <w:ilvl w:val="0"/>
          <w:numId w:val="9"/>
        </w:numPr>
        <w:ind w:left="360"/>
        <w:jc w:val="both"/>
        <w:rPr>
          <w:sz w:val="20"/>
          <w:szCs w:val="20"/>
          <w:lang w:val="en-CA"/>
        </w:rPr>
      </w:pPr>
      <w:r w:rsidRPr="002926A4">
        <w:rPr>
          <w:i/>
          <w:sz w:val="20"/>
          <w:szCs w:val="20"/>
          <w:lang w:val="en-CA"/>
        </w:rPr>
        <w:t>St. Albert Housing Society et al. v. City of St. Albert Composite Assessment Review Board et al.</w:t>
      </w:r>
      <w:r w:rsidR="00027781">
        <w:rPr>
          <w:sz w:val="20"/>
          <w:szCs w:val="20"/>
          <w:lang w:val="en-CA"/>
        </w:rPr>
        <w:t xml:space="preserve"> (Alta.) (Civil) (By Leave)</w:t>
      </w:r>
      <w:r>
        <w:rPr>
          <w:sz w:val="20"/>
          <w:szCs w:val="20"/>
          <w:lang w:val="en-CA"/>
        </w:rPr>
        <w:t xml:space="preserve"> </w:t>
      </w:r>
      <w:r w:rsidRPr="0056329F">
        <w:rPr>
          <w:sz w:val="20"/>
          <w:szCs w:val="20"/>
          <w:lang w:val="en-CA"/>
        </w:rPr>
        <w:t>(</w:t>
      </w:r>
      <w:hyperlink r:id="rId9" w:history="1">
        <w:r w:rsidRPr="0056329F">
          <w:rPr>
            <w:rStyle w:val="Hyperlink"/>
            <w:sz w:val="20"/>
            <w:szCs w:val="20"/>
            <w:lang w:val="en-CA"/>
          </w:rPr>
          <w:t>3764</w:t>
        </w:r>
        <w:r w:rsidR="00027781">
          <w:rPr>
            <w:rStyle w:val="Hyperlink"/>
            <w:sz w:val="20"/>
            <w:szCs w:val="20"/>
            <w:lang w:val="en-CA"/>
          </w:rPr>
          <w:t>0</w:t>
        </w:r>
      </w:hyperlink>
      <w:r w:rsidRPr="0056329F">
        <w:rPr>
          <w:sz w:val="20"/>
          <w:szCs w:val="20"/>
          <w:lang w:val="en-CA"/>
        </w:rPr>
        <w:t>)</w:t>
      </w:r>
    </w:p>
    <w:p w:rsidR="00F840B9" w:rsidRPr="002926A4" w:rsidRDefault="00F840B9" w:rsidP="002926A4">
      <w:pPr>
        <w:ind w:left="360" w:hanging="360"/>
        <w:jc w:val="both"/>
        <w:rPr>
          <w:sz w:val="20"/>
        </w:rPr>
      </w:pPr>
    </w:p>
    <w:p w:rsidR="002926A4" w:rsidRPr="002926A4" w:rsidRDefault="002926A4" w:rsidP="002926A4">
      <w:pPr>
        <w:pStyle w:val="SCCAppellantInfoAppellantInfo"/>
        <w:numPr>
          <w:ilvl w:val="0"/>
          <w:numId w:val="9"/>
        </w:numPr>
        <w:ind w:left="360"/>
        <w:rPr>
          <w:sz w:val="20"/>
          <w:szCs w:val="20"/>
        </w:rPr>
      </w:pPr>
      <w:r w:rsidRPr="002926A4">
        <w:rPr>
          <w:i/>
          <w:sz w:val="20"/>
          <w:szCs w:val="20"/>
        </w:rPr>
        <w:t>John Tsekouras v. Her Majesty the Queen</w:t>
      </w:r>
      <w:r w:rsidRPr="002926A4">
        <w:rPr>
          <w:sz w:val="20"/>
          <w:szCs w:val="20"/>
        </w:rPr>
        <w:t xml:space="preserve"> (Ont.) (Criminal) (By Leave)</w:t>
      </w:r>
      <w:r>
        <w:rPr>
          <w:sz w:val="20"/>
          <w:szCs w:val="20"/>
        </w:rPr>
        <w:t xml:space="preserve"> </w:t>
      </w:r>
      <w:r w:rsidRPr="0056329F">
        <w:rPr>
          <w:sz w:val="20"/>
          <w:szCs w:val="20"/>
        </w:rPr>
        <w:t>(</w:t>
      </w:r>
      <w:hyperlink r:id="rId10" w:history="1">
        <w:r w:rsidRPr="0056329F">
          <w:rPr>
            <w:rStyle w:val="Hyperlink"/>
            <w:sz w:val="20"/>
            <w:szCs w:val="20"/>
          </w:rPr>
          <w:t>37</w:t>
        </w:r>
        <w:r w:rsidR="00131433">
          <w:rPr>
            <w:rStyle w:val="Hyperlink"/>
            <w:sz w:val="20"/>
            <w:szCs w:val="20"/>
          </w:rPr>
          <w:t>533</w:t>
        </w:r>
      </w:hyperlink>
      <w:r w:rsidRPr="0056329F">
        <w:rPr>
          <w:sz w:val="20"/>
          <w:szCs w:val="20"/>
        </w:rPr>
        <w:t>)</w:t>
      </w:r>
    </w:p>
    <w:p w:rsidR="002926A4" w:rsidRPr="002926A4" w:rsidRDefault="002926A4" w:rsidP="002926A4">
      <w:pPr>
        <w:ind w:left="360" w:hanging="360"/>
        <w:rPr>
          <w:sz w:val="20"/>
          <w:lang w:val="en-CA"/>
        </w:rPr>
      </w:pPr>
    </w:p>
    <w:p w:rsidR="002926A4" w:rsidRPr="002926A4" w:rsidRDefault="002926A4" w:rsidP="002926A4">
      <w:pPr>
        <w:pStyle w:val="SCCAppellantInfoAppellantInfo"/>
        <w:numPr>
          <w:ilvl w:val="0"/>
          <w:numId w:val="9"/>
        </w:numPr>
        <w:ind w:left="360"/>
        <w:rPr>
          <w:sz w:val="20"/>
          <w:szCs w:val="20"/>
        </w:rPr>
      </w:pPr>
      <w:r w:rsidRPr="002926A4">
        <w:rPr>
          <w:i/>
          <w:sz w:val="20"/>
          <w:szCs w:val="20"/>
        </w:rPr>
        <w:t>Coburn and Watson’s Metropolitan Home dba Metropolitan Home v. BMO Financial Group et al.</w:t>
      </w:r>
      <w:r w:rsidRPr="002926A4">
        <w:rPr>
          <w:sz w:val="20"/>
          <w:szCs w:val="20"/>
        </w:rPr>
        <w:t xml:space="preserve"> (B.C.) (Civil) (By Leave)</w:t>
      </w:r>
      <w:r>
        <w:rPr>
          <w:sz w:val="20"/>
          <w:szCs w:val="20"/>
        </w:rPr>
        <w:t xml:space="preserve"> </w:t>
      </w:r>
      <w:r w:rsidRPr="0056329F">
        <w:rPr>
          <w:sz w:val="20"/>
          <w:szCs w:val="20"/>
        </w:rPr>
        <w:t>(</w:t>
      </w:r>
      <w:hyperlink r:id="rId11" w:history="1">
        <w:r w:rsidRPr="0056329F">
          <w:rPr>
            <w:rStyle w:val="Hyperlink"/>
            <w:sz w:val="20"/>
            <w:szCs w:val="20"/>
          </w:rPr>
          <w:t>37</w:t>
        </w:r>
        <w:r w:rsidR="00A66BBF">
          <w:rPr>
            <w:rStyle w:val="Hyperlink"/>
            <w:sz w:val="20"/>
            <w:szCs w:val="20"/>
          </w:rPr>
          <w:t>709</w:t>
        </w:r>
      </w:hyperlink>
      <w:r w:rsidRPr="0056329F">
        <w:rPr>
          <w:sz w:val="20"/>
          <w:szCs w:val="20"/>
        </w:rPr>
        <w:t>)</w:t>
      </w:r>
    </w:p>
    <w:p w:rsidR="002926A4" w:rsidRPr="002926A4" w:rsidRDefault="002926A4" w:rsidP="002926A4">
      <w:pPr>
        <w:ind w:left="360" w:hanging="360"/>
        <w:jc w:val="both"/>
        <w:rPr>
          <w:sz w:val="20"/>
          <w:lang w:val="en-CA"/>
        </w:rPr>
      </w:pPr>
    </w:p>
    <w:p w:rsidR="002926A4" w:rsidRPr="002926A4" w:rsidRDefault="002926A4" w:rsidP="002926A4">
      <w:pPr>
        <w:pStyle w:val="SCCAppellantInfoAppellantInfo"/>
        <w:numPr>
          <w:ilvl w:val="0"/>
          <w:numId w:val="9"/>
        </w:numPr>
        <w:ind w:left="360"/>
        <w:rPr>
          <w:sz w:val="20"/>
          <w:szCs w:val="20"/>
        </w:rPr>
      </w:pPr>
      <w:r w:rsidRPr="002926A4">
        <w:rPr>
          <w:i/>
          <w:sz w:val="20"/>
          <w:szCs w:val="20"/>
        </w:rPr>
        <w:t>Her Majesty the Queen v. Christopher Husbands</w:t>
      </w:r>
      <w:r w:rsidRPr="002926A4">
        <w:rPr>
          <w:sz w:val="20"/>
          <w:szCs w:val="20"/>
        </w:rPr>
        <w:t xml:space="preserve"> (Ont.) (Criminal) (By Leave)</w:t>
      </w:r>
      <w:r>
        <w:rPr>
          <w:sz w:val="20"/>
          <w:szCs w:val="20"/>
        </w:rPr>
        <w:t xml:space="preserve"> </w:t>
      </w:r>
      <w:r w:rsidRPr="0056329F">
        <w:rPr>
          <w:sz w:val="20"/>
          <w:szCs w:val="20"/>
        </w:rPr>
        <w:t>(</w:t>
      </w:r>
      <w:hyperlink r:id="rId12" w:history="1">
        <w:r w:rsidRPr="0056329F">
          <w:rPr>
            <w:rStyle w:val="Hyperlink"/>
            <w:sz w:val="20"/>
            <w:szCs w:val="20"/>
          </w:rPr>
          <w:t>37</w:t>
        </w:r>
        <w:r w:rsidR="0015754D">
          <w:rPr>
            <w:rStyle w:val="Hyperlink"/>
            <w:sz w:val="20"/>
            <w:szCs w:val="20"/>
          </w:rPr>
          <w:t>76</w:t>
        </w:r>
        <w:r w:rsidRPr="0056329F">
          <w:rPr>
            <w:rStyle w:val="Hyperlink"/>
            <w:sz w:val="20"/>
            <w:szCs w:val="20"/>
          </w:rPr>
          <w:t>6</w:t>
        </w:r>
      </w:hyperlink>
      <w:r w:rsidRPr="0056329F">
        <w:rPr>
          <w:sz w:val="20"/>
          <w:szCs w:val="20"/>
        </w:rPr>
        <w:t>)</w:t>
      </w:r>
    </w:p>
    <w:p w:rsidR="002926A4" w:rsidRPr="002926A4" w:rsidRDefault="002926A4" w:rsidP="002926A4">
      <w:pPr>
        <w:ind w:left="360" w:hanging="360"/>
        <w:rPr>
          <w:sz w:val="20"/>
          <w:lang w:val="en-CA"/>
        </w:rPr>
      </w:pPr>
    </w:p>
    <w:p w:rsidR="002926A4" w:rsidRPr="002926A4" w:rsidRDefault="002926A4" w:rsidP="002926A4">
      <w:pPr>
        <w:pStyle w:val="SCCAppellantInfoAppellantInfo"/>
        <w:numPr>
          <w:ilvl w:val="0"/>
          <w:numId w:val="9"/>
        </w:numPr>
        <w:ind w:left="360"/>
        <w:rPr>
          <w:sz w:val="20"/>
          <w:szCs w:val="20"/>
        </w:rPr>
      </w:pPr>
      <w:r w:rsidRPr="002926A4">
        <w:rPr>
          <w:i/>
          <w:sz w:val="20"/>
          <w:szCs w:val="20"/>
        </w:rPr>
        <w:t>E. Jo-Anne Lanigan v. Prince Edward Island Teachers' Federation</w:t>
      </w:r>
      <w:r w:rsidRPr="002926A4">
        <w:rPr>
          <w:sz w:val="20"/>
          <w:szCs w:val="20"/>
        </w:rPr>
        <w:t xml:space="preserve"> (P.E.I.) (Civil) (By </w:t>
      </w:r>
      <w:r w:rsidRPr="002926A4">
        <w:rPr>
          <w:sz w:val="20"/>
          <w:szCs w:val="20"/>
        </w:rPr>
        <w:t>Leave)</w:t>
      </w:r>
      <w:r>
        <w:rPr>
          <w:sz w:val="20"/>
          <w:szCs w:val="20"/>
        </w:rPr>
        <w:t xml:space="preserve"> </w:t>
      </w:r>
      <w:r w:rsidRPr="0056329F">
        <w:rPr>
          <w:sz w:val="20"/>
          <w:szCs w:val="20"/>
        </w:rPr>
        <w:t>(</w:t>
      </w:r>
      <w:hyperlink r:id="rId13" w:history="1">
        <w:r w:rsidRPr="0056329F">
          <w:rPr>
            <w:rStyle w:val="Hyperlink"/>
            <w:sz w:val="20"/>
            <w:szCs w:val="20"/>
          </w:rPr>
          <w:t>37</w:t>
        </w:r>
        <w:r w:rsidR="00681B55">
          <w:rPr>
            <w:rStyle w:val="Hyperlink"/>
            <w:sz w:val="20"/>
            <w:szCs w:val="20"/>
          </w:rPr>
          <w:t>717</w:t>
        </w:r>
      </w:hyperlink>
      <w:r w:rsidRPr="0056329F">
        <w:rPr>
          <w:sz w:val="20"/>
          <w:szCs w:val="20"/>
        </w:rPr>
        <w:t>)</w:t>
      </w:r>
    </w:p>
    <w:p w:rsidR="00F840B9" w:rsidRPr="002926A4" w:rsidRDefault="00F840B9" w:rsidP="002926A4">
      <w:pPr>
        <w:ind w:left="360" w:hanging="360"/>
        <w:jc w:val="both"/>
        <w:rPr>
          <w:sz w:val="20"/>
        </w:rPr>
      </w:pPr>
    </w:p>
    <w:p w:rsidR="002926A4" w:rsidRPr="002926A4" w:rsidRDefault="002926A4" w:rsidP="002926A4">
      <w:pPr>
        <w:pStyle w:val="ListParagraph"/>
        <w:numPr>
          <w:ilvl w:val="0"/>
          <w:numId w:val="9"/>
        </w:numPr>
        <w:ind w:left="360"/>
        <w:jc w:val="both"/>
        <w:rPr>
          <w:sz w:val="20"/>
          <w:szCs w:val="20"/>
          <w:lang w:val="en-CA"/>
        </w:rPr>
      </w:pPr>
      <w:r w:rsidRPr="002926A4">
        <w:rPr>
          <w:i/>
          <w:sz w:val="20"/>
          <w:szCs w:val="20"/>
          <w:lang w:val="en-CA"/>
        </w:rPr>
        <w:t xml:space="preserve">J.W. and REO Law Corporation v. Attorney General of Canada et al. </w:t>
      </w:r>
      <w:r w:rsidRPr="002926A4">
        <w:rPr>
          <w:sz w:val="20"/>
          <w:szCs w:val="20"/>
          <w:lang w:val="en-CA"/>
        </w:rPr>
        <w:t>(Man.) (Civil) (By Leave)</w:t>
      </w:r>
      <w:r>
        <w:rPr>
          <w:sz w:val="20"/>
          <w:szCs w:val="20"/>
          <w:lang w:val="en-CA"/>
        </w:rPr>
        <w:t xml:space="preserve"> </w:t>
      </w:r>
      <w:r w:rsidRPr="0056329F">
        <w:rPr>
          <w:sz w:val="20"/>
          <w:szCs w:val="20"/>
          <w:lang w:val="en-CA"/>
        </w:rPr>
        <w:t>(</w:t>
      </w:r>
      <w:hyperlink r:id="rId14" w:history="1">
        <w:r w:rsidRPr="0056329F">
          <w:rPr>
            <w:rStyle w:val="Hyperlink"/>
            <w:sz w:val="20"/>
            <w:szCs w:val="20"/>
            <w:lang w:val="en-CA"/>
          </w:rPr>
          <w:t>37</w:t>
        </w:r>
        <w:r w:rsidR="00580185">
          <w:rPr>
            <w:rStyle w:val="Hyperlink"/>
            <w:sz w:val="20"/>
            <w:szCs w:val="20"/>
            <w:lang w:val="en-CA"/>
          </w:rPr>
          <w:t>725</w:t>
        </w:r>
      </w:hyperlink>
      <w:r w:rsidRPr="0056329F">
        <w:rPr>
          <w:sz w:val="20"/>
          <w:szCs w:val="20"/>
          <w:lang w:val="en-CA"/>
        </w:rPr>
        <w:t>)</w:t>
      </w:r>
    </w:p>
    <w:p w:rsidR="002926A4" w:rsidRPr="002926A4" w:rsidRDefault="002926A4" w:rsidP="002926A4">
      <w:pPr>
        <w:widowControl w:val="0"/>
        <w:ind w:left="360" w:hanging="360"/>
        <w:jc w:val="both"/>
        <w:rPr>
          <w:sz w:val="20"/>
          <w:lang w:val="en-CA"/>
        </w:rPr>
      </w:pPr>
    </w:p>
    <w:p w:rsidR="002926A4" w:rsidRPr="002926A4" w:rsidRDefault="002926A4" w:rsidP="002926A4">
      <w:pPr>
        <w:pStyle w:val="ListParagraph"/>
        <w:numPr>
          <w:ilvl w:val="0"/>
          <w:numId w:val="9"/>
        </w:numPr>
        <w:ind w:left="360"/>
        <w:jc w:val="both"/>
        <w:rPr>
          <w:sz w:val="20"/>
          <w:szCs w:val="20"/>
          <w:lang w:val="en-CA"/>
        </w:rPr>
      </w:pPr>
      <w:r w:rsidRPr="002926A4">
        <w:rPr>
          <w:i/>
          <w:sz w:val="20"/>
          <w:szCs w:val="20"/>
          <w:lang w:val="en-CA"/>
        </w:rPr>
        <w:t xml:space="preserve">Robert Lavigne v. Canadian Human Rights Commission et al. </w:t>
      </w:r>
      <w:r w:rsidRPr="002926A4">
        <w:rPr>
          <w:sz w:val="20"/>
          <w:szCs w:val="20"/>
          <w:lang w:val="en-CA"/>
        </w:rPr>
        <w:t>(F</w:t>
      </w:r>
      <w:r w:rsidR="00C40E5E">
        <w:rPr>
          <w:sz w:val="20"/>
          <w:szCs w:val="20"/>
          <w:lang w:val="en-CA"/>
        </w:rPr>
        <w:t>.</w:t>
      </w:r>
      <w:r w:rsidRPr="002926A4">
        <w:rPr>
          <w:sz w:val="20"/>
          <w:szCs w:val="20"/>
          <w:lang w:val="en-CA"/>
        </w:rPr>
        <w:t>C</w:t>
      </w:r>
      <w:r w:rsidR="00C40E5E">
        <w:rPr>
          <w:sz w:val="20"/>
          <w:szCs w:val="20"/>
          <w:lang w:val="en-CA"/>
        </w:rPr>
        <w:t>.</w:t>
      </w:r>
      <w:r w:rsidRPr="002926A4">
        <w:rPr>
          <w:sz w:val="20"/>
          <w:szCs w:val="20"/>
          <w:lang w:val="en-CA"/>
        </w:rPr>
        <w:t>) (Civil) (By Leave)</w:t>
      </w:r>
      <w:r>
        <w:rPr>
          <w:sz w:val="20"/>
          <w:szCs w:val="20"/>
          <w:lang w:val="en-CA"/>
        </w:rPr>
        <w:t xml:space="preserve"> </w:t>
      </w:r>
      <w:r w:rsidRPr="0056329F">
        <w:rPr>
          <w:sz w:val="20"/>
          <w:szCs w:val="20"/>
          <w:lang w:val="en-CA"/>
        </w:rPr>
        <w:t>(</w:t>
      </w:r>
      <w:hyperlink r:id="rId15" w:history="1">
        <w:r w:rsidRPr="0056329F">
          <w:rPr>
            <w:rStyle w:val="Hyperlink"/>
            <w:sz w:val="20"/>
            <w:szCs w:val="20"/>
            <w:lang w:val="en-CA"/>
          </w:rPr>
          <w:t>37</w:t>
        </w:r>
        <w:r w:rsidR="00C40E5E">
          <w:rPr>
            <w:rStyle w:val="Hyperlink"/>
            <w:sz w:val="20"/>
            <w:szCs w:val="20"/>
            <w:lang w:val="en-CA"/>
          </w:rPr>
          <w:t>73</w:t>
        </w:r>
        <w:r w:rsidRPr="0056329F">
          <w:rPr>
            <w:rStyle w:val="Hyperlink"/>
            <w:sz w:val="20"/>
            <w:szCs w:val="20"/>
            <w:lang w:val="en-CA"/>
          </w:rPr>
          <w:t>8</w:t>
        </w:r>
      </w:hyperlink>
      <w:r w:rsidRPr="0056329F">
        <w:rPr>
          <w:sz w:val="20"/>
          <w:szCs w:val="20"/>
          <w:lang w:val="en-CA"/>
        </w:rPr>
        <w:t>)</w:t>
      </w:r>
    </w:p>
    <w:p w:rsidR="002926A4" w:rsidRPr="002926A4" w:rsidRDefault="002926A4" w:rsidP="002926A4">
      <w:pPr>
        <w:widowControl w:val="0"/>
        <w:ind w:left="360" w:hanging="360"/>
        <w:jc w:val="both"/>
        <w:rPr>
          <w:sz w:val="20"/>
          <w:lang w:val="en-CA"/>
        </w:rPr>
      </w:pPr>
    </w:p>
    <w:p w:rsidR="002926A4" w:rsidRPr="002926A4" w:rsidRDefault="002926A4" w:rsidP="002926A4">
      <w:pPr>
        <w:pStyle w:val="ListParagraph"/>
        <w:numPr>
          <w:ilvl w:val="0"/>
          <w:numId w:val="9"/>
        </w:numPr>
        <w:ind w:left="360"/>
        <w:jc w:val="both"/>
        <w:rPr>
          <w:sz w:val="20"/>
          <w:szCs w:val="20"/>
          <w:lang w:val="en-CA"/>
        </w:rPr>
      </w:pPr>
      <w:r w:rsidRPr="002926A4">
        <w:rPr>
          <w:i/>
          <w:sz w:val="20"/>
          <w:szCs w:val="20"/>
          <w:lang w:val="en-CA"/>
        </w:rPr>
        <w:t xml:space="preserve">Julia A. Gagnon et al. v. City of Greater Sudbury et al. </w:t>
      </w:r>
      <w:r w:rsidRPr="002926A4">
        <w:rPr>
          <w:sz w:val="20"/>
          <w:szCs w:val="20"/>
          <w:lang w:val="en-CA"/>
        </w:rPr>
        <w:t>(Ont.) (Civil) (By Leave)</w:t>
      </w:r>
      <w:r>
        <w:rPr>
          <w:sz w:val="20"/>
          <w:szCs w:val="20"/>
          <w:lang w:val="en-CA"/>
        </w:rPr>
        <w:t xml:space="preserve"> </w:t>
      </w:r>
      <w:r w:rsidRPr="0056329F">
        <w:rPr>
          <w:sz w:val="20"/>
          <w:szCs w:val="20"/>
          <w:lang w:val="en-CA"/>
        </w:rPr>
        <w:t>(</w:t>
      </w:r>
      <w:hyperlink r:id="rId16" w:history="1">
        <w:r w:rsidRPr="0056329F">
          <w:rPr>
            <w:rStyle w:val="Hyperlink"/>
            <w:sz w:val="20"/>
            <w:szCs w:val="20"/>
            <w:lang w:val="en-CA"/>
          </w:rPr>
          <w:t>376</w:t>
        </w:r>
        <w:r w:rsidR="003F3D76">
          <w:rPr>
            <w:rStyle w:val="Hyperlink"/>
            <w:sz w:val="20"/>
            <w:szCs w:val="20"/>
            <w:lang w:val="en-CA"/>
          </w:rPr>
          <w:t>92</w:t>
        </w:r>
      </w:hyperlink>
      <w:r w:rsidRPr="0056329F">
        <w:rPr>
          <w:sz w:val="20"/>
          <w:szCs w:val="20"/>
          <w:lang w:val="en-CA"/>
        </w:rPr>
        <w:t>)</w:t>
      </w:r>
    </w:p>
    <w:p w:rsidR="002926A4" w:rsidRPr="002926A4" w:rsidRDefault="002926A4" w:rsidP="002926A4">
      <w:pPr>
        <w:widowControl w:val="0"/>
        <w:ind w:left="360" w:hanging="360"/>
        <w:jc w:val="both"/>
        <w:rPr>
          <w:sz w:val="20"/>
          <w:lang w:val="en-CA"/>
        </w:rPr>
      </w:pPr>
    </w:p>
    <w:p w:rsidR="002926A4" w:rsidRPr="002926A4" w:rsidRDefault="002926A4" w:rsidP="002926A4">
      <w:pPr>
        <w:pStyle w:val="ListParagraph"/>
        <w:numPr>
          <w:ilvl w:val="0"/>
          <w:numId w:val="9"/>
        </w:numPr>
        <w:ind w:left="360"/>
        <w:jc w:val="both"/>
        <w:rPr>
          <w:sz w:val="20"/>
          <w:szCs w:val="20"/>
          <w:lang w:val="en-CA"/>
        </w:rPr>
      </w:pPr>
      <w:r w:rsidRPr="002926A4">
        <w:rPr>
          <w:i/>
          <w:sz w:val="20"/>
          <w:szCs w:val="20"/>
          <w:lang w:val="en-CA"/>
        </w:rPr>
        <w:t xml:space="preserve">John (Jackie) Vautour et al. v. Her Majesty the Queen </w:t>
      </w:r>
      <w:r w:rsidRPr="002926A4">
        <w:rPr>
          <w:sz w:val="20"/>
          <w:szCs w:val="20"/>
          <w:lang w:val="en-CA"/>
        </w:rPr>
        <w:t>(N.B.) (Civil) (By Leave)</w:t>
      </w:r>
      <w:r>
        <w:rPr>
          <w:sz w:val="20"/>
          <w:szCs w:val="20"/>
          <w:lang w:val="en-CA"/>
        </w:rPr>
        <w:t xml:space="preserve"> </w:t>
      </w:r>
      <w:r w:rsidRPr="0056329F">
        <w:rPr>
          <w:sz w:val="20"/>
          <w:szCs w:val="20"/>
          <w:lang w:val="en-CA"/>
        </w:rPr>
        <w:t>(</w:t>
      </w:r>
      <w:hyperlink r:id="rId17" w:history="1">
        <w:r w:rsidRPr="0056329F">
          <w:rPr>
            <w:rStyle w:val="Hyperlink"/>
            <w:sz w:val="20"/>
            <w:szCs w:val="20"/>
            <w:lang w:val="en-CA"/>
          </w:rPr>
          <w:t>376</w:t>
        </w:r>
        <w:r w:rsidR="0007424A">
          <w:rPr>
            <w:rStyle w:val="Hyperlink"/>
            <w:sz w:val="20"/>
            <w:szCs w:val="20"/>
            <w:lang w:val="en-CA"/>
          </w:rPr>
          <w:t>81</w:t>
        </w:r>
      </w:hyperlink>
      <w:r w:rsidRPr="0056329F">
        <w:rPr>
          <w:sz w:val="20"/>
          <w:szCs w:val="20"/>
          <w:lang w:val="en-CA"/>
        </w:rPr>
        <w:t>)</w:t>
      </w:r>
    </w:p>
    <w:p w:rsidR="00D660C7" w:rsidRDefault="00D660C7" w:rsidP="00957A1E">
      <w:pPr>
        <w:jc w:val="both"/>
        <w:rPr>
          <w:sz w:val="20"/>
        </w:rPr>
      </w:pPr>
    </w:p>
    <w:p w:rsidR="009021BE" w:rsidRDefault="009021BE" w:rsidP="00957A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21BE" w:rsidRPr="009021BE" w:rsidTr="00E95A6A">
        <w:tc>
          <w:tcPr>
            <w:tcW w:w="543" w:type="pct"/>
          </w:tcPr>
          <w:p w:rsidR="009021BE" w:rsidRPr="009021BE" w:rsidRDefault="009021BE" w:rsidP="009021BE">
            <w:pPr>
              <w:jc w:val="both"/>
              <w:rPr>
                <w:sz w:val="20"/>
                <w:lang w:val="en-CA"/>
              </w:rPr>
            </w:pPr>
            <w:r w:rsidRPr="009021BE">
              <w:rPr>
                <w:rStyle w:val="SCCFileNumberChar"/>
                <w:sz w:val="20"/>
                <w:szCs w:val="20"/>
              </w:rPr>
              <w:t>37723</w:t>
            </w:r>
          </w:p>
        </w:tc>
        <w:tc>
          <w:tcPr>
            <w:tcW w:w="4457" w:type="pct"/>
            <w:gridSpan w:val="3"/>
          </w:tcPr>
          <w:p w:rsidR="009021BE" w:rsidRPr="009021BE" w:rsidRDefault="009021BE" w:rsidP="009021BE">
            <w:pPr>
              <w:pStyle w:val="SCCLsocParty"/>
              <w:jc w:val="both"/>
              <w:rPr>
                <w:b/>
                <w:sz w:val="20"/>
                <w:szCs w:val="20"/>
                <w:lang w:val="en-CA"/>
              </w:rPr>
            </w:pPr>
            <w:r w:rsidRPr="009021BE">
              <w:rPr>
                <w:b/>
                <w:sz w:val="20"/>
                <w:szCs w:val="20"/>
                <w:lang w:val="en-CA"/>
              </w:rPr>
              <w:t>Claude Trépanier and Fédération des médecins spécialistes du Québec v. Yves Bolduc, in his capacity as Minister of Health and Social Services, and Attorney General of Quebec</w:t>
            </w:r>
          </w:p>
          <w:p w:rsidR="009021BE" w:rsidRPr="009021BE" w:rsidRDefault="009021BE" w:rsidP="009021BE">
            <w:pPr>
              <w:jc w:val="both"/>
              <w:rPr>
                <w:sz w:val="20"/>
                <w:lang w:val="en-CA"/>
              </w:rPr>
            </w:pPr>
            <w:r w:rsidRPr="009021BE">
              <w:rPr>
                <w:sz w:val="20"/>
                <w:lang w:val="en-CA"/>
              </w:rPr>
              <w:t>(Que.) (Civil) (By Leave)</w:t>
            </w:r>
          </w:p>
        </w:tc>
      </w:tr>
      <w:tr w:rsidR="009021BE" w:rsidRPr="009021BE" w:rsidTr="00E95A6A">
        <w:tc>
          <w:tcPr>
            <w:tcW w:w="5000" w:type="pct"/>
            <w:gridSpan w:val="4"/>
          </w:tcPr>
          <w:p w:rsidR="009021BE" w:rsidRPr="009021BE" w:rsidRDefault="009021BE" w:rsidP="009021BE">
            <w:pPr>
              <w:jc w:val="both"/>
              <w:rPr>
                <w:sz w:val="20"/>
                <w:lang w:val="en-CA"/>
              </w:rPr>
            </w:pPr>
            <w:r w:rsidRPr="009021BE">
              <w:rPr>
                <w:sz w:val="20"/>
                <w:lang w:val="en-CA"/>
              </w:rPr>
              <w:t xml:space="preserve">Charter of Rights — Freedom of association — Challenge to constitutional validity of legislative provisions preventing physicians participating in </w:t>
            </w:r>
            <w:r w:rsidRPr="009021BE">
              <w:rPr>
                <w:bCs/>
                <w:sz w:val="20"/>
                <w:lang w:val="en"/>
              </w:rPr>
              <w:t xml:space="preserve">Quebec Health Insurance Plan and physicians not </w:t>
            </w:r>
            <w:r w:rsidRPr="009021BE">
              <w:rPr>
                <w:bCs/>
                <w:sz w:val="20"/>
                <w:lang w:val="en-CA"/>
              </w:rPr>
              <w:t xml:space="preserve">participating in Plan from </w:t>
            </w:r>
            <w:r w:rsidRPr="009021BE">
              <w:rPr>
                <w:bCs/>
                <w:sz w:val="20"/>
                <w:lang w:val="en"/>
              </w:rPr>
              <w:t>practising together in same specialized medical centre</w:t>
            </w:r>
            <w:r w:rsidRPr="009021BE">
              <w:rPr>
                <w:sz w:val="20"/>
                <w:lang w:val="en-CA"/>
              </w:rPr>
              <w:t xml:space="preserve"> — Whether s. 333.3 AHSSS infringes freedom of association protected by s. 2(d) of </w:t>
            </w:r>
            <w:r w:rsidRPr="009021BE">
              <w:rPr>
                <w:i/>
                <w:sz w:val="20"/>
                <w:lang w:val="en-CA"/>
              </w:rPr>
              <w:t>Canadian Charter of Rights and Freedoms</w:t>
            </w:r>
            <w:r w:rsidRPr="009021BE">
              <w:rPr>
                <w:sz w:val="20"/>
                <w:lang w:val="en-CA"/>
              </w:rPr>
              <w:t xml:space="preserve"> and s. 3 of </w:t>
            </w:r>
            <w:r w:rsidRPr="009021BE">
              <w:rPr>
                <w:i/>
                <w:sz w:val="20"/>
                <w:lang w:val="en-CA"/>
              </w:rPr>
              <w:t>Charter of human rights and freedoms</w:t>
            </w:r>
            <w:r w:rsidRPr="009021BE">
              <w:rPr>
                <w:sz w:val="20"/>
                <w:lang w:val="en-CA"/>
              </w:rPr>
              <w:t>, CQLR, c. C</w:t>
            </w:r>
            <w:r w:rsidRPr="009021BE">
              <w:rPr>
                <w:sz w:val="20"/>
                <w:lang w:val="en-CA"/>
              </w:rPr>
              <w:noBreakHyphen/>
              <w:t xml:space="preserve">12 — If so, whether infringement justified under s. 1 of </w:t>
            </w:r>
            <w:r w:rsidRPr="009021BE">
              <w:rPr>
                <w:i/>
                <w:sz w:val="20"/>
                <w:lang w:val="en-CA"/>
              </w:rPr>
              <w:t>Canadian Charter of Rights and Freedoms</w:t>
            </w:r>
            <w:r w:rsidRPr="009021BE">
              <w:rPr>
                <w:sz w:val="20"/>
                <w:lang w:val="en-CA"/>
              </w:rPr>
              <w:t xml:space="preserve"> and s. 9.1 of </w:t>
            </w:r>
            <w:r w:rsidRPr="009021BE">
              <w:rPr>
                <w:i/>
                <w:sz w:val="20"/>
                <w:lang w:val="en-CA"/>
              </w:rPr>
              <w:t>Charter of human rights and freedoms</w:t>
            </w:r>
            <w:r w:rsidRPr="009021BE">
              <w:rPr>
                <w:sz w:val="20"/>
                <w:lang w:val="en-CA"/>
              </w:rPr>
              <w:t xml:space="preserve"> — If not, whether invalidity of s. 333.3 AHSSS results in total or partial invalidity of ss. 333.1 and 333.6 AHSSS, ss. 34 and 35 of </w:t>
            </w:r>
            <w:r w:rsidRPr="009021BE">
              <w:rPr>
                <w:i/>
                <w:sz w:val="20"/>
                <w:lang w:val="en"/>
              </w:rPr>
              <w:t>An Act to amend various legislative provisions concerning specialized medical centres and medical imaging laboratories</w:t>
            </w:r>
            <w:r w:rsidRPr="009021BE">
              <w:rPr>
                <w:sz w:val="20"/>
                <w:lang w:val="en-CA"/>
              </w:rPr>
              <w:t xml:space="preserve">, S.Q. 2009, c. 29, and s. 3 of </w:t>
            </w:r>
            <w:r w:rsidRPr="009021BE">
              <w:rPr>
                <w:i/>
                <w:sz w:val="20"/>
                <w:lang w:val="en"/>
              </w:rPr>
              <w:t>Regulation respecting the specialized medical treatments provided in a specialized medical centre</w:t>
            </w:r>
            <w:r w:rsidRPr="009021BE">
              <w:rPr>
                <w:sz w:val="20"/>
                <w:lang w:val="en-CA"/>
              </w:rPr>
              <w:t>, CQLR, c. S</w:t>
            </w:r>
            <w:r w:rsidRPr="009021BE">
              <w:rPr>
                <w:sz w:val="20"/>
                <w:lang w:val="en-CA"/>
              </w:rPr>
              <w:noBreakHyphen/>
              <w:t>4.2, r. 25.</w:t>
            </w:r>
          </w:p>
        </w:tc>
      </w:tr>
      <w:tr w:rsidR="009021BE" w:rsidRPr="009021BE" w:rsidTr="00E95A6A">
        <w:tc>
          <w:tcPr>
            <w:tcW w:w="5000" w:type="pct"/>
            <w:gridSpan w:val="4"/>
          </w:tcPr>
          <w:p w:rsidR="009021BE" w:rsidRPr="009021BE" w:rsidRDefault="009021BE" w:rsidP="009021BE">
            <w:pPr>
              <w:jc w:val="both"/>
              <w:rPr>
                <w:sz w:val="20"/>
                <w:lang w:val="en-CA"/>
              </w:rPr>
            </w:pPr>
          </w:p>
        </w:tc>
      </w:tr>
      <w:tr w:rsidR="009021BE" w:rsidRPr="009021BE" w:rsidTr="00E95A6A">
        <w:tc>
          <w:tcPr>
            <w:tcW w:w="5000" w:type="pct"/>
            <w:gridSpan w:val="4"/>
          </w:tcPr>
          <w:p w:rsidR="009021BE" w:rsidRPr="009021BE" w:rsidRDefault="009021BE" w:rsidP="009021BE">
            <w:pPr>
              <w:jc w:val="both"/>
              <w:rPr>
                <w:sz w:val="20"/>
                <w:lang w:val="en-CA"/>
              </w:rPr>
            </w:pPr>
            <w:r w:rsidRPr="009021BE">
              <w:rPr>
                <w:sz w:val="20"/>
                <w:lang w:val="en-CA"/>
              </w:rPr>
              <w:t xml:space="preserve">To comply with the directions given by the Supreme Court in </w:t>
            </w:r>
            <w:r w:rsidRPr="009021BE">
              <w:rPr>
                <w:i/>
                <w:sz w:val="20"/>
                <w:lang w:val="en-CA"/>
              </w:rPr>
              <w:t>Chaoulli v. Quebec (Attorney General)</w:t>
            </w:r>
            <w:r w:rsidRPr="009021BE">
              <w:rPr>
                <w:sz w:val="20"/>
                <w:lang w:val="en-CA"/>
              </w:rPr>
              <w:t xml:space="preserve">, [2005] 1 S.C.R. 791, requiring the Quebec government to lift the statutory prohibition against private insurance for health care insured by the public sector, the National Assembly of Quebec passed amending legislation between 2006 and 2009 that introduced into the </w:t>
            </w:r>
            <w:r w:rsidRPr="009021BE">
              <w:rPr>
                <w:i/>
                <w:sz w:val="20"/>
                <w:lang w:val="en"/>
              </w:rPr>
              <w:t>Act respecting health services and social services</w:t>
            </w:r>
            <w:r w:rsidRPr="009021BE">
              <w:rPr>
                <w:sz w:val="20"/>
                <w:lang w:val="en-CA"/>
              </w:rPr>
              <w:t>, CQLR, c. S</w:t>
            </w:r>
            <w:r w:rsidRPr="009021BE">
              <w:rPr>
                <w:sz w:val="20"/>
                <w:lang w:val="en-CA"/>
              </w:rPr>
              <w:noBreakHyphen/>
              <w:t>4.2 (AHSSS), a legal regime determining where physicians can provide certain specialized medical treatments outside institutions in the health network. Under s. 333.3 AHSSS, which sets out the manner in which a specialized medical centre may operate, services must be provided either under the Quebec Health Insurance Plan, and thus by participating physicians, or outside that plan, and thus by non</w:t>
            </w:r>
            <w:r w:rsidRPr="009021BE">
              <w:rPr>
                <w:sz w:val="20"/>
                <w:lang w:val="en-CA"/>
              </w:rPr>
              <w:noBreakHyphen/>
              <w:t>participating physicians. The applicants, Dr. Claude Trépanier, president of the Association des anesthésiologistes du Québec, and the Fédération des médecins spécialistes du Québec, challenged the constitutional validity of these legislative provisions preventing participating and non</w:t>
            </w:r>
            <w:r w:rsidRPr="009021BE">
              <w:rPr>
                <w:sz w:val="20"/>
                <w:lang w:val="en-CA"/>
              </w:rPr>
              <w:noBreakHyphen/>
              <w:t xml:space="preserve">participating physicians from practising together in the same specialized medical centre. They argued that the provisions infringe the freedom of association protected by s. 2(d) of the </w:t>
            </w:r>
            <w:r w:rsidRPr="009021BE">
              <w:rPr>
                <w:i/>
                <w:sz w:val="20"/>
                <w:lang w:val="en-CA"/>
              </w:rPr>
              <w:t>Canadian Charter of Rights and Freedoms</w:t>
            </w:r>
            <w:r w:rsidRPr="009021BE">
              <w:rPr>
                <w:sz w:val="20"/>
                <w:lang w:val="en-CA"/>
              </w:rPr>
              <w:t xml:space="preserve"> and s. 3 of the </w:t>
            </w:r>
            <w:r w:rsidRPr="009021BE">
              <w:rPr>
                <w:i/>
                <w:sz w:val="20"/>
                <w:lang w:val="en-CA"/>
              </w:rPr>
              <w:t>Charter of human rights and freedoms</w:t>
            </w:r>
            <w:r w:rsidRPr="009021BE">
              <w:rPr>
                <w:sz w:val="20"/>
                <w:lang w:val="en-CA"/>
              </w:rPr>
              <w:t>, CQLR, c. C</w:t>
            </w:r>
            <w:r w:rsidRPr="009021BE">
              <w:rPr>
                <w:sz w:val="20"/>
                <w:lang w:val="en-CA"/>
              </w:rPr>
              <w:noBreakHyphen/>
              <w:t>12.</w:t>
            </w:r>
          </w:p>
          <w:p w:rsidR="009021BE" w:rsidRPr="009021BE" w:rsidRDefault="009021BE" w:rsidP="009021BE">
            <w:pPr>
              <w:jc w:val="both"/>
              <w:rPr>
                <w:sz w:val="20"/>
                <w:lang w:val="en-CA"/>
              </w:rPr>
            </w:pPr>
          </w:p>
        </w:tc>
      </w:tr>
      <w:tr w:rsidR="009021BE" w:rsidRPr="009021BE" w:rsidTr="00E95A6A">
        <w:tc>
          <w:tcPr>
            <w:tcW w:w="2427" w:type="pct"/>
            <w:gridSpan w:val="2"/>
          </w:tcPr>
          <w:p w:rsidR="009021BE" w:rsidRPr="009021BE" w:rsidRDefault="009021BE" w:rsidP="009021BE">
            <w:pPr>
              <w:jc w:val="both"/>
              <w:rPr>
                <w:sz w:val="20"/>
                <w:lang w:val="en-CA"/>
              </w:rPr>
            </w:pPr>
            <w:r w:rsidRPr="009021BE">
              <w:rPr>
                <w:sz w:val="20"/>
                <w:lang w:val="en-CA"/>
              </w:rPr>
              <w:t>June 16, 2015</w:t>
            </w:r>
          </w:p>
          <w:p w:rsidR="009021BE" w:rsidRPr="009021BE" w:rsidRDefault="009021BE" w:rsidP="009021BE">
            <w:pPr>
              <w:jc w:val="both"/>
              <w:rPr>
                <w:sz w:val="20"/>
                <w:lang w:val="en-CA"/>
              </w:rPr>
            </w:pPr>
            <w:r w:rsidRPr="009021BE">
              <w:rPr>
                <w:sz w:val="20"/>
                <w:lang w:val="en-CA"/>
              </w:rPr>
              <w:t>Quebec Superior Court</w:t>
            </w:r>
          </w:p>
          <w:p w:rsidR="009021BE" w:rsidRPr="009021BE" w:rsidRDefault="009021BE" w:rsidP="009021BE">
            <w:pPr>
              <w:jc w:val="both"/>
              <w:rPr>
                <w:sz w:val="20"/>
                <w:lang w:val="en-CA"/>
              </w:rPr>
            </w:pPr>
            <w:r w:rsidRPr="009021BE">
              <w:rPr>
                <w:sz w:val="20"/>
                <w:lang w:val="en-CA"/>
              </w:rPr>
              <w:t>(Courville J.)</w:t>
            </w:r>
          </w:p>
          <w:p w:rsidR="009021BE" w:rsidRPr="009021BE" w:rsidRDefault="009021BE" w:rsidP="009021BE">
            <w:pPr>
              <w:jc w:val="both"/>
              <w:rPr>
                <w:sz w:val="20"/>
                <w:lang w:val="en-CA"/>
              </w:rPr>
            </w:pPr>
            <w:hyperlink r:id="rId18" w:history="1">
              <w:r w:rsidRPr="009021BE">
                <w:rPr>
                  <w:rStyle w:val="Hyperlink"/>
                  <w:sz w:val="20"/>
                  <w:lang w:val="en-CA"/>
                </w:rPr>
                <w:t>2015 QCCS 2680</w:t>
              </w:r>
            </w:hyperlink>
          </w:p>
          <w:p w:rsidR="009021BE" w:rsidRPr="009021BE" w:rsidRDefault="009021BE" w:rsidP="009021BE">
            <w:pPr>
              <w:jc w:val="both"/>
              <w:rPr>
                <w:sz w:val="20"/>
                <w:lang w:val="en-CA"/>
              </w:rPr>
            </w:pPr>
          </w:p>
        </w:tc>
        <w:tc>
          <w:tcPr>
            <w:tcW w:w="243" w:type="pct"/>
          </w:tcPr>
          <w:p w:rsidR="009021BE" w:rsidRPr="009021BE" w:rsidRDefault="009021BE" w:rsidP="009021BE">
            <w:pPr>
              <w:jc w:val="both"/>
              <w:rPr>
                <w:sz w:val="20"/>
                <w:lang w:val="en-CA"/>
              </w:rPr>
            </w:pPr>
          </w:p>
        </w:tc>
        <w:tc>
          <w:tcPr>
            <w:tcW w:w="2330" w:type="pct"/>
          </w:tcPr>
          <w:p w:rsidR="009021BE" w:rsidRPr="009021BE" w:rsidRDefault="009021BE" w:rsidP="009021BE">
            <w:pPr>
              <w:jc w:val="both"/>
              <w:rPr>
                <w:sz w:val="20"/>
                <w:lang w:val="en-CA"/>
              </w:rPr>
            </w:pPr>
            <w:r w:rsidRPr="009021BE">
              <w:rPr>
                <w:sz w:val="20"/>
                <w:lang w:val="en-CA"/>
              </w:rPr>
              <w:t>Motion to institute proceedings for declaration of nullity of legislative provisions dismissed</w:t>
            </w:r>
          </w:p>
          <w:p w:rsidR="009021BE" w:rsidRPr="009021BE" w:rsidRDefault="009021BE" w:rsidP="009021BE">
            <w:pPr>
              <w:jc w:val="both"/>
              <w:rPr>
                <w:sz w:val="20"/>
                <w:lang w:val="en-CA"/>
              </w:rPr>
            </w:pPr>
          </w:p>
        </w:tc>
      </w:tr>
      <w:tr w:rsidR="009021BE" w:rsidRPr="009021BE" w:rsidTr="00E95A6A">
        <w:tc>
          <w:tcPr>
            <w:tcW w:w="2427" w:type="pct"/>
            <w:gridSpan w:val="2"/>
          </w:tcPr>
          <w:p w:rsidR="009021BE" w:rsidRPr="009021BE" w:rsidRDefault="009021BE" w:rsidP="009021BE">
            <w:pPr>
              <w:jc w:val="both"/>
              <w:rPr>
                <w:sz w:val="20"/>
                <w:lang w:val="en-CA"/>
              </w:rPr>
            </w:pPr>
            <w:r w:rsidRPr="009021BE">
              <w:rPr>
                <w:sz w:val="20"/>
                <w:lang w:val="en-CA"/>
              </w:rPr>
              <w:t>June 1, 2017</w:t>
            </w:r>
          </w:p>
          <w:p w:rsidR="009021BE" w:rsidRPr="009021BE" w:rsidRDefault="009021BE" w:rsidP="009021BE">
            <w:pPr>
              <w:jc w:val="both"/>
              <w:rPr>
                <w:sz w:val="20"/>
                <w:lang w:val="en-CA"/>
              </w:rPr>
            </w:pPr>
            <w:r w:rsidRPr="009021BE">
              <w:rPr>
                <w:sz w:val="20"/>
                <w:lang w:val="en-CA"/>
              </w:rPr>
              <w:t>Quebec Court of Appeal (Montréal)</w:t>
            </w:r>
          </w:p>
          <w:p w:rsidR="009021BE" w:rsidRPr="009021BE" w:rsidRDefault="009021BE" w:rsidP="009021BE">
            <w:pPr>
              <w:jc w:val="both"/>
              <w:rPr>
                <w:sz w:val="20"/>
                <w:lang w:val="en-CA"/>
              </w:rPr>
            </w:pPr>
            <w:r w:rsidRPr="009021BE">
              <w:rPr>
                <w:sz w:val="20"/>
                <w:lang w:val="en-CA"/>
              </w:rPr>
              <w:t>(Marcotte, Émond and Dumas JJ.A.)</w:t>
            </w:r>
          </w:p>
          <w:p w:rsidR="009021BE" w:rsidRPr="009021BE" w:rsidRDefault="009021BE" w:rsidP="009021BE">
            <w:pPr>
              <w:jc w:val="both"/>
              <w:rPr>
                <w:sz w:val="20"/>
                <w:lang w:val="en-CA"/>
              </w:rPr>
            </w:pPr>
            <w:hyperlink r:id="rId19" w:history="1">
              <w:r w:rsidRPr="009021BE">
                <w:rPr>
                  <w:rStyle w:val="Hyperlink"/>
                  <w:sz w:val="20"/>
                  <w:lang w:val="en-CA"/>
                </w:rPr>
                <w:t>2017 QCCA 860</w:t>
              </w:r>
            </w:hyperlink>
          </w:p>
          <w:p w:rsidR="009021BE" w:rsidRPr="009021BE" w:rsidRDefault="009021BE" w:rsidP="009021BE">
            <w:pPr>
              <w:jc w:val="both"/>
              <w:rPr>
                <w:sz w:val="20"/>
                <w:lang w:val="en-CA"/>
              </w:rPr>
            </w:pPr>
          </w:p>
        </w:tc>
        <w:tc>
          <w:tcPr>
            <w:tcW w:w="243" w:type="pct"/>
          </w:tcPr>
          <w:p w:rsidR="009021BE" w:rsidRPr="009021BE" w:rsidRDefault="009021BE" w:rsidP="009021BE">
            <w:pPr>
              <w:jc w:val="both"/>
              <w:rPr>
                <w:sz w:val="20"/>
                <w:lang w:val="en-CA"/>
              </w:rPr>
            </w:pPr>
          </w:p>
        </w:tc>
        <w:tc>
          <w:tcPr>
            <w:tcW w:w="2330" w:type="pct"/>
          </w:tcPr>
          <w:p w:rsidR="009021BE" w:rsidRPr="009021BE" w:rsidRDefault="009021BE" w:rsidP="009021BE">
            <w:pPr>
              <w:jc w:val="both"/>
              <w:rPr>
                <w:sz w:val="20"/>
                <w:lang w:val="en-CA"/>
              </w:rPr>
            </w:pPr>
            <w:r w:rsidRPr="009021BE">
              <w:rPr>
                <w:sz w:val="20"/>
                <w:lang w:val="en-CA"/>
              </w:rPr>
              <w:t xml:space="preserve">Appeal dismissed </w:t>
            </w:r>
          </w:p>
        </w:tc>
      </w:tr>
      <w:tr w:rsidR="009021BE" w:rsidRPr="009021BE" w:rsidTr="00E95A6A">
        <w:tc>
          <w:tcPr>
            <w:tcW w:w="2427" w:type="pct"/>
            <w:gridSpan w:val="2"/>
          </w:tcPr>
          <w:p w:rsidR="009021BE" w:rsidRPr="009021BE" w:rsidRDefault="009021BE" w:rsidP="009021BE">
            <w:pPr>
              <w:jc w:val="both"/>
              <w:rPr>
                <w:sz w:val="20"/>
                <w:lang w:val="en-CA"/>
              </w:rPr>
            </w:pPr>
            <w:r w:rsidRPr="009021BE">
              <w:rPr>
                <w:sz w:val="20"/>
                <w:lang w:val="en-CA"/>
              </w:rPr>
              <w:t>August 31, 2017</w:t>
            </w:r>
          </w:p>
          <w:p w:rsidR="009021BE" w:rsidRPr="009021BE" w:rsidRDefault="009021BE" w:rsidP="009021BE">
            <w:pPr>
              <w:jc w:val="both"/>
              <w:rPr>
                <w:sz w:val="20"/>
                <w:lang w:val="en-CA"/>
              </w:rPr>
            </w:pPr>
            <w:r w:rsidRPr="009021BE">
              <w:rPr>
                <w:sz w:val="20"/>
                <w:lang w:val="en-CA"/>
              </w:rPr>
              <w:t>Supreme Court of Canada</w:t>
            </w:r>
          </w:p>
        </w:tc>
        <w:tc>
          <w:tcPr>
            <w:tcW w:w="243" w:type="pct"/>
          </w:tcPr>
          <w:p w:rsidR="009021BE" w:rsidRPr="009021BE" w:rsidRDefault="009021BE" w:rsidP="009021BE">
            <w:pPr>
              <w:jc w:val="both"/>
              <w:rPr>
                <w:sz w:val="20"/>
                <w:lang w:val="en-CA"/>
              </w:rPr>
            </w:pPr>
          </w:p>
        </w:tc>
        <w:tc>
          <w:tcPr>
            <w:tcW w:w="2330" w:type="pct"/>
          </w:tcPr>
          <w:p w:rsidR="009021BE" w:rsidRPr="009021BE" w:rsidRDefault="009021BE" w:rsidP="009021BE">
            <w:pPr>
              <w:jc w:val="both"/>
              <w:rPr>
                <w:sz w:val="20"/>
                <w:lang w:val="en-CA"/>
              </w:rPr>
            </w:pPr>
            <w:r w:rsidRPr="009021BE">
              <w:rPr>
                <w:sz w:val="20"/>
                <w:lang w:val="en-CA"/>
              </w:rPr>
              <w:t>Application for leave to appeal filed</w:t>
            </w:r>
          </w:p>
          <w:p w:rsidR="009021BE" w:rsidRPr="009021BE" w:rsidRDefault="009021BE" w:rsidP="009021BE">
            <w:pPr>
              <w:jc w:val="both"/>
              <w:rPr>
                <w:sz w:val="20"/>
                <w:lang w:val="en-CA"/>
              </w:rPr>
            </w:pPr>
          </w:p>
        </w:tc>
      </w:tr>
    </w:tbl>
    <w:p w:rsidR="009021BE" w:rsidRDefault="009021BE" w:rsidP="009021BE">
      <w:pPr>
        <w:jc w:val="both"/>
        <w:rPr>
          <w:sz w:val="20"/>
          <w:lang w:val="en-CA"/>
        </w:rPr>
      </w:pPr>
    </w:p>
    <w:p w:rsidR="009021BE" w:rsidRPr="009021BE" w:rsidRDefault="009021BE" w:rsidP="009021B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21BE" w:rsidRPr="009021BE" w:rsidTr="00E95A6A">
        <w:tc>
          <w:tcPr>
            <w:tcW w:w="543" w:type="pct"/>
          </w:tcPr>
          <w:p w:rsidR="009021BE" w:rsidRPr="009021BE" w:rsidRDefault="009021BE" w:rsidP="009021BE">
            <w:pPr>
              <w:jc w:val="both"/>
              <w:rPr>
                <w:sz w:val="20"/>
              </w:rPr>
            </w:pPr>
            <w:r w:rsidRPr="009021BE">
              <w:rPr>
                <w:rStyle w:val="SCCFileNumberChar"/>
                <w:sz w:val="20"/>
                <w:szCs w:val="20"/>
              </w:rPr>
              <w:t>37723</w:t>
            </w:r>
          </w:p>
        </w:tc>
        <w:tc>
          <w:tcPr>
            <w:tcW w:w="4457" w:type="pct"/>
            <w:gridSpan w:val="3"/>
          </w:tcPr>
          <w:p w:rsidR="009021BE" w:rsidRPr="009021BE" w:rsidRDefault="009021BE" w:rsidP="009021BE">
            <w:pPr>
              <w:pStyle w:val="SCCLsocParty"/>
              <w:jc w:val="both"/>
              <w:rPr>
                <w:b/>
                <w:sz w:val="20"/>
                <w:szCs w:val="20"/>
              </w:rPr>
            </w:pPr>
            <w:r w:rsidRPr="009021BE">
              <w:rPr>
                <w:b/>
                <w:sz w:val="20"/>
                <w:szCs w:val="20"/>
              </w:rPr>
              <w:t xml:space="preserve">Claude </w:t>
            </w:r>
            <w:proofErr w:type="spellStart"/>
            <w:r w:rsidRPr="009021BE">
              <w:rPr>
                <w:b/>
                <w:sz w:val="20"/>
                <w:szCs w:val="20"/>
              </w:rPr>
              <w:t>Trépanier</w:t>
            </w:r>
            <w:proofErr w:type="spellEnd"/>
            <w:r w:rsidRPr="009021BE">
              <w:rPr>
                <w:b/>
                <w:sz w:val="20"/>
                <w:szCs w:val="20"/>
              </w:rPr>
              <w:t xml:space="preserve"> et Fédération des médecins spécialistes du Québec c. Yves Bolduc, en sa qualité de ministre de la santé et des services sociaux et Procureure générale du Québec</w:t>
            </w:r>
          </w:p>
          <w:p w:rsidR="009021BE" w:rsidRPr="009021BE" w:rsidRDefault="009021BE" w:rsidP="009021BE">
            <w:pPr>
              <w:jc w:val="both"/>
              <w:rPr>
                <w:sz w:val="20"/>
              </w:rPr>
            </w:pPr>
            <w:r w:rsidRPr="009021BE">
              <w:rPr>
                <w:sz w:val="20"/>
              </w:rPr>
              <w:t>(Qc) (Civile) (Autorisation)</w:t>
            </w:r>
          </w:p>
        </w:tc>
      </w:tr>
      <w:tr w:rsidR="009021BE" w:rsidRPr="009021BE" w:rsidTr="00E95A6A">
        <w:tc>
          <w:tcPr>
            <w:tcW w:w="5000" w:type="pct"/>
            <w:gridSpan w:val="4"/>
          </w:tcPr>
          <w:p w:rsidR="009021BE" w:rsidRPr="009021BE" w:rsidRDefault="009021BE" w:rsidP="009021BE">
            <w:pPr>
              <w:jc w:val="both"/>
              <w:rPr>
                <w:sz w:val="20"/>
                <w:lang w:val="fr-CA"/>
              </w:rPr>
            </w:pPr>
            <w:r w:rsidRPr="009021BE">
              <w:rPr>
                <w:i/>
                <w:sz w:val="20"/>
                <w:lang w:val="fr-CA"/>
              </w:rPr>
              <w:t>Charte des droits</w:t>
            </w:r>
            <w:r w:rsidRPr="009021BE">
              <w:rPr>
                <w:sz w:val="20"/>
                <w:lang w:val="fr-CA"/>
              </w:rPr>
              <w:t xml:space="preserve"> — Liberté d’association — Contestation de la validité constitutionnelle des dispositions législatives empêchant les médecins participants et non participants au Régime d’assurance maladie du Québec de pratiquer ensemble dans un même centre médical spécialisé — L’art. 333.3 LSSSS contrevient-il à la liberté d’association protégée par l’art. 2d) de la </w:t>
            </w:r>
            <w:r w:rsidRPr="009021BE">
              <w:rPr>
                <w:i/>
                <w:sz w:val="20"/>
                <w:lang w:val="fr-CA"/>
              </w:rPr>
              <w:t>Charte canadienne des droits et libertés</w:t>
            </w:r>
            <w:r w:rsidRPr="009021BE">
              <w:rPr>
                <w:sz w:val="20"/>
                <w:lang w:val="fr-CA"/>
              </w:rPr>
              <w:t xml:space="preserve"> et par l’art. 3 de la </w:t>
            </w:r>
            <w:r w:rsidRPr="009021BE">
              <w:rPr>
                <w:i/>
                <w:sz w:val="20"/>
                <w:lang w:val="fr-CA"/>
              </w:rPr>
              <w:t>Charte des droits et libertés de la personne</w:t>
            </w:r>
            <w:r w:rsidRPr="009021BE">
              <w:rPr>
                <w:sz w:val="20"/>
                <w:lang w:val="fr-CA"/>
              </w:rPr>
              <w:t xml:space="preserve">, RLRQ, c. C-12? — Dans l’affirmative, l’atteinte est-elle justifiée en vertu de l’art. 1 de la </w:t>
            </w:r>
            <w:r w:rsidRPr="009021BE">
              <w:rPr>
                <w:i/>
                <w:sz w:val="20"/>
                <w:lang w:val="fr-CA"/>
              </w:rPr>
              <w:t>Charte canadienne des droits et libertés</w:t>
            </w:r>
            <w:r w:rsidRPr="009021BE">
              <w:rPr>
                <w:sz w:val="20"/>
                <w:lang w:val="fr-CA"/>
              </w:rPr>
              <w:t xml:space="preserve"> et de l’art. 9.1 de la </w:t>
            </w:r>
            <w:r w:rsidRPr="009021BE">
              <w:rPr>
                <w:i/>
                <w:sz w:val="20"/>
                <w:lang w:val="fr-CA"/>
              </w:rPr>
              <w:t>Charte des droits et libertés de la personne</w:t>
            </w:r>
            <w:r w:rsidRPr="009021BE">
              <w:rPr>
                <w:sz w:val="20"/>
                <w:lang w:val="fr-CA"/>
              </w:rPr>
              <w:t xml:space="preserve">? — Dans la négative, l’invalidité de l’art. 333.3 LSSSS entraine-t-elle l’invalidité, en tout ou en partie, des </w:t>
            </w:r>
            <w:proofErr w:type="gramStart"/>
            <w:r w:rsidRPr="009021BE">
              <w:rPr>
                <w:sz w:val="20"/>
                <w:lang w:val="fr-CA"/>
              </w:rPr>
              <w:t>art</w:t>
            </w:r>
            <w:proofErr w:type="gramEnd"/>
            <w:r w:rsidRPr="009021BE">
              <w:rPr>
                <w:sz w:val="20"/>
                <w:lang w:val="fr-CA"/>
              </w:rPr>
              <w:t xml:space="preserve">. 333.1 et 333.6 LSSSS, des </w:t>
            </w:r>
            <w:proofErr w:type="gramStart"/>
            <w:r w:rsidRPr="009021BE">
              <w:rPr>
                <w:sz w:val="20"/>
                <w:lang w:val="fr-CA"/>
              </w:rPr>
              <w:t>art</w:t>
            </w:r>
            <w:proofErr w:type="gramEnd"/>
            <w:r w:rsidRPr="009021BE">
              <w:rPr>
                <w:sz w:val="20"/>
                <w:lang w:val="fr-CA"/>
              </w:rPr>
              <w:t xml:space="preserve">. 34 et 35 de la </w:t>
            </w:r>
            <w:r w:rsidRPr="009021BE">
              <w:rPr>
                <w:i/>
                <w:sz w:val="20"/>
                <w:lang w:val="fr-CA"/>
              </w:rPr>
              <w:t>Loi modifiant diverses dispositions législatives concernant les centres médicaux spécialisés et les laboratoires d’imagerie médicale générale</w:t>
            </w:r>
            <w:r w:rsidRPr="009021BE">
              <w:rPr>
                <w:sz w:val="20"/>
                <w:lang w:val="fr-CA"/>
              </w:rPr>
              <w:t xml:space="preserve">, L.Q. 2009 c. 29 et de l’art. 3 du </w:t>
            </w:r>
            <w:r w:rsidRPr="009021BE">
              <w:rPr>
                <w:i/>
                <w:sz w:val="20"/>
                <w:lang w:val="fr-CA"/>
              </w:rPr>
              <w:t>Règlement sur les traitements médicaux spécialisés dispensés dans un centre médical spécialisé</w:t>
            </w:r>
            <w:r w:rsidRPr="009021BE">
              <w:rPr>
                <w:sz w:val="20"/>
                <w:lang w:val="fr-CA"/>
              </w:rPr>
              <w:t>, RLRQ, c. S-4.2, r. 25?</w:t>
            </w:r>
          </w:p>
        </w:tc>
      </w:tr>
      <w:tr w:rsidR="009021BE" w:rsidRPr="009021BE" w:rsidTr="00E95A6A">
        <w:tc>
          <w:tcPr>
            <w:tcW w:w="5000" w:type="pct"/>
            <w:gridSpan w:val="4"/>
          </w:tcPr>
          <w:p w:rsidR="009021BE" w:rsidRPr="009021BE" w:rsidRDefault="009021BE" w:rsidP="009021BE">
            <w:pPr>
              <w:jc w:val="both"/>
              <w:rPr>
                <w:sz w:val="20"/>
                <w:lang w:val="fr-CA"/>
              </w:rPr>
            </w:pPr>
          </w:p>
        </w:tc>
      </w:tr>
      <w:tr w:rsidR="009021BE" w:rsidRPr="009021BE" w:rsidTr="00E95A6A">
        <w:tc>
          <w:tcPr>
            <w:tcW w:w="5000" w:type="pct"/>
            <w:gridSpan w:val="4"/>
          </w:tcPr>
          <w:p w:rsidR="009021BE" w:rsidRPr="009021BE" w:rsidRDefault="009021BE" w:rsidP="009021BE">
            <w:pPr>
              <w:jc w:val="both"/>
              <w:rPr>
                <w:sz w:val="20"/>
                <w:lang w:val="fr-CA"/>
              </w:rPr>
            </w:pPr>
            <w:r w:rsidRPr="009021BE">
              <w:rPr>
                <w:sz w:val="20"/>
                <w:lang w:val="fr-CA"/>
              </w:rPr>
              <w:t xml:space="preserve">Afin de répondre aux directives de la Cour suprême formulées dans l’arrêt </w:t>
            </w:r>
            <w:proofErr w:type="spellStart"/>
            <w:r w:rsidRPr="009021BE">
              <w:rPr>
                <w:i/>
                <w:sz w:val="20"/>
                <w:lang w:val="fr-CA"/>
              </w:rPr>
              <w:t>Chaoulli</w:t>
            </w:r>
            <w:proofErr w:type="spellEnd"/>
            <w:r w:rsidRPr="009021BE">
              <w:rPr>
                <w:i/>
                <w:sz w:val="20"/>
                <w:lang w:val="fr-CA"/>
              </w:rPr>
              <w:t xml:space="preserve"> c. Québec (Procureur général)</w:t>
            </w:r>
            <w:r w:rsidRPr="009021BE">
              <w:rPr>
                <w:sz w:val="20"/>
                <w:lang w:val="fr-CA"/>
              </w:rPr>
              <w:t xml:space="preserve">, [2005] 1 R.C.S. 791 enjoignant le gouvernement du Québec de lever l’interdiction légale de souscrire à une assurance privée pour obtenir des soins assurés par le secteur public, l’Assemblée nationale du Québec a adopté entre 2006 et 2009 des lois modificatives qui ont introduit à la </w:t>
            </w:r>
            <w:r w:rsidRPr="009021BE">
              <w:rPr>
                <w:i/>
                <w:sz w:val="20"/>
                <w:lang w:val="fr-CA"/>
              </w:rPr>
              <w:t>Loi sur les services de santé et les services sociaux</w:t>
            </w:r>
            <w:r w:rsidRPr="009021BE">
              <w:rPr>
                <w:sz w:val="20"/>
                <w:lang w:val="fr-CA"/>
              </w:rPr>
              <w:t xml:space="preserve">, RLRQ c. S-4.2 (LSSSS), un régime juridique qui détermine les endroits où les médecins peuvent effectuer certains traitements médicaux spécialisés en dehors des établissements du réseau de santé. Selon l’art. 333.3 LSSSS qui fixe les modalités d’exploitation d’un centre médical spécialisé, les services doivent être fournis soit dans le cadre du régime québécois d’assurance maladie et donc par des médecins participants ou en dehors de ce régime et donc par des médecins non participants. Les demandeurs, le Dr Claude </w:t>
            </w:r>
            <w:proofErr w:type="spellStart"/>
            <w:r w:rsidRPr="009021BE">
              <w:rPr>
                <w:sz w:val="20"/>
                <w:lang w:val="fr-CA"/>
              </w:rPr>
              <w:t>Trépanier</w:t>
            </w:r>
            <w:proofErr w:type="spellEnd"/>
            <w:r w:rsidRPr="009021BE">
              <w:rPr>
                <w:sz w:val="20"/>
                <w:lang w:val="fr-CA"/>
              </w:rPr>
              <w:t xml:space="preserve">, président de l’Association des anesthésiologistes du Québec et la Fédération des médecins spécialistes du Québec contestent la validité constitutionnelle de ces dispositions législatives qui empêchent les médecins participants et les médecins non participants de pratiquer ensemble dans un même centre médical spécialisé. Selon eux, ces dispositions représenteraient une violation de la liberté d’association protégée par les articles 2d) de la </w:t>
            </w:r>
            <w:r w:rsidRPr="009021BE">
              <w:rPr>
                <w:i/>
                <w:sz w:val="20"/>
                <w:lang w:val="fr-CA"/>
              </w:rPr>
              <w:t>Charte canadienne des droits et libertés</w:t>
            </w:r>
            <w:r w:rsidRPr="009021BE">
              <w:rPr>
                <w:sz w:val="20"/>
                <w:lang w:val="fr-CA"/>
              </w:rPr>
              <w:t xml:space="preserve"> et 3 de la </w:t>
            </w:r>
            <w:r w:rsidRPr="009021BE">
              <w:rPr>
                <w:i/>
                <w:sz w:val="20"/>
                <w:lang w:val="fr-CA"/>
              </w:rPr>
              <w:t>Charte des droits et libertés de la personne</w:t>
            </w:r>
            <w:r w:rsidRPr="009021BE">
              <w:rPr>
                <w:sz w:val="20"/>
                <w:lang w:val="fr-CA"/>
              </w:rPr>
              <w:t>, RLRQ, c. C-12.</w:t>
            </w:r>
          </w:p>
          <w:p w:rsidR="009021BE" w:rsidRPr="009021BE" w:rsidRDefault="009021BE" w:rsidP="009021BE">
            <w:pPr>
              <w:jc w:val="both"/>
              <w:rPr>
                <w:sz w:val="20"/>
                <w:lang w:val="fr-CA"/>
              </w:rPr>
            </w:pP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Le 16 juin 2015</w:t>
            </w:r>
          </w:p>
          <w:p w:rsidR="009021BE" w:rsidRPr="009021BE" w:rsidRDefault="009021BE" w:rsidP="009021BE">
            <w:pPr>
              <w:jc w:val="both"/>
              <w:rPr>
                <w:sz w:val="20"/>
                <w:lang w:val="fr-CA"/>
              </w:rPr>
            </w:pPr>
            <w:r w:rsidRPr="009021BE">
              <w:rPr>
                <w:sz w:val="20"/>
                <w:lang w:val="fr-CA"/>
              </w:rPr>
              <w:t>Cour supérieure du Québec</w:t>
            </w:r>
          </w:p>
          <w:p w:rsidR="009021BE" w:rsidRPr="009021BE" w:rsidRDefault="009021BE" w:rsidP="009021BE">
            <w:pPr>
              <w:jc w:val="both"/>
              <w:rPr>
                <w:sz w:val="20"/>
              </w:rPr>
            </w:pPr>
            <w:r w:rsidRPr="009021BE">
              <w:rPr>
                <w:sz w:val="20"/>
              </w:rPr>
              <w:t xml:space="preserve">(La </w:t>
            </w:r>
            <w:proofErr w:type="spellStart"/>
            <w:r w:rsidRPr="009021BE">
              <w:rPr>
                <w:sz w:val="20"/>
              </w:rPr>
              <w:t>juge</w:t>
            </w:r>
            <w:proofErr w:type="spellEnd"/>
            <w:r w:rsidRPr="009021BE">
              <w:rPr>
                <w:sz w:val="20"/>
              </w:rPr>
              <w:t xml:space="preserve"> </w:t>
            </w:r>
            <w:proofErr w:type="spellStart"/>
            <w:r w:rsidRPr="009021BE">
              <w:rPr>
                <w:sz w:val="20"/>
              </w:rPr>
              <w:t>Courville</w:t>
            </w:r>
            <w:proofErr w:type="spellEnd"/>
            <w:r w:rsidRPr="009021BE">
              <w:rPr>
                <w:sz w:val="20"/>
              </w:rPr>
              <w:t>)</w:t>
            </w:r>
          </w:p>
          <w:p w:rsidR="009021BE" w:rsidRPr="009021BE" w:rsidRDefault="009021BE" w:rsidP="009021BE">
            <w:pPr>
              <w:jc w:val="both"/>
              <w:rPr>
                <w:sz w:val="20"/>
              </w:rPr>
            </w:pPr>
            <w:hyperlink r:id="rId20" w:history="1">
              <w:r w:rsidRPr="009021BE">
                <w:rPr>
                  <w:rStyle w:val="Hyperlink"/>
                  <w:sz w:val="20"/>
                </w:rPr>
                <w:t>2015 QCCS 2680</w:t>
              </w:r>
            </w:hyperlink>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lang w:val="fr-CA"/>
              </w:rPr>
            </w:pPr>
            <w:r w:rsidRPr="009021BE">
              <w:rPr>
                <w:sz w:val="20"/>
                <w:lang w:val="fr-CA"/>
              </w:rPr>
              <w:t>Requête introductive d’instance en déclaration de nullité de dispositions législatives rejetée.</w:t>
            </w:r>
          </w:p>
          <w:p w:rsidR="009021BE" w:rsidRPr="009021BE" w:rsidRDefault="009021BE" w:rsidP="009021BE">
            <w:pPr>
              <w:jc w:val="both"/>
              <w:rPr>
                <w:sz w:val="20"/>
                <w:lang w:val="fr-CA"/>
              </w:rPr>
            </w:pP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Le 1</w:t>
            </w:r>
            <w:r w:rsidRPr="009021BE">
              <w:rPr>
                <w:sz w:val="20"/>
                <w:vertAlign w:val="superscript"/>
                <w:lang w:val="fr-CA"/>
              </w:rPr>
              <w:t>er</w:t>
            </w:r>
            <w:r w:rsidRPr="009021BE">
              <w:rPr>
                <w:sz w:val="20"/>
                <w:lang w:val="fr-CA"/>
              </w:rPr>
              <w:t xml:space="preserve"> juin 2017</w:t>
            </w:r>
          </w:p>
          <w:p w:rsidR="009021BE" w:rsidRPr="009021BE" w:rsidRDefault="009021BE" w:rsidP="009021BE">
            <w:pPr>
              <w:jc w:val="both"/>
              <w:rPr>
                <w:sz w:val="20"/>
                <w:lang w:val="fr-CA"/>
              </w:rPr>
            </w:pPr>
            <w:r w:rsidRPr="009021BE">
              <w:rPr>
                <w:sz w:val="20"/>
                <w:lang w:val="fr-CA"/>
              </w:rPr>
              <w:t>Cour d’appel du Québec (Montréal)</w:t>
            </w:r>
          </w:p>
          <w:p w:rsidR="009021BE" w:rsidRPr="009021BE" w:rsidRDefault="009021BE" w:rsidP="009021BE">
            <w:pPr>
              <w:jc w:val="both"/>
              <w:rPr>
                <w:sz w:val="20"/>
                <w:lang w:val="fr-CA"/>
              </w:rPr>
            </w:pPr>
            <w:r w:rsidRPr="009021BE">
              <w:rPr>
                <w:sz w:val="20"/>
                <w:lang w:val="fr-CA"/>
              </w:rPr>
              <w:t xml:space="preserve">(Les juges </w:t>
            </w:r>
            <w:proofErr w:type="gramStart"/>
            <w:r w:rsidRPr="009021BE">
              <w:rPr>
                <w:sz w:val="20"/>
                <w:lang w:val="fr-CA"/>
              </w:rPr>
              <w:t>Marcotte</w:t>
            </w:r>
            <w:proofErr w:type="gramEnd"/>
            <w:r w:rsidRPr="009021BE">
              <w:rPr>
                <w:sz w:val="20"/>
                <w:lang w:val="fr-CA"/>
              </w:rPr>
              <w:t xml:space="preserve">, </w:t>
            </w:r>
            <w:proofErr w:type="spellStart"/>
            <w:r w:rsidRPr="009021BE">
              <w:rPr>
                <w:sz w:val="20"/>
                <w:lang w:val="fr-CA"/>
              </w:rPr>
              <w:t>Émond</w:t>
            </w:r>
            <w:proofErr w:type="spellEnd"/>
            <w:r w:rsidRPr="009021BE">
              <w:rPr>
                <w:sz w:val="20"/>
                <w:lang w:val="fr-CA"/>
              </w:rPr>
              <w:t xml:space="preserve"> et Dumas)</w:t>
            </w:r>
          </w:p>
          <w:p w:rsidR="009021BE" w:rsidRPr="009021BE" w:rsidRDefault="009021BE" w:rsidP="009021BE">
            <w:pPr>
              <w:jc w:val="both"/>
              <w:rPr>
                <w:sz w:val="20"/>
              </w:rPr>
            </w:pPr>
            <w:hyperlink r:id="rId21" w:history="1">
              <w:r w:rsidRPr="009021BE">
                <w:rPr>
                  <w:rStyle w:val="Hyperlink"/>
                  <w:sz w:val="20"/>
                </w:rPr>
                <w:t>2017 QCCA 860</w:t>
              </w:r>
            </w:hyperlink>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 xml:space="preserve">Appel rejeté. </w:t>
            </w: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Le 31 août 2017</w:t>
            </w:r>
          </w:p>
          <w:p w:rsidR="009021BE" w:rsidRPr="009021BE" w:rsidRDefault="009021BE" w:rsidP="009021BE">
            <w:pPr>
              <w:jc w:val="both"/>
              <w:rPr>
                <w:sz w:val="20"/>
                <w:lang w:val="fr-CA"/>
              </w:rPr>
            </w:pPr>
            <w:r w:rsidRPr="009021BE">
              <w:rPr>
                <w:sz w:val="20"/>
                <w:lang w:val="fr-CA"/>
              </w:rPr>
              <w:t>Cour suprême du Canada</w:t>
            </w: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rPr>
            </w:pPr>
            <w:r w:rsidRPr="009021BE">
              <w:rPr>
                <w:sz w:val="20"/>
              </w:rPr>
              <w:t>Demande d’autorisation d’appel déposée</w:t>
            </w:r>
          </w:p>
          <w:p w:rsidR="009021BE" w:rsidRPr="009021BE" w:rsidRDefault="009021BE" w:rsidP="009021BE">
            <w:pPr>
              <w:jc w:val="both"/>
              <w:rPr>
                <w:sz w:val="20"/>
              </w:rPr>
            </w:pPr>
          </w:p>
        </w:tc>
      </w:tr>
    </w:tbl>
    <w:p w:rsidR="009021BE" w:rsidRPr="009021BE" w:rsidRDefault="009021BE" w:rsidP="009021BE">
      <w:pPr>
        <w:jc w:val="both"/>
        <w:rPr>
          <w:sz w:val="20"/>
        </w:rPr>
      </w:pPr>
    </w:p>
    <w:p w:rsidR="009021BE" w:rsidRPr="009021BE" w:rsidRDefault="009021BE" w:rsidP="009021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21BE" w:rsidRPr="009021BE" w:rsidTr="00E95A6A">
        <w:tc>
          <w:tcPr>
            <w:tcW w:w="543" w:type="pct"/>
          </w:tcPr>
          <w:p w:rsidR="009021BE" w:rsidRPr="009021BE" w:rsidRDefault="009021BE" w:rsidP="009021BE">
            <w:pPr>
              <w:jc w:val="both"/>
              <w:rPr>
                <w:sz w:val="20"/>
                <w:lang w:val="en-CA"/>
              </w:rPr>
            </w:pPr>
            <w:r w:rsidRPr="009021BE">
              <w:rPr>
                <w:rStyle w:val="SCCFileNumberChar"/>
                <w:sz w:val="20"/>
                <w:szCs w:val="20"/>
              </w:rPr>
              <w:t>37560</w:t>
            </w:r>
          </w:p>
        </w:tc>
        <w:tc>
          <w:tcPr>
            <w:tcW w:w="4457" w:type="pct"/>
            <w:gridSpan w:val="3"/>
          </w:tcPr>
          <w:p w:rsidR="009021BE" w:rsidRPr="009021BE" w:rsidRDefault="009021BE" w:rsidP="009021BE">
            <w:pPr>
              <w:pStyle w:val="SCCLsocParty"/>
              <w:jc w:val="both"/>
              <w:rPr>
                <w:b/>
                <w:sz w:val="20"/>
                <w:szCs w:val="20"/>
              </w:rPr>
            </w:pPr>
            <w:r w:rsidRPr="009021BE">
              <w:rPr>
                <w:b/>
                <w:sz w:val="20"/>
                <w:szCs w:val="20"/>
              </w:rPr>
              <w:t xml:space="preserve">Gilles </w:t>
            </w:r>
            <w:proofErr w:type="spellStart"/>
            <w:r w:rsidRPr="009021BE">
              <w:rPr>
                <w:b/>
                <w:sz w:val="20"/>
                <w:szCs w:val="20"/>
              </w:rPr>
              <w:t>Patenaude</w:t>
            </w:r>
            <w:proofErr w:type="spellEnd"/>
            <w:r w:rsidRPr="009021BE">
              <w:rPr>
                <w:b/>
                <w:sz w:val="20"/>
                <w:szCs w:val="20"/>
              </w:rPr>
              <w:t xml:space="preserve"> v. Ville de Longueuil</w:t>
            </w:r>
          </w:p>
          <w:p w:rsidR="009021BE" w:rsidRPr="009021BE" w:rsidRDefault="009021BE" w:rsidP="009021BE">
            <w:pPr>
              <w:jc w:val="both"/>
              <w:rPr>
                <w:sz w:val="20"/>
                <w:lang w:val="en-CA"/>
              </w:rPr>
            </w:pPr>
            <w:r w:rsidRPr="009021BE">
              <w:rPr>
                <w:sz w:val="20"/>
                <w:lang w:val="en-CA"/>
              </w:rPr>
              <w:t>(Que.) (Criminal) (By Leave)</w:t>
            </w:r>
          </w:p>
        </w:tc>
      </w:tr>
      <w:tr w:rsidR="009021BE" w:rsidRPr="009021BE" w:rsidTr="00E95A6A">
        <w:tc>
          <w:tcPr>
            <w:tcW w:w="5000" w:type="pct"/>
            <w:gridSpan w:val="4"/>
          </w:tcPr>
          <w:p w:rsidR="009021BE" w:rsidRPr="009021BE" w:rsidRDefault="009021BE" w:rsidP="009021BE">
            <w:pPr>
              <w:jc w:val="both"/>
              <w:rPr>
                <w:sz w:val="20"/>
                <w:lang w:val="en-CA"/>
              </w:rPr>
            </w:pPr>
            <w:r w:rsidRPr="009021BE">
              <w:rPr>
                <w:i/>
                <w:sz w:val="20"/>
                <w:lang w:val="en-CA"/>
              </w:rPr>
              <w:t>Canadian Charter of Rights and Freedoms</w:t>
            </w:r>
            <w:r w:rsidRPr="009021BE">
              <w:rPr>
                <w:sz w:val="20"/>
                <w:lang w:val="en-CA"/>
              </w:rPr>
              <w:t xml:space="preserve"> – Criminal law – Highway safety code – Constitutional validity of s. 310 of </w:t>
            </w:r>
            <w:r w:rsidRPr="009021BE">
              <w:rPr>
                <w:i/>
                <w:sz w:val="20"/>
                <w:lang w:val="en-CA"/>
              </w:rPr>
              <w:t>Highway Safety Code</w:t>
            </w:r>
            <w:r w:rsidRPr="009021BE">
              <w:rPr>
                <w:sz w:val="20"/>
                <w:lang w:val="en-CA"/>
              </w:rPr>
              <w:t xml:space="preserve"> – Appeal – Leave to appeal – Whether application for leave to appeal raises issue of public importance.</w:t>
            </w:r>
          </w:p>
          <w:p w:rsidR="009021BE" w:rsidRPr="009021BE" w:rsidRDefault="009021BE" w:rsidP="009021BE">
            <w:pPr>
              <w:jc w:val="both"/>
              <w:rPr>
                <w:sz w:val="20"/>
                <w:lang w:val="en-CA"/>
              </w:rPr>
            </w:pPr>
          </w:p>
        </w:tc>
      </w:tr>
      <w:tr w:rsidR="009021BE" w:rsidRPr="009021BE" w:rsidTr="00E95A6A">
        <w:tc>
          <w:tcPr>
            <w:tcW w:w="5000" w:type="pct"/>
            <w:gridSpan w:val="4"/>
          </w:tcPr>
          <w:p w:rsidR="009021BE" w:rsidRPr="009021BE" w:rsidRDefault="009021BE" w:rsidP="009021BE">
            <w:pPr>
              <w:jc w:val="both"/>
              <w:rPr>
                <w:sz w:val="20"/>
                <w:lang w:val="en-CA"/>
              </w:rPr>
            </w:pPr>
            <w:r w:rsidRPr="009021BE">
              <w:rPr>
                <w:sz w:val="20"/>
                <w:lang w:val="en-CA"/>
              </w:rPr>
              <w:t xml:space="preserve">Gilles Patenaude challenged the constitutional validity of s. 310 of the </w:t>
            </w:r>
            <w:r w:rsidRPr="009021BE">
              <w:rPr>
                <w:i/>
                <w:sz w:val="20"/>
                <w:lang w:val="en-CA"/>
              </w:rPr>
              <w:t>Highway Safety Code</w:t>
            </w:r>
            <w:r w:rsidRPr="009021BE">
              <w:rPr>
                <w:sz w:val="20"/>
                <w:lang w:val="en-CA"/>
              </w:rPr>
              <w:t xml:space="preserve">, including on the basis that the rules in issue are contrary to s. 15 of the </w:t>
            </w:r>
            <w:r w:rsidRPr="009021BE">
              <w:rPr>
                <w:i/>
                <w:sz w:val="20"/>
                <w:lang w:val="en-CA"/>
              </w:rPr>
              <w:t>Canadian Charter of Rights and Freedoms</w:t>
            </w:r>
            <w:r w:rsidRPr="009021BE">
              <w:rPr>
                <w:sz w:val="20"/>
                <w:lang w:val="en-CA"/>
              </w:rPr>
              <w:t>.</w:t>
            </w:r>
          </w:p>
          <w:p w:rsidR="009021BE" w:rsidRPr="009021BE" w:rsidRDefault="009021BE" w:rsidP="009021BE">
            <w:pPr>
              <w:jc w:val="both"/>
              <w:rPr>
                <w:sz w:val="20"/>
                <w:lang w:val="en-CA"/>
              </w:rPr>
            </w:pPr>
            <w:r w:rsidRPr="009021BE">
              <w:rPr>
                <w:sz w:val="20"/>
                <w:lang w:val="en-CA"/>
              </w:rPr>
              <w:t xml:space="preserve"> </w:t>
            </w:r>
          </w:p>
          <w:p w:rsidR="009021BE" w:rsidRPr="009021BE" w:rsidRDefault="009021BE" w:rsidP="009021BE">
            <w:pPr>
              <w:jc w:val="both"/>
              <w:rPr>
                <w:sz w:val="20"/>
                <w:lang w:val="en-CA"/>
              </w:rPr>
            </w:pPr>
            <w:r w:rsidRPr="009021BE">
              <w:rPr>
                <w:sz w:val="20"/>
                <w:lang w:val="en-CA"/>
              </w:rPr>
              <w:t xml:space="preserve">The Municipal Court convicted Mr. Patenaude. The Superior Court dismissed the appeal from the conviction. The Court of Appeal refused leave to appeal from the Superior Court’s judgment. </w:t>
            </w:r>
          </w:p>
        </w:tc>
      </w:tr>
      <w:tr w:rsidR="009021BE" w:rsidRPr="009021BE" w:rsidTr="00E95A6A">
        <w:tc>
          <w:tcPr>
            <w:tcW w:w="5000" w:type="pct"/>
            <w:gridSpan w:val="4"/>
          </w:tcPr>
          <w:p w:rsidR="009021BE" w:rsidRPr="009021BE" w:rsidRDefault="009021BE" w:rsidP="009021BE">
            <w:pPr>
              <w:jc w:val="both"/>
              <w:rPr>
                <w:sz w:val="20"/>
                <w:lang w:val="en-CA"/>
              </w:rPr>
            </w:pPr>
          </w:p>
        </w:tc>
      </w:tr>
      <w:tr w:rsidR="009021BE" w:rsidRPr="009021BE" w:rsidTr="00E95A6A">
        <w:tc>
          <w:tcPr>
            <w:tcW w:w="2427" w:type="pct"/>
            <w:gridSpan w:val="2"/>
          </w:tcPr>
          <w:p w:rsidR="009021BE" w:rsidRPr="009021BE" w:rsidRDefault="009021BE" w:rsidP="009021BE">
            <w:pPr>
              <w:jc w:val="both"/>
              <w:rPr>
                <w:sz w:val="20"/>
                <w:lang w:val="en-CA"/>
              </w:rPr>
            </w:pPr>
            <w:r w:rsidRPr="009021BE">
              <w:rPr>
                <w:sz w:val="20"/>
                <w:lang w:val="en-CA"/>
              </w:rPr>
              <w:t>February 7, 2017</w:t>
            </w:r>
          </w:p>
          <w:p w:rsidR="009021BE" w:rsidRPr="009021BE" w:rsidRDefault="009021BE" w:rsidP="009021BE">
            <w:pPr>
              <w:jc w:val="both"/>
              <w:rPr>
                <w:sz w:val="20"/>
                <w:lang w:val="en-CA"/>
              </w:rPr>
            </w:pPr>
            <w:r w:rsidRPr="009021BE">
              <w:rPr>
                <w:sz w:val="20"/>
                <w:lang w:val="en-CA"/>
              </w:rPr>
              <w:t>Municipal Court (Longueuil)</w:t>
            </w:r>
          </w:p>
          <w:p w:rsidR="009021BE" w:rsidRPr="009021BE" w:rsidRDefault="009021BE" w:rsidP="009021BE">
            <w:pPr>
              <w:jc w:val="both"/>
              <w:rPr>
                <w:sz w:val="20"/>
                <w:lang w:val="en-CA"/>
              </w:rPr>
            </w:pPr>
            <w:r w:rsidRPr="009021BE">
              <w:rPr>
                <w:sz w:val="20"/>
                <w:lang w:val="en-CA"/>
              </w:rPr>
              <w:t>(Judge Thémens)</w:t>
            </w:r>
          </w:p>
          <w:p w:rsidR="009021BE" w:rsidRPr="009021BE" w:rsidRDefault="009021BE" w:rsidP="009021BE">
            <w:pPr>
              <w:jc w:val="both"/>
              <w:rPr>
                <w:sz w:val="20"/>
                <w:lang w:val="en-CA"/>
              </w:rPr>
            </w:pPr>
          </w:p>
        </w:tc>
        <w:tc>
          <w:tcPr>
            <w:tcW w:w="243" w:type="pct"/>
          </w:tcPr>
          <w:p w:rsidR="009021BE" w:rsidRPr="009021BE" w:rsidRDefault="009021BE" w:rsidP="009021BE">
            <w:pPr>
              <w:jc w:val="both"/>
              <w:rPr>
                <w:sz w:val="20"/>
                <w:lang w:val="en-CA"/>
              </w:rPr>
            </w:pPr>
          </w:p>
        </w:tc>
        <w:tc>
          <w:tcPr>
            <w:tcW w:w="2330" w:type="pct"/>
          </w:tcPr>
          <w:p w:rsidR="009021BE" w:rsidRPr="009021BE" w:rsidRDefault="009021BE" w:rsidP="009021BE">
            <w:pPr>
              <w:jc w:val="both"/>
              <w:rPr>
                <w:sz w:val="20"/>
                <w:lang w:val="en-CA"/>
              </w:rPr>
            </w:pPr>
            <w:r w:rsidRPr="009021BE">
              <w:rPr>
                <w:sz w:val="20"/>
                <w:lang w:val="en-CA"/>
              </w:rPr>
              <w:t xml:space="preserve">Mr. Patenaude convicted </w:t>
            </w:r>
          </w:p>
          <w:p w:rsidR="009021BE" w:rsidRPr="009021BE" w:rsidRDefault="009021BE" w:rsidP="009021BE">
            <w:pPr>
              <w:jc w:val="both"/>
              <w:rPr>
                <w:sz w:val="20"/>
                <w:lang w:val="en-CA"/>
              </w:rPr>
            </w:pPr>
          </w:p>
        </w:tc>
      </w:tr>
      <w:tr w:rsidR="009021BE" w:rsidRPr="009021BE" w:rsidTr="00E95A6A">
        <w:tc>
          <w:tcPr>
            <w:tcW w:w="2427" w:type="pct"/>
            <w:gridSpan w:val="2"/>
          </w:tcPr>
          <w:p w:rsidR="009021BE" w:rsidRPr="009021BE" w:rsidRDefault="009021BE" w:rsidP="009021BE">
            <w:pPr>
              <w:jc w:val="both"/>
              <w:rPr>
                <w:sz w:val="20"/>
                <w:lang w:val="en-CA"/>
              </w:rPr>
            </w:pPr>
            <w:r w:rsidRPr="009021BE">
              <w:rPr>
                <w:sz w:val="20"/>
                <w:lang w:val="en-CA"/>
              </w:rPr>
              <w:t>March 3, 2017</w:t>
            </w:r>
          </w:p>
          <w:p w:rsidR="009021BE" w:rsidRPr="009021BE" w:rsidRDefault="009021BE" w:rsidP="009021BE">
            <w:pPr>
              <w:jc w:val="both"/>
              <w:rPr>
                <w:sz w:val="20"/>
                <w:lang w:val="en-CA"/>
              </w:rPr>
            </w:pPr>
            <w:r w:rsidRPr="009021BE">
              <w:rPr>
                <w:sz w:val="20"/>
                <w:lang w:val="en-CA"/>
              </w:rPr>
              <w:t>Quebec Superior Court</w:t>
            </w:r>
          </w:p>
          <w:p w:rsidR="009021BE" w:rsidRPr="009021BE" w:rsidRDefault="009021BE" w:rsidP="009021BE">
            <w:pPr>
              <w:jc w:val="both"/>
              <w:rPr>
                <w:sz w:val="20"/>
                <w:lang w:val="en-CA"/>
              </w:rPr>
            </w:pPr>
            <w:r w:rsidRPr="009021BE">
              <w:rPr>
                <w:sz w:val="20"/>
                <w:lang w:val="en-CA"/>
              </w:rPr>
              <w:t>(David J.)</w:t>
            </w:r>
          </w:p>
          <w:p w:rsidR="009021BE" w:rsidRPr="009021BE" w:rsidRDefault="009021BE" w:rsidP="009021BE">
            <w:pPr>
              <w:jc w:val="both"/>
              <w:rPr>
                <w:sz w:val="20"/>
                <w:lang w:val="en-CA"/>
              </w:rPr>
            </w:pPr>
          </w:p>
        </w:tc>
        <w:tc>
          <w:tcPr>
            <w:tcW w:w="243" w:type="pct"/>
          </w:tcPr>
          <w:p w:rsidR="009021BE" w:rsidRPr="009021BE" w:rsidRDefault="009021BE" w:rsidP="009021BE">
            <w:pPr>
              <w:jc w:val="both"/>
              <w:rPr>
                <w:sz w:val="20"/>
                <w:lang w:val="en-CA"/>
              </w:rPr>
            </w:pPr>
          </w:p>
        </w:tc>
        <w:tc>
          <w:tcPr>
            <w:tcW w:w="2330" w:type="pct"/>
          </w:tcPr>
          <w:p w:rsidR="009021BE" w:rsidRPr="009021BE" w:rsidRDefault="009021BE" w:rsidP="009021BE">
            <w:pPr>
              <w:jc w:val="both"/>
              <w:rPr>
                <w:sz w:val="20"/>
                <w:lang w:val="en-CA"/>
              </w:rPr>
            </w:pPr>
            <w:r w:rsidRPr="009021BE">
              <w:rPr>
                <w:sz w:val="20"/>
                <w:lang w:val="en-CA"/>
              </w:rPr>
              <w:t>Appeal dismissed</w:t>
            </w:r>
          </w:p>
          <w:p w:rsidR="009021BE" w:rsidRPr="009021BE" w:rsidRDefault="009021BE" w:rsidP="009021BE">
            <w:pPr>
              <w:jc w:val="both"/>
              <w:rPr>
                <w:sz w:val="20"/>
                <w:lang w:val="en-CA"/>
              </w:rPr>
            </w:pPr>
          </w:p>
        </w:tc>
      </w:tr>
      <w:tr w:rsidR="009021BE" w:rsidRPr="009021BE" w:rsidTr="00E95A6A">
        <w:tc>
          <w:tcPr>
            <w:tcW w:w="2427" w:type="pct"/>
            <w:gridSpan w:val="2"/>
          </w:tcPr>
          <w:p w:rsidR="009021BE" w:rsidRPr="009021BE" w:rsidRDefault="009021BE" w:rsidP="009021BE">
            <w:pPr>
              <w:jc w:val="both"/>
              <w:rPr>
                <w:sz w:val="20"/>
                <w:lang w:val="en-CA"/>
              </w:rPr>
            </w:pPr>
            <w:r w:rsidRPr="009021BE">
              <w:rPr>
                <w:sz w:val="20"/>
                <w:lang w:val="en-CA"/>
              </w:rPr>
              <w:t>April 5, 2017</w:t>
            </w:r>
          </w:p>
          <w:p w:rsidR="009021BE" w:rsidRPr="009021BE" w:rsidRDefault="009021BE" w:rsidP="009021BE">
            <w:pPr>
              <w:jc w:val="both"/>
              <w:rPr>
                <w:sz w:val="20"/>
                <w:lang w:val="en-CA"/>
              </w:rPr>
            </w:pPr>
            <w:r w:rsidRPr="009021BE">
              <w:rPr>
                <w:sz w:val="20"/>
                <w:lang w:val="en-CA"/>
              </w:rPr>
              <w:t>Quebec Court of Appeal (Montréal)</w:t>
            </w:r>
          </w:p>
          <w:p w:rsidR="009021BE" w:rsidRPr="009021BE" w:rsidRDefault="009021BE" w:rsidP="009021BE">
            <w:pPr>
              <w:jc w:val="both"/>
              <w:rPr>
                <w:sz w:val="20"/>
                <w:lang w:val="en-CA"/>
              </w:rPr>
            </w:pPr>
            <w:r w:rsidRPr="009021BE">
              <w:rPr>
                <w:sz w:val="20"/>
                <w:lang w:val="en-CA"/>
              </w:rPr>
              <w:t>(Morissette J.A.)</w:t>
            </w:r>
          </w:p>
          <w:p w:rsidR="009021BE" w:rsidRPr="009021BE" w:rsidRDefault="009021BE" w:rsidP="009021BE">
            <w:pPr>
              <w:jc w:val="both"/>
              <w:rPr>
                <w:sz w:val="20"/>
                <w:lang w:val="en-CA"/>
              </w:rPr>
            </w:pPr>
            <w:r w:rsidRPr="009021BE">
              <w:rPr>
                <w:sz w:val="20"/>
                <w:lang w:val="en-CA"/>
              </w:rPr>
              <w:t xml:space="preserve">Neutral citation: </w:t>
            </w:r>
            <w:hyperlink r:id="rId22" w:history="1">
              <w:r w:rsidRPr="009021BE">
                <w:rPr>
                  <w:rStyle w:val="Hyperlink"/>
                  <w:sz w:val="20"/>
                  <w:lang w:val="en-CA"/>
                </w:rPr>
                <w:t>2017 QCCA 584</w:t>
              </w:r>
            </w:hyperlink>
          </w:p>
          <w:p w:rsidR="009021BE" w:rsidRPr="009021BE" w:rsidRDefault="009021BE" w:rsidP="009021BE">
            <w:pPr>
              <w:jc w:val="both"/>
              <w:rPr>
                <w:sz w:val="20"/>
                <w:lang w:val="en-CA"/>
              </w:rPr>
            </w:pPr>
          </w:p>
        </w:tc>
        <w:tc>
          <w:tcPr>
            <w:tcW w:w="243" w:type="pct"/>
          </w:tcPr>
          <w:p w:rsidR="009021BE" w:rsidRPr="009021BE" w:rsidRDefault="009021BE" w:rsidP="009021BE">
            <w:pPr>
              <w:jc w:val="both"/>
              <w:rPr>
                <w:sz w:val="20"/>
                <w:lang w:val="en-CA"/>
              </w:rPr>
            </w:pPr>
          </w:p>
        </w:tc>
        <w:tc>
          <w:tcPr>
            <w:tcW w:w="2330" w:type="pct"/>
          </w:tcPr>
          <w:p w:rsidR="009021BE" w:rsidRPr="009021BE" w:rsidRDefault="009021BE" w:rsidP="009021BE">
            <w:pPr>
              <w:jc w:val="both"/>
              <w:rPr>
                <w:sz w:val="20"/>
                <w:lang w:val="en-CA"/>
              </w:rPr>
            </w:pPr>
            <w:r w:rsidRPr="009021BE">
              <w:rPr>
                <w:sz w:val="20"/>
                <w:lang w:val="en-CA"/>
              </w:rPr>
              <w:t>Motion for leave to appeal dismissed</w:t>
            </w:r>
          </w:p>
          <w:p w:rsidR="009021BE" w:rsidRPr="009021BE" w:rsidRDefault="009021BE" w:rsidP="009021BE">
            <w:pPr>
              <w:jc w:val="both"/>
              <w:rPr>
                <w:sz w:val="20"/>
                <w:lang w:val="en-CA"/>
              </w:rPr>
            </w:pPr>
          </w:p>
        </w:tc>
      </w:tr>
      <w:tr w:rsidR="009021BE" w:rsidRPr="009021BE" w:rsidTr="00E95A6A">
        <w:tc>
          <w:tcPr>
            <w:tcW w:w="2427" w:type="pct"/>
            <w:gridSpan w:val="2"/>
          </w:tcPr>
          <w:p w:rsidR="009021BE" w:rsidRPr="009021BE" w:rsidRDefault="009021BE" w:rsidP="009021BE">
            <w:pPr>
              <w:jc w:val="both"/>
              <w:rPr>
                <w:sz w:val="20"/>
                <w:lang w:val="en-CA"/>
              </w:rPr>
            </w:pPr>
            <w:r w:rsidRPr="009021BE">
              <w:rPr>
                <w:sz w:val="20"/>
                <w:lang w:val="en-CA"/>
              </w:rPr>
              <w:t>May 9, 2017</w:t>
            </w:r>
          </w:p>
          <w:p w:rsidR="009021BE" w:rsidRPr="009021BE" w:rsidRDefault="009021BE" w:rsidP="009021BE">
            <w:pPr>
              <w:jc w:val="both"/>
              <w:rPr>
                <w:sz w:val="20"/>
                <w:lang w:val="en-CA"/>
              </w:rPr>
            </w:pPr>
            <w:r w:rsidRPr="009021BE">
              <w:rPr>
                <w:sz w:val="20"/>
                <w:lang w:val="en-CA"/>
              </w:rPr>
              <w:t>Supreme Court of Canada</w:t>
            </w:r>
          </w:p>
        </w:tc>
        <w:tc>
          <w:tcPr>
            <w:tcW w:w="243" w:type="pct"/>
          </w:tcPr>
          <w:p w:rsidR="009021BE" w:rsidRPr="009021BE" w:rsidRDefault="009021BE" w:rsidP="009021BE">
            <w:pPr>
              <w:jc w:val="both"/>
              <w:rPr>
                <w:sz w:val="20"/>
                <w:lang w:val="en-CA"/>
              </w:rPr>
            </w:pPr>
          </w:p>
        </w:tc>
        <w:tc>
          <w:tcPr>
            <w:tcW w:w="2330" w:type="pct"/>
          </w:tcPr>
          <w:p w:rsidR="009021BE" w:rsidRPr="009021BE" w:rsidRDefault="009021BE" w:rsidP="009021BE">
            <w:pPr>
              <w:jc w:val="both"/>
              <w:rPr>
                <w:sz w:val="20"/>
                <w:lang w:val="en-CA"/>
              </w:rPr>
            </w:pPr>
            <w:r w:rsidRPr="009021BE">
              <w:rPr>
                <w:sz w:val="20"/>
                <w:lang w:val="en-CA"/>
              </w:rPr>
              <w:t>Application for leave to appeal filed</w:t>
            </w:r>
          </w:p>
          <w:p w:rsidR="009021BE" w:rsidRPr="009021BE" w:rsidRDefault="009021BE" w:rsidP="009021BE">
            <w:pPr>
              <w:jc w:val="both"/>
              <w:rPr>
                <w:sz w:val="20"/>
                <w:lang w:val="en-CA"/>
              </w:rPr>
            </w:pPr>
          </w:p>
        </w:tc>
      </w:tr>
    </w:tbl>
    <w:p w:rsidR="009021BE" w:rsidRDefault="009021BE" w:rsidP="009021BE">
      <w:pPr>
        <w:jc w:val="both"/>
        <w:rPr>
          <w:sz w:val="20"/>
          <w:lang w:val="en-CA"/>
        </w:rPr>
      </w:pPr>
    </w:p>
    <w:p w:rsidR="009021BE" w:rsidRPr="009021BE" w:rsidRDefault="009021BE" w:rsidP="009021B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21BE" w:rsidRPr="009021BE" w:rsidTr="00E95A6A">
        <w:tc>
          <w:tcPr>
            <w:tcW w:w="543" w:type="pct"/>
          </w:tcPr>
          <w:p w:rsidR="009021BE" w:rsidRPr="009021BE" w:rsidRDefault="009021BE" w:rsidP="009021BE">
            <w:pPr>
              <w:jc w:val="both"/>
              <w:rPr>
                <w:sz w:val="20"/>
              </w:rPr>
            </w:pPr>
            <w:r w:rsidRPr="009021BE">
              <w:rPr>
                <w:rStyle w:val="SCCFileNumberChar"/>
                <w:sz w:val="20"/>
                <w:szCs w:val="20"/>
              </w:rPr>
              <w:t>37560</w:t>
            </w:r>
          </w:p>
        </w:tc>
        <w:tc>
          <w:tcPr>
            <w:tcW w:w="4457" w:type="pct"/>
            <w:gridSpan w:val="3"/>
          </w:tcPr>
          <w:p w:rsidR="009021BE" w:rsidRPr="009021BE" w:rsidRDefault="009021BE" w:rsidP="009021BE">
            <w:pPr>
              <w:pStyle w:val="SCCLsocParty"/>
              <w:jc w:val="both"/>
              <w:rPr>
                <w:b/>
                <w:sz w:val="20"/>
                <w:szCs w:val="20"/>
              </w:rPr>
            </w:pPr>
            <w:r w:rsidRPr="009021BE">
              <w:rPr>
                <w:b/>
                <w:sz w:val="20"/>
                <w:szCs w:val="20"/>
              </w:rPr>
              <w:t xml:space="preserve">Gilles </w:t>
            </w:r>
            <w:proofErr w:type="spellStart"/>
            <w:r w:rsidRPr="009021BE">
              <w:rPr>
                <w:b/>
                <w:sz w:val="20"/>
                <w:szCs w:val="20"/>
              </w:rPr>
              <w:t>Patenaude</w:t>
            </w:r>
            <w:proofErr w:type="spellEnd"/>
            <w:r w:rsidRPr="009021BE">
              <w:rPr>
                <w:b/>
                <w:sz w:val="20"/>
                <w:szCs w:val="20"/>
              </w:rPr>
              <w:t xml:space="preserve"> c. Ville de Longueuil</w:t>
            </w:r>
          </w:p>
          <w:p w:rsidR="009021BE" w:rsidRPr="009021BE" w:rsidRDefault="009021BE" w:rsidP="009021BE">
            <w:pPr>
              <w:jc w:val="both"/>
              <w:rPr>
                <w:sz w:val="20"/>
              </w:rPr>
            </w:pPr>
            <w:r w:rsidRPr="009021BE">
              <w:rPr>
                <w:sz w:val="20"/>
              </w:rPr>
              <w:t>(Qc) (Criminelle) (Autorisation)</w:t>
            </w:r>
          </w:p>
        </w:tc>
      </w:tr>
      <w:tr w:rsidR="009021BE" w:rsidRPr="009021BE" w:rsidTr="00E95A6A">
        <w:tc>
          <w:tcPr>
            <w:tcW w:w="5000" w:type="pct"/>
            <w:gridSpan w:val="4"/>
          </w:tcPr>
          <w:p w:rsidR="009021BE" w:rsidRPr="009021BE" w:rsidRDefault="009021BE" w:rsidP="009021BE">
            <w:pPr>
              <w:jc w:val="both"/>
              <w:rPr>
                <w:sz w:val="20"/>
                <w:lang w:val="fr-CA"/>
              </w:rPr>
            </w:pPr>
            <w:r w:rsidRPr="009021BE">
              <w:rPr>
                <w:i/>
                <w:sz w:val="20"/>
                <w:lang w:val="fr-CA"/>
              </w:rPr>
              <w:t>Charte canadienne des droits et libertés</w:t>
            </w:r>
            <w:r w:rsidRPr="009021BE">
              <w:rPr>
                <w:sz w:val="20"/>
                <w:lang w:val="fr-CA"/>
              </w:rPr>
              <w:t xml:space="preserve"> – Droit criminel – Code de la sécurité routière – Validité constitutionnelle de l’art. 310 du </w:t>
            </w:r>
            <w:r w:rsidRPr="009021BE">
              <w:rPr>
                <w:i/>
                <w:sz w:val="20"/>
                <w:lang w:val="fr-CA"/>
              </w:rPr>
              <w:t>Code de la sécurité routière</w:t>
            </w:r>
            <w:r w:rsidRPr="009021BE">
              <w:rPr>
                <w:sz w:val="20"/>
                <w:lang w:val="fr-CA"/>
              </w:rPr>
              <w:t xml:space="preserve"> – Appel – Permission d’appeler – La demande d’autorisation d’appel soulève-t-elle une question d’importance pour le public?</w:t>
            </w:r>
          </w:p>
          <w:p w:rsidR="009021BE" w:rsidRPr="009021BE" w:rsidRDefault="009021BE" w:rsidP="009021BE">
            <w:pPr>
              <w:jc w:val="both"/>
              <w:rPr>
                <w:sz w:val="20"/>
                <w:lang w:val="fr-CA"/>
              </w:rPr>
            </w:pPr>
          </w:p>
        </w:tc>
      </w:tr>
      <w:tr w:rsidR="009021BE" w:rsidRPr="009021BE" w:rsidTr="00E95A6A">
        <w:tc>
          <w:tcPr>
            <w:tcW w:w="5000" w:type="pct"/>
            <w:gridSpan w:val="4"/>
          </w:tcPr>
          <w:p w:rsidR="009021BE" w:rsidRPr="009021BE" w:rsidRDefault="009021BE" w:rsidP="009021BE">
            <w:pPr>
              <w:jc w:val="both"/>
              <w:rPr>
                <w:sz w:val="20"/>
                <w:lang w:val="fr-CA"/>
              </w:rPr>
            </w:pPr>
            <w:r w:rsidRPr="009021BE">
              <w:rPr>
                <w:sz w:val="20"/>
                <w:lang w:val="fr-CA"/>
              </w:rPr>
              <w:t xml:space="preserve">Gilles </w:t>
            </w:r>
            <w:proofErr w:type="spellStart"/>
            <w:r w:rsidRPr="009021BE">
              <w:rPr>
                <w:sz w:val="20"/>
                <w:lang w:val="fr-CA"/>
              </w:rPr>
              <w:t>Patenaude</w:t>
            </w:r>
            <w:proofErr w:type="spellEnd"/>
            <w:r w:rsidRPr="009021BE">
              <w:rPr>
                <w:sz w:val="20"/>
                <w:lang w:val="fr-CA"/>
              </w:rPr>
              <w:t xml:space="preserve"> s’attaque à la validité constitutionnelle de l’art. 310 du </w:t>
            </w:r>
            <w:r w:rsidRPr="009021BE">
              <w:rPr>
                <w:i/>
                <w:sz w:val="20"/>
                <w:lang w:val="fr-CA"/>
              </w:rPr>
              <w:t>Code de la sécurité routière</w:t>
            </w:r>
            <w:r w:rsidRPr="009021BE">
              <w:rPr>
                <w:sz w:val="20"/>
                <w:lang w:val="fr-CA"/>
              </w:rPr>
              <w:t xml:space="preserve">, notamment au motif que la réglementation en cause serait contraire à l’article 15 de la </w:t>
            </w:r>
            <w:r w:rsidRPr="009021BE">
              <w:rPr>
                <w:i/>
                <w:sz w:val="20"/>
                <w:lang w:val="fr-CA"/>
              </w:rPr>
              <w:t>Charte canadienne des droits et libertés</w:t>
            </w:r>
            <w:r w:rsidRPr="009021BE">
              <w:rPr>
                <w:sz w:val="20"/>
                <w:lang w:val="fr-CA"/>
              </w:rPr>
              <w:t>.</w:t>
            </w:r>
          </w:p>
          <w:p w:rsidR="009021BE" w:rsidRPr="009021BE" w:rsidRDefault="009021BE" w:rsidP="009021BE">
            <w:pPr>
              <w:jc w:val="both"/>
              <w:rPr>
                <w:sz w:val="20"/>
                <w:lang w:val="fr-CA"/>
              </w:rPr>
            </w:pPr>
            <w:r w:rsidRPr="009021BE">
              <w:rPr>
                <w:sz w:val="20"/>
                <w:lang w:val="fr-CA"/>
              </w:rPr>
              <w:t xml:space="preserve"> </w:t>
            </w:r>
          </w:p>
          <w:p w:rsidR="009021BE" w:rsidRPr="009021BE" w:rsidRDefault="009021BE" w:rsidP="009021BE">
            <w:pPr>
              <w:jc w:val="both"/>
              <w:rPr>
                <w:sz w:val="20"/>
                <w:lang w:val="fr-CA"/>
              </w:rPr>
            </w:pPr>
            <w:r w:rsidRPr="009021BE">
              <w:rPr>
                <w:sz w:val="20"/>
                <w:lang w:val="fr-CA"/>
              </w:rPr>
              <w:t>La Cour municipale a conclu à la culpabilité de M. </w:t>
            </w:r>
            <w:proofErr w:type="spellStart"/>
            <w:r w:rsidRPr="009021BE">
              <w:rPr>
                <w:sz w:val="20"/>
                <w:lang w:val="fr-CA"/>
              </w:rPr>
              <w:t>Patenaude</w:t>
            </w:r>
            <w:proofErr w:type="spellEnd"/>
            <w:r w:rsidRPr="009021BE">
              <w:rPr>
                <w:sz w:val="20"/>
                <w:lang w:val="fr-CA"/>
              </w:rPr>
              <w:t xml:space="preserve">. La Cour supérieure a rejeté l’appel de la condamnation. La Cour d’appel a refusé la permission d’appeler du jugement de la Cour supérieure. </w:t>
            </w:r>
          </w:p>
        </w:tc>
      </w:tr>
      <w:tr w:rsidR="009021BE" w:rsidRPr="009021BE" w:rsidTr="00E95A6A">
        <w:tc>
          <w:tcPr>
            <w:tcW w:w="5000" w:type="pct"/>
            <w:gridSpan w:val="4"/>
          </w:tcPr>
          <w:p w:rsidR="009021BE" w:rsidRPr="009021BE" w:rsidRDefault="009021BE" w:rsidP="009021BE">
            <w:pPr>
              <w:jc w:val="both"/>
              <w:rPr>
                <w:sz w:val="20"/>
                <w:lang w:val="fr-CA"/>
              </w:rPr>
            </w:pP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Le 7 février 2017</w:t>
            </w:r>
          </w:p>
          <w:p w:rsidR="009021BE" w:rsidRPr="009021BE" w:rsidRDefault="009021BE" w:rsidP="009021BE">
            <w:pPr>
              <w:jc w:val="both"/>
              <w:rPr>
                <w:sz w:val="20"/>
                <w:lang w:val="fr-CA"/>
              </w:rPr>
            </w:pPr>
            <w:r w:rsidRPr="009021BE">
              <w:rPr>
                <w:sz w:val="20"/>
                <w:lang w:val="fr-CA"/>
              </w:rPr>
              <w:t>Cour municipale (Longueuil)</w:t>
            </w:r>
          </w:p>
          <w:p w:rsidR="009021BE" w:rsidRPr="009021BE" w:rsidRDefault="009021BE" w:rsidP="009021BE">
            <w:pPr>
              <w:jc w:val="both"/>
              <w:rPr>
                <w:sz w:val="20"/>
              </w:rPr>
            </w:pPr>
            <w:r w:rsidRPr="009021BE">
              <w:rPr>
                <w:sz w:val="20"/>
              </w:rPr>
              <w:t xml:space="preserve">(Le </w:t>
            </w:r>
            <w:proofErr w:type="spellStart"/>
            <w:r w:rsidRPr="009021BE">
              <w:rPr>
                <w:sz w:val="20"/>
              </w:rPr>
              <w:t>juge</w:t>
            </w:r>
            <w:proofErr w:type="spellEnd"/>
            <w:r w:rsidRPr="009021BE">
              <w:rPr>
                <w:sz w:val="20"/>
              </w:rPr>
              <w:t xml:space="preserve"> </w:t>
            </w:r>
            <w:proofErr w:type="spellStart"/>
            <w:r w:rsidRPr="009021BE">
              <w:rPr>
                <w:sz w:val="20"/>
              </w:rPr>
              <w:t>Thémens</w:t>
            </w:r>
            <w:proofErr w:type="spellEnd"/>
            <w:r w:rsidRPr="009021BE">
              <w:rPr>
                <w:sz w:val="20"/>
              </w:rPr>
              <w:t>)</w:t>
            </w:r>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M. </w:t>
            </w:r>
            <w:proofErr w:type="spellStart"/>
            <w:r w:rsidRPr="009021BE">
              <w:rPr>
                <w:sz w:val="20"/>
              </w:rPr>
              <w:t>Patenaude</w:t>
            </w:r>
            <w:proofErr w:type="spellEnd"/>
            <w:r w:rsidRPr="009021BE">
              <w:rPr>
                <w:sz w:val="20"/>
              </w:rPr>
              <w:t xml:space="preserve"> </w:t>
            </w:r>
            <w:proofErr w:type="spellStart"/>
            <w:r w:rsidRPr="009021BE">
              <w:rPr>
                <w:sz w:val="20"/>
              </w:rPr>
              <w:t>reconnu</w:t>
            </w:r>
            <w:proofErr w:type="spellEnd"/>
            <w:r w:rsidRPr="009021BE">
              <w:rPr>
                <w:sz w:val="20"/>
              </w:rPr>
              <w:t xml:space="preserve"> </w:t>
            </w:r>
            <w:proofErr w:type="spellStart"/>
            <w:r w:rsidRPr="009021BE">
              <w:rPr>
                <w:sz w:val="20"/>
              </w:rPr>
              <w:t>coupable</w:t>
            </w:r>
            <w:proofErr w:type="spellEnd"/>
            <w:r w:rsidRPr="009021BE">
              <w:rPr>
                <w:sz w:val="20"/>
              </w:rPr>
              <w:t xml:space="preserve"> </w:t>
            </w:r>
          </w:p>
          <w:p w:rsidR="009021BE" w:rsidRPr="009021BE" w:rsidRDefault="009021BE" w:rsidP="009021BE">
            <w:pPr>
              <w:jc w:val="both"/>
              <w:rPr>
                <w:sz w:val="20"/>
              </w:rPr>
            </w:pP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Le 3 mars 2017</w:t>
            </w:r>
          </w:p>
          <w:p w:rsidR="009021BE" w:rsidRPr="009021BE" w:rsidRDefault="009021BE" w:rsidP="009021BE">
            <w:pPr>
              <w:jc w:val="both"/>
              <w:rPr>
                <w:sz w:val="20"/>
                <w:lang w:val="fr-CA"/>
              </w:rPr>
            </w:pPr>
            <w:r w:rsidRPr="009021BE">
              <w:rPr>
                <w:sz w:val="20"/>
                <w:lang w:val="fr-CA"/>
              </w:rPr>
              <w:t>Cour supérieure du Québec</w:t>
            </w:r>
          </w:p>
          <w:p w:rsidR="009021BE" w:rsidRPr="009021BE" w:rsidRDefault="009021BE" w:rsidP="009021BE">
            <w:pPr>
              <w:jc w:val="both"/>
              <w:rPr>
                <w:sz w:val="20"/>
              </w:rPr>
            </w:pPr>
            <w:r w:rsidRPr="009021BE">
              <w:rPr>
                <w:sz w:val="20"/>
              </w:rPr>
              <w:t xml:space="preserve">(Le </w:t>
            </w:r>
            <w:proofErr w:type="spellStart"/>
            <w:r w:rsidRPr="009021BE">
              <w:rPr>
                <w:sz w:val="20"/>
              </w:rPr>
              <w:t>juge</w:t>
            </w:r>
            <w:proofErr w:type="spellEnd"/>
            <w:r w:rsidRPr="009021BE">
              <w:rPr>
                <w:sz w:val="20"/>
              </w:rPr>
              <w:t xml:space="preserve"> David)</w:t>
            </w:r>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Appel rejeté</w:t>
            </w:r>
          </w:p>
          <w:p w:rsidR="009021BE" w:rsidRPr="009021BE" w:rsidRDefault="009021BE" w:rsidP="009021BE">
            <w:pPr>
              <w:jc w:val="both"/>
              <w:rPr>
                <w:sz w:val="20"/>
              </w:rPr>
            </w:pP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Le 5 avril 2017</w:t>
            </w:r>
          </w:p>
          <w:p w:rsidR="009021BE" w:rsidRPr="009021BE" w:rsidRDefault="009021BE" w:rsidP="009021BE">
            <w:pPr>
              <w:jc w:val="both"/>
              <w:rPr>
                <w:sz w:val="20"/>
                <w:lang w:val="fr-CA"/>
              </w:rPr>
            </w:pPr>
            <w:r w:rsidRPr="009021BE">
              <w:rPr>
                <w:sz w:val="20"/>
                <w:lang w:val="fr-CA"/>
              </w:rPr>
              <w:t>Cour d’appel du Québec (Montréal)</w:t>
            </w:r>
          </w:p>
          <w:p w:rsidR="009021BE" w:rsidRPr="009021BE" w:rsidRDefault="009021BE" w:rsidP="009021BE">
            <w:pPr>
              <w:jc w:val="both"/>
              <w:rPr>
                <w:sz w:val="20"/>
                <w:lang w:val="fr-CA"/>
              </w:rPr>
            </w:pPr>
            <w:r w:rsidRPr="009021BE">
              <w:rPr>
                <w:sz w:val="20"/>
                <w:lang w:val="fr-CA"/>
              </w:rPr>
              <w:t>(Le juge Morissette)</w:t>
            </w:r>
          </w:p>
          <w:p w:rsidR="009021BE" w:rsidRPr="009021BE" w:rsidRDefault="009021BE" w:rsidP="009021BE">
            <w:pPr>
              <w:jc w:val="both"/>
              <w:rPr>
                <w:sz w:val="20"/>
                <w:lang w:val="fr-CA"/>
              </w:rPr>
            </w:pPr>
            <w:r w:rsidRPr="009021BE">
              <w:rPr>
                <w:sz w:val="20"/>
                <w:lang w:val="fr-CA"/>
              </w:rPr>
              <w:t xml:space="preserve">Référence neutre : </w:t>
            </w:r>
            <w:hyperlink r:id="rId23" w:history="1">
              <w:r w:rsidRPr="009021BE">
                <w:rPr>
                  <w:rStyle w:val="Hyperlink"/>
                  <w:sz w:val="20"/>
                  <w:lang w:val="fr-CA"/>
                </w:rPr>
                <w:t>2017 QCCA 584</w:t>
              </w:r>
            </w:hyperlink>
          </w:p>
          <w:p w:rsidR="009021BE" w:rsidRPr="009021BE" w:rsidRDefault="009021BE" w:rsidP="009021BE">
            <w:pPr>
              <w:jc w:val="both"/>
              <w:rPr>
                <w:sz w:val="20"/>
                <w:lang w:val="fr-CA"/>
              </w:rPr>
            </w:pP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rPr>
            </w:pPr>
            <w:proofErr w:type="spellStart"/>
            <w:r w:rsidRPr="009021BE">
              <w:rPr>
                <w:sz w:val="20"/>
              </w:rPr>
              <w:t>Requête</w:t>
            </w:r>
            <w:proofErr w:type="spellEnd"/>
            <w:r w:rsidRPr="009021BE">
              <w:rPr>
                <w:sz w:val="20"/>
              </w:rPr>
              <w:t xml:space="preserve"> pour permission </w:t>
            </w:r>
            <w:proofErr w:type="spellStart"/>
            <w:r w:rsidRPr="009021BE">
              <w:rPr>
                <w:sz w:val="20"/>
              </w:rPr>
              <w:t>d’appeler</w:t>
            </w:r>
            <w:proofErr w:type="spellEnd"/>
            <w:r w:rsidRPr="009021BE">
              <w:rPr>
                <w:sz w:val="20"/>
              </w:rPr>
              <w:t xml:space="preserve"> rejetée</w:t>
            </w:r>
          </w:p>
          <w:p w:rsidR="009021BE" w:rsidRPr="009021BE" w:rsidRDefault="009021BE" w:rsidP="009021BE">
            <w:pPr>
              <w:jc w:val="both"/>
              <w:rPr>
                <w:sz w:val="20"/>
              </w:rPr>
            </w:pP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Le 9 mai 2017</w:t>
            </w:r>
          </w:p>
          <w:p w:rsidR="009021BE" w:rsidRPr="009021BE" w:rsidRDefault="009021BE" w:rsidP="009021BE">
            <w:pPr>
              <w:jc w:val="both"/>
              <w:rPr>
                <w:sz w:val="20"/>
                <w:lang w:val="fr-CA"/>
              </w:rPr>
            </w:pPr>
            <w:r w:rsidRPr="009021BE">
              <w:rPr>
                <w:sz w:val="20"/>
                <w:lang w:val="fr-CA"/>
              </w:rPr>
              <w:t>Cour suprême du Canada</w:t>
            </w: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rPr>
            </w:pPr>
            <w:r w:rsidRPr="009021BE">
              <w:rPr>
                <w:sz w:val="20"/>
              </w:rPr>
              <w:t>Demande d’autorisation d’appel déposée</w:t>
            </w:r>
          </w:p>
          <w:p w:rsidR="009021BE" w:rsidRPr="009021BE" w:rsidRDefault="009021BE" w:rsidP="009021BE">
            <w:pPr>
              <w:jc w:val="both"/>
              <w:rPr>
                <w:sz w:val="20"/>
              </w:rPr>
            </w:pPr>
          </w:p>
        </w:tc>
      </w:tr>
    </w:tbl>
    <w:p w:rsidR="009021BE" w:rsidRPr="009021BE" w:rsidRDefault="009021BE" w:rsidP="009021BE">
      <w:pPr>
        <w:jc w:val="both"/>
        <w:rPr>
          <w:sz w:val="20"/>
        </w:rPr>
      </w:pPr>
    </w:p>
    <w:p w:rsidR="009021BE" w:rsidRPr="009021BE" w:rsidRDefault="009021BE" w:rsidP="009021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21BE" w:rsidRPr="009021BE" w:rsidTr="00E95A6A">
        <w:tc>
          <w:tcPr>
            <w:tcW w:w="543" w:type="pct"/>
          </w:tcPr>
          <w:p w:rsidR="009021BE" w:rsidRPr="009021BE" w:rsidRDefault="009021BE" w:rsidP="009021BE">
            <w:pPr>
              <w:jc w:val="both"/>
              <w:rPr>
                <w:sz w:val="20"/>
              </w:rPr>
            </w:pPr>
            <w:r w:rsidRPr="009021BE">
              <w:rPr>
                <w:rStyle w:val="SCCFileNumberChar"/>
                <w:sz w:val="20"/>
                <w:szCs w:val="20"/>
              </w:rPr>
              <w:t>37640</w:t>
            </w:r>
          </w:p>
        </w:tc>
        <w:tc>
          <w:tcPr>
            <w:tcW w:w="4457" w:type="pct"/>
            <w:gridSpan w:val="3"/>
          </w:tcPr>
          <w:p w:rsidR="009021BE" w:rsidRPr="009021BE" w:rsidRDefault="009021BE" w:rsidP="009021BE">
            <w:pPr>
              <w:pStyle w:val="SCCLsocParty"/>
              <w:jc w:val="both"/>
              <w:rPr>
                <w:b/>
                <w:sz w:val="20"/>
                <w:szCs w:val="20"/>
                <w:lang w:val="en-US"/>
              </w:rPr>
            </w:pPr>
            <w:r w:rsidRPr="009021BE">
              <w:rPr>
                <w:b/>
                <w:sz w:val="20"/>
                <w:szCs w:val="20"/>
                <w:lang w:val="en-US"/>
              </w:rPr>
              <w:t>St. Albert Housing Society and Big Point Developments Inc. v. City of St. Albert Composite Assessment Review Board and City of St. Albert</w:t>
            </w:r>
          </w:p>
          <w:p w:rsidR="009021BE" w:rsidRPr="009021BE" w:rsidRDefault="009021BE" w:rsidP="009021BE">
            <w:pPr>
              <w:jc w:val="both"/>
              <w:rPr>
                <w:sz w:val="20"/>
              </w:rPr>
            </w:pPr>
            <w:r w:rsidRPr="009021BE">
              <w:rPr>
                <w:sz w:val="20"/>
              </w:rPr>
              <w:t>(Alta.) (Civil) (By Leave)</w:t>
            </w:r>
          </w:p>
        </w:tc>
      </w:tr>
      <w:tr w:rsidR="009021BE" w:rsidRPr="009021BE" w:rsidTr="00E95A6A">
        <w:tc>
          <w:tcPr>
            <w:tcW w:w="5000" w:type="pct"/>
            <w:gridSpan w:val="4"/>
          </w:tcPr>
          <w:p w:rsidR="009021BE" w:rsidRPr="009021BE" w:rsidRDefault="009021BE" w:rsidP="009021BE">
            <w:pPr>
              <w:jc w:val="both"/>
              <w:rPr>
                <w:sz w:val="20"/>
              </w:rPr>
            </w:pPr>
            <w:r w:rsidRPr="009021BE">
              <w:rPr>
                <w:sz w:val="20"/>
              </w:rPr>
              <w:t xml:space="preserve">Administrative law — Boards and tribunals — City of St. Alberta Composite Assessment Review Board — Judicial review — Standard of review — Court of Appeal affirming tax assessment decisions of Review Board — Whether decisions and reasons of Review Board, affirming City’s approach to valuing an affordable housing complex, on the basis of imputed fair market rents, rather than below market rents set by Province, satisfies judicial review standard of reasonableness — </w:t>
            </w:r>
            <w:hyperlink r:id="rId24" w:history="1">
              <w:r w:rsidRPr="009021BE">
                <w:rPr>
                  <w:i/>
                  <w:iCs/>
                  <w:sz w:val="20"/>
                  <w:lang w:val="en"/>
                </w:rPr>
                <w:t>Municipal Government Act</w:t>
              </w:r>
              <w:r w:rsidRPr="009021BE">
                <w:rPr>
                  <w:sz w:val="20"/>
                  <w:lang w:val="en"/>
                </w:rPr>
                <w:t>, R.S.A. 2000, c. M-26</w:t>
              </w:r>
            </w:hyperlink>
            <w:r w:rsidRPr="009021BE">
              <w:rPr>
                <w:sz w:val="20"/>
                <w:lang w:val="en"/>
              </w:rPr>
              <w:t xml:space="preserve"> — </w:t>
            </w:r>
            <w:hyperlink r:id="rId25" w:history="1">
              <w:r w:rsidRPr="009021BE">
                <w:rPr>
                  <w:i/>
                  <w:iCs/>
                  <w:sz w:val="20"/>
                  <w:lang w:val="en"/>
                </w:rPr>
                <w:t>Matters Relating to Assessment and Taxation Regulation</w:t>
              </w:r>
              <w:r w:rsidRPr="009021BE">
                <w:rPr>
                  <w:sz w:val="20"/>
                  <w:lang w:val="en"/>
                </w:rPr>
                <w:t>,</w:t>
              </w:r>
              <w:r w:rsidRPr="009021BE">
                <w:rPr>
                  <w:b/>
                  <w:bCs/>
                  <w:i/>
                  <w:iCs/>
                  <w:sz w:val="20"/>
                  <w:lang w:val="en"/>
                </w:rPr>
                <w:t xml:space="preserve"> </w:t>
              </w:r>
              <w:r w:rsidRPr="009021BE">
                <w:rPr>
                  <w:sz w:val="20"/>
                  <w:lang w:val="en"/>
                </w:rPr>
                <w:t xml:space="preserve">Alta </w:t>
              </w:r>
              <w:proofErr w:type="spellStart"/>
              <w:r w:rsidRPr="009021BE">
                <w:rPr>
                  <w:sz w:val="20"/>
                  <w:lang w:val="en"/>
                </w:rPr>
                <w:t>Reg</w:t>
              </w:r>
              <w:proofErr w:type="spellEnd"/>
              <w:r w:rsidRPr="009021BE">
                <w:rPr>
                  <w:sz w:val="20"/>
                  <w:lang w:val="en"/>
                </w:rPr>
                <w:t xml:space="preserve"> 220/2004</w:t>
              </w:r>
            </w:hyperlink>
            <w:r w:rsidRPr="009021BE">
              <w:rPr>
                <w:sz w:val="20"/>
                <w:lang w:val="en"/>
              </w:rPr>
              <w:t>. </w:t>
            </w:r>
          </w:p>
          <w:p w:rsidR="009021BE" w:rsidRPr="009021BE" w:rsidRDefault="009021BE" w:rsidP="009021BE">
            <w:pPr>
              <w:jc w:val="both"/>
              <w:rPr>
                <w:sz w:val="20"/>
              </w:rPr>
            </w:pPr>
          </w:p>
        </w:tc>
      </w:tr>
      <w:tr w:rsidR="009021BE" w:rsidRPr="009021BE" w:rsidTr="00BF319D">
        <w:trPr>
          <w:trHeight w:val="2520"/>
        </w:trPr>
        <w:tc>
          <w:tcPr>
            <w:tcW w:w="5000" w:type="pct"/>
            <w:gridSpan w:val="4"/>
          </w:tcPr>
          <w:p w:rsidR="009021BE" w:rsidRPr="009021BE" w:rsidRDefault="009021BE" w:rsidP="009021BE">
            <w:pPr>
              <w:spacing w:after="240"/>
              <w:jc w:val="both"/>
              <w:rPr>
                <w:sz w:val="20"/>
                <w:lang w:val="en"/>
              </w:rPr>
            </w:pPr>
            <w:r w:rsidRPr="009021BE">
              <w:rPr>
                <w:sz w:val="20"/>
                <w:lang w:val="en"/>
              </w:rPr>
              <w:t>The City of St. Albert, the Province of Alberta, the St. Albert Housing Society and Big Point Developments Inc. entered into agreements to provide affordable housing in the City of St. Albert. Pursuant to these agreements and through a joint venture, the developer, Big Point, and the not-for-profit organization, the Housing Society, developed affordable housing units at 12 Nevada Place.</w:t>
            </w:r>
          </w:p>
          <w:p w:rsidR="009021BE" w:rsidRPr="009021BE" w:rsidRDefault="009021BE" w:rsidP="009021BE">
            <w:pPr>
              <w:jc w:val="both"/>
              <w:rPr>
                <w:sz w:val="20"/>
                <w:lang w:val="en" w:eastAsia="en-CA"/>
              </w:rPr>
            </w:pPr>
            <w:r w:rsidRPr="009021BE">
              <w:rPr>
                <w:sz w:val="20"/>
                <w:lang w:val="en" w:eastAsia="en-CA"/>
              </w:rPr>
              <w:t xml:space="preserve">The Housing Society and Big Point filed a complaint regarding the City’s tax assessments for the 2014 and 2015 taxation years for that property. </w:t>
            </w:r>
            <w:r w:rsidRPr="009021BE">
              <w:rPr>
                <w:sz w:val="20"/>
                <w:lang w:val="en"/>
              </w:rPr>
              <w:t xml:space="preserve">The Review Board confirmed the assessment for 2014 but reduced the assessment for 2015, as requested by the City, from $15,563,000 to $14,461,000. On judicial review, the chambers judge quashed the Review Board decisions and referred the assessments back to the Review Board for reconsideration. </w:t>
            </w:r>
            <w:r w:rsidRPr="009021BE">
              <w:rPr>
                <w:sz w:val="20"/>
                <w:lang w:val="en" w:eastAsia="en-CA"/>
              </w:rPr>
              <w:t>The Court of Appeal allowed the appeal and reinstated the Review Board’s decisions.</w:t>
            </w:r>
          </w:p>
          <w:p w:rsidR="009021BE" w:rsidRPr="009021BE" w:rsidRDefault="009021BE" w:rsidP="009021BE">
            <w:pPr>
              <w:jc w:val="both"/>
              <w:rPr>
                <w:sz w:val="20"/>
              </w:rPr>
            </w:pPr>
          </w:p>
        </w:tc>
      </w:tr>
      <w:tr w:rsidR="009021BE" w:rsidRPr="009021BE" w:rsidTr="00E95A6A">
        <w:tc>
          <w:tcPr>
            <w:tcW w:w="2427" w:type="pct"/>
            <w:gridSpan w:val="2"/>
          </w:tcPr>
          <w:p w:rsidR="009021BE" w:rsidRPr="009021BE" w:rsidRDefault="009021BE" w:rsidP="009021BE">
            <w:pPr>
              <w:jc w:val="both"/>
              <w:rPr>
                <w:sz w:val="20"/>
              </w:rPr>
            </w:pPr>
            <w:r w:rsidRPr="009021BE">
              <w:rPr>
                <w:sz w:val="20"/>
              </w:rPr>
              <w:t>December 24, 2014</w:t>
            </w:r>
          </w:p>
          <w:p w:rsidR="009021BE" w:rsidRPr="009021BE" w:rsidRDefault="009021BE" w:rsidP="009021BE">
            <w:pPr>
              <w:jc w:val="both"/>
              <w:rPr>
                <w:sz w:val="20"/>
              </w:rPr>
            </w:pPr>
            <w:r w:rsidRPr="009021BE">
              <w:rPr>
                <w:sz w:val="20"/>
              </w:rPr>
              <w:t>St. Albert Composite Assessment Review Board</w:t>
            </w:r>
          </w:p>
          <w:p w:rsidR="009021BE" w:rsidRPr="009021BE" w:rsidRDefault="009021BE" w:rsidP="009021BE">
            <w:pPr>
              <w:jc w:val="both"/>
              <w:rPr>
                <w:sz w:val="20"/>
              </w:rPr>
            </w:pPr>
            <w:r w:rsidRPr="009021BE">
              <w:rPr>
                <w:sz w:val="20"/>
              </w:rPr>
              <w:t>(Duxbury, C., Presiding Officer)</w:t>
            </w:r>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Review Board confirmed the 2014 assessment of $13,631,000.</w:t>
            </w:r>
          </w:p>
        </w:tc>
      </w:tr>
      <w:tr w:rsidR="009021BE" w:rsidRPr="009021BE" w:rsidTr="00E95A6A">
        <w:tc>
          <w:tcPr>
            <w:tcW w:w="2427" w:type="pct"/>
            <w:gridSpan w:val="2"/>
          </w:tcPr>
          <w:p w:rsidR="009021BE" w:rsidRPr="009021BE" w:rsidRDefault="009021BE" w:rsidP="009021BE">
            <w:pPr>
              <w:jc w:val="both"/>
              <w:rPr>
                <w:sz w:val="20"/>
              </w:rPr>
            </w:pPr>
            <w:r w:rsidRPr="009021BE">
              <w:rPr>
                <w:sz w:val="20"/>
              </w:rPr>
              <w:t>November 5, 2015</w:t>
            </w:r>
          </w:p>
          <w:p w:rsidR="009021BE" w:rsidRPr="009021BE" w:rsidRDefault="009021BE" w:rsidP="009021BE">
            <w:pPr>
              <w:jc w:val="both"/>
              <w:rPr>
                <w:sz w:val="20"/>
              </w:rPr>
            </w:pPr>
            <w:r w:rsidRPr="009021BE">
              <w:rPr>
                <w:sz w:val="20"/>
              </w:rPr>
              <w:t>St. Albert Composite Assessment Review Board</w:t>
            </w:r>
          </w:p>
          <w:p w:rsidR="009021BE" w:rsidRPr="009021BE" w:rsidRDefault="009021BE" w:rsidP="009021BE">
            <w:pPr>
              <w:jc w:val="both"/>
              <w:rPr>
                <w:sz w:val="20"/>
              </w:rPr>
            </w:pPr>
            <w:r w:rsidRPr="009021BE">
              <w:rPr>
                <w:sz w:val="20"/>
              </w:rPr>
              <w:t>(</w:t>
            </w:r>
            <w:proofErr w:type="spellStart"/>
            <w:r w:rsidRPr="009021BE">
              <w:rPr>
                <w:sz w:val="20"/>
              </w:rPr>
              <w:t>Hagemann</w:t>
            </w:r>
            <w:proofErr w:type="spellEnd"/>
            <w:r w:rsidRPr="009021BE">
              <w:rPr>
                <w:sz w:val="20"/>
              </w:rPr>
              <w:t>, P., Presiding Officer)</w:t>
            </w:r>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Review Board reduced the 2015 tax assessment from $15,563,000 to $14,610,000.</w:t>
            </w:r>
          </w:p>
        </w:tc>
      </w:tr>
      <w:tr w:rsidR="009021BE" w:rsidRPr="009021BE" w:rsidTr="00E95A6A">
        <w:tc>
          <w:tcPr>
            <w:tcW w:w="2427" w:type="pct"/>
            <w:gridSpan w:val="2"/>
          </w:tcPr>
          <w:p w:rsidR="009021BE" w:rsidRPr="009021BE" w:rsidRDefault="009021BE" w:rsidP="009021BE">
            <w:pPr>
              <w:jc w:val="both"/>
              <w:rPr>
                <w:sz w:val="20"/>
              </w:rPr>
            </w:pPr>
            <w:r w:rsidRPr="009021BE">
              <w:rPr>
                <w:sz w:val="20"/>
              </w:rPr>
              <w:t>April 7, 2016</w:t>
            </w:r>
          </w:p>
          <w:p w:rsidR="009021BE" w:rsidRPr="009021BE" w:rsidRDefault="009021BE" w:rsidP="009021BE">
            <w:pPr>
              <w:jc w:val="both"/>
              <w:rPr>
                <w:sz w:val="20"/>
              </w:rPr>
            </w:pPr>
            <w:r w:rsidRPr="009021BE">
              <w:rPr>
                <w:sz w:val="20"/>
              </w:rPr>
              <w:t>Court of Queen’s Bench of Alberta</w:t>
            </w:r>
          </w:p>
          <w:p w:rsidR="009021BE" w:rsidRPr="009021BE" w:rsidRDefault="009021BE" w:rsidP="009021BE">
            <w:pPr>
              <w:jc w:val="both"/>
              <w:rPr>
                <w:sz w:val="20"/>
              </w:rPr>
            </w:pPr>
            <w:r w:rsidRPr="009021BE">
              <w:rPr>
                <w:sz w:val="20"/>
              </w:rPr>
              <w:t>(Shelley J.)</w:t>
            </w:r>
          </w:p>
          <w:p w:rsidR="009021BE" w:rsidRPr="009021BE" w:rsidRDefault="009021BE" w:rsidP="009021BE">
            <w:pPr>
              <w:jc w:val="both"/>
              <w:rPr>
                <w:sz w:val="20"/>
              </w:rPr>
            </w:pPr>
            <w:hyperlink r:id="rId26" w:history="1">
              <w:r w:rsidRPr="009021BE">
                <w:rPr>
                  <w:rStyle w:val="Hyperlink"/>
                  <w:sz w:val="20"/>
                </w:rPr>
                <w:t>2016 ABQB 203</w:t>
              </w:r>
            </w:hyperlink>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 xml:space="preserve">Applications for judicial review of Composite Assessment Review Board decisions granted; decisions for 2014 and 2015 assessment years quashed and matter referred back to Review Board for reconsideration. </w:t>
            </w:r>
          </w:p>
          <w:p w:rsidR="009021BE" w:rsidRPr="009021BE" w:rsidRDefault="009021BE" w:rsidP="009021BE">
            <w:pPr>
              <w:jc w:val="both"/>
              <w:rPr>
                <w:sz w:val="20"/>
              </w:rPr>
            </w:pPr>
          </w:p>
        </w:tc>
      </w:tr>
      <w:tr w:rsidR="009021BE" w:rsidRPr="009021BE" w:rsidTr="00E95A6A">
        <w:tc>
          <w:tcPr>
            <w:tcW w:w="2427" w:type="pct"/>
            <w:gridSpan w:val="2"/>
          </w:tcPr>
          <w:p w:rsidR="009021BE" w:rsidRPr="009021BE" w:rsidRDefault="009021BE" w:rsidP="009021BE">
            <w:pPr>
              <w:jc w:val="both"/>
              <w:rPr>
                <w:sz w:val="20"/>
              </w:rPr>
            </w:pPr>
            <w:r w:rsidRPr="009021BE">
              <w:rPr>
                <w:sz w:val="20"/>
              </w:rPr>
              <w:t>May 1, 2017</w:t>
            </w:r>
          </w:p>
          <w:p w:rsidR="009021BE" w:rsidRPr="009021BE" w:rsidRDefault="009021BE" w:rsidP="009021BE">
            <w:pPr>
              <w:jc w:val="both"/>
              <w:rPr>
                <w:sz w:val="20"/>
              </w:rPr>
            </w:pPr>
            <w:r w:rsidRPr="009021BE">
              <w:rPr>
                <w:sz w:val="20"/>
              </w:rPr>
              <w:t>Court of Appeal of Alberta (Edmonton)</w:t>
            </w:r>
          </w:p>
          <w:p w:rsidR="009021BE" w:rsidRPr="009021BE" w:rsidRDefault="009021BE" w:rsidP="009021BE">
            <w:pPr>
              <w:jc w:val="both"/>
              <w:rPr>
                <w:sz w:val="20"/>
              </w:rPr>
            </w:pPr>
            <w:r w:rsidRPr="009021BE">
              <w:rPr>
                <w:sz w:val="20"/>
              </w:rPr>
              <w:t xml:space="preserve">(Fraser C.J. and </w:t>
            </w:r>
            <w:proofErr w:type="spellStart"/>
            <w:r w:rsidRPr="009021BE">
              <w:rPr>
                <w:sz w:val="20"/>
              </w:rPr>
              <w:t>Rowbotham</w:t>
            </w:r>
            <w:proofErr w:type="spellEnd"/>
            <w:r w:rsidRPr="009021BE">
              <w:rPr>
                <w:sz w:val="20"/>
              </w:rPr>
              <w:t xml:space="preserve"> and </w:t>
            </w:r>
            <w:proofErr w:type="spellStart"/>
            <w:r w:rsidRPr="009021BE">
              <w:rPr>
                <w:sz w:val="20"/>
              </w:rPr>
              <w:t>Greckol</w:t>
            </w:r>
            <w:proofErr w:type="spellEnd"/>
            <w:r w:rsidRPr="009021BE">
              <w:rPr>
                <w:sz w:val="20"/>
              </w:rPr>
              <w:t xml:space="preserve"> </w:t>
            </w:r>
          </w:p>
          <w:p w:rsidR="009021BE" w:rsidRPr="009021BE" w:rsidRDefault="009021BE" w:rsidP="009021BE">
            <w:pPr>
              <w:jc w:val="both"/>
              <w:rPr>
                <w:sz w:val="20"/>
              </w:rPr>
            </w:pPr>
            <w:r w:rsidRPr="009021BE">
              <w:rPr>
                <w:sz w:val="20"/>
              </w:rPr>
              <w:t>JJ.A.)</w:t>
            </w:r>
          </w:p>
          <w:p w:rsidR="009021BE" w:rsidRPr="009021BE" w:rsidRDefault="009021BE" w:rsidP="009021BE">
            <w:pPr>
              <w:jc w:val="both"/>
              <w:rPr>
                <w:sz w:val="20"/>
              </w:rPr>
            </w:pPr>
            <w:hyperlink r:id="rId27" w:history="1">
              <w:r w:rsidRPr="009021BE">
                <w:rPr>
                  <w:rStyle w:val="Hyperlink"/>
                  <w:sz w:val="20"/>
                </w:rPr>
                <w:t>2017 ABCA 129</w:t>
              </w:r>
            </w:hyperlink>
          </w:p>
          <w:p w:rsidR="009021BE" w:rsidRPr="009021BE" w:rsidRDefault="009021BE" w:rsidP="009021BE">
            <w:pPr>
              <w:jc w:val="both"/>
              <w:rPr>
                <w:sz w:val="20"/>
              </w:rPr>
            </w:pPr>
            <w:r w:rsidRPr="009021BE">
              <w:rPr>
                <w:sz w:val="20"/>
              </w:rPr>
              <w:t>File No.: 1603-0125-AC</w:t>
            </w:r>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BF319D">
            <w:pPr>
              <w:jc w:val="both"/>
              <w:rPr>
                <w:sz w:val="20"/>
              </w:rPr>
            </w:pPr>
            <w:r w:rsidRPr="009021BE">
              <w:rPr>
                <w:sz w:val="20"/>
              </w:rPr>
              <w:t>Appeal allowed; Composite Assessment Review Board decisions reinstated.</w:t>
            </w:r>
          </w:p>
        </w:tc>
      </w:tr>
      <w:tr w:rsidR="009021BE" w:rsidRPr="009021BE" w:rsidTr="00E95A6A">
        <w:tc>
          <w:tcPr>
            <w:tcW w:w="2427" w:type="pct"/>
            <w:gridSpan w:val="2"/>
          </w:tcPr>
          <w:p w:rsidR="009021BE" w:rsidRPr="009021BE" w:rsidRDefault="009021BE" w:rsidP="009021BE">
            <w:pPr>
              <w:jc w:val="both"/>
              <w:rPr>
                <w:sz w:val="20"/>
              </w:rPr>
            </w:pPr>
            <w:r w:rsidRPr="009021BE">
              <w:rPr>
                <w:sz w:val="20"/>
              </w:rPr>
              <w:t>June 29, 2017</w:t>
            </w:r>
          </w:p>
          <w:p w:rsidR="009021BE" w:rsidRPr="009021BE" w:rsidRDefault="009021BE" w:rsidP="009021BE">
            <w:pPr>
              <w:jc w:val="both"/>
              <w:rPr>
                <w:sz w:val="20"/>
              </w:rPr>
            </w:pPr>
            <w:r w:rsidRPr="009021BE">
              <w:rPr>
                <w:sz w:val="20"/>
              </w:rPr>
              <w:t>Supreme Court of Canada</w:t>
            </w: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Application for leave to appeal filed.</w:t>
            </w:r>
          </w:p>
          <w:p w:rsidR="009021BE" w:rsidRPr="009021BE" w:rsidRDefault="009021BE" w:rsidP="009021BE">
            <w:pPr>
              <w:jc w:val="both"/>
              <w:rPr>
                <w:sz w:val="20"/>
              </w:rPr>
            </w:pPr>
          </w:p>
        </w:tc>
      </w:tr>
    </w:tbl>
    <w:p w:rsidR="009021BE" w:rsidRDefault="009021BE" w:rsidP="009021BE">
      <w:pPr>
        <w:jc w:val="both"/>
        <w:rPr>
          <w:sz w:val="20"/>
        </w:rPr>
      </w:pPr>
    </w:p>
    <w:p w:rsidR="00BF319D" w:rsidRPr="009021BE" w:rsidRDefault="00BF319D" w:rsidP="009021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21BE" w:rsidRPr="009021BE" w:rsidTr="00E95A6A">
        <w:tc>
          <w:tcPr>
            <w:tcW w:w="543" w:type="pct"/>
          </w:tcPr>
          <w:p w:rsidR="009021BE" w:rsidRPr="009021BE" w:rsidRDefault="009021BE" w:rsidP="009021BE">
            <w:pPr>
              <w:jc w:val="both"/>
              <w:rPr>
                <w:sz w:val="20"/>
                <w:lang w:val="fr-CA"/>
              </w:rPr>
            </w:pPr>
            <w:r w:rsidRPr="009021BE">
              <w:rPr>
                <w:rStyle w:val="SCCFileNumberChar"/>
                <w:sz w:val="20"/>
                <w:szCs w:val="20"/>
                <w:lang w:val="fr-CA"/>
              </w:rPr>
              <w:t>37640</w:t>
            </w:r>
          </w:p>
        </w:tc>
        <w:tc>
          <w:tcPr>
            <w:tcW w:w="4457" w:type="pct"/>
            <w:gridSpan w:val="3"/>
          </w:tcPr>
          <w:p w:rsidR="009021BE" w:rsidRPr="00BF319D" w:rsidRDefault="009021BE" w:rsidP="009021BE">
            <w:pPr>
              <w:pStyle w:val="SCCLsocParty"/>
              <w:jc w:val="both"/>
              <w:rPr>
                <w:b/>
                <w:sz w:val="20"/>
                <w:szCs w:val="20"/>
                <w:lang w:val="en-US"/>
              </w:rPr>
            </w:pPr>
            <w:r w:rsidRPr="00BF319D">
              <w:rPr>
                <w:b/>
                <w:sz w:val="20"/>
                <w:szCs w:val="20"/>
                <w:lang w:val="en-US"/>
              </w:rPr>
              <w:t>St. Albert Housing Society et Big Point Developments Inc. c. City of St. Albert Composite Assessment Review Board et City of St. Albert</w:t>
            </w:r>
          </w:p>
          <w:p w:rsidR="009021BE" w:rsidRPr="009021BE" w:rsidRDefault="009021BE" w:rsidP="009021BE">
            <w:pPr>
              <w:jc w:val="both"/>
              <w:rPr>
                <w:sz w:val="20"/>
                <w:lang w:val="fr-CA"/>
              </w:rPr>
            </w:pPr>
            <w:r w:rsidRPr="009021BE">
              <w:rPr>
                <w:sz w:val="20"/>
                <w:lang w:val="fr-CA"/>
              </w:rPr>
              <w:t>(Alb.) (Civile) (Sur autorisation)</w:t>
            </w:r>
          </w:p>
        </w:tc>
      </w:tr>
      <w:tr w:rsidR="009021BE" w:rsidRPr="009021BE" w:rsidTr="00E95A6A">
        <w:tc>
          <w:tcPr>
            <w:tcW w:w="5000" w:type="pct"/>
            <w:gridSpan w:val="4"/>
          </w:tcPr>
          <w:p w:rsidR="009021BE" w:rsidRPr="009021BE" w:rsidRDefault="009021BE" w:rsidP="009021BE">
            <w:pPr>
              <w:jc w:val="both"/>
              <w:rPr>
                <w:sz w:val="20"/>
              </w:rPr>
            </w:pPr>
            <w:r w:rsidRPr="009021BE">
              <w:rPr>
                <w:sz w:val="20"/>
                <w:lang w:val="fr-CA"/>
              </w:rPr>
              <w:t xml:space="preserve">Droit administratif — Organismes et tribunaux administratifs — City of St. Albert Composite </w:t>
            </w:r>
            <w:proofErr w:type="spellStart"/>
            <w:r w:rsidRPr="009021BE">
              <w:rPr>
                <w:sz w:val="20"/>
                <w:lang w:val="fr-CA"/>
              </w:rPr>
              <w:t>Assessment</w:t>
            </w:r>
            <w:proofErr w:type="spellEnd"/>
            <w:r w:rsidRPr="009021BE">
              <w:rPr>
                <w:sz w:val="20"/>
                <w:lang w:val="fr-CA"/>
              </w:rPr>
              <w:t xml:space="preserve"> </w:t>
            </w:r>
            <w:proofErr w:type="spellStart"/>
            <w:r w:rsidRPr="009021BE">
              <w:rPr>
                <w:sz w:val="20"/>
                <w:lang w:val="fr-CA"/>
              </w:rPr>
              <w:t>Review</w:t>
            </w:r>
            <w:proofErr w:type="spellEnd"/>
            <w:r w:rsidRPr="009021BE">
              <w:rPr>
                <w:sz w:val="20"/>
                <w:lang w:val="fr-CA"/>
              </w:rPr>
              <w:t xml:space="preserve"> </w:t>
            </w:r>
            <w:proofErr w:type="spellStart"/>
            <w:r w:rsidRPr="009021BE">
              <w:rPr>
                <w:sz w:val="20"/>
                <w:lang w:val="fr-CA"/>
              </w:rPr>
              <w:t>Board</w:t>
            </w:r>
            <w:proofErr w:type="spellEnd"/>
            <w:r w:rsidRPr="009021BE">
              <w:rPr>
                <w:sz w:val="20"/>
                <w:lang w:val="fr-CA"/>
              </w:rPr>
              <w:t xml:space="preserve"> — Contrôle judiciaire — Norme de contrôle — La Cour d’appel confirme les décisions de la commission de révision relatives à l’évaluation en matière de taxation — Les décisions et les motifs de la commission de révision, qui a confirmé la méthode employée par la municipalité pour l’évaluation d’un ensemble de logements abordables en fonction des loyers équivalents à la juste valeur marchande, plutôt qu’en fonction des loyers inférieurs au prix du marché fixés par la Province, satisfont-elles à la norme de contrôle judiciaire de la décision raisonnable? — </w:t>
            </w:r>
            <w:hyperlink r:id="rId28" w:history="1">
              <w:r w:rsidRPr="009021BE">
                <w:rPr>
                  <w:i/>
                  <w:iCs/>
                  <w:sz w:val="20"/>
                  <w:lang w:val="fr-CA"/>
                </w:rPr>
                <w:t xml:space="preserve">Municipal </w:t>
              </w:r>
              <w:proofErr w:type="spellStart"/>
              <w:r w:rsidRPr="009021BE">
                <w:rPr>
                  <w:i/>
                  <w:iCs/>
                  <w:sz w:val="20"/>
                  <w:lang w:val="fr-CA"/>
                </w:rPr>
                <w:t>Government</w:t>
              </w:r>
              <w:proofErr w:type="spellEnd"/>
              <w:r w:rsidRPr="009021BE">
                <w:rPr>
                  <w:i/>
                  <w:iCs/>
                  <w:sz w:val="20"/>
                  <w:lang w:val="fr-CA"/>
                </w:rPr>
                <w:t xml:space="preserve"> </w:t>
              </w:r>
              <w:proofErr w:type="spellStart"/>
              <w:r w:rsidRPr="009021BE">
                <w:rPr>
                  <w:i/>
                  <w:iCs/>
                  <w:sz w:val="20"/>
                  <w:lang w:val="fr-CA"/>
                </w:rPr>
                <w:t>Act</w:t>
              </w:r>
              <w:proofErr w:type="spellEnd"/>
              <w:r w:rsidRPr="009021BE">
                <w:rPr>
                  <w:sz w:val="20"/>
                  <w:lang w:val="fr-CA"/>
                </w:rPr>
                <w:t>, R.S.A. 2000, ch. </w:t>
              </w:r>
              <w:r w:rsidRPr="009021BE">
                <w:rPr>
                  <w:sz w:val="20"/>
                </w:rPr>
                <w:t>M-26</w:t>
              </w:r>
            </w:hyperlink>
            <w:r w:rsidRPr="009021BE">
              <w:rPr>
                <w:sz w:val="20"/>
              </w:rPr>
              <w:t xml:space="preserve"> — </w:t>
            </w:r>
            <w:hyperlink r:id="rId29" w:history="1">
              <w:r w:rsidRPr="009021BE">
                <w:rPr>
                  <w:i/>
                  <w:iCs/>
                  <w:sz w:val="20"/>
                </w:rPr>
                <w:t>Matters Relating to Assessment and Taxation Regulation</w:t>
              </w:r>
              <w:r w:rsidRPr="009021BE">
                <w:rPr>
                  <w:sz w:val="20"/>
                </w:rPr>
                <w:t>,</w:t>
              </w:r>
              <w:r w:rsidRPr="009021BE">
                <w:rPr>
                  <w:b/>
                  <w:bCs/>
                  <w:i/>
                  <w:iCs/>
                  <w:sz w:val="20"/>
                </w:rPr>
                <w:t xml:space="preserve"> </w:t>
              </w:r>
              <w:r w:rsidRPr="009021BE">
                <w:rPr>
                  <w:sz w:val="20"/>
                </w:rPr>
                <w:t xml:space="preserve">Alta </w:t>
              </w:r>
              <w:proofErr w:type="spellStart"/>
              <w:r w:rsidRPr="009021BE">
                <w:rPr>
                  <w:sz w:val="20"/>
                </w:rPr>
                <w:t>Reg</w:t>
              </w:r>
              <w:proofErr w:type="spellEnd"/>
              <w:r w:rsidRPr="009021BE">
                <w:rPr>
                  <w:sz w:val="20"/>
                </w:rPr>
                <w:t xml:space="preserve"> 220/2004</w:t>
              </w:r>
            </w:hyperlink>
            <w:r w:rsidRPr="009021BE">
              <w:rPr>
                <w:sz w:val="20"/>
              </w:rPr>
              <w:t>. </w:t>
            </w:r>
          </w:p>
          <w:p w:rsidR="009021BE" w:rsidRPr="009021BE" w:rsidRDefault="009021BE" w:rsidP="009021BE">
            <w:pPr>
              <w:jc w:val="both"/>
              <w:rPr>
                <w:sz w:val="20"/>
              </w:rPr>
            </w:pPr>
          </w:p>
        </w:tc>
      </w:tr>
      <w:tr w:rsidR="009021BE" w:rsidRPr="009021BE" w:rsidTr="00E95A6A">
        <w:tc>
          <w:tcPr>
            <w:tcW w:w="5000" w:type="pct"/>
            <w:gridSpan w:val="4"/>
          </w:tcPr>
          <w:p w:rsidR="009021BE" w:rsidRPr="009021BE" w:rsidRDefault="009021BE" w:rsidP="009021BE">
            <w:pPr>
              <w:spacing w:after="240"/>
              <w:jc w:val="both"/>
              <w:rPr>
                <w:sz w:val="20"/>
                <w:lang w:val="fr-CA"/>
              </w:rPr>
            </w:pPr>
            <w:r w:rsidRPr="009021BE">
              <w:rPr>
                <w:sz w:val="20"/>
                <w:lang w:val="fr-CA"/>
              </w:rPr>
              <w:t xml:space="preserve">La municipalité de St. Albert, la Province de l’Alberta, la St. Albert </w:t>
            </w:r>
            <w:proofErr w:type="spellStart"/>
            <w:r w:rsidRPr="009021BE">
              <w:rPr>
                <w:sz w:val="20"/>
                <w:lang w:val="fr-CA"/>
              </w:rPr>
              <w:t>Housing</w:t>
            </w:r>
            <w:proofErr w:type="spellEnd"/>
            <w:r w:rsidRPr="009021BE">
              <w:rPr>
                <w:sz w:val="20"/>
                <w:lang w:val="fr-CA"/>
              </w:rPr>
              <w:t xml:space="preserve"> Society et </w:t>
            </w:r>
            <w:proofErr w:type="spellStart"/>
            <w:r w:rsidRPr="009021BE">
              <w:rPr>
                <w:sz w:val="20"/>
                <w:lang w:val="fr-CA"/>
              </w:rPr>
              <w:t>Big</w:t>
            </w:r>
            <w:proofErr w:type="spellEnd"/>
            <w:r w:rsidRPr="009021BE">
              <w:rPr>
                <w:sz w:val="20"/>
                <w:lang w:val="fr-CA"/>
              </w:rPr>
              <w:t xml:space="preserve"> Point </w:t>
            </w:r>
            <w:proofErr w:type="spellStart"/>
            <w:r w:rsidRPr="009021BE">
              <w:rPr>
                <w:sz w:val="20"/>
                <w:lang w:val="fr-CA"/>
              </w:rPr>
              <w:t>Developments</w:t>
            </w:r>
            <w:proofErr w:type="spellEnd"/>
            <w:r w:rsidRPr="009021BE">
              <w:rPr>
                <w:sz w:val="20"/>
                <w:lang w:val="fr-CA"/>
              </w:rPr>
              <w:t xml:space="preserve"> Inc. ont conclu des ententes en vue de fournir des logements abordables dans la municipalité de St. Albert. En exécution de ces ententes et par l’entremise d’une coentreprise, le promoteur, </w:t>
            </w:r>
            <w:proofErr w:type="spellStart"/>
            <w:r w:rsidRPr="009021BE">
              <w:rPr>
                <w:sz w:val="20"/>
                <w:lang w:val="fr-CA"/>
              </w:rPr>
              <w:t>Big</w:t>
            </w:r>
            <w:proofErr w:type="spellEnd"/>
            <w:r w:rsidRPr="009021BE">
              <w:rPr>
                <w:sz w:val="20"/>
                <w:lang w:val="fr-CA"/>
              </w:rPr>
              <w:t xml:space="preserve"> Point, et l’organisme sans but lucratif, la </w:t>
            </w:r>
            <w:proofErr w:type="spellStart"/>
            <w:r w:rsidRPr="009021BE">
              <w:rPr>
                <w:sz w:val="20"/>
                <w:lang w:val="fr-CA"/>
              </w:rPr>
              <w:t>Housing</w:t>
            </w:r>
            <w:proofErr w:type="spellEnd"/>
            <w:r w:rsidRPr="009021BE">
              <w:rPr>
                <w:sz w:val="20"/>
                <w:lang w:val="fr-CA"/>
              </w:rPr>
              <w:t xml:space="preserve"> Society, ont aménagé des logements abordables au 12, Nevada Place.</w:t>
            </w:r>
          </w:p>
          <w:p w:rsidR="009021BE" w:rsidRPr="009021BE" w:rsidRDefault="009021BE" w:rsidP="00BF319D">
            <w:pPr>
              <w:jc w:val="both"/>
              <w:rPr>
                <w:sz w:val="20"/>
                <w:lang w:val="fr-CA" w:eastAsia="en-CA"/>
              </w:rPr>
            </w:pPr>
            <w:r w:rsidRPr="009021BE">
              <w:rPr>
                <w:sz w:val="20"/>
                <w:lang w:val="fr-CA" w:eastAsia="en-CA"/>
              </w:rPr>
              <w:t xml:space="preserve">La </w:t>
            </w:r>
            <w:proofErr w:type="spellStart"/>
            <w:r w:rsidRPr="009021BE">
              <w:rPr>
                <w:sz w:val="20"/>
                <w:lang w:val="fr-CA" w:eastAsia="en-CA"/>
              </w:rPr>
              <w:t>Housing</w:t>
            </w:r>
            <w:proofErr w:type="spellEnd"/>
            <w:r w:rsidRPr="009021BE">
              <w:rPr>
                <w:sz w:val="20"/>
                <w:lang w:val="fr-CA" w:eastAsia="en-CA"/>
              </w:rPr>
              <w:t xml:space="preserve"> Society et </w:t>
            </w:r>
            <w:proofErr w:type="spellStart"/>
            <w:r w:rsidRPr="009021BE">
              <w:rPr>
                <w:sz w:val="20"/>
                <w:lang w:val="fr-CA" w:eastAsia="en-CA"/>
              </w:rPr>
              <w:t>Big</w:t>
            </w:r>
            <w:proofErr w:type="spellEnd"/>
            <w:r w:rsidRPr="009021BE">
              <w:rPr>
                <w:sz w:val="20"/>
                <w:lang w:val="fr-CA" w:eastAsia="en-CA"/>
              </w:rPr>
              <w:t xml:space="preserve"> Point ont déposé une plainte relativement aux évaluations de la municipalité en matière de taxation  pour les années d’imposition 2014 et 2015 relativement à ces logements. </w:t>
            </w:r>
            <w:r w:rsidRPr="009021BE">
              <w:rPr>
                <w:sz w:val="20"/>
                <w:lang w:val="fr-CA"/>
              </w:rPr>
              <w:t xml:space="preserve">La commission de révision a confirmé l’évaluation pour 2014, mais a réduit l’évaluation pour 2015, comme l’a demandé la municipalité, de 15 563 000 $ à 14 461 000 $. Saisie d’une demande de contrôle judiciaire, la juge en cabinet a annulé les décisions de la commission de révision et a renvoyé les évaluations à la commission de révision pour réexamen. </w:t>
            </w:r>
            <w:r w:rsidRPr="009021BE">
              <w:rPr>
                <w:sz w:val="20"/>
                <w:lang w:val="fr-CA" w:eastAsia="en-CA"/>
              </w:rPr>
              <w:t>La Cour d’appel a accueilli l’appel et a rétabli les décisions de la commission de révision.</w:t>
            </w:r>
          </w:p>
          <w:p w:rsidR="009021BE" w:rsidRPr="009021BE" w:rsidRDefault="009021BE" w:rsidP="00BF319D">
            <w:pPr>
              <w:jc w:val="both"/>
              <w:rPr>
                <w:sz w:val="20"/>
                <w:lang w:val="fr-CA"/>
              </w:rPr>
            </w:pP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24 décembre 2014</w:t>
            </w:r>
          </w:p>
          <w:p w:rsidR="009021BE" w:rsidRPr="009021BE" w:rsidRDefault="009021BE" w:rsidP="009021BE">
            <w:pPr>
              <w:jc w:val="both"/>
              <w:rPr>
                <w:sz w:val="20"/>
                <w:lang w:val="fr-CA"/>
              </w:rPr>
            </w:pPr>
            <w:r w:rsidRPr="009021BE">
              <w:rPr>
                <w:sz w:val="20"/>
                <w:lang w:val="fr-CA"/>
              </w:rPr>
              <w:t xml:space="preserve">St. Albert Composite </w:t>
            </w:r>
            <w:proofErr w:type="spellStart"/>
            <w:r w:rsidRPr="009021BE">
              <w:rPr>
                <w:sz w:val="20"/>
                <w:lang w:val="fr-CA"/>
              </w:rPr>
              <w:t>Assessment</w:t>
            </w:r>
            <w:proofErr w:type="spellEnd"/>
            <w:r w:rsidRPr="009021BE">
              <w:rPr>
                <w:sz w:val="20"/>
                <w:lang w:val="fr-CA"/>
              </w:rPr>
              <w:t xml:space="preserve"> </w:t>
            </w:r>
            <w:proofErr w:type="spellStart"/>
            <w:r w:rsidRPr="009021BE">
              <w:rPr>
                <w:sz w:val="20"/>
                <w:lang w:val="fr-CA"/>
              </w:rPr>
              <w:t>Review</w:t>
            </w:r>
            <w:proofErr w:type="spellEnd"/>
            <w:r w:rsidRPr="009021BE">
              <w:rPr>
                <w:sz w:val="20"/>
                <w:lang w:val="fr-CA"/>
              </w:rPr>
              <w:t xml:space="preserve"> </w:t>
            </w:r>
            <w:proofErr w:type="spellStart"/>
            <w:r w:rsidRPr="009021BE">
              <w:rPr>
                <w:sz w:val="20"/>
                <w:lang w:val="fr-CA"/>
              </w:rPr>
              <w:t>Board</w:t>
            </w:r>
            <w:proofErr w:type="spellEnd"/>
          </w:p>
          <w:p w:rsidR="009021BE" w:rsidRPr="009021BE" w:rsidRDefault="009021BE" w:rsidP="009021BE">
            <w:pPr>
              <w:jc w:val="both"/>
              <w:rPr>
                <w:sz w:val="20"/>
                <w:lang w:val="fr-CA"/>
              </w:rPr>
            </w:pPr>
            <w:r w:rsidRPr="009021BE">
              <w:rPr>
                <w:sz w:val="20"/>
                <w:lang w:val="fr-CA"/>
              </w:rPr>
              <w:t>(Sous la présidence de C. </w:t>
            </w:r>
            <w:proofErr w:type="spellStart"/>
            <w:r w:rsidRPr="009021BE">
              <w:rPr>
                <w:sz w:val="20"/>
                <w:lang w:val="fr-CA"/>
              </w:rPr>
              <w:t>Duxbury</w:t>
            </w:r>
            <w:proofErr w:type="spellEnd"/>
            <w:r w:rsidRPr="009021BE">
              <w:rPr>
                <w:sz w:val="20"/>
                <w:lang w:val="fr-CA"/>
              </w:rPr>
              <w:t>)</w:t>
            </w:r>
          </w:p>
          <w:p w:rsidR="009021BE" w:rsidRPr="009021BE" w:rsidRDefault="009021BE" w:rsidP="009021BE">
            <w:pPr>
              <w:jc w:val="both"/>
              <w:rPr>
                <w:sz w:val="20"/>
                <w:lang w:val="fr-CA"/>
              </w:rPr>
            </w:pP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lang w:val="fr-CA"/>
              </w:rPr>
            </w:pPr>
            <w:r w:rsidRPr="009021BE">
              <w:rPr>
                <w:sz w:val="20"/>
                <w:lang w:val="fr-CA"/>
              </w:rPr>
              <w:t>Confirmation de l’évaluation de 13 631 000 $ pour l’année 2014.</w:t>
            </w:r>
          </w:p>
        </w:tc>
      </w:tr>
      <w:tr w:rsidR="009021BE" w:rsidRPr="009021BE" w:rsidTr="00E95A6A">
        <w:tc>
          <w:tcPr>
            <w:tcW w:w="2427" w:type="pct"/>
            <w:gridSpan w:val="2"/>
          </w:tcPr>
          <w:p w:rsidR="009021BE" w:rsidRPr="009021BE" w:rsidRDefault="009021BE" w:rsidP="009021BE">
            <w:pPr>
              <w:jc w:val="both"/>
              <w:rPr>
                <w:sz w:val="20"/>
              </w:rPr>
            </w:pPr>
            <w:r w:rsidRPr="009021BE">
              <w:rPr>
                <w:sz w:val="20"/>
              </w:rPr>
              <w:t>5 </w:t>
            </w:r>
            <w:proofErr w:type="spellStart"/>
            <w:r w:rsidRPr="009021BE">
              <w:rPr>
                <w:sz w:val="20"/>
              </w:rPr>
              <w:t>novembre</w:t>
            </w:r>
            <w:proofErr w:type="spellEnd"/>
            <w:r w:rsidRPr="009021BE">
              <w:rPr>
                <w:sz w:val="20"/>
              </w:rPr>
              <w:t xml:space="preserve"> 2015</w:t>
            </w:r>
          </w:p>
          <w:p w:rsidR="009021BE" w:rsidRPr="009021BE" w:rsidRDefault="009021BE" w:rsidP="009021BE">
            <w:pPr>
              <w:jc w:val="both"/>
              <w:rPr>
                <w:sz w:val="20"/>
              </w:rPr>
            </w:pPr>
            <w:r w:rsidRPr="009021BE">
              <w:rPr>
                <w:sz w:val="20"/>
              </w:rPr>
              <w:t>St. Albert Composite Assessment Review Board</w:t>
            </w:r>
          </w:p>
          <w:p w:rsidR="009021BE" w:rsidRPr="009021BE" w:rsidRDefault="009021BE" w:rsidP="009021BE">
            <w:pPr>
              <w:jc w:val="both"/>
              <w:rPr>
                <w:sz w:val="20"/>
                <w:lang w:val="fr-CA"/>
              </w:rPr>
            </w:pPr>
            <w:r w:rsidRPr="009021BE">
              <w:rPr>
                <w:sz w:val="20"/>
                <w:lang w:val="fr-CA"/>
              </w:rPr>
              <w:t xml:space="preserve">(Sous la présidence de P. </w:t>
            </w:r>
            <w:proofErr w:type="spellStart"/>
            <w:r w:rsidRPr="009021BE">
              <w:rPr>
                <w:sz w:val="20"/>
                <w:lang w:val="fr-CA"/>
              </w:rPr>
              <w:t>Hagemann</w:t>
            </w:r>
            <w:proofErr w:type="spellEnd"/>
            <w:r w:rsidRPr="009021BE">
              <w:rPr>
                <w:sz w:val="20"/>
                <w:lang w:val="fr-CA"/>
              </w:rPr>
              <w:t>)</w:t>
            </w:r>
          </w:p>
          <w:p w:rsidR="009021BE" w:rsidRPr="009021BE" w:rsidRDefault="009021BE" w:rsidP="009021BE">
            <w:pPr>
              <w:jc w:val="both"/>
              <w:rPr>
                <w:sz w:val="20"/>
                <w:lang w:val="fr-CA"/>
              </w:rPr>
            </w:pP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lang w:val="fr-CA"/>
              </w:rPr>
            </w:pPr>
            <w:r w:rsidRPr="009021BE">
              <w:rPr>
                <w:sz w:val="20"/>
                <w:lang w:val="fr-CA"/>
              </w:rPr>
              <w:t>Réduction de l’évaluation de 15 563 000 $ à 14 610 000 $ pour l’année 2015.</w:t>
            </w: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7 avril 2016</w:t>
            </w:r>
          </w:p>
          <w:p w:rsidR="009021BE" w:rsidRPr="009021BE" w:rsidRDefault="009021BE" w:rsidP="009021BE">
            <w:pPr>
              <w:jc w:val="both"/>
              <w:rPr>
                <w:sz w:val="20"/>
                <w:lang w:val="fr-CA"/>
              </w:rPr>
            </w:pPr>
            <w:r w:rsidRPr="009021BE">
              <w:rPr>
                <w:sz w:val="20"/>
                <w:lang w:val="fr-CA"/>
              </w:rPr>
              <w:t>Cour du Banc de la Reine de l’Alberta</w:t>
            </w:r>
          </w:p>
          <w:p w:rsidR="009021BE" w:rsidRPr="009021BE" w:rsidRDefault="009021BE" w:rsidP="009021BE">
            <w:pPr>
              <w:jc w:val="both"/>
              <w:rPr>
                <w:sz w:val="20"/>
                <w:lang w:val="fr-CA"/>
              </w:rPr>
            </w:pPr>
            <w:r w:rsidRPr="009021BE">
              <w:rPr>
                <w:sz w:val="20"/>
                <w:lang w:val="fr-CA"/>
              </w:rPr>
              <w:t>(Juge Shelley)</w:t>
            </w:r>
          </w:p>
          <w:p w:rsidR="009021BE" w:rsidRPr="009021BE" w:rsidRDefault="009021BE" w:rsidP="009021BE">
            <w:pPr>
              <w:jc w:val="both"/>
              <w:rPr>
                <w:sz w:val="20"/>
                <w:lang w:val="fr-CA"/>
              </w:rPr>
            </w:pPr>
            <w:hyperlink r:id="rId30" w:history="1">
              <w:r w:rsidRPr="009021BE">
                <w:rPr>
                  <w:rStyle w:val="Hyperlink"/>
                  <w:sz w:val="20"/>
                  <w:lang w:val="fr-CA"/>
                </w:rPr>
                <w:t>2016 ABQB 203</w:t>
              </w:r>
            </w:hyperlink>
          </w:p>
          <w:p w:rsidR="009021BE" w:rsidRPr="009021BE" w:rsidRDefault="009021BE" w:rsidP="009021BE">
            <w:pPr>
              <w:jc w:val="both"/>
              <w:rPr>
                <w:sz w:val="20"/>
                <w:lang w:val="fr-CA"/>
              </w:rPr>
            </w:pP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lang w:val="fr-CA"/>
              </w:rPr>
            </w:pPr>
            <w:r w:rsidRPr="009021BE">
              <w:rPr>
                <w:sz w:val="20"/>
                <w:lang w:val="fr-CA"/>
              </w:rPr>
              <w:t xml:space="preserve">Jugement accueillant les demandes de contrôle judiciaire des décisions de la Composite </w:t>
            </w:r>
            <w:proofErr w:type="spellStart"/>
            <w:r w:rsidRPr="009021BE">
              <w:rPr>
                <w:sz w:val="20"/>
                <w:lang w:val="fr-CA"/>
              </w:rPr>
              <w:t>Assessment</w:t>
            </w:r>
            <w:proofErr w:type="spellEnd"/>
            <w:r w:rsidRPr="009021BE">
              <w:rPr>
                <w:sz w:val="20"/>
                <w:lang w:val="fr-CA"/>
              </w:rPr>
              <w:t xml:space="preserve"> </w:t>
            </w:r>
            <w:proofErr w:type="spellStart"/>
            <w:r w:rsidRPr="009021BE">
              <w:rPr>
                <w:sz w:val="20"/>
                <w:lang w:val="fr-CA"/>
              </w:rPr>
              <w:t>Review</w:t>
            </w:r>
            <w:proofErr w:type="spellEnd"/>
            <w:r w:rsidRPr="009021BE">
              <w:rPr>
                <w:sz w:val="20"/>
                <w:lang w:val="fr-CA"/>
              </w:rPr>
              <w:t xml:space="preserve"> </w:t>
            </w:r>
            <w:proofErr w:type="spellStart"/>
            <w:r w:rsidRPr="009021BE">
              <w:rPr>
                <w:sz w:val="20"/>
                <w:lang w:val="fr-CA"/>
              </w:rPr>
              <w:t>Board</w:t>
            </w:r>
            <w:proofErr w:type="spellEnd"/>
            <w:r w:rsidRPr="009021BE">
              <w:rPr>
                <w:sz w:val="20"/>
                <w:lang w:val="fr-CA"/>
              </w:rPr>
              <w:t xml:space="preserve">, annulant les décisions pour les années d’évaluation 2014 et 2015 et renvoyant l’affaire à la commission de révision pour réexamen. </w:t>
            </w:r>
          </w:p>
          <w:p w:rsidR="009021BE" w:rsidRPr="009021BE" w:rsidRDefault="009021BE" w:rsidP="009021BE">
            <w:pPr>
              <w:jc w:val="both"/>
              <w:rPr>
                <w:sz w:val="20"/>
                <w:lang w:val="fr-CA"/>
              </w:rPr>
            </w:pP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1</w:t>
            </w:r>
            <w:r w:rsidRPr="009021BE">
              <w:rPr>
                <w:sz w:val="20"/>
                <w:vertAlign w:val="superscript"/>
                <w:lang w:val="fr-CA"/>
              </w:rPr>
              <w:t>er</w:t>
            </w:r>
            <w:r w:rsidRPr="009021BE">
              <w:rPr>
                <w:sz w:val="20"/>
                <w:lang w:val="fr-CA"/>
              </w:rPr>
              <w:t xml:space="preserve"> mai 2017</w:t>
            </w:r>
          </w:p>
          <w:p w:rsidR="009021BE" w:rsidRPr="009021BE" w:rsidRDefault="009021BE" w:rsidP="009021BE">
            <w:pPr>
              <w:jc w:val="both"/>
              <w:rPr>
                <w:sz w:val="20"/>
                <w:lang w:val="fr-CA"/>
              </w:rPr>
            </w:pPr>
            <w:r w:rsidRPr="009021BE">
              <w:rPr>
                <w:sz w:val="20"/>
                <w:lang w:val="fr-CA"/>
              </w:rPr>
              <w:t>Cour d’appel de l’Alberta (Edmonton)</w:t>
            </w:r>
          </w:p>
          <w:p w:rsidR="009021BE" w:rsidRPr="009021BE" w:rsidRDefault="009021BE" w:rsidP="009021BE">
            <w:pPr>
              <w:jc w:val="both"/>
              <w:rPr>
                <w:sz w:val="20"/>
                <w:lang w:val="fr-CA"/>
              </w:rPr>
            </w:pPr>
            <w:r w:rsidRPr="009021BE">
              <w:rPr>
                <w:sz w:val="20"/>
                <w:lang w:val="fr-CA"/>
              </w:rPr>
              <w:t xml:space="preserve">(Juge en chef Fraser, juges </w:t>
            </w:r>
            <w:proofErr w:type="spellStart"/>
            <w:r w:rsidRPr="009021BE">
              <w:rPr>
                <w:sz w:val="20"/>
                <w:lang w:val="fr-CA"/>
              </w:rPr>
              <w:t>Rowbotham</w:t>
            </w:r>
            <w:proofErr w:type="spellEnd"/>
            <w:r w:rsidRPr="009021BE">
              <w:rPr>
                <w:sz w:val="20"/>
                <w:lang w:val="fr-CA"/>
              </w:rPr>
              <w:t xml:space="preserve"> et </w:t>
            </w:r>
            <w:proofErr w:type="spellStart"/>
            <w:r w:rsidRPr="009021BE">
              <w:rPr>
                <w:sz w:val="20"/>
                <w:lang w:val="fr-CA"/>
              </w:rPr>
              <w:t>Greckol</w:t>
            </w:r>
            <w:proofErr w:type="spellEnd"/>
            <w:r w:rsidRPr="009021BE">
              <w:rPr>
                <w:sz w:val="20"/>
                <w:lang w:val="fr-CA"/>
              </w:rPr>
              <w:t>)</w:t>
            </w:r>
          </w:p>
          <w:p w:rsidR="009021BE" w:rsidRPr="009021BE" w:rsidRDefault="009021BE" w:rsidP="009021BE">
            <w:pPr>
              <w:jc w:val="both"/>
              <w:rPr>
                <w:sz w:val="20"/>
                <w:lang w:val="fr-CA"/>
              </w:rPr>
            </w:pPr>
            <w:hyperlink r:id="rId31" w:history="1">
              <w:r w:rsidRPr="009021BE">
                <w:rPr>
                  <w:rStyle w:val="Hyperlink"/>
                  <w:sz w:val="20"/>
                  <w:lang w:val="fr-CA"/>
                </w:rPr>
                <w:t>2017 ABCA 129</w:t>
              </w:r>
            </w:hyperlink>
          </w:p>
          <w:p w:rsidR="009021BE" w:rsidRPr="009021BE" w:rsidRDefault="009021BE" w:rsidP="009021BE">
            <w:pPr>
              <w:jc w:val="both"/>
              <w:rPr>
                <w:sz w:val="20"/>
                <w:lang w:val="fr-CA"/>
              </w:rPr>
            </w:pPr>
            <w:r w:rsidRPr="009021BE">
              <w:rPr>
                <w:sz w:val="20"/>
                <w:lang w:val="fr-CA"/>
              </w:rPr>
              <w:t>N</w:t>
            </w:r>
            <w:r w:rsidRPr="009021BE">
              <w:rPr>
                <w:sz w:val="20"/>
                <w:vertAlign w:val="superscript"/>
                <w:lang w:val="fr-CA"/>
              </w:rPr>
              <w:t>o</w:t>
            </w:r>
            <w:r w:rsidRPr="009021BE">
              <w:rPr>
                <w:sz w:val="20"/>
                <w:lang w:val="fr-CA"/>
              </w:rPr>
              <w:t xml:space="preserve"> de dossier : 1603-0125-AC</w:t>
            </w:r>
          </w:p>
          <w:p w:rsidR="009021BE" w:rsidRPr="009021BE" w:rsidRDefault="009021BE" w:rsidP="009021BE">
            <w:pPr>
              <w:jc w:val="both"/>
              <w:rPr>
                <w:sz w:val="20"/>
                <w:lang w:val="fr-CA"/>
              </w:rPr>
            </w:pP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lang w:val="fr-CA"/>
              </w:rPr>
            </w:pPr>
            <w:r w:rsidRPr="009021BE">
              <w:rPr>
                <w:sz w:val="20"/>
                <w:lang w:val="fr-CA"/>
              </w:rPr>
              <w:t xml:space="preserve">Arrêt accueillant l’appel et rétablissant les décisions de la Composite </w:t>
            </w:r>
            <w:proofErr w:type="spellStart"/>
            <w:r w:rsidRPr="009021BE">
              <w:rPr>
                <w:sz w:val="20"/>
                <w:lang w:val="fr-CA"/>
              </w:rPr>
              <w:t>Assessment</w:t>
            </w:r>
            <w:proofErr w:type="spellEnd"/>
            <w:r w:rsidRPr="009021BE">
              <w:rPr>
                <w:sz w:val="20"/>
                <w:lang w:val="fr-CA"/>
              </w:rPr>
              <w:t xml:space="preserve"> </w:t>
            </w:r>
            <w:proofErr w:type="spellStart"/>
            <w:r w:rsidRPr="009021BE">
              <w:rPr>
                <w:sz w:val="20"/>
                <w:lang w:val="fr-CA"/>
              </w:rPr>
              <w:t>Review</w:t>
            </w:r>
            <w:proofErr w:type="spellEnd"/>
            <w:r w:rsidRPr="009021BE">
              <w:rPr>
                <w:sz w:val="20"/>
                <w:lang w:val="fr-CA"/>
              </w:rPr>
              <w:t xml:space="preserve"> </w:t>
            </w:r>
            <w:proofErr w:type="spellStart"/>
            <w:r w:rsidRPr="009021BE">
              <w:rPr>
                <w:sz w:val="20"/>
                <w:lang w:val="fr-CA"/>
              </w:rPr>
              <w:t>Board</w:t>
            </w:r>
            <w:proofErr w:type="spellEnd"/>
            <w:r w:rsidRPr="009021BE">
              <w:rPr>
                <w:sz w:val="20"/>
                <w:lang w:val="fr-CA"/>
              </w:rPr>
              <w:t xml:space="preserve">. </w:t>
            </w:r>
          </w:p>
          <w:p w:rsidR="009021BE" w:rsidRPr="009021BE" w:rsidRDefault="009021BE" w:rsidP="009021BE">
            <w:pPr>
              <w:jc w:val="both"/>
              <w:rPr>
                <w:sz w:val="20"/>
                <w:lang w:val="fr-CA"/>
              </w:rPr>
            </w:pP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29 juin 2017</w:t>
            </w:r>
          </w:p>
          <w:p w:rsidR="009021BE" w:rsidRPr="009021BE" w:rsidRDefault="009021BE" w:rsidP="009021BE">
            <w:pPr>
              <w:jc w:val="both"/>
              <w:rPr>
                <w:sz w:val="20"/>
                <w:lang w:val="fr-CA"/>
              </w:rPr>
            </w:pPr>
            <w:r w:rsidRPr="009021BE">
              <w:rPr>
                <w:sz w:val="20"/>
                <w:lang w:val="fr-CA"/>
              </w:rPr>
              <w:t>Cour suprême du Canada</w:t>
            </w: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lang w:val="fr-CA"/>
              </w:rPr>
            </w:pPr>
            <w:r w:rsidRPr="009021BE">
              <w:rPr>
                <w:sz w:val="20"/>
                <w:lang w:val="fr-CA"/>
              </w:rPr>
              <w:t>Dépôt de la demande d’autorisation d’appel.</w:t>
            </w:r>
          </w:p>
          <w:p w:rsidR="009021BE" w:rsidRPr="009021BE" w:rsidRDefault="009021BE" w:rsidP="009021BE">
            <w:pPr>
              <w:jc w:val="both"/>
              <w:rPr>
                <w:sz w:val="20"/>
                <w:lang w:val="fr-CA"/>
              </w:rPr>
            </w:pPr>
          </w:p>
        </w:tc>
      </w:tr>
    </w:tbl>
    <w:p w:rsidR="009021BE" w:rsidRPr="009021BE" w:rsidRDefault="009021BE" w:rsidP="009021BE">
      <w:pPr>
        <w:jc w:val="both"/>
        <w:rPr>
          <w:sz w:val="20"/>
          <w:lang w:val="fr-CA"/>
        </w:rPr>
      </w:pPr>
    </w:p>
    <w:p w:rsidR="009021BE" w:rsidRPr="009021BE" w:rsidRDefault="009021BE" w:rsidP="009021B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21BE" w:rsidRPr="009021BE" w:rsidTr="00E95A6A">
        <w:tc>
          <w:tcPr>
            <w:tcW w:w="543" w:type="pct"/>
          </w:tcPr>
          <w:p w:rsidR="009021BE" w:rsidRPr="009021BE" w:rsidRDefault="009021BE" w:rsidP="009021BE">
            <w:pPr>
              <w:jc w:val="both"/>
              <w:rPr>
                <w:sz w:val="20"/>
              </w:rPr>
            </w:pPr>
            <w:r w:rsidRPr="009021BE">
              <w:rPr>
                <w:rStyle w:val="SCCFileNumberChar"/>
                <w:sz w:val="20"/>
                <w:szCs w:val="20"/>
              </w:rPr>
              <w:t>37533</w:t>
            </w:r>
          </w:p>
        </w:tc>
        <w:tc>
          <w:tcPr>
            <w:tcW w:w="4457" w:type="pct"/>
            <w:gridSpan w:val="3"/>
          </w:tcPr>
          <w:p w:rsidR="009021BE" w:rsidRPr="00BF319D" w:rsidRDefault="009021BE" w:rsidP="009021BE">
            <w:pPr>
              <w:pStyle w:val="SCCLsocParty"/>
              <w:jc w:val="both"/>
              <w:rPr>
                <w:b/>
                <w:sz w:val="20"/>
                <w:szCs w:val="20"/>
                <w:lang w:val="en-US"/>
              </w:rPr>
            </w:pPr>
            <w:r w:rsidRPr="00BF319D">
              <w:rPr>
                <w:b/>
                <w:sz w:val="20"/>
                <w:szCs w:val="20"/>
                <w:lang w:val="en-US"/>
              </w:rPr>
              <w:t xml:space="preserve">John </w:t>
            </w:r>
            <w:proofErr w:type="spellStart"/>
            <w:r w:rsidRPr="00BF319D">
              <w:rPr>
                <w:b/>
                <w:sz w:val="20"/>
                <w:szCs w:val="20"/>
                <w:lang w:val="en-US"/>
              </w:rPr>
              <w:t>Tsekouras</w:t>
            </w:r>
            <w:proofErr w:type="spellEnd"/>
            <w:r w:rsidRPr="00BF319D">
              <w:rPr>
                <w:b/>
                <w:sz w:val="20"/>
                <w:szCs w:val="20"/>
                <w:lang w:val="en-US"/>
              </w:rPr>
              <w:t xml:space="preserve"> v. Her Majesty the Queen</w:t>
            </w:r>
          </w:p>
          <w:p w:rsidR="009021BE" w:rsidRPr="009021BE" w:rsidRDefault="009021BE" w:rsidP="009021BE">
            <w:pPr>
              <w:jc w:val="both"/>
              <w:rPr>
                <w:sz w:val="20"/>
              </w:rPr>
            </w:pPr>
            <w:r w:rsidRPr="009021BE">
              <w:rPr>
                <w:sz w:val="20"/>
              </w:rPr>
              <w:t>(Ont.) (Criminal) (By Leave)</w:t>
            </w:r>
          </w:p>
        </w:tc>
      </w:tr>
      <w:tr w:rsidR="009021BE" w:rsidRPr="009021BE" w:rsidTr="00E95A6A">
        <w:tc>
          <w:tcPr>
            <w:tcW w:w="5000" w:type="pct"/>
            <w:gridSpan w:val="4"/>
          </w:tcPr>
          <w:p w:rsidR="009021BE" w:rsidRPr="009021BE" w:rsidRDefault="009021BE" w:rsidP="009021BE">
            <w:pPr>
              <w:jc w:val="both"/>
              <w:rPr>
                <w:sz w:val="20"/>
              </w:rPr>
            </w:pPr>
            <w:r w:rsidRPr="009021BE">
              <w:rPr>
                <w:i/>
                <w:sz w:val="20"/>
              </w:rPr>
              <w:t>Charter of Rights and Freedoms</w:t>
            </w:r>
            <w:r w:rsidRPr="009021BE">
              <w:rPr>
                <w:sz w:val="20"/>
              </w:rPr>
              <w:t xml:space="preserve"> – Search and seizure – Criminal law – Evidence – Whether trial judge erred in application of s. 24(2) of </w:t>
            </w:r>
            <w:r w:rsidRPr="009021BE">
              <w:rPr>
                <w:i/>
                <w:sz w:val="20"/>
              </w:rPr>
              <w:t xml:space="preserve">Charter </w:t>
            </w:r>
            <w:r w:rsidRPr="009021BE">
              <w:rPr>
                <w:sz w:val="20"/>
              </w:rPr>
              <w:t>– Admissibility of content of accused’s Blackberry – Admissibility of hearsay statements</w:t>
            </w:r>
          </w:p>
        </w:tc>
      </w:tr>
      <w:tr w:rsidR="009021BE" w:rsidRPr="009021BE" w:rsidTr="00E95A6A">
        <w:tc>
          <w:tcPr>
            <w:tcW w:w="5000" w:type="pct"/>
            <w:gridSpan w:val="4"/>
          </w:tcPr>
          <w:p w:rsidR="009021BE" w:rsidRPr="009021BE" w:rsidRDefault="009021BE" w:rsidP="009021BE">
            <w:pPr>
              <w:jc w:val="both"/>
              <w:rPr>
                <w:sz w:val="20"/>
              </w:rPr>
            </w:pPr>
          </w:p>
        </w:tc>
      </w:tr>
      <w:tr w:rsidR="009021BE" w:rsidRPr="009021BE" w:rsidTr="00E95A6A">
        <w:tc>
          <w:tcPr>
            <w:tcW w:w="5000" w:type="pct"/>
            <w:gridSpan w:val="4"/>
          </w:tcPr>
          <w:p w:rsidR="009021BE" w:rsidRPr="009021BE" w:rsidRDefault="009021BE" w:rsidP="009021BE">
            <w:pPr>
              <w:jc w:val="both"/>
              <w:rPr>
                <w:sz w:val="20"/>
              </w:rPr>
            </w:pPr>
            <w:r w:rsidRPr="009021BE">
              <w:rPr>
                <w:sz w:val="20"/>
              </w:rPr>
              <w:t>Following a joint forces investigation, Mr. </w:t>
            </w:r>
            <w:proofErr w:type="spellStart"/>
            <w:r w:rsidRPr="009021BE">
              <w:rPr>
                <w:sz w:val="20"/>
              </w:rPr>
              <w:t>Tsekouras</w:t>
            </w:r>
            <w:proofErr w:type="spellEnd"/>
            <w:r w:rsidRPr="009021BE">
              <w:rPr>
                <w:sz w:val="20"/>
              </w:rPr>
              <w:t xml:space="preserve"> was charged with multiple offences related to trafficking and possession of marihuana and cocaine and conspiring with others to traffic and possess marihuana and cocaine. Communications retrieved from Mr. </w:t>
            </w:r>
            <w:proofErr w:type="spellStart"/>
            <w:r w:rsidRPr="009021BE">
              <w:rPr>
                <w:sz w:val="20"/>
              </w:rPr>
              <w:t>Tsekouras’s</w:t>
            </w:r>
            <w:proofErr w:type="spellEnd"/>
            <w:r w:rsidRPr="009021BE">
              <w:rPr>
                <w:sz w:val="20"/>
              </w:rPr>
              <w:t xml:space="preserve"> Blackberry were admitted into evidence. The Blackberry was seized incident to an arrest that did not result in any formal charge and that occurred without reasonable and probable grounds. The Blackberry was retained without mandatory reports being delivered to a Justice of the Peace and was searched without a warrant. The Crown’s evidence included a co-conspirator’s</w:t>
            </w:r>
            <w:r w:rsidRPr="009021BE">
              <w:rPr>
                <w:sz w:val="20"/>
                <w:lang w:val="en"/>
              </w:rPr>
              <w:t xml:space="preserve"> statement to the police before his death, the fact that another co-conspirator pleaded guilty to drug offences, and the statement of facts supporting that plea</w:t>
            </w:r>
            <w:r w:rsidR="00BF319D">
              <w:rPr>
                <w:sz w:val="20"/>
                <w:lang w:val="en"/>
              </w:rPr>
              <w:t>.</w:t>
            </w:r>
          </w:p>
          <w:p w:rsidR="009021BE" w:rsidRPr="009021BE" w:rsidRDefault="009021BE" w:rsidP="009021BE">
            <w:pPr>
              <w:jc w:val="both"/>
              <w:rPr>
                <w:sz w:val="20"/>
              </w:rPr>
            </w:pPr>
          </w:p>
        </w:tc>
      </w:tr>
      <w:tr w:rsidR="009021BE" w:rsidRPr="009021BE" w:rsidTr="00E95A6A">
        <w:tc>
          <w:tcPr>
            <w:tcW w:w="2427" w:type="pct"/>
            <w:gridSpan w:val="2"/>
          </w:tcPr>
          <w:p w:rsidR="009021BE" w:rsidRPr="009021BE" w:rsidRDefault="009021BE" w:rsidP="009021BE">
            <w:pPr>
              <w:jc w:val="both"/>
              <w:rPr>
                <w:sz w:val="20"/>
              </w:rPr>
            </w:pPr>
            <w:r w:rsidRPr="009021BE">
              <w:rPr>
                <w:sz w:val="20"/>
                <w:lang w:val="en"/>
              </w:rPr>
              <w:t>October 20, 2014</w:t>
            </w:r>
            <w:r w:rsidRPr="009021BE">
              <w:rPr>
                <w:sz w:val="20"/>
              </w:rPr>
              <w:t xml:space="preserve"> </w:t>
            </w:r>
          </w:p>
          <w:p w:rsidR="009021BE" w:rsidRPr="009021BE" w:rsidRDefault="009021BE" w:rsidP="009021BE">
            <w:pPr>
              <w:jc w:val="both"/>
              <w:rPr>
                <w:sz w:val="20"/>
              </w:rPr>
            </w:pPr>
            <w:r w:rsidRPr="009021BE">
              <w:rPr>
                <w:sz w:val="20"/>
              </w:rPr>
              <w:t>Ontario Superior Court of Justice</w:t>
            </w:r>
          </w:p>
          <w:p w:rsidR="009021BE" w:rsidRPr="009021BE" w:rsidRDefault="009021BE" w:rsidP="009021BE">
            <w:pPr>
              <w:jc w:val="both"/>
              <w:rPr>
                <w:sz w:val="20"/>
              </w:rPr>
            </w:pPr>
            <w:r w:rsidRPr="009021BE">
              <w:rPr>
                <w:sz w:val="20"/>
              </w:rPr>
              <w:t>(Wright J.)</w:t>
            </w:r>
          </w:p>
          <w:p w:rsidR="009021BE" w:rsidRPr="009021BE" w:rsidRDefault="009021BE" w:rsidP="009021BE">
            <w:pPr>
              <w:jc w:val="both"/>
              <w:rPr>
                <w:sz w:val="20"/>
              </w:rPr>
            </w:pPr>
            <w:r w:rsidRPr="009021BE">
              <w:rPr>
                <w:sz w:val="20"/>
              </w:rPr>
              <w:t>(Unreported)</w:t>
            </w:r>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 xml:space="preserve">Data found to have been retrieved from accused’s Blackberry  in breach of s. 8 of </w:t>
            </w:r>
            <w:r w:rsidRPr="009021BE">
              <w:rPr>
                <w:i/>
                <w:sz w:val="20"/>
              </w:rPr>
              <w:t>Charter</w:t>
            </w:r>
            <w:r w:rsidRPr="009021BE">
              <w:rPr>
                <w:sz w:val="20"/>
              </w:rPr>
              <w:t xml:space="preserve"> ruled admissible </w:t>
            </w:r>
          </w:p>
        </w:tc>
      </w:tr>
      <w:tr w:rsidR="009021BE" w:rsidRPr="009021BE" w:rsidTr="00E95A6A">
        <w:tc>
          <w:tcPr>
            <w:tcW w:w="2427" w:type="pct"/>
            <w:gridSpan w:val="2"/>
          </w:tcPr>
          <w:p w:rsidR="009021BE" w:rsidRPr="009021BE" w:rsidRDefault="009021BE" w:rsidP="009021BE">
            <w:pPr>
              <w:jc w:val="both"/>
              <w:rPr>
                <w:sz w:val="20"/>
              </w:rPr>
            </w:pPr>
            <w:r w:rsidRPr="009021BE">
              <w:rPr>
                <w:sz w:val="20"/>
                <w:lang w:val="en"/>
              </w:rPr>
              <w:t>December 23, 2014</w:t>
            </w:r>
            <w:r w:rsidRPr="009021BE">
              <w:rPr>
                <w:sz w:val="20"/>
              </w:rPr>
              <w:t xml:space="preserve"> </w:t>
            </w:r>
          </w:p>
          <w:p w:rsidR="009021BE" w:rsidRPr="009021BE" w:rsidRDefault="009021BE" w:rsidP="009021BE">
            <w:pPr>
              <w:jc w:val="both"/>
              <w:rPr>
                <w:sz w:val="20"/>
              </w:rPr>
            </w:pPr>
            <w:r w:rsidRPr="009021BE">
              <w:rPr>
                <w:sz w:val="20"/>
              </w:rPr>
              <w:t>Ontario Superior Court of Justice</w:t>
            </w:r>
          </w:p>
          <w:p w:rsidR="009021BE" w:rsidRPr="009021BE" w:rsidRDefault="009021BE" w:rsidP="009021BE">
            <w:pPr>
              <w:jc w:val="both"/>
              <w:rPr>
                <w:sz w:val="20"/>
              </w:rPr>
            </w:pPr>
            <w:r w:rsidRPr="009021BE">
              <w:rPr>
                <w:sz w:val="20"/>
              </w:rPr>
              <w:t>(Wright J.)</w:t>
            </w:r>
          </w:p>
          <w:p w:rsidR="009021BE" w:rsidRPr="009021BE" w:rsidRDefault="009021BE" w:rsidP="009021BE">
            <w:pPr>
              <w:jc w:val="both"/>
              <w:rPr>
                <w:sz w:val="20"/>
              </w:rPr>
            </w:pPr>
            <w:r w:rsidRPr="009021BE">
              <w:rPr>
                <w:sz w:val="20"/>
              </w:rPr>
              <w:t>(Unreported)</w:t>
            </w:r>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lang w:val="en"/>
              </w:rPr>
              <w:t>Hearsay evidence ruled admissible for limited purposes</w:t>
            </w:r>
          </w:p>
        </w:tc>
      </w:tr>
      <w:tr w:rsidR="009021BE" w:rsidRPr="009021BE" w:rsidTr="00BF319D">
        <w:trPr>
          <w:trHeight w:val="2097"/>
        </w:trPr>
        <w:tc>
          <w:tcPr>
            <w:tcW w:w="2427" w:type="pct"/>
            <w:gridSpan w:val="2"/>
          </w:tcPr>
          <w:p w:rsidR="009021BE" w:rsidRPr="009021BE" w:rsidRDefault="009021BE" w:rsidP="009021BE">
            <w:pPr>
              <w:jc w:val="both"/>
              <w:rPr>
                <w:sz w:val="20"/>
              </w:rPr>
            </w:pPr>
            <w:r w:rsidRPr="009021BE">
              <w:rPr>
                <w:sz w:val="20"/>
              </w:rPr>
              <w:t>March 5, 2015</w:t>
            </w:r>
          </w:p>
          <w:p w:rsidR="009021BE" w:rsidRPr="009021BE" w:rsidRDefault="009021BE" w:rsidP="009021BE">
            <w:pPr>
              <w:jc w:val="both"/>
              <w:rPr>
                <w:sz w:val="20"/>
              </w:rPr>
            </w:pPr>
            <w:r w:rsidRPr="009021BE">
              <w:rPr>
                <w:sz w:val="20"/>
              </w:rPr>
              <w:t>Ontario Superior Court of Justice</w:t>
            </w:r>
          </w:p>
          <w:p w:rsidR="009021BE" w:rsidRPr="009021BE" w:rsidRDefault="009021BE" w:rsidP="009021BE">
            <w:pPr>
              <w:jc w:val="both"/>
              <w:rPr>
                <w:sz w:val="20"/>
              </w:rPr>
            </w:pPr>
            <w:r w:rsidRPr="009021BE">
              <w:rPr>
                <w:sz w:val="20"/>
              </w:rPr>
              <w:t>(Wright J.)</w:t>
            </w:r>
          </w:p>
          <w:p w:rsidR="009021BE" w:rsidRPr="009021BE" w:rsidRDefault="009021BE" w:rsidP="00BF319D">
            <w:pPr>
              <w:jc w:val="both"/>
              <w:rPr>
                <w:sz w:val="20"/>
              </w:rPr>
            </w:pPr>
            <w:hyperlink r:id="rId32" w:history="1">
              <w:r w:rsidRPr="009021BE">
                <w:rPr>
                  <w:rStyle w:val="Hyperlink"/>
                  <w:sz w:val="20"/>
                </w:rPr>
                <w:t>2015 ONSC 1470</w:t>
              </w:r>
            </w:hyperlink>
            <w:r w:rsidRPr="009021BE">
              <w:rPr>
                <w:sz w:val="20"/>
              </w:rPr>
              <w:t xml:space="preserve"> </w:t>
            </w:r>
          </w:p>
        </w:tc>
        <w:tc>
          <w:tcPr>
            <w:tcW w:w="243" w:type="pct"/>
          </w:tcPr>
          <w:p w:rsidR="009021BE" w:rsidRPr="009021BE" w:rsidRDefault="009021BE" w:rsidP="009021BE">
            <w:pPr>
              <w:jc w:val="both"/>
              <w:rPr>
                <w:sz w:val="20"/>
              </w:rPr>
            </w:pPr>
          </w:p>
        </w:tc>
        <w:tc>
          <w:tcPr>
            <w:tcW w:w="2330" w:type="pct"/>
          </w:tcPr>
          <w:p w:rsidR="009021BE" w:rsidRPr="009021BE" w:rsidRDefault="009021BE" w:rsidP="00BF319D">
            <w:pPr>
              <w:widowControl w:val="0"/>
              <w:tabs>
                <w:tab w:val="left" w:pos="2279"/>
              </w:tabs>
              <w:ind w:right="115"/>
              <w:jc w:val="both"/>
              <w:rPr>
                <w:sz w:val="20"/>
              </w:rPr>
            </w:pPr>
            <w:r w:rsidRPr="009021BE">
              <w:rPr>
                <w:sz w:val="20"/>
              </w:rPr>
              <w:t>Convictions: trafficking in</w:t>
            </w:r>
            <w:r w:rsidRPr="009021BE">
              <w:rPr>
                <w:spacing w:val="-3"/>
                <w:sz w:val="20"/>
              </w:rPr>
              <w:t xml:space="preserve"> </w:t>
            </w:r>
            <w:r w:rsidRPr="009021BE">
              <w:rPr>
                <w:sz w:val="20"/>
              </w:rPr>
              <w:t>marihuana, conspiracy to traffic in</w:t>
            </w:r>
            <w:r w:rsidRPr="009021BE">
              <w:rPr>
                <w:spacing w:val="-5"/>
                <w:sz w:val="20"/>
              </w:rPr>
              <w:t xml:space="preserve"> </w:t>
            </w:r>
            <w:r w:rsidRPr="009021BE">
              <w:rPr>
                <w:sz w:val="20"/>
              </w:rPr>
              <w:t>marihuana, possession of marihuana for the purpose of</w:t>
            </w:r>
            <w:r w:rsidRPr="009021BE">
              <w:rPr>
                <w:spacing w:val="-3"/>
                <w:sz w:val="20"/>
              </w:rPr>
              <w:t xml:space="preserve"> </w:t>
            </w:r>
            <w:r w:rsidRPr="009021BE">
              <w:rPr>
                <w:sz w:val="20"/>
              </w:rPr>
              <w:t>trafficking, conspiracy to possess marihuana for the purpose of</w:t>
            </w:r>
            <w:r w:rsidRPr="009021BE">
              <w:rPr>
                <w:spacing w:val="-6"/>
                <w:sz w:val="20"/>
              </w:rPr>
              <w:t xml:space="preserve"> </w:t>
            </w:r>
            <w:r w:rsidRPr="009021BE">
              <w:rPr>
                <w:sz w:val="20"/>
              </w:rPr>
              <w:t>trafficking, trafficking in</w:t>
            </w:r>
            <w:r w:rsidRPr="009021BE">
              <w:rPr>
                <w:spacing w:val="-3"/>
                <w:sz w:val="20"/>
              </w:rPr>
              <w:t xml:space="preserve"> </w:t>
            </w:r>
            <w:r w:rsidRPr="009021BE">
              <w:rPr>
                <w:sz w:val="20"/>
              </w:rPr>
              <w:t>cocaine, conspiracy to traffic in</w:t>
            </w:r>
            <w:r w:rsidRPr="009021BE">
              <w:rPr>
                <w:spacing w:val="-5"/>
                <w:sz w:val="20"/>
              </w:rPr>
              <w:t xml:space="preserve"> </w:t>
            </w:r>
            <w:r w:rsidRPr="009021BE">
              <w:rPr>
                <w:sz w:val="20"/>
              </w:rPr>
              <w:t>cocaine, possession of cocaine for the purpose of</w:t>
            </w:r>
            <w:r w:rsidRPr="009021BE">
              <w:rPr>
                <w:spacing w:val="-3"/>
                <w:sz w:val="20"/>
              </w:rPr>
              <w:t xml:space="preserve"> </w:t>
            </w:r>
            <w:r w:rsidRPr="009021BE">
              <w:rPr>
                <w:sz w:val="20"/>
              </w:rPr>
              <w:t>trafficking, conspiracy to possess cocaine for the purpose of</w:t>
            </w:r>
            <w:r w:rsidRPr="009021BE">
              <w:rPr>
                <w:spacing w:val="-6"/>
                <w:sz w:val="20"/>
              </w:rPr>
              <w:t xml:space="preserve"> </w:t>
            </w:r>
            <w:r w:rsidRPr="009021BE">
              <w:rPr>
                <w:sz w:val="20"/>
              </w:rPr>
              <w:t>trafficking. Acquittals on other counts.</w:t>
            </w:r>
          </w:p>
          <w:p w:rsidR="009021BE" w:rsidRPr="009021BE" w:rsidRDefault="009021BE" w:rsidP="009021BE">
            <w:pPr>
              <w:widowControl w:val="0"/>
              <w:tabs>
                <w:tab w:val="left" w:pos="2279"/>
              </w:tabs>
              <w:ind w:right="114"/>
              <w:jc w:val="both"/>
              <w:rPr>
                <w:sz w:val="20"/>
              </w:rPr>
            </w:pPr>
          </w:p>
        </w:tc>
      </w:tr>
      <w:tr w:rsidR="009021BE" w:rsidRPr="009021BE" w:rsidTr="00BF319D">
        <w:trPr>
          <w:trHeight w:val="1161"/>
        </w:trPr>
        <w:tc>
          <w:tcPr>
            <w:tcW w:w="2427" w:type="pct"/>
            <w:gridSpan w:val="2"/>
          </w:tcPr>
          <w:p w:rsidR="009021BE" w:rsidRPr="009021BE" w:rsidRDefault="009021BE" w:rsidP="009021BE">
            <w:pPr>
              <w:jc w:val="both"/>
              <w:rPr>
                <w:sz w:val="20"/>
              </w:rPr>
            </w:pPr>
            <w:r w:rsidRPr="009021BE">
              <w:rPr>
                <w:sz w:val="20"/>
              </w:rPr>
              <w:t>April 11, 2017</w:t>
            </w:r>
          </w:p>
          <w:p w:rsidR="009021BE" w:rsidRPr="009021BE" w:rsidRDefault="009021BE" w:rsidP="009021BE">
            <w:pPr>
              <w:jc w:val="both"/>
              <w:rPr>
                <w:sz w:val="20"/>
              </w:rPr>
            </w:pPr>
            <w:r w:rsidRPr="009021BE">
              <w:rPr>
                <w:sz w:val="20"/>
              </w:rPr>
              <w:t>Court of Appeal for Ontario</w:t>
            </w:r>
          </w:p>
          <w:p w:rsidR="009021BE" w:rsidRPr="009021BE" w:rsidRDefault="009021BE" w:rsidP="009021BE">
            <w:pPr>
              <w:jc w:val="both"/>
              <w:rPr>
                <w:sz w:val="20"/>
              </w:rPr>
            </w:pPr>
            <w:r w:rsidRPr="009021BE">
              <w:rPr>
                <w:sz w:val="20"/>
              </w:rPr>
              <w:t xml:space="preserve">(Strathy C.J., and </w:t>
            </w:r>
            <w:proofErr w:type="spellStart"/>
            <w:r w:rsidRPr="009021BE">
              <w:rPr>
                <w:sz w:val="20"/>
              </w:rPr>
              <w:t>Weiler</w:t>
            </w:r>
            <w:proofErr w:type="spellEnd"/>
            <w:r w:rsidRPr="009021BE">
              <w:rPr>
                <w:sz w:val="20"/>
              </w:rPr>
              <w:t xml:space="preserve"> and Watt JJ.A.)</w:t>
            </w:r>
          </w:p>
          <w:p w:rsidR="009021BE" w:rsidRPr="00BF319D" w:rsidRDefault="009021BE" w:rsidP="009021BE">
            <w:pPr>
              <w:jc w:val="both"/>
              <w:rPr>
                <w:rStyle w:val="Hyperlink"/>
                <w:color w:val="auto"/>
                <w:sz w:val="20"/>
              </w:rPr>
            </w:pPr>
            <w:r w:rsidRPr="009021BE">
              <w:rPr>
                <w:sz w:val="20"/>
              </w:rPr>
              <w:t xml:space="preserve">C60103; </w:t>
            </w:r>
            <w:hyperlink r:id="rId33" w:history="1">
              <w:r w:rsidRPr="009021BE">
                <w:rPr>
                  <w:rStyle w:val="Hyperlink"/>
                  <w:sz w:val="20"/>
                </w:rPr>
                <w:t>2017 ONCA 290</w:t>
              </w:r>
            </w:hyperlink>
          </w:p>
          <w:p w:rsidR="00BF319D" w:rsidRPr="00BF319D" w:rsidRDefault="00BF319D"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Appeal dismissed</w:t>
            </w:r>
          </w:p>
          <w:p w:rsidR="009021BE" w:rsidRPr="009021BE" w:rsidRDefault="009021BE" w:rsidP="009021BE">
            <w:pPr>
              <w:jc w:val="both"/>
              <w:rPr>
                <w:sz w:val="20"/>
              </w:rPr>
            </w:pPr>
          </w:p>
        </w:tc>
      </w:tr>
      <w:tr w:rsidR="009021BE" w:rsidRPr="009021BE" w:rsidTr="00DE4011">
        <w:trPr>
          <w:trHeight w:val="625"/>
        </w:trPr>
        <w:tc>
          <w:tcPr>
            <w:tcW w:w="2427" w:type="pct"/>
            <w:gridSpan w:val="2"/>
          </w:tcPr>
          <w:p w:rsidR="009021BE" w:rsidRPr="009021BE" w:rsidRDefault="009021BE" w:rsidP="009021BE">
            <w:pPr>
              <w:jc w:val="both"/>
              <w:rPr>
                <w:sz w:val="20"/>
              </w:rPr>
            </w:pPr>
            <w:r w:rsidRPr="009021BE">
              <w:rPr>
                <w:sz w:val="20"/>
              </w:rPr>
              <w:t>June 16, 2017</w:t>
            </w:r>
          </w:p>
          <w:p w:rsidR="009021BE" w:rsidRPr="009021BE" w:rsidRDefault="009021BE" w:rsidP="009021BE">
            <w:pPr>
              <w:jc w:val="both"/>
              <w:rPr>
                <w:sz w:val="20"/>
              </w:rPr>
            </w:pPr>
            <w:r w:rsidRPr="009021BE">
              <w:rPr>
                <w:sz w:val="20"/>
              </w:rPr>
              <w:t>Supreme Court of Canada</w:t>
            </w: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Application for extension of time to serve and file application for leave to appeal and Application for leave to appeal filed</w:t>
            </w:r>
          </w:p>
        </w:tc>
      </w:tr>
    </w:tbl>
    <w:p w:rsidR="009021BE" w:rsidRDefault="009021BE" w:rsidP="009021BE">
      <w:pPr>
        <w:jc w:val="both"/>
        <w:rPr>
          <w:sz w:val="20"/>
        </w:rPr>
      </w:pPr>
    </w:p>
    <w:p w:rsidR="00BF319D" w:rsidRPr="009021BE" w:rsidRDefault="00BF319D" w:rsidP="009021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21BE" w:rsidRPr="009021BE" w:rsidTr="00E95A6A">
        <w:tc>
          <w:tcPr>
            <w:tcW w:w="543" w:type="pct"/>
          </w:tcPr>
          <w:p w:rsidR="009021BE" w:rsidRPr="009021BE" w:rsidRDefault="009021BE" w:rsidP="009021BE">
            <w:pPr>
              <w:jc w:val="both"/>
              <w:rPr>
                <w:sz w:val="20"/>
                <w:lang w:val="fr-CA"/>
              </w:rPr>
            </w:pPr>
            <w:r w:rsidRPr="009021BE">
              <w:rPr>
                <w:rStyle w:val="SCCFileNumberChar"/>
                <w:sz w:val="20"/>
                <w:szCs w:val="20"/>
                <w:lang w:val="fr-CA"/>
              </w:rPr>
              <w:t>37533</w:t>
            </w:r>
          </w:p>
        </w:tc>
        <w:tc>
          <w:tcPr>
            <w:tcW w:w="4457" w:type="pct"/>
            <w:gridSpan w:val="3"/>
          </w:tcPr>
          <w:p w:rsidR="009021BE" w:rsidRPr="00BF319D" w:rsidRDefault="009021BE" w:rsidP="009021BE">
            <w:pPr>
              <w:pStyle w:val="SCCLsocParty"/>
              <w:jc w:val="both"/>
              <w:rPr>
                <w:b/>
                <w:sz w:val="20"/>
                <w:szCs w:val="20"/>
              </w:rPr>
            </w:pPr>
            <w:r w:rsidRPr="00BF319D">
              <w:rPr>
                <w:b/>
                <w:sz w:val="20"/>
                <w:szCs w:val="20"/>
              </w:rPr>
              <w:t xml:space="preserve">John </w:t>
            </w:r>
            <w:proofErr w:type="spellStart"/>
            <w:r w:rsidRPr="00BF319D">
              <w:rPr>
                <w:b/>
                <w:sz w:val="20"/>
                <w:szCs w:val="20"/>
              </w:rPr>
              <w:t>Tsekouras</w:t>
            </w:r>
            <w:proofErr w:type="spellEnd"/>
            <w:r w:rsidRPr="00BF319D">
              <w:rPr>
                <w:b/>
                <w:sz w:val="20"/>
                <w:szCs w:val="20"/>
              </w:rPr>
              <w:t xml:space="preserve"> c. Sa Majesté la Reine</w:t>
            </w:r>
          </w:p>
          <w:p w:rsidR="009021BE" w:rsidRPr="009021BE" w:rsidRDefault="009021BE" w:rsidP="009021BE">
            <w:pPr>
              <w:jc w:val="both"/>
              <w:rPr>
                <w:sz w:val="20"/>
                <w:lang w:val="fr-CA"/>
              </w:rPr>
            </w:pPr>
            <w:r w:rsidRPr="009021BE">
              <w:rPr>
                <w:sz w:val="20"/>
                <w:lang w:val="fr-CA"/>
              </w:rPr>
              <w:t>(Ont.) (Criminelle) (Sur autorisation)</w:t>
            </w:r>
          </w:p>
        </w:tc>
      </w:tr>
      <w:tr w:rsidR="009021BE" w:rsidRPr="009021BE" w:rsidTr="00E95A6A">
        <w:tc>
          <w:tcPr>
            <w:tcW w:w="5000" w:type="pct"/>
            <w:gridSpan w:val="4"/>
          </w:tcPr>
          <w:p w:rsidR="009021BE" w:rsidRPr="009021BE" w:rsidRDefault="009021BE" w:rsidP="009021BE">
            <w:pPr>
              <w:jc w:val="both"/>
              <w:rPr>
                <w:sz w:val="20"/>
                <w:lang w:val="fr-CA"/>
              </w:rPr>
            </w:pPr>
            <w:r w:rsidRPr="009021BE">
              <w:rPr>
                <w:i/>
                <w:sz w:val="20"/>
                <w:lang w:val="fr-CA"/>
              </w:rPr>
              <w:t>Charte des droits et libertés</w:t>
            </w:r>
            <w:r w:rsidRPr="009021BE">
              <w:rPr>
                <w:sz w:val="20"/>
                <w:lang w:val="fr-CA"/>
              </w:rPr>
              <w:t xml:space="preserve"> – Fouilles, perquisitions et saisies – Droit criminel – Preuve – La juge du procès a-t-elle commis une erreur dans l’application du par. 24(2) de la </w:t>
            </w:r>
            <w:r w:rsidRPr="009021BE">
              <w:rPr>
                <w:i/>
                <w:sz w:val="20"/>
                <w:lang w:val="fr-CA"/>
              </w:rPr>
              <w:t>Charte</w:t>
            </w:r>
            <w:r w:rsidRPr="009021BE">
              <w:rPr>
                <w:sz w:val="20"/>
                <w:lang w:val="fr-CA"/>
              </w:rPr>
              <w:t>?</w:t>
            </w:r>
            <w:r w:rsidRPr="009021BE">
              <w:rPr>
                <w:i/>
                <w:sz w:val="20"/>
                <w:lang w:val="fr-CA"/>
              </w:rPr>
              <w:t xml:space="preserve"> </w:t>
            </w:r>
            <w:r w:rsidRPr="009021BE">
              <w:rPr>
                <w:sz w:val="20"/>
                <w:lang w:val="fr-CA"/>
              </w:rPr>
              <w:t>– Admissibilité du contenu du BlackBerry de l’accusé – Admissibilité de déclarations relatées.</w:t>
            </w:r>
          </w:p>
        </w:tc>
      </w:tr>
      <w:tr w:rsidR="009021BE" w:rsidRPr="009021BE" w:rsidTr="00E95A6A">
        <w:tc>
          <w:tcPr>
            <w:tcW w:w="5000" w:type="pct"/>
            <w:gridSpan w:val="4"/>
          </w:tcPr>
          <w:p w:rsidR="009021BE" w:rsidRPr="009021BE" w:rsidRDefault="009021BE" w:rsidP="009021BE">
            <w:pPr>
              <w:jc w:val="both"/>
              <w:rPr>
                <w:sz w:val="20"/>
                <w:lang w:val="fr-CA"/>
              </w:rPr>
            </w:pPr>
          </w:p>
        </w:tc>
      </w:tr>
      <w:tr w:rsidR="009021BE" w:rsidRPr="009021BE" w:rsidTr="00E95A6A">
        <w:tc>
          <w:tcPr>
            <w:tcW w:w="5000" w:type="pct"/>
            <w:gridSpan w:val="4"/>
          </w:tcPr>
          <w:p w:rsidR="009021BE" w:rsidRPr="009021BE" w:rsidRDefault="009021BE" w:rsidP="009021BE">
            <w:pPr>
              <w:jc w:val="both"/>
              <w:rPr>
                <w:sz w:val="20"/>
                <w:lang w:val="fr-CA"/>
              </w:rPr>
            </w:pPr>
            <w:r w:rsidRPr="009021BE">
              <w:rPr>
                <w:sz w:val="20"/>
                <w:lang w:val="fr-CA"/>
              </w:rPr>
              <w:t>À la suite d’une enquête de corps policiers conjugués, M. </w:t>
            </w:r>
            <w:proofErr w:type="spellStart"/>
            <w:r w:rsidRPr="009021BE">
              <w:rPr>
                <w:sz w:val="20"/>
                <w:lang w:val="fr-CA"/>
              </w:rPr>
              <w:t>Tsekouras</w:t>
            </w:r>
            <w:proofErr w:type="spellEnd"/>
            <w:r w:rsidRPr="009021BE">
              <w:rPr>
                <w:sz w:val="20"/>
                <w:lang w:val="fr-CA"/>
              </w:rPr>
              <w:t xml:space="preserve"> a été accusé de plusieurs infractions liées au trafic et à la possession de marihuana et de cocaïne et de complot avec d’autres de trafic et de possession de marihuana et de cocaïne. Les communications trouvées dans le BlackBerry de M. </w:t>
            </w:r>
            <w:proofErr w:type="spellStart"/>
            <w:r w:rsidRPr="009021BE">
              <w:rPr>
                <w:sz w:val="20"/>
                <w:lang w:val="fr-CA"/>
              </w:rPr>
              <w:t>Tsekouras</w:t>
            </w:r>
            <w:proofErr w:type="spellEnd"/>
            <w:r w:rsidRPr="009021BE">
              <w:rPr>
                <w:sz w:val="20"/>
                <w:lang w:val="fr-CA"/>
              </w:rPr>
              <w:t xml:space="preserve"> ont été admises en preuve. Le BlackBerry avait été saisi accessoirement à une arrestation qui n’a pas donné lieu à une accusation formelle et qui s’est produite sans motif raisonnable et probable. Le BlackBerry avait été retenu sans que les rapports obligatoires aient été remis à un juge de paix et il a été fouillé sans mandat. La preuve du ministère public comprenait une déclaration d’un </w:t>
            </w:r>
            <w:proofErr w:type="spellStart"/>
            <w:r w:rsidRPr="009021BE">
              <w:rPr>
                <w:sz w:val="20"/>
                <w:lang w:val="fr-CA"/>
              </w:rPr>
              <w:t>coconspirateur</w:t>
            </w:r>
            <w:proofErr w:type="spellEnd"/>
            <w:r w:rsidRPr="009021BE">
              <w:rPr>
                <w:sz w:val="20"/>
                <w:lang w:val="fr-CA"/>
              </w:rPr>
              <w:t xml:space="preserve"> aux policiers avant son décès, le fait qu’un autre </w:t>
            </w:r>
            <w:proofErr w:type="spellStart"/>
            <w:r w:rsidRPr="009021BE">
              <w:rPr>
                <w:sz w:val="20"/>
                <w:lang w:val="fr-CA"/>
              </w:rPr>
              <w:t>coconspirateur</w:t>
            </w:r>
            <w:proofErr w:type="spellEnd"/>
            <w:r w:rsidRPr="009021BE">
              <w:rPr>
                <w:sz w:val="20"/>
                <w:lang w:val="fr-CA"/>
              </w:rPr>
              <w:t xml:space="preserve"> a plaidé coupable d’infractions en matière de drogue et l’exposé des faits au soutien de ce plaidoyer.</w:t>
            </w:r>
          </w:p>
          <w:p w:rsidR="009021BE" w:rsidRPr="009021BE" w:rsidRDefault="009021BE" w:rsidP="009021BE">
            <w:pPr>
              <w:jc w:val="both"/>
              <w:rPr>
                <w:sz w:val="20"/>
                <w:lang w:val="fr-CA"/>
              </w:rPr>
            </w:pP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 xml:space="preserve">20 octobre 2014 </w:t>
            </w:r>
          </w:p>
          <w:p w:rsidR="009021BE" w:rsidRPr="009021BE" w:rsidRDefault="009021BE" w:rsidP="009021BE">
            <w:pPr>
              <w:jc w:val="both"/>
              <w:rPr>
                <w:sz w:val="20"/>
                <w:lang w:val="fr-CA"/>
              </w:rPr>
            </w:pPr>
            <w:r w:rsidRPr="009021BE">
              <w:rPr>
                <w:sz w:val="20"/>
                <w:lang w:val="fr-CA"/>
              </w:rPr>
              <w:t>Cour supérieure de justice de l’Ontario</w:t>
            </w:r>
          </w:p>
          <w:p w:rsidR="009021BE" w:rsidRPr="009021BE" w:rsidRDefault="009021BE" w:rsidP="009021BE">
            <w:pPr>
              <w:jc w:val="both"/>
              <w:rPr>
                <w:sz w:val="20"/>
                <w:lang w:val="fr-CA"/>
              </w:rPr>
            </w:pPr>
            <w:r w:rsidRPr="009021BE">
              <w:rPr>
                <w:sz w:val="20"/>
                <w:lang w:val="fr-CA"/>
              </w:rPr>
              <w:t>(Juge Wright)</w:t>
            </w:r>
          </w:p>
          <w:p w:rsidR="009021BE" w:rsidRPr="009021BE" w:rsidRDefault="009021BE" w:rsidP="009021BE">
            <w:pPr>
              <w:jc w:val="both"/>
              <w:rPr>
                <w:sz w:val="20"/>
                <w:lang w:val="fr-CA"/>
              </w:rPr>
            </w:pPr>
            <w:r w:rsidRPr="009021BE">
              <w:rPr>
                <w:sz w:val="20"/>
                <w:lang w:val="fr-CA"/>
              </w:rPr>
              <w:t>(Non publié)</w:t>
            </w:r>
          </w:p>
          <w:p w:rsidR="009021BE" w:rsidRPr="009021BE" w:rsidRDefault="009021BE" w:rsidP="009021BE">
            <w:pPr>
              <w:jc w:val="both"/>
              <w:rPr>
                <w:sz w:val="20"/>
                <w:lang w:val="fr-CA"/>
              </w:rPr>
            </w:pP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lang w:val="fr-CA"/>
              </w:rPr>
            </w:pPr>
            <w:r w:rsidRPr="009021BE">
              <w:rPr>
                <w:sz w:val="20"/>
                <w:lang w:val="fr-CA"/>
              </w:rPr>
              <w:t xml:space="preserve">Jugement déclarant admissibles les données trouvées dans le BlackBerry de l’accusé en contravention de l’art. 8 de la </w:t>
            </w:r>
            <w:r w:rsidRPr="009021BE">
              <w:rPr>
                <w:i/>
                <w:sz w:val="20"/>
                <w:lang w:val="fr-CA"/>
              </w:rPr>
              <w:t>Charte</w:t>
            </w:r>
            <w:r w:rsidRPr="009021BE">
              <w:rPr>
                <w:sz w:val="20"/>
                <w:lang w:val="fr-CA"/>
              </w:rPr>
              <w:t xml:space="preserve"> </w:t>
            </w: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 xml:space="preserve">23 décembre 2014 </w:t>
            </w:r>
          </w:p>
          <w:p w:rsidR="009021BE" w:rsidRPr="009021BE" w:rsidRDefault="009021BE" w:rsidP="009021BE">
            <w:pPr>
              <w:jc w:val="both"/>
              <w:rPr>
                <w:sz w:val="20"/>
                <w:lang w:val="fr-CA"/>
              </w:rPr>
            </w:pPr>
            <w:r w:rsidRPr="009021BE">
              <w:rPr>
                <w:sz w:val="20"/>
                <w:lang w:val="fr-CA"/>
              </w:rPr>
              <w:t>Cour supérieure de justice de l’Ontario</w:t>
            </w:r>
          </w:p>
          <w:p w:rsidR="009021BE" w:rsidRPr="009021BE" w:rsidRDefault="009021BE" w:rsidP="009021BE">
            <w:pPr>
              <w:jc w:val="both"/>
              <w:rPr>
                <w:sz w:val="20"/>
                <w:lang w:val="fr-CA"/>
              </w:rPr>
            </w:pPr>
            <w:r w:rsidRPr="009021BE">
              <w:rPr>
                <w:sz w:val="20"/>
                <w:lang w:val="fr-CA"/>
              </w:rPr>
              <w:t>(Juge Wright)</w:t>
            </w:r>
          </w:p>
          <w:p w:rsidR="009021BE" w:rsidRPr="009021BE" w:rsidRDefault="009021BE" w:rsidP="009021BE">
            <w:pPr>
              <w:jc w:val="both"/>
              <w:rPr>
                <w:sz w:val="20"/>
                <w:lang w:val="fr-CA"/>
              </w:rPr>
            </w:pPr>
            <w:r w:rsidRPr="009021BE">
              <w:rPr>
                <w:sz w:val="20"/>
                <w:lang w:val="fr-CA"/>
              </w:rPr>
              <w:t>(Non publié)</w:t>
            </w:r>
          </w:p>
          <w:p w:rsidR="009021BE" w:rsidRPr="009021BE" w:rsidRDefault="009021BE" w:rsidP="009021BE">
            <w:pPr>
              <w:jc w:val="both"/>
              <w:rPr>
                <w:sz w:val="20"/>
                <w:lang w:val="fr-CA"/>
              </w:rPr>
            </w:pP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lang w:val="fr-CA"/>
              </w:rPr>
            </w:pPr>
            <w:r w:rsidRPr="009021BE">
              <w:rPr>
                <w:sz w:val="20"/>
                <w:lang w:val="fr-CA"/>
              </w:rPr>
              <w:t>Jugement déclarant admissible à des fins limitées la preuve par ouï-dire</w:t>
            </w:r>
          </w:p>
        </w:tc>
      </w:tr>
      <w:tr w:rsidR="009021BE" w:rsidRPr="009021BE" w:rsidTr="00BF319D">
        <w:trPr>
          <w:trHeight w:val="2178"/>
        </w:trPr>
        <w:tc>
          <w:tcPr>
            <w:tcW w:w="2427" w:type="pct"/>
            <w:gridSpan w:val="2"/>
          </w:tcPr>
          <w:p w:rsidR="009021BE" w:rsidRPr="009021BE" w:rsidRDefault="009021BE" w:rsidP="009021BE">
            <w:pPr>
              <w:jc w:val="both"/>
              <w:rPr>
                <w:sz w:val="20"/>
                <w:lang w:val="fr-CA"/>
              </w:rPr>
            </w:pPr>
            <w:r w:rsidRPr="009021BE">
              <w:rPr>
                <w:sz w:val="20"/>
                <w:lang w:val="fr-CA"/>
              </w:rPr>
              <w:t>5 mars 2015</w:t>
            </w:r>
          </w:p>
          <w:p w:rsidR="009021BE" w:rsidRPr="009021BE" w:rsidRDefault="009021BE" w:rsidP="009021BE">
            <w:pPr>
              <w:jc w:val="both"/>
              <w:rPr>
                <w:sz w:val="20"/>
                <w:lang w:val="fr-CA"/>
              </w:rPr>
            </w:pPr>
            <w:r w:rsidRPr="009021BE">
              <w:rPr>
                <w:sz w:val="20"/>
                <w:lang w:val="fr-CA"/>
              </w:rPr>
              <w:t>Cour supérieure de justice de l’Ontario</w:t>
            </w:r>
          </w:p>
          <w:p w:rsidR="009021BE" w:rsidRPr="009021BE" w:rsidRDefault="009021BE" w:rsidP="009021BE">
            <w:pPr>
              <w:jc w:val="both"/>
              <w:rPr>
                <w:sz w:val="20"/>
                <w:lang w:val="fr-CA"/>
              </w:rPr>
            </w:pPr>
            <w:r w:rsidRPr="009021BE">
              <w:rPr>
                <w:sz w:val="20"/>
                <w:lang w:val="fr-CA"/>
              </w:rPr>
              <w:t>(Juge Wright)</w:t>
            </w:r>
          </w:p>
          <w:p w:rsidR="009021BE" w:rsidRPr="009021BE" w:rsidRDefault="009021BE" w:rsidP="009021BE">
            <w:pPr>
              <w:jc w:val="both"/>
              <w:rPr>
                <w:sz w:val="20"/>
                <w:lang w:val="fr-CA"/>
              </w:rPr>
            </w:pPr>
            <w:hyperlink r:id="rId34" w:history="1">
              <w:r w:rsidRPr="009021BE">
                <w:rPr>
                  <w:rStyle w:val="Hyperlink"/>
                  <w:sz w:val="20"/>
                  <w:lang w:val="fr-CA"/>
                </w:rPr>
                <w:t>2015 ONSC 1470</w:t>
              </w:r>
            </w:hyperlink>
            <w:r w:rsidRPr="009021BE">
              <w:rPr>
                <w:sz w:val="20"/>
                <w:lang w:val="fr-CA"/>
              </w:rPr>
              <w:t xml:space="preserve"> </w:t>
            </w:r>
          </w:p>
          <w:p w:rsidR="009021BE" w:rsidRPr="009021BE" w:rsidRDefault="009021BE" w:rsidP="009021BE">
            <w:pPr>
              <w:jc w:val="both"/>
              <w:rPr>
                <w:sz w:val="20"/>
                <w:lang w:val="fr-CA"/>
              </w:rPr>
            </w:pP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widowControl w:val="0"/>
              <w:tabs>
                <w:tab w:val="left" w:pos="2279"/>
              </w:tabs>
              <w:ind w:right="114"/>
              <w:jc w:val="both"/>
              <w:rPr>
                <w:sz w:val="20"/>
                <w:lang w:val="fr-CA"/>
              </w:rPr>
            </w:pPr>
            <w:r w:rsidRPr="009021BE">
              <w:rPr>
                <w:sz w:val="20"/>
                <w:lang w:val="fr-CA"/>
              </w:rPr>
              <w:t>Déclarations de culpabilité : trafic de marihuana, complot de trafic de marihuana, possession de marihuana en vue d’en faire le trafic, complot de possession de marihuana en vue d’en faire le trafic, trafic de cocaïne, complot de trafic de cocaïne, possession de cocaïne en vue d’en faire le trafic, complot de possession de cocaïne en vue d’en faire le trafic. Acquittements relativement aux autres chefs.</w:t>
            </w:r>
          </w:p>
          <w:p w:rsidR="009021BE" w:rsidRPr="009021BE" w:rsidRDefault="009021BE" w:rsidP="009021BE">
            <w:pPr>
              <w:widowControl w:val="0"/>
              <w:tabs>
                <w:tab w:val="left" w:pos="2279"/>
              </w:tabs>
              <w:ind w:right="114"/>
              <w:jc w:val="both"/>
              <w:rPr>
                <w:sz w:val="20"/>
                <w:lang w:val="fr-CA"/>
              </w:rPr>
            </w:pPr>
          </w:p>
        </w:tc>
      </w:tr>
      <w:tr w:rsidR="009021BE" w:rsidRPr="009021BE" w:rsidTr="00BF319D">
        <w:trPr>
          <w:trHeight w:val="1035"/>
        </w:trPr>
        <w:tc>
          <w:tcPr>
            <w:tcW w:w="2427" w:type="pct"/>
            <w:gridSpan w:val="2"/>
          </w:tcPr>
          <w:p w:rsidR="009021BE" w:rsidRPr="009021BE" w:rsidRDefault="009021BE" w:rsidP="009021BE">
            <w:pPr>
              <w:jc w:val="both"/>
              <w:rPr>
                <w:sz w:val="20"/>
                <w:lang w:val="fr-CA"/>
              </w:rPr>
            </w:pPr>
            <w:r w:rsidRPr="009021BE">
              <w:rPr>
                <w:sz w:val="20"/>
                <w:lang w:val="fr-CA"/>
              </w:rPr>
              <w:t>11 avril 2017</w:t>
            </w:r>
          </w:p>
          <w:p w:rsidR="009021BE" w:rsidRPr="009021BE" w:rsidRDefault="009021BE" w:rsidP="009021BE">
            <w:pPr>
              <w:jc w:val="both"/>
              <w:rPr>
                <w:sz w:val="20"/>
                <w:lang w:val="fr-CA"/>
              </w:rPr>
            </w:pPr>
            <w:r w:rsidRPr="009021BE">
              <w:rPr>
                <w:sz w:val="20"/>
                <w:lang w:val="fr-CA"/>
              </w:rPr>
              <w:t>Cour d’appel de l’Ontario</w:t>
            </w:r>
          </w:p>
          <w:p w:rsidR="009021BE" w:rsidRPr="009021BE" w:rsidRDefault="009021BE" w:rsidP="009021BE">
            <w:pPr>
              <w:jc w:val="both"/>
              <w:rPr>
                <w:sz w:val="20"/>
                <w:lang w:val="fr-CA"/>
              </w:rPr>
            </w:pPr>
            <w:r w:rsidRPr="009021BE">
              <w:rPr>
                <w:sz w:val="20"/>
                <w:lang w:val="fr-CA"/>
              </w:rPr>
              <w:t xml:space="preserve">(Juge en chef </w:t>
            </w:r>
            <w:proofErr w:type="spellStart"/>
            <w:r w:rsidRPr="009021BE">
              <w:rPr>
                <w:sz w:val="20"/>
                <w:lang w:val="fr-CA"/>
              </w:rPr>
              <w:t>Strathy</w:t>
            </w:r>
            <w:proofErr w:type="spellEnd"/>
            <w:r w:rsidRPr="009021BE">
              <w:rPr>
                <w:sz w:val="20"/>
                <w:lang w:val="fr-CA"/>
              </w:rPr>
              <w:t xml:space="preserve">, juges </w:t>
            </w:r>
            <w:proofErr w:type="spellStart"/>
            <w:r w:rsidRPr="009021BE">
              <w:rPr>
                <w:sz w:val="20"/>
                <w:lang w:val="fr-CA"/>
              </w:rPr>
              <w:t>Weiler</w:t>
            </w:r>
            <w:proofErr w:type="spellEnd"/>
            <w:r w:rsidRPr="009021BE">
              <w:rPr>
                <w:sz w:val="20"/>
                <w:lang w:val="fr-CA"/>
              </w:rPr>
              <w:t xml:space="preserve"> et Watt)</w:t>
            </w:r>
          </w:p>
          <w:p w:rsidR="009021BE" w:rsidRPr="00BF319D" w:rsidRDefault="009021BE" w:rsidP="009021BE">
            <w:pPr>
              <w:jc w:val="both"/>
              <w:rPr>
                <w:rStyle w:val="Hyperlink"/>
                <w:color w:val="auto"/>
                <w:sz w:val="20"/>
                <w:lang w:val="fr-CA"/>
              </w:rPr>
            </w:pPr>
            <w:r w:rsidRPr="009021BE">
              <w:rPr>
                <w:sz w:val="20"/>
                <w:lang w:val="fr-CA"/>
              </w:rPr>
              <w:t xml:space="preserve">C60103; </w:t>
            </w:r>
            <w:hyperlink r:id="rId35" w:history="1">
              <w:r w:rsidRPr="009021BE">
                <w:rPr>
                  <w:rStyle w:val="Hyperlink"/>
                  <w:sz w:val="20"/>
                  <w:lang w:val="fr-CA"/>
                </w:rPr>
                <w:t>2017 ONCA 290</w:t>
              </w:r>
            </w:hyperlink>
          </w:p>
          <w:p w:rsidR="00BF319D" w:rsidRPr="00BF319D" w:rsidRDefault="00BF319D" w:rsidP="009021BE">
            <w:pPr>
              <w:jc w:val="both"/>
              <w:rPr>
                <w:sz w:val="20"/>
                <w:lang w:val="fr-CA"/>
              </w:rPr>
            </w:pP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lang w:val="fr-CA"/>
              </w:rPr>
            </w:pPr>
            <w:r w:rsidRPr="009021BE">
              <w:rPr>
                <w:sz w:val="20"/>
                <w:lang w:val="fr-CA"/>
              </w:rPr>
              <w:t>Rejet de l’appel</w:t>
            </w:r>
          </w:p>
          <w:p w:rsidR="009021BE" w:rsidRPr="009021BE" w:rsidRDefault="009021BE" w:rsidP="009021BE">
            <w:pPr>
              <w:jc w:val="both"/>
              <w:rPr>
                <w:sz w:val="20"/>
                <w:lang w:val="fr-CA"/>
              </w:rPr>
            </w:pPr>
          </w:p>
        </w:tc>
      </w:tr>
      <w:tr w:rsidR="009021BE" w:rsidRPr="009021BE" w:rsidTr="00DE4011">
        <w:trPr>
          <w:trHeight w:val="625"/>
        </w:trPr>
        <w:tc>
          <w:tcPr>
            <w:tcW w:w="2427" w:type="pct"/>
            <w:gridSpan w:val="2"/>
          </w:tcPr>
          <w:p w:rsidR="009021BE" w:rsidRPr="009021BE" w:rsidRDefault="009021BE" w:rsidP="009021BE">
            <w:pPr>
              <w:jc w:val="both"/>
              <w:rPr>
                <w:sz w:val="20"/>
                <w:lang w:val="fr-CA"/>
              </w:rPr>
            </w:pPr>
            <w:r w:rsidRPr="009021BE">
              <w:rPr>
                <w:sz w:val="20"/>
                <w:lang w:val="fr-CA"/>
              </w:rPr>
              <w:t>16 juin 2017</w:t>
            </w:r>
          </w:p>
          <w:p w:rsidR="009021BE" w:rsidRPr="009021BE" w:rsidRDefault="009021BE" w:rsidP="009021BE">
            <w:pPr>
              <w:jc w:val="both"/>
              <w:rPr>
                <w:sz w:val="20"/>
                <w:lang w:val="fr-CA"/>
              </w:rPr>
            </w:pPr>
            <w:r w:rsidRPr="009021BE">
              <w:rPr>
                <w:sz w:val="20"/>
                <w:lang w:val="fr-CA"/>
              </w:rPr>
              <w:t>Cour suprême du Canada</w:t>
            </w: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lang w:val="fr-CA"/>
              </w:rPr>
            </w:pPr>
            <w:r w:rsidRPr="009021BE">
              <w:rPr>
                <w:sz w:val="20"/>
                <w:lang w:val="fr-CA"/>
              </w:rPr>
              <w:t>Dépôt de la demande de prorogation du délai de signification et de dépôt de la demande d’autorisation d’appel et de la demande d’autorisation d’appel</w:t>
            </w:r>
          </w:p>
        </w:tc>
      </w:tr>
    </w:tbl>
    <w:p w:rsidR="009021BE" w:rsidRPr="009021BE" w:rsidRDefault="009021BE" w:rsidP="009021BE">
      <w:pPr>
        <w:jc w:val="both"/>
        <w:rPr>
          <w:sz w:val="20"/>
          <w:lang w:val="fr-CA"/>
        </w:rPr>
      </w:pPr>
    </w:p>
    <w:p w:rsidR="009021BE" w:rsidRPr="009021BE" w:rsidRDefault="009021BE" w:rsidP="009021B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21BE" w:rsidRPr="009021BE" w:rsidTr="00E95A6A">
        <w:tc>
          <w:tcPr>
            <w:tcW w:w="543" w:type="pct"/>
          </w:tcPr>
          <w:p w:rsidR="009021BE" w:rsidRPr="009021BE" w:rsidRDefault="009021BE" w:rsidP="009021BE">
            <w:pPr>
              <w:jc w:val="both"/>
              <w:rPr>
                <w:sz w:val="20"/>
              </w:rPr>
            </w:pPr>
            <w:r w:rsidRPr="009021BE">
              <w:rPr>
                <w:rStyle w:val="SCCFileNumberChar"/>
                <w:sz w:val="20"/>
                <w:szCs w:val="20"/>
              </w:rPr>
              <w:t>37709</w:t>
            </w:r>
          </w:p>
        </w:tc>
        <w:tc>
          <w:tcPr>
            <w:tcW w:w="4457" w:type="pct"/>
            <w:gridSpan w:val="3"/>
          </w:tcPr>
          <w:p w:rsidR="009021BE" w:rsidRPr="00BF319D" w:rsidRDefault="009021BE" w:rsidP="009021BE">
            <w:pPr>
              <w:pStyle w:val="SCCLsocParty"/>
              <w:jc w:val="both"/>
              <w:rPr>
                <w:b/>
                <w:sz w:val="20"/>
                <w:szCs w:val="20"/>
                <w:lang w:val="en-US"/>
              </w:rPr>
            </w:pPr>
            <w:r w:rsidRPr="00BF319D">
              <w:rPr>
                <w:b/>
                <w:sz w:val="20"/>
                <w:szCs w:val="20"/>
                <w:lang w:val="en-US"/>
              </w:rPr>
              <w:t>Coburn and Watson’s Metropolitan Home dba Metropolitan Home v. BMO Financial Group, Bank of Nova Scotia, Canadian Imperial Bank of Commerce, Royal Bank of Canada, Toronto-Dominion Bank</w:t>
            </w:r>
          </w:p>
          <w:p w:rsidR="009021BE" w:rsidRPr="009021BE" w:rsidRDefault="009021BE" w:rsidP="009021BE">
            <w:pPr>
              <w:jc w:val="both"/>
              <w:rPr>
                <w:sz w:val="20"/>
              </w:rPr>
            </w:pPr>
            <w:r w:rsidRPr="009021BE">
              <w:rPr>
                <w:sz w:val="20"/>
              </w:rPr>
              <w:t>(B.C.) (Civil) (By Leave)</w:t>
            </w:r>
          </w:p>
        </w:tc>
      </w:tr>
      <w:tr w:rsidR="009021BE" w:rsidRPr="009021BE" w:rsidTr="00E95A6A">
        <w:tc>
          <w:tcPr>
            <w:tcW w:w="5000" w:type="pct"/>
            <w:gridSpan w:val="4"/>
          </w:tcPr>
          <w:p w:rsidR="009021BE" w:rsidRPr="009021BE" w:rsidRDefault="009021BE" w:rsidP="009021BE">
            <w:pPr>
              <w:jc w:val="both"/>
              <w:rPr>
                <w:sz w:val="20"/>
              </w:rPr>
            </w:pPr>
            <w:r w:rsidRPr="009021BE">
              <w:rPr>
                <w:sz w:val="20"/>
              </w:rPr>
              <w:t xml:space="preserve">Civil procedure – Class actions – Pleadings – Amendment – Competition – Offences – Financial institutions – Banks – Representative plaintiff in a class action seeking to amend pleadings to assert various claims of conspiracy based on competition law – What is the scope of ss. 45 and 49 of the </w:t>
            </w:r>
            <w:r w:rsidRPr="009021BE">
              <w:rPr>
                <w:i/>
                <w:sz w:val="20"/>
              </w:rPr>
              <w:t>Competition Act</w:t>
            </w:r>
            <w:r w:rsidRPr="009021BE">
              <w:rPr>
                <w:sz w:val="20"/>
              </w:rPr>
              <w:t xml:space="preserve">, </w:t>
            </w:r>
            <w:r w:rsidRPr="009021BE">
              <w:rPr>
                <w:sz w:val="20"/>
                <w:lang w:val="en"/>
              </w:rPr>
              <w:t>R.S.C. 1985, c. C-34</w:t>
            </w:r>
            <w:r w:rsidRPr="009021BE">
              <w:rPr>
                <w:sz w:val="20"/>
              </w:rPr>
              <w:t>? – Have the issuing banks created a credit card market structure that makes them immune from competition law scrutiny even if they fix prices and eliminate competition?</w:t>
            </w:r>
          </w:p>
        </w:tc>
      </w:tr>
      <w:tr w:rsidR="009021BE" w:rsidRPr="009021BE" w:rsidTr="00E95A6A">
        <w:tc>
          <w:tcPr>
            <w:tcW w:w="5000" w:type="pct"/>
            <w:gridSpan w:val="4"/>
          </w:tcPr>
          <w:p w:rsidR="009021BE" w:rsidRPr="009021BE" w:rsidRDefault="009021BE" w:rsidP="009021BE">
            <w:pPr>
              <w:jc w:val="both"/>
              <w:rPr>
                <w:sz w:val="20"/>
              </w:rPr>
            </w:pPr>
          </w:p>
        </w:tc>
      </w:tr>
      <w:tr w:rsidR="009021BE" w:rsidRPr="009021BE" w:rsidTr="00E95A6A">
        <w:tc>
          <w:tcPr>
            <w:tcW w:w="5000" w:type="pct"/>
            <w:gridSpan w:val="4"/>
          </w:tcPr>
          <w:p w:rsidR="009021BE" w:rsidRPr="009021BE" w:rsidRDefault="009021BE" w:rsidP="009021BE">
            <w:pPr>
              <w:jc w:val="both"/>
              <w:rPr>
                <w:sz w:val="20"/>
                <w:lang w:val="en"/>
              </w:rPr>
            </w:pPr>
            <w:r w:rsidRPr="009021BE">
              <w:rPr>
                <w:iCs/>
                <w:sz w:val="20"/>
              </w:rPr>
              <w:t>Coburn and Watson’s Metropolitan Home</w:t>
            </w:r>
            <w:r w:rsidRPr="009021BE">
              <w:rPr>
                <w:sz w:val="20"/>
              </w:rPr>
              <w:t xml:space="preserve"> is a representative plaintiff in a class action commenced by merchants against the defendant banks and credit card companies. Coburn alleged that </w:t>
            </w:r>
            <w:r w:rsidRPr="009021BE">
              <w:rPr>
                <w:sz w:val="20"/>
                <w:lang w:val="en"/>
              </w:rPr>
              <w:t>the various defendants unlawfully fixed the price of fees paid by merchants whose customers use Visa and MasterCard credit cards. It pleaded statutory causes of action in conspiracy based on the current and former s. 45 of the</w:t>
            </w:r>
            <w:r w:rsidRPr="009021BE">
              <w:rPr>
                <w:i/>
                <w:iCs/>
                <w:sz w:val="20"/>
                <w:lang w:val="en"/>
              </w:rPr>
              <w:t xml:space="preserve"> Competition Act</w:t>
            </w:r>
            <w:r w:rsidRPr="009021BE">
              <w:rPr>
                <w:sz w:val="20"/>
                <w:lang w:val="en"/>
              </w:rPr>
              <w:t xml:space="preserve">, R.S.C. 1985, c. C-34, the now-repealed s. 61 of the Act, the torts of conspiracy to injure and conspiracy to commit an unlawful act, unlawful interference with economic interests, and </w:t>
            </w:r>
            <w:proofErr w:type="spellStart"/>
            <w:r w:rsidRPr="009021BE">
              <w:rPr>
                <w:sz w:val="20"/>
                <w:lang w:val="en"/>
              </w:rPr>
              <w:t>restitutionary</w:t>
            </w:r>
            <w:proofErr w:type="spellEnd"/>
            <w:r w:rsidRPr="009021BE">
              <w:rPr>
                <w:sz w:val="20"/>
                <w:lang w:val="en"/>
              </w:rPr>
              <w:t xml:space="preserve"> relief based on unjust enrichment, waiver of tort and constructive trust. </w:t>
            </w:r>
          </w:p>
          <w:p w:rsidR="009021BE" w:rsidRPr="009021BE" w:rsidRDefault="009021BE" w:rsidP="009021BE">
            <w:pPr>
              <w:jc w:val="both"/>
              <w:rPr>
                <w:sz w:val="20"/>
                <w:lang w:val="en"/>
              </w:rPr>
            </w:pPr>
          </w:p>
          <w:p w:rsidR="009021BE" w:rsidRPr="009021BE" w:rsidRDefault="009021BE" w:rsidP="009021BE">
            <w:pPr>
              <w:autoSpaceDE w:val="0"/>
              <w:autoSpaceDN w:val="0"/>
              <w:adjustRightInd w:val="0"/>
              <w:jc w:val="both"/>
              <w:rPr>
                <w:sz w:val="20"/>
                <w:lang w:val="en"/>
              </w:rPr>
            </w:pPr>
            <w:r w:rsidRPr="009021BE">
              <w:rPr>
                <w:sz w:val="20"/>
                <w:lang w:val="en"/>
              </w:rPr>
              <w:t>On appeal from the certification decision in the action, the Court of Appeal struck Coburn’s claim for breach of the current s. 45 of the Act. Coburn then sought an amendment to the pleadings to reintroduce the claim of conspiracy under the same provision, add a new claim in conspiracy under s. 49, and introduce the aiding and abetting theory as an alternative ground for supporting a claim based on the breach of the current s. 45 of the Act.</w:t>
            </w:r>
          </w:p>
          <w:p w:rsidR="009021BE" w:rsidRPr="009021BE" w:rsidRDefault="009021BE" w:rsidP="009021BE">
            <w:pPr>
              <w:autoSpaceDE w:val="0"/>
              <w:autoSpaceDN w:val="0"/>
              <w:adjustRightInd w:val="0"/>
              <w:jc w:val="both"/>
              <w:rPr>
                <w:sz w:val="20"/>
                <w:lang w:val="en"/>
              </w:rPr>
            </w:pPr>
          </w:p>
        </w:tc>
      </w:tr>
      <w:tr w:rsidR="009021BE" w:rsidRPr="009021BE" w:rsidTr="00E95A6A">
        <w:tc>
          <w:tcPr>
            <w:tcW w:w="2427" w:type="pct"/>
            <w:gridSpan w:val="2"/>
          </w:tcPr>
          <w:p w:rsidR="009021BE" w:rsidRPr="009021BE" w:rsidRDefault="009021BE" w:rsidP="009021BE">
            <w:pPr>
              <w:jc w:val="both"/>
              <w:rPr>
                <w:sz w:val="20"/>
              </w:rPr>
            </w:pPr>
            <w:r w:rsidRPr="009021BE">
              <w:rPr>
                <w:sz w:val="20"/>
              </w:rPr>
              <w:t>November 2, 2016</w:t>
            </w:r>
          </w:p>
          <w:p w:rsidR="009021BE" w:rsidRPr="009021BE" w:rsidRDefault="009021BE" w:rsidP="009021BE">
            <w:pPr>
              <w:jc w:val="both"/>
              <w:rPr>
                <w:sz w:val="20"/>
              </w:rPr>
            </w:pPr>
            <w:r w:rsidRPr="009021BE">
              <w:rPr>
                <w:sz w:val="20"/>
              </w:rPr>
              <w:t>Supreme Court of British Columbia</w:t>
            </w:r>
          </w:p>
          <w:p w:rsidR="009021BE" w:rsidRPr="009021BE" w:rsidRDefault="009021BE" w:rsidP="009021BE">
            <w:pPr>
              <w:jc w:val="both"/>
              <w:rPr>
                <w:sz w:val="20"/>
              </w:rPr>
            </w:pPr>
            <w:r w:rsidRPr="009021BE">
              <w:rPr>
                <w:sz w:val="20"/>
              </w:rPr>
              <w:t>(</w:t>
            </w:r>
            <w:proofErr w:type="spellStart"/>
            <w:r w:rsidRPr="009021BE">
              <w:rPr>
                <w:sz w:val="20"/>
              </w:rPr>
              <w:t>Weatherill</w:t>
            </w:r>
            <w:proofErr w:type="spellEnd"/>
            <w:r w:rsidRPr="009021BE">
              <w:rPr>
                <w:sz w:val="20"/>
              </w:rPr>
              <w:t xml:space="preserve"> J.)</w:t>
            </w:r>
          </w:p>
          <w:p w:rsidR="009021BE" w:rsidRPr="009021BE" w:rsidRDefault="009021BE" w:rsidP="009021BE">
            <w:pPr>
              <w:jc w:val="both"/>
              <w:rPr>
                <w:sz w:val="20"/>
              </w:rPr>
            </w:pPr>
            <w:hyperlink r:id="rId36" w:history="1">
              <w:r w:rsidRPr="009021BE">
                <w:rPr>
                  <w:rStyle w:val="Hyperlink"/>
                  <w:sz w:val="20"/>
                </w:rPr>
                <w:t>2016 BCSC 2021</w:t>
              </w:r>
            </w:hyperlink>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 xml:space="preserve">Application to amend pleadings dismissed </w:t>
            </w:r>
          </w:p>
          <w:p w:rsidR="009021BE" w:rsidRPr="009021BE" w:rsidRDefault="009021BE" w:rsidP="009021BE">
            <w:pPr>
              <w:jc w:val="both"/>
              <w:rPr>
                <w:sz w:val="20"/>
              </w:rPr>
            </w:pPr>
          </w:p>
        </w:tc>
      </w:tr>
      <w:tr w:rsidR="009021BE" w:rsidRPr="009021BE" w:rsidTr="00E95A6A">
        <w:tc>
          <w:tcPr>
            <w:tcW w:w="2427" w:type="pct"/>
            <w:gridSpan w:val="2"/>
          </w:tcPr>
          <w:p w:rsidR="009021BE" w:rsidRPr="009021BE" w:rsidRDefault="009021BE" w:rsidP="009021BE">
            <w:pPr>
              <w:jc w:val="both"/>
              <w:rPr>
                <w:sz w:val="20"/>
              </w:rPr>
            </w:pPr>
            <w:r w:rsidRPr="009021BE">
              <w:rPr>
                <w:sz w:val="20"/>
              </w:rPr>
              <w:t>May 25, 2017</w:t>
            </w:r>
          </w:p>
          <w:p w:rsidR="009021BE" w:rsidRPr="009021BE" w:rsidRDefault="009021BE" w:rsidP="009021BE">
            <w:pPr>
              <w:jc w:val="both"/>
              <w:rPr>
                <w:sz w:val="20"/>
              </w:rPr>
            </w:pPr>
            <w:r w:rsidRPr="009021BE">
              <w:rPr>
                <w:sz w:val="20"/>
              </w:rPr>
              <w:t xml:space="preserve">Court of Appeal for British Columbia </w:t>
            </w:r>
          </w:p>
          <w:p w:rsidR="009021BE" w:rsidRPr="009021BE" w:rsidRDefault="009021BE" w:rsidP="009021BE">
            <w:pPr>
              <w:jc w:val="both"/>
              <w:rPr>
                <w:sz w:val="20"/>
              </w:rPr>
            </w:pPr>
            <w:r w:rsidRPr="009021BE">
              <w:rPr>
                <w:sz w:val="20"/>
              </w:rPr>
              <w:t>(Vancouver)</w:t>
            </w:r>
          </w:p>
          <w:p w:rsidR="009021BE" w:rsidRPr="009021BE" w:rsidRDefault="009021BE" w:rsidP="009021BE">
            <w:pPr>
              <w:jc w:val="both"/>
              <w:rPr>
                <w:sz w:val="20"/>
              </w:rPr>
            </w:pPr>
            <w:r w:rsidRPr="009021BE">
              <w:rPr>
                <w:sz w:val="20"/>
              </w:rPr>
              <w:t xml:space="preserve">(Smith, </w:t>
            </w:r>
            <w:proofErr w:type="spellStart"/>
            <w:r w:rsidRPr="009021BE">
              <w:rPr>
                <w:sz w:val="20"/>
              </w:rPr>
              <w:t>Fenlon</w:t>
            </w:r>
            <w:proofErr w:type="spellEnd"/>
            <w:r w:rsidRPr="009021BE">
              <w:rPr>
                <w:sz w:val="20"/>
              </w:rPr>
              <w:t xml:space="preserve"> and Dickson JJ.A.)</w:t>
            </w:r>
          </w:p>
          <w:p w:rsidR="009021BE" w:rsidRPr="009021BE" w:rsidRDefault="009021BE" w:rsidP="009021BE">
            <w:pPr>
              <w:jc w:val="both"/>
              <w:rPr>
                <w:sz w:val="20"/>
                <w:lang w:val="en"/>
              </w:rPr>
            </w:pPr>
            <w:hyperlink r:id="rId37" w:history="1">
              <w:r w:rsidRPr="009021BE">
                <w:rPr>
                  <w:rStyle w:val="Hyperlink"/>
                  <w:sz w:val="20"/>
                  <w:lang w:val="en"/>
                </w:rPr>
                <w:t>2017 BCCA 202</w:t>
              </w:r>
            </w:hyperlink>
            <w:r w:rsidRPr="009021BE">
              <w:rPr>
                <w:sz w:val="20"/>
                <w:lang w:val="en"/>
              </w:rPr>
              <w:t xml:space="preserve"> </w:t>
            </w:r>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 xml:space="preserve">Appeal dismissed </w:t>
            </w:r>
          </w:p>
          <w:p w:rsidR="009021BE" w:rsidRPr="009021BE" w:rsidRDefault="009021BE" w:rsidP="009021BE">
            <w:pPr>
              <w:jc w:val="both"/>
              <w:rPr>
                <w:sz w:val="20"/>
              </w:rPr>
            </w:pPr>
          </w:p>
        </w:tc>
      </w:tr>
      <w:tr w:rsidR="009021BE" w:rsidRPr="009021BE" w:rsidTr="00E95A6A">
        <w:tc>
          <w:tcPr>
            <w:tcW w:w="2427" w:type="pct"/>
            <w:gridSpan w:val="2"/>
          </w:tcPr>
          <w:p w:rsidR="009021BE" w:rsidRPr="009021BE" w:rsidRDefault="009021BE" w:rsidP="009021BE">
            <w:pPr>
              <w:jc w:val="both"/>
              <w:rPr>
                <w:sz w:val="20"/>
              </w:rPr>
            </w:pPr>
            <w:r w:rsidRPr="009021BE">
              <w:rPr>
                <w:sz w:val="20"/>
              </w:rPr>
              <w:t>August 24, 2017</w:t>
            </w:r>
          </w:p>
          <w:p w:rsidR="009021BE" w:rsidRPr="009021BE" w:rsidRDefault="009021BE" w:rsidP="009021BE">
            <w:pPr>
              <w:jc w:val="both"/>
              <w:rPr>
                <w:sz w:val="20"/>
              </w:rPr>
            </w:pPr>
            <w:r w:rsidRPr="009021BE">
              <w:rPr>
                <w:sz w:val="20"/>
              </w:rPr>
              <w:t>Supreme Court of Canada</w:t>
            </w: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Application for leave to appeal filed</w:t>
            </w:r>
          </w:p>
          <w:p w:rsidR="009021BE" w:rsidRPr="009021BE" w:rsidRDefault="009021BE" w:rsidP="009021BE">
            <w:pPr>
              <w:jc w:val="both"/>
              <w:rPr>
                <w:sz w:val="20"/>
              </w:rPr>
            </w:pPr>
          </w:p>
        </w:tc>
      </w:tr>
    </w:tbl>
    <w:p w:rsidR="009021BE" w:rsidRDefault="009021BE" w:rsidP="009021BE">
      <w:pPr>
        <w:jc w:val="both"/>
        <w:rPr>
          <w:sz w:val="20"/>
        </w:rPr>
      </w:pPr>
    </w:p>
    <w:p w:rsidR="00BF319D" w:rsidRPr="009021BE" w:rsidRDefault="00BF319D" w:rsidP="009021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21BE" w:rsidRPr="009021BE" w:rsidTr="00E95A6A">
        <w:tc>
          <w:tcPr>
            <w:tcW w:w="543" w:type="pct"/>
          </w:tcPr>
          <w:p w:rsidR="009021BE" w:rsidRPr="009021BE" w:rsidRDefault="009021BE" w:rsidP="009021BE">
            <w:pPr>
              <w:jc w:val="both"/>
              <w:rPr>
                <w:sz w:val="20"/>
                <w:lang w:val="fr-CA"/>
              </w:rPr>
            </w:pPr>
            <w:r w:rsidRPr="009021BE">
              <w:rPr>
                <w:rStyle w:val="SCCFileNumberChar"/>
                <w:sz w:val="20"/>
                <w:szCs w:val="20"/>
                <w:lang w:val="fr-CA"/>
              </w:rPr>
              <w:t>37709</w:t>
            </w:r>
          </w:p>
        </w:tc>
        <w:tc>
          <w:tcPr>
            <w:tcW w:w="4457" w:type="pct"/>
            <w:gridSpan w:val="3"/>
          </w:tcPr>
          <w:p w:rsidR="009021BE" w:rsidRPr="00BF319D" w:rsidRDefault="009021BE" w:rsidP="009021BE">
            <w:pPr>
              <w:pStyle w:val="SCCLsocParty"/>
              <w:jc w:val="both"/>
              <w:rPr>
                <w:b/>
                <w:sz w:val="20"/>
                <w:szCs w:val="20"/>
              </w:rPr>
            </w:pPr>
            <w:r w:rsidRPr="00BF319D">
              <w:rPr>
                <w:b/>
                <w:sz w:val="20"/>
                <w:szCs w:val="20"/>
              </w:rPr>
              <w:t>Coburn and Watson’s Metropolitan Home, faisant affaire sous la dénomination Metropolitan Home c. BMO Groupe financier, Banque de Nouvelle-Écosse, Banque Canadienne Impériale de Commerce, Banque Royale du Canada, Banque Toronto-Dominion</w:t>
            </w:r>
          </w:p>
          <w:p w:rsidR="009021BE" w:rsidRPr="009021BE" w:rsidRDefault="009021BE" w:rsidP="009021BE">
            <w:pPr>
              <w:jc w:val="both"/>
              <w:rPr>
                <w:sz w:val="20"/>
                <w:lang w:val="fr-CA"/>
              </w:rPr>
            </w:pPr>
            <w:r w:rsidRPr="009021BE">
              <w:rPr>
                <w:sz w:val="20"/>
                <w:lang w:val="fr-CA"/>
              </w:rPr>
              <w:t>(C.-B) (Civile) (Sur autorisation)</w:t>
            </w:r>
          </w:p>
        </w:tc>
      </w:tr>
      <w:tr w:rsidR="009021BE" w:rsidRPr="009021BE" w:rsidTr="00E95A6A">
        <w:tc>
          <w:tcPr>
            <w:tcW w:w="5000" w:type="pct"/>
            <w:gridSpan w:val="4"/>
          </w:tcPr>
          <w:p w:rsidR="009021BE" w:rsidRPr="009021BE" w:rsidRDefault="009021BE" w:rsidP="009021BE">
            <w:pPr>
              <w:jc w:val="both"/>
              <w:rPr>
                <w:sz w:val="20"/>
                <w:lang w:val="fr-CA"/>
              </w:rPr>
            </w:pPr>
            <w:r w:rsidRPr="009021BE">
              <w:rPr>
                <w:sz w:val="20"/>
                <w:lang w:val="fr-CA"/>
              </w:rPr>
              <w:t xml:space="preserve">Procédure civile – Recours collectifs – Actes de procédure – Modification – Concurrence – Infractions – Institutions financières – Banques – La représentante des demandeurs dans un recours collectif cherche à modifier ses actes de procédure pour porter diverses allégations de complot fondées sur le droit de la concurrence – Quelle est la portée des </w:t>
            </w:r>
            <w:proofErr w:type="gramStart"/>
            <w:r w:rsidRPr="009021BE">
              <w:rPr>
                <w:sz w:val="20"/>
                <w:lang w:val="fr-CA"/>
              </w:rPr>
              <w:t>art</w:t>
            </w:r>
            <w:proofErr w:type="gramEnd"/>
            <w:r w:rsidRPr="009021BE">
              <w:rPr>
                <w:sz w:val="20"/>
                <w:lang w:val="fr-CA"/>
              </w:rPr>
              <w:t xml:space="preserve">. 45 et 49 de la </w:t>
            </w:r>
            <w:r w:rsidRPr="009021BE">
              <w:rPr>
                <w:i/>
                <w:sz w:val="20"/>
                <w:lang w:val="fr-CA"/>
              </w:rPr>
              <w:t>Loi sur la concurrence</w:t>
            </w:r>
            <w:r w:rsidRPr="009021BE">
              <w:rPr>
                <w:sz w:val="20"/>
                <w:lang w:val="fr-CA"/>
              </w:rPr>
              <w:t>, L.R.C. 1985, ch. C-34? – Les banques émettrices ont-elles créé une structure de marché des cartes de crédit qui les met à l’abri d’un examen sous le régime du droit de la concurrence, même si elles fixent les prix et éliminent la concurrence?</w:t>
            </w:r>
          </w:p>
        </w:tc>
      </w:tr>
      <w:tr w:rsidR="009021BE" w:rsidRPr="009021BE" w:rsidTr="00E95A6A">
        <w:tc>
          <w:tcPr>
            <w:tcW w:w="5000" w:type="pct"/>
            <w:gridSpan w:val="4"/>
          </w:tcPr>
          <w:p w:rsidR="009021BE" w:rsidRPr="009021BE" w:rsidRDefault="009021BE" w:rsidP="009021BE">
            <w:pPr>
              <w:jc w:val="both"/>
              <w:rPr>
                <w:sz w:val="20"/>
                <w:lang w:val="fr-CA"/>
              </w:rPr>
            </w:pPr>
          </w:p>
        </w:tc>
      </w:tr>
      <w:tr w:rsidR="009021BE" w:rsidRPr="009021BE" w:rsidTr="00E95A6A">
        <w:tc>
          <w:tcPr>
            <w:tcW w:w="5000" w:type="pct"/>
            <w:gridSpan w:val="4"/>
          </w:tcPr>
          <w:p w:rsidR="009021BE" w:rsidRPr="009021BE" w:rsidRDefault="009021BE" w:rsidP="009021BE">
            <w:pPr>
              <w:jc w:val="both"/>
              <w:rPr>
                <w:sz w:val="20"/>
                <w:lang w:val="fr-CA"/>
              </w:rPr>
            </w:pPr>
            <w:r w:rsidRPr="009021BE">
              <w:rPr>
                <w:iCs/>
                <w:sz w:val="20"/>
                <w:lang w:val="fr-CA"/>
              </w:rPr>
              <w:t>Coburn and Watson’s Metropolitan Home</w:t>
            </w:r>
            <w:r w:rsidRPr="009021BE">
              <w:rPr>
                <w:sz w:val="20"/>
                <w:lang w:val="fr-CA"/>
              </w:rPr>
              <w:t xml:space="preserve"> est une représentante des demandeurs dans un recours collectif introduit par des marchands contre les banques et les sociétés émettrices de carte de crédit défenderesses. Coburn allègue que les diverses défenderesses auraient illégalement fixé le montant des frais payés par les marchands dont les clients utilisent les cartes de crédit Visa et MasterCard. Elle a plaidé des causes d’action pour complot en vertu des versions actuelle et anciennes de l’art. 45 de la</w:t>
            </w:r>
            <w:r w:rsidRPr="009021BE">
              <w:rPr>
                <w:i/>
                <w:iCs/>
                <w:sz w:val="20"/>
                <w:lang w:val="fr-CA"/>
              </w:rPr>
              <w:t xml:space="preserve"> Loi sur la concurrence</w:t>
            </w:r>
            <w:r w:rsidRPr="009021BE">
              <w:rPr>
                <w:sz w:val="20"/>
                <w:lang w:val="fr-CA"/>
              </w:rPr>
              <w:t xml:space="preserve">, L.R.C. 1985, ch. C-34, l’art. 61 de la Loi, maintenant abrogé, les délits civils de complot en vue de nuire et de complot en vue de commettre un acte illégal, l’atteinte illégale aux intérêts financiers, et la réparation fondée sur la restitution au titre de l’enrichissement injustifié, de la renonciation à un recours délictuel et de la fiducie par interprétation. </w:t>
            </w:r>
          </w:p>
          <w:p w:rsidR="009021BE" w:rsidRPr="009021BE" w:rsidRDefault="009021BE" w:rsidP="009021BE">
            <w:pPr>
              <w:jc w:val="both"/>
              <w:rPr>
                <w:sz w:val="20"/>
                <w:lang w:val="fr-CA"/>
              </w:rPr>
            </w:pPr>
          </w:p>
          <w:p w:rsidR="009021BE" w:rsidRPr="009021BE" w:rsidRDefault="009021BE" w:rsidP="009021BE">
            <w:pPr>
              <w:autoSpaceDE w:val="0"/>
              <w:autoSpaceDN w:val="0"/>
              <w:adjustRightInd w:val="0"/>
              <w:jc w:val="both"/>
              <w:rPr>
                <w:sz w:val="20"/>
                <w:lang w:val="fr-CA"/>
              </w:rPr>
            </w:pPr>
            <w:r w:rsidRPr="009021BE">
              <w:rPr>
                <w:sz w:val="20"/>
                <w:lang w:val="fr-CA"/>
              </w:rPr>
              <w:t>En appel de la décision en matière de certification de l’action, la Cour d’appel a radié l’allégation faite par  Coburn de violation de la version actuelle de l’art. 45 de la Loi. Coburn a alors cherché à modifier ses actes de procédure pour réintroduire l’allégation de complot en vertu de la même disposition, ajouter une nouvelle allégation de complot en vertu de l’art. 49 et introduire le principe de l’aide et de l’encouragement comme moyen subsidiaire au soutien de l’allégation fondée sur la violation de la version actuelle de l’art. 45 de la Loi.</w:t>
            </w:r>
          </w:p>
          <w:p w:rsidR="009021BE" w:rsidRPr="009021BE" w:rsidRDefault="009021BE" w:rsidP="009021BE">
            <w:pPr>
              <w:autoSpaceDE w:val="0"/>
              <w:autoSpaceDN w:val="0"/>
              <w:adjustRightInd w:val="0"/>
              <w:jc w:val="both"/>
              <w:rPr>
                <w:sz w:val="20"/>
                <w:lang w:val="fr-CA"/>
              </w:rPr>
            </w:pP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2 novembre 2016</w:t>
            </w:r>
          </w:p>
          <w:p w:rsidR="009021BE" w:rsidRPr="009021BE" w:rsidRDefault="009021BE" w:rsidP="009021BE">
            <w:pPr>
              <w:jc w:val="both"/>
              <w:rPr>
                <w:sz w:val="20"/>
                <w:lang w:val="fr-CA"/>
              </w:rPr>
            </w:pPr>
            <w:r w:rsidRPr="009021BE">
              <w:rPr>
                <w:sz w:val="20"/>
                <w:lang w:val="fr-CA"/>
              </w:rPr>
              <w:t>Cour suprême de la Colombie-Britannique</w:t>
            </w:r>
          </w:p>
          <w:p w:rsidR="009021BE" w:rsidRPr="009021BE" w:rsidRDefault="009021BE" w:rsidP="009021BE">
            <w:pPr>
              <w:jc w:val="both"/>
              <w:rPr>
                <w:sz w:val="20"/>
                <w:lang w:val="fr-CA"/>
              </w:rPr>
            </w:pPr>
            <w:r w:rsidRPr="009021BE">
              <w:rPr>
                <w:sz w:val="20"/>
                <w:lang w:val="fr-CA"/>
              </w:rPr>
              <w:t>(Juge Weatherill)</w:t>
            </w:r>
          </w:p>
          <w:p w:rsidR="009021BE" w:rsidRPr="009021BE" w:rsidRDefault="009021BE" w:rsidP="009021BE">
            <w:pPr>
              <w:jc w:val="both"/>
              <w:rPr>
                <w:sz w:val="20"/>
                <w:lang w:val="fr-CA"/>
              </w:rPr>
            </w:pPr>
            <w:hyperlink r:id="rId38" w:history="1">
              <w:r w:rsidRPr="009021BE">
                <w:rPr>
                  <w:rStyle w:val="Hyperlink"/>
                  <w:sz w:val="20"/>
                  <w:lang w:val="fr-CA"/>
                </w:rPr>
                <w:t>2016 BCSC 2021</w:t>
              </w:r>
            </w:hyperlink>
          </w:p>
          <w:p w:rsidR="009021BE" w:rsidRPr="009021BE" w:rsidRDefault="009021BE" w:rsidP="009021BE">
            <w:pPr>
              <w:jc w:val="both"/>
              <w:rPr>
                <w:sz w:val="20"/>
                <w:lang w:val="fr-CA"/>
              </w:rPr>
            </w:pP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lang w:val="fr-CA"/>
              </w:rPr>
            </w:pPr>
            <w:r w:rsidRPr="009021BE">
              <w:rPr>
                <w:sz w:val="20"/>
                <w:lang w:val="fr-CA"/>
              </w:rPr>
              <w:t>Rejet de la demande de modification des actes de procédure</w:t>
            </w:r>
          </w:p>
          <w:p w:rsidR="009021BE" w:rsidRPr="009021BE" w:rsidRDefault="009021BE" w:rsidP="009021BE">
            <w:pPr>
              <w:jc w:val="both"/>
              <w:rPr>
                <w:sz w:val="20"/>
                <w:lang w:val="fr-CA"/>
              </w:rPr>
            </w:pP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25 mai 2017</w:t>
            </w:r>
          </w:p>
          <w:p w:rsidR="009021BE" w:rsidRPr="009021BE" w:rsidRDefault="009021BE" w:rsidP="009021BE">
            <w:pPr>
              <w:jc w:val="both"/>
              <w:rPr>
                <w:sz w:val="20"/>
                <w:lang w:val="fr-CA"/>
              </w:rPr>
            </w:pPr>
            <w:r w:rsidRPr="009021BE">
              <w:rPr>
                <w:sz w:val="20"/>
                <w:lang w:val="fr-CA"/>
              </w:rPr>
              <w:t>Cour d’appel de la Colombie-Britannique</w:t>
            </w:r>
          </w:p>
          <w:p w:rsidR="009021BE" w:rsidRPr="009021BE" w:rsidRDefault="009021BE" w:rsidP="009021BE">
            <w:pPr>
              <w:jc w:val="both"/>
              <w:rPr>
                <w:sz w:val="20"/>
                <w:lang w:val="fr-CA"/>
              </w:rPr>
            </w:pPr>
            <w:r w:rsidRPr="009021BE">
              <w:rPr>
                <w:sz w:val="20"/>
                <w:lang w:val="fr-CA"/>
              </w:rPr>
              <w:t>(Vancouver)</w:t>
            </w:r>
          </w:p>
          <w:p w:rsidR="009021BE" w:rsidRPr="009021BE" w:rsidRDefault="009021BE" w:rsidP="009021BE">
            <w:pPr>
              <w:jc w:val="both"/>
              <w:rPr>
                <w:sz w:val="20"/>
                <w:lang w:val="fr-CA"/>
              </w:rPr>
            </w:pPr>
            <w:r w:rsidRPr="009021BE">
              <w:rPr>
                <w:sz w:val="20"/>
                <w:lang w:val="fr-CA"/>
              </w:rPr>
              <w:t>(Juges Smith, Fenlon et Dickson)</w:t>
            </w:r>
          </w:p>
          <w:p w:rsidR="009021BE" w:rsidRPr="009021BE" w:rsidRDefault="009021BE" w:rsidP="009021BE">
            <w:pPr>
              <w:jc w:val="both"/>
              <w:rPr>
                <w:sz w:val="20"/>
                <w:lang w:val="fr-CA"/>
              </w:rPr>
            </w:pPr>
            <w:hyperlink r:id="rId39" w:history="1">
              <w:r w:rsidRPr="009021BE">
                <w:rPr>
                  <w:rStyle w:val="Hyperlink"/>
                  <w:sz w:val="20"/>
                  <w:lang w:val="fr-CA"/>
                </w:rPr>
                <w:t>2017 BCCA 202</w:t>
              </w:r>
            </w:hyperlink>
            <w:r w:rsidRPr="009021BE">
              <w:rPr>
                <w:sz w:val="20"/>
                <w:lang w:val="fr-CA"/>
              </w:rPr>
              <w:t xml:space="preserve"> </w:t>
            </w:r>
          </w:p>
          <w:p w:rsidR="009021BE" w:rsidRPr="009021BE" w:rsidRDefault="009021BE" w:rsidP="009021BE">
            <w:pPr>
              <w:jc w:val="both"/>
              <w:rPr>
                <w:sz w:val="20"/>
                <w:lang w:val="fr-CA"/>
              </w:rPr>
            </w:pP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lang w:val="fr-CA"/>
              </w:rPr>
            </w:pPr>
            <w:r w:rsidRPr="009021BE">
              <w:rPr>
                <w:sz w:val="20"/>
                <w:lang w:val="fr-CA"/>
              </w:rPr>
              <w:t>Rejet de l’appel</w:t>
            </w:r>
          </w:p>
          <w:p w:rsidR="009021BE" w:rsidRPr="009021BE" w:rsidRDefault="009021BE" w:rsidP="009021BE">
            <w:pPr>
              <w:jc w:val="both"/>
              <w:rPr>
                <w:sz w:val="20"/>
                <w:lang w:val="fr-CA"/>
              </w:rPr>
            </w:pP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24 août 2017</w:t>
            </w:r>
          </w:p>
          <w:p w:rsidR="009021BE" w:rsidRPr="009021BE" w:rsidRDefault="009021BE" w:rsidP="009021BE">
            <w:pPr>
              <w:jc w:val="both"/>
              <w:rPr>
                <w:sz w:val="20"/>
                <w:lang w:val="fr-CA"/>
              </w:rPr>
            </w:pPr>
            <w:r w:rsidRPr="009021BE">
              <w:rPr>
                <w:sz w:val="20"/>
                <w:lang w:val="fr-CA"/>
              </w:rPr>
              <w:t>Cour suprême du Canada</w:t>
            </w: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lang w:val="fr-CA"/>
              </w:rPr>
            </w:pPr>
            <w:r w:rsidRPr="009021BE">
              <w:rPr>
                <w:sz w:val="20"/>
                <w:lang w:val="fr-CA"/>
              </w:rPr>
              <w:t>Dépôt de la demande d’autorisation d’appel</w:t>
            </w:r>
          </w:p>
          <w:p w:rsidR="009021BE" w:rsidRPr="009021BE" w:rsidRDefault="009021BE" w:rsidP="009021BE">
            <w:pPr>
              <w:jc w:val="both"/>
              <w:rPr>
                <w:sz w:val="20"/>
                <w:lang w:val="fr-CA"/>
              </w:rPr>
            </w:pPr>
          </w:p>
        </w:tc>
      </w:tr>
    </w:tbl>
    <w:p w:rsidR="009021BE" w:rsidRPr="009021BE" w:rsidRDefault="009021BE" w:rsidP="009021BE">
      <w:pPr>
        <w:jc w:val="both"/>
        <w:rPr>
          <w:sz w:val="20"/>
          <w:lang w:val="fr-CA"/>
        </w:rPr>
      </w:pPr>
    </w:p>
    <w:p w:rsidR="009021BE" w:rsidRPr="009021BE" w:rsidRDefault="009021BE" w:rsidP="009021B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21BE" w:rsidRPr="009021BE" w:rsidTr="00E95A6A">
        <w:tc>
          <w:tcPr>
            <w:tcW w:w="543" w:type="pct"/>
          </w:tcPr>
          <w:p w:rsidR="009021BE" w:rsidRPr="009021BE" w:rsidRDefault="009021BE" w:rsidP="009021BE">
            <w:pPr>
              <w:jc w:val="both"/>
              <w:rPr>
                <w:sz w:val="20"/>
              </w:rPr>
            </w:pPr>
            <w:r w:rsidRPr="009021BE">
              <w:rPr>
                <w:rStyle w:val="SCCFileNumberChar"/>
                <w:sz w:val="20"/>
                <w:szCs w:val="20"/>
              </w:rPr>
              <w:t>37766</w:t>
            </w:r>
          </w:p>
        </w:tc>
        <w:tc>
          <w:tcPr>
            <w:tcW w:w="4457" w:type="pct"/>
            <w:gridSpan w:val="3"/>
          </w:tcPr>
          <w:p w:rsidR="009021BE" w:rsidRPr="00BF319D" w:rsidRDefault="009021BE" w:rsidP="009021BE">
            <w:pPr>
              <w:pStyle w:val="SCCLsocParty"/>
              <w:jc w:val="both"/>
              <w:rPr>
                <w:b/>
                <w:sz w:val="20"/>
                <w:szCs w:val="20"/>
                <w:lang w:val="en-US"/>
              </w:rPr>
            </w:pPr>
            <w:r w:rsidRPr="00BF319D">
              <w:rPr>
                <w:b/>
                <w:sz w:val="20"/>
                <w:szCs w:val="20"/>
                <w:lang w:val="en-US"/>
              </w:rPr>
              <w:t>Her Majesty the Queen v. Christopher Husbands</w:t>
            </w:r>
          </w:p>
          <w:p w:rsidR="009021BE" w:rsidRPr="009021BE" w:rsidRDefault="009021BE" w:rsidP="009021BE">
            <w:pPr>
              <w:jc w:val="both"/>
              <w:rPr>
                <w:sz w:val="20"/>
              </w:rPr>
            </w:pPr>
            <w:r w:rsidRPr="009021BE">
              <w:rPr>
                <w:sz w:val="20"/>
              </w:rPr>
              <w:t>(Ont.) (Criminal) (By Leave)</w:t>
            </w:r>
          </w:p>
        </w:tc>
      </w:tr>
      <w:tr w:rsidR="009021BE" w:rsidRPr="009021BE" w:rsidTr="00E95A6A">
        <w:tc>
          <w:tcPr>
            <w:tcW w:w="5000" w:type="pct"/>
            <w:gridSpan w:val="4"/>
          </w:tcPr>
          <w:p w:rsidR="009021BE" w:rsidRPr="009021BE" w:rsidRDefault="009021BE" w:rsidP="009021BE">
            <w:pPr>
              <w:jc w:val="both"/>
              <w:rPr>
                <w:sz w:val="20"/>
              </w:rPr>
            </w:pPr>
            <w:r w:rsidRPr="009021BE">
              <w:rPr>
                <w:sz w:val="20"/>
              </w:rPr>
              <w:t xml:space="preserve">Criminal law – Jurors – Challenge for cause – Whether s. 640 of the </w:t>
            </w:r>
            <w:r w:rsidRPr="009021BE">
              <w:rPr>
                <w:i/>
                <w:sz w:val="20"/>
              </w:rPr>
              <w:t>Criminal Code</w:t>
            </w:r>
            <w:r w:rsidRPr="009021BE">
              <w:rPr>
                <w:sz w:val="20"/>
              </w:rPr>
              <w:t xml:space="preserve">, </w:t>
            </w:r>
            <w:r w:rsidRPr="009021BE">
              <w:rPr>
                <w:sz w:val="20"/>
                <w:lang w:val="en"/>
              </w:rPr>
              <w:t xml:space="preserve">R.S.C. 1985, c. C-46 </w:t>
            </w:r>
            <w:r w:rsidRPr="009021BE">
              <w:rPr>
                <w:sz w:val="20"/>
              </w:rPr>
              <w:t xml:space="preserve">sets out a complete procedure to be used in challenges for cause, or does a trial judge retain an inherent jurisdiction to exclude some jurors only and at the same time order the use of rotating triers – Whether the Court of Appeal erred in law in its conclusion that s. 686(1)(b)(iv) of the </w:t>
            </w:r>
            <w:r w:rsidRPr="009021BE">
              <w:rPr>
                <w:i/>
                <w:sz w:val="20"/>
              </w:rPr>
              <w:t>Criminal Code</w:t>
            </w:r>
            <w:r w:rsidRPr="009021BE">
              <w:rPr>
                <w:sz w:val="20"/>
              </w:rPr>
              <w:t xml:space="preserve"> can never apply where a trial judge erroneously characterizes an application for exclusion of jurors as an application under s. 640(2.1) of the </w:t>
            </w:r>
            <w:r w:rsidRPr="009021BE">
              <w:rPr>
                <w:i/>
                <w:sz w:val="20"/>
              </w:rPr>
              <w:t>Criminal Code</w:t>
            </w:r>
            <w:r w:rsidRPr="009021BE">
              <w:rPr>
                <w:sz w:val="20"/>
              </w:rPr>
              <w:t>.</w:t>
            </w:r>
          </w:p>
        </w:tc>
      </w:tr>
      <w:tr w:rsidR="009021BE" w:rsidRPr="009021BE" w:rsidTr="00E95A6A">
        <w:tc>
          <w:tcPr>
            <w:tcW w:w="5000" w:type="pct"/>
            <w:gridSpan w:val="4"/>
          </w:tcPr>
          <w:p w:rsidR="009021BE" w:rsidRPr="009021BE" w:rsidRDefault="009021BE" w:rsidP="009021BE">
            <w:pPr>
              <w:jc w:val="both"/>
              <w:rPr>
                <w:sz w:val="20"/>
              </w:rPr>
            </w:pPr>
          </w:p>
        </w:tc>
      </w:tr>
      <w:tr w:rsidR="009021BE" w:rsidRPr="009021BE" w:rsidTr="00E95A6A">
        <w:tc>
          <w:tcPr>
            <w:tcW w:w="5000" w:type="pct"/>
            <w:gridSpan w:val="4"/>
          </w:tcPr>
          <w:p w:rsidR="009021BE" w:rsidRPr="009021BE" w:rsidRDefault="009021BE" w:rsidP="009021BE">
            <w:pPr>
              <w:jc w:val="both"/>
              <w:rPr>
                <w:sz w:val="20"/>
                <w:lang w:val="en"/>
              </w:rPr>
            </w:pPr>
            <w:r w:rsidRPr="009021BE">
              <w:rPr>
                <w:sz w:val="20"/>
                <w:lang w:val="en"/>
              </w:rPr>
              <w:t>At the food court in the Eaton Centre, two people died after sustaining gunshot wounds. The other five victims suffered serious injuries, but survived.</w:t>
            </w:r>
            <w:r w:rsidRPr="009021BE">
              <w:rPr>
                <w:sz w:val="20"/>
              </w:rPr>
              <w:t xml:space="preserve"> </w:t>
            </w:r>
            <w:r w:rsidRPr="009021BE">
              <w:rPr>
                <w:sz w:val="20"/>
                <w:lang w:val="en"/>
              </w:rPr>
              <w:t xml:space="preserve">At his trial, Mr. Husbands challenged each prospective juror for cause on the ground of racial bias. The trial judge ruled that the jury selection process shall be conducted by two static triers pursuant to s. 640(2.2) of the </w:t>
            </w:r>
            <w:r w:rsidRPr="009021BE">
              <w:rPr>
                <w:i/>
                <w:sz w:val="20"/>
                <w:lang w:val="en"/>
              </w:rPr>
              <w:t>Criminal Code</w:t>
            </w:r>
            <w:r w:rsidRPr="009021BE">
              <w:rPr>
                <w:sz w:val="20"/>
                <w:lang w:val="en"/>
              </w:rPr>
              <w:t xml:space="preserve">, R.S.C. 1985, c. C-46. The jury found Mr. Husbands guilty of two counts of second degree murder, five counts of aggravated assault and individual counts of criminal negligence causing bodily harm and the reckless discharge of a firearm. The Court of Appeal held that the provisions of ss. 640(2.1) and (2.2) of the </w:t>
            </w:r>
            <w:r w:rsidRPr="009021BE">
              <w:rPr>
                <w:i/>
                <w:sz w:val="20"/>
                <w:lang w:val="en"/>
              </w:rPr>
              <w:t>Criminal Code</w:t>
            </w:r>
            <w:r w:rsidRPr="009021BE">
              <w:rPr>
                <w:sz w:val="20"/>
                <w:lang w:val="en"/>
              </w:rPr>
              <w:t>, which alone permit the use of static triers, never became engaged; therefore, no order could be made under those subsections. The appeal was allowed, the convictions were set aside and a new trial was ordered.</w:t>
            </w:r>
          </w:p>
        </w:tc>
      </w:tr>
      <w:tr w:rsidR="009021BE" w:rsidRPr="009021BE" w:rsidTr="00E95A6A">
        <w:tc>
          <w:tcPr>
            <w:tcW w:w="5000" w:type="pct"/>
            <w:gridSpan w:val="4"/>
          </w:tcPr>
          <w:p w:rsidR="009021BE" w:rsidRPr="009021BE" w:rsidRDefault="009021BE" w:rsidP="009021BE">
            <w:pPr>
              <w:jc w:val="both"/>
              <w:rPr>
                <w:sz w:val="20"/>
              </w:rPr>
            </w:pPr>
          </w:p>
        </w:tc>
      </w:tr>
      <w:tr w:rsidR="009021BE" w:rsidRPr="009021BE" w:rsidTr="00E95A6A">
        <w:tc>
          <w:tcPr>
            <w:tcW w:w="2427" w:type="pct"/>
            <w:gridSpan w:val="2"/>
          </w:tcPr>
          <w:p w:rsidR="009021BE" w:rsidRPr="009021BE" w:rsidRDefault="009021BE" w:rsidP="009021BE">
            <w:pPr>
              <w:jc w:val="both"/>
              <w:rPr>
                <w:sz w:val="20"/>
              </w:rPr>
            </w:pPr>
            <w:r w:rsidRPr="009021BE">
              <w:rPr>
                <w:sz w:val="20"/>
              </w:rPr>
              <w:t>December 17, 2014</w:t>
            </w:r>
          </w:p>
          <w:p w:rsidR="009021BE" w:rsidRPr="009021BE" w:rsidRDefault="009021BE" w:rsidP="009021BE">
            <w:pPr>
              <w:jc w:val="both"/>
              <w:rPr>
                <w:sz w:val="20"/>
              </w:rPr>
            </w:pPr>
            <w:r w:rsidRPr="009021BE">
              <w:rPr>
                <w:sz w:val="20"/>
              </w:rPr>
              <w:t>Ontario Superior Court of Justice</w:t>
            </w:r>
          </w:p>
          <w:p w:rsidR="009021BE" w:rsidRPr="009021BE" w:rsidRDefault="009021BE" w:rsidP="009021BE">
            <w:pPr>
              <w:jc w:val="both"/>
              <w:rPr>
                <w:sz w:val="20"/>
              </w:rPr>
            </w:pPr>
            <w:r w:rsidRPr="009021BE">
              <w:rPr>
                <w:sz w:val="20"/>
              </w:rPr>
              <w:t>(</w:t>
            </w:r>
            <w:proofErr w:type="spellStart"/>
            <w:r w:rsidRPr="009021BE">
              <w:rPr>
                <w:sz w:val="20"/>
              </w:rPr>
              <w:t>Ewaschuk</w:t>
            </w:r>
            <w:proofErr w:type="spellEnd"/>
            <w:r w:rsidRPr="009021BE">
              <w:rPr>
                <w:sz w:val="20"/>
              </w:rPr>
              <w:t xml:space="preserve"> J.)</w:t>
            </w:r>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Convictions: two counts of second degree murder; five counts of aggravated assault; individual counts of criminal negligence causing bodily harm, and reckless discharge of a firearm</w:t>
            </w:r>
          </w:p>
          <w:p w:rsidR="009021BE" w:rsidRPr="009021BE" w:rsidRDefault="009021BE" w:rsidP="009021BE">
            <w:pPr>
              <w:jc w:val="both"/>
              <w:rPr>
                <w:sz w:val="20"/>
              </w:rPr>
            </w:pPr>
          </w:p>
        </w:tc>
      </w:tr>
      <w:tr w:rsidR="009021BE" w:rsidRPr="009021BE" w:rsidTr="00E95A6A">
        <w:tc>
          <w:tcPr>
            <w:tcW w:w="2427" w:type="pct"/>
            <w:gridSpan w:val="2"/>
          </w:tcPr>
          <w:p w:rsidR="009021BE" w:rsidRPr="009021BE" w:rsidRDefault="009021BE" w:rsidP="009021BE">
            <w:pPr>
              <w:jc w:val="both"/>
              <w:rPr>
                <w:sz w:val="20"/>
              </w:rPr>
            </w:pPr>
            <w:r w:rsidRPr="009021BE">
              <w:rPr>
                <w:sz w:val="20"/>
              </w:rPr>
              <w:t>July 21, 2017</w:t>
            </w:r>
          </w:p>
          <w:p w:rsidR="009021BE" w:rsidRPr="009021BE" w:rsidRDefault="009021BE" w:rsidP="009021BE">
            <w:pPr>
              <w:jc w:val="both"/>
              <w:rPr>
                <w:sz w:val="20"/>
              </w:rPr>
            </w:pPr>
            <w:r w:rsidRPr="009021BE">
              <w:rPr>
                <w:sz w:val="20"/>
              </w:rPr>
              <w:t>Court of Appeal for Ontario</w:t>
            </w:r>
          </w:p>
          <w:p w:rsidR="009021BE" w:rsidRPr="009021BE" w:rsidRDefault="009021BE" w:rsidP="009021BE">
            <w:pPr>
              <w:jc w:val="both"/>
              <w:rPr>
                <w:sz w:val="20"/>
              </w:rPr>
            </w:pPr>
            <w:r w:rsidRPr="009021BE">
              <w:rPr>
                <w:sz w:val="20"/>
              </w:rPr>
              <w:t>(</w:t>
            </w:r>
            <w:proofErr w:type="spellStart"/>
            <w:r w:rsidRPr="009021BE">
              <w:rPr>
                <w:sz w:val="20"/>
              </w:rPr>
              <w:t>LaForme</w:t>
            </w:r>
            <w:proofErr w:type="spellEnd"/>
            <w:r w:rsidRPr="009021BE">
              <w:rPr>
                <w:sz w:val="20"/>
              </w:rPr>
              <w:t>, Watt, Trotter JJ.A.)</w:t>
            </w:r>
          </w:p>
          <w:p w:rsidR="009021BE" w:rsidRPr="009021BE" w:rsidRDefault="009021BE" w:rsidP="009021BE">
            <w:pPr>
              <w:jc w:val="both"/>
              <w:rPr>
                <w:sz w:val="20"/>
              </w:rPr>
            </w:pPr>
            <w:r w:rsidRPr="009021BE">
              <w:rPr>
                <w:sz w:val="20"/>
              </w:rPr>
              <w:t>2017 ONCA 607; C61867</w:t>
            </w:r>
          </w:p>
          <w:p w:rsidR="009021BE" w:rsidRPr="009021BE" w:rsidRDefault="009021BE" w:rsidP="009021BE">
            <w:pPr>
              <w:jc w:val="both"/>
              <w:rPr>
                <w:sz w:val="20"/>
              </w:rPr>
            </w:pPr>
            <w:hyperlink r:id="rId40" w:history="1">
              <w:r w:rsidRPr="009021BE">
                <w:rPr>
                  <w:rStyle w:val="Hyperlink"/>
                  <w:rFonts w:eastAsiaTheme="majorEastAsia"/>
                  <w:sz w:val="20"/>
                </w:rPr>
                <w:t>http://canlii.ca/t/h4zgt</w:t>
              </w:r>
            </w:hyperlink>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b/>
                <w:sz w:val="20"/>
              </w:rPr>
            </w:pPr>
            <w:r w:rsidRPr="009021BE">
              <w:rPr>
                <w:sz w:val="20"/>
              </w:rPr>
              <w:t xml:space="preserve">Appeal allowed: convictions set aside; new trial ordered </w:t>
            </w:r>
          </w:p>
          <w:p w:rsidR="009021BE" w:rsidRPr="009021BE" w:rsidRDefault="009021BE" w:rsidP="009021BE">
            <w:pPr>
              <w:jc w:val="both"/>
              <w:rPr>
                <w:b/>
                <w:sz w:val="20"/>
              </w:rPr>
            </w:pPr>
          </w:p>
          <w:p w:rsidR="009021BE" w:rsidRPr="009021BE" w:rsidRDefault="009021BE" w:rsidP="009021BE">
            <w:pPr>
              <w:jc w:val="both"/>
              <w:rPr>
                <w:sz w:val="20"/>
              </w:rPr>
            </w:pPr>
          </w:p>
        </w:tc>
      </w:tr>
      <w:tr w:rsidR="009021BE" w:rsidRPr="009021BE" w:rsidTr="00E95A6A">
        <w:tc>
          <w:tcPr>
            <w:tcW w:w="2427" w:type="pct"/>
            <w:gridSpan w:val="2"/>
          </w:tcPr>
          <w:p w:rsidR="009021BE" w:rsidRPr="009021BE" w:rsidRDefault="009021BE" w:rsidP="009021BE">
            <w:pPr>
              <w:jc w:val="both"/>
              <w:rPr>
                <w:sz w:val="20"/>
              </w:rPr>
            </w:pPr>
            <w:r w:rsidRPr="009021BE">
              <w:rPr>
                <w:sz w:val="20"/>
              </w:rPr>
              <w:t>September 27, 2017</w:t>
            </w:r>
          </w:p>
          <w:p w:rsidR="009021BE" w:rsidRPr="009021BE" w:rsidRDefault="009021BE" w:rsidP="009021BE">
            <w:pPr>
              <w:jc w:val="both"/>
              <w:rPr>
                <w:sz w:val="20"/>
              </w:rPr>
            </w:pPr>
            <w:r w:rsidRPr="009021BE">
              <w:rPr>
                <w:sz w:val="20"/>
              </w:rPr>
              <w:t>Supreme Court of Canada</w:t>
            </w:r>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Application for leave to appeal filed</w:t>
            </w:r>
          </w:p>
          <w:p w:rsidR="009021BE" w:rsidRPr="009021BE" w:rsidRDefault="009021BE" w:rsidP="009021BE">
            <w:pPr>
              <w:jc w:val="both"/>
              <w:rPr>
                <w:sz w:val="20"/>
              </w:rPr>
            </w:pPr>
          </w:p>
        </w:tc>
      </w:tr>
      <w:tr w:rsidR="009021BE" w:rsidRPr="009021BE" w:rsidTr="00E95A6A">
        <w:tc>
          <w:tcPr>
            <w:tcW w:w="2427" w:type="pct"/>
            <w:gridSpan w:val="2"/>
          </w:tcPr>
          <w:p w:rsidR="009021BE" w:rsidRPr="009021BE" w:rsidRDefault="009021BE" w:rsidP="009021BE">
            <w:pPr>
              <w:jc w:val="both"/>
              <w:rPr>
                <w:sz w:val="20"/>
              </w:rPr>
            </w:pPr>
            <w:r w:rsidRPr="009021BE">
              <w:rPr>
                <w:sz w:val="20"/>
              </w:rPr>
              <w:t>October 27, 2017</w:t>
            </w:r>
          </w:p>
          <w:p w:rsidR="009021BE" w:rsidRPr="009021BE" w:rsidRDefault="009021BE" w:rsidP="00BF319D">
            <w:pPr>
              <w:jc w:val="both"/>
              <w:rPr>
                <w:sz w:val="20"/>
              </w:rPr>
            </w:pPr>
            <w:r w:rsidRPr="009021BE">
              <w:rPr>
                <w:sz w:val="20"/>
              </w:rPr>
              <w:t>Supreme Court of Canada</w:t>
            </w: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Respondent’s motion for an extension of time to serve and file a response to the application for leave to appeal to November 17, 2017, granted</w:t>
            </w:r>
          </w:p>
        </w:tc>
      </w:tr>
    </w:tbl>
    <w:p w:rsidR="009021BE" w:rsidRDefault="009021BE" w:rsidP="009021BE">
      <w:pPr>
        <w:jc w:val="both"/>
        <w:rPr>
          <w:sz w:val="20"/>
        </w:rPr>
      </w:pPr>
    </w:p>
    <w:p w:rsidR="00BF319D" w:rsidRPr="009021BE" w:rsidRDefault="00BF319D" w:rsidP="009021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21BE" w:rsidRPr="009021BE" w:rsidTr="00E95A6A">
        <w:tc>
          <w:tcPr>
            <w:tcW w:w="543" w:type="pct"/>
          </w:tcPr>
          <w:p w:rsidR="009021BE" w:rsidRPr="009021BE" w:rsidRDefault="009021BE" w:rsidP="009021BE">
            <w:pPr>
              <w:jc w:val="both"/>
              <w:rPr>
                <w:sz w:val="20"/>
                <w:lang w:val="fr-CA"/>
              </w:rPr>
            </w:pPr>
            <w:r w:rsidRPr="009021BE">
              <w:rPr>
                <w:rStyle w:val="SCCFileNumberChar"/>
                <w:sz w:val="20"/>
                <w:szCs w:val="20"/>
                <w:lang w:val="fr-CA"/>
              </w:rPr>
              <w:t>37766</w:t>
            </w:r>
          </w:p>
        </w:tc>
        <w:tc>
          <w:tcPr>
            <w:tcW w:w="4457" w:type="pct"/>
            <w:gridSpan w:val="3"/>
          </w:tcPr>
          <w:p w:rsidR="009021BE" w:rsidRPr="00BF319D" w:rsidRDefault="009021BE" w:rsidP="009021BE">
            <w:pPr>
              <w:pStyle w:val="SCCLsocParty"/>
              <w:jc w:val="both"/>
              <w:rPr>
                <w:b/>
                <w:sz w:val="20"/>
                <w:szCs w:val="20"/>
              </w:rPr>
            </w:pPr>
            <w:r w:rsidRPr="00BF319D">
              <w:rPr>
                <w:b/>
                <w:sz w:val="20"/>
                <w:szCs w:val="20"/>
              </w:rPr>
              <w:t>Sa Majesté la Reine c. Christopher Husbands</w:t>
            </w:r>
          </w:p>
          <w:p w:rsidR="009021BE" w:rsidRPr="009021BE" w:rsidRDefault="009021BE" w:rsidP="009021BE">
            <w:pPr>
              <w:jc w:val="both"/>
              <w:rPr>
                <w:sz w:val="20"/>
                <w:lang w:val="fr-CA"/>
              </w:rPr>
            </w:pPr>
            <w:r w:rsidRPr="009021BE">
              <w:rPr>
                <w:sz w:val="20"/>
                <w:lang w:val="fr-CA"/>
              </w:rPr>
              <w:t>(Ont.) (Criminelle) (Sur autorisation)</w:t>
            </w:r>
          </w:p>
        </w:tc>
      </w:tr>
      <w:tr w:rsidR="009021BE" w:rsidRPr="009021BE" w:rsidTr="00E95A6A">
        <w:tc>
          <w:tcPr>
            <w:tcW w:w="5000" w:type="pct"/>
            <w:gridSpan w:val="4"/>
          </w:tcPr>
          <w:p w:rsidR="009021BE" w:rsidRPr="009021BE" w:rsidRDefault="009021BE" w:rsidP="009021BE">
            <w:pPr>
              <w:jc w:val="both"/>
              <w:rPr>
                <w:sz w:val="20"/>
                <w:lang w:val="fr-CA"/>
              </w:rPr>
            </w:pPr>
            <w:r w:rsidRPr="009021BE">
              <w:rPr>
                <w:sz w:val="20"/>
                <w:lang w:val="fr-CA"/>
              </w:rPr>
              <w:t xml:space="preserve">Droit criminel – Jurés – Récusation motivée – L’art. 640 du </w:t>
            </w:r>
            <w:r w:rsidRPr="009021BE">
              <w:rPr>
                <w:i/>
                <w:sz w:val="20"/>
                <w:lang w:val="fr-CA"/>
              </w:rPr>
              <w:t>Code criminel</w:t>
            </w:r>
            <w:r w:rsidRPr="009021BE">
              <w:rPr>
                <w:sz w:val="20"/>
                <w:lang w:val="fr-CA"/>
              </w:rPr>
              <w:t>, L.R.C. 1985, ch. C-46 établit-il une procédure complète à suivre dans les récusations motivées, ou bien est-ce que le juge du procès conserve la compétence inhérente d’exclure certains jurés seulement tout en ordonnant le recours à des vérificateurs en rotation? – La Cour d’appel a-t-elle commis une erreur de droit en concluant que le sous-al. 686(1)b</w:t>
            </w:r>
            <w:proofErr w:type="gramStart"/>
            <w:r w:rsidRPr="009021BE">
              <w:rPr>
                <w:sz w:val="20"/>
                <w:lang w:val="fr-CA"/>
              </w:rPr>
              <w:t>)(</w:t>
            </w:r>
            <w:proofErr w:type="gramEnd"/>
            <w:r w:rsidRPr="009021BE">
              <w:rPr>
                <w:sz w:val="20"/>
                <w:lang w:val="fr-CA"/>
              </w:rPr>
              <w:t xml:space="preserve">iv) du </w:t>
            </w:r>
            <w:r w:rsidRPr="009021BE">
              <w:rPr>
                <w:i/>
                <w:sz w:val="20"/>
                <w:lang w:val="fr-CA"/>
              </w:rPr>
              <w:t>Code criminel</w:t>
            </w:r>
            <w:r w:rsidRPr="009021BE">
              <w:rPr>
                <w:sz w:val="20"/>
                <w:lang w:val="fr-CA"/>
              </w:rPr>
              <w:t xml:space="preserve"> ne peut jamais s’appliquer lorsque le juge du procès a mal qualifié une demande d’exclusion de jurés comme une demande en application du par. 640(2.1) du </w:t>
            </w:r>
            <w:r w:rsidRPr="009021BE">
              <w:rPr>
                <w:i/>
                <w:sz w:val="20"/>
                <w:lang w:val="fr-CA"/>
              </w:rPr>
              <w:t>Code criminel</w:t>
            </w:r>
            <w:r w:rsidRPr="009021BE">
              <w:rPr>
                <w:sz w:val="20"/>
                <w:lang w:val="fr-CA"/>
              </w:rPr>
              <w:t>?</w:t>
            </w:r>
          </w:p>
        </w:tc>
      </w:tr>
      <w:tr w:rsidR="009021BE" w:rsidRPr="009021BE" w:rsidTr="00E95A6A">
        <w:tc>
          <w:tcPr>
            <w:tcW w:w="5000" w:type="pct"/>
            <w:gridSpan w:val="4"/>
          </w:tcPr>
          <w:p w:rsidR="009021BE" w:rsidRPr="009021BE" w:rsidRDefault="009021BE" w:rsidP="009021BE">
            <w:pPr>
              <w:jc w:val="both"/>
              <w:rPr>
                <w:sz w:val="20"/>
                <w:lang w:val="fr-CA"/>
              </w:rPr>
            </w:pPr>
          </w:p>
        </w:tc>
      </w:tr>
      <w:tr w:rsidR="009021BE" w:rsidRPr="009021BE" w:rsidTr="00E95A6A">
        <w:tc>
          <w:tcPr>
            <w:tcW w:w="5000" w:type="pct"/>
            <w:gridSpan w:val="4"/>
          </w:tcPr>
          <w:p w:rsidR="009021BE" w:rsidRPr="009021BE" w:rsidRDefault="009021BE" w:rsidP="009021BE">
            <w:pPr>
              <w:jc w:val="both"/>
              <w:rPr>
                <w:sz w:val="20"/>
                <w:lang w:val="fr-CA"/>
              </w:rPr>
            </w:pPr>
            <w:r w:rsidRPr="009021BE">
              <w:rPr>
                <w:sz w:val="20"/>
                <w:lang w:val="fr-CA"/>
              </w:rPr>
              <w:t>À l’aire de restauration dans le Centre Eaton, deux personnes sont décédées après avoir subi des blessures par balles. Les cinq autres victimes ont été grièvement blessées, mais elles ont survécu.  À son procès, M. </w:t>
            </w:r>
            <w:proofErr w:type="spellStart"/>
            <w:r w:rsidRPr="009021BE">
              <w:rPr>
                <w:sz w:val="20"/>
                <w:lang w:val="fr-CA"/>
              </w:rPr>
              <w:t>Husbands</w:t>
            </w:r>
            <w:proofErr w:type="spellEnd"/>
            <w:r w:rsidRPr="009021BE">
              <w:rPr>
                <w:sz w:val="20"/>
                <w:lang w:val="fr-CA"/>
              </w:rPr>
              <w:t xml:space="preserve"> a demandé la récusation motivée de chaque candidat juré sur le fondement de préjugés raciaux. Le juge du procès a statué que le processus de sélection des jurés allait être mené par deux vérificateurs sans rotation en application du par. 640(2.2) du </w:t>
            </w:r>
            <w:r w:rsidRPr="009021BE">
              <w:rPr>
                <w:i/>
                <w:sz w:val="20"/>
                <w:lang w:val="fr-CA"/>
              </w:rPr>
              <w:t>Code criminel</w:t>
            </w:r>
            <w:r w:rsidRPr="009021BE">
              <w:rPr>
                <w:sz w:val="20"/>
                <w:lang w:val="fr-CA"/>
              </w:rPr>
              <w:t xml:space="preserve">, L.R.C. 1985, ch. C-46. Le jury a déclaré M. Husbands coupable de deux chefs de meurtre au deuxième degré, de cinq chefs de voies de fait graves et d’un chef chacun de négligence criminelle causant des lésions corporelles et de décharge d’une arme à feu avec insouciance. La Cour d’appel a statué que les dispositions des </w:t>
            </w:r>
            <w:proofErr w:type="spellStart"/>
            <w:r w:rsidRPr="009021BE">
              <w:rPr>
                <w:sz w:val="20"/>
                <w:lang w:val="fr-CA"/>
              </w:rPr>
              <w:t>par</w:t>
            </w:r>
            <w:proofErr w:type="spellEnd"/>
            <w:r w:rsidRPr="009021BE">
              <w:rPr>
                <w:sz w:val="20"/>
                <w:lang w:val="fr-CA"/>
              </w:rPr>
              <w:t xml:space="preserve">. 640(2.1) et (2.2) du </w:t>
            </w:r>
            <w:r w:rsidRPr="009021BE">
              <w:rPr>
                <w:i/>
                <w:sz w:val="20"/>
                <w:lang w:val="fr-CA"/>
              </w:rPr>
              <w:t>Code criminel</w:t>
            </w:r>
            <w:r w:rsidRPr="009021BE">
              <w:rPr>
                <w:sz w:val="20"/>
                <w:lang w:val="fr-CA"/>
              </w:rPr>
              <w:t>, qui seules permettent le recours à des vérificateurs sans rotation, ne sont jamais entrées en jeu, si bien qu’aucune ordonnance ne pouvait être prononcée en application de ces paragraphes. L’appel a été accueilli, les déclarations de culpabilité ont été annulées et un nouveau procès a été ordonné.</w:t>
            </w:r>
          </w:p>
        </w:tc>
      </w:tr>
      <w:tr w:rsidR="009021BE" w:rsidRPr="009021BE" w:rsidTr="00E95A6A">
        <w:tc>
          <w:tcPr>
            <w:tcW w:w="5000" w:type="pct"/>
            <w:gridSpan w:val="4"/>
          </w:tcPr>
          <w:p w:rsidR="009021BE" w:rsidRPr="009021BE" w:rsidRDefault="009021BE" w:rsidP="009021BE">
            <w:pPr>
              <w:jc w:val="both"/>
              <w:rPr>
                <w:sz w:val="20"/>
                <w:lang w:val="fr-CA"/>
              </w:rPr>
            </w:pP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17 décembre 2014</w:t>
            </w:r>
          </w:p>
          <w:p w:rsidR="009021BE" w:rsidRPr="009021BE" w:rsidRDefault="009021BE" w:rsidP="009021BE">
            <w:pPr>
              <w:jc w:val="both"/>
              <w:rPr>
                <w:sz w:val="20"/>
                <w:lang w:val="fr-CA"/>
              </w:rPr>
            </w:pPr>
            <w:r w:rsidRPr="009021BE">
              <w:rPr>
                <w:sz w:val="20"/>
                <w:lang w:val="fr-CA"/>
              </w:rPr>
              <w:t>Cour supérieure de justice de l’Ontario</w:t>
            </w:r>
          </w:p>
          <w:p w:rsidR="009021BE" w:rsidRPr="009021BE" w:rsidRDefault="009021BE" w:rsidP="009021BE">
            <w:pPr>
              <w:jc w:val="both"/>
              <w:rPr>
                <w:sz w:val="20"/>
                <w:lang w:val="fr-CA"/>
              </w:rPr>
            </w:pPr>
            <w:r w:rsidRPr="009021BE">
              <w:rPr>
                <w:sz w:val="20"/>
                <w:lang w:val="fr-CA"/>
              </w:rPr>
              <w:t>(Juge Ewaschuk)</w:t>
            </w:r>
          </w:p>
          <w:p w:rsidR="009021BE" w:rsidRPr="009021BE" w:rsidRDefault="009021BE" w:rsidP="009021BE">
            <w:pPr>
              <w:jc w:val="both"/>
              <w:rPr>
                <w:sz w:val="20"/>
                <w:lang w:val="fr-CA"/>
              </w:rPr>
            </w:pP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lang w:val="fr-CA"/>
              </w:rPr>
            </w:pPr>
            <w:r w:rsidRPr="009021BE">
              <w:rPr>
                <w:sz w:val="20"/>
                <w:lang w:val="fr-CA"/>
              </w:rPr>
              <w:t>Déclarations de culpabilité : deux chefs de meurtre au deuxième degré; cinq chefs de voies de fait graves; un chef chacun de négligence criminelle causant des lésions corporelles et de décharge d’une arme à feu avec insouciance</w:t>
            </w:r>
          </w:p>
          <w:p w:rsidR="009021BE" w:rsidRPr="009021BE" w:rsidRDefault="009021BE" w:rsidP="009021BE">
            <w:pPr>
              <w:jc w:val="both"/>
              <w:rPr>
                <w:sz w:val="20"/>
                <w:lang w:val="fr-CA"/>
              </w:rPr>
            </w:pP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21 juillet 2017</w:t>
            </w:r>
          </w:p>
          <w:p w:rsidR="009021BE" w:rsidRPr="009021BE" w:rsidRDefault="009021BE" w:rsidP="009021BE">
            <w:pPr>
              <w:jc w:val="both"/>
              <w:rPr>
                <w:sz w:val="20"/>
                <w:lang w:val="fr-CA"/>
              </w:rPr>
            </w:pPr>
            <w:r w:rsidRPr="009021BE">
              <w:rPr>
                <w:sz w:val="20"/>
                <w:lang w:val="fr-CA"/>
              </w:rPr>
              <w:t>Cour d’appel de l’Ontario</w:t>
            </w:r>
          </w:p>
          <w:p w:rsidR="009021BE" w:rsidRPr="009021BE" w:rsidRDefault="009021BE" w:rsidP="009021BE">
            <w:pPr>
              <w:jc w:val="both"/>
              <w:rPr>
                <w:sz w:val="20"/>
                <w:lang w:val="fr-CA"/>
              </w:rPr>
            </w:pPr>
            <w:r w:rsidRPr="009021BE">
              <w:rPr>
                <w:sz w:val="20"/>
                <w:lang w:val="fr-CA"/>
              </w:rPr>
              <w:t>(Juges LaForme, Watt et Trotter)</w:t>
            </w:r>
          </w:p>
          <w:p w:rsidR="009021BE" w:rsidRPr="009021BE" w:rsidRDefault="009021BE" w:rsidP="009021BE">
            <w:pPr>
              <w:jc w:val="both"/>
              <w:rPr>
                <w:sz w:val="20"/>
              </w:rPr>
            </w:pPr>
            <w:r w:rsidRPr="009021BE">
              <w:rPr>
                <w:sz w:val="20"/>
              </w:rPr>
              <w:t>2017 ONCA 607; C61867</w:t>
            </w:r>
          </w:p>
          <w:p w:rsidR="009021BE" w:rsidRPr="009021BE" w:rsidRDefault="009021BE" w:rsidP="009021BE">
            <w:pPr>
              <w:jc w:val="both"/>
              <w:rPr>
                <w:sz w:val="20"/>
              </w:rPr>
            </w:pPr>
            <w:hyperlink r:id="rId41" w:history="1">
              <w:r w:rsidRPr="009021BE">
                <w:rPr>
                  <w:rStyle w:val="Hyperlink"/>
                  <w:rFonts w:eastAsiaTheme="majorEastAsia"/>
                  <w:sz w:val="20"/>
                </w:rPr>
                <w:t>http://canlii.ca/t/h4zgt</w:t>
              </w:r>
            </w:hyperlink>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BF319D">
            <w:pPr>
              <w:jc w:val="both"/>
              <w:rPr>
                <w:sz w:val="20"/>
                <w:lang w:val="fr-CA"/>
              </w:rPr>
            </w:pPr>
            <w:r w:rsidRPr="009021BE">
              <w:rPr>
                <w:sz w:val="20"/>
                <w:lang w:val="fr-CA"/>
              </w:rPr>
              <w:t>Arrêt accueillant l’appel, annulant les déclarations de culpabilité et ordonnant un nouveau procès</w:t>
            </w: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27 septembre 2017</w:t>
            </w:r>
          </w:p>
          <w:p w:rsidR="009021BE" w:rsidRPr="009021BE" w:rsidRDefault="009021BE" w:rsidP="009021BE">
            <w:pPr>
              <w:jc w:val="both"/>
              <w:rPr>
                <w:sz w:val="20"/>
                <w:lang w:val="fr-CA"/>
              </w:rPr>
            </w:pPr>
            <w:r w:rsidRPr="009021BE">
              <w:rPr>
                <w:sz w:val="20"/>
                <w:lang w:val="fr-CA"/>
              </w:rPr>
              <w:t>Cour suprême du Canada</w:t>
            </w:r>
          </w:p>
          <w:p w:rsidR="009021BE" w:rsidRPr="009021BE" w:rsidRDefault="009021BE" w:rsidP="009021BE">
            <w:pPr>
              <w:jc w:val="both"/>
              <w:rPr>
                <w:sz w:val="20"/>
                <w:lang w:val="fr-CA"/>
              </w:rPr>
            </w:pP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lang w:val="fr-CA"/>
              </w:rPr>
            </w:pPr>
            <w:r w:rsidRPr="009021BE">
              <w:rPr>
                <w:sz w:val="20"/>
                <w:lang w:val="fr-CA"/>
              </w:rPr>
              <w:t>Dépôt de la demande d’autorisation d’appel</w:t>
            </w:r>
          </w:p>
          <w:p w:rsidR="009021BE" w:rsidRPr="009021BE" w:rsidRDefault="009021BE" w:rsidP="009021BE">
            <w:pPr>
              <w:jc w:val="both"/>
              <w:rPr>
                <w:sz w:val="20"/>
                <w:lang w:val="fr-CA"/>
              </w:rPr>
            </w:pP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27 octobre 2017</w:t>
            </w:r>
          </w:p>
          <w:p w:rsidR="009021BE" w:rsidRPr="009021BE" w:rsidRDefault="009021BE" w:rsidP="00BF319D">
            <w:pPr>
              <w:jc w:val="both"/>
              <w:rPr>
                <w:sz w:val="20"/>
                <w:lang w:val="fr-CA"/>
              </w:rPr>
            </w:pPr>
            <w:r w:rsidRPr="009021BE">
              <w:rPr>
                <w:sz w:val="20"/>
                <w:lang w:val="fr-CA"/>
              </w:rPr>
              <w:t>Cour suprême du Canada</w:t>
            </w: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lang w:val="fr-CA"/>
              </w:rPr>
            </w:pPr>
            <w:r w:rsidRPr="009021BE">
              <w:rPr>
                <w:sz w:val="20"/>
                <w:lang w:val="fr-CA"/>
              </w:rPr>
              <w:t xml:space="preserve">Décision accueillant la requête en prorogation du délai de signification et de dépôt de la réponse à la demande d’autorisation d’appel au 17 novembre 2017 </w:t>
            </w:r>
          </w:p>
        </w:tc>
      </w:tr>
    </w:tbl>
    <w:p w:rsidR="009021BE" w:rsidRPr="009021BE" w:rsidRDefault="009021BE" w:rsidP="009021BE">
      <w:pPr>
        <w:jc w:val="both"/>
        <w:rPr>
          <w:sz w:val="20"/>
          <w:lang w:val="fr-CA"/>
        </w:rPr>
      </w:pPr>
    </w:p>
    <w:p w:rsidR="009021BE" w:rsidRPr="009021BE" w:rsidRDefault="009021BE" w:rsidP="009021BE">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9021BE" w:rsidRPr="009021BE" w:rsidTr="004867CD">
        <w:trPr>
          <w:gridAfter w:val="1"/>
          <w:wAfter w:w="48" w:type="pct"/>
        </w:trPr>
        <w:tc>
          <w:tcPr>
            <w:tcW w:w="538" w:type="pct"/>
          </w:tcPr>
          <w:p w:rsidR="009021BE" w:rsidRPr="009021BE" w:rsidRDefault="009021BE" w:rsidP="009021BE">
            <w:pPr>
              <w:jc w:val="both"/>
              <w:rPr>
                <w:sz w:val="20"/>
              </w:rPr>
            </w:pPr>
            <w:r w:rsidRPr="009021BE">
              <w:rPr>
                <w:rStyle w:val="SCCFileNumberChar"/>
                <w:sz w:val="20"/>
                <w:szCs w:val="20"/>
              </w:rPr>
              <w:t>37717</w:t>
            </w:r>
          </w:p>
        </w:tc>
        <w:tc>
          <w:tcPr>
            <w:tcW w:w="4414" w:type="pct"/>
            <w:gridSpan w:val="3"/>
          </w:tcPr>
          <w:p w:rsidR="009021BE" w:rsidRPr="00BF319D" w:rsidRDefault="009021BE" w:rsidP="009021BE">
            <w:pPr>
              <w:pStyle w:val="SCCLsocParty"/>
              <w:jc w:val="both"/>
              <w:rPr>
                <w:b/>
                <w:sz w:val="20"/>
                <w:szCs w:val="20"/>
                <w:lang w:val="en-US"/>
              </w:rPr>
            </w:pPr>
            <w:r w:rsidRPr="00BF319D">
              <w:rPr>
                <w:b/>
                <w:sz w:val="20"/>
                <w:szCs w:val="20"/>
                <w:lang w:val="en-US"/>
              </w:rPr>
              <w:t xml:space="preserve">E. Jo-Anne </w:t>
            </w:r>
            <w:proofErr w:type="spellStart"/>
            <w:r w:rsidRPr="00BF319D">
              <w:rPr>
                <w:b/>
                <w:sz w:val="20"/>
                <w:szCs w:val="20"/>
                <w:lang w:val="en-US"/>
              </w:rPr>
              <w:t>Lanigan</w:t>
            </w:r>
            <w:proofErr w:type="spellEnd"/>
            <w:r w:rsidRPr="00BF319D">
              <w:rPr>
                <w:b/>
                <w:sz w:val="20"/>
                <w:szCs w:val="20"/>
                <w:lang w:val="en-US"/>
              </w:rPr>
              <w:t xml:space="preserve"> v. Prince Edward Island Teachers' Federation</w:t>
            </w:r>
          </w:p>
          <w:p w:rsidR="009021BE" w:rsidRPr="009021BE" w:rsidRDefault="009021BE" w:rsidP="009021BE">
            <w:pPr>
              <w:jc w:val="both"/>
              <w:rPr>
                <w:sz w:val="20"/>
              </w:rPr>
            </w:pPr>
            <w:r w:rsidRPr="009021BE">
              <w:rPr>
                <w:sz w:val="20"/>
              </w:rPr>
              <w:t>(P.E.I.) (Civil) (By Leave)</w:t>
            </w:r>
          </w:p>
        </w:tc>
      </w:tr>
      <w:tr w:rsidR="009021BE" w:rsidRPr="009021BE" w:rsidTr="004867CD">
        <w:trPr>
          <w:gridAfter w:val="1"/>
          <w:wAfter w:w="48" w:type="pct"/>
        </w:trPr>
        <w:tc>
          <w:tcPr>
            <w:tcW w:w="4952" w:type="pct"/>
            <w:gridSpan w:val="4"/>
          </w:tcPr>
          <w:p w:rsidR="009021BE" w:rsidRPr="009021BE" w:rsidRDefault="009021BE" w:rsidP="009021BE">
            <w:pPr>
              <w:jc w:val="both"/>
              <w:rPr>
                <w:sz w:val="20"/>
              </w:rPr>
            </w:pPr>
            <w:proofErr w:type="spellStart"/>
            <w:r w:rsidRPr="009021BE">
              <w:rPr>
                <w:sz w:val="20"/>
              </w:rPr>
              <w:t>Labour</w:t>
            </w:r>
            <w:proofErr w:type="spellEnd"/>
            <w:r w:rsidRPr="009021BE">
              <w:rPr>
                <w:sz w:val="20"/>
              </w:rPr>
              <w:t xml:space="preserve"> relations – Unions – Duty of fair representation – Whether the Court of Appeal erred in law and in principle in retrying the matter under consideration – Whether the Court of Appeal erred in principle and in fact in dismissing the motion for reconsideration.</w:t>
            </w:r>
          </w:p>
        </w:tc>
      </w:tr>
      <w:tr w:rsidR="009021BE" w:rsidRPr="009021BE" w:rsidTr="004867CD">
        <w:trPr>
          <w:gridAfter w:val="1"/>
          <w:wAfter w:w="48" w:type="pct"/>
        </w:trPr>
        <w:tc>
          <w:tcPr>
            <w:tcW w:w="4952" w:type="pct"/>
            <w:gridSpan w:val="4"/>
          </w:tcPr>
          <w:p w:rsidR="009021BE" w:rsidRPr="009021BE" w:rsidRDefault="009021BE" w:rsidP="009021BE">
            <w:pPr>
              <w:jc w:val="both"/>
              <w:rPr>
                <w:sz w:val="20"/>
              </w:rPr>
            </w:pPr>
          </w:p>
          <w:p w:rsidR="009021BE" w:rsidRPr="009021BE" w:rsidRDefault="009021BE" w:rsidP="009021BE">
            <w:pPr>
              <w:jc w:val="both"/>
              <w:rPr>
                <w:sz w:val="20"/>
              </w:rPr>
            </w:pPr>
            <w:r w:rsidRPr="009021BE">
              <w:rPr>
                <w:sz w:val="20"/>
              </w:rPr>
              <w:t xml:space="preserve">Jo-Anne </w:t>
            </w:r>
            <w:proofErr w:type="spellStart"/>
            <w:r w:rsidRPr="009021BE">
              <w:rPr>
                <w:sz w:val="20"/>
              </w:rPr>
              <w:t>Lanigan</w:t>
            </w:r>
            <w:proofErr w:type="spellEnd"/>
            <w:r w:rsidRPr="009021BE">
              <w:rPr>
                <w:sz w:val="20"/>
              </w:rPr>
              <w:t xml:space="preserve"> is a teacher, and was a vice-principal until, on August 23, 2010, the employer invoked discipline that terminated her administrative position. Both the Prince Edward Island Teachers’ Federation (the “Union”) and Ms. </w:t>
            </w:r>
            <w:proofErr w:type="spellStart"/>
            <w:r w:rsidRPr="009021BE">
              <w:rPr>
                <w:sz w:val="20"/>
              </w:rPr>
              <w:t>Lanigan</w:t>
            </w:r>
            <w:proofErr w:type="spellEnd"/>
            <w:r w:rsidRPr="009021BE">
              <w:rPr>
                <w:sz w:val="20"/>
              </w:rPr>
              <w:t xml:space="preserve"> agreed that the manner in which Ms. </w:t>
            </w:r>
            <w:proofErr w:type="spellStart"/>
            <w:r w:rsidRPr="009021BE">
              <w:rPr>
                <w:sz w:val="20"/>
              </w:rPr>
              <w:t>Lanigan</w:t>
            </w:r>
            <w:proofErr w:type="spellEnd"/>
            <w:r w:rsidRPr="009021BE">
              <w:rPr>
                <w:sz w:val="20"/>
              </w:rPr>
              <w:t xml:space="preserve"> lost her vice-principal’s position violated the collective agreement, however no grievance was filed. In May of 2011, Ms. </w:t>
            </w:r>
            <w:proofErr w:type="spellStart"/>
            <w:r w:rsidRPr="009021BE">
              <w:rPr>
                <w:sz w:val="20"/>
              </w:rPr>
              <w:t>Lanigan</w:t>
            </w:r>
            <w:proofErr w:type="spellEnd"/>
            <w:r w:rsidRPr="009021BE">
              <w:rPr>
                <w:sz w:val="20"/>
              </w:rPr>
              <w:t xml:space="preserve"> began applying for guidance counsellor positions within the School District, however was advised by the employer that she would not be hired for any counsellor positions. Ms. </w:t>
            </w:r>
            <w:proofErr w:type="spellStart"/>
            <w:r w:rsidRPr="009021BE">
              <w:rPr>
                <w:sz w:val="20"/>
              </w:rPr>
              <w:t>Lanigan</w:t>
            </w:r>
            <w:proofErr w:type="spellEnd"/>
            <w:r w:rsidRPr="009021BE">
              <w:rPr>
                <w:sz w:val="20"/>
              </w:rPr>
              <w:t xml:space="preserve"> retained counsel. She also sought the assistance of the Union, asking it to file a grievance for the loss of her vice-principal’s position, as well as for the employer’s refusal to consider her for any counsellor positions. The Union investigated and declined to file a grievance in either case. Ms. </w:t>
            </w:r>
            <w:proofErr w:type="spellStart"/>
            <w:r w:rsidRPr="009021BE">
              <w:rPr>
                <w:sz w:val="20"/>
              </w:rPr>
              <w:t>Lanigan</w:t>
            </w:r>
            <w:proofErr w:type="spellEnd"/>
            <w:r w:rsidRPr="009021BE">
              <w:rPr>
                <w:sz w:val="20"/>
              </w:rPr>
              <w:t xml:space="preserve"> sued the Union, alleging many breaches of the duty of fair representation, claiming she thereby suffered loss and damages.</w:t>
            </w:r>
          </w:p>
        </w:tc>
      </w:tr>
      <w:tr w:rsidR="009021BE" w:rsidRPr="009021BE" w:rsidTr="004867CD">
        <w:trPr>
          <w:gridAfter w:val="1"/>
          <w:wAfter w:w="48" w:type="pct"/>
        </w:trPr>
        <w:tc>
          <w:tcPr>
            <w:tcW w:w="4952" w:type="pct"/>
            <w:gridSpan w:val="4"/>
          </w:tcPr>
          <w:p w:rsidR="009021BE" w:rsidRPr="009021BE" w:rsidRDefault="009021BE" w:rsidP="009021BE">
            <w:pPr>
              <w:jc w:val="both"/>
              <w:rPr>
                <w:sz w:val="20"/>
              </w:rPr>
            </w:pPr>
          </w:p>
          <w:p w:rsidR="009021BE" w:rsidRPr="009021BE" w:rsidRDefault="009021BE" w:rsidP="009021BE">
            <w:pPr>
              <w:jc w:val="both"/>
              <w:rPr>
                <w:sz w:val="20"/>
              </w:rPr>
            </w:pPr>
            <w:r w:rsidRPr="009021BE">
              <w:rPr>
                <w:sz w:val="20"/>
              </w:rPr>
              <w:t>The Supreme Court of Prince Edward Island, Trial Division, allowed Ms. </w:t>
            </w:r>
            <w:proofErr w:type="spellStart"/>
            <w:r w:rsidRPr="009021BE">
              <w:rPr>
                <w:sz w:val="20"/>
              </w:rPr>
              <w:t>Lanigan’s</w:t>
            </w:r>
            <w:proofErr w:type="spellEnd"/>
            <w:r w:rsidRPr="009021BE">
              <w:rPr>
                <w:sz w:val="20"/>
              </w:rPr>
              <w:t xml:space="preserve"> action. The P.E.I. Court of Appeal allowed the Union’s appeal, dismissing Ms. </w:t>
            </w:r>
            <w:proofErr w:type="spellStart"/>
            <w:r w:rsidRPr="009021BE">
              <w:rPr>
                <w:sz w:val="20"/>
              </w:rPr>
              <w:t>Lanigan’s</w:t>
            </w:r>
            <w:proofErr w:type="spellEnd"/>
            <w:r w:rsidRPr="009021BE">
              <w:rPr>
                <w:sz w:val="20"/>
              </w:rPr>
              <w:t xml:space="preserve"> action, finding that the trial judge had made errors in the standard of review, as well as other errors of law and fact that made his decision unsustainable. Ms. </w:t>
            </w:r>
            <w:proofErr w:type="spellStart"/>
            <w:r w:rsidRPr="009021BE">
              <w:rPr>
                <w:sz w:val="20"/>
              </w:rPr>
              <w:t>Lanigan’s</w:t>
            </w:r>
            <w:proofErr w:type="spellEnd"/>
            <w:r w:rsidRPr="009021BE">
              <w:rPr>
                <w:sz w:val="20"/>
              </w:rPr>
              <w:t xml:space="preserve"> motion for reconsideration of the decision on appeal was subsequently dismissed by the Court of Appeal on the basis that she had not presented any grounds that would warrant reconsideration.</w:t>
            </w:r>
          </w:p>
          <w:p w:rsidR="009021BE" w:rsidRPr="009021BE" w:rsidRDefault="009021BE" w:rsidP="009021BE">
            <w:pPr>
              <w:jc w:val="both"/>
              <w:rPr>
                <w:sz w:val="20"/>
              </w:rPr>
            </w:pPr>
          </w:p>
        </w:tc>
      </w:tr>
      <w:tr w:rsidR="009021BE" w:rsidRPr="009021BE" w:rsidTr="004867CD">
        <w:tblPrEx>
          <w:tblCellMar>
            <w:bottom w:w="0" w:type="dxa"/>
          </w:tblCellMar>
        </w:tblPrEx>
        <w:tc>
          <w:tcPr>
            <w:tcW w:w="2367" w:type="pct"/>
            <w:gridSpan w:val="2"/>
          </w:tcPr>
          <w:p w:rsidR="009021BE" w:rsidRPr="009021BE" w:rsidRDefault="009021BE" w:rsidP="009021BE">
            <w:pPr>
              <w:jc w:val="both"/>
              <w:rPr>
                <w:sz w:val="20"/>
              </w:rPr>
            </w:pPr>
            <w:r w:rsidRPr="009021BE">
              <w:rPr>
                <w:sz w:val="20"/>
              </w:rPr>
              <w:t>November 30, 2015</w:t>
            </w:r>
          </w:p>
          <w:p w:rsidR="009021BE" w:rsidRPr="009021BE" w:rsidRDefault="009021BE" w:rsidP="009021BE">
            <w:pPr>
              <w:jc w:val="both"/>
              <w:rPr>
                <w:sz w:val="20"/>
              </w:rPr>
            </w:pPr>
            <w:r w:rsidRPr="009021BE">
              <w:rPr>
                <w:sz w:val="20"/>
              </w:rPr>
              <w:t>Supreme Court of Prince Edward Island, Trial Division</w:t>
            </w:r>
          </w:p>
          <w:p w:rsidR="009021BE" w:rsidRPr="009021BE" w:rsidRDefault="009021BE" w:rsidP="009021BE">
            <w:pPr>
              <w:jc w:val="both"/>
              <w:rPr>
                <w:sz w:val="20"/>
              </w:rPr>
            </w:pPr>
            <w:r w:rsidRPr="009021BE">
              <w:rPr>
                <w:sz w:val="20"/>
              </w:rPr>
              <w:t>(Taylor J.)</w:t>
            </w:r>
          </w:p>
          <w:p w:rsidR="009021BE" w:rsidRPr="009021BE" w:rsidRDefault="009021BE" w:rsidP="009021BE">
            <w:pPr>
              <w:jc w:val="both"/>
              <w:rPr>
                <w:sz w:val="20"/>
              </w:rPr>
            </w:pPr>
            <w:hyperlink r:id="rId42" w:history="1">
              <w:r w:rsidRPr="009021BE">
                <w:rPr>
                  <w:rStyle w:val="Hyperlink"/>
                  <w:sz w:val="20"/>
                </w:rPr>
                <w:t>2015 PESC 36</w:t>
              </w:r>
            </w:hyperlink>
          </w:p>
          <w:p w:rsidR="009021BE" w:rsidRPr="009021BE" w:rsidRDefault="009021BE" w:rsidP="009021BE">
            <w:pPr>
              <w:jc w:val="both"/>
              <w:rPr>
                <w:sz w:val="20"/>
              </w:rPr>
            </w:pPr>
          </w:p>
        </w:tc>
        <w:tc>
          <w:tcPr>
            <w:tcW w:w="267" w:type="pct"/>
          </w:tcPr>
          <w:p w:rsidR="009021BE" w:rsidRPr="009021BE" w:rsidRDefault="009021BE" w:rsidP="009021BE">
            <w:pPr>
              <w:jc w:val="both"/>
              <w:rPr>
                <w:sz w:val="20"/>
              </w:rPr>
            </w:pPr>
          </w:p>
        </w:tc>
        <w:tc>
          <w:tcPr>
            <w:tcW w:w="2366" w:type="pct"/>
            <w:gridSpan w:val="2"/>
          </w:tcPr>
          <w:p w:rsidR="009021BE" w:rsidRPr="009021BE" w:rsidRDefault="009021BE" w:rsidP="009021BE">
            <w:pPr>
              <w:jc w:val="both"/>
              <w:rPr>
                <w:sz w:val="20"/>
              </w:rPr>
            </w:pPr>
            <w:r w:rsidRPr="009021BE">
              <w:rPr>
                <w:sz w:val="20"/>
              </w:rPr>
              <w:t>Applicant’s action, allowed. Respondent ordered to pay special damages, pre- and post-judgment interest, and substantial indemnity costs.</w:t>
            </w:r>
          </w:p>
          <w:p w:rsidR="009021BE" w:rsidRPr="009021BE" w:rsidRDefault="009021BE" w:rsidP="009021BE">
            <w:pPr>
              <w:jc w:val="both"/>
              <w:rPr>
                <w:sz w:val="20"/>
              </w:rPr>
            </w:pPr>
          </w:p>
        </w:tc>
      </w:tr>
      <w:tr w:rsidR="009021BE" w:rsidRPr="009021BE" w:rsidTr="004867CD">
        <w:tblPrEx>
          <w:tblCellMar>
            <w:bottom w:w="0" w:type="dxa"/>
          </w:tblCellMar>
        </w:tblPrEx>
        <w:tc>
          <w:tcPr>
            <w:tcW w:w="2367" w:type="pct"/>
            <w:gridSpan w:val="2"/>
          </w:tcPr>
          <w:p w:rsidR="009021BE" w:rsidRPr="009021BE" w:rsidRDefault="009021BE" w:rsidP="009021BE">
            <w:pPr>
              <w:jc w:val="both"/>
              <w:rPr>
                <w:sz w:val="20"/>
              </w:rPr>
            </w:pPr>
            <w:r w:rsidRPr="009021BE">
              <w:rPr>
                <w:sz w:val="20"/>
              </w:rPr>
              <w:t>March 23, 2017</w:t>
            </w:r>
          </w:p>
          <w:p w:rsidR="009021BE" w:rsidRPr="009021BE" w:rsidRDefault="009021BE" w:rsidP="009021BE">
            <w:pPr>
              <w:jc w:val="both"/>
              <w:rPr>
                <w:sz w:val="20"/>
              </w:rPr>
            </w:pPr>
            <w:r w:rsidRPr="009021BE">
              <w:rPr>
                <w:sz w:val="20"/>
              </w:rPr>
              <w:t>Prince Edward Island Court of Appeal</w:t>
            </w:r>
          </w:p>
          <w:p w:rsidR="009021BE" w:rsidRPr="009021BE" w:rsidRDefault="009021BE" w:rsidP="009021BE">
            <w:pPr>
              <w:jc w:val="both"/>
              <w:rPr>
                <w:sz w:val="20"/>
              </w:rPr>
            </w:pPr>
            <w:r w:rsidRPr="009021BE">
              <w:rPr>
                <w:sz w:val="20"/>
              </w:rPr>
              <w:t>(Jenkins C.J.P.E.I., Murphy and Mitchell JJ.A.)</w:t>
            </w:r>
          </w:p>
          <w:p w:rsidR="009021BE" w:rsidRPr="009021BE" w:rsidRDefault="009021BE" w:rsidP="009021BE">
            <w:pPr>
              <w:jc w:val="both"/>
              <w:rPr>
                <w:sz w:val="20"/>
              </w:rPr>
            </w:pPr>
            <w:hyperlink r:id="rId43" w:history="1">
              <w:r w:rsidRPr="009021BE">
                <w:rPr>
                  <w:rStyle w:val="Hyperlink"/>
                  <w:sz w:val="20"/>
                </w:rPr>
                <w:t>2017 PECA 3</w:t>
              </w:r>
            </w:hyperlink>
            <w:r w:rsidRPr="009021BE">
              <w:rPr>
                <w:sz w:val="20"/>
              </w:rPr>
              <w:t xml:space="preserve"> </w:t>
            </w:r>
          </w:p>
          <w:p w:rsidR="009021BE" w:rsidRPr="009021BE" w:rsidRDefault="009021BE" w:rsidP="009021BE">
            <w:pPr>
              <w:jc w:val="both"/>
              <w:rPr>
                <w:sz w:val="20"/>
              </w:rPr>
            </w:pPr>
          </w:p>
        </w:tc>
        <w:tc>
          <w:tcPr>
            <w:tcW w:w="267" w:type="pct"/>
          </w:tcPr>
          <w:p w:rsidR="009021BE" w:rsidRPr="009021BE" w:rsidRDefault="009021BE" w:rsidP="009021BE">
            <w:pPr>
              <w:jc w:val="both"/>
              <w:rPr>
                <w:sz w:val="20"/>
              </w:rPr>
            </w:pPr>
          </w:p>
        </w:tc>
        <w:tc>
          <w:tcPr>
            <w:tcW w:w="2366" w:type="pct"/>
            <w:gridSpan w:val="2"/>
          </w:tcPr>
          <w:p w:rsidR="009021BE" w:rsidRPr="009021BE" w:rsidRDefault="009021BE" w:rsidP="009021BE">
            <w:pPr>
              <w:jc w:val="both"/>
              <w:rPr>
                <w:sz w:val="20"/>
              </w:rPr>
            </w:pPr>
            <w:r w:rsidRPr="009021BE">
              <w:rPr>
                <w:sz w:val="20"/>
              </w:rPr>
              <w:t>Respondent’s appeal, allowed; Applicant’s cross-appeal from the decision not to award general damages, dismissed; Applicant’s action, dismissed.</w:t>
            </w:r>
          </w:p>
          <w:p w:rsidR="009021BE" w:rsidRPr="009021BE" w:rsidRDefault="009021BE" w:rsidP="009021BE">
            <w:pPr>
              <w:jc w:val="both"/>
              <w:rPr>
                <w:sz w:val="20"/>
              </w:rPr>
            </w:pPr>
          </w:p>
        </w:tc>
      </w:tr>
      <w:tr w:rsidR="009021BE" w:rsidRPr="009021BE" w:rsidTr="004867CD">
        <w:tblPrEx>
          <w:tblCellMar>
            <w:bottom w:w="0" w:type="dxa"/>
          </w:tblCellMar>
        </w:tblPrEx>
        <w:trPr>
          <w:trHeight w:val="414"/>
        </w:trPr>
        <w:tc>
          <w:tcPr>
            <w:tcW w:w="2367" w:type="pct"/>
            <w:gridSpan w:val="2"/>
          </w:tcPr>
          <w:p w:rsidR="009021BE" w:rsidRPr="009021BE" w:rsidRDefault="009021BE" w:rsidP="009021BE">
            <w:pPr>
              <w:jc w:val="both"/>
              <w:rPr>
                <w:sz w:val="20"/>
              </w:rPr>
            </w:pPr>
            <w:r w:rsidRPr="009021BE">
              <w:rPr>
                <w:sz w:val="20"/>
              </w:rPr>
              <w:t>May 15, 2017</w:t>
            </w:r>
          </w:p>
          <w:p w:rsidR="009021BE" w:rsidRPr="009021BE" w:rsidRDefault="009021BE" w:rsidP="009021BE">
            <w:pPr>
              <w:jc w:val="both"/>
              <w:rPr>
                <w:sz w:val="20"/>
              </w:rPr>
            </w:pPr>
            <w:r w:rsidRPr="009021BE">
              <w:rPr>
                <w:sz w:val="20"/>
              </w:rPr>
              <w:t>Prince Edward Island Court of Appeal</w:t>
            </w:r>
          </w:p>
          <w:p w:rsidR="009021BE" w:rsidRPr="009021BE" w:rsidRDefault="009021BE" w:rsidP="009021BE">
            <w:pPr>
              <w:jc w:val="both"/>
              <w:rPr>
                <w:sz w:val="20"/>
              </w:rPr>
            </w:pPr>
            <w:r w:rsidRPr="009021BE">
              <w:rPr>
                <w:sz w:val="20"/>
              </w:rPr>
              <w:t>(Jenkins C.J.P.E.I., Murphy and Mitchell JJ.A.)</w:t>
            </w:r>
          </w:p>
          <w:p w:rsidR="009021BE" w:rsidRPr="009021BE" w:rsidRDefault="009021BE" w:rsidP="009021BE">
            <w:pPr>
              <w:jc w:val="both"/>
              <w:rPr>
                <w:rStyle w:val="Hyperlink"/>
                <w:sz w:val="20"/>
              </w:rPr>
            </w:pPr>
            <w:hyperlink r:id="rId44" w:history="1">
              <w:r w:rsidRPr="009021BE">
                <w:rPr>
                  <w:rStyle w:val="Hyperlink"/>
                  <w:sz w:val="20"/>
                </w:rPr>
                <w:t>2017 PECA 9</w:t>
              </w:r>
            </w:hyperlink>
          </w:p>
          <w:p w:rsidR="009021BE" w:rsidRPr="009021BE" w:rsidRDefault="009021BE" w:rsidP="009021BE">
            <w:pPr>
              <w:jc w:val="both"/>
              <w:rPr>
                <w:sz w:val="20"/>
              </w:rPr>
            </w:pPr>
          </w:p>
        </w:tc>
        <w:tc>
          <w:tcPr>
            <w:tcW w:w="267" w:type="pct"/>
          </w:tcPr>
          <w:p w:rsidR="009021BE" w:rsidRPr="009021BE" w:rsidRDefault="009021BE" w:rsidP="009021BE">
            <w:pPr>
              <w:jc w:val="both"/>
              <w:rPr>
                <w:sz w:val="20"/>
              </w:rPr>
            </w:pPr>
          </w:p>
        </w:tc>
        <w:tc>
          <w:tcPr>
            <w:tcW w:w="2366" w:type="pct"/>
            <w:gridSpan w:val="2"/>
          </w:tcPr>
          <w:p w:rsidR="009021BE" w:rsidRPr="009021BE" w:rsidRDefault="009021BE" w:rsidP="009021BE">
            <w:pPr>
              <w:jc w:val="both"/>
              <w:rPr>
                <w:sz w:val="20"/>
              </w:rPr>
            </w:pPr>
            <w:r w:rsidRPr="009021BE">
              <w:rPr>
                <w:sz w:val="20"/>
              </w:rPr>
              <w:t>Applicant’s motion for reconsideration, dismissed.</w:t>
            </w:r>
          </w:p>
          <w:p w:rsidR="009021BE" w:rsidRPr="009021BE" w:rsidRDefault="009021BE" w:rsidP="009021BE">
            <w:pPr>
              <w:jc w:val="both"/>
              <w:rPr>
                <w:sz w:val="20"/>
              </w:rPr>
            </w:pPr>
          </w:p>
        </w:tc>
      </w:tr>
      <w:tr w:rsidR="009021BE" w:rsidRPr="009021BE" w:rsidTr="004867CD">
        <w:tblPrEx>
          <w:tblCellMar>
            <w:bottom w:w="0" w:type="dxa"/>
          </w:tblCellMar>
        </w:tblPrEx>
        <w:tc>
          <w:tcPr>
            <w:tcW w:w="2367" w:type="pct"/>
            <w:gridSpan w:val="2"/>
          </w:tcPr>
          <w:p w:rsidR="009021BE" w:rsidRPr="009021BE" w:rsidRDefault="009021BE" w:rsidP="009021BE">
            <w:pPr>
              <w:jc w:val="both"/>
              <w:rPr>
                <w:sz w:val="20"/>
              </w:rPr>
            </w:pPr>
            <w:r w:rsidRPr="009021BE">
              <w:rPr>
                <w:sz w:val="20"/>
              </w:rPr>
              <w:t>May 24, 2017 / September 21, 2017</w:t>
            </w:r>
          </w:p>
          <w:p w:rsidR="009021BE" w:rsidRPr="009021BE" w:rsidRDefault="009021BE" w:rsidP="009021BE">
            <w:pPr>
              <w:jc w:val="both"/>
              <w:rPr>
                <w:sz w:val="20"/>
              </w:rPr>
            </w:pPr>
            <w:r w:rsidRPr="009021BE">
              <w:rPr>
                <w:sz w:val="20"/>
              </w:rPr>
              <w:t>Supreme Court of Canada</w:t>
            </w:r>
          </w:p>
          <w:p w:rsidR="009021BE" w:rsidRPr="009021BE" w:rsidRDefault="009021BE" w:rsidP="009021BE">
            <w:pPr>
              <w:jc w:val="both"/>
              <w:rPr>
                <w:sz w:val="20"/>
              </w:rPr>
            </w:pPr>
          </w:p>
        </w:tc>
        <w:tc>
          <w:tcPr>
            <w:tcW w:w="267" w:type="pct"/>
          </w:tcPr>
          <w:p w:rsidR="009021BE" w:rsidRPr="009021BE" w:rsidRDefault="009021BE" w:rsidP="009021BE">
            <w:pPr>
              <w:jc w:val="both"/>
              <w:rPr>
                <w:sz w:val="20"/>
              </w:rPr>
            </w:pPr>
          </w:p>
        </w:tc>
        <w:tc>
          <w:tcPr>
            <w:tcW w:w="2366" w:type="pct"/>
            <w:gridSpan w:val="2"/>
          </w:tcPr>
          <w:p w:rsidR="009021BE" w:rsidRPr="009021BE" w:rsidRDefault="009021BE" w:rsidP="009021BE">
            <w:pPr>
              <w:jc w:val="both"/>
              <w:rPr>
                <w:sz w:val="20"/>
              </w:rPr>
            </w:pPr>
            <w:r w:rsidRPr="009021BE">
              <w:rPr>
                <w:sz w:val="20"/>
              </w:rPr>
              <w:t>First application for leave to appeal / motion for extension of time to serve and file application for leave to appeal, filed.</w:t>
            </w:r>
          </w:p>
          <w:p w:rsidR="009021BE" w:rsidRPr="009021BE" w:rsidRDefault="009021BE" w:rsidP="009021BE">
            <w:pPr>
              <w:jc w:val="both"/>
              <w:rPr>
                <w:sz w:val="20"/>
              </w:rPr>
            </w:pPr>
          </w:p>
        </w:tc>
      </w:tr>
      <w:tr w:rsidR="009021BE" w:rsidRPr="009021BE" w:rsidTr="004867CD">
        <w:tblPrEx>
          <w:tblCellMar>
            <w:bottom w:w="0" w:type="dxa"/>
          </w:tblCellMar>
        </w:tblPrEx>
        <w:tc>
          <w:tcPr>
            <w:tcW w:w="2367" w:type="pct"/>
            <w:gridSpan w:val="2"/>
          </w:tcPr>
          <w:p w:rsidR="009021BE" w:rsidRPr="009021BE" w:rsidRDefault="009021BE" w:rsidP="009021BE">
            <w:pPr>
              <w:jc w:val="both"/>
              <w:rPr>
                <w:sz w:val="20"/>
              </w:rPr>
            </w:pPr>
            <w:r w:rsidRPr="009021BE">
              <w:rPr>
                <w:sz w:val="20"/>
              </w:rPr>
              <w:t>August 10, 2017</w:t>
            </w:r>
          </w:p>
          <w:p w:rsidR="009021BE" w:rsidRPr="009021BE" w:rsidRDefault="009021BE" w:rsidP="009021BE">
            <w:pPr>
              <w:jc w:val="both"/>
              <w:rPr>
                <w:sz w:val="20"/>
              </w:rPr>
            </w:pPr>
            <w:r w:rsidRPr="009021BE">
              <w:rPr>
                <w:sz w:val="20"/>
              </w:rPr>
              <w:t>Supreme Court of Canada</w:t>
            </w:r>
          </w:p>
        </w:tc>
        <w:tc>
          <w:tcPr>
            <w:tcW w:w="267" w:type="pct"/>
          </w:tcPr>
          <w:p w:rsidR="009021BE" w:rsidRPr="009021BE" w:rsidRDefault="009021BE" w:rsidP="009021BE">
            <w:pPr>
              <w:jc w:val="both"/>
              <w:rPr>
                <w:sz w:val="20"/>
              </w:rPr>
            </w:pPr>
          </w:p>
        </w:tc>
        <w:tc>
          <w:tcPr>
            <w:tcW w:w="2366" w:type="pct"/>
            <w:gridSpan w:val="2"/>
          </w:tcPr>
          <w:p w:rsidR="009021BE" w:rsidRPr="009021BE" w:rsidRDefault="009021BE" w:rsidP="009021BE">
            <w:pPr>
              <w:jc w:val="both"/>
              <w:rPr>
                <w:sz w:val="20"/>
              </w:rPr>
            </w:pPr>
            <w:r w:rsidRPr="009021BE">
              <w:rPr>
                <w:sz w:val="20"/>
              </w:rPr>
              <w:t>Second application for leave to appeal, filed.</w:t>
            </w:r>
          </w:p>
          <w:p w:rsidR="009021BE" w:rsidRPr="009021BE" w:rsidRDefault="009021BE" w:rsidP="009021BE">
            <w:pPr>
              <w:jc w:val="both"/>
              <w:rPr>
                <w:sz w:val="20"/>
              </w:rPr>
            </w:pPr>
          </w:p>
        </w:tc>
      </w:tr>
    </w:tbl>
    <w:p w:rsidR="009021BE" w:rsidRDefault="009021BE" w:rsidP="009021BE">
      <w:pPr>
        <w:jc w:val="both"/>
        <w:rPr>
          <w:sz w:val="20"/>
        </w:rPr>
      </w:pPr>
    </w:p>
    <w:p w:rsidR="00BF319D" w:rsidRPr="009021BE" w:rsidRDefault="00BF319D" w:rsidP="009021BE">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9021BE" w:rsidRPr="009021BE" w:rsidTr="004867CD">
        <w:trPr>
          <w:gridAfter w:val="1"/>
          <w:wAfter w:w="48" w:type="pct"/>
        </w:trPr>
        <w:tc>
          <w:tcPr>
            <w:tcW w:w="538" w:type="pct"/>
          </w:tcPr>
          <w:p w:rsidR="009021BE" w:rsidRPr="009021BE" w:rsidRDefault="009021BE" w:rsidP="009021BE">
            <w:pPr>
              <w:jc w:val="both"/>
              <w:rPr>
                <w:sz w:val="20"/>
                <w:lang w:val="fr-CA"/>
              </w:rPr>
            </w:pPr>
            <w:r w:rsidRPr="009021BE">
              <w:rPr>
                <w:rStyle w:val="SCCFileNumberChar"/>
                <w:sz w:val="20"/>
                <w:szCs w:val="20"/>
                <w:lang w:val="fr-CA"/>
              </w:rPr>
              <w:t>37717</w:t>
            </w:r>
          </w:p>
        </w:tc>
        <w:tc>
          <w:tcPr>
            <w:tcW w:w="4414" w:type="pct"/>
            <w:gridSpan w:val="3"/>
          </w:tcPr>
          <w:p w:rsidR="009021BE" w:rsidRPr="00BF319D" w:rsidRDefault="009021BE" w:rsidP="009021BE">
            <w:pPr>
              <w:pStyle w:val="SCCLsocParty"/>
              <w:jc w:val="both"/>
              <w:rPr>
                <w:b/>
                <w:sz w:val="20"/>
                <w:szCs w:val="20"/>
                <w:lang w:val="en-US"/>
              </w:rPr>
            </w:pPr>
            <w:r w:rsidRPr="00BF319D">
              <w:rPr>
                <w:b/>
                <w:sz w:val="20"/>
                <w:szCs w:val="20"/>
                <w:lang w:val="en-US"/>
              </w:rPr>
              <w:t xml:space="preserve">E. Jo-Anne </w:t>
            </w:r>
            <w:proofErr w:type="spellStart"/>
            <w:r w:rsidRPr="00BF319D">
              <w:rPr>
                <w:b/>
                <w:sz w:val="20"/>
                <w:szCs w:val="20"/>
                <w:lang w:val="en-US"/>
              </w:rPr>
              <w:t>Lanigan</w:t>
            </w:r>
            <w:proofErr w:type="spellEnd"/>
            <w:r w:rsidRPr="00BF319D">
              <w:rPr>
                <w:b/>
                <w:sz w:val="20"/>
                <w:szCs w:val="20"/>
                <w:lang w:val="en-US"/>
              </w:rPr>
              <w:t xml:space="preserve"> c. Prince Edward Island Teachers' Federation</w:t>
            </w:r>
          </w:p>
          <w:p w:rsidR="009021BE" w:rsidRPr="009021BE" w:rsidRDefault="009021BE" w:rsidP="009021BE">
            <w:pPr>
              <w:jc w:val="both"/>
              <w:rPr>
                <w:sz w:val="20"/>
                <w:lang w:val="fr-CA"/>
              </w:rPr>
            </w:pPr>
            <w:r w:rsidRPr="009021BE">
              <w:rPr>
                <w:sz w:val="20"/>
                <w:lang w:val="fr-CA"/>
              </w:rPr>
              <w:t>(Î.-P.-É.) (Civile) (Sur autorisation)</w:t>
            </w:r>
          </w:p>
        </w:tc>
      </w:tr>
      <w:tr w:rsidR="009021BE" w:rsidRPr="009021BE" w:rsidTr="004867CD">
        <w:trPr>
          <w:gridAfter w:val="1"/>
          <w:wAfter w:w="48" w:type="pct"/>
        </w:trPr>
        <w:tc>
          <w:tcPr>
            <w:tcW w:w="4952" w:type="pct"/>
            <w:gridSpan w:val="4"/>
          </w:tcPr>
          <w:p w:rsidR="009021BE" w:rsidRPr="009021BE" w:rsidRDefault="009021BE" w:rsidP="009021BE">
            <w:pPr>
              <w:jc w:val="both"/>
              <w:rPr>
                <w:sz w:val="20"/>
                <w:lang w:val="fr-CA"/>
              </w:rPr>
            </w:pPr>
            <w:r w:rsidRPr="009021BE">
              <w:rPr>
                <w:sz w:val="20"/>
                <w:lang w:val="fr-CA"/>
              </w:rPr>
              <w:t>Relations du travail – Syndicat – Devoir de juste représentation – La Cour d’appel a-t-elle commis une erreur de droit et de principe en instruisant de nouveau l’affaire en cause? – La Cour d’appel a-t-elle commis une erreur de principe et de fait en rejetant la requête en réexamen?</w:t>
            </w:r>
          </w:p>
        </w:tc>
      </w:tr>
      <w:tr w:rsidR="009021BE" w:rsidRPr="009021BE" w:rsidTr="004867CD">
        <w:trPr>
          <w:gridAfter w:val="1"/>
          <w:wAfter w:w="48" w:type="pct"/>
        </w:trPr>
        <w:tc>
          <w:tcPr>
            <w:tcW w:w="4952" w:type="pct"/>
            <w:gridSpan w:val="4"/>
          </w:tcPr>
          <w:p w:rsidR="009021BE" w:rsidRPr="009021BE" w:rsidRDefault="009021BE" w:rsidP="009021BE">
            <w:pPr>
              <w:jc w:val="both"/>
              <w:rPr>
                <w:sz w:val="20"/>
                <w:lang w:val="fr-CA"/>
              </w:rPr>
            </w:pPr>
          </w:p>
          <w:p w:rsidR="009021BE" w:rsidRPr="009021BE" w:rsidRDefault="009021BE" w:rsidP="009021BE">
            <w:pPr>
              <w:jc w:val="both"/>
              <w:rPr>
                <w:sz w:val="20"/>
                <w:lang w:val="fr-CA"/>
              </w:rPr>
            </w:pPr>
            <w:proofErr w:type="spellStart"/>
            <w:r w:rsidRPr="009021BE">
              <w:rPr>
                <w:sz w:val="20"/>
                <w:lang w:val="fr-CA"/>
              </w:rPr>
              <w:t>Jo-Anne</w:t>
            </w:r>
            <w:proofErr w:type="spellEnd"/>
            <w:r w:rsidRPr="009021BE">
              <w:rPr>
                <w:sz w:val="20"/>
                <w:lang w:val="fr-CA"/>
              </w:rPr>
              <w:t xml:space="preserve"> </w:t>
            </w:r>
            <w:proofErr w:type="spellStart"/>
            <w:r w:rsidRPr="009021BE">
              <w:rPr>
                <w:sz w:val="20"/>
                <w:lang w:val="fr-CA"/>
              </w:rPr>
              <w:t>Lanigan</w:t>
            </w:r>
            <w:proofErr w:type="spellEnd"/>
            <w:r w:rsidRPr="009021BE">
              <w:rPr>
                <w:sz w:val="20"/>
                <w:lang w:val="fr-CA"/>
              </w:rPr>
              <w:t xml:space="preserve"> est enseignante et elle a été directrice adjointe jusqu’au 23 août 2010, date à laquelle l’employeur lui a imposé une sanction disciplinaire qui lui a fait perdre son poste administratif. La Prince Edward Island </w:t>
            </w:r>
            <w:proofErr w:type="spellStart"/>
            <w:r w:rsidRPr="009021BE">
              <w:rPr>
                <w:sz w:val="20"/>
                <w:lang w:val="fr-CA"/>
              </w:rPr>
              <w:t>Teachers</w:t>
            </w:r>
            <w:proofErr w:type="spellEnd"/>
            <w:r w:rsidRPr="009021BE">
              <w:rPr>
                <w:sz w:val="20"/>
                <w:lang w:val="fr-CA"/>
              </w:rPr>
              <w:t xml:space="preserve">’ </w:t>
            </w:r>
            <w:proofErr w:type="spellStart"/>
            <w:r w:rsidRPr="009021BE">
              <w:rPr>
                <w:sz w:val="20"/>
                <w:lang w:val="fr-CA"/>
              </w:rPr>
              <w:t>Federation</w:t>
            </w:r>
            <w:proofErr w:type="spellEnd"/>
            <w:r w:rsidRPr="009021BE">
              <w:rPr>
                <w:sz w:val="20"/>
                <w:lang w:val="fr-CA"/>
              </w:rPr>
              <w:t xml:space="preserve"> (le « syndicat ») et Mme </w:t>
            </w:r>
            <w:proofErr w:type="spellStart"/>
            <w:r w:rsidRPr="009021BE">
              <w:rPr>
                <w:sz w:val="20"/>
                <w:lang w:val="fr-CA"/>
              </w:rPr>
              <w:t>Lanigan</w:t>
            </w:r>
            <w:proofErr w:type="spellEnd"/>
            <w:r w:rsidRPr="009021BE">
              <w:rPr>
                <w:sz w:val="20"/>
                <w:lang w:val="fr-CA"/>
              </w:rPr>
              <w:t xml:space="preserve"> estimaient tous les deux que la manière dont Mme </w:t>
            </w:r>
            <w:proofErr w:type="spellStart"/>
            <w:r w:rsidRPr="009021BE">
              <w:rPr>
                <w:sz w:val="20"/>
                <w:lang w:val="fr-CA"/>
              </w:rPr>
              <w:t>Lanigan</w:t>
            </w:r>
            <w:proofErr w:type="spellEnd"/>
            <w:r w:rsidRPr="009021BE">
              <w:rPr>
                <w:sz w:val="20"/>
                <w:lang w:val="fr-CA"/>
              </w:rPr>
              <w:t xml:space="preserve"> avait perdu son poste de directrice adjointe violait la convention collective; toutefois, aucun grief n’a été déposé. En mai 2011, Mme </w:t>
            </w:r>
            <w:proofErr w:type="spellStart"/>
            <w:r w:rsidRPr="009021BE">
              <w:rPr>
                <w:sz w:val="20"/>
                <w:lang w:val="fr-CA"/>
              </w:rPr>
              <w:t>Lanigan</w:t>
            </w:r>
            <w:proofErr w:type="spellEnd"/>
            <w:r w:rsidRPr="009021BE">
              <w:rPr>
                <w:sz w:val="20"/>
                <w:lang w:val="fr-CA"/>
              </w:rPr>
              <w:t xml:space="preserve"> a commencé à présenter sa candidature à des postes de conseillère pédagogique dans le district scolaire; toutefois, l’employeur l’a informée qu’elle ne serait pas embauchée pour occuper des postes de conseillère. Madame </w:t>
            </w:r>
            <w:proofErr w:type="spellStart"/>
            <w:r w:rsidRPr="009021BE">
              <w:rPr>
                <w:sz w:val="20"/>
                <w:lang w:val="fr-CA"/>
              </w:rPr>
              <w:t>Lanigan</w:t>
            </w:r>
            <w:proofErr w:type="spellEnd"/>
            <w:r w:rsidRPr="009021BE">
              <w:rPr>
                <w:sz w:val="20"/>
                <w:lang w:val="fr-CA"/>
              </w:rPr>
              <w:t xml:space="preserve"> a retenu les services d’un avocat. Elle a également demandé l’aide du syndicat, lui demandant de présenter un grief portant sur la perte de son poste de directrice adjointe et sur le refus de l’employeur de considérer sa candidature à des postes de conseillère. Le syndicat a fait une enquête et a refusé de présenter un grief dans cas ou dans l’autre. Madame </w:t>
            </w:r>
            <w:proofErr w:type="spellStart"/>
            <w:r w:rsidRPr="009021BE">
              <w:rPr>
                <w:sz w:val="20"/>
                <w:lang w:val="fr-CA"/>
              </w:rPr>
              <w:t>Lanigan</w:t>
            </w:r>
            <w:proofErr w:type="spellEnd"/>
            <w:r w:rsidRPr="009021BE">
              <w:rPr>
                <w:sz w:val="20"/>
                <w:lang w:val="fr-CA"/>
              </w:rPr>
              <w:t xml:space="preserve"> a poursuivi le syndicat, alléguant plusieurs violations du devoir de juste représentation, ce qui lui aurait causé un préjudice.</w:t>
            </w:r>
          </w:p>
        </w:tc>
      </w:tr>
      <w:tr w:rsidR="009021BE" w:rsidRPr="009021BE" w:rsidTr="004867CD">
        <w:trPr>
          <w:gridAfter w:val="1"/>
          <w:wAfter w:w="48" w:type="pct"/>
        </w:trPr>
        <w:tc>
          <w:tcPr>
            <w:tcW w:w="4952" w:type="pct"/>
            <w:gridSpan w:val="4"/>
          </w:tcPr>
          <w:p w:rsidR="009021BE" w:rsidRPr="009021BE" w:rsidRDefault="009021BE" w:rsidP="009021BE">
            <w:pPr>
              <w:jc w:val="both"/>
              <w:rPr>
                <w:sz w:val="20"/>
                <w:lang w:val="fr-CA"/>
              </w:rPr>
            </w:pPr>
          </w:p>
          <w:p w:rsidR="009021BE" w:rsidRPr="009021BE" w:rsidRDefault="009021BE" w:rsidP="009021BE">
            <w:pPr>
              <w:jc w:val="both"/>
              <w:rPr>
                <w:sz w:val="20"/>
                <w:lang w:val="fr-CA"/>
              </w:rPr>
            </w:pPr>
            <w:r w:rsidRPr="009021BE">
              <w:rPr>
                <w:sz w:val="20"/>
                <w:lang w:val="fr-CA"/>
              </w:rPr>
              <w:t xml:space="preserve">La Cour suprême de l’Île-du-Prince-Édouard, Section de première instance, a accueilli l’action de Mme </w:t>
            </w:r>
            <w:proofErr w:type="spellStart"/>
            <w:r w:rsidRPr="009021BE">
              <w:rPr>
                <w:sz w:val="20"/>
                <w:lang w:val="fr-CA"/>
              </w:rPr>
              <w:t>Lanigan</w:t>
            </w:r>
            <w:proofErr w:type="spellEnd"/>
            <w:r w:rsidRPr="009021BE">
              <w:rPr>
                <w:sz w:val="20"/>
                <w:lang w:val="fr-CA"/>
              </w:rPr>
              <w:t xml:space="preserve">. La Cour d’appel de l’Île-du-Prince-Édouard a accueilli l’appel du syndicat, rejetant l’action de Mme </w:t>
            </w:r>
            <w:proofErr w:type="spellStart"/>
            <w:r w:rsidRPr="009021BE">
              <w:rPr>
                <w:sz w:val="20"/>
                <w:lang w:val="fr-CA"/>
              </w:rPr>
              <w:t>Lanigan</w:t>
            </w:r>
            <w:proofErr w:type="spellEnd"/>
            <w:r w:rsidRPr="009021BE">
              <w:rPr>
                <w:sz w:val="20"/>
                <w:lang w:val="fr-CA"/>
              </w:rPr>
              <w:t xml:space="preserve"> et concluant que le juge de première instance avait commis des erreurs relatives à la norme de contrôle et d’autres erreurs de droit et de fait qui rendaient sa décision indéfendable. La Cour d’appel a subséquemment rejeté la requête de Mme </w:t>
            </w:r>
            <w:proofErr w:type="spellStart"/>
            <w:r w:rsidRPr="009021BE">
              <w:rPr>
                <w:sz w:val="20"/>
                <w:lang w:val="fr-CA"/>
              </w:rPr>
              <w:t>Lanigan</w:t>
            </w:r>
            <w:proofErr w:type="spellEnd"/>
            <w:r w:rsidRPr="009021BE">
              <w:rPr>
                <w:sz w:val="20"/>
                <w:lang w:val="fr-CA"/>
              </w:rPr>
              <w:t xml:space="preserve"> en réexamen de la décision frappée d’appel, statuant qu’elle n’avait pas présenté de motifs justifiant le réexamen. </w:t>
            </w:r>
          </w:p>
          <w:p w:rsidR="009021BE" w:rsidRPr="009021BE" w:rsidRDefault="009021BE" w:rsidP="009021BE">
            <w:pPr>
              <w:jc w:val="both"/>
              <w:rPr>
                <w:sz w:val="20"/>
                <w:lang w:val="fr-CA"/>
              </w:rPr>
            </w:pPr>
          </w:p>
        </w:tc>
      </w:tr>
      <w:tr w:rsidR="009021BE" w:rsidRPr="009021BE" w:rsidTr="004867CD">
        <w:tblPrEx>
          <w:tblCellMar>
            <w:bottom w:w="0" w:type="dxa"/>
          </w:tblCellMar>
        </w:tblPrEx>
        <w:tc>
          <w:tcPr>
            <w:tcW w:w="2367" w:type="pct"/>
            <w:gridSpan w:val="2"/>
          </w:tcPr>
          <w:p w:rsidR="009021BE" w:rsidRPr="009021BE" w:rsidRDefault="009021BE" w:rsidP="009021BE">
            <w:pPr>
              <w:jc w:val="both"/>
              <w:rPr>
                <w:sz w:val="20"/>
                <w:lang w:val="fr-CA"/>
              </w:rPr>
            </w:pPr>
            <w:r w:rsidRPr="009021BE">
              <w:rPr>
                <w:sz w:val="20"/>
                <w:lang w:val="fr-CA"/>
              </w:rPr>
              <w:t>30 novembre 2015</w:t>
            </w:r>
          </w:p>
          <w:p w:rsidR="009021BE" w:rsidRPr="009021BE" w:rsidRDefault="009021BE" w:rsidP="009021BE">
            <w:pPr>
              <w:jc w:val="both"/>
              <w:rPr>
                <w:sz w:val="20"/>
                <w:lang w:val="fr-CA"/>
              </w:rPr>
            </w:pPr>
            <w:r w:rsidRPr="009021BE">
              <w:rPr>
                <w:sz w:val="20"/>
                <w:lang w:val="fr-CA"/>
              </w:rPr>
              <w:t>Cour suprême de l’Île-du-Prince-Édouard, Section de première instance</w:t>
            </w:r>
          </w:p>
          <w:p w:rsidR="009021BE" w:rsidRPr="009021BE" w:rsidRDefault="009021BE" w:rsidP="009021BE">
            <w:pPr>
              <w:jc w:val="both"/>
              <w:rPr>
                <w:sz w:val="20"/>
                <w:lang w:val="fr-CA"/>
              </w:rPr>
            </w:pPr>
            <w:r w:rsidRPr="009021BE">
              <w:rPr>
                <w:sz w:val="20"/>
                <w:lang w:val="fr-CA"/>
              </w:rPr>
              <w:t>(Juge Taylor)</w:t>
            </w:r>
          </w:p>
          <w:p w:rsidR="009021BE" w:rsidRPr="009021BE" w:rsidRDefault="009021BE" w:rsidP="009021BE">
            <w:pPr>
              <w:jc w:val="both"/>
              <w:rPr>
                <w:sz w:val="20"/>
                <w:lang w:val="fr-CA"/>
              </w:rPr>
            </w:pPr>
            <w:hyperlink r:id="rId45" w:history="1">
              <w:r w:rsidRPr="009021BE">
                <w:rPr>
                  <w:rStyle w:val="Hyperlink"/>
                  <w:sz w:val="20"/>
                  <w:lang w:val="fr-CA"/>
                </w:rPr>
                <w:t>2015 PESC 36</w:t>
              </w:r>
            </w:hyperlink>
          </w:p>
          <w:p w:rsidR="009021BE" w:rsidRPr="009021BE" w:rsidRDefault="009021BE" w:rsidP="009021BE">
            <w:pPr>
              <w:jc w:val="both"/>
              <w:rPr>
                <w:sz w:val="20"/>
                <w:lang w:val="fr-CA"/>
              </w:rPr>
            </w:pPr>
          </w:p>
        </w:tc>
        <w:tc>
          <w:tcPr>
            <w:tcW w:w="267" w:type="pct"/>
          </w:tcPr>
          <w:p w:rsidR="009021BE" w:rsidRPr="009021BE" w:rsidRDefault="009021BE" w:rsidP="009021BE">
            <w:pPr>
              <w:jc w:val="both"/>
              <w:rPr>
                <w:sz w:val="20"/>
                <w:lang w:val="fr-CA"/>
              </w:rPr>
            </w:pPr>
          </w:p>
        </w:tc>
        <w:tc>
          <w:tcPr>
            <w:tcW w:w="2366" w:type="pct"/>
            <w:gridSpan w:val="2"/>
          </w:tcPr>
          <w:p w:rsidR="009021BE" w:rsidRPr="009021BE" w:rsidRDefault="009021BE" w:rsidP="009021BE">
            <w:pPr>
              <w:jc w:val="both"/>
              <w:rPr>
                <w:sz w:val="20"/>
                <w:lang w:val="fr-CA"/>
              </w:rPr>
            </w:pPr>
            <w:r w:rsidRPr="009021BE">
              <w:rPr>
                <w:sz w:val="20"/>
                <w:lang w:val="fr-CA"/>
              </w:rPr>
              <w:t>Jugement accueillant l’action de la demanderesse et condamnant l’intimée à payer des dommages-intérêts spéciaux, les intérêts antérieurs et postérieurs au jugement et les dépens d’indemnisation substantielle.</w:t>
            </w:r>
          </w:p>
          <w:p w:rsidR="009021BE" w:rsidRPr="009021BE" w:rsidRDefault="009021BE" w:rsidP="009021BE">
            <w:pPr>
              <w:jc w:val="both"/>
              <w:rPr>
                <w:sz w:val="20"/>
                <w:lang w:val="fr-CA"/>
              </w:rPr>
            </w:pPr>
          </w:p>
        </w:tc>
      </w:tr>
      <w:tr w:rsidR="009021BE" w:rsidRPr="009021BE" w:rsidTr="004867CD">
        <w:tblPrEx>
          <w:tblCellMar>
            <w:bottom w:w="0" w:type="dxa"/>
          </w:tblCellMar>
        </w:tblPrEx>
        <w:tc>
          <w:tcPr>
            <w:tcW w:w="2367" w:type="pct"/>
            <w:gridSpan w:val="2"/>
          </w:tcPr>
          <w:p w:rsidR="009021BE" w:rsidRPr="009021BE" w:rsidRDefault="009021BE" w:rsidP="009021BE">
            <w:pPr>
              <w:jc w:val="both"/>
              <w:rPr>
                <w:sz w:val="20"/>
                <w:lang w:val="fr-CA"/>
              </w:rPr>
            </w:pPr>
            <w:r w:rsidRPr="009021BE">
              <w:rPr>
                <w:sz w:val="20"/>
                <w:lang w:val="fr-CA"/>
              </w:rPr>
              <w:t>23 mars 2017</w:t>
            </w:r>
          </w:p>
          <w:p w:rsidR="009021BE" w:rsidRPr="009021BE" w:rsidRDefault="009021BE" w:rsidP="009021BE">
            <w:pPr>
              <w:jc w:val="both"/>
              <w:rPr>
                <w:sz w:val="20"/>
                <w:lang w:val="fr-CA"/>
              </w:rPr>
            </w:pPr>
            <w:r w:rsidRPr="009021BE">
              <w:rPr>
                <w:sz w:val="20"/>
                <w:lang w:val="fr-CA"/>
              </w:rPr>
              <w:t>Cour d’appel de l’Île-du-Prince-Édouard</w:t>
            </w:r>
          </w:p>
          <w:p w:rsidR="009021BE" w:rsidRPr="009021BE" w:rsidRDefault="009021BE" w:rsidP="009021BE">
            <w:pPr>
              <w:jc w:val="both"/>
              <w:rPr>
                <w:sz w:val="20"/>
                <w:lang w:val="fr-CA"/>
              </w:rPr>
            </w:pPr>
            <w:r w:rsidRPr="009021BE">
              <w:rPr>
                <w:sz w:val="20"/>
                <w:lang w:val="fr-CA"/>
              </w:rPr>
              <w:t>(Juge en chef Jenkins, juges Murphy et Mitchell)</w:t>
            </w:r>
          </w:p>
          <w:p w:rsidR="009021BE" w:rsidRPr="009021BE" w:rsidRDefault="009021BE" w:rsidP="009021BE">
            <w:pPr>
              <w:jc w:val="both"/>
              <w:rPr>
                <w:sz w:val="20"/>
                <w:lang w:val="fr-CA"/>
              </w:rPr>
            </w:pPr>
            <w:hyperlink r:id="rId46" w:history="1">
              <w:r w:rsidRPr="009021BE">
                <w:rPr>
                  <w:rStyle w:val="Hyperlink"/>
                  <w:sz w:val="20"/>
                  <w:lang w:val="fr-CA"/>
                </w:rPr>
                <w:t>2017 PECA 3</w:t>
              </w:r>
            </w:hyperlink>
            <w:r w:rsidRPr="009021BE">
              <w:rPr>
                <w:sz w:val="20"/>
                <w:lang w:val="fr-CA"/>
              </w:rPr>
              <w:t xml:space="preserve"> </w:t>
            </w:r>
          </w:p>
          <w:p w:rsidR="009021BE" w:rsidRPr="009021BE" w:rsidRDefault="009021BE" w:rsidP="009021BE">
            <w:pPr>
              <w:jc w:val="both"/>
              <w:rPr>
                <w:sz w:val="20"/>
                <w:lang w:val="fr-CA"/>
              </w:rPr>
            </w:pPr>
          </w:p>
        </w:tc>
        <w:tc>
          <w:tcPr>
            <w:tcW w:w="267" w:type="pct"/>
          </w:tcPr>
          <w:p w:rsidR="009021BE" w:rsidRPr="009021BE" w:rsidRDefault="009021BE" w:rsidP="009021BE">
            <w:pPr>
              <w:jc w:val="both"/>
              <w:rPr>
                <w:sz w:val="20"/>
                <w:lang w:val="fr-CA"/>
              </w:rPr>
            </w:pPr>
          </w:p>
        </w:tc>
        <w:tc>
          <w:tcPr>
            <w:tcW w:w="2366" w:type="pct"/>
            <w:gridSpan w:val="2"/>
          </w:tcPr>
          <w:p w:rsidR="009021BE" w:rsidRPr="009021BE" w:rsidRDefault="009021BE" w:rsidP="009021BE">
            <w:pPr>
              <w:jc w:val="both"/>
              <w:rPr>
                <w:sz w:val="20"/>
                <w:lang w:val="fr-CA"/>
              </w:rPr>
            </w:pPr>
            <w:r w:rsidRPr="009021BE">
              <w:rPr>
                <w:sz w:val="20"/>
                <w:lang w:val="fr-CA"/>
              </w:rPr>
              <w:t>Arrêt accueillant l’appel de l’intimée, rejetant l’appel incident, interjeté par la demanderesse, de la décision de ne pas accorder de dommages-intérêts généraux et rejetant l’action de la demanderesse.</w:t>
            </w:r>
          </w:p>
          <w:p w:rsidR="009021BE" w:rsidRPr="009021BE" w:rsidRDefault="009021BE" w:rsidP="009021BE">
            <w:pPr>
              <w:jc w:val="both"/>
              <w:rPr>
                <w:sz w:val="20"/>
                <w:lang w:val="fr-CA"/>
              </w:rPr>
            </w:pPr>
          </w:p>
        </w:tc>
      </w:tr>
      <w:tr w:rsidR="009021BE" w:rsidRPr="009021BE" w:rsidTr="004867CD">
        <w:tblPrEx>
          <w:tblCellMar>
            <w:bottom w:w="0" w:type="dxa"/>
          </w:tblCellMar>
        </w:tblPrEx>
        <w:trPr>
          <w:trHeight w:val="414"/>
        </w:trPr>
        <w:tc>
          <w:tcPr>
            <w:tcW w:w="2367" w:type="pct"/>
            <w:gridSpan w:val="2"/>
          </w:tcPr>
          <w:p w:rsidR="009021BE" w:rsidRPr="009021BE" w:rsidRDefault="009021BE" w:rsidP="009021BE">
            <w:pPr>
              <w:jc w:val="both"/>
              <w:rPr>
                <w:sz w:val="20"/>
                <w:lang w:val="fr-CA"/>
              </w:rPr>
            </w:pPr>
            <w:r w:rsidRPr="009021BE">
              <w:rPr>
                <w:sz w:val="20"/>
                <w:lang w:val="fr-CA"/>
              </w:rPr>
              <w:t>15 mai 2017</w:t>
            </w:r>
          </w:p>
          <w:p w:rsidR="009021BE" w:rsidRPr="009021BE" w:rsidRDefault="009021BE" w:rsidP="009021BE">
            <w:pPr>
              <w:jc w:val="both"/>
              <w:rPr>
                <w:sz w:val="20"/>
                <w:lang w:val="fr-CA"/>
              </w:rPr>
            </w:pPr>
            <w:r w:rsidRPr="009021BE">
              <w:rPr>
                <w:sz w:val="20"/>
                <w:lang w:val="fr-CA"/>
              </w:rPr>
              <w:t>Cour d’appel de l’Île-du-Prince-Édouard</w:t>
            </w:r>
          </w:p>
          <w:p w:rsidR="009021BE" w:rsidRPr="009021BE" w:rsidRDefault="009021BE" w:rsidP="009021BE">
            <w:pPr>
              <w:jc w:val="both"/>
              <w:rPr>
                <w:sz w:val="20"/>
                <w:lang w:val="fr-CA"/>
              </w:rPr>
            </w:pPr>
            <w:r w:rsidRPr="009021BE">
              <w:rPr>
                <w:sz w:val="20"/>
                <w:lang w:val="fr-CA"/>
              </w:rPr>
              <w:t>(Juge en chef Jenkins, juges Murphy et Mitchell)</w:t>
            </w:r>
          </w:p>
          <w:p w:rsidR="009021BE" w:rsidRPr="009021BE" w:rsidRDefault="009021BE" w:rsidP="009021BE">
            <w:pPr>
              <w:jc w:val="both"/>
              <w:rPr>
                <w:rStyle w:val="Hyperlink"/>
                <w:sz w:val="20"/>
                <w:lang w:val="fr-CA"/>
              </w:rPr>
            </w:pPr>
            <w:hyperlink r:id="rId47" w:history="1">
              <w:r w:rsidRPr="009021BE">
                <w:rPr>
                  <w:rStyle w:val="Hyperlink"/>
                  <w:sz w:val="20"/>
                  <w:lang w:val="fr-CA"/>
                </w:rPr>
                <w:t>2017 PECA 9</w:t>
              </w:r>
            </w:hyperlink>
          </w:p>
          <w:p w:rsidR="009021BE" w:rsidRPr="009021BE" w:rsidRDefault="009021BE" w:rsidP="009021BE">
            <w:pPr>
              <w:jc w:val="both"/>
              <w:rPr>
                <w:sz w:val="20"/>
                <w:lang w:val="fr-CA"/>
              </w:rPr>
            </w:pPr>
          </w:p>
        </w:tc>
        <w:tc>
          <w:tcPr>
            <w:tcW w:w="267" w:type="pct"/>
          </w:tcPr>
          <w:p w:rsidR="009021BE" w:rsidRPr="009021BE" w:rsidRDefault="009021BE" w:rsidP="009021BE">
            <w:pPr>
              <w:jc w:val="both"/>
              <w:rPr>
                <w:sz w:val="20"/>
                <w:lang w:val="fr-CA"/>
              </w:rPr>
            </w:pPr>
          </w:p>
        </w:tc>
        <w:tc>
          <w:tcPr>
            <w:tcW w:w="2366" w:type="pct"/>
            <w:gridSpan w:val="2"/>
          </w:tcPr>
          <w:p w:rsidR="009021BE" w:rsidRPr="009021BE" w:rsidRDefault="009021BE" w:rsidP="009021BE">
            <w:pPr>
              <w:jc w:val="both"/>
              <w:rPr>
                <w:sz w:val="20"/>
                <w:lang w:val="fr-CA"/>
              </w:rPr>
            </w:pPr>
            <w:r w:rsidRPr="009021BE">
              <w:rPr>
                <w:sz w:val="20"/>
                <w:lang w:val="fr-CA"/>
              </w:rPr>
              <w:t>Rejet de la requête de la demanderesse en réexamen.</w:t>
            </w:r>
          </w:p>
          <w:p w:rsidR="009021BE" w:rsidRPr="009021BE" w:rsidRDefault="009021BE" w:rsidP="009021BE">
            <w:pPr>
              <w:jc w:val="both"/>
              <w:rPr>
                <w:sz w:val="20"/>
                <w:lang w:val="fr-CA"/>
              </w:rPr>
            </w:pPr>
          </w:p>
          <w:p w:rsidR="009021BE" w:rsidRPr="009021BE" w:rsidRDefault="009021BE" w:rsidP="009021BE">
            <w:pPr>
              <w:jc w:val="both"/>
              <w:rPr>
                <w:sz w:val="20"/>
                <w:lang w:val="fr-CA"/>
              </w:rPr>
            </w:pPr>
          </w:p>
          <w:p w:rsidR="009021BE" w:rsidRPr="009021BE" w:rsidRDefault="009021BE" w:rsidP="009021BE">
            <w:pPr>
              <w:jc w:val="both"/>
              <w:rPr>
                <w:sz w:val="20"/>
                <w:lang w:val="fr-CA"/>
              </w:rPr>
            </w:pPr>
          </w:p>
        </w:tc>
      </w:tr>
      <w:tr w:rsidR="009021BE" w:rsidRPr="009021BE" w:rsidTr="004867CD">
        <w:tblPrEx>
          <w:tblCellMar>
            <w:bottom w:w="0" w:type="dxa"/>
          </w:tblCellMar>
        </w:tblPrEx>
        <w:tc>
          <w:tcPr>
            <w:tcW w:w="2367" w:type="pct"/>
            <w:gridSpan w:val="2"/>
          </w:tcPr>
          <w:p w:rsidR="009021BE" w:rsidRPr="009021BE" w:rsidRDefault="009021BE" w:rsidP="009021BE">
            <w:pPr>
              <w:jc w:val="both"/>
              <w:rPr>
                <w:sz w:val="20"/>
                <w:lang w:val="fr-CA"/>
              </w:rPr>
            </w:pPr>
            <w:r w:rsidRPr="009021BE">
              <w:rPr>
                <w:sz w:val="20"/>
                <w:lang w:val="fr-CA"/>
              </w:rPr>
              <w:t>24 mai 2017 / 21 septembre 2017</w:t>
            </w:r>
          </w:p>
          <w:p w:rsidR="009021BE" w:rsidRPr="009021BE" w:rsidRDefault="009021BE" w:rsidP="00BF319D">
            <w:pPr>
              <w:jc w:val="both"/>
              <w:rPr>
                <w:sz w:val="20"/>
                <w:lang w:val="fr-CA"/>
              </w:rPr>
            </w:pPr>
            <w:r w:rsidRPr="009021BE">
              <w:rPr>
                <w:sz w:val="20"/>
                <w:lang w:val="fr-CA"/>
              </w:rPr>
              <w:t>Cour suprême du Canada</w:t>
            </w:r>
          </w:p>
        </w:tc>
        <w:tc>
          <w:tcPr>
            <w:tcW w:w="267" w:type="pct"/>
          </w:tcPr>
          <w:p w:rsidR="009021BE" w:rsidRPr="009021BE" w:rsidRDefault="009021BE" w:rsidP="009021BE">
            <w:pPr>
              <w:jc w:val="both"/>
              <w:rPr>
                <w:sz w:val="20"/>
                <w:lang w:val="fr-CA"/>
              </w:rPr>
            </w:pPr>
          </w:p>
        </w:tc>
        <w:tc>
          <w:tcPr>
            <w:tcW w:w="2366" w:type="pct"/>
            <w:gridSpan w:val="2"/>
          </w:tcPr>
          <w:p w:rsidR="009021BE" w:rsidRPr="009021BE" w:rsidRDefault="009021BE" w:rsidP="009021BE">
            <w:pPr>
              <w:jc w:val="both"/>
              <w:rPr>
                <w:sz w:val="20"/>
                <w:lang w:val="fr-CA"/>
              </w:rPr>
            </w:pPr>
            <w:r w:rsidRPr="009021BE">
              <w:rPr>
                <w:sz w:val="20"/>
                <w:lang w:val="fr-CA"/>
              </w:rPr>
              <w:t>Dépôt de la première demande d’autorisation d’appel et de la première requête en prorogation du délai de signification et de dépôt de la demande d’autorisation d’appel.</w:t>
            </w:r>
          </w:p>
          <w:p w:rsidR="009021BE" w:rsidRPr="009021BE" w:rsidRDefault="009021BE" w:rsidP="009021BE">
            <w:pPr>
              <w:jc w:val="both"/>
              <w:rPr>
                <w:sz w:val="20"/>
                <w:lang w:val="fr-CA"/>
              </w:rPr>
            </w:pPr>
          </w:p>
        </w:tc>
      </w:tr>
      <w:tr w:rsidR="009021BE" w:rsidRPr="009021BE" w:rsidTr="004867CD">
        <w:tblPrEx>
          <w:tblCellMar>
            <w:bottom w:w="0" w:type="dxa"/>
          </w:tblCellMar>
        </w:tblPrEx>
        <w:tc>
          <w:tcPr>
            <w:tcW w:w="2367" w:type="pct"/>
            <w:gridSpan w:val="2"/>
          </w:tcPr>
          <w:p w:rsidR="009021BE" w:rsidRPr="009021BE" w:rsidRDefault="009021BE" w:rsidP="009021BE">
            <w:pPr>
              <w:jc w:val="both"/>
              <w:rPr>
                <w:sz w:val="20"/>
                <w:lang w:val="fr-CA"/>
              </w:rPr>
            </w:pPr>
            <w:r w:rsidRPr="009021BE">
              <w:rPr>
                <w:sz w:val="20"/>
                <w:lang w:val="fr-CA"/>
              </w:rPr>
              <w:t>10 août 2017</w:t>
            </w:r>
          </w:p>
          <w:p w:rsidR="009021BE" w:rsidRPr="009021BE" w:rsidRDefault="009021BE" w:rsidP="009021BE">
            <w:pPr>
              <w:jc w:val="both"/>
              <w:rPr>
                <w:sz w:val="20"/>
                <w:lang w:val="fr-CA"/>
              </w:rPr>
            </w:pPr>
            <w:r w:rsidRPr="009021BE">
              <w:rPr>
                <w:sz w:val="20"/>
                <w:lang w:val="fr-CA"/>
              </w:rPr>
              <w:t>Cour suprême du Canada</w:t>
            </w:r>
          </w:p>
        </w:tc>
        <w:tc>
          <w:tcPr>
            <w:tcW w:w="267" w:type="pct"/>
          </w:tcPr>
          <w:p w:rsidR="009021BE" w:rsidRPr="009021BE" w:rsidRDefault="009021BE" w:rsidP="009021BE">
            <w:pPr>
              <w:jc w:val="both"/>
              <w:rPr>
                <w:sz w:val="20"/>
                <w:lang w:val="fr-CA"/>
              </w:rPr>
            </w:pPr>
          </w:p>
        </w:tc>
        <w:tc>
          <w:tcPr>
            <w:tcW w:w="2366" w:type="pct"/>
            <w:gridSpan w:val="2"/>
          </w:tcPr>
          <w:p w:rsidR="009021BE" w:rsidRPr="009021BE" w:rsidRDefault="009021BE" w:rsidP="009021BE">
            <w:pPr>
              <w:jc w:val="both"/>
              <w:rPr>
                <w:sz w:val="20"/>
                <w:lang w:val="fr-CA"/>
              </w:rPr>
            </w:pPr>
            <w:r w:rsidRPr="009021BE">
              <w:rPr>
                <w:sz w:val="20"/>
                <w:lang w:val="fr-CA"/>
              </w:rPr>
              <w:t>Dépôt de la deuxième demande d’autorisation d’appel.</w:t>
            </w:r>
          </w:p>
        </w:tc>
      </w:tr>
    </w:tbl>
    <w:p w:rsidR="009021BE" w:rsidRPr="009021BE" w:rsidRDefault="009021BE" w:rsidP="009021BE">
      <w:pPr>
        <w:jc w:val="both"/>
        <w:rPr>
          <w:sz w:val="20"/>
          <w:lang w:val="fr-CA"/>
        </w:rPr>
      </w:pPr>
    </w:p>
    <w:p w:rsidR="009021BE" w:rsidRPr="009021BE" w:rsidRDefault="009021BE" w:rsidP="009021B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21BE" w:rsidRPr="009021BE" w:rsidTr="00E95A6A">
        <w:tc>
          <w:tcPr>
            <w:tcW w:w="543" w:type="pct"/>
          </w:tcPr>
          <w:p w:rsidR="009021BE" w:rsidRPr="009021BE" w:rsidRDefault="009021BE" w:rsidP="009021BE">
            <w:pPr>
              <w:jc w:val="both"/>
              <w:rPr>
                <w:sz w:val="20"/>
              </w:rPr>
            </w:pPr>
            <w:r w:rsidRPr="009021BE">
              <w:rPr>
                <w:rStyle w:val="SCCFileNumberChar"/>
                <w:sz w:val="20"/>
                <w:szCs w:val="20"/>
              </w:rPr>
              <w:t>37725</w:t>
            </w:r>
          </w:p>
        </w:tc>
        <w:tc>
          <w:tcPr>
            <w:tcW w:w="4457" w:type="pct"/>
            <w:gridSpan w:val="3"/>
          </w:tcPr>
          <w:p w:rsidR="009021BE" w:rsidRPr="00BF319D" w:rsidRDefault="009021BE" w:rsidP="009021BE">
            <w:pPr>
              <w:pStyle w:val="SCCLsocParty"/>
              <w:jc w:val="both"/>
              <w:rPr>
                <w:b/>
                <w:sz w:val="20"/>
                <w:szCs w:val="20"/>
                <w:lang w:val="en-US"/>
              </w:rPr>
            </w:pPr>
            <w:r w:rsidRPr="00BF319D">
              <w:rPr>
                <w:b/>
                <w:sz w:val="20"/>
                <w:szCs w:val="20"/>
                <w:lang w:val="en-US"/>
              </w:rPr>
              <w:t>J.W. and REO Law Corporation v. Attorney General of Canada, Chief Adjudicator, Indian Residential Schools Adjudication Secretariat, Assembly of First Nations</w:t>
            </w:r>
          </w:p>
          <w:p w:rsidR="009021BE" w:rsidRPr="009021BE" w:rsidRDefault="009021BE" w:rsidP="009021BE">
            <w:pPr>
              <w:jc w:val="both"/>
              <w:rPr>
                <w:sz w:val="20"/>
              </w:rPr>
            </w:pPr>
            <w:r w:rsidRPr="009021BE">
              <w:rPr>
                <w:sz w:val="20"/>
              </w:rPr>
              <w:t>(Man.) (Civil) (By Leave)</w:t>
            </w:r>
          </w:p>
        </w:tc>
      </w:tr>
      <w:tr w:rsidR="009021BE" w:rsidRPr="009021BE" w:rsidTr="00E95A6A">
        <w:tc>
          <w:tcPr>
            <w:tcW w:w="5000" w:type="pct"/>
            <w:gridSpan w:val="4"/>
          </w:tcPr>
          <w:p w:rsidR="009021BE" w:rsidRPr="009021BE" w:rsidRDefault="009021BE" w:rsidP="009021BE">
            <w:pPr>
              <w:jc w:val="both"/>
              <w:rPr>
                <w:sz w:val="20"/>
              </w:rPr>
            </w:pPr>
            <w:r w:rsidRPr="009021BE">
              <w:rPr>
                <w:sz w:val="20"/>
              </w:rPr>
              <w:t>Civil procedure — Class actions — Settlement — Administrative law — Judicial review — Settlement agreement resolving class actions by Aboriginal persons who attended Indian Residential Schools and suffered abuse — Agreement providing for Independent Assessment Process (“IAP”) for individual claims — Applicant alleging sexual assault while attending school — Hearing Adjudicator denying claim based on failure to prove “sexual purpose” of perpetrator — Internal reviews pursuant to agreement and IAP confirming original decision — Supervising Judge setting aside original decision and returning claim to first-level adjudicator — Court of Appeal overturning Supervising Judge’s decision and affirming original denial of claim — Whether judicial review of IAP adjudicators’ decisions available to claimants who have been denied compensation, and, if so, what is applicable standard of review — Whether any general rule of law restricts availability of judicial review of administrative tribunals formed pursuant to class action settlement agreement — If no judicial review available, and judicial supervision restricted to limited basis, whether there is any other judicial recourse for claimants denied compensation based on unreasonable interpretation of settlement agreement.</w:t>
            </w:r>
          </w:p>
        </w:tc>
      </w:tr>
      <w:tr w:rsidR="009021BE" w:rsidRPr="009021BE" w:rsidTr="00E95A6A">
        <w:tc>
          <w:tcPr>
            <w:tcW w:w="5000" w:type="pct"/>
            <w:gridSpan w:val="4"/>
          </w:tcPr>
          <w:p w:rsidR="009021BE" w:rsidRPr="009021BE" w:rsidRDefault="009021BE" w:rsidP="009021BE">
            <w:pPr>
              <w:jc w:val="both"/>
              <w:rPr>
                <w:sz w:val="20"/>
              </w:rPr>
            </w:pPr>
          </w:p>
        </w:tc>
      </w:tr>
      <w:tr w:rsidR="009021BE" w:rsidRPr="009021BE" w:rsidTr="00E95A6A">
        <w:tc>
          <w:tcPr>
            <w:tcW w:w="5000" w:type="pct"/>
            <w:gridSpan w:val="4"/>
          </w:tcPr>
          <w:p w:rsidR="009021BE" w:rsidRPr="009021BE" w:rsidRDefault="009021BE" w:rsidP="009021BE">
            <w:pPr>
              <w:jc w:val="both"/>
              <w:rPr>
                <w:sz w:val="20"/>
              </w:rPr>
            </w:pPr>
            <w:r w:rsidRPr="009021BE">
              <w:rPr>
                <w:sz w:val="20"/>
              </w:rPr>
              <w:t>The applicant J.W. attended an Indian Residential School in Manitoba. While a student, a nun grabbed J.W.’s penis while he was in line for the shower. Following the establishment of the Independent Assessment Process (“IAP”) created under the Indian Residential Schools Settlement Agreement (“IRSAA”), J.W. filed a claim in the context of the IAP, arguing that the actions of the nun constituted compensable sexual abuse. J.W.’s claim was denied by a Hearing Adjudicator on the basis that he had failed to establish that the nun’s act had a “sexual purpose”, which the Adjudicator interpreted as a “technical requirement” for establishing sexual abuse under the IRSSA and the IAP. Subsequent attempts to have the decision reviewed by a second adjudicator and by two review adjudicators were unsuccessful, and the decision was upheld.</w:t>
            </w:r>
          </w:p>
          <w:p w:rsidR="009021BE" w:rsidRPr="009021BE" w:rsidRDefault="009021BE" w:rsidP="009021BE">
            <w:pPr>
              <w:jc w:val="both"/>
              <w:rPr>
                <w:sz w:val="20"/>
              </w:rPr>
            </w:pPr>
          </w:p>
          <w:p w:rsidR="009021BE" w:rsidRPr="009021BE" w:rsidRDefault="009021BE" w:rsidP="009021BE">
            <w:pPr>
              <w:jc w:val="both"/>
              <w:rPr>
                <w:sz w:val="20"/>
              </w:rPr>
            </w:pPr>
            <w:r w:rsidRPr="009021BE">
              <w:rPr>
                <w:sz w:val="20"/>
              </w:rPr>
              <w:t>Pursuant to the terms of the IRSSA, J.W. filed a Request for Direction before a Supervising Judge for the IRSSA in Manitoba. The Supervising Judge (from the Manitoba Court of Queen’s Bench) partially granted the declaration sought and found that the review adjudicators had failed to correct the error of the original Hearing Adjudicator — i.e., that J.W. needed to prove a “sexual purpose”. The Supervising Judge ordered that the claim be sent back to a first-level adjudicator.</w:t>
            </w:r>
          </w:p>
          <w:p w:rsidR="009021BE" w:rsidRPr="009021BE" w:rsidRDefault="009021BE" w:rsidP="009021BE">
            <w:pPr>
              <w:jc w:val="both"/>
              <w:rPr>
                <w:sz w:val="20"/>
              </w:rPr>
            </w:pPr>
          </w:p>
          <w:p w:rsidR="009021BE" w:rsidRPr="009021BE" w:rsidRDefault="009021BE" w:rsidP="009021BE">
            <w:pPr>
              <w:jc w:val="both"/>
              <w:rPr>
                <w:sz w:val="20"/>
              </w:rPr>
            </w:pPr>
            <w:r w:rsidRPr="009021BE">
              <w:rPr>
                <w:sz w:val="20"/>
              </w:rPr>
              <w:t>The Manitoba Court of Appeal allowed Canada’s appeal, finding that the Supervising Judge had exceeded his jurisdiction and had misinterpreted the terms of the IRSSA, and concluding that there is no judicial review possible of the decisions of adjudicators pursuant to the IAP and the IRSSA. The original decision dismissing J.W.’s claim was therefore reinstated.</w:t>
            </w:r>
          </w:p>
          <w:p w:rsidR="009021BE" w:rsidRPr="009021BE" w:rsidRDefault="009021BE" w:rsidP="009021BE">
            <w:pPr>
              <w:jc w:val="both"/>
              <w:rPr>
                <w:sz w:val="20"/>
              </w:rPr>
            </w:pPr>
          </w:p>
        </w:tc>
      </w:tr>
      <w:tr w:rsidR="009021BE" w:rsidRPr="009021BE" w:rsidTr="00E95A6A">
        <w:tc>
          <w:tcPr>
            <w:tcW w:w="2427" w:type="pct"/>
            <w:gridSpan w:val="2"/>
          </w:tcPr>
          <w:p w:rsidR="009021BE" w:rsidRPr="009021BE" w:rsidRDefault="009021BE" w:rsidP="009021BE">
            <w:pPr>
              <w:jc w:val="both"/>
              <w:rPr>
                <w:sz w:val="20"/>
              </w:rPr>
            </w:pPr>
            <w:r w:rsidRPr="009021BE">
              <w:rPr>
                <w:sz w:val="20"/>
              </w:rPr>
              <w:t>April 7, 2015</w:t>
            </w:r>
          </w:p>
          <w:p w:rsidR="009021BE" w:rsidRPr="009021BE" w:rsidRDefault="009021BE" w:rsidP="009021BE">
            <w:pPr>
              <w:jc w:val="both"/>
              <w:rPr>
                <w:sz w:val="20"/>
              </w:rPr>
            </w:pPr>
            <w:r w:rsidRPr="009021BE">
              <w:rPr>
                <w:sz w:val="20"/>
              </w:rPr>
              <w:t>Independent Assessment Process</w:t>
            </w:r>
          </w:p>
          <w:p w:rsidR="009021BE" w:rsidRPr="009021BE" w:rsidRDefault="009021BE" w:rsidP="009021BE">
            <w:pPr>
              <w:jc w:val="both"/>
              <w:rPr>
                <w:sz w:val="20"/>
              </w:rPr>
            </w:pPr>
            <w:r w:rsidRPr="009021BE">
              <w:rPr>
                <w:sz w:val="20"/>
              </w:rPr>
              <w:t>Hearing Adjudicator</w:t>
            </w:r>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J.W.’s claim for compensation denied</w:t>
            </w:r>
          </w:p>
          <w:p w:rsidR="009021BE" w:rsidRPr="009021BE" w:rsidRDefault="009021BE" w:rsidP="009021BE">
            <w:pPr>
              <w:jc w:val="both"/>
              <w:rPr>
                <w:sz w:val="20"/>
              </w:rPr>
            </w:pPr>
          </w:p>
        </w:tc>
      </w:tr>
      <w:tr w:rsidR="009021BE" w:rsidRPr="009021BE" w:rsidTr="00E95A6A">
        <w:tc>
          <w:tcPr>
            <w:tcW w:w="2427" w:type="pct"/>
            <w:gridSpan w:val="2"/>
          </w:tcPr>
          <w:p w:rsidR="009021BE" w:rsidRPr="009021BE" w:rsidRDefault="009021BE" w:rsidP="009021BE">
            <w:pPr>
              <w:jc w:val="both"/>
              <w:rPr>
                <w:sz w:val="20"/>
              </w:rPr>
            </w:pPr>
            <w:r w:rsidRPr="009021BE">
              <w:rPr>
                <w:sz w:val="20"/>
              </w:rPr>
              <w:t>July 15, 2015</w:t>
            </w:r>
          </w:p>
          <w:p w:rsidR="009021BE" w:rsidRPr="009021BE" w:rsidRDefault="009021BE" w:rsidP="009021BE">
            <w:pPr>
              <w:jc w:val="both"/>
              <w:rPr>
                <w:sz w:val="20"/>
              </w:rPr>
            </w:pPr>
            <w:r w:rsidRPr="009021BE">
              <w:rPr>
                <w:sz w:val="20"/>
              </w:rPr>
              <w:t>Independent Assessment Process</w:t>
            </w:r>
          </w:p>
          <w:p w:rsidR="009021BE" w:rsidRPr="009021BE" w:rsidRDefault="009021BE" w:rsidP="009021BE">
            <w:pPr>
              <w:jc w:val="both"/>
              <w:rPr>
                <w:sz w:val="20"/>
              </w:rPr>
            </w:pPr>
            <w:r w:rsidRPr="009021BE">
              <w:rPr>
                <w:sz w:val="20"/>
              </w:rPr>
              <w:t>Review Adjudicator</w:t>
            </w:r>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Hearing Adjudicator’s decision affirmed</w:t>
            </w:r>
          </w:p>
          <w:p w:rsidR="009021BE" w:rsidRPr="009021BE" w:rsidRDefault="009021BE" w:rsidP="009021BE">
            <w:pPr>
              <w:jc w:val="both"/>
              <w:rPr>
                <w:sz w:val="20"/>
              </w:rPr>
            </w:pPr>
          </w:p>
        </w:tc>
      </w:tr>
      <w:tr w:rsidR="009021BE" w:rsidRPr="009021BE" w:rsidTr="00E95A6A">
        <w:tc>
          <w:tcPr>
            <w:tcW w:w="2427" w:type="pct"/>
            <w:gridSpan w:val="2"/>
          </w:tcPr>
          <w:p w:rsidR="009021BE" w:rsidRPr="009021BE" w:rsidRDefault="009021BE" w:rsidP="009021BE">
            <w:pPr>
              <w:jc w:val="both"/>
              <w:rPr>
                <w:sz w:val="20"/>
              </w:rPr>
            </w:pPr>
            <w:r w:rsidRPr="009021BE">
              <w:rPr>
                <w:sz w:val="20"/>
              </w:rPr>
              <w:t>November 22, 2015</w:t>
            </w:r>
          </w:p>
          <w:p w:rsidR="009021BE" w:rsidRPr="009021BE" w:rsidRDefault="009021BE" w:rsidP="009021BE">
            <w:pPr>
              <w:jc w:val="both"/>
              <w:rPr>
                <w:sz w:val="20"/>
              </w:rPr>
            </w:pPr>
            <w:r w:rsidRPr="009021BE">
              <w:rPr>
                <w:sz w:val="20"/>
              </w:rPr>
              <w:t>Independent Assessment Process</w:t>
            </w:r>
          </w:p>
          <w:p w:rsidR="009021BE" w:rsidRPr="009021BE" w:rsidRDefault="009021BE" w:rsidP="009021BE">
            <w:pPr>
              <w:jc w:val="both"/>
              <w:rPr>
                <w:sz w:val="20"/>
              </w:rPr>
            </w:pPr>
            <w:r w:rsidRPr="009021BE">
              <w:rPr>
                <w:sz w:val="20"/>
              </w:rPr>
              <w:t>Re-Review Adjudicator</w:t>
            </w:r>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Review Adjudicator’s decision affirmed</w:t>
            </w:r>
          </w:p>
          <w:p w:rsidR="009021BE" w:rsidRPr="009021BE" w:rsidRDefault="009021BE" w:rsidP="009021BE">
            <w:pPr>
              <w:jc w:val="both"/>
              <w:rPr>
                <w:sz w:val="20"/>
              </w:rPr>
            </w:pPr>
          </w:p>
        </w:tc>
      </w:tr>
      <w:tr w:rsidR="009021BE" w:rsidRPr="009021BE" w:rsidTr="00E95A6A">
        <w:tc>
          <w:tcPr>
            <w:tcW w:w="2427" w:type="pct"/>
            <w:gridSpan w:val="2"/>
          </w:tcPr>
          <w:p w:rsidR="009021BE" w:rsidRPr="009021BE" w:rsidRDefault="009021BE" w:rsidP="009021BE">
            <w:pPr>
              <w:jc w:val="both"/>
              <w:rPr>
                <w:sz w:val="20"/>
              </w:rPr>
            </w:pPr>
            <w:r w:rsidRPr="009021BE">
              <w:rPr>
                <w:sz w:val="20"/>
              </w:rPr>
              <w:t>August 3, 2016</w:t>
            </w:r>
          </w:p>
          <w:p w:rsidR="009021BE" w:rsidRPr="009021BE" w:rsidRDefault="009021BE" w:rsidP="009021BE">
            <w:pPr>
              <w:jc w:val="both"/>
              <w:rPr>
                <w:sz w:val="20"/>
              </w:rPr>
            </w:pPr>
            <w:r w:rsidRPr="009021BE">
              <w:rPr>
                <w:sz w:val="20"/>
              </w:rPr>
              <w:t>Court of Queen’s Bench of Manitoba</w:t>
            </w:r>
          </w:p>
          <w:p w:rsidR="009021BE" w:rsidRPr="009021BE" w:rsidRDefault="009021BE" w:rsidP="009021BE">
            <w:pPr>
              <w:jc w:val="both"/>
              <w:rPr>
                <w:sz w:val="20"/>
              </w:rPr>
            </w:pPr>
            <w:r w:rsidRPr="009021BE">
              <w:rPr>
                <w:sz w:val="20"/>
              </w:rPr>
              <w:t>(Edmond J.)</w:t>
            </w:r>
          </w:p>
          <w:p w:rsidR="009021BE" w:rsidRPr="009021BE" w:rsidRDefault="009021BE" w:rsidP="009021BE">
            <w:pPr>
              <w:jc w:val="both"/>
              <w:rPr>
                <w:sz w:val="20"/>
              </w:rPr>
            </w:pPr>
            <w:hyperlink r:id="rId48" w:history="1">
              <w:r w:rsidRPr="009021BE">
                <w:rPr>
                  <w:rStyle w:val="Hyperlink"/>
                  <w:sz w:val="20"/>
                </w:rPr>
                <w:t>2016 MBQB 159</w:t>
              </w:r>
            </w:hyperlink>
            <w:r w:rsidRPr="009021BE">
              <w:rPr>
                <w:sz w:val="20"/>
              </w:rPr>
              <w:t xml:space="preserve"> </w:t>
            </w:r>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J.W.’s Request for Direction — Re-Review Adjudicator’s decision set aside; claim sent back to first-level adjudicator for reconsideration</w:t>
            </w:r>
          </w:p>
          <w:p w:rsidR="009021BE" w:rsidRPr="009021BE" w:rsidRDefault="009021BE" w:rsidP="009021BE">
            <w:pPr>
              <w:jc w:val="both"/>
              <w:rPr>
                <w:sz w:val="20"/>
              </w:rPr>
            </w:pPr>
          </w:p>
        </w:tc>
      </w:tr>
      <w:tr w:rsidR="009021BE" w:rsidRPr="009021BE" w:rsidTr="00E95A6A">
        <w:tc>
          <w:tcPr>
            <w:tcW w:w="2427" w:type="pct"/>
            <w:gridSpan w:val="2"/>
          </w:tcPr>
          <w:p w:rsidR="009021BE" w:rsidRPr="009021BE" w:rsidRDefault="009021BE" w:rsidP="009021BE">
            <w:pPr>
              <w:jc w:val="both"/>
              <w:rPr>
                <w:sz w:val="20"/>
              </w:rPr>
            </w:pPr>
            <w:r w:rsidRPr="009021BE">
              <w:rPr>
                <w:sz w:val="20"/>
              </w:rPr>
              <w:t>May 30, 2017</w:t>
            </w:r>
          </w:p>
          <w:p w:rsidR="009021BE" w:rsidRPr="009021BE" w:rsidRDefault="009021BE" w:rsidP="009021BE">
            <w:pPr>
              <w:jc w:val="both"/>
              <w:rPr>
                <w:sz w:val="20"/>
              </w:rPr>
            </w:pPr>
            <w:r w:rsidRPr="009021BE">
              <w:rPr>
                <w:sz w:val="20"/>
              </w:rPr>
              <w:t>Court of Appeal of Manitoba</w:t>
            </w:r>
          </w:p>
          <w:p w:rsidR="009021BE" w:rsidRPr="009021BE" w:rsidRDefault="009021BE" w:rsidP="009021BE">
            <w:pPr>
              <w:jc w:val="both"/>
              <w:rPr>
                <w:sz w:val="20"/>
              </w:rPr>
            </w:pPr>
            <w:r w:rsidRPr="009021BE">
              <w:rPr>
                <w:sz w:val="20"/>
              </w:rPr>
              <w:t xml:space="preserve">(Monnin, Beard and </w:t>
            </w:r>
            <w:proofErr w:type="spellStart"/>
            <w:r w:rsidRPr="009021BE">
              <w:rPr>
                <w:sz w:val="20"/>
              </w:rPr>
              <w:t>leMaistre</w:t>
            </w:r>
            <w:proofErr w:type="spellEnd"/>
            <w:r w:rsidRPr="009021BE">
              <w:rPr>
                <w:sz w:val="20"/>
              </w:rPr>
              <w:t xml:space="preserve"> JJ.A.)</w:t>
            </w:r>
          </w:p>
          <w:p w:rsidR="009021BE" w:rsidRPr="009021BE" w:rsidRDefault="009021BE" w:rsidP="009021BE">
            <w:pPr>
              <w:jc w:val="both"/>
              <w:rPr>
                <w:sz w:val="20"/>
              </w:rPr>
            </w:pPr>
            <w:hyperlink r:id="rId49" w:history="1">
              <w:r w:rsidRPr="009021BE">
                <w:rPr>
                  <w:rStyle w:val="Hyperlink"/>
                  <w:sz w:val="20"/>
                </w:rPr>
                <w:t>2017 MBCA 54</w:t>
              </w:r>
            </w:hyperlink>
            <w:r w:rsidRPr="009021BE">
              <w:rPr>
                <w:sz w:val="20"/>
              </w:rPr>
              <w:t xml:space="preserve"> </w:t>
            </w:r>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Canada’s appeal allowed; Re-Review Adjudicator’s decision restored</w:t>
            </w:r>
          </w:p>
          <w:p w:rsidR="009021BE" w:rsidRPr="009021BE" w:rsidRDefault="009021BE" w:rsidP="009021BE">
            <w:pPr>
              <w:jc w:val="both"/>
              <w:rPr>
                <w:sz w:val="20"/>
              </w:rPr>
            </w:pPr>
          </w:p>
        </w:tc>
      </w:tr>
      <w:tr w:rsidR="009021BE" w:rsidRPr="009021BE" w:rsidTr="00E95A6A">
        <w:tc>
          <w:tcPr>
            <w:tcW w:w="2427" w:type="pct"/>
            <w:gridSpan w:val="2"/>
          </w:tcPr>
          <w:p w:rsidR="009021BE" w:rsidRPr="009021BE" w:rsidRDefault="009021BE" w:rsidP="009021BE">
            <w:pPr>
              <w:jc w:val="both"/>
              <w:rPr>
                <w:sz w:val="20"/>
              </w:rPr>
            </w:pPr>
            <w:r w:rsidRPr="009021BE">
              <w:rPr>
                <w:sz w:val="20"/>
              </w:rPr>
              <w:t>August 28, 2017</w:t>
            </w:r>
          </w:p>
          <w:p w:rsidR="009021BE" w:rsidRPr="009021BE" w:rsidRDefault="009021BE" w:rsidP="009021BE">
            <w:pPr>
              <w:jc w:val="both"/>
              <w:rPr>
                <w:sz w:val="20"/>
              </w:rPr>
            </w:pPr>
            <w:r w:rsidRPr="009021BE">
              <w:rPr>
                <w:sz w:val="20"/>
              </w:rPr>
              <w:t>Supreme Court of Canada</w:t>
            </w: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Application for leave to appeal filed by J.W.</w:t>
            </w:r>
          </w:p>
          <w:p w:rsidR="009021BE" w:rsidRPr="009021BE" w:rsidRDefault="009021BE" w:rsidP="009021BE">
            <w:pPr>
              <w:jc w:val="both"/>
              <w:rPr>
                <w:sz w:val="20"/>
              </w:rPr>
            </w:pPr>
          </w:p>
        </w:tc>
      </w:tr>
    </w:tbl>
    <w:p w:rsidR="009021BE" w:rsidRDefault="009021BE" w:rsidP="009021BE">
      <w:pPr>
        <w:jc w:val="both"/>
        <w:rPr>
          <w:sz w:val="20"/>
        </w:rPr>
      </w:pPr>
    </w:p>
    <w:p w:rsidR="00BF319D" w:rsidRPr="009021BE" w:rsidRDefault="00BF319D" w:rsidP="009021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21BE" w:rsidRPr="009021BE" w:rsidTr="00E95A6A">
        <w:tc>
          <w:tcPr>
            <w:tcW w:w="543" w:type="pct"/>
          </w:tcPr>
          <w:p w:rsidR="009021BE" w:rsidRPr="009021BE" w:rsidRDefault="009021BE" w:rsidP="009021BE">
            <w:pPr>
              <w:jc w:val="both"/>
              <w:rPr>
                <w:sz w:val="20"/>
              </w:rPr>
            </w:pPr>
            <w:r w:rsidRPr="009021BE">
              <w:rPr>
                <w:rStyle w:val="SCCFileNumberChar"/>
                <w:sz w:val="20"/>
                <w:szCs w:val="20"/>
              </w:rPr>
              <w:t>37725</w:t>
            </w:r>
          </w:p>
        </w:tc>
        <w:tc>
          <w:tcPr>
            <w:tcW w:w="4457" w:type="pct"/>
            <w:gridSpan w:val="3"/>
          </w:tcPr>
          <w:p w:rsidR="009021BE" w:rsidRPr="00BF319D" w:rsidRDefault="009021BE" w:rsidP="009021BE">
            <w:pPr>
              <w:pStyle w:val="SCCLsocParty"/>
              <w:jc w:val="both"/>
              <w:rPr>
                <w:b/>
                <w:sz w:val="20"/>
                <w:szCs w:val="20"/>
              </w:rPr>
            </w:pPr>
            <w:r w:rsidRPr="00BF319D">
              <w:rPr>
                <w:b/>
                <w:sz w:val="20"/>
                <w:szCs w:val="20"/>
              </w:rPr>
              <w:t>J.W. et REO Law Corporation c. Procureur général du Canada, adjudicateur en chef, Secrétariat d’adjudication des pensionnats indiens, Assemblée des Premières Nations</w:t>
            </w:r>
          </w:p>
          <w:p w:rsidR="009021BE" w:rsidRPr="009021BE" w:rsidRDefault="009021BE" w:rsidP="009021BE">
            <w:pPr>
              <w:jc w:val="both"/>
              <w:rPr>
                <w:sz w:val="20"/>
              </w:rPr>
            </w:pPr>
            <w:r w:rsidRPr="009021BE">
              <w:rPr>
                <w:sz w:val="20"/>
              </w:rPr>
              <w:t>(Man.) (Civile) (Sur autorisation)</w:t>
            </w:r>
          </w:p>
        </w:tc>
      </w:tr>
      <w:tr w:rsidR="009021BE" w:rsidRPr="009021BE" w:rsidTr="00E95A6A">
        <w:tc>
          <w:tcPr>
            <w:tcW w:w="5000" w:type="pct"/>
            <w:gridSpan w:val="4"/>
          </w:tcPr>
          <w:p w:rsidR="009021BE" w:rsidRPr="009021BE" w:rsidRDefault="009021BE" w:rsidP="009021BE">
            <w:pPr>
              <w:jc w:val="both"/>
              <w:rPr>
                <w:sz w:val="20"/>
                <w:lang w:val="fr-CA"/>
              </w:rPr>
            </w:pPr>
            <w:r w:rsidRPr="009021BE">
              <w:rPr>
                <w:sz w:val="20"/>
                <w:lang w:val="fr-CA"/>
              </w:rPr>
              <w:t xml:space="preserve">Procédure civile — Recours collectifs — Règlement — Droit administratif — Contrôle judiciaire — Convention de règlement des recours collectifs intentés par des Autochtones qui ont fréquenté des pensionnats indiens et y ont subi de mauvais traitements — Convention prévoyant un processus d’évaluation indépendant (« PÉI ») des demandes individuelles — Allégation du demandeur qu’il a été victime d’agression sexuelle alors qu’il fréquentait un pensionnat — Rejet de la demande par l’adjudicateur d’audition pour omission de démontrer les « fins d’ordre sexuel » recherchées par l’auteur de l’acte — Révisions faites à l’interne selon la convention et PÉI confirmant la décision initiale — Juge superviseur annulant la décision initiale et renvoyant la demande à l’adjudicateur de premier niveau — Cour d’appel informant la décision du juge superviseur et confirmant le rejet initial de la demande — Les demandeurs à qui on a refusé une indemnité peuvent-ils solliciter le contrôle judiciaire des décisions rendues par les adjudicateurs du PÉI et, dans l’affirmative, quelle est la norme de contrôle applicable? — Existe-t-il une règle de droit qui limite la possibilité de se pourvoir en contrôle judiciaire à l’encontre de tribunaux administratifs constitués en vertu d’une convention de règlement de recours collectif? Si aucun contrôle judiciaire ne peut être exercé et la supervision judiciaire ne peut se faire que pour des motifs limités, les demandeurs à qui on a refusé une indemnité disposent-ils d’autres recours devant les tribunaux en raison d’une interprétation déraisonnable de la convention de règlement? </w:t>
            </w:r>
          </w:p>
        </w:tc>
      </w:tr>
      <w:tr w:rsidR="009021BE" w:rsidRPr="009021BE" w:rsidTr="00E95A6A">
        <w:tc>
          <w:tcPr>
            <w:tcW w:w="5000" w:type="pct"/>
            <w:gridSpan w:val="4"/>
          </w:tcPr>
          <w:p w:rsidR="009021BE" w:rsidRPr="009021BE" w:rsidRDefault="009021BE" w:rsidP="009021BE">
            <w:pPr>
              <w:jc w:val="both"/>
              <w:rPr>
                <w:sz w:val="20"/>
                <w:lang w:val="fr-CA"/>
              </w:rPr>
            </w:pPr>
          </w:p>
        </w:tc>
      </w:tr>
      <w:tr w:rsidR="009021BE" w:rsidRPr="009021BE" w:rsidTr="00E95A6A">
        <w:tc>
          <w:tcPr>
            <w:tcW w:w="5000" w:type="pct"/>
            <w:gridSpan w:val="4"/>
          </w:tcPr>
          <w:p w:rsidR="009021BE" w:rsidRPr="009021BE" w:rsidRDefault="009021BE" w:rsidP="009021BE">
            <w:pPr>
              <w:jc w:val="both"/>
              <w:rPr>
                <w:sz w:val="20"/>
                <w:lang w:val="fr-CA"/>
              </w:rPr>
            </w:pPr>
            <w:r w:rsidRPr="009021BE">
              <w:rPr>
                <w:sz w:val="20"/>
                <w:lang w:val="fr-CA"/>
              </w:rPr>
              <w:t xml:space="preserve">Le demandeur J.W. a fréquenté un pensionnat indien au Manitoba. À l’époque où il était un élève, une religieuse a agrippé son pénis pendant qu’il attendait en file pour la douche. Après la création du Processus d’évaluation indépendant (« PÉI ») en vertu de la Convention de règlement relative aux pensionnats indiens (« CRPI »), J.W. a déposé une demande dans le cadre du PÉI, soutenant que les actes de la religieuse constituaient des sévices sexuels indemnisables. La demande de J.W. a été rejetée par un adjudicateur d’audition parce que J.W. n’avait pas établi que la religieuse avait commis son acte à des « fins d’ordre sexuel », lesquelles ont été considérées par l’adjudicateur comme une « exigence technique » à satisfaire pour prouver l’existence de sévices sexuels au sens de la CRPI et du PÉI. Les tentatives subséquentes de faire réviser la décision par un deuxième adjudicateur et par deux adjudicateurs de révision se sont révélées vaines, et la décision a été confirmée. </w:t>
            </w:r>
          </w:p>
          <w:p w:rsidR="009021BE" w:rsidRPr="009021BE" w:rsidRDefault="009021BE" w:rsidP="009021BE">
            <w:pPr>
              <w:jc w:val="both"/>
              <w:rPr>
                <w:sz w:val="20"/>
                <w:lang w:val="fr-CA"/>
              </w:rPr>
            </w:pPr>
          </w:p>
          <w:p w:rsidR="009021BE" w:rsidRPr="009021BE" w:rsidRDefault="009021BE" w:rsidP="009021BE">
            <w:pPr>
              <w:jc w:val="both"/>
              <w:rPr>
                <w:sz w:val="20"/>
                <w:lang w:val="fr-CA"/>
              </w:rPr>
            </w:pPr>
            <w:r w:rsidRPr="009021BE">
              <w:rPr>
                <w:sz w:val="20"/>
                <w:lang w:val="fr-CA"/>
              </w:rPr>
              <w:t>Conformément aux dispositions de la CRPI, J.W. a présenté une demande d’instructions à un juge chargé de superviser l’application de la CRPI au Manitoba. Le juge superviseur (de la Cour du Banc de la Reine du Manitoba) a fait droit en partie à la demande et conclu que les adjudicateurs de révision n’avaient pas corrigé l’erreur du premier adjudicateur d’audition, en l’occurrence que J.W. devait prouver l’existence de « fins d’ordre sexuel ». Le juge superviseur a ordonné le renvoi de la demande à un adjudicateur de premier niveau.</w:t>
            </w:r>
          </w:p>
          <w:p w:rsidR="009021BE" w:rsidRPr="009021BE" w:rsidRDefault="009021BE" w:rsidP="009021BE">
            <w:pPr>
              <w:jc w:val="both"/>
              <w:rPr>
                <w:sz w:val="20"/>
                <w:lang w:val="fr-CA"/>
              </w:rPr>
            </w:pPr>
          </w:p>
          <w:p w:rsidR="009021BE" w:rsidRPr="009021BE" w:rsidRDefault="009021BE" w:rsidP="009021BE">
            <w:pPr>
              <w:jc w:val="both"/>
              <w:rPr>
                <w:sz w:val="20"/>
                <w:lang w:val="fr-CA"/>
              </w:rPr>
            </w:pPr>
            <w:r w:rsidRPr="009021BE">
              <w:rPr>
                <w:sz w:val="20"/>
                <w:lang w:val="fr-CA"/>
              </w:rPr>
              <w:t>La Cour d’appel du Manitoba a accueilli l’appel du Canada, estimant que le juge superviseur avait outrepassé sa compétence et mal interprété les dispositions de la CRPI et concluant à l’impossibilité de recourir au contrôle judiciaire des décisions des adjudicateurs au titre du PÉI et de la CRPI. La décision initiale de rejeter la demande de J.W. a donc été rétablie.</w:t>
            </w:r>
          </w:p>
          <w:p w:rsidR="009021BE" w:rsidRPr="009021BE" w:rsidRDefault="009021BE" w:rsidP="009021BE">
            <w:pPr>
              <w:jc w:val="both"/>
              <w:rPr>
                <w:sz w:val="20"/>
                <w:lang w:val="fr-CA"/>
              </w:rPr>
            </w:pP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7 avril 2015</w:t>
            </w:r>
          </w:p>
          <w:p w:rsidR="009021BE" w:rsidRPr="009021BE" w:rsidRDefault="009021BE" w:rsidP="009021BE">
            <w:pPr>
              <w:jc w:val="both"/>
              <w:rPr>
                <w:sz w:val="20"/>
                <w:lang w:val="fr-CA"/>
              </w:rPr>
            </w:pPr>
            <w:r w:rsidRPr="009021BE">
              <w:rPr>
                <w:sz w:val="20"/>
                <w:lang w:val="fr-CA"/>
              </w:rPr>
              <w:t>Processus d’évaluation indépendant</w:t>
            </w:r>
          </w:p>
          <w:p w:rsidR="009021BE" w:rsidRPr="009021BE" w:rsidRDefault="009021BE" w:rsidP="009021BE">
            <w:pPr>
              <w:jc w:val="both"/>
              <w:rPr>
                <w:sz w:val="20"/>
                <w:lang w:val="fr-CA"/>
              </w:rPr>
            </w:pPr>
            <w:r w:rsidRPr="009021BE">
              <w:rPr>
                <w:sz w:val="20"/>
                <w:lang w:val="fr-CA"/>
              </w:rPr>
              <w:t>Adjudicateur d’audition</w:t>
            </w:r>
          </w:p>
          <w:p w:rsidR="009021BE" w:rsidRPr="009021BE" w:rsidRDefault="009021BE" w:rsidP="009021BE">
            <w:pPr>
              <w:jc w:val="both"/>
              <w:rPr>
                <w:sz w:val="20"/>
                <w:lang w:val="fr-CA"/>
              </w:rPr>
            </w:pP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lang w:val="fr-CA"/>
              </w:rPr>
            </w:pPr>
            <w:r w:rsidRPr="009021BE">
              <w:rPr>
                <w:sz w:val="20"/>
                <w:lang w:val="fr-CA"/>
              </w:rPr>
              <w:t>Rejet de la demande d’indemnité présentée par J.W.</w:t>
            </w:r>
          </w:p>
          <w:p w:rsidR="009021BE" w:rsidRPr="009021BE" w:rsidRDefault="009021BE" w:rsidP="009021BE">
            <w:pPr>
              <w:jc w:val="both"/>
              <w:rPr>
                <w:sz w:val="20"/>
                <w:lang w:val="fr-CA"/>
              </w:rPr>
            </w:pP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15 juillet 2015</w:t>
            </w:r>
          </w:p>
          <w:p w:rsidR="009021BE" w:rsidRPr="009021BE" w:rsidRDefault="009021BE" w:rsidP="009021BE">
            <w:pPr>
              <w:jc w:val="both"/>
              <w:rPr>
                <w:sz w:val="20"/>
                <w:lang w:val="fr-CA"/>
              </w:rPr>
            </w:pPr>
            <w:r w:rsidRPr="009021BE">
              <w:rPr>
                <w:sz w:val="20"/>
                <w:lang w:val="fr-CA"/>
              </w:rPr>
              <w:t>Processus d’évaluation indépendant</w:t>
            </w:r>
          </w:p>
          <w:p w:rsidR="009021BE" w:rsidRPr="009021BE" w:rsidRDefault="009021BE" w:rsidP="009021BE">
            <w:pPr>
              <w:jc w:val="both"/>
              <w:rPr>
                <w:sz w:val="20"/>
                <w:lang w:val="fr-CA"/>
              </w:rPr>
            </w:pPr>
            <w:r w:rsidRPr="009021BE">
              <w:rPr>
                <w:sz w:val="20"/>
                <w:lang w:val="fr-CA"/>
              </w:rPr>
              <w:t>Adjudicateur de révision</w:t>
            </w:r>
          </w:p>
          <w:p w:rsidR="009021BE" w:rsidRPr="009021BE" w:rsidRDefault="009021BE" w:rsidP="009021BE">
            <w:pPr>
              <w:jc w:val="both"/>
              <w:rPr>
                <w:sz w:val="20"/>
                <w:lang w:val="fr-CA"/>
              </w:rPr>
            </w:pP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rPr>
            </w:pPr>
            <w:r w:rsidRPr="009021BE">
              <w:rPr>
                <w:sz w:val="20"/>
              </w:rPr>
              <w:t>Décision de l’adjudicateur d’audition confirmée</w:t>
            </w:r>
          </w:p>
          <w:p w:rsidR="009021BE" w:rsidRPr="009021BE" w:rsidRDefault="009021BE" w:rsidP="009021BE">
            <w:pPr>
              <w:jc w:val="both"/>
              <w:rPr>
                <w:sz w:val="20"/>
              </w:rPr>
            </w:pP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22 novembre 2015</w:t>
            </w:r>
          </w:p>
          <w:p w:rsidR="009021BE" w:rsidRPr="009021BE" w:rsidRDefault="009021BE" w:rsidP="009021BE">
            <w:pPr>
              <w:jc w:val="both"/>
              <w:rPr>
                <w:sz w:val="20"/>
                <w:lang w:val="fr-CA"/>
              </w:rPr>
            </w:pPr>
            <w:r w:rsidRPr="009021BE">
              <w:rPr>
                <w:sz w:val="20"/>
                <w:lang w:val="fr-CA"/>
              </w:rPr>
              <w:t>Processus d’évaluation indépendant</w:t>
            </w:r>
          </w:p>
          <w:p w:rsidR="009021BE" w:rsidRPr="009021BE" w:rsidRDefault="009021BE" w:rsidP="009021BE">
            <w:pPr>
              <w:jc w:val="both"/>
              <w:rPr>
                <w:sz w:val="20"/>
                <w:lang w:val="fr-CA"/>
              </w:rPr>
            </w:pPr>
            <w:r w:rsidRPr="009021BE">
              <w:rPr>
                <w:sz w:val="20"/>
                <w:lang w:val="fr-CA"/>
              </w:rPr>
              <w:t>Adjudicateur de deuxième révision</w:t>
            </w:r>
          </w:p>
          <w:p w:rsidR="009021BE" w:rsidRPr="009021BE" w:rsidRDefault="009021BE" w:rsidP="009021BE">
            <w:pPr>
              <w:jc w:val="both"/>
              <w:rPr>
                <w:sz w:val="20"/>
                <w:lang w:val="fr-CA"/>
              </w:rPr>
            </w:pP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lang w:val="fr-CA"/>
              </w:rPr>
            </w:pPr>
            <w:r w:rsidRPr="009021BE">
              <w:rPr>
                <w:sz w:val="20"/>
                <w:lang w:val="fr-CA"/>
              </w:rPr>
              <w:t>Décision de l’adjudicateur de deuxième révision confirmée</w:t>
            </w:r>
          </w:p>
          <w:p w:rsidR="009021BE" w:rsidRPr="009021BE" w:rsidRDefault="009021BE" w:rsidP="009021BE">
            <w:pPr>
              <w:jc w:val="both"/>
              <w:rPr>
                <w:sz w:val="20"/>
                <w:lang w:val="fr-CA"/>
              </w:rPr>
            </w:pP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3 août 2016</w:t>
            </w:r>
          </w:p>
          <w:p w:rsidR="009021BE" w:rsidRPr="009021BE" w:rsidRDefault="009021BE" w:rsidP="009021BE">
            <w:pPr>
              <w:jc w:val="both"/>
              <w:rPr>
                <w:sz w:val="20"/>
                <w:lang w:val="fr-CA"/>
              </w:rPr>
            </w:pPr>
            <w:r w:rsidRPr="009021BE">
              <w:rPr>
                <w:sz w:val="20"/>
                <w:lang w:val="fr-CA"/>
              </w:rPr>
              <w:t>Cour du Banc de la Reine du Manitoba</w:t>
            </w:r>
          </w:p>
          <w:p w:rsidR="009021BE" w:rsidRPr="009021BE" w:rsidRDefault="009021BE" w:rsidP="009021BE">
            <w:pPr>
              <w:jc w:val="both"/>
              <w:rPr>
                <w:sz w:val="20"/>
              </w:rPr>
            </w:pPr>
            <w:r w:rsidRPr="009021BE">
              <w:rPr>
                <w:sz w:val="20"/>
              </w:rPr>
              <w:t>(Juge Edmond)</w:t>
            </w:r>
          </w:p>
          <w:p w:rsidR="009021BE" w:rsidRPr="009021BE" w:rsidRDefault="009021BE" w:rsidP="009021BE">
            <w:pPr>
              <w:jc w:val="both"/>
              <w:rPr>
                <w:sz w:val="20"/>
              </w:rPr>
            </w:pPr>
            <w:hyperlink r:id="rId50" w:history="1">
              <w:r w:rsidRPr="009021BE">
                <w:rPr>
                  <w:rStyle w:val="Hyperlink"/>
                  <w:sz w:val="20"/>
                </w:rPr>
                <w:t>2016 MBQB 159</w:t>
              </w:r>
            </w:hyperlink>
            <w:r w:rsidRPr="009021BE">
              <w:rPr>
                <w:sz w:val="20"/>
              </w:rPr>
              <w:t xml:space="preserve"> </w:t>
            </w:r>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lang w:val="fr-CA"/>
              </w:rPr>
            </w:pPr>
            <w:r w:rsidRPr="009021BE">
              <w:rPr>
                <w:sz w:val="20"/>
                <w:lang w:val="fr-CA"/>
              </w:rPr>
              <w:t>Demande d’instructions de J.W. — annulation de la décision rendue par l’adjudicateur de deuxième révision; demande renvoyée à l’adjudicateur de premier niveau pour réexamen</w:t>
            </w:r>
          </w:p>
          <w:p w:rsidR="009021BE" w:rsidRPr="009021BE" w:rsidRDefault="009021BE" w:rsidP="009021BE">
            <w:pPr>
              <w:jc w:val="both"/>
              <w:rPr>
                <w:sz w:val="20"/>
                <w:lang w:val="fr-CA"/>
              </w:rPr>
            </w:pP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30 mai 2017</w:t>
            </w:r>
          </w:p>
          <w:p w:rsidR="009021BE" w:rsidRPr="009021BE" w:rsidRDefault="009021BE" w:rsidP="009021BE">
            <w:pPr>
              <w:jc w:val="both"/>
              <w:rPr>
                <w:sz w:val="20"/>
                <w:lang w:val="fr-CA"/>
              </w:rPr>
            </w:pPr>
            <w:r w:rsidRPr="009021BE">
              <w:rPr>
                <w:sz w:val="20"/>
                <w:lang w:val="fr-CA"/>
              </w:rPr>
              <w:t>Cour d’appel du Manitoba</w:t>
            </w:r>
          </w:p>
          <w:p w:rsidR="009021BE" w:rsidRPr="009021BE" w:rsidRDefault="009021BE" w:rsidP="009021BE">
            <w:pPr>
              <w:jc w:val="both"/>
              <w:rPr>
                <w:sz w:val="20"/>
                <w:lang w:val="fr-CA"/>
              </w:rPr>
            </w:pPr>
            <w:r w:rsidRPr="009021BE">
              <w:rPr>
                <w:sz w:val="20"/>
                <w:lang w:val="fr-CA"/>
              </w:rPr>
              <w:t>(Juges Monnin, Beard et leMaistre)</w:t>
            </w:r>
          </w:p>
          <w:p w:rsidR="009021BE" w:rsidRPr="009021BE" w:rsidRDefault="009021BE" w:rsidP="009021BE">
            <w:pPr>
              <w:jc w:val="both"/>
              <w:rPr>
                <w:sz w:val="20"/>
              </w:rPr>
            </w:pPr>
            <w:hyperlink r:id="rId51" w:history="1">
              <w:r w:rsidRPr="009021BE">
                <w:rPr>
                  <w:rStyle w:val="Hyperlink"/>
                  <w:sz w:val="20"/>
                </w:rPr>
                <w:t>2017 MBCA 54</w:t>
              </w:r>
            </w:hyperlink>
            <w:r w:rsidRPr="009021BE">
              <w:rPr>
                <w:sz w:val="20"/>
              </w:rPr>
              <w:t xml:space="preserve"> </w:t>
            </w:r>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lang w:val="fr-CA"/>
              </w:rPr>
            </w:pPr>
            <w:r w:rsidRPr="009021BE">
              <w:rPr>
                <w:sz w:val="20"/>
                <w:lang w:val="fr-CA"/>
              </w:rPr>
              <w:t>Appel du Canada accueilli; rétablissement de la décision de l’adjudicateur siégeant en réexamen</w:t>
            </w:r>
          </w:p>
          <w:p w:rsidR="009021BE" w:rsidRPr="009021BE" w:rsidRDefault="009021BE" w:rsidP="009021BE">
            <w:pPr>
              <w:jc w:val="both"/>
              <w:rPr>
                <w:sz w:val="20"/>
                <w:lang w:val="fr-CA"/>
              </w:rPr>
            </w:pP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28 août 2017</w:t>
            </w:r>
          </w:p>
          <w:p w:rsidR="009021BE" w:rsidRPr="009021BE" w:rsidRDefault="009021BE" w:rsidP="009021BE">
            <w:pPr>
              <w:jc w:val="both"/>
              <w:rPr>
                <w:sz w:val="20"/>
                <w:lang w:val="fr-CA"/>
              </w:rPr>
            </w:pPr>
            <w:r w:rsidRPr="009021BE">
              <w:rPr>
                <w:sz w:val="20"/>
                <w:lang w:val="fr-CA"/>
              </w:rPr>
              <w:t>Cour suprême du Canada</w:t>
            </w: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lang w:val="fr-CA"/>
              </w:rPr>
            </w:pPr>
            <w:r w:rsidRPr="009021BE">
              <w:rPr>
                <w:sz w:val="20"/>
                <w:lang w:val="fr-CA"/>
              </w:rPr>
              <w:t>Dépôt par J.W. d’une demande d’autorisation d’appel</w:t>
            </w:r>
          </w:p>
          <w:p w:rsidR="009021BE" w:rsidRPr="009021BE" w:rsidRDefault="009021BE" w:rsidP="009021BE">
            <w:pPr>
              <w:jc w:val="both"/>
              <w:rPr>
                <w:sz w:val="20"/>
                <w:lang w:val="fr-CA"/>
              </w:rPr>
            </w:pPr>
          </w:p>
        </w:tc>
      </w:tr>
    </w:tbl>
    <w:p w:rsidR="009021BE" w:rsidRPr="009021BE" w:rsidRDefault="009021BE" w:rsidP="009021BE">
      <w:pPr>
        <w:jc w:val="both"/>
        <w:rPr>
          <w:sz w:val="20"/>
          <w:lang w:val="fr-CA"/>
        </w:rPr>
      </w:pPr>
    </w:p>
    <w:p w:rsidR="009021BE" w:rsidRPr="009021BE" w:rsidRDefault="009021BE" w:rsidP="009021BE">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9021BE" w:rsidRPr="009021BE" w:rsidTr="009962CF">
        <w:trPr>
          <w:gridAfter w:val="1"/>
          <w:wAfter w:w="48" w:type="pct"/>
        </w:trPr>
        <w:tc>
          <w:tcPr>
            <w:tcW w:w="538" w:type="pct"/>
          </w:tcPr>
          <w:p w:rsidR="009021BE" w:rsidRPr="009021BE" w:rsidRDefault="009021BE" w:rsidP="009021BE">
            <w:pPr>
              <w:jc w:val="both"/>
              <w:rPr>
                <w:sz w:val="20"/>
              </w:rPr>
            </w:pPr>
            <w:r w:rsidRPr="009021BE">
              <w:rPr>
                <w:rStyle w:val="SCCFileNumberChar"/>
                <w:sz w:val="20"/>
                <w:szCs w:val="20"/>
              </w:rPr>
              <w:t>37738</w:t>
            </w:r>
          </w:p>
        </w:tc>
        <w:tc>
          <w:tcPr>
            <w:tcW w:w="4414" w:type="pct"/>
            <w:gridSpan w:val="3"/>
          </w:tcPr>
          <w:p w:rsidR="009021BE" w:rsidRPr="00BF319D" w:rsidRDefault="009021BE" w:rsidP="009021BE">
            <w:pPr>
              <w:pStyle w:val="SCCLsocParty"/>
              <w:jc w:val="both"/>
              <w:rPr>
                <w:b/>
                <w:sz w:val="20"/>
                <w:szCs w:val="20"/>
                <w:lang w:val="en-US"/>
              </w:rPr>
            </w:pPr>
            <w:r w:rsidRPr="00BF319D">
              <w:rPr>
                <w:b/>
                <w:sz w:val="20"/>
                <w:szCs w:val="20"/>
                <w:lang w:val="en-US"/>
              </w:rPr>
              <w:t xml:space="preserve">Robert </w:t>
            </w:r>
            <w:proofErr w:type="spellStart"/>
            <w:r w:rsidRPr="00BF319D">
              <w:rPr>
                <w:b/>
                <w:sz w:val="20"/>
                <w:szCs w:val="20"/>
                <w:lang w:val="en-US"/>
              </w:rPr>
              <w:t>Lavigne</w:t>
            </w:r>
            <w:proofErr w:type="spellEnd"/>
            <w:r w:rsidRPr="00BF319D">
              <w:rPr>
                <w:b/>
                <w:sz w:val="20"/>
                <w:szCs w:val="20"/>
                <w:lang w:val="en-US"/>
              </w:rPr>
              <w:t xml:space="preserve"> v. Canadian Human Rights Commission, Attorney General of Canada</w:t>
            </w:r>
          </w:p>
          <w:p w:rsidR="009021BE" w:rsidRPr="009021BE" w:rsidRDefault="009021BE" w:rsidP="00BF319D">
            <w:pPr>
              <w:jc w:val="both"/>
              <w:rPr>
                <w:sz w:val="20"/>
              </w:rPr>
            </w:pPr>
            <w:r w:rsidRPr="009021BE">
              <w:rPr>
                <w:sz w:val="20"/>
              </w:rPr>
              <w:t>(FC) (Civil) (By Leave)</w:t>
            </w:r>
          </w:p>
        </w:tc>
      </w:tr>
      <w:tr w:rsidR="009021BE" w:rsidRPr="009021BE" w:rsidTr="009962CF">
        <w:trPr>
          <w:gridAfter w:val="1"/>
          <w:wAfter w:w="48" w:type="pct"/>
        </w:trPr>
        <w:tc>
          <w:tcPr>
            <w:tcW w:w="4952" w:type="pct"/>
            <w:gridSpan w:val="4"/>
          </w:tcPr>
          <w:p w:rsidR="009021BE" w:rsidRPr="009021BE" w:rsidRDefault="009021BE" w:rsidP="009021BE">
            <w:pPr>
              <w:pStyle w:val="SCCBanSummary"/>
              <w:rPr>
                <w:sz w:val="20"/>
                <w:szCs w:val="20"/>
              </w:rPr>
            </w:pPr>
            <w:bookmarkStart w:id="0" w:name="_GoBack"/>
            <w:bookmarkEnd w:id="0"/>
            <w:r w:rsidRPr="009021BE">
              <w:rPr>
                <w:sz w:val="20"/>
                <w:szCs w:val="20"/>
              </w:rPr>
              <w:t>(Sealing order) (Court file contains information that is not available for inspection by the public)</w:t>
            </w:r>
          </w:p>
          <w:p w:rsidR="009021BE" w:rsidRPr="009021BE" w:rsidRDefault="009021BE" w:rsidP="009021BE">
            <w:pPr>
              <w:jc w:val="both"/>
              <w:rPr>
                <w:sz w:val="20"/>
              </w:rPr>
            </w:pPr>
          </w:p>
        </w:tc>
      </w:tr>
      <w:tr w:rsidR="009021BE" w:rsidRPr="009021BE" w:rsidTr="009962CF">
        <w:trPr>
          <w:gridAfter w:val="1"/>
          <w:wAfter w:w="48" w:type="pct"/>
        </w:trPr>
        <w:tc>
          <w:tcPr>
            <w:tcW w:w="4952" w:type="pct"/>
            <w:gridSpan w:val="4"/>
          </w:tcPr>
          <w:p w:rsidR="009021BE" w:rsidRPr="009021BE" w:rsidRDefault="009021BE" w:rsidP="009021BE">
            <w:pPr>
              <w:jc w:val="both"/>
              <w:rPr>
                <w:sz w:val="20"/>
              </w:rPr>
            </w:pPr>
            <w:r w:rsidRPr="009021BE">
              <w:rPr>
                <w:sz w:val="20"/>
              </w:rPr>
              <w:t xml:space="preserve">Civil procedure – Appeals – Federal Courts – Applicant declared vexatious litigant –Federal Court of Appeal directing Registry not to accept motion for filing – Whether the Federal Court of Appeal erred in finding that the Applicant had no right to appeal? </w:t>
            </w:r>
          </w:p>
        </w:tc>
      </w:tr>
      <w:tr w:rsidR="009021BE" w:rsidRPr="009021BE" w:rsidTr="009962CF">
        <w:trPr>
          <w:gridAfter w:val="1"/>
          <w:wAfter w:w="48" w:type="pct"/>
        </w:trPr>
        <w:tc>
          <w:tcPr>
            <w:tcW w:w="4952" w:type="pct"/>
            <w:gridSpan w:val="4"/>
          </w:tcPr>
          <w:p w:rsidR="009021BE" w:rsidRPr="009021BE" w:rsidRDefault="009021BE" w:rsidP="009021BE">
            <w:pPr>
              <w:jc w:val="both"/>
              <w:rPr>
                <w:sz w:val="20"/>
              </w:rPr>
            </w:pPr>
          </w:p>
          <w:p w:rsidR="009021BE" w:rsidRPr="009021BE" w:rsidRDefault="009021BE" w:rsidP="009021BE">
            <w:pPr>
              <w:jc w:val="both"/>
              <w:rPr>
                <w:sz w:val="20"/>
              </w:rPr>
            </w:pPr>
            <w:r w:rsidRPr="009021BE">
              <w:rPr>
                <w:sz w:val="20"/>
              </w:rPr>
              <w:t>The applicant was declared a vexatious litigant by the Federal Court in 2015. His appeal from that decision was dismissed as was his application for leave to appeal. The applicant brought a motion record for reconsideration of Federal Court’s direction, for an order of mandamus against some of the defendants, and for the rescission of the vexatious litigant order. The Federal Court refused the motion for filing and the Federal Court of Appeal dismissed the a</w:t>
            </w:r>
            <w:r w:rsidR="00BF319D">
              <w:rPr>
                <w:sz w:val="20"/>
              </w:rPr>
              <w:t>pplicant’s motion.</w:t>
            </w:r>
          </w:p>
          <w:p w:rsidR="009021BE" w:rsidRPr="009021BE" w:rsidRDefault="009021BE" w:rsidP="009021BE">
            <w:pPr>
              <w:jc w:val="both"/>
              <w:rPr>
                <w:sz w:val="20"/>
              </w:rPr>
            </w:pPr>
          </w:p>
        </w:tc>
      </w:tr>
      <w:tr w:rsidR="009021BE" w:rsidRPr="009021BE" w:rsidTr="009962CF">
        <w:tblPrEx>
          <w:tblCellMar>
            <w:bottom w:w="0" w:type="dxa"/>
          </w:tblCellMar>
        </w:tblPrEx>
        <w:tc>
          <w:tcPr>
            <w:tcW w:w="2367" w:type="pct"/>
            <w:gridSpan w:val="2"/>
          </w:tcPr>
          <w:p w:rsidR="009021BE" w:rsidRPr="009021BE" w:rsidRDefault="009021BE" w:rsidP="009021BE">
            <w:pPr>
              <w:jc w:val="both"/>
              <w:rPr>
                <w:sz w:val="20"/>
              </w:rPr>
            </w:pPr>
            <w:r w:rsidRPr="009021BE">
              <w:rPr>
                <w:sz w:val="20"/>
              </w:rPr>
              <w:t>June 7, 2017</w:t>
            </w:r>
          </w:p>
          <w:p w:rsidR="009021BE" w:rsidRPr="009021BE" w:rsidRDefault="009021BE" w:rsidP="009021BE">
            <w:pPr>
              <w:jc w:val="both"/>
              <w:rPr>
                <w:sz w:val="20"/>
              </w:rPr>
            </w:pPr>
            <w:r w:rsidRPr="009021BE">
              <w:rPr>
                <w:sz w:val="20"/>
              </w:rPr>
              <w:t>Federal Court</w:t>
            </w:r>
          </w:p>
          <w:p w:rsidR="009021BE" w:rsidRPr="009021BE" w:rsidRDefault="009021BE" w:rsidP="009021BE">
            <w:pPr>
              <w:jc w:val="both"/>
              <w:rPr>
                <w:sz w:val="20"/>
              </w:rPr>
            </w:pPr>
            <w:r w:rsidRPr="009021BE">
              <w:rPr>
                <w:sz w:val="20"/>
              </w:rPr>
              <w:t>(Gascon J.)</w:t>
            </w:r>
          </w:p>
          <w:p w:rsidR="009021BE" w:rsidRPr="009021BE" w:rsidRDefault="009021BE" w:rsidP="009021BE">
            <w:pPr>
              <w:jc w:val="both"/>
              <w:rPr>
                <w:sz w:val="20"/>
              </w:rPr>
            </w:pPr>
            <w:r w:rsidRPr="009021BE">
              <w:rPr>
                <w:sz w:val="20"/>
              </w:rPr>
              <w:t>T-1632-13</w:t>
            </w:r>
          </w:p>
          <w:p w:rsidR="009021BE" w:rsidRPr="009021BE" w:rsidRDefault="009021BE" w:rsidP="009021BE">
            <w:pPr>
              <w:jc w:val="both"/>
              <w:rPr>
                <w:sz w:val="20"/>
              </w:rPr>
            </w:pPr>
          </w:p>
        </w:tc>
        <w:tc>
          <w:tcPr>
            <w:tcW w:w="267" w:type="pct"/>
          </w:tcPr>
          <w:p w:rsidR="009021BE" w:rsidRPr="009021BE" w:rsidRDefault="009021BE" w:rsidP="009021BE">
            <w:pPr>
              <w:jc w:val="both"/>
              <w:rPr>
                <w:sz w:val="20"/>
              </w:rPr>
            </w:pPr>
          </w:p>
        </w:tc>
        <w:tc>
          <w:tcPr>
            <w:tcW w:w="2366" w:type="pct"/>
            <w:gridSpan w:val="2"/>
          </w:tcPr>
          <w:p w:rsidR="009021BE" w:rsidRPr="009021BE" w:rsidRDefault="009021BE" w:rsidP="009021BE">
            <w:pPr>
              <w:jc w:val="both"/>
              <w:rPr>
                <w:sz w:val="20"/>
              </w:rPr>
            </w:pPr>
            <w:r w:rsidRPr="009021BE">
              <w:rPr>
                <w:sz w:val="20"/>
              </w:rPr>
              <w:t xml:space="preserve">Motion records not accepted for filing </w:t>
            </w:r>
          </w:p>
          <w:p w:rsidR="009021BE" w:rsidRPr="009021BE" w:rsidRDefault="009021BE" w:rsidP="009021BE">
            <w:pPr>
              <w:jc w:val="both"/>
              <w:rPr>
                <w:sz w:val="20"/>
              </w:rPr>
            </w:pPr>
          </w:p>
        </w:tc>
      </w:tr>
      <w:tr w:rsidR="009021BE" w:rsidRPr="009021BE" w:rsidTr="009962CF">
        <w:tblPrEx>
          <w:tblCellMar>
            <w:bottom w:w="0" w:type="dxa"/>
          </w:tblCellMar>
        </w:tblPrEx>
        <w:tc>
          <w:tcPr>
            <w:tcW w:w="2367" w:type="pct"/>
            <w:gridSpan w:val="2"/>
          </w:tcPr>
          <w:p w:rsidR="009021BE" w:rsidRPr="009021BE" w:rsidRDefault="009021BE" w:rsidP="009021BE">
            <w:pPr>
              <w:jc w:val="both"/>
              <w:rPr>
                <w:sz w:val="20"/>
              </w:rPr>
            </w:pPr>
            <w:r w:rsidRPr="009021BE">
              <w:rPr>
                <w:sz w:val="20"/>
              </w:rPr>
              <w:t>August 10, 2017</w:t>
            </w:r>
          </w:p>
          <w:p w:rsidR="009021BE" w:rsidRPr="009021BE" w:rsidRDefault="009021BE" w:rsidP="009021BE">
            <w:pPr>
              <w:jc w:val="both"/>
              <w:rPr>
                <w:sz w:val="20"/>
              </w:rPr>
            </w:pPr>
            <w:r w:rsidRPr="009021BE">
              <w:rPr>
                <w:sz w:val="20"/>
              </w:rPr>
              <w:t>Federal Court of Appeal</w:t>
            </w:r>
          </w:p>
          <w:p w:rsidR="009021BE" w:rsidRPr="009021BE" w:rsidRDefault="009021BE" w:rsidP="009021BE">
            <w:pPr>
              <w:jc w:val="both"/>
              <w:rPr>
                <w:sz w:val="20"/>
              </w:rPr>
            </w:pPr>
            <w:r w:rsidRPr="009021BE">
              <w:rPr>
                <w:sz w:val="20"/>
              </w:rPr>
              <w:t>(Webb, Near and Gleason JJ.A.)</w:t>
            </w:r>
          </w:p>
          <w:p w:rsidR="009021BE" w:rsidRPr="009021BE" w:rsidRDefault="009021BE" w:rsidP="009021BE">
            <w:pPr>
              <w:jc w:val="both"/>
              <w:rPr>
                <w:sz w:val="20"/>
              </w:rPr>
            </w:pPr>
            <w:r w:rsidRPr="009021BE">
              <w:rPr>
                <w:sz w:val="20"/>
              </w:rPr>
              <w:t>17-A-23</w:t>
            </w:r>
          </w:p>
          <w:p w:rsidR="009021BE" w:rsidRPr="009021BE" w:rsidRDefault="009021BE" w:rsidP="009021BE">
            <w:pPr>
              <w:jc w:val="both"/>
              <w:rPr>
                <w:sz w:val="20"/>
              </w:rPr>
            </w:pPr>
          </w:p>
        </w:tc>
        <w:tc>
          <w:tcPr>
            <w:tcW w:w="267" w:type="pct"/>
          </w:tcPr>
          <w:p w:rsidR="009021BE" w:rsidRPr="009021BE" w:rsidRDefault="009021BE" w:rsidP="009021BE">
            <w:pPr>
              <w:jc w:val="both"/>
              <w:rPr>
                <w:sz w:val="20"/>
              </w:rPr>
            </w:pPr>
          </w:p>
        </w:tc>
        <w:tc>
          <w:tcPr>
            <w:tcW w:w="2366" w:type="pct"/>
            <w:gridSpan w:val="2"/>
          </w:tcPr>
          <w:p w:rsidR="009021BE" w:rsidRPr="009021BE" w:rsidRDefault="009021BE" w:rsidP="009021BE">
            <w:pPr>
              <w:jc w:val="both"/>
              <w:rPr>
                <w:sz w:val="20"/>
              </w:rPr>
            </w:pPr>
            <w:r w:rsidRPr="009021BE">
              <w:rPr>
                <w:sz w:val="20"/>
              </w:rPr>
              <w:t xml:space="preserve">Motion dismissed </w:t>
            </w:r>
          </w:p>
        </w:tc>
      </w:tr>
      <w:tr w:rsidR="009021BE" w:rsidRPr="009021BE" w:rsidTr="009962CF">
        <w:tblPrEx>
          <w:tblCellMar>
            <w:bottom w:w="0" w:type="dxa"/>
          </w:tblCellMar>
        </w:tblPrEx>
        <w:tc>
          <w:tcPr>
            <w:tcW w:w="2367" w:type="pct"/>
            <w:gridSpan w:val="2"/>
          </w:tcPr>
          <w:p w:rsidR="009021BE" w:rsidRPr="009021BE" w:rsidRDefault="009021BE" w:rsidP="009021BE">
            <w:pPr>
              <w:jc w:val="both"/>
              <w:rPr>
                <w:sz w:val="20"/>
              </w:rPr>
            </w:pPr>
            <w:r w:rsidRPr="009021BE">
              <w:rPr>
                <w:sz w:val="20"/>
              </w:rPr>
              <w:t>September 1, 2017</w:t>
            </w:r>
          </w:p>
          <w:p w:rsidR="009021BE" w:rsidRPr="009021BE" w:rsidRDefault="009021BE" w:rsidP="009021BE">
            <w:pPr>
              <w:jc w:val="both"/>
              <w:rPr>
                <w:sz w:val="20"/>
              </w:rPr>
            </w:pPr>
            <w:r w:rsidRPr="009021BE">
              <w:rPr>
                <w:sz w:val="20"/>
              </w:rPr>
              <w:t>Supreme Court of Canada</w:t>
            </w:r>
          </w:p>
        </w:tc>
        <w:tc>
          <w:tcPr>
            <w:tcW w:w="267" w:type="pct"/>
          </w:tcPr>
          <w:p w:rsidR="009021BE" w:rsidRPr="009021BE" w:rsidRDefault="009021BE" w:rsidP="009021BE">
            <w:pPr>
              <w:jc w:val="both"/>
              <w:rPr>
                <w:sz w:val="20"/>
              </w:rPr>
            </w:pPr>
          </w:p>
        </w:tc>
        <w:tc>
          <w:tcPr>
            <w:tcW w:w="2366" w:type="pct"/>
            <w:gridSpan w:val="2"/>
          </w:tcPr>
          <w:p w:rsidR="009021BE" w:rsidRPr="009021BE" w:rsidRDefault="009021BE" w:rsidP="009021BE">
            <w:pPr>
              <w:jc w:val="both"/>
              <w:rPr>
                <w:sz w:val="20"/>
              </w:rPr>
            </w:pPr>
            <w:r w:rsidRPr="009021BE">
              <w:rPr>
                <w:sz w:val="20"/>
              </w:rPr>
              <w:t>Application for leave to appeal filed</w:t>
            </w:r>
          </w:p>
          <w:p w:rsidR="009021BE" w:rsidRPr="009021BE" w:rsidRDefault="009021BE" w:rsidP="009021BE">
            <w:pPr>
              <w:jc w:val="both"/>
              <w:rPr>
                <w:sz w:val="20"/>
              </w:rPr>
            </w:pPr>
          </w:p>
        </w:tc>
      </w:tr>
    </w:tbl>
    <w:p w:rsidR="009021BE" w:rsidRDefault="009021BE" w:rsidP="009021BE">
      <w:pPr>
        <w:jc w:val="both"/>
        <w:rPr>
          <w:sz w:val="20"/>
        </w:rPr>
      </w:pPr>
    </w:p>
    <w:p w:rsidR="00BF319D" w:rsidRPr="009021BE" w:rsidRDefault="00BF319D" w:rsidP="009021BE">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9021BE" w:rsidRPr="009021BE" w:rsidTr="009962CF">
        <w:trPr>
          <w:gridAfter w:val="1"/>
          <w:wAfter w:w="48" w:type="pct"/>
        </w:trPr>
        <w:tc>
          <w:tcPr>
            <w:tcW w:w="538" w:type="pct"/>
          </w:tcPr>
          <w:p w:rsidR="009021BE" w:rsidRPr="009021BE" w:rsidRDefault="009021BE" w:rsidP="009021BE">
            <w:pPr>
              <w:jc w:val="both"/>
              <w:rPr>
                <w:sz w:val="20"/>
              </w:rPr>
            </w:pPr>
            <w:r w:rsidRPr="009021BE">
              <w:rPr>
                <w:rStyle w:val="SCCFileNumberChar"/>
                <w:sz w:val="20"/>
                <w:szCs w:val="20"/>
              </w:rPr>
              <w:t>37738</w:t>
            </w:r>
          </w:p>
        </w:tc>
        <w:tc>
          <w:tcPr>
            <w:tcW w:w="4414" w:type="pct"/>
            <w:gridSpan w:val="3"/>
          </w:tcPr>
          <w:p w:rsidR="009021BE" w:rsidRPr="00BF319D" w:rsidRDefault="009021BE" w:rsidP="009021BE">
            <w:pPr>
              <w:pStyle w:val="SCCLsocParty"/>
              <w:jc w:val="both"/>
              <w:rPr>
                <w:b/>
                <w:sz w:val="20"/>
                <w:szCs w:val="20"/>
              </w:rPr>
            </w:pPr>
            <w:r w:rsidRPr="00BF319D">
              <w:rPr>
                <w:b/>
                <w:sz w:val="20"/>
                <w:szCs w:val="20"/>
              </w:rPr>
              <w:t>Robert Lavigne c. Commission canadienne des droits de la personne, procureur général du Canada</w:t>
            </w:r>
          </w:p>
          <w:p w:rsidR="009021BE" w:rsidRPr="009021BE" w:rsidRDefault="009021BE" w:rsidP="00BF319D">
            <w:pPr>
              <w:jc w:val="both"/>
              <w:rPr>
                <w:sz w:val="20"/>
              </w:rPr>
            </w:pPr>
            <w:r w:rsidRPr="009021BE">
              <w:rPr>
                <w:sz w:val="20"/>
              </w:rPr>
              <w:t>(CF) (Civile) (Sur autorisation)</w:t>
            </w:r>
          </w:p>
        </w:tc>
      </w:tr>
      <w:tr w:rsidR="009021BE" w:rsidRPr="009021BE" w:rsidTr="009962CF">
        <w:trPr>
          <w:gridAfter w:val="1"/>
          <w:wAfter w:w="48" w:type="pct"/>
        </w:trPr>
        <w:tc>
          <w:tcPr>
            <w:tcW w:w="4952" w:type="pct"/>
            <w:gridSpan w:val="4"/>
          </w:tcPr>
          <w:p w:rsidR="009021BE" w:rsidRPr="009021BE" w:rsidRDefault="009021BE" w:rsidP="009021BE">
            <w:pPr>
              <w:pStyle w:val="SCCBanSummary"/>
              <w:rPr>
                <w:sz w:val="20"/>
                <w:szCs w:val="20"/>
                <w:lang w:val="fr-CA"/>
              </w:rPr>
            </w:pPr>
            <w:r w:rsidRPr="009021BE">
              <w:rPr>
                <w:sz w:val="20"/>
                <w:szCs w:val="20"/>
                <w:lang w:val="fr-CA"/>
              </w:rPr>
              <w:t>(ordonnance de mise sous scellés) (Le dossier de la cour renferme des données que le public n’est pas autorisé à consulter)</w:t>
            </w:r>
          </w:p>
          <w:p w:rsidR="009021BE" w:rsidRPr="009021BE" w:rsidRDefault="009021BE" w:rsidP="009021BE">
            <w:pPr>
              <w:jc w:val="both"/>
              <w:rPr>
                <w:sz w:val="20"/>
                <w:lang w:val="fr-CA"/>
              </w:rPr>
            </w:pPr>
          </w:p>
        </w:tc>
      </w:tr>
      <w:tr w:rsidR="009021BE" w:rsidRPr="009021BE" w:rsidTr="009962CF">
        <w:trPr>
          <w:gridAfter w:val="1"/>
          <w:wAfter w:w="48" w:type="pct"/>
        </w:trPr>
        <w:tc>
          <w:tcPr>
            <w:tcW w:w="4952" w:type="pct"/>
            <w:gridSpan w:val="4"/>
          </w:tcPr>
          <w:p w:rsidR="009021BE" w:rsidRPr="009021BE" w:rsidRDefault="009021BE" w:rsidP="009021BE">
            <w:pPr>
              <w:jc w:val="both"/>
              <w:rPr>
                <w:sz w:val="20"/>
                <w:lang w:val="fr-CA"/>
              </w:rPr>
            </w:pPr>
            <w:r w:rsidRPr="009021BE">
              <w:rPr>
                <w:sz w:val="20"/>
                <w:lang w:val="fr-CA"/>
              </w:rPr>
              <w:t xml:space="preserve">Procédure civile – Appels – Cours fédérales – Demandeur déclaré plaideur quérulent – Directive de la Cour d’appel fédérale au Greffe de refuser la requête à déposer – La Cour d’appel fédérale a-t-elle eu tort de conclure que le demandeur n’avait aucun droit d’appel? </w:t>
            </w:r>
          </w:p>
        </w:tc>
      </w:tr>
      <w:tr w:rsidR="009021BE" w:rsidRPr="009021BE" w:rsidTr="009962CF">
        <w:trPr>
          <w:gridAfter w:val="1"/>
          <w:wAfter w:w="48" w:type="pct"/>
        </w:trPr>
        <w:tc>
          <w:tcPr>
            <w:tcW w:w="4952" w:type="pct"/>
            <w:gridSpan w:val="4"/>
          </w:tcPr>
          <w:p w:rsidR="009021BE" w:rsidRPr="009021BE" w:rsidRDefault="009021BE" w:rsidP="009021BE">
            <w:pPr>
              <w:jc w:val="both"/>
              <w:rPr>
                <w:sz w:val="20"/>
                <w:lang w:val="fr-CA"/>
              </w:rPr>
            </w:pPr>
          </w:p>
          <w:p w:rsidR="009021BE" w:rsidRPr="009021BE" w:rsidRDefault="009021BE" w:rsidP="009021BE">
            <w:pPr>
              <w:jc w:val="both"/>
              <w:rPr>
                <w:sz w:val="20"/>
                <w:lang w:val="fr-CA"/>
              </w:rPr>
            </w:pPr>
            <w:r w:rsidRPr="009021BE">
              <w:rPr>
                <w:sz w:val="20"/>
                <w:lang w:val="fr-CA"/>
              </w:rPr>
              <w:t>Le demandeur a été déclaré plaideur quérulent par la Cour fédérale en 2015. Son appel formé contre cette décision a été rejeté, tout comme sa demande d’autorisation d’appel. Le demandeur a présenté un dossier de requête en vue de faire réexaminer la directive de la Cour fédérale, d’obtenir une ordonnance de mandamus contre certains des défendeurs et de faire révoquer l’ordonnance le déclarant plaideur quérulent. La Cour fédérale a refusé la requête à déposer et la Cour d’appel fédérale a rejeté la requête du demandeur.</w:t>
            </w:r>
          </w:p>
          <w:p w:rsidR="009021BE" w:rsidRPr="009021BE" w:rsidRDefault="009021BE" w:rsidP="009021BE">
            <w:pPr>
              <w:jc w:val="both"/>
              <w:rPr>
                <w:sz w:val="20"/>
                <w:lang w:val="fr-CA"/>
              </w:rPr>
            </w:pPr>
          </w:p>
        </w:tc>
      </w:tr>
      <w:tr w:rsidR="009021BE" w:rsidRPr="009021BE" w:rsidTr="009962CF">
        <w:tblPrEx>
          <w:tblCellMar>
            <w:bottom w:w="0" w:type="dxa"/>
          </w:tblCellMar>
        </w:tblPrEx>
        <w:tc>
          <w:tcPr>
            <w:tcW w:w="2367" w:type="pct"/>
            <w:gridSpan w:val="2"/>
          </w:tcPr>
          <w:p w:rsidR="009021BE" w:rsidRPr="009021BE" w:rsidRDefault="009021BE" w:rsidP="009021BE">
            <w:pPr>
              <w:jc w:val="both"/>
              <w:rPr>
                <w:sz w:val="20"/>
                <w:lang w:val="fr-CA"/>
              </w:rPr>
            </w:pPr>
            <w:r w:rsidRPr="009021BE">
              <w:rPr>
                <w:sz w:val="20"/>
                <w:lang w:val="fr-CA"/>
              </w:rPr>
              <w:t>7 juin 2017</w:t>
            </w:r>
          </w:p>
          <w:p w:rsidR="009021BE" w:rsidRPr="009021BE" w:rsidRDefault="009021BE" w:rsidP="009021BE">
            <w:pPr>
              <w:jc w:val="both"/>
              <w:rPr>
                <w:sz w:val="20"/>
                <w:lang w:val="fr-CA"/>
              </w:rPr>
            </w:pPr>
            <w:r w:rsidRPr="009021BE">
              <w:rPr>
                <w:sz w:val="20"/>
                <w:lang w:val="fr-CA"/>
              </w:rPr>
              <w:t>Cour fédérale</w:t>
            </w:r>
          </w:p>
          <w:p w:rsidR="009021BE" w:rsidRPr="009021BE" w:rsidRDefault="009021BE" w:rsidP="009021BE">
            <w:pPr>
              <w:jc w:val="both"/>
              <w:rPr>
                <w:sz w:val="20"/>
                <w:lang w:val="fr-CA"/>
              </w:rPr>
            </w:pPr>
            <w:r w:rsidRPr="009021BE">
              <w:rPr>
                <w:sz w:val="20"/>
                <w:lang w:val="fr-CA"/>
              </w:rPr>
              <w:t>(Juge Gascon)</w:t>
            </w:r>
          </w:p>
          <w:p w:rsidR="009021BE" w:rsidRPr="009021BE" w:rsidRDefault="009021BE" w:rsidP="009021BE">
            <w:pPr>
              <w:jc w:val="both"/>
              <w:rPr>
                <w:sz w:val="20"/>
              </w:rPr>
            </w:pPr>
            <w:r w:rsidRPr="009021BE">
              <w:rPr>
                <w:sz w:val="20"/>
              </w:rPr>
              <w:t>T-1632-13</w:t>
            </w:r>
          </w:p>
          <w:p w:rsidR="009021BE" w:rsidRPr="009021BE" w:rsidRDefault="009021BE" w:rsidP="009021BE">
            <w:pPr>
              <w:jc w:val="both"/>
              <w:rPr>
                <w:sz w:val="20"/>
              </w:rPr>
            </w:pPr>
          </w:p>
        </w:tc>
        <w:tc>
          <w:tcPr>
            <w:tcW w:w="267" w:type="pct"/>
          </w:tcPr>
          <w:p w:rsidR="009021BE" w:rsidRPr="009021BE" w:rsidRDefault="009021BE" w:rsidP="009021BE">
            <w:pPr>
              <w:jc w:val="both"/>
              <w:rPr>
                <w:sz w:val="20"/>
              </w:rPr>
            </w:pPr>
          </w:p>
        </w:tc>
        <w:tc>
          <w:tcPr>
            <w:tcW w:w="2366" w:type="pct"/>
            <w:gridSpan w:val="2"/>
          </w:tcPr>
          <w:p w:rsidR="009021BE" w:rsidRPr="009021BE" w:rsidRDefault="009021BE" w:rsidP="009021BE">
            <w:pPr>
              <w:jc w:val="both"/>
              <w:rPr>
                <w:sz w:val="20"/>
                <w:lang w:val="fr-CA"/>
              </w:rPr>
            </w:pPr>
            <w:r w:rsidRPr="009021BE">
              <w:rPr>
                <w:sz w:val="20"/>
                <w:lang w:val="fr-CA"/>
              </w:rPr>
              <w:t xml:space="preserve">Refus du dossier de requête à déposer </w:t>
            </w:r>
          </w:p>
          <w:p w:rsidR="009021BE" w:rsidRPr="009021BE" w:rsidRDefault="009021BE" w:rsidP="009021BE">
            <w:pPr>
              <w:jc w:val="both"/>
              <w:rPr>
                <w:sz w:val="20"/>
                <w:lang w:val="fr-CA"/>
              </w:rPr>
            </w:pPr>
          </w:p>
        </w:tc>
      </w:tr>
      <w:tr w:rsidR="009021BE" w:rsidRPr="009021BE" w:rsidTr="009962CF">
        <w:tblPrEx>
          <w:tblCellMar>
            <w:bottom w:w="0" w:type="dxa"/>
          </w:tblCellMar>
        </w:tblPrEx>
        <w:tc>
          <w:tcPr>
            <w:tcW w:w="2367" w:type="pct"/>
            <w:gridSpan w:val="2"/>
          </w:tcPr>
          <w:p w:rsidR="009021BE" w:rsidRPr="009021BE" w:rsidRDefault="009021BE" w:rsidP="009021BE">
            <w:pPr>
              <w:jc w:val="both"/>
              <w:rPr>
                <w:sz w:val="20"/>
                <w:lang w:val="fr-CA"/>
              </w:rPr>
            </w:pPr>
            <w:r w:rsidRPr="009021BE">
              <w:rPr>
                <w:sz w:val="20"/>
                <w:lang w:val="fr-CA"/>
              </w:rPr>
              <w:t>10 août 2017</w:t>
            </w:r>
          </w:p>
          <w:p w:rsidR="009021BE" w:rsidRPr="009021BE" w:rsidRDefault="009021BE" w:rsidP="009021BE">
            <w:pPr>
              <w:jc w:val="both"/>
              <w:rPr>
                <w:sz w:val="20"/>
                <w:lang w:val="fr-CA"/>
              </w:rPr>
            </w:pPr>
            <w:r w:rsidRPr="009021BE">
              <w:rPr>
                <w:sz w:val="20"/>
                <w:lang w:val="fr-CA"/>
              </w:rPr>
              <w:t>Cour d’appel fédérale</w:t>
            </w:r>
          </w:p>
          <w:p w:rsidR="009021BE" w:rsidRPr="009021BE" w:rsidRDefault="009021BE" w:rsidP="009021BE">
            <w:pPr>
              <w:jc w:val="both"/>
              <w:rPr>
                <w:sz w:val="20"/>
                <w:lang w:val="fr-CA"/>
              </w:rPr>
            </w:pPr>
            <w:r w:rsidRPr="009021BE">
              <w:rPr>
                <w:sz w:val="20"/>
                <w:lang w:val="fr-CA"/>
              </w:rPr>
              <w:t>(Juges Webb, Near et Gleason)</w:t>
            </w:r>
          </w:p>
          <w:p w:rsidR="009021BE" w:rsidRPr="009021BE" w:rsidRDefault="009021BE" w:rsidP="009021BE">
            <w:pPr>
              <w:jc w:val="both"/>
              <w:rPr>
                <w:sz w:val="20"/>
              </w:rPr>
            </w:pPr>
            <w:r w:rsidRPr="009021BE">
              <w:rPr>
                <w:sz w:val="20"/>
              </w:rPr>
              <w:t>17-A-23</w:t>
            </w:r>
          </w:p>
          <w:p w:rsidR="009021BE" w:rsidRPr="009021BE" w:rsidRDefault="009021BE" w:rsidP="009021BE">
            <w:pPr>
              <w:jc w:val="both"/>
              <w:rPr>
                <w:sz w:val="20"/>
              </w:rPr>
            </w:pPr>
          </w:p>
        </w:tc>
        <w:tc>
          <w:tcPr>
            <w:tcW w:w="267" w:type="pct"/>
          </w:tcPr>
          <w:p w:rsidR="009021BE" w:rsidRPr="009021BE" w:rsidRDefault="009021BE" w:rsidP="009021BE">
            <w:pPr>
              <w:jc w:val="both"/>
              <w:rPr>
                <w:sz w:val="20"/>
              </w:rPr>
            </w:pPr>
          </w:p>
        </w:tc>
        <w:tc>
          <w:tcPr>
            <w:tcW w:w="2366" w:type="pct"/>
            <w:gridSpan w:val="2"/>
          </w:tcPr>
          <w:p w:rsidR="009021BE" w:rsidRPr="009021BE" w:rsidRDefault="009021BE" w:rsidP="009021BE">
            <w:pPr>
              <w:jc w:val="both"/>
              <w:rPr>
                <w:sz w:val="20"/>
              </w:rPr>
            </w:pPr>
            <w:r w:rsidRPr="009021BE">
              <w:rPr>
                <w:sz w:val="20"/>
              </w:rPr>
              <w:t xml:space="preserve">Rejet de la requête </w:t>
            </w:r>
          </w:p>
        </w:tc>
      </w:tr>
      <w:tr w:rsidR="009021BE" w:rsidRPr="009021BE" w:rsidTr="009962CF">
        <w:tblPrEx>
          <w:tblCellMar>
            <w:bottom w:w="0" w:type="dxa"/>
          </w:tblCellMar>
        </w:tblPrEx>
        <w:tc>
          <w:tcPr>
            <w:tcW w:w="2367" w:type="pct"/>
            <w:gridSpan w:val="2"/>
          </w:tcPr>
          <w:p w:rsidR="009021BE" w:rsidRPr="009021BE" w:rsidRDefault="009021BE" w:rsidP="009021BE">
            <w:pPr>
              <w:jc w:val="both"/>
              <w:rPr>
                <w:sz w:val="20"/>
                <w:lang w:val="fr-CA"/>
              </w:rPr>
            </w:pPr>
            <w:r w:rsidRPr="009021BE">
              <w:rPr>
                <w:sz w:val="20"/>
                <w:lang w:val="fr-CA"/>
              </w:rPr>
              <w:t>1</w:t>
            </w:r>
            <w:r w:rsidRPr="009021BE">
              <w:rPr>
                <w:sz w:val="20"/>
                <w:vertAlign w:val="superscript"/>
                <w:lang w:val="fr-CA"/>
              </w:rPr>
              <w:t>er</w:t>
            </w:r>
            <w:r w:rsidRPr="009021BE">
              <w:rPr>
                <w:sz w:val="20"/>
                <w:lang w:val="fr-CA"/>
              </w:rPr>
              <w:t xml:space="preserve"> septembre 2017</w:t>
            </w:r>
          </w:p>
          <w:p w:rsidR="009021BE" w:rsidRPr="009021BE" w:rsidRDefault="009021BE" w:rsidP="009021BE">
            <w:pPr>
              <w:jc w:val="both"/>
              <w:rPr>
                <w:sz w:val="20"/>
                <w:lang w:val="fr-CA"/>
              </w:rPr>
            </w:pPr>
            <w:r w:rsidRPr="009021BE">
              <w:rPr>
                <w:sz w:val="20"/>
                <w:lang w:val="fr-CA"/>
              </w:rPr>
              <w:t>Cour suprême du Canada</w:t>
            </w:r>
          </w:p>
        </w:tc>
        <w:tc>
          <w:tcPr>
            <w:tcW w:w="267" w:type="pct"/>
          </w:tcPr>
          <w:p w:rsidR="009021BE" w:rsidRPr="009021BE" w:rsidRDefault="009021BE" w:rsidP="009021BE">
            <w:pPr>
              <w:jc w:val="both"/>
              <w:rPr>
                <w:sz w:val="20"/>
                <w:lang w:val="fr-CA"/>
              </w:rPr>
            </w:pPr>
          </w:p>
        </w:tc>
        <w:tc>
          <w:tcPr>
            <w:tcW w:w="2366" w:type="pct"/>
            <w:gridSpan w:val="2"/>
          </w:tcPr>
          <w:p w:rsidR="009021BE" w:rsidRPr="009021BE" w:rsidRDefault="009021BE" w:rsidP="009021BE">
            <w:pPr>
              <w:jc w:val="both"/>
              <w:rPr>
                <w:sz w:val="20"/>
                <w:lang w:val="fr-CA"/>
              </w:rPr>
            </w:pPr>
            <w:r w:rsidRPr="009021BE">
              <w:rPr>
                <w:sz w:val="20"/>
                <w:lang w:val="fr-CA"/>
              </w:rPr>
              <w:t xml:space="preserve">Dépôt de la demande d’autorisation d’appel </w:t>
            </w:r>
          </w:p>
          <w:p w:rsidR="009021BE" w:rsidRPr="009021BE" w:rsidRDefault="009021BE" w:rsidP="009021BE">
            <w:pPr>
              <w:jc w:val="both"/>
              <w:rPr>
                <w:sz w:val="20"/>
                <w:lang w:val="fr-CA"/>
              </w:rPr>
            </w:pPr>
          </w:p>
        </w:tc>
      </w:tr>
    </w:tbl>
    <w:p w:rsidR="009021BE" w:rsidRPr="009021BE" w:rsidRDefault="009021BE" w:rsidP="009021BE">
      <w:pPr>
        <w:jc w:val="both"/>
        <w:rPr>
          <w:sz w:val="20"/>
          <w:lang w:val="fr-CA"/>
        </w:rPr>
      </w:pPr>
    </w:p>
    <w:p w:rsidR="009021BE" w:rsidRPr="009021BE" w:rsidRDefault="009021BE" w:rsidP="009021B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21BE" w:rsidRPr="009021BE" w:rsidTr="009730F8">
        <w:tc>
          <w:tcPr>
            <w:tcW w:w="543" w:type="pct"/>
          </w:tcPr>
          <w:p w:rsidR="009021BE" w:rsidRPr="009021BE" w:rsidRDefault="009021BE" w:rsidP="009021BE">
            <w:pPr>
              <w:jc w:val="both"/>
              <w:rPr>
                <w:sz w:val="20"/>
              </w:rPr>
            </w:pPr>
            <w:r w:rsidRPr="009021BE">
              <w:rPr>
                <w:rStyle w:val="SCCFileNumberChar"/>
                <w:sz w:val="20"/>
                <w:szCs w:val="20"/>
              </w:rPr>
              <w:t>37692</w:t>
            </w:r>
          </w:p>
        </w:tc>
        <w:tc>
          <w:tcPr>
            <w:tcW w:w="4457" w:type="pct"/>
            <w:gridSpan w:val="3"/>
          </w:tcPr>
          <w:p w:rsidR="009021BE" w:rsidRPr="00BF319D" w:rsidRDefault="009021BE" w:rsidP="009021BE">
            <w:pPr>
              <w:pStyle w:val="SCCLsocParty"/>
              <w:jc w:val="both"/>
              <w:rPr>
                <w:b/>
                <w:sz w:val="20"/>
                <w:szCs w:val="20"/>
                <w:lang w:val="en-US"/>
              </w:rPr>
            </w:pPr>
            <w:r w:rsidRPr="00BF319D">
              <w:rPr>
                <w:b/>
                <w:sz w:val="20"/>
                <w:szCs w:val="20"/>
                <w:lang w:val="en-US"/>
              </w:rPr>
              <w:t xml:space="preserve">Julia A. Gagnon, James Wallbridge and Wallbridge, Wallbridge v. City of Greater Sudbury, </w:t>
            </w:r>
            <w:proofErr w:type="spellStart"/>
            <w:r w:rsidRPr="00BF319D">
              <w:rPr>
                <w:b/>
                <w:sz w:val="20"/>
                <w:szCs w:val="20"/>
                <w:lang w:val="en-US"/>
              </w:rPr>
              <w:t>Bayden</w:t>
            </w:r>
            <w:proofErr w:type="spellEnd"/>
            <w:r w:rsidRPr="00BF319D">
              <w:rPr>
                <w:b/>
                <w:sz w:val="20"/>
                <w:szCs w:val="20"/>
                <w:lang w:val="en-US"/>
              </w:rPr>
              <w:t xml:space="preserve"> Zachary </w:t>
            </w:r>
            <w:proofErr w:type="spellStart"/>
            <w:r w:rsidRPr="00BF319D">
              <w:rPr>
                <w:b/>
                <w:sz w:val="20"/>
                <w:szCs w:val="20"/>
                <w:lang w:val="en-US"/>
              </w:rPr>
              <w:t>Azzeh</w:t>
            </w:r>
            <w:proofErr w:type="spellEnd"/>
            <w:r w:rsidRPr="00BF319D">
              <w:rPr>
                <w:b/>
                <w:sz w:val="20"/>
                <w:szCs w:val="20"/>
                <w:lang w:val="en-US"/>
              </w:rPr>
              <w:t xml:space="preserve"> (Represented by his Litigation Guardian, Ingrid Nancy Dion)</w:t>
            </w:r>
          </w:p>
          <w:p w:rsidR="009021BE" w:rsidRPr="009021BE" w:rsidRDefault="009021BE" w:rsidP="009021BE">
            <w:pPr>
              <w:jc w:val="both"/>
              <w:rPr>
                <w:sz w:val="20"/>
              </w:rPr>
            </w:pPr>
            <w:r w:rsidRPr="009021BE">
              <w:rPr>
                <w:sz w:val="20"/>
              </w:rPr>
              <w:t>(Ont.) (Civil) (By Leave)</w:t>
            </w:r>
          </w:p>
        </w:tc>
      </w:tr>
      <w:tr w:rsidR="009021BE" w:rsidRPr="009021BE" w:rsidTr="009730F8">
        <w:tc>
          <w:tcPr>
            <w:tcW w:w="5000" w:type="pct"/>
            <w:gridSpan w:val="4"/>
          </w:tcPr>
          <w:p w:rsidR="009021BE" w:rsidRPr="009021BE" w:rsidRDefault="009021BE" w:rsidP="009021BE">
            <w:pPr>
              <w:jc w:val="both"/>
              <w:rPr>
                <w:sz w:val="20"/>
              </w:rPr>
            </w:pPr>
            <w:r w:rsidRPr="009021BE">
              <w:rPr>
                <w:sz w:val="20"/>
              </w:rPr>
              <w:t xml:space="preserve">Legislation – Interpretation – Limitation of Actions – Municipal law – Notice – Whether court erred in dismissing </w:t>
            </w:r>
            <w:proofErr w:type="spellStart"/>
            <w:r w:rsidRPr="009021BE">
              <w:rPr>
                <w:sz w:val="20"/>
              </w:rPr>
              <w:t>Bayden</w:t>
            </w:r>
            <w:proofErr w:type="spellEnd"/>
            <w:r w:rsidRPr="009021BE">
              <w:rPr>
                <w:sz w:val="20"/>
              </w:rPr>
              <w:t xml:space="preserve"> </w:t>
            </w:r>
            <w:proofErr w:type="spellStart"/>
            <w:r w:rsidRPr="009021BE">
              <w:rPr>
                <w:sz w:val="20"/>
              </w:rPr>
              <w:t>Azzeh’s</w:t>
            </w:r>
            <w:proofErr w:type="spellEnd"/>
            <w:r w:rsidRPr="009021BE">
              <w:rPr>
                <w:sz w:val="20"/>
              </w:rPr>
              <w:t xml:space="preserve"> claim against the City for failure to give notice pursuant to the </w:t>
            </w:r>
            <w:r w:rsidRPr="009021BE">
              <w:rPr>
                <w:i/>
                <w:sz w:val="20"/>
              </w:rPr>
              <w:t>Municipal Act</w:t>
            </w:r>
            <w:r w:rsidRPr="009021BE">
              <w:rPr>
                <w:sz w:val="20"/>
              </w:rPr>
              <w:t xml:space="preserve"> – What triggers a municipal notice requirement for minors – What is the test for “Reasonable Excuse” – When should a Court determine the “Reasonable Excuse” issue.</w:t>
            </w:r>
          </w:p>
        </w:tc>
      </w:tr>
      <w:tr w:rsidR="009021BE" w:rsidRPr="009021BE" w:rsidTr="009730F8">
        <w:tc>
          <w:tcPr>
            <w:tcW w:w="5000" w:type="pct"/>
            <w:gridSpan w:val="4"/>
          </w:tcPr>
          <w:p w:rsidR="009021BE" w:rsidRPr="009021BE" w:rsidRDefault="009021BE" w:rsidP="009021BE">
            <w:pPr>
              <w:jc w:val="both"/>
              <w:rPr>
                <w:sz w:val="20"/>
              </w:rPr>
            </w:pPr>
          </w:p>
          <w:p w:rsidR="009021BE" w:rsidRPr="009021BE" w:rsidRDefault="009021BE" w:rsidP="009021BE">
            <w:pPr>
              <w:jc w:val="both"/>
              <w:rPr>
                <w:sz w:val="20"/>
              </w:rPr>
            </w:pPr>
            <w:r w:rsidRPr="009021BE">
              <w:rPr>
                <w:sz w:val="20"/>
              </w:rPr>
              <w:t xml:space="preserve">Infant </w:t>
            </w:r>
            <w:proofErr w:type="spellStart"/>
            <w:r w:rsidRPr="009021BE">
              <w:rPr>
                <w:sz w:val="20"/>
              </w:rPr>
              <w:t>Bayden</w:t>
            </w:r>
            <w:proofErr w:type="spellEnd"/>
            <w:r w:rsidRPr="009021BE">
              <w:rPr>
                <w:sz w:val="20"/>
              </w:rPr>
              <w:t xml:space="preserve"> was injured in 2007 when the car driven by his mother was involved in an accident with a vehicle driven and owned by R and S. His mother retained the applicant law firm and lawyers, who commenced and settled a claim on her behalf. In June 2014, the firm issued a statement of claim by </w:t>
            </w:r>
            <w:proofErr w:type="spellStart"/>
            <w:r w:rsidRPr="009021BE">
              <w:rPr>
                <w:sz w:val="20"/>
              </w:rPr>
              <w:t>Bayden</w:t>
            </w:r>
            <w:proofErr w:type="spellEnd"/>
            <w:r w:rsidRPr="009021BE">
              <w:rPr>
                <w:sz w:val="20"/>
              </w:rPr>
              <w:t xml:space="preserve">, represented by his mother, Julia Neville, against R and S. In May 2015, after </w:t>
            </w:r>
            <w:proofErr w:type="spellStart"/>
            <w:r w:rsidRPr="009021BE">
              <w:rPr>
                <w:sz w:val="20"/>
              </w:rPr>
              <w:t>Bayden</w:t>
            </w:r>
            <w:proofErr w:type="spellEnd"/>
            <w:r w:rsidRPr="009021BE">
              <w:rPr>
                <w:sz w:val="20"/>
              </w:rPr>
              <w:t xml:space="preserve"> changed lawyers, his grandmother, Ingrid Nancy Dion swore an affidavit as litigation guardian and gave notice to the respondent City of Greater Sudbury (the “City”) of a potential claim against it. Once Ms. Dion was named litigation guardian by court order, </w:t>
            </w:r>
            <w:proofErr w:type="spellStart"/>
            <w:r w:rsidRPr="009021BE">
              <w:rPr>
                <w:sz w:val="20"/>
              </w:rPr>
              <w:t>Bayden</w:t>
            </w:r>
            <w:proofErr w:type="spellEnd"/>
            <w:r w:rsidRPr="009021BE">
              <w:rPr>
                <w:sz w:val="20"/>
              </w:rPr>
              <w:t xml:space="preserve"> moved to amend his statement of claim to increase the amount of damages and to add multiple defendants, including his mother as driver and father as vehicle owner, the applicant law firm and lawyers, and the City which was responsible for the intersection at which the accident took place. </w:t>
            </w:r>
          </w:p>
          <w:p w:rsidR="009021BE" w:rsidRPr="009021BE" w:rsidRDefault="009021BE" w:rsidP="009021BE">
            <w:pPr>
              <w:jc w:val="both"/>
              <w:rPr>
                <w:sz w:val="20"/>
              </w:rPr>
            </w:pPr>
          </w:p>
          <w:p w:rsidR="009021BE" w:rsidRPr="009021BE" w:rsidRDefault="009021BE" w:rsidP="009021BE">
            <w:pPr>
              <w:jc w:val="both"/>
              <w:rPr>
                <w:sz w:val="20"/>
              </w:rPr>
            </w:pPr>
            <w:r w:rsidRPr="009021BE">
              <w:rPr>
                <w:sz w:val="20"/>
              </w:rPr>
              <w:t xml:space="preserve">The City defended on the basis of the two year limitation period under the </w:t>
            </w:r>
            <w:r w:rsidRPr="009021BE">
              <w:rPr>
                <w:i/>
                <w:sz w:val="20"/>
              </w:rPr>
              <w:t>Limitations Act</w:t>
            </w:r>
            <w:r w:rsidRPr="009021BE">
              <w:rPr>
                <w:sz w:val="20"/>
              </w:rPr>
              <w:t xml:space="preserve">, 2002, SO 2002 and the ten day notice requirement under the </w:t>
            </w:r>
            <w:r w:rsidRPr="009021BE">
              <w:rPr>
                <w:i/>
                <w:sz w:val="20"/>
              </w:rPr>
              <w:t>Municipal Act</w:t>
            </w:r>
            <w:r w:rsidRPr="009021BE">
              <w:rPr>
                <w:sz w:val="20"/>
              </w:rPr>
              <w:t xml:space="preserve">, 2001, SO 2001, c. 25. The Ontario Superior Court of Justice held that </w:t>
            </w:r>
            <w:proofErr w:type="spellStart"/>
            <w:r w:rsidRPr="009021BE">
              <w:rPr>
                <w:sz w:val="20"/>
              </w:rPr>
              <w:t>Bayden</w:t>
            </w:r>
            <w:proofErr w:type="spellEnd"/>
            <w:r w:rsidRPr="009021BE">
              <w:rPr>
                <w:sz w:val="20"/>
              </w:rPr>
              <w:t xml:space="preserve"> had met the requirements of the </w:t>
            </w:r>
            <w:r w:rsidRPr="009021BE">
              <w:rPr>
                <w:i/>
                <w:sz w:val="20"/>
              </w:rPr>
              <w:t>Limitations Act</w:t>
            </w:r>
            <w:r w:rsidRPr="009021BE">
              <w:rPr>
                <w:sz w:val="20"/>
              </w:rPr>
              <w:t xml:space="preserve"> and that by providing notice to the City within the ten days of her appointment, Ms. Dion had met the notice requirement under the </w:t>
            </w:r>
            <w:r w:rsidRPr="009021BE">
              <w:rPr>
                <w:i/>
                <w:sz w:val="20"/>
              </w:rPr>
              <w:t>Municipal Act</w:t>
            </w:r>
            <w:r w:rsidRPr="009021BE">
              <w:rPr>
                <w:sz w:val="20"/>
              </w:rPr>
              <w:t xml:space="preserve">. The Court of Appeal for Ontario allowed the appeal, finding that the notice requirement under the </w:t>
            </w:r>
            <w:r w:rsidRPr="009021BE">
              <w:rPr>
                <w:i/>
                <w:sz w:val="20"/>
              </w:rPr>
              <w:t>Municipal Act</w:t>
            </w:r>
            <w:r w:rsidRPr="009021BE">
              <w:rPr>
                <w:sz w:val="20"/>
              </w:rPr>
              <w:t xml:space="preserve"> had not been met. The Court set aside the motion judge’s order and ordered that the claim against the City be dismissed. </w:t>
            </w:r>
          </w:p>
        </w:tc>
      </w:tr>
      <w:tr w:rsidR="009021BE" w:rsidRPr="009021BE" w:rsidTr="009730F8">
        <w:tc>
          <w:tcPr>
            <w:tcW w:w="5000" w:type="pct"/>
            <w:gridSpan w:val="4"/>
          </w:tcPr>
          <w:p w:rsidR="009021BE" w:rsidRPr="009021BE" w:rsidRDefault="009021BE" w:rsidP="009021BE">
            <w:pPr>
              <w:jc w:val="both"/>
              <w:rPr>
                <w:sz w:val="20"/>
              </w:rPr>
            </w:pPr>
          </w:p>
        </w:tc>
      </w:tr>
      <w:tr w:rsidR="009021BE" w:rsidRPr="009021BE" w:rsidTr="009730F8">
        <w:tc>
          <w:tcPr>
            <w:tcW w:w="2427" w:type="pct"/>
            <w:gridSpan w:val="2"/>
          </w:tcPr>
          <w:p w:rsidR="009021BE" w:rsidRPr="009021BE" w:rsidRDefault="009021BE" w:rsidP="009021BE">
            <w:pPr>
              <w:jc w:val="both"/>
              <w:rPr>
                <w:sz w:val="20"/>
              </w:rPr>
            </w:pPr>
            <w:r w:rsidRPr="009021BE">
              <w:rPr>
                <w:sz w:val="20"/>
              </w:rPr>
              <w:t>June 16, 2016</w:t>
            </w:r>
          </w:p>
          <w:p w:rsidR="009021BE" w:rsidRPr="009021BE" w:rsidRDefault="009021BE" w:rsidP="009021BE">
            <w:pPr>
              <w:jc w:val="both"/>
              <w:rPr>
                <w:sz w:val="20"/>
              </w:rPr>
            </w:pPr>
            <w:r w:rsidRPr="009021BE">
              <w:rPr>
                <w:sz w:val="20"/>
              </w:rPr>
              <w:t>Ontario Superior Court of Justice</w:t>
            </w:r>
          </w:p>
          <w:p w:rsidR="009021BE" w:rsidRPr="009021BE" w:rsidRDefault="009021BE" w:rsidP="009021BE">
            <w:pPr>
              <w:jc w:val="both"/>
              <w:rPr>
                <w:sz w:val="20"/>
              </w:rPr>
            </w:pPr>
            <w:r w:rsidRPr="009021BE">
              <w:rPr>
                <w:sz w:val="20"/>
              </w:rPr>
              <w:t>(Hennessy J.)</w:t>
            </w:r>
          </w:p>
          <w:p w:rsidR="009021BE" w:rsidRPr="009021BE" w:rsidRDefault="009021BE" w:rsidP="009021BE">
            <w:pPr>
              <w:jc w:val="both"/>
              <w:rPr>
                <w:rFonts w:ascii="Times Roman" w:hAnsi="Times Roman"/>
                <w:color w:val="000000"/>
                <w:sz w:val="20"/>
                <w:lang w:val="en"/>
              </w:rPr>
            </w:pPr>
            <w:hyperlink r:id="rId52" w:history="1">
              <w:r w:rsidRPr="009021BE">
                <w:rPr>
                  <w:rStyle w:val="Hyperlink"/>
                  <w:sz w:val="20"/>
                  <w:lang w:val="en"/>
                </w:rPr>
                <w:t xml:space="preserve">2016 ONSC </w:t>
              </w:r>
              <w:r w:rsidRPr="009021BE">
                <w:rPr>
                  <w:rStyle w:val="Hyperlink"/>
                  <w:rFonts w:ascii="Times Roman" w:hAnsi="Times Roman"/>
                  <w:sz w:val="20"/>
                  <w:lang w:val="en"/>
                </w:rPr>
                <w:t>3937</w:t>
              </w:r>
            </w:hyperlink>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 xml:space="preserve">Declaration that plaintiff’s claim not barred by the </w:t>
            </w:r>
            <w:r w:rsidRPr="009021BE">
              <w:rPr>
                <w:i/>
                <w:sz w:val="20"/>
              </w:rPr>
              <w:t>Limitations Act</w:t>
            </w:r>
            <w:r w:rsidRPr="009021BE">
              <w:rPr>
                <w:sz w:val="20"/>
              </w:rPr>
              <w:t xml:space="preserve"> or the </w:t>
            </w:r>
            <w:r w:rsidRPr="009021BE">
              <w:rPr>
                <w:i/>
                <w:sz w:val="20"/>
              </w:rPr>
              <w:t>Municipal Act</w:t>
            </w:r>
            <w:r w:rsidRPr="009021BE">
              <w:rPr>
                <w:sz w:val="20"/>
              </w:rPr>
              <w:t xml:space="preserve"> and motion granted to add the City and others as defendants</w:t>
            </w:r>
          </w:p>
          <w:p w:rsidR="009021BE" w:rsidRPr="009021BE" w:rsidRDefault="009021BE" w:rsidP="009021BE">
            <w:pPr>
              <w:jc w:val="both"/>
              <w:rPr>
                <w:sz w:val="20"/>
              </w:rPr>
            </w:pPr>
          </w:p>
        </w:tc>
      </w:tr>
      <w:tr w:rsidR="009021BE" w:rsidRPr="009021BE" w:rsidTr="009730F8">
        <w:tc>
          <w:tcPr>
            <w:tcW w:w="2427" w:type="pct"/>
            <w:gridSpan w:val="2"/>
          </w:tcPr>
          <w:p w:rsidR="009021BE" w:rsidRPr="009021BE" w:rsidRDefault="009021BE" w:rsidP="009021BE">
            <w:pPr>
              <w:jc w:val="both"/>
              <w:rPr>
                <w:sz w:val="20"/>
              </w:rPr>
            </w:pPr>
            <w:r w:rsidRPr="009021BE">
              <w:rPr>
                <w:sz w:val="20"/>
              </w:rPr>
              <w:t>May 12, 2017</w:t>
            </w:r>
          </w:p>
          <w:p w:rsidR="009021BE" w:rsidRPr="009021BE" w:rsidRDefault="009021BE" w:rsidP="009021BE">
            <w:pPr>
              <w:jc w:val="both"/>
              <w:rPr>
                <w:sz w:val="20"/>
              </w:rPr>
            </w:pPr>
            <w:r w:rsidRPr="009021BE">
              <w:rPr>
                <w:sz w:val="20"/>
              </w:rPr>
              <w:t>Court of Appeal for Ontario</w:t>
            </w:r>
          </w:p>
          <w:p w:rsidR="009021BE" w:rsidRPr="009021BE" w:rsidRDefault="009021BE" w:rsidP="009021BE">
            <w:pPr>
              <w:jc w:val="both"/>
              <w:rPr>
                <w:sz w:val="20"/>
              </w:rPr>
            </w:pPr>
            <w:r w:rsidRPr="009021BE">
              <w:rPr>
                <w:sz w:val="20"/>
              </w:rPr>
              <w:t>(</w:t>
            </w:r>
            <w:proofErr w:type="spellStart"/>
            <w:r w:rsidRPr="009021BE">
              <w:rPr>
                <w:sz w:val="20"/>
              </w:rPr>
              <w:t>Weiler</w:t>
            </w:r>
            <w:proofErr w:type="spellEnd"/>
            <w:r w:rsidRPr="009021BE">
              <w:rPr>
                <w:sz w:val="20"/>
              </w:rPr>
              <w:t xml:space="preserve">, </w:t>
            </w:r>
            <w:proofErr w:type="spellStart"/>
            <w:r w:rsidRPr="009021BE">
              <w:rPr>
                <w:sz w:val="20"/>
              </w:rPr>
              <w:t>Benotto</w:t>
            </w:r>
            <w:proofErr w:type="spellEnd"/>
            <w:r w:rsidRPr="009021BE">
              <w:rPr>
                <w:sz w:val="20"/>
              </w:rPr>
              <w:t>, and Roberts JJ.A., dissenting in part)</w:t>
            </w:r>
          </w:p>
          <w:p w:rsidR="009021BE" w:rsidRPr="009021BE" w:rsidRDefault="009021BE" w:rsidP="009021BE">
            <w:pPr>
              <w:jc w:val="both"/>
              <w:rPr>
                <w:sz w:val="20"/>
              </w:rPr>
            </w:pPr>
            <w:hyperlink r:id="rId53" w:history="1">
              <w:r w:rsidRPr="009021BE">
                <w:rPr>
                  <w:rStyle w:val="Hyperlink"/>
                  <w:sz w:val="20"/>
                </w:rPr>
                <w:t>2017 ONCA 385</w:t>
              </w:r>
            </w:hyperlink>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Appeal allowed; motion judge’s order set aside and claim against the City dismissed</w:t>
            </w:r>
          </w:p>
          <w:p w:rsidR="009021BE" w:rsidRPr="009021BE" w:rsidRDefault="009021BE" w:rsidP="009021BE">
            <w:pPr>
              <w:jc w:val="both"/>
              <w:rPr>
                <w:sz w:val="20"/>
              </w:rPr>
            </w:pPr>
          </w:p>
        </w:tc>
      </w:tr>
      <w:tr w:rsidR="009021BE" w:rsidRPr="009021BE" w:rsidTr="009730F8">
        <w:tc>
          <w:tcPr>
            <w:tcW w:w="2427" w:type="pct"/>
            <w:gridSpan w:val="2"/>
          </w:tcPr>
          <w:p w:rsidR="009021BE" w:rsidRPr="009021BE" w:rsidRDefault="009021BE" w:rsidP="009021BE">
            <w:pPr>
              <w:jc w:val="both"/>
              <w:rPr>
                <w:sz w:val="20"/>
              </w:rPr>
            </w:pPr>
            <w:r w:rsidRPr="009021BE">
              <w:rPr>
                <w:sz w:val="20"/>
              </w:rPr>
              <w:t>August 11, 2017</w:t>
            </w:r>
          </w:p>
          <w:p w:rsidR="009021BE" w:rsidRPr="009021BE" w:rsidRDefault="009021BE" w:rsidP="009021BE">
            <w:pPr>
              <w:jc w:val="both"/>
              <w:rPr>
                <w:sz w:val="20"/>
              </w:rPr>
            </w:pPr>
            <w:r w:rsidRPr="009021BE">
              <w:rPr>
                <w:sz w:val="20"/>
              </w:rPr>
              <w:t>Supreme Court of Canada</w:t>
            </w: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Application for leave to appeal filed</w:t>
            </w:r>
          </w:p>
          <w:p w:rsidR="009021BE" w:rsidRPr="009021BE" w:rsidRDefault="009021BE" w:rsidP="009021BE">
            <w:pPr>
              <w:jc w:val="both"/>
              <w:rPr>
                <w:sz w:val="20"/>
              </w:rPr>
            </w:pPr>
          </w:p>
        </w:tc>
      </w:tr>
    </w:tbl>
    <w:p w:rsidR="009021BE" w:rsidRDefault="009021BE" w:rsidP="009021BE">
      <w:pPr>
        <w:jc w:val="both"/>
        <w:rPr>
          <w:sz w:val="20"/>
        </w:rPr>
      </w:pPr>
    </w:p>
    <w:p w:rsidR="00BF319D" w:rsidRPr="009021BE" w:rsidRDefault="00BF319D" w:rsidP="009021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21BE" w:rsidRPr="009021BE" w:rsidTr="009730F8">
        <w:tc>
          <w:tcPr>
            <w:tcW w:w="543" w:type="pct"/>
          </w:tcPr>
          <w:p w:rsidR="009021BE" w:rsidRPr="009021BE" w:rsidRDefault="009021BE" w:rsidP="009021BE">
            <w:pPr>
              <w:jc w:val="both"/>
              <w:rPr>
                <w:sz w:val="20"/>
                <w:lang w:val="fr-CA"/>
              </w:rPr>
            </w:pPr>
            <w:r w:rsidRPr="009021BE">
              <w:rPr>
                <w:rStyle w:val="SCCFileNumberChar"/>
                <w:sz w:val="20"/>
                <w:szCs w:val="20"/>
                <w:lang w:val="fr-CA"/>
              </w:rPr>
              <w:t>37692</w:t>
            </w:r>
          </w:p>
        </w:tc>
        <w:tc>
          <w:tcPr>
            <w:tcW w:w="4457" w:type="pct"/>
            <w:gridSpan w:val="3"/>
          </w:tcPr>
          <w:p w:rsidR="009021BE" w:rsidRPr="00BF319D" w:rsidRDefault="009021BE" w:rsidP="009021BE">
            <w:pPr>
              <w:pStyle w:val="SCCLsocParty"/>
              <w:jc w:val="both"/>
              <w:rPr>
                <w:b/>
                <w:sz w:val="20"/>
                <w:szCs w:val="20"/>
              </w:rPr>
            </w:pPr>
            <w:r w:rsidRPr="00BF319D">
              <w:rPr>
                <w:b/>
                <w:sz w:val="20"/>
                <w:szCs w:val="20"/>
              </w:rPr>
              <w:t>Julia A. Gagnon, James Wallbridge et Wallbridge, Wallbridge c. Ville du Grand Sudbury, Bayden Zachary Azzeh (représenté par sa tutrice à l’instance, Ingrid Nancy Dion)</w:t>
            </w:r>
          </w:p>
          <w:p w:rsidR="009021BE" w:rsidRPr="009021BE" w:rsidRDefault="009021BE" w:rsidP="009021BE">
            <w:pPr>
              <w:jc w:val="both"/>
              <w:rPr>
                <w:sz w:val="20"/>
                <w:lang w:val="fr-CA"/>
              </w:rPr>
            </w:pPr>
            <w:r w:rsidRPr="009021BE">
              <w:rPr>
                <w:sz w:val="20"/>
                <w:lang w:val="fr-CA"/>
              </w:rPr>
              <w:t>(Ont.) (Civile) (Sur autorisation)</w:t>
            </w:r>
          </w:p>
        </w:tc>
      </w:tr>
      <w:tr w:rsidR="009021BE" w:rsidRPr="009021BE" w:rsidTr="009730F8">
        <w:tc>
          <w:tcPr>
            <w:tcW w:w="5000" w:type="pct"/>
            <w:gridSpan w:val="4"/>
          </w:tcPr>
          <w:p w:rsidR="009021BE" w:rsidRPr="009021BE" w:rsidRDefault="009021BE" w:rsidP="009021BE">
            <w:pPr>
              <w:jc w:val="both"/>
              <w:rPr>
                <w:sz w:val="20"/>
                <w:lang w:val="fr-CA"/>
              </w:rPr>
            </w:pPr>
            <w:r w:rsidRPr="009021BE">
              <w:rPr>
                <w:sz w:val="20"/>
                <w:lang w:val="fr-CA"/>
              </w:rPr>
              <w:t xml:space="preserve">Législation – Interprétation – Prescription – Droit municipal – Avis – Le tribunal a-t-il commis une erreur en rejetant l’action de Bayden Azzeh contre la municipalité pour défaut d’avoir donné l’avis prévu dans la </w:t>
            </w:r>
            <w:r w:rsidRPr="009021BE">
              <w:rPr>
                <w:i/>
                <w:sz w:val="20"/>
                <w:lang w:val="fr-CA"/>
              </w:rPr>
              <w:t>Loi sur les municipalités</w:t>
            </w:r>
            <w:r w:rsidRPr="009021BE">
              <w:rPr>
                <w:sz w:val="20"/>
                <w:lang w:val="fr-CA"/>
              </w:rPr>
              <w:t>? – D’où nait l’obligation de donner un avis à la municipalité dans le cas d’un mineur? – Quel est le critère applicable en matière « d’excuse raisonnable »? – Dans quelle situation le tribunal doit-il statuer sur la question de l’ « excuse raisonnable »?</w:t>
            </w:r>
          </w:p>
        </w:tc>
      </w:tr>
      <w:tr w:rsidR="009021BE" w:rsidRPr="009021BE" w:rsidTr="009730F8">
        <w:tc>
          <w:tcPr>
            <w:tcW w:w="5000" w:type="pct"/>
            <w:gridSpan w:val="4"/>
          </w:tcPr>
          <w:p w:rsidR="009021BE" w:rsidRPr="009021BE" w:rsidRDefault="009021BE" w:rsidP="009021BE">
            <w:pPr>
              <w:jc w:val="both"/>
              <w:rPr>
                <w:sz w:val="20"/>
                <w:lang w:val="fr-CA"/>
              </w:rPr>
            </w:pPr>
          </w:p>
          <w:p w:rsidR="009021BE" w:rsidRPr="009021BE" w:rsidRDefault="009021BE" w:rsidP="009021BE">
            <w:pPr>
              <w:jc w:val="both"/>
              <w:rPr>
                <w:sz w:val="20"/>
                <w:lang w:val="fr-CA"/>
              </w:rPr>
            </w:pPr>
            <w:r w:rsidRPr="009021BE">
              <w:rPr>
                <w:sz w:val="20"/>
                <w:lang w:val="fr-CA"/>
              </w:rPr>
              <w:t xml:space="preserve">L’enfant Bayden a été blessé en 2007 lorsque la voiture que conduisait sa mère a été impliquée dans un accident avec un véhicule appartenant à R et S et conduit par l’un d’eux. La mère de l’enfant a retenu les services du cabinet d’avocats et des avocats demandeurs, qui ont introduit et réglé une demande en son nom. En juin 2014, le cabinet a délivré une déclaration par Bayden, représenté par sa mère, Julia Neville, contre R et S. En mai 2015, après que Bayden eut changé d’avocats, sa grand-mère, Ingrid Nancy Dion a signé un affidavit comme tutrice à l’instance et a donné un avis à la ville du Grand Sudbury (la « Ville »), intimée, d’une action éventuelle contre elle. Lorsque Mme Dion a été désignée tutrice à l’instance par ordonnance judiciaire,  Bayden a demandé par motion de modifier sa déclaration afin d’augmenter le montant des dommages-intérêts et d’ajouter plusieurs défendeurs, y compris sa mère comme conductrice et son père comme propriétaire du véhicule, le cabinet et les avocats demandeurs et la Ville, qui était responsable de l’intersection où l’accident a eu lieu. </w:t>
            </w:r>
          </w:p>
          <w:p w:rsidR="009021BE" w:rsidRPr="009021BE" w:rsidRDefault="009021BE" w:rsidP="009021BE">
            <w:pPr>
              <w:jc w:val="both"/>
              <w:rPr>
                <w:sz w:val="20"/>
                <w:lang w:val="fr-CA"/>
              </w:rPr>
            </w:pPr>
          </w:p>
          <w:p w:rsidR="009021BE" w:rsidRPr="009021BE" w:rsidRDefault="009021BE" w:rsidP="009021BE">
            <w:pPr>
              <w:jc w:val="both"/>
              <w:rPr>
                <w:sz w:val="20"/>
                <w:lang w:val="fr-CA"/>
              </w:rPr>
            </w:pPr>
            <w:r w:rsidRPr="009021BE">
              <w:rPr>
                <w:sz w:val="20"/>
                <w:lang w:val="fr-CA"/>
              </w:rPr>
              <w:t xml:space="preserve">La Ville a présenté une défense fondée sur le délai de prescription de deux ans prévu dans la  </w:t>
            </w:r>
            <w:r w:rsidRPr="009021BE">
              <w:rPr>
                <w:i/>
                <w:sz w:val="20"/>
                <w:lang w:val="fr-CA"/>
              </w:rPr>
              <w:t>Loi de 2002 sur la prescription des actions</w:t>
            </w:r>
            <w:r w:rsidRPr="009021BE">
              <w:rPr>
                <w:sz w:val="20"/>
                <w:lang w:val="fr-CA"/>
              </w:rPr>
              <w:t xml:space="preserve">, LO 2002 et l’obligation de donner un avis de dix jours prévue dans la </w:t>
            </w:r>
            <w:r w:rsidRPr="009021BE">
              <w:rPr>
                <w:i/>
                <w:sz w:val="20"/>
                <w:lang w:val="fr-CA"/>
              </w:rPr>
              <w:t>Loi de 2001 sur les municipalités</w:t>
            </w:r>
            <w:r w:rsidRPr="009021BE">
              <w:rPr>
                <w:sz w:val="20"/>
                <w:lang w:val="fr-CA"/>
              </w:rPr>
              <w:t xml:space="preserve">, LO 2001, ch. 25. La Cour supérieure de justice de l’Ontario a statué que Bayden avait rempli les exigences de la </w:t>
            </w:r>
            <w:r w:rsidRPr="009021BE">
              <w:rPr>
                <w:i/>
                <w:sz w:val="20"/>
                <w:lang w:val="fr-CA"/>
              </w:rPr>
              <w:t>Loi sur la prescription des actions</w:t>
            </w:r>
            <w:r w:rsidRPr="009021BE">
              <w:rPr>
                <w:sz w:val="20"/>
                <w:lang w:val="fr-CA"/>
              </w:rPr>
              <w:t xml:space="preserve"> et qu’en donnant à la Ville un avis dans les dix jours de sa nomination, Mme Dion avait rempli l’exigence en matière d’avis sous le régime de la </w:t>
            </w:r>
            <w:r w:rsidRPr="009021BE">
              <w:rPr>
                <w:i/>
                <w:sz w:val="20"/>
                <w:lang w:val="fr-CA"/>
              </w:rPr>
              <w:t>Loi sur les municipalités</w:t>
            </w:r>
            <w:r w:rsidRPr="009021BE">
              <w:rPr>
                <w:sz w:val="20"/>
                <w:lang w:val="fr-CA"/>
              </w:rPr>
              <w:t xml:space="preserve">. La Cour d’appel de l’Ontario a accueilli l’appel, concluant que l’exigence en matière d’avis sous le régime de la </w:t>
            </w:r>
            <w:r w:rsidRPr="009021BE">
              <w:rPr>
                <w:i/>
                <w:sz w:val="20"/>
                <w:lang w:val="fr-CA"/>
              </w:rPr>
              <w:t>Loi sur les municipalités</w:t>
            </w:r>
            <w:r w:rsidRPr="009021BE">
              <w:rPr>
                <w:sz w:val="20"/>
                <w:lang w:val="fr-CA"/>
              </w:rPr>
              <w:t xml:space="preserve"> n’avait pas été remplie. La Cour a annulé l’ordonnance de la juge de première instance et a ordonné l’annulation de l’action contre la Ville. </w:t>
            </w:r>
          </w:p>
        </w:tc>
      </w:tr>
      <w:tr w:rsidR="009021BE" w:rsidRPr="009021BE" w:rsidTr="009730F8">
        <w:tc>
          <w:tcPr>
            <w:tcW w:w="5000" w:type="pct"/>
            <w:gridSpan w:val="4"/>
          </w:tcPr>
          <w:p w:rsidR="009021BE" w:rsidRPr="009021BE" w:rsidRDefault="009021BE" w:rsidP="009021BE">
            <w:pPr>
              <w:jc w:val="both"/>
              <w:rPr>
                <w:sz w:val="20"/>
                <w:lang w:val="fr-CA"/>
              </w:rPr>
            </w:pPr>
          </w:p>
        </w:tc>
      </w:tr>
      <w:tr w:rsidR="009021BE" w:rsidRPr="009021BE" w:rsidTr="009730F8">
        <w:tc>
          <w:tcPr>
            <w:tcW w:w="2427" w:type="pct"/>
            <w:gridSpan w:val="2"/>
          </w:tcPr>
          <w:p w:rsidR="009021BE" w:rsidRPr="009021BE" w:rsidRDefault="009021BE" w:rsidP="009021BE">
            <w:pPr>
              <w:jc w:val="both"/>
              <w:rPr>
                <w:sz w:val="20"/>
                <w:lang w:val="fr-CA"/>
              </w:rPr>
            </w:pPr>
            <w:r w:rsidRPr="009021BE">
              <w:rPr>
                <w:sz w:val="20"/>
                <w:lang w:val="fr-CA"/>
              </w:rPr>
              <w:t>16 juin 2016</w:t>
            </w:r>
          </w:p>
          <w:p w:rsidR="009021BE" w:rsidRPr="009021BE" w:rsidRDefault="009021BE" w:rsidP="009021BE">
            <w:pPr>
              <w:jc w:val="both"/>
              <w:rPr>
                <w:sz w:val="20"/>
                <w:lang w:val="fr-CA"/>
              </w:rPr>
            </w:pPr>
            <w:r w:rsidRPr="009021BE">
              <w:rPr>
                <w:sz w:val="20"/>
                <w:lang w:val="fr-CA"/>
              </w:rPr>
              <w:t>Cour supérieure de justice de l’Ontario</w:t>
            </w:r>
          </w:p>
          <w:p w:rsidR="009021BE" w:rsidRPr="009021BE" w:rsidRDefault="009021BE" w:rsidP="009021BE">
            <w:pPr>
              <w:jc w:val="both"/>
              <w:rPr>
                <w:sz w:val="20"/>
                <w:lang w:val="fr-CA"/>
              </w:rPr>
            </w:pPr>
            <w:r w:rsidRPr="009021BE">
              <w:rPr>
                <w:sz w:val="20"/>
                <w:lang w:val="fr-CA"/>
              </w:rPr>
              <w:t>(Juge Hennessy)</w:t>
            </w:r>
          </w:p>
          <w:p w:rsidR="009021BE" w:rsidRPr="009021BE" w:rsidRDefault="009021BE" w:rsidP="009021BE">
            <w:pPr>
              <w:jc w:val="both"/>
              <w:rPr>
                <w:rFonts w:ascii="Times Roman" w:hAnsi="Times Roman"/>
                <w:color w:val="000000"/>
                <w:sz w:val="20"/>
                <w:lang w:val="fr-CA"/>
              </w:rPr>
            </w:pPr>
            <w:hyperlink r:id="rId54" w:history="1">
              <w:r w:rsidRPr="009021BE">
                <w:rPr>
                  <w:rStyle w:val="Hyperlink"/>
                  <w:sz w:val="20"/>
                </w:rPr>
                <w:t xml:space="preserve">2016 ONSC </w:t>
              </w:r>
              <w:r w:rsidRPr="009021BE">
                <w:rPr>
                  <w:rStyle w:val="Hyperlink"/>
                  <w:rFonts w:ascii="Times Roman" w:hAnsi="Times Roman"/>
                  <w:sz w:val="20"/>
                </w:rPr>
                <w:t>3937</w:t>
              </w:r>
            </w:hyperlink>
          </w:p>
          <w:p w:rsidR="009021BE" w:rsidRPr="009021BE" w:rsidRDefault="009021BE" w:rsidP="009021BE">
            <w:pPr>
              <w:jc w:val="both"/>
              <w:rPr>
                <w:sz w:val="20"/>
                <w:lang w:val="fr-CA"/>
              </w:rPr>
            </w:pP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lang w:val="fr-CA"/>
              </w:rPr>
            </w:pPr>
            <w:r w:rsidRPr="009021BE">
              <w:rPr>
                <w:sz w:val="20"/>
                <w:lang w:val="fr-CA"/>
              </w:rPr>
              <w:t xml:space="preserve">Jugement déclarant que ni </w:t>
            </w:r>
            <w:r w:rsidRPr="009021BE">
              <w:rPr>
                <w:i/>
                <w:sz w:val="20"/>
                <w:lang w:val="fr-CA"/>
              </w:rPr>
              <w:t>Loi sur la prescription des actions</w:t>
            </w:r>
            <w:r w:rsidRPr="009021BE">
              <w:rPr>
                <w:sz w:val="20"/>
                <w:lang w:val="fr-CA"/>
              </w:rPr>
              <w:t xml:space="preserve"> ni la </w:t>
            </w:r>
            <w:r w:rsidRPr="009021BE">
              <w:rPr>
                <w:i/>
                <w:sz w:val="20"/>
                <w:lang w:val="fr-CA"/>
              </w:rPr>
              <w:t>Loi sur les municipalités</w:t>
            </w:r>
            <w:r w:rsidRPr="009021BE">
              <w:rPr>
                <w:sz w:val="20"/>
                <w:lang w:val="fr-CA"/>
              </w:rPr>
              <w:t xml:space="preserve"> n’empêchent le demandeur d’intenter son action et accueillant la motion en vue d’ajouter la Ville et d’autres comme défendeurs </w:t>
            </w:r>
          </w:p>
          <w:p w:rsidR="009021BE" w:rsidRPr="009021BE" w:rsidRDefault="009021BE" w:rsidP="009021BE">
            <w:pPr>
              <w:jc w:val="both"/>
              <w:rPr>
                <w:sz w:val="20"/>
                <w:lang w:val="fr-CA"/>
              </w:rPr>
            </w:pPr>
          </w:p>
        </w:tc>
      </w:tr>
      <w:tr w:rsidR="009021BE" w:rsidRPr="009021BE" w:rsidTr="009730F8">
        <w:tc>
          <w:tcPr>
            <w:tcW w:w="2427" w:type="pct"/>
            <w:gridSpan w:val="2"/>
          </w:tcPr>
          <w:p w:rsidR="009021BE" w:rsidRPr="009021BE" w:rsidRDefault="009021BE" w:rsidP="009021BE">
            <w:pPr>
              <w:jc w:val="both"/>
              <w:rPr>
                <w:sz w:val="20"/>
                <w:lang w:val="fr-CA"/>
              </w:rPr>
            </w:pPr>
            <w:r w:rsidRPr="009021BE">
              <w:rPr>
                <w:sz w:val="20"/>
                <w:lang w:val="fr-CA"/>
              </w:rPr>
              <w:t>12 mai 2017</w:t>
            </w:r>
          </w:p>
          <w:p w:rsidR="009021BE" w:rsidRPr="009021BE" w:rsidRDefault="009021BE" w:rsidP="009021BE">
            <w:pPr>
              <w:jc w:val="both"/>
              <w:rPr>
                <w:sz w:val="20"/>
                <w:lang w:val="fr-CA"/>
              </w:rPr>
            </w:pPr>
            <w:r w:rsidRPr="009021BE">
              <w:rPr>
                <w:sz w:val="20"/>
                <w:lang w:val="fr-CA"/>
              </w:rPr>
              <w:t>Cour d’appel de l’Ontario</w:t>
            </w:r>
          </w:p>
          <w:p w:rsidR="009021BE" w:rsidRPr="009021BE" w:rsidRDefault="009021BE" w:rsidP="009021BE">
            <w:pPr>
              <w:jc w:val="both"/>
              <w:rPr>
                <w:sz w:val="20"/>
                <w:lang w:val="fr-CA"/>
              </w:rPr>
            </w:pPr>
            <w:r w:rsidRPr="009021BE">
              <w:rPr>
                <w:sz w:val="20"/>
                <w:lang w:val="fr-CA"/>
              </w:rPr>
              <w:t>(Juges Weiler, Benotto et Roberts, dissidente en partie)</w:t>
            </w:r>
          </w:p>
          <w:p w:rsidR="009021BE" w:rsidRPr="009021BE" w:rsidRDefault="009021BE" w:rsidP="009021BE">
            <w:pPr>
              <w:jc w:val="both"/>
              <w:rPr>
                <w:sz w:val="20"/>
                <w:lang w:val="fr-CA"/>
              </w:rPr>
            </w:pPr>
            <w:hyperlink r:id="rId55" w:history="1">
              <w:r w:rsidRPr="009021BE">
                <w:rPr>
                  <w:rStyle w:val="Hyperlink"/>
                  <w:sz w:val="20"/>
                </w:rPr>
                <w:t>2017 ONCA 385</w:t>
              </w:r>
            </w:hyperlink>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lang w:val="fr-CA"/>
              </w:rPr>
            </w:pPr>
            <w:r w:rsidRPr="009021BE">
              <w:rPr>
                <w:sz w:val="20"/>
                <w:lang w:val="fr-CA"/>
              </w:rPr>
              <w:t>Arrêt accueillant l’appel, annulant l’ordonnance de la juge de première instance et rejetant l’action contre la Ville</w:t>
            </w:r>
          </w:p>
          <w:p w:rsidR="009021BE" w:rsidRPr="009021BE" w:rsidRDefault="009021BE" w:rsidP="009021BE">
            <w:pPr>
              <w:jc w:val="both"/>
              <w:rPr>
                <w:sz w:val="20"/>
                <w:lang w:val="fr-CA"/>
              </w:rPr>
            </w:pPr>
          </w:p>
        </w:tc>
      </w:tr>
      <w:tr w:rsidR="009021BE" w:rsidRPr="009021BE" w:rsidTr="009730F8">
        <w:tc>
          <w:tcPr>
            <w:tcW w:w="2427" w:type="pct"/>
            <w:gridSpan w:val="2"/>
          </w:tcPr>
          <w:p w:rsidR="009021BE" w:rsidRPr="009021BE" w:rsidRDefault="009021BE" w:rsidP="009021BE">
            <w:pPr>
              <w:jc w:val="both"/>
              <w:rPr>
                <w:sz w:val="20"/>
                <w:lang w:val="fr-CA"/>
              </w:rPr>
            </w:pPr>
            <w:r w:rsidRPr="009021BE">
              <w:rPr>
                <w:sz w:val="20"/>
                <w:lang w:val="fr-CA"/>
              </w:rPr>
              <w:t>11 août 2017</w:t>
            </w:r>
          </w:p>
          <w:p w:rsidR="009021BE" w:rsidRPr="009021BE" w:rsidRDefault="009021BE" w:rsidP="009021BE">
            <w:pPr>
              <w:jc w:val="both"/>
              <w:rPr>
                <w:sz w:val="20"/>
                <w:lang w:val="fr-CA"/>
              </w:rPr>
            </w:pPr>
            <w:r w:rsidRPr="009021BE">
              <w:rPr>
                <w:sz w:val="20"/>
                <w:lang w:val="fr-CA"/>
              </w:rPr>
              <w:t>Cour suprême du Canada</w:t>
            </w: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lang w:val="fr-CA"/>
              </w:rPr>
            </w:pPr>
            <w:r w:rsidRPr="009021BE">
              <w:rPr>
                <w:sz w:val="20"/>
                <w:lang w:val="fr-CA"/>
              </w:rPr>
              <w:t>Dépôt de la demande d’autorisation d’appel</w:t>
            </w:r>
          </w:p>
          <w:p w:rsidR="009021BE" w:rsidRPr="009021BE" w:rsidRDefault="009021BE" w:rsidP="009021BE">
            <w:pPr>
              <w:jc w:val="both"/>
              <w:rPr>
                <w:sz w:val="20"/>
                <w:lang w:val="fr-CA"/>
              </w:rPr>
            </w:pPr>
          </w:p>
        </w:tc>
      </w:tr>
    </w:tbl>
    <w:p w:rsidR="009021BE" w:rsidRPr="009021BE" w:rsidRDefault="009021BE" w:rsidP="009021BE">
      <w:pPr>
        <w:jc w:val="both"/>
        <w:rPr>
          <w:sz w:val="20"/>
          <w:lang w:val="fr-CA"/>
        </w:rPr>
      </w:pPr>
    </w:p>
    <w:p w:rsidR="009021BE" w:rsidRPr="009021BE" w:rsidRDefault="009021BE" w:rsidP="009021B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21BE" w:rsidRPr="009021BE" w:rsidTr="00E95A6A">
        <w:tc>
          <w:tcPr>
            <w:tcW w:w="543" w:type="pct"/>
          </w:tcPr>
          <w:p w:rsidR="009021BE" w:rsidRPr="009021BE" w:rsidRDefault="009021BE" w:rsidP="009021BE">
            <w:pPr>
              <w:jc w:val="both"/>
              <w:rPr>
                <w:sz w:val="20"/>
              </w:rPr>
            </w:pPr>
            <w:r w:rsidRPr="009021BE">
              <w:rPr>
                <w:rStyle w:val="SCCFileNumberChar"/>
                <w:sz w:val="20"/>
                <w:szCs w:val="20"/>
              </w:rPr>
              <w:t>37681</w:t>
            </w:r>
          </w:p>
        </w:tc>
        <w:tc>
          <w:tcPr>
            <w:tcW w:w="4457" w:type="pct"/>
            <w:gridSpan w:val="3"/>
          </w:tcPr>
          <w:p w:rsidR="009021BE" w:rsidRPr="00BF319D" w:rsidRDefault="009021BE" w:rsidP="009021BE">
            <w:pPr>
              <w:pStyle w:val="SCCLsocParty"/>
              <w:jc w:val="both"/>
              <w:rPr>
                <w:b/>
                <w:sz w:val="20"/>
                <w:szCs w:val="20"/>
                <w:lang w:val="en-US"/>
              </w:rPr>
            </w:pPr>
            <w:r w:rsidRPr="00BF319D">
              <w:rPr>
                <w:b/>
                <w:sz w:val="20"/>
                <w:szCs w:val="20"/>
                <w:lang w:val="en-US"/>
              </w:rPr>
              <w:t xml:space="preserve">John (Jackie) </w:t>
            </w:r>
            <w:proofErr w:type="spellStart"/>
            <w:r w:rsidRPr="00BF319D">
              <w:rPr>
                <w:b/>
                <w:sz w:val="20"/>
                <w:szCs w:val="20"/>
                <w:lang w:val="en-US"/>
              </w:rPr>
              <w:t>Vautour</w:t>
            </w:r>
            <w:proofErr w:type="spellEnd"/>
            <w:r w:rsidRPr="00BF319D">
              <w:rPr>
                <w:b/>
                <w:sz w:val="20"/>
                <w:szCs w:val="20"/>
                <w:lang w:val="en-US"/>
              </w:rPr>
              <w:t xml:space="preserve">, Roy </w:t>
            </w:r>
            <w:proofErr w:type="spellStart"/>
            <w:r w:rsidRPr="00BF319D">
              <w:rPr>
                <w:b/>
                <w:sz w:val="20"/>
                <w:szCs w:val="20"/>
                <w:lang w:val="en-US"/>
              </w:rPr>
              <w:t>Vautour</w:t>
            </w:r>
            <w:proofErr w:type="spellEnd"/>
            <w:r w:rsidRPr="00BF319D">
              <w:rPr>
                <w:b/>
                <w:sz w:val="20"/>
                <w:szCs w:val="20"/>
                <w:lang w:val="en-US"/>
              </w:rPr>
              <w:t xml:space="preserve"> v. Her Majesty the Queen</w:t>
            </w:r>
          </w:p>
          <w:p w:rsidR="009021BE" w:rsidRPr="009021BE" w:rsidRDefault="009021BE" w:rsidP="009021BE">
            <w:pPr>
              <w:jc w:val="both"/>
              <w:rPr>
                <w:sz w:val="20"/>
              </w:rPr>
            </w:pPr>
            <w:r w:rsidRPr="009021BE">
              <w:rPr>
                <w:sz w:val="20"/>
              </w:rPr>
              <w:t>(N.B.) (Civil) (By Leave)</w:t>
            </w:r>
          </w:p>
        </w:tc>
      </w:tr>
      <w:tr w:rsidR="009021BE" w:rsidRPr="009021BE" w:rsidTr="00E95A6A">
        <w:tc>
          <w:tcPr>
            <w:tcW w:w="5000" w:type="pct"/>
            <w:gridSpan w:val="4"/>
          </w:tcPr>
          <w:p w:rsidR="009021BE" w:rsidRPr="009021BE" w:rsidRDefault="009021BE" w:rsidP="009021BE">
            <w:pPr>
              <w:jc w:val="both"/>
              <w:rPr>
                <w:sz w:val="20"/>
              </w:rPr>
            </w:pPr>
            <w:r w:rsidRPr="009021BE">
              <w:rPr>
                <w:sz w:val="20"/>
              </w:rPr>
              <w:t xml:space="preserve">Constitutional law – Aboriginal peoples – Métis status – Fishing rights – Whether legal test in </w:t>
            </w:r>
            <w:r w:rsidRPr="009021BE">
              <w:rPr>
                <w:i/>
                <w:iCs/>
                <w:sz w:val="20"/>
                <w:lang w:val="en"/>
              </w:rPr>
              <w:t>R. v. Powley</w:t>
            </w:r>
            <w:r w:rsidRPr="009021BE">
              <w:rPr>
                <w:sz w:val="20"/>
                <w:lang w:val="en"/>
              </w:rPr>
              <w:t>, 2003 SCC 43, [</w:t>
            </w:r>
            <w:r w:rsidRPr="009021BE">
              <w:rPr>
                <w:rStyle w:val="reflex3-alt"/>
                <w:sz w:val="20"/>
                <w:lang w:val="en"/>
              </w:rPr>
              <w:t xml:space="preserve">2003] 2 S.C.R. 207, should be </w:t>
            </w:r>
            <w:r w:rsidRPr="009021BE">
              <w:rPr>
                <w:sz w:val="20"/>
              </w:rPr>
              <w:t xml:space="preserve">revisited – Whether application of  </w:t>
            </w:r>
            <w:r w:rsidRPr="009021BE">
              <w:rPr>
                <w:i/>
                <w:sz w:val="20"/>
              </w:rPr>
              <w:t>Powley</w:t>
            </w:r>
            <w:r w:rsidRPr="009021BE">
              <w:rPr>
                <w:sz w:val="20"/>
              </w:rPr>
              <w:t xml:space="preserve"> test to-date has been overly restrictive, resulting in overabundance of rejections of Métis claims to s. 35(1) indigenous rights throughout Canada – </w:t>
            </w:r>
            <w:r w:rsidRPr="009021BE">
              <w:rPr>
                <w:i/>
                <w:sz w:val="20"/>
              </w:rPr>
              <w:t>Constitution Act, 1982</w:t>
            </w:r>
            <w:r w:rsidRPr="009021BE">
              <w:rPr>
                <w:sz w:val="20"/>
              </w:rPr>
              <w:t>, s. 35.</w:t>
            </w:r>
          </w:p>
        </w:tc>
      </w:tr>
      <w:tr w:rsidR="009021BE" w:rsidRPr="009021BE" w:rsidTr="00E95A6A">
        <w:tc>
          <w:tcPr>
            <w:tcW w:w="5000" w:type="pct"/>
            <w:gridSpan w:val="4"/>
          </w:tcPr>
          <w:p w:rsidR="009021BE" w:rsidRPr="009021BE" w:rsidRDefault="009021BE" w:rsidP="009021BE">
            <w:pPr>
              <w:jc w:val="both"/>
              <w:rPr>
                <w:sz w:val="20"/>
              </w:rPr>
            </w:pPr>
          </w:p>
          <w:p w:rsidR="009021BE" w:rsidRPr="009021BE" w:rsidRDefault="009021BE" w:rsidP="009021BE">
            <w:pPr>
              <w:jc w:val="both"/>
              <w:rPr>
                <w:sz w:val="20"/>
              </w:rPr>
            </w:pPr>
            <w:r w:rsidRPr="009021BE">
              <w:rPr>
                <w:sz w:val="20"/>
              </w:rPr>
              <w:t xml:space="preserve">John (Jackie) </w:t>
            </w:r>
            <w:proofErr w:type="spellStart"/>
            <w:r w:rsidRPr="009021BE">
              <w:rPr>
                <w:sz w:val="20"/>
              </w:rPr>
              <w:t>Vautour</w:t>
            </w:r>
            <w:proofErr w:type="spellEnd"/>
            <w:r w:rsidRPr="009021BE">
              <w:rPr>
                <w:sz w:val="20"/>
              </w:rPr>
              <w:t xml:space="preserve"> and his son Roy </w:t>
            </w:r>
            <w:proofErr w:type="spellStart"/>
            <w:r w:rsidRPr="009021BE">
              <w:rPr>
                <w:sz w:val="20"/>
              </w:rPr>
              <w:t>Vautour</w:t>
            </w:r>
            <w:proofErr w:type="spellEnd"/>
            <w:r w:rsidRPr="009021BE">
              <w:rPr>
                <w:sz w:val="20"/>
              </w:rPr>
              <w:t xml:space="preserve"> were charged with offences relating to unauthorized fishing for soft-shelled clams within </w:t>
            </w:r>
            <w:proofErr w:type="spellStart"/>
            <w:r w:rsidRPr="009021BE">
              <w:rPr>
                <w:sz w:val="20"/>
              </w:rPr>
              <w:t>Kouchibouguac</w:t>
            </w:r>
            <w:proofErr w:type="spellEnd"/>
            <w:r w:rsidRPr="009021BE">
              <w:rPr>
                <w:sz w:val="20"/>
              </w:rPr>
              <w:t xml:space="preserve"> National Park in Kent County, New Brunswick, contrary to the provisions of the </w:t>
            </w:r>
            <w:r w:rsidRPr="009021BE">
              <w:rPr>
                <w:i/>
                <w:sz w:val="20"/>
              </w:rPr>
              <w:t>National Parks of Canada Fishing Regulations</w:t>
            </w:r>
            <w:r w:rsidRPr="009021BE">
              <w:rPr>
                <w:sz w:val="20"/>
              </w:rPr>
              <w:t xml:space="preserve">, C.R.C., c. 1120, and the </w:t>
            </w:r>
            <w:r w:rsidRPr="009021BE">
              <w:rPr>
                <w:i/>
                <w:sz w:val="20"/>
              </w:rPr>
              <w:t>Canada National Parks Act</w:t>
            </w:r>
            <w:r w:rsidRPr="009021BE">
              <w:rPr>
                <w:sz w:val="20"/>
              </w:rPr>
              <w:t xml:space="preserve">, S.C. 2000, c. 32. At their joint trial on all charges, the </w:t>
            </w:r>
            <w:proofErr w:type="spellStart"/>
            <w:r w:rsidRPr="009021BE">
              <w:rPr>
                <w:sz w:val="20"/>
              </w:rPr>
              <w:t>Vautours</w:t>
            </w:r>
            <w:proofErr w:type="spellEnd"/>
            <w:r w:rsidRPr="009021BE">
              <w:rPr>
                <w:sz w:val="20"/>
              </w:rPr>
              <w:t xml:space="preserve"> admitted the facts alleged to constitute the offences but claimed a constitutionally protected right under s. 35 of the </w:t>
            </w:r>
            <w:r w:rsidRPr="009021BE">
              <w:rPr>
                <w:i/>
                <w:sz w:val="20"/>
              </w:rPr>
              <w:t>Constitution Act, 1982</w:t>
            </w:r>
            <w:r w:rsidRPr="009021BE">
              <w:rPr>
                <w:sz w:val="20"/>
              </w:rPr>
              <w:t xml:space="preserve">, as Métis, to fish for food in the area of </w:t>
            </w:r>
            <w:proofErr w:type="spellStart"/>
            <w:r w:rsidRPr="009021BE">
              <w:rPr>
                <w:sz w:val="20"/>
              </w:rPr>
              <w:t>Kouchibouguac</w:t>
            </w:r>
            <w:proofErr w:type="spellEnd"/>
            <w:r w:rsidRPr="009021BE">
              <w:rPr>
                <w:sz w:val="20"/>
              </w:rPr>
              <w:t>.</w:t>
            </w:r>
          </w:p>
          <w:p w:rsidR="009021BE" w:rsidRPr="009021BE" w:rsidRDefault="009021BE" w:rsidP="009021BE">
            <w:pPr>
              <w:jc w:val="both"/>
              <w:rPr>
                <w:sz w:val="20"/>
              </w:rPr>
            </w:pPr>
          </w:p>
          <w:p w:rsidR="009021BE" w:rsidRPr="009021BE" w:rsidRDefault="009021BE" w:rsidP="009021BE">
            <w:pPr>
              <w:jc w:val="both"/>
              <w:rPr>
                <w:sz w:val="20"/>
              </w:rPr>
            </w:pPr>
            <w:r w:rsidRPr="009021BE">
              <w:rPr>
                <w:sz w:val="20"/>
              </w:rPr>
              <w:t xml:space="preserve">John and Roy </w:t>
            </w:r>
            <w:proofErr w:type="spellStart"/>
            <w:r w:rsidRPr="009021BE">
              <w:rPr>
                <w:sz w:val="20"/>
              </w:rPr>
              <w:t>Vautour</w:t>
            </w:r>
            <w:proofErr w:type="spellEnd"/>
            <w:r w:rsidRPr="009021BE">
              <w:rPr>
                <w:sz w:val="20"/>
              </w:rPr>
              <w:t xml:space="preserve"> were convicted of the offences by the Provincial Court of New Brunswick. The court held their s. 35 claim was unsuccessful because they failed to </w:t>
            </w:r>
            <w:r w:rsidRPr="009021BE">
              <w:rPr>
                <w:sz w:val="20"/>
                <w:lang w:val="en"/>
              </w:rPr>
              <w:t xml:space="preserve">establish the presence of a historic Métis community in the area, as required under the test set out in </w:t>
            </w:r>
            <w:r w:rsidRPr="009021BE">
              <w:rPr>
                <w:i/>
                <w:iCs/>
                <w:sz w:val="20"/>
                <w:lang w:val="en"/>
              </w:rPr>
              <w:t>R. v. Powley</w:t>
            </w:r>
            <w:r w:rsidRPr="009021BE">
              <w:rPr>
                <w:sz w:val="20"/>
                <w:lang w:val="en"/>
              </w:rPr>
              <w:t>, 2003 SCC 43, [</w:t>
            </w:r>
            <w:r w:rsidRPr="009021BE">
              <w:rPr>
                <w:rStyle w:val="reflex3-alt"/>
                <w:sz w:val="20"/>
                <w:lang w:val="en"/>
              </w:rPr>
              <w:t>2003] 2 S.C.R. 207</w:t>
            </w:r>
            <w:r w:rsidRPr="009021BE">
              <w:rPr>
                <w:sz w:val="20"/>
              </w:rPr>
              <w:t xml:space="preserve">. The New Brunswick Court of Queen’s Bench dismissed the appeal and confirmed the convictions. The New Brunswick Court of Appeal denied the </w:t>
            </w:r>
            <w:proofErr w:type="spellStart"/>
            <w:r w:rsidRPr="009021BE">
              <w:rPr>
                <w:sz w:val="20"/>
              </w:rPr>
              <w:t>Vautours</w:t>
            </w:r>
            <w:proofErr w:type="spellEnd"/>
            <w:r w:rsidRPr="009021BE">
              <w:rPr>
                <w:sz w:val="20"/>
              </w:rPr>
              <w:t>’ application for leave to appeal.</w:t>
            </w:r>
          </w:p>
        </w:tc>
      </w:tr>
      <w:tr w:rsidR="009021BE" w:rsidRPr="009021BE" w:rsidTr="00E95A6A">
        <w:tc>
          <w:tcPr>
            <w:tcW w:w="5000" w:type="pct"/>
            <w:gridSpan w:val="4"/>
          </w:tcPr>
          <w:p w:rsidR="009021BE" w:rsidRPr="009021BE" w:rsidRDefault="009021BE" w:rsidP="009021BE">
            <w:pPr>
              <w:jc w:val="both"/>
              <w:rPr>
                <w:sz w:val="20"/>
              </w:rPr>
            </w:pPr>
          </w:p>
        </w:tc>
      </w:tr>
      <w:tr w:rsidR="009021BE" w:rsidRPr="009021BE" w:rsidTr="00E95A6A">
        <w:tc>
          <w:tcPr>
            <w:tcW w:w="2427" w:type="pct"/>
            <w:gridSpan w:val="2"/>
          </w:tcPr>
          <w:p w:rsidR="009021BE" w:rsidRPr="009021BE" w:rsidRDefault="009021BE" w:rsidP="009021BE">
            <w:pPr>
              <w:jc w:val="both"/>
              <w:rPr>
                <w:sz w:val="20"/>
              </w:rPr>
            </w:pPr>
            <w:r w:rsidRPr="009021BE">
              <w:rPr>
                <w:sz w:val="20"/>
              </w:rPr>
              <w:t>December 17, 2010</w:t>
            </w:r>
          </w:p>
          <w:p w:rsidR="009021BE" w:rsidRPr="009021BE" w:rsidRDefault="009021BE" w:rsidP="009021BE">
            <w:pPr>
              <w:jc w:val="both"/>
              <w:rPr>
                <w:sz w:val="20"/>
              </w:rPr>
            </w:pPr>
            <w:r w:rsidRPr="009021BE">
              <w:rPr>
                <w:sz w:val="20"/>
              </w:rPr>
              <w:t>Provincial Court of New Brunswick</w:t>
            </w:r>
          </w:p>
          <w:p w:rsidR="009021BE" w:rsidRPr="009021BE" w:rsidRDefault="009021BE" w:rsidP="009021BE">
            <w:pPr>
              <w:jc w:val="both"/>
              <w:rPr>
                <w:sz w:val="20"/>
              </w:rPr>
            </w:pPr>
            <w:r w:rsidRPr="009021BE">
              <w:rPr>
                <w:sz w:val="20"/>
              </w:rPr>
              <w:t>(</w:t>
            </w:r>
            <w:proofErr w:type="spellStart"/>
            <w:r w:rsidRPr="009021BE">
              <w:rPr>
                <w:sz w:val="20"/>
              </w:rPr>
              <w:t>Arseneault</w:t>
            </w:r>
            <w:proofErr w:type="spellEnd"/>
            <w:r w:rsidRPr="009021BE">
              <w:rPr>
                <w:sz w:val="20"/>
              </w:rPr>
              <w:t xml:space="preserve"> A.C.J.P.C.N.B.)</w:t>
            </w:r>
          </w:p>
          <w:p w:rsidR="009021BE" w:rsidRPr="009021BE" w:rsidRDefault="009021BE" w:rsidP="009021BE">
            <w:pPr>
              <w:jc w:val="both"/>
              <w:rPr>
                <w:sz w:val="20"/>
              </w:rPr>
            </w:pPr>
            <w:hyperlink r:id="rId56" w:history="1">
              <w:r w:rsidRPr="009021BE">
                <w:rPr>
                  <w:rStyle w:val="Hyperlink"/>
                  <w:sz w:val="20"/>
                </w:rPr>
                <w:t>2010 NBCP 39</w:t>
              </w:r>
            </w:hyperlink>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 xml:space="preserve">Applicants convicted of unauthorized fishing offences under </w:t>
            </w:r>
            <w:r w:rsidRPr="009021BE">
              <w:rPr>
                <w:i/>
                <w:sz w:val="20"/>
              </w:rPr>
              <w:t>National Parks of Canada Fishing Regulations</w:t>
            </w:r>
            <w:r w:rsidRPr="009021BE">
              <w:rPr>
                <w:sz w:val="20"/>
              </w:rPr>
              <w:t xml:space="preserve">, C.R.C., c. 1120, and </w:t>
            </w:r>
            <w:r w:rsidRPr="009021BE">
              <w:rPr>
                <w:i/>
                <w:sz w:val="20"/>
              </w:rPr>
              <w:t>Canada National Parks Act</w:t>
            </w:r>
            <w:r w:rsidRPr="009021BE">
              <w:rPr>
                <w:sz w:val="20"/>
              </w:rPr>
              <w:t xml:space="preserve">, S.C. 2000, c. 32. </w:t>
            </w:r>
          </w:p>
          <w:p w:rsidR="009021BE" w:rsidRPr="009021BE" w:rsidRDefault="009021BE" w:rsidP="009021BE">
            <w:pPr>
              <w:jc w:val="both"/>
              <w:rPr>
                <w:sz w:val="20"/>
              </w:rPr>
            </w:pPr>
          </w:p>
        </w:tc>
      </w:tr>
      <w:tr w:rsidR="009021BE" w:rsidRPr="009021BE" w:rsidTr="00E95A6A">
        <w:tc>
          <w:tcPr>
            <w:tcW w:w="2427" w:type="pct"/>
            <w:gridSpan w:val="2"/>
          </w:tcPr>
          <w:p w:rsidR="009021BE" w:rsidRPr="009021BE" w:rsidRDefault="009021BE" w:rsidP="009021BE">
            <w:pPr>
              <w:jc w:val="both"/>
              <w:rPr>
                <w:sz w:val="20"/>
              </w:rPr>
            </w:pPr>
            <w:r w:rsidRPr="009021BE">
              <w:rPr>
                <w:sz w:val="20"/>
              </w:rPr>
              <w:t>April 23, 2015</w:t>
            </w:r>
          </w:p>
          <w:p w:rsidR="009021BE" w:rsidRPr="009021BE" w:rsidRDefault="009021BE" w:rsidP="009021BE">
            <w:pPr>
              <w:jc w:val="both"/>
              <w:rPr>
                <w:sz w:val="20"/>
              </w:rPr>
            </w:pPr>
            <w:r w:rsidRPr="009021BE">
              <w:rPr>
                <w:sz w:val="20"/>
              </w:rPr>
              <w:t>Court of Queen’s Bench of New Brunswick</w:t>
            </w:r>
          </w:p>
          <w:p w:rsidR="009021BE" w:rsidRPr="009021BE" w:rsidRDefault="009021BE" w:rsidP="009021BE">
            <w:pPr>
              <w:jc w:val="both"/>
              <w:rPr>
                <w:sz w:val="20"/>
              </w:rPr>
            </w:pPr>
            <w:r w:rsidRPr="009021BE">
              <w:rPr>
                <w:sz w:val="20"/>
              </w:rPr>
              <w:t>(</w:t>
            </w:r>
            <w:proofErr w:type="spellStart"/>
            <w:r w:rsidRPr="009021BE">
              <w:rPr>
                <w:sz w:val="20"/>
              </w:rPr>
              <w:t>DeWare</w:t>
            </w:r>
            <w:proofErr w:type="spellEnd"/>
            <w:r w:rsidRPr="009021BE">
              <w:rPr>
                <w:sz w:val="20"/>
              </w:rPr>
              <w:t xml:space="preserve"> J.)</w:t>
            </w:r>
          </w:p>
          <w:p w:rsidR="009021BE" w:rsidRPr="009021BE" w:rsidRDefault="009021BE" w:rsidP="009021BE">
            <w:pPr>
              <w:jc w:val="both"/>
              <w:rPr>
                <w:sz w:val="20"/>
              </w:rPr>
            </w:pPr>
            <w:hyperlink r:id="rId57" w:history="1">
              <w:r w:rsidRPr="009021BE">
                <w:rPr>
                  <w:rStyle w:val="Hyperlink"/>
                  <w:sz w:val="20"/>
                </w:rPr>
                <w:t>2015 NBQB 94</w:t>
              </w:r>
            </w:hyperlink>
            <w:r w:rsidRPr="009021BE">
              <w:rPr>
                <w:sz w:val="20"/>
              </w:rPr>
              <w:t xml:space="preserve"> </w:t>
            </w:r>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Applicants’ appeal from convictions dismissed by summary conviction appeal court.</w:t>
            </w:r>
          </w:p>
          <w:p w:rsidR="009021BE" w:rsidRPr="009021BE" w:rsidRDefault="009021BE" w:rsidP="009021BE">
            <w:pPr>
              <w:jc w:val="both"/>
              <w:rPr>
                <w:sz w:val="20"/>
              </w:rPr>
            </w:pPr>
          </w:p>
        </w:tc>
      </w:tr>
      <w:tr w:rsidR="009021BE" w:rsidRPr="009021BE" w:rsidTr="00E95A6A">
        <w:tc>
          <w:tcPr>
            <w:tcW w:w="2427" w:type="pct"/>
            <w:gridSpan w:val="2"/>
          </w:tcPr>
          <w:p w:rsidR="009021BE" w:rsidRPr="009021BE" w:rsidRDefault="009021BE" w:rsidP="009021BE">
            <w:pPr>
              <w:jc w:val="both"/>
              <w:rPr>
                <w:sz w:val="20"/>
              </w:rPr>
            </w:pPr>
            <w:r w:rsidRPr="009021BE">
              <w:rPr>
                <w:sz w:val="20"/>
              </w:rPr>
              <w:t>May 4, 2017</w:t>
            </w:r>
          </w:p>
          <w:p w:rsidR="009021BE" w:rsidRPr="009021BE" w:rsidRDefault="009021BE" w:rsidP="009021BE">
            <w:pPr>
              <w:jc w:val="both"/>
              <w:rPr>
                <w:sz w:val="20"/>
              </w:rPr>
            </w:pPr>
            <w:r w:rsidRPr="009021BE">
              <w:rPr>
                <w:sz w:val="20"/>
              </w:rPr>
              <w:t>Court of Appeal of New Brunswick</w:t>
            </w:r>
          </w:p>
          <w:p w:rsidR="009021BE" w:rsidRPr="009021BE" w:rsidRDefault="009021BE" w:rsidP="009021BE">
            <w:pPr>
              <w:jc w:val="both"/>
              <w:rPr>
                <w:sz w:val="20"/>
              </w:rPr>
            </w:pPr>
            <w:r w:rsidRPr="009021BE">
              <w:rPr>
                <w:sz w:val="20"/>
              </w:rPr>
              <w:t xml:space="preserve">(Richard, </w:t>
            </w:r>
            <w:proofErr w:type="spellStart"/>
            <w:r w:rsidRPr="009021BE">
              <w:rPr>
                <w:sz w:val="20"/>
              </w:rPr>
              <w:t>Quigg</w:t>
            </w:r>
            <w:proofErr w:type="spellEnd"/>
            <w:r w:rsidRPr="009021BE">
              <w:rPr>
                <w:sz w:val="20"/>
              </w:rPr>
              <w:t xml:space="preserve"> and Green JJ.A.)</w:t>
            </w:r>
          </w:p>
          <w:p w:rsidR="009021BE" w:rsidRPr="009021BE" w:rsidRDefault="009021BE" w:rsidP="009021BE">
            <w:pPr>
              <w:jc w:val="both"/>
              <w:rPr>
                <w:sz w:val="20"/>
              </w:rPr>
            </w:pPr>
            <w:hyperlink r:id="rId58" w:history="1">
              <w:r w:rsidRPr="009021BE">
                <w:rPr>
                  <w:rStyle w:val="Hyperlink"/>
                  <w:sz w:val="20"/>
                </w:rPr>
                <w:t>2017 NBCA 21</w:t>
              </w:r>
            </w:hyperlink>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Applicants’ application for leave to appeal, dismissed.</w:t>
            </w:r>
          </w:p>
          <w:p w:rsidR="009021BE" w:rsidRPr="009021BE" w:rsidRDefault="009021BE" w:rsidP="009021BE">
            <w:pPr>
              <w:jc w:val="both"/>
              <w:rPr>
                <w:sz w:val="20"/>
              </w:rPr>
            </w:pPr>
          </w:p>
        </w:tc>
      </w:tr>
      <w:tr w:rsidR="009021BE" w:rsidRPr="009021BE" w:rsidTr="00E95A6A">
        <w:tc>
          <w:tcPr>
            <w:tcW w:w="2427" w:type="pct"/>
            <w:gridSpan w:val="2"/>
          </w:tcPr>
          <w:p w:rsidR="009021BE" w:rsidRPr="009021BE" w:rsidRDefault="009021BE" w:rsidP="009021BE">
            <w:pPr>
              <w:jc w:val="both"/>
              <w:rPr>
                <w:sz w:val="20"/>
              </w:rPr>
            </w:pPr>
            <w:r w:rsidRPr="009021BE">
              <w:rPr>
                <w:sz w:val="20"/>
              </w:rPr>
              <w:t>August 4, 2017</w:t>
            </w:r>
          </w:p>
          <w:p w:rsidR="009021BE" w:rsidRPr="009021BE" w:rsidRDefault="009021BE" w:rsidP="009021BE">
            <w:pPr>
              <w:jc w:val="both"/>
              <w:rPr>
                <w:sz w:val="20"/>
              </w:rPr>
            </w:pPr>
            <w:r w:rsidRPr="009021BE">
              <w:rPr>
                <w:sz w:val="20"/>
              </w:rPr>
              <w:t>Supreme Court of Canada</w:t>
            </w:r>
          </w:p>
          <w:p w:rsidR="009021BE" w:rsidRPr="009021BE" w:rsidRDefault="009021BE" w:rsidP="009021BE">
            <w:pPr>
              <w:jc w:val="both"/>
              <w:rPr>
                <w:sz w:val="20"/>
              </w:rPr>
            </w:pP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Application for leave to appeal and motion to file lengthy memorandum, filed.</w:t>
            </w:r>
          </w:p>
          <w:p w:rsidR="009021BE" w:rsidRPr="009021BE" w:rsidRDefault="009021BE" w:rsidP="009021BE">
            <w:pPr>
              <w:jc w:val="both"/>
              <w:rPr>
                <w:sz w:val="20"/>
              </w:rPr>
            </w:pPr>
          </w:p>
        </w:tc>
      </w:tr>
      <w:tr w:rsidR="009021BE" w:rsidRPr="009021BE" w:rsidTr="00E95A6A">
        <w:tc>
          <w:tcPr>
            <w:tcW w:w="2427" w:type="pct"/>
            <w:gridSpan w:val="2"/>
          </w:tcPr>
          <w:p w:rsidR="009021BE" w:rsidRPr="009021BE" w:rsidRDefault="009021BE" w:rsidP="009021BE">
            <w:pPr>
              <w:jc w:val="both"/>
              <w:rPr>
                <w:sz w:val="20"/>
              </w:rPr>
            </w:pPr>
            <w:r w:rsidRPr="009021BE">
              <w:rPr>
                <w:sz w:val="20"/>
              </w:rPr>
              <w:t>December 15, 2017</w:t>
            </w:r>
          </w:p>
          <w:p w:rsidR="009021BE" w:rsidRPr="009021BE" w:rsidRDefault="009021BE" w:rsidP="009021BE">
            <w:pPr>
              <w:jc w:val="both"/>
              <w:rPr>
                <w:sz w:val="20"/>
              </w:rPr>
            </w:pPr>
            <w:r w:rsidRPr="009021BE">
              <w:rPr>
                <w:sz w:val="20"/>
              </w:rPr>
              <w:t>Supreme Court of Canada</w:t>
            </w:r>
          </w:p>
        </w:tc>
        <w:tc>
          <w:tcPr>
            <w:tcW w:w="243" w:type="pct"/>
          </w:tcPr>
          <w:p w:rsidR="009021BE" w:rsidRPr="009021BE" w:rsidRDefault="009021BE" w:rsidP="009021BE">
            <w:pPr>
              <w:jc w:val="both"/>
              <w:rPr>
                <w:sz w:val="20"/>
              </w:rPr>
            </w:pPr>
          </w:p>
        </w:tc>
        <w:tc>
          <w:tcPr>
            <w:tcW w:w="2330" w:type="pct"/>
          </w:tcPr>
          <w:p w:rsidR="009021BE" w:rsidRPr="009021BE" w:rsidRDefault="009021BE" w:rsidP="009021BE">
            <w:pPr>
              <w:jc w:val="both"/>
              <w:rPr>
                <w:sz w:val="20"/>
              </w:rPr>
            </w:pPr>
            <w:r w:rsidRPr="009021BE">
              <w:rPr>
                <w:sz w:val="20"/>
              </w:rPr>
              <w:t>Motion to extend time to serve and file application for leave to appeal, filed.</w:t>
            </w:r>
          </w:p>
        </w:tc>
      </w:tr>
    </w:tbl>
    <w:p w:rsidR="009021BE" w:rsidRDefault="009021BE" w:rsidP="009021BE">
      <w:pPr>
        <w:jc w:val="both"/>
        <w:rPr>
          <w:sz w:val="20"/>
        </w:rPr>
      </w:pPr>
    </w:p>
    <w:p w:rsidR="00BF319D" w:rsidRPr="009021BE" w:rsidRDefault="00BF319D" w:rsidP="009021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21BE" w:rsidRPr="009021BE" w:rsidTr="00E95A6A">
        <w:tc>
          <w:tcPr>
            <w:tcW w:w="543" w:type="pct"/>
          </w:tcPr>
          <w:p w:rsidR="009021BE" w:rsidRPr="009021BE" w:rsidRDefault="009021BE" w:rsidP="009021BE">
            <w:pPr>
              <w:jc w:val="both"/>
              <w:rPr>
                <w:sz w:val="20"/>
                <w:lang w:val="fr-CA"/>
              </w:rPr>
            </w:pPr>
            <w:r w:rsidRPr="009021BE">
              <w:rPr>
                <w:rStyle w:val="SCCFileNumberChar"/>
                <w:sz w:val="20"/>
                <w:szCs w:val="20"/>
                <w:lang w:val="fr-CA"/>
              </w:rPr>
              <w:t>37681</w:t>
            </w:r>
          </w:p>
        </w:tc>
        <w:tc>
          <w:tcPr>
            <w:tcW w:w="4457" w:type="pct"/>
            <w:gridSpan w:val="3"/>
          </w:tcPr>
          <w:p w:rsidR="009021BE" w:rsidRPr="00BF319D" w:rsidRDefault="009021BE" w:rsidP="009021BE">
            <w:pPr>
              <w:pStyle w:val="SCCLsocParty"/>
              <w:jc w:val="both"/>
              <w:rPr>
                <w:b/>
                <w:sz w:val="20"/>
                <w:szCs w:val="20"/>
              </w:rPr>
            </w:pPr>
            <w:r w:rsidRPr="00BF319D">
              <w:rPr>
                <w:b/>
                <w:sz w:val="20"/>
                <w:szCs w:val="20"/>
              </w:rPr>
              <w:t>John (Jackie) Vautour, Roy Vautour c. Sa Majesté la Reine</w:t>
            </w:r>
          </w:p>
          <w:p w:rsidR="009021BE" w:rsidRPr="009021BE" w:rsidRDefault="009021BE" w:rsidP="009021BE">
            <w:pPr>
              <w:jc w:val="both"/>
              <w:rPr>
                <w:sz w:val="20"/>
                <w:lang w:val="fr-CA"/>
              </w:rPr>
            </w:pPr>
            <w:r w:rsidRPr="009021BE">
              <w:rPr>
                <w:sz w:val="20"/>
                <w:lang w:val="fr-CA"/>
              </w:rPr>
              <w:t>(N.-B.) (Civile) (Sur autorisation)</w:t>
            </w:r>
          </w:p>
        </w:tc>
      </w:tr>
      <w:tr w:rsidR="009021BE" w:rsidRPr="009021BE" w:rsidTr="00E95A6A">
        <w:tc>
          <w:tcPr>
            <w:tcW w:w="5000" w:type="pct"/>
            <w:gridSpan w:val="4"/>
          </w:tcPr>
          <w:p w:rsidR="009021BE" w:rsidRPr="009021BE" w:rsidRDefault="009021BE" w:rsidP="009021BE">
            <w:pPr>
              <w:jc w:val="both"/>
              <w:rPr>
                <w:sz w:val="20"/>
                <w:lang w:val="fr-CA"/>
              </w:rPr>
            </w:pPr>
            <w:r w:rsidRPr="009021BE">
              <w:rPr>
                <w:sz w:val="20"/>
                <w:lang w:val="fr-CA"/>
              </w:rPr>
              <w:t xml:space="preserve">Droit constitutionnel – Autochtones – Statut de Métis – Droits de pêche – Y a-t-il lieu de revoir le critère juridique établi dans l’arrêt </w:t>
            </w:r>
            <w:r w:rsidRPr="009021BE">
              <w:rPr>
                <w:i/>
                <w:iCs/>
                <w:sz w:val="20"/>
                <w:lang w:val="fr-CA"/>
              </w:rPr>
              <w:t xml:space="preserve">R. c. </w:t>
            </w:r>
            <w:proofErr w:type="spellStart"/>
            <w:r w:rsidRPr="009021BE">
              <w:rPr>
                <w:i/>
                <w:iCs/>
                <w:sz w:val="20"/>
                <w:lang w:val="fr-CA"/>
              </w:rPr>
              <w:t>Powley</w:t>
            </w:r>
            <w:proofErr w:type="spellEnd"/>
            <w:r w:rsidRPr="009021BE">
              <w:rPr>
                <w:sz w:val="20"/>
                <w:lang w:val="fr-CA"/>
              </w:rPr>
              <w:t>, 2003 CSC 43, [</w:t>
            </w:r>
            <w:r w:rsidRPr="009021BE">
              <w:rPr>
                <w:rStyle w:val="reflex3-alt"/>
                <w:sz w:val="20"/>
                <w:lang w:val="fr-CA"/>
              </w:rPr>
              <w:t xml:space="preserve">2003] 2 R.C.S. 207? </w:t>
            </w:r>
            <w:r w:rsidRPr="009021BE">
              <w:rPr>
                <w:sz w:val="20"/>
                <w:lang w:val="fr-CA"/>
              </w:rPr>
              <w:t xml:space="preserve">– L’application du critère établi dans </w:t>
            </w:r>
            <w:proofErr w:type="spellStart"/>
            <w:r w:rsidRPr="009021BE">
              <w:rPr>
                <w:i/>
                <w:sz w:val="20"/>
                <w:lang w:val="fr-CA"/>
              </w:rPr>
              <w:t>Powley</w:t>
            </w:r>
            <w:proofErr w:type="spellEnd"/>
            <w:r w:rsidRPr="009021BE">
              <w:rPr>
                <w:sz w:val="20"/>
                <w:lang w:val="fr-CA"/>
              </w:rPr>
              <w:t xml:space="preserve"> a-t-elle été trop restrictive jusqu’ici, donnant lieu à une surabondance de rejets de revendications par les Métis de droits ancestraux garantis par le par. 35(1) partout au Canada? – </w:t>
            </w:r>
            <w:r w:rsidRPr="009021BE">
              <w:rPr>
                <w:i/>
                <w:sz w:val="20"/>
                <w:lang w:val="fr-CA"/>
              </w:rPr>
              <w:t>Loi constitutionnelle de 1982</w:t>
            </w:r>
            <w:r w:rsidRPr="009021BE">
              <w:rPr>
                <w:sz w:val="20"/>
                <w:lang w:val="fr-CA"/>
              </w:rPr>
              <w:t>, art. 35.</w:t>
            </w:r>
          </w:p>
        </w:tc>
      </w:tr>
      <w:tr w:rsidR="009021BE" w:rsidRPr="009021BE" w:rsidTr="00E95A6A">
        <w:tc>
          <w:tcPr>
            <w:tcW w:w="5000" w:type="pct"/>
            <w:gridSpan w:val="4"/>
          </w:tcPr>
          <w:p w:rsidR="009021BE" w:rsidRPr="009021BE" w:rsidRDefault="009021BE" w:rsidP="009021BE">
            <w:pPr>
              <w:jc w:val="both"/>
              <w:rPr>
                <w:sz w:val="20"/>
                <w:lang w:val="fr-CA"/>
              </w:rPr>
            </w:pPr>
          </w:p>
          <w:p w:rsidR="009021BE" w:rsidRPr="009021BE" w:rsidRDefault="009021BE" w:rsidP="009021BE">
            <w:pPr>
              <w:jc w:val="both"/>
              <w:rPr>
                <w:sz w:val="20"/>
                <w:lang w:val="fr-CA"/>
              </w:rPr>
            </w:pPr>
            <w:r w:rsidRPr="009021BE">
              <w:rPr>
                <w:sz w:val="20"/>
                <w:lang w:val="fr-CA"/>
              </w:rPr>
              <w:t xml:space="preserve">John (Jackie) Vautour et son fils Roy Vautour ont été accusés d’infractions portant sur la pêche non autorisée aux myes dans le parc national </w:t>
            </w:r>
            <w:proofErr w:type="spellStart"/>
            <w:r w:rsidRPr="009021BE">
              <w:rPr>
                <w:sz w:val="20"/>
                <w:lang w:val="fr-CA"/>
              </w:rPr>
              <w:t>Kouchibouguac</w:t>
            </w:r>
            <w:proofErr w:type="spellEnd"/>
            <w:r w:rsidRPr="009021BE">
              <w:rPr>
                <w:sz w:val="20"/>
                <w:lang w:val="fr-CA"/>
              </w:rPr>
              <w:t xml:space="preserve">, comté de Kent (Nouveau-Brunswick), contrairement aux dispositions du </w:t>
            </w:r>
            <w:r w:rsidRPr="009021BE">
              <w:rPr>
                <w:i/>
                <w:sz w:val="20"/>
                <w:lang w:val="fr-CA"/>
              </w:rPr>
              <w:t>Règlement sur la pêche dans les parcs nationaux du Canada</w:t>
            </w:r>
            <w:r w:rsidRPr="009021BE">
              <w:rPr>
                <w:sz w:val="20"/>
                <w:lang w:val="fr-CA"/>
              </w:rPr>
              <w:t xml:space="preserve">, C.R.C., ch. 1120, et de la </w:t>
            </w:r>
            <w:r w:rsidRPr="009021BE">
              <w:rPr>
                <w:i/>
                <w:sz w:val="20"/>
                <w:lang w:val="fr-CA"/>
              </w:rPr>
              <w:t>Loi sur les parcs nationaux du Canada</w:t>
            </w:r>
            <w:r w:rsidRPr="009021BE">
              <w:rPr>
                <w:sz w:val="20"/>
                <w:lang w:val="fr-CA"/>
              </w:rPr>
              <w:t>, L.C. 2000, ch. 32. À leur procès conjoint sur toutes les accusations, les Vautour ont admis les faits invoqués comme constituant les infractions, mais ont revendiqué un droit protégé par l’art. 35 de la </w:t>
            </w:r>
            <w:r w:rsidRPr="009021BE">
              <w:rPr>
                <w:i/>
                <w:iCs/>
                <w:sz w:val="20"/>
                <w:lang w:val="fr-CA"/>
              </w:rPr>
              <w:t>Loi constitutionnelle de 1982</w:t>
            </w:r>
            <w:r w:rsidRPr="009021BE">
              <w:rPr>
                <w:sz w:val="20"/>
                <w:lang w:val="fr-CA"/>
              </w:rPr>
              <w:t xml:space="preserve">, en tant que Métis, de pêcher pour leur subsistance dans la région de </w:t>
            </w:r>
            <w:proofErr w:type="spellStart"/>
            <w:r w:rsidRPr="009021BE">
              <w:rPr>
                <w:sz w:val="20"/>
                <w:lang w:val="fr-CA"/>
              </w:rPr>
              <w:t>Kouchibouguac</w:t>
            </w:r>
            <w:proofErr w:type="spellEnd"/>
            <w:r w:rsidRPr="009021BE">
              <w:rPr>
                <w:sz w:val="20"/>
                <w:lang w:val="fr-CA"/>
              </w:rPr>
              <w:t>.</w:t>
            </w:r>
          </w:p>
          <w:p w:rsidR="009021BE" w:rsidRPr="009021BE" w:rsidRDefault="009021BE" w:rsidP="009021BE">
            <w:pPr>
              <w:jc w:val="both"/>
              <w:rPr>
                <w:sz w:val="20"/>
                <w:lang w:val="fr-CA"/>
              </w:rPr>
            </w:pPr>
          </w:p>
          <w:p w:rsidR="009021BE" w:rsidRPr="009021BE" w:rsidRDefault="009021BE" w:rsidP="009021BE">
            <w:pPr>
              <w:jc w:val="both"/>
              <w:rPr>
                <w:sz w:val="20"/>
                <w:lang w:val="fr-CA"/>
              </w:rPr>
            </w:pPr>
            <w:r w:rsidRPr="009021BE">
              <w:rPr>
                <w:sz w:val="20"/>
                <w:lang w:val="fr-CA"/>
              </w:rPr>
              <w:t xml:space="preserve">La Cour provinciale du Nouveau-Brunswick a déclaré John et Roy Vautour coupables des infractions. La cour a statué que leur revendication fondée sur l’art. 35 ne pouvait être accueillie parce qu’ils n’avaient pas établi la présence d’une communauté métisse historique dans la région de </w:t>
            </w:r>
            <w:proofErr w:type="spellStart"/>
            <w:r w:rsidRPr="009021BE">
              <w:rPr>
                <w:sz w:val="20"/>
                <w:lang w:val="fr-CA"/>
              </w:rPr>
              <w:t>Kouchibouguac</w:t>
            </w:r>
            <w:proofErr w:type="spellEnd"/>
            <w:r w:rsidRPr="009021BE">
              <w:rPr>
                <w:sz w:val="20"/>
                <w:lang w:val="fr-CA"/>
              </w:rPr>
              <w:t xml:space="preserve">, comme l’exige le critère établi dans l’arrêt </w:t>
            </w:r>
            <w:r w:rsidRPr="009021BE">
              <w:rPr>
                <w:i/>
                <w:iCs/>
                <w:sz w:val="20"/>
                <w:lang w:val="fr-CA"/>
              </w:rPr>
              <w:t xml:space="preserve">R. c. </w:t>
            </w:r>
            <w:proofErr w:type="spellStart"/>
            <w:r w:rsidRPr="009021BE">
              <w:rPr>
                <w:i/>
                <w:iCs/>
                <w:sz w:val="20"/>
                <w:lang w:val="fr-CA"/>
              </w:rPr>
              <w:t>Powley</w:t>
            </w:r>
            <w:proofErr w:type="spellEnd"/>
            <w:r w:rsidRPr="009021BE">
              <w:rPr>
                <w:sz w:val="20"/>
                <w:lang w:val="fr-CA"/>
              </w:rPr>
              <w:t>, 2003 CSC 43, [</w:t>
            </w:r>
            <w:r w:rsidRPr="009021BE">
              <w:rPr>
                <w:rStyle w:val="reflex3-alt"/>
                <w:sz w:val="20"/>
                <w:lang w:val="fr-CA"/>
              </w:rPr>
              <w:t>2003] 2 R.C.S. 207</w:t>
            </w:r>
            <w:r w:rsidRPr="009021BE">
              <w:rPr>
                <w:sz w:val="20"/>
                <w:lang w:val="fr-CA"/>
              </w:rPr>
              <w:t>. La Cour du Banc de la Reine du Nouveau-Brunswick a rejeté l’appel et a confirmé les déclarations de culpabilité. La Cour d’appel du Nouveau-Brunswick a rejeté la demande d’autorisation d’appel des Vautour.</w:t>
            </w:r>
          </w:p>
        </w:tc>
      </w:tr>
      <w:tr w:rsidR="009021BE" w:rsidRPr="009021BE" w:rsidTr="00E95A6A">
        <w:tc>
          <w:tcPr>
            <w:tcW w:w="5000" w:type="pct"/>
            <w:gridSpan w:val="4"/>
          </w:tcPr>
          <w:p w:rsidR="009021BE" w:rsidRPr="009021BE" w:rsidRDefault="009021BE" w:rsidP="009021BE">
            <w:pPr>
              <w:jc w:val="both"/>
              <w:rPr>
                <w:sz w:val="20"/>
                <w:lang w:val="fr-CA"/>
              </w:rPr>
            </w:pP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17 décembre 2010</w:t>
            </w:r>
          </w:p>
          <w:p w:rsidR="009021BE" w:rsidRPr="009021BE" w:rsidRDefault="009021BE" w:rsidP="009021BE">
            <w:pPr>
              <w:jc w:val="both"/>
              <w:rPr>
                <w:sz w:val="20"/>
                <w:lang w:val="fr-CA"/>
              </w:rPr>
            </w:pPr>
            <w:r w:rsidRPr="009021BE">
              <w:rPr>
                <w:sz w:val="20"/>
                <w:lang w:val="fr-CA"/>
              </w:rPr>
              <w:t>Cour provinciale du Nouveau-Brunswick</w:t>
            </w:r>
          </w:p>
          <w:p w:rsidR="009021BE" w:rsidRPr="009021BE" w:rsidRDefault="009021BE" w:rsidP="009021BE">
            <w:pPr>
              <w:jc w:val="both"/>
              <w:rPr>
                <w:sz w:val="20"/>
                <w:lang w:val="fr-CA"/>
              </w:rPr>
            </w:pPr>
            <w:r w:rsidRPr="009021BE">
              <w:rPr>
                <w:sz w:val="20"/>
                <w:lang w:val="fr-CA"/>
              </w:rPr>
              <w:t>(Juge en chef adjoint Arseneault)</w:t>
            </w:r>
          </w:p>
          <w:p w:rsidR="009021BE" w:rsidRPr="009021BE" w:rsidRDefault="009021BE" w:rsidP="009021BE">
            <w:pPr>
              <w:jc w:val="both"/>
              <w:rPr>
                <w:sz w:val="20"/>
                <w:lang w:val="fr-CA"/>
              </w:rPr>
            </w:pPr>
            <w:hyperlink r:id="rId59" w:history="1">
              <w:r w:rsidRPr="009021BE">
                <w:rPr>
                  <w:rStyle w:val="Hyperlink"/>
                  <w:sz w:val="20"/>
                  <w:lang w:val="fr-CA"/>
                </w:rPr>
                <w:t>2010 NBCP 39</w:t>
              </w:r>
            </w:hyperlink>
          </w:p>
          <w:p w:rsidR="009021BE" w:rsidRPr="009021BE" w:rsidRDefault="009021BE" w:rsidP="009021BE">
            <w:pPr>
              <w:jc w:val="both"/>
              <w:rPr>
                <w:sz w:val="20"/>
                <w:lang w:val="fr-CA"/>
              </w:rPr>
            </w:pP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lang w:val="fr-CA"/>
              </w:rPr>
            </w:pPr>
            <w:r w:rsidRPr="009021BE">
              <w:rPr>
                <w:sz w:val="20"/>
                <w:lang w:val="fr-CA"/>
              </w:rPr>
              <w:t xml:space="preserve">Déclarations de culpabilité prononcées contre les demandeurs d’infractions portant sur la pêche non autorisée sous le régime du </w:t>
            </w:r>
            <w:r w:rsidRPr="009021BE">
              <w:rPr>
                <w:i/>
                <w:sz w:val="20"/>
                <w:lang w:val="fr-CA"/>
              </w:rPr>
              <w:t>Règlement sur la pêche dans les parcs nationaux du Canada</w:t>
            </w:r>
            <w:r w:rsidRPr="009021BE">
              <w:rPr>
                <w:sz w:val="20"/>
                <w:lang w:val="fr-CA"/>
              </w:rPr>
              <w:t xml:space="preserve">, C.R.C., ch. 1120 et de la </w:t>
            </w:r>
            <w:r w:rsidRPr="009021BE">
              <w:rPr>
                <w:i/>
                <w:sz w:val="20"/>
                <w:lang w:val="fr-CA"/>
              </w:rPr>
              <w:t>Loi sur les parcs nationaux du Canada</w:t>
            </w:r>
            <w:r w:rsidRPr="009021BE">
              <w:rPr>
                <w:sz w:val="20"/>
                <w:lang w:val="fr-CA"/>
              </w:rPr>
              <w:t xml:space="preserve">, L.C. 2000, ch. 32. </w:t>
            </w:r>
          </w:p>
          <w:p w:rsidR="009021BE" w:rsidRPr="009021BE" w:rsidRDefault="009021BE" w:rsidP="009021BE">
            <w:pPr>
              <w:jc w:val="both"/>
              <w:rPr>
                <w:sz w:val="20"/>
                <w:lang w:val="fr-CA"/>
              </w:rPr>
            </w:pP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23 avril 2015</w:t>
            </w:r>
          </w:p>
          <w:p w:rsidR="009021BE" w:rsidRPr="009021BE" w:rsidRDefault="009021BE" w:rsidP="009021BE">
            <w:pPr>
              <w:jc w:val="both"/>
              <w:rPr>
                <w:sz w:val="20"/>
                <w:lang w:val="fr-CA"/>
              </w:rPr>
            </w:pPr>
            <w:r w:rsidRPr="009021BE">
              <w:rPr>
                <w:sz w:val="20"/>
                <w:lang w:val="fr-CA"/>
              </w:rPr>
              <w:t>Cour du Banc de la Reine du Nouveau-Brunswick</w:t>
            </w:r>
          </w:p>
          <w:p w:rsidR="009021BE" w:rsidRPr="009021BE" w:rsidRDefault="009021BE" w:rsidP="009021BE">
            <w:pPr>
              <w:jc w:val="both"/>
              <w:rPr>
                <w:sz w:val="20"/>
                <w:lang w:val="fr-CA"/>
              </w:rPr>
            </w:pPr>
            <w:r w:rsidRPr="009021BE">
              <w:rPr>
                <w:sz w:val="20"/>
                <w:lang w:val="fr-CA"/>
              </w:rPr>
              <w:t xml:space="preserve">(Juge </w:t>
            </w:r>
            <w:proofErr w:type="spellStart"/>
            <w:r w:rsidRPr="009021BE">
              <w:rPr>
                <w:sz w:val="20"/>
                <w:lang w:val="fr-CA"/>
              </w:rPr>
              <w:t>DeWare</w:t>
            </w:r>
            <w:proofErr w:type="spellEnd"/>
            <w:r w:rsidRPr="009021BE">
              <w:rPr>
                <w:sz w:val="20"/>
                <w:lang w:val="fr-CA"/>
              </w:rPr>
              <w:t>)</w:t>
            </w:r>
          </w:p>
          <w:p w:rsidR="009021BE" w:rsidRPr="009021BE" w:rsidRDefault="009021BE" w:rsidP="009021BE">
            <w:pPr>
              <w:jc w:val="both"/>
              <w:rPr>
                <w:sz w:val="20"/>
                <w:lang w:val="fr-CA"/>
              </w:rPr>
            </w:pPr>
            <w:hyperlink r:id="rId60" w:history="1">
              <w:r w:rsidRPr="009021BE">
                <w:rPr>
                  <w:rStyle w:val="Hyperlink"/>
                  <w:sz w:val="20"/>
                  <w:lang w:val="fr-CA"/>
                </w:rPr>
                <w:t>2015 NBQB 94</w:t>
              </w:r>
            </w:hyperlink>
            <w:r w:rsidRPr="009021BE">
              <w:rPr>
                <w:sz w:val="20"/>
                <w:lang w:val="fr-CA"/>
              </w:rPr>
              <w:t xml:space="preserve"> </w:t>
            </w:r>
          </w:p>
          <w:p w:rsidR="009021BE" w:rsidRPr="009021BE" w:rsidRDefault="009021BE" w:rsidP="009021BE">
            <w:pPr>
              <w:jc w:val="both"/>
              <w:rPr>
                <w:sz w:val="20"/>
                <w:lang w:val="fr-CA"/>
              </w:rPr>
            </w:pP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lang w:val="fr-CA"/>
              </w:rPr>
            </w:pPr>
            <w:r w:rsidRPr="009021BE">
              <w:rPr>
                <w:sz w:val="20"/>
                <w:lang w:val="fr-CA"/>
              </w:rPr>
              <w:t>Rejet par la cour d’appel en matière de poursuites sommaires de l’appel des déclarations de culpabilité des demandeurs.</w:t>
            </w:r>
          </w:p>
          <w:p w:rsidR="009021BE" w:rsidRPr="009021BE" w:rsidRDefault="009021BE" w:rsidP="009021BE">
            <w:pPr>
              <w:jc w:val="both"/>
              <w:rPr>
                <w:sz w:val="20"/>
                <w:lang w:val="fr-CA"/>
              </w:rPr>
            </w:pP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4 mai 2017</w:t>
            </w:r>
          </w:p>
          <w:p w:rsidR="009021BE" w:rsidRPr="009021BE" w:rsidRDefault="009021BE" w:rsidP="009021BE">
            <w:pPr>
              <w:jc w:val="both"/>
              <w:rPr>
                <w:sz w:val="20"/>
                <w:lang w:val="fr-CA"/>
              </w:rPr>
            </w:pPr>
            <w:r w:rsidRPr="009021BE">
              <w:rPr>
                <w:sz w:val="20"/>
                <w:lang w:val="fr-CA"/>
              </w:rPr>
              <w:t>Cour d’appel du Nouveau-Brunswick</w:t>
            </w:r>
          </w:p>
          <w:p w:rsidR="009021BE" w:rsidRPr="009021BE" w:rsidRDefault="009021BE" w:rsidP="009021BE">
            <w:pPr>
              <w:jc w:val="both"/>
              <w:rPr>
                <w:sz w:val="20"/>
                <w:lang w:val="fr-CA"/>
              </w:rPr>
            </w:pPr>
            <w:r w:rsidRPr="009021BE">
              <w:rPr>
                <w:sz w:val="20"/>
                <w:lang w:val="fr-CA"/>
              </w:rPr>
              <w:t xml:space="preserve">(Juges Richard, </w:t>
            </w:r>
            <w:proofErr w:type="spellStart"/>
            <w:r w:rsidRPr="009021BE">
              <w:rPr>
                <w:sz w:val="20"/>
                <w:lang w:val="fr-CA"/>
              </w:rPr>
              <w:t>Quigg</w:t>
            </w:r>
            <w:proofErr w:type="spellEnd"/>
            <w:r w:rsidRPr="009021BE">
              <w:rPr>
                <w:sz w:val="20"/>
                <w:lang w:val="fr-CA"/>
              </w:rPr>
              <w:t xml:space="preserve"> et Green)</w:t>
            </w:r>
          </w:p>
          <w:p w:rsidR="009021BE" w:rsidRPr="009021BE" w:rsidRDefault="009021BE" w:rsidP="009021BE">
            <w:pPr>
              <w:jc w:val="both"/>
              <w:rPr>
                <w:sz w:val="20"/>
                <w:lang w:val="fr-CA"/>
              </w:rPr>
            </w:pPr>
            <w:hyperlink r:id="rId61" w:history="1">
              <w:r w:rsidRPr="009021BE">
                <w:rPr>
                  <w:rStyle w:val="Hyperlink"/>
                  <w:sz w:val="20"/>
                  <w:lang w:val="fr-CA"/>
                </w:rPr>
                <w:t>2017 NBCA 21</w:t>
              </w:r>
            </w:hyperlink>
          </w:p>
          <w:p w:rsidR="009021BE" w:rsidRPr="009021BE" w:rsidRDefault="009021BE" w:rsidP="009021BE">
            <w:pPr>
              <w:jc w:val="both"/>
              <w:rPr>
                <w:sz w:val="20"/>
                <w:lang w:val="fr-CA"/>
              </w:rPr>
            </w:pP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lang w:val="fr-CA"/>
              </w:rPr>
            </w:pPr>
            <w:r w:rsidRPr="009021BE">
              <w:rPr>
                <w:sz w:val="20"/>
                <w:lang w:val="fr-CA"/>
              </w:rPr>
              <w:t>Rejet de la demande d’autorisation d’appel des demandeurs.</w:t>
            </w:r>
          </w:p>
          <w:p w:rsidR="009021BE" w:rsidRPr="009021BE" w:rsidRDefault="009021BE" w:rsidP="009021BE">
            <w:pPr>
              <w:jc w:val="both"/>
              <w:rPr>
                <w:sz w:val="20"/>
                <w:lang w:val="fr-CA"/>
              </w:rPr>
            </w:pP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4 août 2017</w:t>
            </w:r>
          </w:p>
          <w:p w:rsidR="009021BE" w:rsidRPr="009021BE" w:rsidRDefault="009021BE" w:rsidP="009021BE">
            <w:pPr>
              <w:jc w:val="both"/>
              <w:rPr>
                <w:sz w:val="20"/>
                <w:lang w:val="fr-CA"/>
              </w:rPr>
            </w:pPr>
            <w:r w:rsidRPr="009021BE">
              <w:rPr>
                <w:sz w:val="20"/>
                <w:lang w:val="fr-CA"/>
              </w:rPr>
              <w:t>Cour suprême du Canada</w:t>
            </w:r>
          </w:p>
          <w:p w:rsidR="009021BE" w:rsidRPr="009021BE" w:rsidRDefault="009021BE" w:rsidP="009021BE">
            <w:pPr>
              <w:jc w:val="both"/>
              <w:rPr>
                <w:sz w:val="20"/>
                <w:lang w:val="fr-CA"/>
              </w:rPr>
            </w:pP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lang w:val="fr-CA"/>
              </w:rPr>
            </w:pPr>
            <w:r w:rsidRPr="009021BE">
              <w:rPr>
                <w:sz w:val="20"/>
                <w:lang w:val="fr-CA"/>
              </w:rPr>
              <w:t>Dépôt de la demande d’autorisation d’appel et de la requête en vue de déposer un mémoire volumineux.</w:t>
            </w:r>
          </w:p>
          <w:p w:rsidR="009021BE" w:rsidRPr="009021BE" w:rsidRDefault="009021BE" w:rsidP="009021BE">
            <w:pPr>
              <w:jc w:val="both"/>
              <w:rPr>
                <w:sz w:val="20"/>
                <w:lang w:val="fr-CA"/>
              </w:rPr>
            </w:pPr>
          </w:p>
        </w:tc>
      </w:tr>
      <w:tr w:rsidR="009021BE" w:rsidRPr="009021BE" w:rsidTr="00E95A6A">
        <w:tc>
          <w:tcPr>
            <w:tcW w:w="2427" w:type="pct"/>
            <w:gridSpan w:val="2"/>
          </w:tcPr>
          <w:p w:rsidR="009021BE" w:rsidRPr="009021BE" w:rsidRDefault="009021BE" w:rsidP="009021BE">
            <w:pPr>
              <w:jc w:val="both"/>
              <w:rPr>
                <w:sz w:val="20"/>
                <w:lang w:val="fr-CA"/>
              </w:rPr>
            </w:pPr>
            <w:r w:rsidRPr="009021BE">
              <w:rPr>
                <w:sz w:val="20"/>
                <w:lang w:val="fr-CA"/>
              </w:rPr>
              <w:t>15 décembre 2017</w:t>
            </w:r>
          </w:p>
          <w:p w:rsidR="009021BE" w:rsidRPr="009021BE" w:rsidRDefault="009021BE" w:rsidP="009021BE">
            <w:pPr>
              <w:jc w:val="both"/>
              <w:rPr>
                <w:sz w:val="20"/>
                <w:lang w:val="fr-CA"/>
              </w:rPr>
            </w:pPr>
            <w:r w:rsidRPr="009021BE">
              <w:rPr>
                <w:sz w:val="20"/>
                <w:lang w:val="fr-CA"/>
              </w:rPr>
              <w:t>Cour suprême du Canada</w:t>
            </w:r>
          </w:p>
        </w:tc>
        <w:tc>
          <w:tcPr>
            <w:tcW w:w="243" w:type="pct"/>
          </w:tcPr>
          <w:p w:rsidR="009021BE" w:rsidRPr="009021BE" w:rsidRDefault="009021BE" w:rsidP="009021BE">
            <w:pPr>
              <w:jc w:val="both"/>
              <w:rPr>
                <w:sz w:val="20"/>
                <w:lang w:val="fr-CA"/>
              </w:rPr>
            </w:pPr>
          </w:p>
        </w:tc>
        <w:tc>
          <w:tcPr>
            <w:tcW w:w="2330" w:type="pct"/>
          </w:tcPr>
          <w:p w:rsidR="009021BE" w:rsidRPr="009021BE" w:rsidRDefault="009021BE" w:rsidP="009021BE">
            <w:pPr>
              <w:jc w:val="both"/>
              <w:rPr>
                <w:sz w:val="20"/>
                <w:lang w:val="fr-CA"/>
              </w:rPr>
            </w:pPr>
            <w:r w:rsidRPr="009021BE">
              <w:rPr>
                <w:sz w:val="20"/>
                <w:lang w:val="fr-CA"/>
              </w:rPr>
              <w:t>Dépôt de la requête en prorogation du délai de signification et de dépôt de la demande d’autorisation d’appel</w:t>
            </w:r>
          </w:p>
        </w:tc>
      </w:tr>
    </w:tbl>
    <w:p w:rsidR="009021BE" w:rsidRPr="009021BE" w:rsidRDefault="009021BE" w:rsidP="00957A1E">
      <w:pPr>
        <w:jc w:val="both"/>
        <w:rPr>
          <w:sz w:val="20"/>
          <w:lang w:val="fr-CA"/>
        </w:rPr>
      </w:pPr>
    </w:p>
    <w:p w:rsidR="00685F7C" w:rsidRPr="009021BE" w:rsidRDefault="00685F7C" w:rsidP="00957A1E">
      <w:pPr>
        <w:jc w:val="both"/>
        <w:rPr>
          <w:sz w:val="20"/>
          <w:lang w:val="fr-CA"/>
        </w:rPr>
      </w:pPr>
    </w:p>
    <w:p w:rsidR="00691CDA" w:rsidRPr="009021BE" w:rsidRDefault="00691CDA" w:rsidP="00A169B5">
      <w:pPr>
        <w:tabs>
          <w:tab w:val="left" w:pos="900"/>
          <w:tab w:val="center" w:pos="5760"/>
        </w:tabs>
        <w:ind w:left="360" w:hanging="360"/>
        <w:rPr>
          <w:sz w:val="20"/>
          <w:lang w:val="fr-CA"/>
        </w:rPr>
      </w:pPr>
    </w:p>
    <w:p w:rsidR="00D3344A" w:rsidRPr="0056329F" w:rsidRDefault="00D3344A" w:rsidP="00D3344A">
      <w:pPr>
        <w:widowControl w:val="0"/>
        <w:outlineLvl w:val="0"/>
      </w:pPr>
      <w:r w:rsidRPr="0056329F">
        <w:t xml:space="preserve">Supreme Court of Canada / Cour suprême du </w:t>
      </w:r>
      <w:proofErr w:type="gramStart"/>
      <w:r w:rsidRPr="0056329F">
        <w:t>Canad</w:t>
      </w:r>
      <w:r w:rsidR="00EE289F" w:rsidRPr="0056329F">
        <w:t>a</w:t>
      </w:r>
      <w:r w:rsidRPr="0056329F">
        <w:t xml:space="preserve"> :</w:t>
      </w:r>
      <w:proofErr w:type="gramEnd"/>
    </w:p>
    <w:p w:rsidR="00D3344A" w:rsidRPr="0056329F" w:rsidRDefault="00AC5362" w:rsidP="00D3344A">
      <w:pPr>
        <w:widowControl w:val="0"/>
        <w:outlineLvl w:val="0"/>
        <w:rPr>
          <w:u w:val="single"/>
        </w:rPr>
      </w:pPr>
      <w:hyperlink r:id="rId62" w:history="1">
        <w:r w:rsidR="009B7391" w:rsidRPr="0056329F">
          <w:rPr>
            <w:rStyle w:val="Hyperlink"/>
          </w:rPr>
          <w:t>comments-commentaires@scc-csc.ca</w:t>
        </w:r>
      </w:hyperlink>
    </w:p>
    <w:p w:rsidR="00D3344A" w:rsidRPr="0056329F" w:rsidRDefault="0065588C" w:rsidP="00D3344A">
      <w:pPr>
        <w:widowControl w:val="0"/>
        <w:outlineLvl w:val="0"/>
      </w:pPr>
      <w:r w:rsidRPr="0056329F">
        <w:t>613-</w:t>
      </w:r>
      <w:r w:rsidR="00D3344A" w:rsidRPr="0056329F">
        <w:t>995-4330</w:t>
      </w:r>
    </w:p>
    <w:p w:rsidR="00497B5E" w:rsidRPr="0056329F" w:rsidRDefault="00497B5E" w:rsidP="00497B5E">
      <w:pPr>
        <w:widowControl w:val="0"/>
        <w:rPr>
          <w:sz w:val="20"/>
        </w:rPr>
      </w:pPr>
    </w:p>
    <w:p w:rsidR="00F6251B" w:rsidRPr="006E558B" w:rsidRDefault="003F43E6" w:rsidP="00F6251B">
      <w:pPr>
        <w:pStyle w:val="Footer"/>
        <w:jc w:val="center"/>
      </w:pPr>
      <w:r w:rsidRPr="0056329F">
        <w:t>- 30 -</w:t>
      </w:r>
    </w:p>
    <w:sectPr w:rsidR="00F6251B" w:rsidRPr="006E558B" w:rsidSect="00524822">
      <w:headerReference w:type="even" r:id="rId63"/>
      <w:headerReference w:type="default" r:id="rId64"/>
      <w:footerReference w:type="even" r:id="rId65"/>
      <w:footerReference w:type="default" r:id="rId66"/>
      <w:headerReference w:type="first" r:id="rId67"/>
      <w:footerReference w:type="first" r:id="rId68"/>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A4E"/>
    <w:multiLevelType w:val="hybridMultilevel"/>
    <w:tmpl w:val="1786E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45F44"/>
    <w:multiLevelType w:val="hybridMultilevel"/>
    <w:tmpl w:val="50287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F5C7B"/>
    <w:multiLevelType w:val="hybridMultilevel"/>
    <w:tmpl w:val="8E8E70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FE5456D"/>
    <w:multiLevelType w:val="hybridMultilevel"/>
    <w:tmpl w:val="3F749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65E8D"/>
    <w:multiLevelType w:val="hybridMultilevel"/>
    <w:tmpl w:val="0B1C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25BBA"/>
    <w:multiLevelType w:val="hybridMultilevel"/>
    <w:tmpl w:val="9204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4"/>
  </w:num>
  <w:num w:numId="5">
    <w:abstractNumId w:val="6"/>
  </w:num>
  <w:num w:numId="6">
    <w:abstractNumId w:val="5"/>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75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9E1"/>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A01"/>
    <w:rsid w:val="00054F8E"/>
    <w:rsid w:val="00055DB2"/>
    <w:rsid w:val="000577D9"/>
    <w:rsid w:val="000579A0"/>
    <w:rsid w:val="00060753"/>
    <w:rsid w:val="00060B62"/>
    <w:rsid w:val="00061283"/>
    <w:rsid w:val="0006231F"/>
    <w:rsid w:val="000627A2"/>
    <w:rsid w:val="000629D7"/>
    <w:rsid w:val="0006325B"/>
    <w:rsid w:val="00063A81"/>
    <w:rsid w:val="0006417A"/>
    <w:rsid w:val="000645F4"/>
    <w:rsid w:val="00065F8F"/>
    <w:rsid w:val="0006649C"/>
    <w:rsid w:val="00066B80"/>
    <w:rsid w:val="00067F50"/>
    <w:rsid w:val="00070830"/>
    <w:rsid w:val="0007424A"/>
    <w:rsid w:val="00074EB7"/>
    <w:rsid w:val="00077C71"/>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F1E"/>
    <w:rsid w:val="000E50F2"/>
    <w:rsid w:val="000E514D"/>
    <w:rsid w:val="000E51E9"/>
    <w:rsid w:val="000E5407"/>
    <w:rsid w:val="000E5979"/>
    <w:rsid w:val="000E68D3"/>
    <w:rsid w:val="000F03FB"/>
    <w:rsid w:val="000F0595"/>
    <w:rsid w:val="000F12B8"/>
    <w:rsid w:val="000F233F"/>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6583"/>
    <w:rsid w:val="0012732F"/>
    <w:rsid w:val="001307C5"/>
    <w:rsid w:val="00131433"/>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5EAA"/>
    <w:rsid w:val="001665EA"/>
    <w:rsid w:val="00167721"/>
    <w:rsid w:val="001708BE"/>
    <w:rsid w:val="0017098A"/>
    <w:rsid w:val="001716F7"/>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2693"/>
    <w:rsid w:val="001826A0"/>
    <w:rsid w:val="00182705"/>
    <w:rsid w:val="00182DFB"/>
    <w:rsid w:val="00182E38"/>
    <w:rsid w:val="001838E0"/>
    <w:rsid w:val="00183A15"/>
    <w:rsid w:val="00185355"/>
    <w:rsid w:val="00185483"/>
    <w:rsid w:val="00185D52"/>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073F"/>
    <w:rsid w:val="001D1020"/>
    <w:rsid w:val="001D1E16"/>
    <w:rsid w:val="001D235D"/>
    <w:rsid w:val="001D2555"/>
    <w:rsid w:val="001D337C"/>
    <w:rsid w:val="001D380D"/>
    <w:rsid w:val="001D65C6"/>
    <w:rsid w:val="001E04E8"/>
    <w:rsid w:val="001E1EE3"/>
    <w:rsid w:val="001E1F20"/>
    <w:rsid w:val="001E394B"/>
    <w:rsid w:val="001E3BCD"/>
    <w:rsid w:val="001E4E84"/>
    <w:rsid w:val="001E4EBC"/>
    <w:rsid w:val="001E55D4"/>
    <w:rsid w:val="001E71B5"/>
    <w:rsid w:val="001E7B18"/>
    <w:rsid w:val="001F15CD"/>
    <w:rsid w:val="001F1F3F"/>
    <w:rsid w:val="001F27B1"/>
    <w:rsid w:val="001F2F00"/>
    <w:rsid w:val="001F348D"/>
    <w:rsid w:val="001F3AE7"/>
    <w:rsid w:val="001F47D0"/>
    <w:rsid w:val="001F5B11"/>
    <w:rsid w:val="001F69E8"/>
    <w:rsid w:val="001F7038"/>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2BE"/>
    <w:rsid w:val="002613AC"/>
    <w:rsid w:val="00261D3C"/>
    <w:rsid w:val="00262C42"/>
    <w:rsid w:val="0026349D"/>
    <w:rsid w:val="00265174"/>
    <w:rsid w:val="00266E0E"/>
    <w:rsid w:val="00266FD4"/>
    <w:rsid w:val="002671CC"/>
    <w:rsid w:val="00267241"/>
    <w:rsid w:val="002676FA"/>
    <w:rsid w:val="00270135"/>
    <w:rsid w:val="0027099E"/>
    <w:rsid w:val="002709E7"/>
    <w:rsid w:val="00271222"/>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B68FE"/>
    <w:rsid w:val="002C0BC3"/>
    <w:rsid w:val="002C10D1"/>
    <w:rsid w:val="002C239C"/>
    <w:rsid w:val="002C30B8"/>
    <w:rsid w:val="002C3A5F"/>
    <w:rsid w:val="002C3CEB"/>
    <w:rsid w:val="002C5754"/>
    <w:rsid w:val="002C6BF5"/>
    <w:rsid w:val="002D0C49"/>
    <w:rsid w:val="002D0F70"/>
    <w:rsid w:val="002D2333"/>
    <w:rsid w:val="002D2553"/>
    <w:rsid w:val="002D43A1"/>
    <w:rsid w:val="002D6310"/>
    <w:rsid w:val="002D63D6"/>
    <w:rsid w:val="002D6680"/>
    <w:rsid w:val="002D6EFA"/>
    <w:rsid w:val="002E00CC"/>
    <w:rsid w:val="002E0473"/>
    <w:rsid w:val="002E0BB8"/>
    <w:rsid w:val="002E1197"/>
    <w:rsid w:val="002E1AB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535C"/>
    <w:rsid w:val="0033559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47CC0"/>
    <w:rsid w:val="003509E6"/>
    <w:rsid w:val="00351237"/>
    <w:rsid w:val="00351946"/>
    <w:rsid w:val="0035210E"/>
    <w:rsid w:val="003521FD"/>
    <w:rsid w:val="00352802"/>
    <w:rsid w:val="00352C0E"/>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383"/>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4B3"/>
    <w:rsid w:val="003B693A"/>
    <w:rsid w:val="003B6E18"/>
    <w:rsid w:val="003B7053"/>
    <w:rsid w:val="003B7102"/>
    <w:rsid w:val="003B7EA2"/>
    <w:rsid w:val="003C0862"/>
    <w:rsid w:val="003C0C25"/>
    <w:rsid w:val="003C160A"/>
    <w:rsid w:val="003C2377"/>
    <w:rsid w:val="003C2BBD"/>
    <w:rsid w:val="003C2CE7"/>
    <w:rsid w:val="003C2D62"/>
    <w:rsid w:val="003C3097"/>
    <w:rsid w:val="003C3816"/>
    <w:rsid w:val="003C4234"/>
    <w:rsid w:val="003C5F5E"/>
    <w:rsid w:val="003C5FC2"/>
    <w:rsid w:val="003C6A1E"/>
    <w:rsid w:val="003C6BB7"/>
    <w:rsid w:val="003C7603"/>
    <w:rsid w:val="003D0A88"/>
    <w:rsid w:val="003D12C2"/>
    <w:rsid w:val="003D19A0"/>
    <w:rsid w:val="003D27BD"/>
    <w:rsid w:val="003D353C"/>
    <w:rsid w:val="003D63C8"/>
    <w:rsid w:val="003D6472"/>
    <w:rsid w:val="003D7756"/>
    <w:rsid w:val="003E19E7"/>
    <w:rsid w:val="003E29B3"/>
    <w:rsid w:val="003E36C0"/>
    <w:rsid w:val="003E3724"/>
    <w:rsid w:val="003E3957"/>
    <w:rsid w:val="003E487B"/>
    <w:rsid w:val="003E5DFE"/>
    <w:rsid w:val="003E5F4F"/>
    <w:rsid w:val="003E6A80"/>
    <w:rsid w:val="003E6EF7"/>
    <w:rsid w:val="003E7F59"/>
    <w:rsid w:val="003F0D8B"/>
    <w:rsid w:val="003F1E6F"/>
    <w:rsid w:val="003F1F9E"/>
    <w:rsid w:val="003F2A93"/>
    <w:rsid w:val="003F3BC1"/>
    <w:rsid w:val="003F3D76"/>
    <w:rsid w:val="003F43E6"/>
    <w:rsid w:val="003F4894"/>
    <w:rsid w:val="003F4DDB"/>
    <w:rsid w:val="003F5065"/>
    <w:rsid w:val="003F61E1"/>
    <w:rsid w:val="003F704D"/>
    <w:rsid w:val="003F77FC"/>
    <w:rsid w:val="004000BE"/>
    <w:rsid w:val="00401D3D"/>
    <w:rsid w:val="004020AB"/>
    <w:rsid w:val="004026BA"/>
    <w:rsid w:val="00403038"/>
    <w:rsid w:val="004030D5"/>
    <w:rsid w:val="0040388F"/>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E76"/>
    <w:rsid w:val="00431731"/>
    <w:rsid w:val="00431779"/>
    <w:rsid w:val="00431A2A"/>
    <w:rsid w:val="00431CE6"/>
    <w:rsid w:val="00431F2E"/>
    <w:rsid w:val="00433C39"/>
    <w:rsid w:val="00433C3E"/>
    <w:rsid w:val="00433DA2"/>
    <w:rsid w:val="004343BC"/>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F7"/>
    <w:rsid w:val="004B26C7"/>
    <w:rsid w:val="004B2A91"/>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27DD"/>
    <w:rsid w:val="004F40AB"/>
    <w:rsid w:val="004F47F7"/>
    <w:rsid w:val="004F5AD4"/>
    <w:rsid w:val="004F5E74"/>
    <w:rsid w:val="004F7CCB"/>
    <w:rsid w:val="0050050B"/>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B18"/>
    <w:rsid w:val="00561F0C"/>
    <w:rsid w:val="005624E0"/>
    <w:rsid w:val="0056329F"/>
    <w:rsid w:val="0056339B"/>
    <w:rsid w:val="00563DF3"/>
    <w:rsid w:val="00564EBB"/>
    <w:rsid w:val="0056580C"/>
    <w:rsid w:val="00565B20"/>
    <w:rsid w:val="00566C79"/>
    <w:rsid w:val="00567966"/>
    <w:rsid w:val="00570169"/>
    <w:rsid w:val="00571FF4"/>
    <w:rsid w:val="005748A1"/>
    <w:rsid w:val="00575001"/>
    <w:rsid w:val="005757C3"/>
    <w:rsid w:val="00580185"/>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40A5"/>
    <w:rsid w:val="005D5D26"/>
    <w:rsid w:val="005D5EBA"/>
    <w:rsid w:val="005E00F5"/>
    <w:rsid w:val="005E0B86"/>
    <w:rsid w:val="005E0FA3"/>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601639"/>
    <w:rsid w:val="006024F3"/>
    <w:rsid w:val="006028B7"/>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4B90"/>
    <w:rsid w:val="00646E32"/>
    <w:rsid w:val="00646E56"/>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A7E"/>
    <w:rsid w:val="00686C41"/>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46C7"/>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2A6"/>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1002"/>
    <w:rsid w:val="00741637"/>
    <w:rsid w:val="007418D4"/>
    <w:rsid w:val="00741E81"/>
    <w:rsid w:val="00742121"/>
    <w:rsid w:val="00743353"/>
    <w:rsid w:val="0074467F"/>
    <w:rsid w:val="00744F24"/>
    <w:rsid w:val="0074501E"/>
    <w:rsid w:val="00745868"/>
    <w:rsid w:val="00746472"/>
    <w:rsid w:val="00746CD0"/>
    <w:rsid w:val="00746F76"/>
    <w:rsid w:val="00747C5A"/>
    <w:rsid w:val="00747CD0"/>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5A39"/>
    <w:rsid w:val="007861AA"/>
    <w:rsid w:val="00787447"/>
    <w:rsid w:val="0078776F"/>
    <w:rsid w:val="007900EA"/>
    <w:rsid w:val="00790BDA"/>
    <w:rsid w:val="00790CD2"/>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28F"/>
    <w:rsid w:val="007B09DF"/>
    <w:rsid w:val="007B16A1"/>
    <w:rsid w:val="007B2DB6"/>
    <w:rsid w:val="007B300E"/>
    <w:rsid w:val="007B30CA"/>
    <w:rsid w:val="007B3A11"/>
    <w:rsid w:val="007B3AFD"/>
    <w:rsid w:val="007B530F"/>
    <w:rsid w:val="007B567F"/>
    <w:rsid w:val="007B57E8"/>
    <w:rsid w:val="007B65D4"/>
    <w:rsid w:val="007B67FE"/>
    <w:rsid w:val="007B7B2B"/>
    <w:rsid w:val="007B7B34"/>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1C5"/>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095"/>
    <w:rsid w:val="00881457"/>
    <w:rsid w:val="00881918"/>
    <w:rsid w:val="00882802"/>
    <w:rsid w:val="00882B0F"/>
    <w:rsid w:val="008836A7"/>
    <w:rsid w:val="00883749"/>
    <w:rsid w:val="00884467"/>
    <w:rsid w:val="00884AB6"/>
    <w:rsid w:val="008872D7"/>
    <w:rsid w:val="00887E8C"/>
    <w:rsid w:val="00887F03"/>
    <w:rsid w:val="00893B95"/>
    <w:rsid w:val="008941B2"/>
    <w:rsid w:val="0089486E"/>
    <w:rsid w:val="00896875"/>
    <w:rsid w:val="008A0D44"/>
    <w:rsid w:val="008A1084"/>
    <w:rsid w:val="008A1C2F"/>
    <w:rsid w:val="008A1DA7"/>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1BE"/>
    <w:rsid w:val="0090233F"/>
    <w:rsid w:val="009026E8"/>
    <w:rsid w:val="009030B0"/>
    <w:rsid w:val="009031E3"/>
    <w:rsid w:val="009035A2"/>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491"/>
    <w:rsid w:val="00945752"/>
    <w:rsid w:val="00946910"/>
    <w:rsid w:val="00947C38"/>
    <w:rsid w:val="00952CCB"/>
    <w:rsid w:val="00953BFE"/>
    <w:rsid w:val="009550BB"/>
    <w:rsid w:val="00955992"/>
    <w:rsid w:val="00956067"/>
    <w:rsid w:val="00956244"/>
    <w:rsid w:val="00956304"/>
    <w:rsid w:val="00957342"/>
    <w:rsid w:val="009574F2"/>
    <w:rsid w:val="00957921"/>
    <w:rsid w:val="00957A1E"/>
    <w:rsid w:val="00957A76"/>
    <w:rsid w:val="00957C00"/>
    <w:rsid w:val="00960719"/>
    <w:rsid w:val="009619CF"/>
    <w:rsid w:val="00962255"/>
    <w:rsid w:val="00962B2A"/>
    <w:rsid w:val="00963502"/>
    <w:rsid w:val="00963C96"/>
    <w:rsid w:val="009648EF"/>
    <w:rsid w:val="00966B53"/>
    <w:rsid w:val="00970584"/>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5D5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E84"/>
    <w:rsid w:val="009E38AF"/>
    <w:rsid w:val="009E52A8"/>
    <w:rsid w:val="009E673E"/>
    <w:rsid w:val="009E68BE"/>
    <w:rsid w:val="009E7AD8"/>
    <w:rsid w:val="009F096D"/>
    <w:rsid w:val="009F0C01"/>
    <w:rsid w:val="009F0D41"/>
    <w:rsid w:val="009F161C"/>
    <w:rsid w:val="009F1BC2"/>
    <w:rsid w:val="009F28F7"/>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BBF"/>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498A"/>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3A0"/>
    <w:rsid w:val="00AA66A3"/>
    <w:rsid w:val="00AB044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C5362"/>
    <w:rsid w:val="00AC7B7D"/>
    <w:rsid w:val="00AD0097"/>
    <w:rsid w:val="00AD020B"/>
    <w:rsid w:val="00AD08E5"/>
    <w:rsid w:val="00AD0D5C"/>
    <w:rsid w:val="00AD0E15"/>
    <w:rsid w:val="00AD129B"/>
    <w:rsid w:val="00AD1A96"/>
    <w:rsid w:val="00AD1E0A"/>
    <w:rsid w:val="00AD1E79"/>
    <w:rsid w:val="00AD2385"/>
    <w:rsid w:val="00AD2A29"/>
    <w:rsid w:val="00AD2FCF"/>
    <w:rsid w:val="00AD4728"/>
    <w:rsid w:val="00AD4CC2"/>
    <w:rsid w:val="00AD4F89"/>
    <w:rsid w:val="00AD52A6"/>
    <w:rsid w:val="00AD5AE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B2E"/>
    <w:rsid w:val="00B02C5B"/>
    <w:rsid w:val="00B02DE3"/>
    <w:rsid w:val="00B037AA"/>
    <w:rsid w:val="00B03A9D"/>
    <w:rsid w:val="00B054BA"/>
    <w:rsid w:val="00B06804"/>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4336"/>
    <w:rsid w:val="00B5549D"/>
    <w:rsid w:val="00B56011"/>
    <w:rsid w:val="00B56EF5"/>
    <w:rsid w:val="00B57C19"/>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540B"/>
    <w:rsid w:val="00BE6364"/>
    <w:rsid w:val="00BE6576"/>
    <w:rsid w:val="00BE7433"/>
    <w:rsid w:val="00BE7BE2"/>
    <w:rsid w:val="00BE7CB6"/>
    <w:rsid w:val="00BF048F"/>
    <w:rsid w:val="00BF159A"/>
    <w:rsid w:val="00BF1A2A"/>
    <w:rsid w:val="00BF1EEF"/>
    <w:rsid w:val="00BF1FCA"/>
    <w:rsid w:val="00BF319D"/>
    <w:rsid w:val="00BF44FB"/>
    <w:rsid w:val="00BF5160"/>
    <w:rsid w:val="00BF7494"/>
    <w:rsid w:val="00BF7FF6"/>
    <w:rsid w:val="00C00650"/>
    <w:rsid w:val="00C00E23"/>
    <w:rsid w:val="00C012C4"/>
    <w:rsid w:val="00C021BB"/>
    <w:rsid w:val="00C026F9"/>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E5E"/>
    <w:rsid w:val="00C412AD"/>
    <w:rsid w:val="00C418F0"/>
    <w:rsid w:val="00C419F7"/>
    <w:rsid w:val="00C42040"/>
    <w:rsid w:val="00C4313B"/>
    <w:rsid w:val="00C435AB"/>
    <w:rsid w:val="00C44016"/>
    <w:rsid w:val="00C45F01"/>
    <w:rsid w:val="00C4698C"/>
    <w:rsid w:val="00C516F1"/>
    <w:rsid w:val="00C5207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B57"/>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209C"/>
    <w:rsid w:val="00C9319C"/>
    <w:rsid w:val="00C935F6"/>
    <w:rsid w:val="00C95234"/>
    <w:rsid w:val="00C971B3"/>
    <w:rsid w:val="00C9788C"/>
    <w:rsid w:val="00C97C59"/>
    <w:rsid w:val="00CA047B"/>
    <w:rsid w:val="00CA06A9"/>
    <w:rsid w:val="00CA08E3"/>
    <w:rsid w:val="00CA0C2B"/>
    <w:rsid w:val="00CA2734"/>
    <w:rsid w:val="00CA37CC"/>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6AA3"/>
    <w:rsid w:val="00CF732A"/>
    <w:rsid w:val="00D00533"/>
    <w:rsid w:val="00D00540"/>
    <w:rsid w:val="00D0083A"/>
    <w:rsid w:val="00D00AA4"/>
    <w:rsid w:val="00D01406"/>
    <w:rsid w:val="00D015A7"/>
    <w:rsid w:val="00D0250E"/>
    <w:rsid w:val="00D0423A"/>
    <w:rsid w:val="00D04A90"/>
    <w:rsid w:val="00D05D7C"/>
    <w:rsid w:val="00D06573"/>
    <w:rsid w:val="00D06EF2"/>
    <w:rsid w:val="00D07131"/>
    <w:rsid w:val="00D07526"/>
    <w:rsid w:val="00D07E3B"/>
    <w:rsid w:val="00D1233D"/>
    <w:rsid w:val="00D123CF"/>
    <w:rsid w:val="00D1308F"/>
    <w:rsid w:val="00D13678"/>
    <w:rsid w:val="00D1460D"/>
    <w:rsid w:val="00D14B1E"/>
    <w:rsid w:val="00D152F0"/>
    <w:rsid w:val="00D1550B"/>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7C6"/>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19C3"/>
    <w:rsid w:val="00DD3483"/>
    <w:rsid w:val="00DD40A3"/>
    <w:rsid w:val="00DD4C6C"/>
    <w:rsid w:val="00DD4D17"/>
    <w:rsid w:val="00DD5846"/>
    <w:rsid w:val="00DD620A"/>
    <w:rsid w:val="00DD6AAC"/>
    <w:rsid w:val="00DD7392"/>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1212"/>
    <w:rsid w:val="00DF12DD"/>
    <w:rsid w:val="00DF1A38"/>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316"/>
    <w:rsid w:val="00E06B80"/>
    <w:rsid w:val="00E06E46"/>
    <w:rsid w:val="00E10EA2"/>
    <w:rsid w:val="00E10F8D"/>
    <w:rsid w:val="00E114D9"/>
    <w:rsid w:val="00E11EF2"/>
    <w:rsid w:val="00E126BB"/>
    <w:rsid w:val="00E1305B"/>
    <w:rsid w:val="00E134A9"/>
    <w:rsid w:val="00E135F9"/>
    <w:rsid w:val="00E136F7"/>
    <w:rsid w:val="00E13771"/>
    <w:rsid w:val="00E140FF"/>
    <w:rsid w:val="00E14AED"/>
    <w:rsid w:val="00E14D31"/>
    <w:rsid w:val="00E150E0"/>
    <w:rsid w:val="00E155F6"/>
    <w:rsid w:val="00E167A2"/>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DDA"/>
    <w:rsid w:val="00E30009"/>
    <w:rsid w:val="00E30B9B"/>
    <w:rsid w:val="00E30FF3"/>
    <w:rsid w:val="00E3151F"/>
    <w:rsid w:val="00E31BA9"/>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936"/>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224E"/>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0E87"/>
    <w:rsid w:val="00ED1037"/>
    <w:rsid w:val="00ED11BA"/>
    <w:rsid w:val="00ED1764"/>
    <w:rsid w:val="00ED200B"/>
    <w:rsid w:val="00ED2520"/>
    <w:rsid w:val="00ED2E12"/>
    <w:rsid w:val="00ED3EDC"/>
    <w:rsid w:val="00ED4F03"/>
    <w:rsid w:val="00ED52B2"/>
    <w:rsid w:val="00ED552A"/>
    <w:rsid w:val="00ED56DC"/>
    <w:rsid w:val="00EE0ADC"/>
    <w:rsid w:val="00EE173D"/>
    <w:rsid w:val="00EE231A"/>
    <w:rsid w:val="00EE24D6"/>
    <w:rsid w:val="00EE289F"/>
    <w:rsid w:val="00EE59C6"/>
    <w:rsid w:val="00EE69B9"/>
    <w:rsid w:val="00EE75E5"/>
    <w:rsid w:val="00EF0066"/>
    <w:rsid w:val="00EF1864"/>
    <w:rsid w:val="00EF26B4"/>
    <w:rsid w:val="00EF2732"/>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403"/>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2400"/>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reflex3-alt">
    <w:name w:val="reflex3-alt"/>
    <w:basedOn w:val="DefaultParagraphFont"/>
    <w:rsid w:val="00902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717" TargetMode="External"/><Relationship Id="rId18" Type="http://schemas.openxmlformats.org/officeDocument/2006/relationships/hyperlink" Target="https://www.canlii.org/fr/qc/qccs/doc/2015/2015qccs2680/2015qccs2680.pdf" TargetMode="External"/><Relationship Id="rId26" Type="http://schemas.openxmlformats.org/officeDocument/2006/relationships/hyperlink" Target="https://www.canlii.org/en/ab/abqb/doc/2016/2016abqb203/2016abqb203.html?autocompleteStr=2016%20ABQB%20203&amp;autocompletePos=1" TargetMode="External"/><Relationship Id="rId39" Type="http://schemas.openxmlformats.org/officeDocument/2006/relationships/hyperlink" Target="http://canlii.ca/t/h3z0f" TargetMode="External"/><Relationship Id="rId21" Type="http://schemas.openxmlformats.org/officeDocument/2006/relationships/hyperlink" Target="https://www.canlii.org/fr/qc/qcca/doc/2017/2017qcca860/2017qcca860.pdf" TargetMode="External"/><Relationship Id="rId34" Type="http://schemas.openxmlformats.org/officeDocument/2006/relationships/hyperlink" Target="https://www.canlii.org/en/on/onsc/doc/2015/2015onsc1470/2015onsc1470.html?resultIndex=1" TargetMode="External"/><Relationship Id="rId42" Type="http://schemas.openxmlformats.org/officeDocument/2006/relationships/hyperlink" Target="https://www.canlii.org/en/pe/pesctd/doc/2015/2015pesc36/2015pesc36.html?autocompleteStr=2015%20PESC%2036&amp;autocompletePos=1" TargetMode="External"/><Relationship Id="rId47" Type="http://schemas.openxmlformats.org/officeDocument/2006/relationships/hyperlink" Target="https://www.canlii.org/en/pe/pescad/doc/2017/2017peca9/2017peca9.html?autocompleteStr=2017%20PECA%209&amp;autocompletePos=1" TargetMode="External"/><Relationship Id="rId50" Type="http://schemas.openxmlformats.org/officeDocument/2006/relationships/hyperlink" Target="https://www.canlii.org/en/mb/mbqb/doc/2016/2016mbqb159/2016mbqb159.html?autocompleteStr=2016%20MBQB%20159&amp;autocompletePos=1" TargetMode="External"/><Relationship Id="rId55" Type="http://schemas.openxmlformats.org/officeDocument/2006/relationships/hyperlink" Target="https://www.canlii.org/en/on/onca/doc/2017/2017onca385/2017onca385.html?autocompleteStr=2017%20ONCA%20385&amp;autocompletePos=1"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hyperlink" Target="http://www.scc-csc.ca/case-dossier/info/sum-som-fra.aspx?cas=37723" TargetMode="External"/><Relationship Id="rId2" Type="http://schemas.openxmlformats.org/officeDocument/2006/relationships/styles" Target="styles.xml"/><Relationship Id="rId16" Type="http://schemas.openxmlformats.org/officeDocument/2006/relationships/hyperlink" Target="http://www.scc-csc.ca/case-dossier/info/sum-som-eng.aspx?cas=37692" TargetMode="External"/><Relationship Id="rId29" Type="http://schemas.openxmlformats.org/officeDocument/2006/relationships/hyperlink" Target="https://www.canlii.org/en/ab/laws/regu/alta-reg-220-2004/latest/alta-reg-220-200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709" TargetMode="External"/><Relationship Id="rId24" Type="http://schemas.openxmlformats.org/officeDocument/2006/relationships/hyperlink" Target="https://www.canlii.org/en/ab/laws/stat/rsa-2000-c-m-26/latest/rsa-2000-c-m-26.html" TargetMode="External"/><Relationship Id="rId32" Type="http://schemas.openxmlformats.org/officeDocument/2006/relationships/hyperlink" Target="https://www.canlii.org/en/on/onsc/doc/2015/2015onsc1470/2015onsc1470.html?resultIndex=1" TargetMode="External"/><Relationship Id="rId37" Type="http://schemas.openxmlformats.org/officeDocument/2006/relationships/hyperlink" Target="http://canlii.ca/t/h3z0f" TargetMode="External"/><Relationship Id="rId40" Type="http://schemas.openxmlformats.org/officeDocument/2006/relationships/hyperlink" Target="http://canlii.ca/t/h4zgt" TargetMode="External"/><Relationship Id="rId45" Type="http://schemas.openxmlformats.org/officeDocument/2006/relationships/hyperlink" Target="https://www.canlii.org/en/pe/pesctd/doc/2015/2015pesc36/2015pesc36.html?autocompleteStr=2015%20PESC%2036&amp;autocompletePos=1" TargetMode="External"/><Relationship Id="rId53" Type="http://schemas.openxmlformats.org/officeDocument/2006/relationships/hyperlink" Target="https://www.canlii.org/en/on/onca/doc/2017/2017onca385/2017onca385.html?autocompleteStr=2017%20ONCA%20385&amp;autocompletePos=1" TargetMode="External"/><Relationship Id="rId58" Type="http://schemas.openxmlformats.org/officeDocument/2006/relationships/hyperlink" Target="https://www.canlii.org/en/nb/nbca/doc/2017/2017nbca21/2017nbca21.html?autocompleteStr=2017%20NBCA%2021&amp;autocompletePos=1"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cc-csc.ca/case-dossier/info/sum-som-eng.aspx?cas=37738" TargetMode="External"/><Relationship Id="rId23" Type="http://schemas.openxmlformats.org/officeDocument/2006/relationships/hyperlink" Target="https://www.canlii.org/fr/qc/qcca/doc/2017/2017qcca584/2017qcca584.html?autocompleteStr=%202017%20qcca%20584&amp;autocompletePos=1" TargetMode="External"/><Relationship Id="rId28" Type="http://schemas.openxmlformats.org/officeDocument/2006/relationships/hyperlink" Target="https://www.canlii.org/en/ab/laws/stat/rsa-2000-c-m-26/latest/rsa-2000-c-m-26.html" TargetMode="External"/><Relationship Id="rId36" Type="http://schemas.openxmlformats.org/officeDocument/2006/relationships/hyperlink" Target="http://canlii.ca/t/gvf84" TargetMode="External"/><Relationship Id="rId49" Type="http://schemas.openxmlformats.org/officeDocument/2006/relationships/hyperlink" Target="https://www.canlii.org/en/mb/mbca/doc/2017/2017mbca54/2017mbca54.html?autocompleteStr=2017%20MBCA%2054&amp;autocompletePos=1" TargetMode="External"/><Relationship Id="rId57" Type="http://schemas.openxmlformats.org/officeDocument/2006/relationships/hyperlink" Target="https://www.canlii.org/en/nb/nbqb/doc/2015/2015nbqb94/2015nbqb94.html?autocompleteStr=2015%20NBQB%2094&amp;autocompletePos=1" TargetMode="External"/><Relationship Id="rId61" Type="http://schemas.openxmlformats.org/officeDocument/2006/relationships/hyperlink" Target="https://www.canlii.org/en/nb/nbca/doc/2017/2017nbca21/2017nbca21.html?autocompleteStr=2017%20NBCA%2021&amp;autocompletePos=1" TargetMode="External"/><Relationship Id="rId10" Type="http://schemas.openxmlformats.org/officeDocument/2006/relationships/hyperlink" Target="http://www.scc-csc.ca/case-dossier/info/sum-som-eng.aspx?cas=37533" TargetMode="External"/><Relationship Id="rId19" Type="http://schemas.openxmlformats.org/officeDocument/2006/relationships/hyperlink" Target="https://www.canlii.org/fr/qc/qcca/doc/2017/2017qcca860/2017qcca860.pdf" TargetMode="External"/><Relationship Id="rId31" Type="http://schemas.openxmlformats.org/officeDocument/2006/relationships/hyperlink" Target="https://www.canlii.org/en/ab/abca/doc/2017/2017abca129/2017abca129.html?autocompleteStr=2017%20ABCA%20129&amp;autocompletePos=1" TargetMode="External"/><Relationship Id="rId44" Type="http://schemas.openxmlformats.org/officeDocument/2006/relationships/hyperlink" Target="https://www.canlii.org/en/pe/pescad/doc/2017/2017peca9/2017peca9.html?autocompleteStr=2017%20PECA%209&amp;autocompletePos=1" TargetMode="External"/><Relationship Id="rId52" Type="http://schemas.openxmlformats.org/officeDocument/2006/relationships/hyperlink" Target="https://www.canlii.org/en/on/onsc/doc/2016/2016onsc3937/2016onsc3937.html" TargetMode="External"/><Relationship Id="rId60" Type="http://schemas.openxmlformats.org/officeDocument/2006/relationships/hyperlink" Target="https://www.canlii.org/en/nb/nbqb/doc/2015/2015nbqb94/2015nbqb94.html?autocompleteStr=2015%20NBQB%2094&amp;autocompletePos=1"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c-csc.ca/case-dossier/info/sum-som-eng.aspx?cas=37640" TargetMode="External"/><Relationship Id="rId14" Type="http://schemas.openxmlformats.org/officeDocument/2006/relationships/hyperlink" Target="http://www.scc-csc.ca/case-dossier/info/sum-som-eng.aspx?cas=37725" TargetMode="External"/><Relationship Id="rId22" Type="http://schemas.openxmlformats.org/officeDocument/2006/relationships/hyperlink" Target="https://www.canlii.org/fr/qc/qcca/doc/2017/2017qcca584/2017qcca584.html?autocompleteStr=%202017%20qcca%20584&amp;autocompletePos=1" TargetMode="External"/><Relationship Id="rId27" Type="http://schemas.openxmlformats.org/officeDocument/2006/relationships/hyperlink" Target="https://www.canlii.org/en/ab/abca/doc/2017/2017abca129/2017abca129.html?autocompleteStr=2017%20ABCA%20129&amp;autocompletePos=1" TargetMode="External"/><Relationship Id="rId30" Type="http://schemas.openxmlformats.org/officeDocument/2006/relationships/hyperlink" Target="https://www.canlii.org/en/ab/abqb/doc/2016/2016abqb203/2016abqb203.html?autocompleteStr=2016%20ABQB%20203&amp;autocompletePos=1" TargetMode="External"/><Relationship Id="rId35" Type="http://schemas.openxmlformats.org/officeDocument/2006/relationships/hyperlink" Target="https://www.canlii.org/en/on/onca/doc/2017/2017onca290/2017onca290.html?resultIndex=1" TargetMode="External"/><Relationship Id="rId43" Type="http://schemas.openxmlformats.org/officeDocument/2006/relationships/hyperlink" Target="https://www.canlii.org/en/pe/pescad/doc/2017/2017peca3/2017peca3.html?autocompleteStr=2017%20PECA%203&amp;autocompletePos=1" TargetMode="External"/><Relationship Id="rId48" Type="http://schemas.openxmlformats.org/officeDocument/2006/relationships/hyperlink" Target="https://www.canlii.org/en/mb/mbqb/doc/2016/2016mbqb159/2016mbqb159.html?autocompleteStr=2016%20MBQB%20159&amp;autocompletePos=1" TargetMode="External"/><Relationship Id="rId56" Type="http://schemas.openxmlformats.org/officeDocument/2006/relationships/hyperlink" Target="https://www.canlii.org/en/nb/nbpc/doc/2010/2010nbpc39/2010nbpc39.html?autocompleteStr=2010%20NBCP%2039&amp;autocompletePos=1"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www.scc-csc.ca/case-dossier/info/sum-som-fra.aspx?cas=37560" TargetMode="External"/><Relationship Id="rId51" Type="http://schemas.openxmlformats.org/officeDocument/2006/relationships/hyperlink" Target="https://www.canlii.org/en/mb/mbca/doc/2017/2017mbca54/2017mbca54.html?autocompleteStr=2017%20MBCA%2054&amp;autocompletePos=1" TargetMode="External"/><Relationship Id="rId3" Type="http://schemas.openxmlformats.org/officeDocument/2006/relationships/settings" Target="settings.xml"/><Relationship Id="rId12" Type="http://schemas.openxmlformats.org/officeDocument/2006/relationships/hyperlink" Target="http://www.scc-csc.ca/case-dossier/info/sum-som-eng.aspx?cas=37766" TargetMode="External"/><Relationship Id="rId17" Type="http://schemas.openxmlformats.org/officeDocument/2006/relationships/hyperlink" Target="http://www.scc-csc.ca/case-dossier/info/sum-som-eng.aspx?cas=37681" TargetMode="External"/><Relationship Id="rId25" Type="http://schemas.openxmlformats.org/officeDocument/2006/relationships/hyperlink" Target="https://www.canlii.org/en/ab/laws/regu/alta-reg-220-2004/latest/alta-reg-220-2004.html" TargetMode="External"/><Relationship Id="rId33" Type="http://schemas.openxmlformats.org/officeDocument/2006/relationships/hyperlink" Target="https://www.canlii.org/en/on/onca/doc/2017/2017onca290/2017onca290.html?resultIndex=1" TargetMode="External"/><Relationship Id="rId38" Type="http://schemas.openxmlformats.org/officeDocument/2006/relationships/hyperlink" Target="http://canlii.ca/t/gvf84" TargetMode="External"/><Relationship Id="rId46" Type="http://schemas.openxmlformats.org/officeDocument/2006/relationships/hyperlink" Target="https://www.canlii.org/en/pe/pescad/doc/2017/2017peca3/2017peca3.html?autocompleteStr=2017%20PECA%203&amp;autocompletePos=1" TargetMode="External"/><Relationship Id="rId59" Type="http://schemas.openxmlformats.org/officeDocument/2006/relationships/hyperlink" Target="https://www.canlii.org/en/nb/nbpc/doc/2010/2010nbpc39/2010nbpc39.html?autocompleteStr=2010%20NBCP%2039&amp;autocompletePos=1" TargetMode="External"/><Relationship Id="rId67" Type="http://schemas.openxmlformats.org/officeDocument/2006/relationships/header" Target="header3.xml"/><Relationship Id="rId20" Type="http://schemas.openxmlformats.org/officeDocument/2006/relationships/hyperlink" Target="https://www.canlii.org/fr/qc/qccs/doc/2015/2015qccs2680/2015qccs2680.pdf" TargetMode="External"/><Relationship Id="rId41" Type="http://schemas.openxmlformats.org/officeDocument/2006/relationships/hyperlink" Target="http://canlii.ca/t/h4zgt" TargetMode="External"/><Relationship Id="rId54" Type="http://schemas.openxmlformats.org/officeDocument/2006/relationships/hyperlink" Target="https://www.canlii.org/en/on/onsc/doc/2016/2016onsc3937/2016onsc3937.html" TargetMode="External"/><Relationship Id="rId62" Type="http://schemas.openxmlformats.org/officeDocument/2006/relationships/hyperlink" Target="mailto:comments-commentaires@scc-csc.ca"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9749</Words>
  <Characters>55571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65190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2018-02-02T15:58:00Z</dcterms:created>
  <dcterms:modified xsi:type="dcterms:W3CDTF">2018-02-02T16:12:00Z</dcterms:modified>
</cp:coreProperties>
</file>