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BD2F73" w:rsidRDefault="001C4415" w:rsidP="001C4415">
      <w:pPr>
        <w:pStyle w:val="Header"/>
        <w:jc w:val="center"/>
        <w:rPr>
          <w:b/>
          <w:sz w:val="32"/>
        </w:rPr>
      </w:pPr>
      <w:r w:rsidRPr="00BD2F73">
        <w:rPr>
          <w:b/>
          <w:sz w:val="32"/>
        </w:rPr>
        <w:t>Supreme Court of Canada / Cour suprême du Canada</w:t>
      </w:r>
    </w:p>
    <w:p w:rsidR="001C4415" w:rsidRPr="00BD2F73" w:rsidRDefault="001C4415" w:rsidP="001C4415">
      <w:pPr>
        <w:widowControl w:val="0"/>
        <w:rPr>
          <w:i/>
        </w:rPr>
      </w:pPr>
    </w:p>
    <w:p w:rsidR="001C4415" w:rsidRPr="00BD2F73" w:rsidRDefault="001C4415" w:rsidP="001C4415">
      <w:pPr>
        <w:widowControl w:val="0"/>
        <w:rPr>
          <w:i/>
        </w:rPr>
      </w:pPr>
    </w:p>
    <w:p w:rsidR="001C4415" w:rsidRPr="00BD2F73" w:rsidRDefault="001C4415" w:rsidP="001C4415">
      <w:pPr>
        <w:widowControl w:val="0"/>
        <w:rPr>
          <w:i/>
        </w:rPr>
      </w:pPr>
      <w:r w:rsidRPr="00BD2F73">
        <w:rPr>
          <w:i/>
        </w:rPr>
        <w:t>(le français suit)</w:t>
      </w:r>
    </w:p>
    <w:p w:rsidR="001C4415" w:rsidRPr="00BD2F73" w:rsidRDefault="001C4415" w:rsidP="001C4415">
      <w:pPr>
        <w:widowControl w:val="0"/>
      </w:pPr>
    </w:p>
    <w:p w:rsidR="001C4415" w:rsidRPr="001C27F2" w:rsidRDefault="000347C1" w:rsidP="00214729">
      <w:pPr>
        <w:widowControl w:val="0"/>
        <w:jc w:val="center"/>
        <w:rPr>
          <w:b/>
        </w:rPr>
      </w:pPr>
      <w:r w:rsidRPr="001C27F2">
        <w:fldChar w:fldCharType="begin"/>
      </w:r>
      <w:r w:rsidR="00FA7412" w:rsidRPr="001C27F2">
        <w:instrText xml:space="preserve"> SEQ CHAPTER \h \r 1</w:instrText>
      </w:r>
      <w:r w:rsidRPr="001C27F2">
        <w:fldChar w:fldCharType="end"/>
      </w:r>
      <w:r w:rsidR="00455BB9" w:rsidRPr="001C27F2">
        <w:rPr>
          <w:b/>
        </w:rPr>
        <w:t>JUDGMENT</w:t>
      </w:r>
      <w:r w:rsidR="00FA7412" w:rsidRPr="001C27F2">
        <w:rPr>
          <w:b/>
        </w:rPr>
        <w:t xml:space="preserve"> TO BE RENDERED IN APPEA</w:t>
      </w:r>
      <w:r w:rsidR="00CC2799" w:rsidRPr="001C27F2">
        <w:rPr>
          <w:b/>
        </w:rPr>
        <w:t>L</w:t>
      </w:r>
    </w:p>
    <w:p w:rsidR="005A7C1B" w:rsidRPr="001C27F2" w:rsidRDefault="005A7C1B" w:rsidP="005A7C1B">
      <w:pPr>
        <w:widowControl w:val="0"/>
      </w:pPr>
    </w:p>
    <w:p w:rsidR="00EC79B0" w:rsidRPr="001C27F2" w:rsidRDefault="00717966" w:rsidP="00EC79B0">
      <w:pPr>
        <w:widowControl w:val="0"/>
        <w:rPr>
          <w:b/>
        </w:rPr>
      </w:pPr>
      <w:r w:rsidRPr="001C27F2">
        <w:rPr>
          <w:b/>
        </w:rPr>
        <w:t>February</w:t>
      </w:r>
      <w:r w:rsidR="00C86395" w:rsidRPr="001C27F2">
        <w:rPr>
          <w:b/>
        </w:rPr>
        <w:t xml:space="preserve"> </w:t>
      </w:r>
      <w:r w:rsidRPr="001C27F2">
        <w:rPr>
          <w:b/>
        </w:rPr>
        <w:t>5</w:t>
      </w:r>
      <w:r w:rsidR="00EC79B0" w:rsidRPr="001C27F2">
        <w:rPr>
          <w:b/>
        </w:rPr>
        <w:t>, 201</w:t>
      </w:r>
      <w:r w:rsidR="0088662B" w:rsidRPr="001C27F2">
        <w:rPr>
          <w:b/>
        </w:rPr>
        <w:t>8</w:t>
      </w:r>
    </w:p>
    <w:p w:rsidR="00EC79B0" w:rsidRPr="001C27F2" w:rsidRDefault="00EC79B0" w:rsidP="00EC79B0">
      <w:pPr>
        <w:widowControl w:val="0"/>
        <w:rPr>
          <w:b/>
        </w:rPr>
      </w:pPr>
      <w:r w:rsidRPr="001C27F2">
        <w:rPr>
          <w:b/>
        </w:rPr>
        <w:t>For immediate release</w:t>
      </w:r>
    </w:p>
    <w:p w:rsidR="00EC79B0" w:rsidRPr="001C27F2" w:rsidRDefault="00EC79B0" w:rsidP="00EC79B0">
      <w:pPr>
        <w:widowControl w:val="0"/>
      </w:pPr>
    </w:p>
    <w:p w:rsidR="00EC79B0" w:rsidRPr="001C27F2" w:rsidRDefault="00EC79B0" w:rsidP="00EC79B0">
      <w:pPr>
        <w:widowControl w:val="0"/>
        <w:rPr>
          <w:lang w:val="fr-CA"/>
        </w:rPr>
      </w:pPr>
      <w:r w:rsidRPr="001C27F2">
        <w:rPr>
          <w:b/>
        </w:rPr>
        <w:t>OTTAWA</w:t>
      </w:r>
      <w:r w:rsidRPr="001C27F2">
        <w:t xml:space="preserve"> – The Supreme Court of Canad</w:t>
      </w:r>
      <w:r w:rsidR="00455BB9" w:rsidRPr="001C27F2">
        <w:t>a announced today that judgment</w:t>
      </w:r>
      <w:r w:rsidRPr="001C27F2">
        <w:t xml:space="preserve"> in the following appeal will be delivered at 9:45 a.m. E</w:t>
      </w:r>
      <w:r w:rsidR="00E538AE" w:rsidRPr="001C27F2">
        <w:t>S</w:t>
      </w:r>
      <w:r w:rsidR="00DC6C1E" w:rsidRPr="001C27F2">
        <w:t>T</w:t>
      </w:r>
      <w:r w:rsidR="00D74667" w:rsidRPr="001C27F2">
        <w:t xml:space="preserve"> on</w:t>
      </w:r>
      <w:r w:rsidR="00DC6C1E" w:rsidRPr="001C27F2">
        <w:t xml:space="preserve"> </w:t>
      </w:r>
      <w:r w:rsidR="00A50E58" w:rsidRPr="001C27F2">
        <w:t>Fri</w:t>
      </w:r>
      <w:r w:rsidR="0088662B" w:rsidRPr="001C27F2">
        <w:t>day</w:t>
      </w:r>
      <w:r w:rsidR="000A7900" w:rsidRPr="001C27F2">
        <w:t xml:space="preserve">, </w:t>
      </w:r>
      <w:r w:rsidR="007E08A3" w:rsidRPr="001C27F2">
        <w:t>February</w:t>
      </w:r>
      <w:r w:rsidR="004E605A" w:rsidRPr="001C27F2">
        <w:t xml:space="preserve"> </w:t>
      </w:r>
      <w:r w:rsidR="00717966" w:rsidRPr="001C27F2">
        <w:t>9</w:t>
      </w:r>
      <w:r w:rsidR="00E63199" w:rsidRPr="001C27F2">
        <w:t>, 2</w:t>
      </w:r>
      <w:r w:rsidR="0086609D" w:rsidRPr="001C27F2">
        <w:t>01</w:t>
      </w:r>
      <w:r w:rsidR="0088662B" w:rsidRPr="001C27F2">
        <w:t>8</w:t>
      </w:r>
      <w:r w:rsidR="00455BB9" w:rsidRPr="001C27F2">
        <w:t xml:space="preserve">. </w:t>
      </w:r>
      <w:r w:rsidR="00455BB9" w:rsidRPr="001C27F2">
        <w:rPr>
          <w:lang w:val="fr-CA"/>
        </w:rPr>
        <w:t>This</w:t>
      </w:r>
      <w:r w:rsidRPr="001C27F2">
        <w:rPr>
          <w:lang w:val="fr-CA"/>
        </w:rPr>
        <w:t xml:space="preserve"> list is subject to change.</w:t>
      </w:r>
    </w:p>
    <w:p w:rsidR="001C4415" w:rsidRPr="001C27F2" w:rsidRDefault="001C4415" w:rsidP="001C4415">
      <w:pPr>
        <w:widowControl w:val="0"/>
        <w:rPr>
          <w:szCs w:val="24"/>
          <w:lang w:val="fr-CA"/>
        </w:rPr>
      </w:pPr>
    </w:p>
    <w:p w:rsidR="001C4415" w:rsidRPr="001C27F2" w:rsidRDefault="001C4415" w:rsidP="001C4415">
      <w:pPr>
        <w:widowControl w:val="0"/>
        <w:rPr>
          <w:lang w:val="fr-CA"/>
        </w:rPr>
      </w:pPr>
    </w:p>
    <w:p w:rsidR="001335A1" w:rsidRPr="001C27F2" w:rsidRDefault="001335A1" w:rsidP="001335A1">
      <w:pPr>
        <w:widowControl w:val="0"/>
        <w:jc w:val="center"/>
        <w:rPr>
          <w:b/>
          <w:lang w:val="fr-CA"/>
        </w:rPr>
      </w:pPr>
      <w:r w:rsidRPr="001C27F2">
        <w:rPr>
          <w:b/>
          <w:lang w:val="fr-CA"/>
        </w:rPr>
        <w:t>PROCHAIN JUGEMENT</w:t>
      </w:r>
      <w:r w:rsidR="00455BB9" w:rsidRPr="001C27F2">
        <w:rPr>
          <w:b/>
          <w:lang w:val="fr-CA"/>
        </w:rPr>
        <w:t xml:space="preserve"> SUR APPEL</w:t>
      </w:r>
    </w:p>
    <w:p w:rsidR="001335A1" w:rsidRPr="001C27F2" w:rsidRDefault="001335A1" w:rsidP="001335A1">
      <w:pPr>
        <w:widowControl w:val="0"/>
        <w:rPr>
          <w:lang w:val="fr-CA"/>
        </w:rPr>
      </w:pPr>
    </w:p>
    <w:p w:rsidR="00EC79B0" w:rsidRPr="001C27F2" w:rsidRDefault="00EC79B0" w:rsidP="00EC79B0">
      <w:pPr>
        <w:widowControl w:val="0"/>
        <w:rPr>
          <w:b/>
          <w:lang w:val="fr-CA"/>
        </w:rPr>
      </w:pPr>
      <w:r w:rsidRPr="001C27F2">
        <w:rPr>
          <w:b/>
          <w:lang w:val="fr-CA"/>
        </w:rPr>
        <w:t xml:space="preserve">Le </w:t>
      </w:r>
      <w:r w:rsidR="00717966" w:rsidRPr="001C27F2">
        <w:rPr>
          <w:b/>
          <w:lang w:val="fr-CA"/>
        </w:rPr>
        <w:t>5</w:t>
      </w:r>
      <w:r w:rsidR="002F28E0" w:rsidRPr="001C27F2">
        <w:rPr>
          <w:b/>
          <w:lang w:val="fr-CA"/>
        </w:rPr>
        <w:t xml:space="preserve"> </w:t>
      </w:r>
      <w:r w:rsidR="00717966" w:rsidRPr="001C27F2">
        <w:rPr>
          <w:b/>
          <w:lang w:val="fr-CA"/>
        </w:rPr>
        <w:t>févri</w:t>
      </w:r>
      <w:r w:rsidR="0088662B" w:rsidRPr="001C27F2">
        <w:rPr>
          <w:b/>
          <w:lang w:val="fr-CA"/>
        </w:rPr>
        <w:t>er</w:t>
      </w:r>
      <w:r w:rsidR="00C86395" w:rsidRPr="001C27F2">
        <w:rPr>
          <w:b/>
          <w:lang w:val="fr-CA"/>
        </w:rPr>
        <w:t xml:space="preserve"> </w:t>
      </w:r>
      <w:r w:rsidR="0086609D" w:rsidRPr="001C27F2">
        <w:rPr>
          <w:b/>
          <w:lang w:val="fr-CA"/>
        </w:rPr>
        <w:t>201</w:t>
      </w:r>
      <w:r w:rsidR="0088662B" w:rsidRPr="001C27F2">
        <w:rPr>
          <w:b/>
          <w:lang w:val="fr-CA"/>
        </w:rPr>
        <w:t>8</w:t>
      </w:r>
    </w:p>
    <w:p w:rsidR="00EC79B0" w:rsidRPr="00262BC7" w:rsidRDefault="00EC79B0" w:rsidP="00EC79B0">
      <w:pPr>
        <w:widowControl w:val="0"/>
        <w:rPr>
          <w:b/>
          <w:lang w:val="fr-CA"/>
        </w:rPr>
      </w:pPr>
      <w:r w:rsidRPr="001C27F2">
        <w:rPr>
          <w:b/>
          <w:lang w:val="fr-CA"/>
        </w:rPr>
        <w:t>Pour diffusion immédiate</w:t>
      </w:r>
      <w:bookmarkStart w:id="0" w:name="_GoBack"/>
      <w:bookmarkEnd w:id="0"/>
    </w:p>
    <w:p w:rsidR="00EC79B0" w:rsidRPr="00262BC7" w:rsidRDefault="00EC79B0" w:rsidP="00EC79B0">
      <w:pPr>
        <w:widowControl w:val="0"/>
        <w:rPr>
          <w:b/>
          <w:lang w:val="fr-CA"/>
        </w:rPr>
      </w:pPr>
    </w:p>
    <w:p w:rsidR="00EC79B0" w:rsidRPr="001C27F2" w:rsidRDefault="00EC79B0" w:rsidP="00EC79B0">
      <w:pPr>
        <w:widowControl w:val="0"/>
      </w:pPr>
      <w:r w:rsidRPr="00262BC7">
        <w:rPr>
          <w:b/>
          <w:lang w:val="fr-CA"/>
        </w:rPr>
        <w:t>OTTAWA</w:t>
      </w:r>
      <w:r w:rsidRPr="00262BC7">
        <w:rPr>
          <w:lang w:val="fr-CA"/>
        </w:rPr>
        <w:t xml:space="preserve"> – La Cour suprême</w:t>
      </w:r>
      <w:r w:rsidRPr="00BD2F73">
        <w:rPr>
          <w:lang w:val="fr-CA"/>
        </w:rPr>
        <w:t xml:space="preserve"> du Canada annonce que jugement ser</w:t>
      </w:r>
      <w:r w:rsidR="00C86395" w:rsidRPr="00BD2F73">
        <w:rPr>
          <w:lang w:val="fr-CA"/>
        </w:rPr>
        <w:t>a</w:t>
      </w:r>
      <w:r w:rsidRPr="00BD2F73">
        <w:rPr>
          <w:lang w:val="fr-CA"/>
        </w:rPr>
        <w:t xml:space="preserve"> rendu dans </w:t>
      </w:r>
      <w:r w:rsidR="001F1643" w:rsidRPr="00BD2F73">
        <w:rPr>
          <w:lang w:val="fr-CA"/>
        </w:rPr>
        <w:t>l</w:t>
      </w:r>
      <w:r w:rsidR="00C86395" w:rsidRPr="00BD2F73">
        <w:rPr>
          <w:lang w:val="fr-CA"/>
        </w:rPr>
        <w:t>’</w:t>
      </w:r>
      <w:r w:rsidR="001F1643" w:rsidRPr="00BD2F73">
        <w:rPr>
          <w:lang w:val="fr-CA"/>
        </w:rPr>
        <w:t xml:space="preserve">appel </w:t>
      </w:r>
      <w:r w:rsidRPr="00BD2F73">
        <w:rPr>
          <w:lang w:val="fr-CA"/>
        </w:rPr>
        <w:t xml:space="preserve">suivant le </w:t>
      </w:r>
      <w:r w:rsidR="00A50E58">
        <w:rPr>
          <w:lang w:val="fr-CA"/>
        </w:rPr>
        <w:t>vendre</w:t>
      </w:r>
      <w:r w:rsidR="00FF69FD" w:rsidRPr="00BD2F73">
        <w:rPr>
          <w:lang w:val="fr-CA"/>
        </w:rPr>
        <w:t>d</w:t>
      </w:r>
      <w:r w:rsidR="00DB406B" w:rsidRPr="00BD2F73">
        <w:rPr>
          <w:lang w:val="fr-CA"/>
        </w:rPr>
        <w:t>i</w:t>
      </w:r>
      <w:r w:rsidR="00970EDF" w:rsidRPr="00BD2F73">
        <w:rPr>
          <w:lang w:val="fr-CA"/>
        </w:rPr>
        <w:t xml:space="preserve"> </w:t>
      </w:r>
      <w:r w:rsidR="00717966">
        <w:rPr>
          <w:lang w:val="fr-CA"/>
        </w:rPr>
        <w:t>9</w:t>
      </w:r>
      <w:r w:rsidR="00C7690C" w:rsidRPr="00BD2F73">
        <w:rPr>
          <w:lang w:val="fr-CA"/>
        </w:rPr>
        <w:t xml:space="preserve"> </w:t>
      </w:r>
      <w:r w:rsidR="007E08A3">
        <w:rPr>
          <w:lang w:val="fr-CA"/>
        </w:rPr>
        <w:t>févri</w:t>
      </w:r>
      <w:r w:rsidR="0088662B">
        <w:rPr>
          <w:lang w:val="fr-CA"/>
        </w:rPr>
        <w:t>er</w:t>
      </w:r>
      <w:r w:rsidR="00282563" w:rsidRPr="00BD2F73">
        <w:rPr>
          <w:lang w:val="fr-CA"/>
        </w:rPr>
        <w:t xml:space="preserve"> </w:t>
      </w:r>
      <w:r w:rsidRPr="00BD2F73">
        <w:rPr>
          <w:lang w:val="fr-CA"/>
        </w:rPr>
        <w:t>201</w:t>
      </w:r>
      <w:r w:rsidR="0088662B">
        <w:rPr>
          <w:lang w:val="fr-CA"/>
        </w:rPr>
        <w:t>8</w:t>
      </w:r>
      <w:r w:rsidRPr="00BD2F73">
        <w:rPr>
          <w:lang w:val="fr-CA"/>
        </w:rPr>
        <w:t>, à 9 h 45 H</w:t>
      </w:r>
      <w:r w:rsidR="00E538AE" w:rsidRPr="00BD2F73">
        <w:rPr>
          <w:lang w:val="fr-CA"/>
        </w:rPr>
        <w:t>N</w:t>
      </w:r>
      <w:r w:rsidRPr="00BD2F73">
        <w:rPr>
          <w:lang w:val="fr-CA"/>
        </w:rPr>
        <w:t xml:space="preserve">E. </w:t>
      </w:r>
      <w:r w:rsidRPr="001C27F2">
        <w:t>Cette liste est sujette à modifications.</w:t>
      </w:r>
    </w:p>
    <w:p w:rsidR="001335A1" w:rsidRPr="001C27F2" w:rsidRDefault="001335A1" w:rsidP="001335A1">
      <w:pPr>
        <w:widowControl w:val="0"/>
        <w:rPr>
          <w:sz w:val="20"/>
        </w:rPr>
      </w:pPr>
    </w:p>
    <w:p w:rsidR="001335A1" w:rsidRPr="001C27F2" w:rsidRDefault="005C7A4F" w:rsidP="001335A1">
      <w:pPr>
        <w:widowControl w:val="0"/>
        <w:rPr>
          <w:sz w:val="20"/>
        </w:rPr>
      </w:pPr>
      <w:r w:rsidRPr="00BD2F7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C27F2" w:rsidRDefault="00340C6D" w:rsidP="00340C6D">
      <w:pPr>
        <w:jc w:val="both"/>
        <w:rPr>
          <w:bCs/>
        </w:rPr>
      </w:pPr>
    </w:p>
    <w:p w:rsidR="00772636" w:rsidRPr="00A50E58" w:rsidRDefault="00717966" w:rsidP="00772636">
      <w:pPr>
        <w:jc w:val="both"/>
        <w:rPr>
          <w:szCs w:val="24"/>
        </w:rPr>
      </w:pPr>
      <w:r>
        <w:rPr>
          <w:i/>
          <w:szCs w:val="24"/>
        </w:rPr>
        <w:t>Canadian Broadcasting Corporation</w:t>
      </w:r>
      <w:r w:rsidR="00A50E58" w:rsidRPr="00A50E58">
        <w:rPr>
          <w:i/>
          <w:szCs w:val="24"/>
        </w:rPr>
        <w:t xml:space="preserve"> v</w:t>
      </w:r>
      <w:r w:rsidR="00772636" w:rsidRPr="00A50E58">
        <w:rPr>
          <w:i/>
          <w:szCs w:val="24"/>
        </w:rPr>
        <w:t xml:space="preserve">. </w:t>
      </w:r>
      <w:r w:rsidR="00A50E58">
        <w:rPr>
          <w:i/>
          <w:szCs w:val="24"/>
        </w:rPr>
        <w:t xml:space="preserve">Her Majesty the Queen </w:t>
      </w:r>
      <w:r w:rsidR="00772636" w:rsidRPr="00A50E58">
        <w:rPr>
          <w:szCs w:val="24"/>
        </w:rPr>
        <w:t>(</w:t>
      </w:r>
      <w:r>
        <w:rPr>
          <w:szCs w:val="24"/>
        </w:rPr>
        <w:t>Alta</w:t>
      </w:r>
      <w:r w:rsidR="00A50E58" w:rsidRPr="00A50E58">
        <w:rPr>
          <w:szCs w:val="24"/>
        </w:rPr>
        <w:t>.</w:t>
      </w:r>
      <w:r w:rsidR="00772636" w:rsidRPr="00A50E58">
        <w:rPr>
          <w:szCs w:val="24"/>
        </w:rPr>
        <w:t xml:space="preserve">) </w:t>
      </w:r>
      <w:r w:rsidR="00772636" w:rsidRPr="00A50E58">
        <w:t>(</w:t>
      </w:r>
      <w:hyperlink r:id="rId7" w:history="1">
        <w:r w:rsidR="00772636" w:rsidRPr="00A50E58">
          <w:rPr>
            <w:rStyle w:val="Hyperlink"/>
          </w:rPr>
          <w:t>3</w:t>
        </w:r>
        <w:r>
          <w:rPr>
            <w:rStyle w:val="Hyperlink"/>
          </w:rPr>
          <w:t>73</w:t>
        </w:r>
        <w:r w:rsidR="007E08A3" w:rsidRPr="00A50E58">
          <w:rPr>
            <w:rStyle w:val="Hyperlink"/>
          </w:rPr>
          <w:t>6</w:t>
        </w:r>
        <w:r>
          <w:rPr>
            <w:rStyle w:val="Hyperlink"/>
          </w:rPr>
          <w:t>0</w:t>
        </w:r>
      </w:hyperlink>
      <w:r w:rsidR="00772636" w:rsidRPr="00A50E58">
        <w:t>)</w:t>
      </w:r>
    </w:p>
    <w:p w:rsidR="009F18D7" w:rsidRDefault="009F18D7" w:rsidP="00340C6D">
      <w:pPr>
        <w:jc w:val="both"/>
      </w:pPr>
    </w:p>
    <w:p w:rsidR="00D37164" w:rsidRDefault="00D37164" w:rsidP="00340C6D">
      <w:pPr>
        <w:jc w:val="both"/>
      </w:pPr>
    </w:p>
    <w:bookmarkStart w:id="1" w:name="1"/>
    <w:bookmarkEnd w:id="1"/>
    <w:p w:rsidR="00D37164" w:rsidRPr="00D37164" w:rsidRDefault="00D37164" w:rsidP="001F487F">
      <w:pPr>
        <w:widowControl w:val="0"/>
        <w:ind w:left="720" w:hanging="720"/>
        <w:jc w:val="both"/>
        <w:rPr>
          <w:b/>
          <w:i/>
          <w:sz w:val="20"/>
          <w:lang w:val="en-CA"/>
        </w:rPr>
      </w:pPr>
      <w:r w:rsidRPr="00D37164">
        <w:rPr>
          <w:b/>
          <w:sz w:val="20"/>
          <w:lang w:val="en-CA"/>
        </w:rPr>
        <w:fldChar w:fldCharType="begin"/>
      </w:r>
      <w:r w:rsidRPr="00D37164">
        <w:rPr>
          <w:b/>
          <w:sz w:val="20"/>
        </w:rPr>
        <w:instrText xml:space="preserve"> SEQ CHAPTER \h \r 1</w:instrText>
      </w:r>
      <w:r w:rsidRPr="00D37164">
        <w:rPr>
          <w:b/>
          <w:sz w:val="20"/>
        </w:rPr>
        <w:fldChar w:fldCharType="end"/>
      </w:r>
      <w:r w:rsidRPr="00D37164">
        <w:rPr>
          <w:b/>
          <w:sz w:val="20"/>
          <w:lang w:val="en-CA"/>
        </w:rPr>
        <w:t>37360</w:t>
      </w:r>
      <w:r w:rsidRPr="00D37164">
        <w:rPr>
          <w:sz w:val="20"/>
          <w:lang w:val="en-CA"/>
        </w:rPr>
        <w:tab/>
      </w:r>
      <w:bookmarkStart w:id="2" w:name="3"/>
      <w:bookmarkEnd w:id="2"/>
      <w:r w:rsidRPr="00D37164">
        <w:rPr>
          <w:b/>
          <w:i/>
          <w:sz w:val="20"/>
        </w:rPr>
        <w:t>Canadian</w:t>
      </w:r>
      <w:r w:rsidRPr="00D37164">
        <w:rPr>
          <w:b/>
          <w:i/>
          <w:sz w:val="20"/>
          <w:lang w:val="en-CA"/>
        </w:rPr>
        <w:t xml:space="preserve"> Broadcasting Corporation v. Her Majesty the Queen</w:t>
      </w:r>
    </w:p>
    <w:p w:rsidR="00D37164" w:rsidRPr="00D37164" w:rsidRDefault="00D37164" w:rsidP="001F487F">
      <w:pPr>
        <w:widowControl w:val="0"/>
        <w:ind w:left="1440" w:hanging="732"/>
        <w:jc w:val="both"/>
        <w:rPr>
          <w:sz w:val="20"/>
          <w:lang w:val="en-CA"/>
        </w:rPr>
      </w:pPr>
      <w:r w:rsidRPr="00D37164">
        <w:rPr>
          <w:sz w:val="20"/>
          <w:lang w:val="en-CA"/>
        </w:rPr>
        <w:t>(Alta.) (Criminal) (By Leave)</w:t>
      </w:r>
    </w:p>
    <w:p w:rsidR="00D37164" w:rsidRPr="00D37164" w:rsidRDefault="00D37164" w:rsidP="001F487F">
      <w:pPr>
        <w:widowControl w:val="0"/>
        <w:ind w:left="1440" w:hanging="732"/>
        <w:jc w:val="both"/>
        <w:rPr>
          <w:sz w:val="20"/>
          <w:lang w:val="en-CA"/>
        </w:rPr>
      </w:pPr>
    </w:p>
    <w:p w:rsidR="00D37164" w:rsidRPr="00D37164" w:rsidRDefault="00D37164" w:rsidP="001F487F">
      <w:pPr>
        <w:jc w:val="both"/>
        <w:rPr>
          <w:sz w:val="20"/>
        </w:rPr>
      </w:pPr>
      <w:r w:rsidRPr="00D37164">
        <w:rPr>
          <w:sz w:val="20"/>
        </w:rPr>
        <w:t>Criminal law - Criminal contempt - Publication bans - Interim injunctions - Canadian Broadcasting Corporation (“CBC”) refusing to remove website content covered by publication ban ordered after content was posted - Crown applying for interim injunction and for order citing CBC for criminal contempt - What</w:t>
      </w:r>
      <w:r w:rsidRPr="00D37164">
        <w:rPr>
          <w:spacing w:val="48"/>
          <w:sz w:val="20"/>
        </w:rPr>
        <w:t xml:space="preserve"> </w:t>
      </w:r>
      <w:r w:rsidRPr="00D37164">
        <w:rPr>
          <w:sz w:val="20"/>
        </w:rPr>
        <w:t>is</w:t>
      </w:r>
      <w:r w:rsidRPr="00D37164">
        <w:rPr>
          <w:spacing w:val="48"/>
          <w:sz w:val="20"/>
        </w:rPr>
        <w:t xml:space="preserve"> </w:t>
      </w:r>
      <w:r w:rsidRPr="00D37164">
        <w:rPr>
          <w:sz w:val="20"/>
        </w:rPr>
        <w:t>the</w:t>
      </w:r>
      <w:r w:rsidRPr="00D37164">
        <w:rPr>
          <w:spacing w:val="47"/>
          <w:sz w:val="20"/>
        </w:rPr>
        <w:t xml:space="preserve"> </w:t>
      </w:r>
      <w:r w:rsidRPr="00D37164">
        <w:rPr>
          <w:sz w:val="20"/>
        </w:rPr>
        <w:t>proper</w:t>
      </w:r>
      <w:r w:rsidRPr="00D37164">
        <w:rPr>
          <w:spacing w:val="49"/>
          <w:sz w:val="20"/>
        </w:rPr>
        <w:t xml:space="preserve"> </w:t>
      </w:r>
      <w:r w:rsidRPr="00D37164">
        <w:rPr>
          <w:spacing w:val="-1"/>
          <w:sz w:val="20"/>
        </w:rPr>
        <w:t>approach</w:t>
      </w:r>
      <w:r w:rsidRPr="00D37164">
        <w:rPr>
          <w:spacing w:val="49"/>
          <w:sz w:val="20"/>
        </w:rPr>
        <w:t xml:space="preserve"> </w:t>
      </w:r>
      <w:r w:rsidRPr="00D37164">
        <w:rPr>
          <w:sz w:val="20"/>
        </w:rPr>
        <w:t>that</w:t>
      </w:r>
      <w:r w:rsidRPr="00D37164">
        <w:rPr>
          <w:spacing w:val="47"/>
          <w:sz w:val="20"/>
        </w:rPr>
        <w:t xml:space="preserve"> </w:t>
      </w:r>
      <w:r w:rsidRPr="00D37164">
        <w:rPr>
          <w:sz w:val="20"/>
        </w:rPr>
        <w:t>a</w:t>
      </w:r>
      <w:r w:rsidRPr="00D37164">
        <w:rPr>
          <w:spacing w:val="48"/>
          <w:sz w:val="20"/>
        </w:rPr>
        <w:t xml:space="preserve"> </w:t>
      </w:r>
      <w:r w:rsidRPr="00D37164">
        <w:rPr>
          <w:spacing w:val="-1"/>
          <w:sz w:val="20"/>
        </w:rPr>
        <w:t>court</w:t>
      </w:r>
      <w:r w:rsidRPr="00D37164">
        <w:rPr>
          <w:spacing w:val="49"/>
          <w:sz w:val="20"/>
        </w:rPr>
        <w:t xml:space="preserve"> </w:t>
      </w:r>
      <w:r w:rsidRPr="00D37164">
        <w:rPr>
          <w:sz w:val="20"/>
        </w:rPr>
        <w:t>must</w:t>
      </w:r>
      <w:r w:rsidRPr="00D37164">
        <w:rPr>
          <w:spacing w:val="48"/>
          <w:sz w:val="20"/>
        </w:rPr>
        <w:t xml:space="preserve"> </w:t>
      </w:r>
      <w:r w:rsidRPr="00D37164">
        <w:rPr>
          <w:sz w:val="20"/>
        </w:rPr>
        <w:t>follow</w:t>
      </w:r>
      <w:r w:rsidRPr="00D37164">
        <w:rPr>
          <w:spacing w:val="47"/>
          <w:sz w:val="20"/>
        </w:rPr>
        <w:t xml:space="preserve"> </w:t>
      </w:r>
      <w:r w:rsidRPr="00D37164">
        <w:rPr>
          <w:sz w:val="20"/>
        </w:rPr>
        <w:t>in</w:t>
      </w:r>
      <w:r w:rsidRPr="00D37164">
        <w:rPr>
          <w:spacing w:val="50"/>
          <w:sz w:val="20"/>
        </w:rPr>
        <w:t xml:space="preserve"> </w:t>
      </w:r>
      <w:r w:rsidRPr="00D37164">
        <w:rPr>
          <w:spacing w:val="-1"/>
          <w:sz w:val="20"/>
        </w:rPr>
        <w:t>considering</w:t>
      </w:r>
      <w:r w:rsidRPr="00D37164">
        <w:rPr>
          <w:spacing w:val="47"/>
          <w:sz w:val="20"/>
        </w:rPr>
        <w:t xml:space="preserve"> </w:t>
      </w:r>
      <w:r w:rsidRPr="00D37164">
        <w:rPr>
          <w:spacing w:val="-1"/>
          <w:sz w:val="20"/>
        </w:rPr>
        <w:t>whether</w:t>
      </w:r>
      <w:r w:rsidRPr="00D37164">
        <w:rPr>
          <w:spacing w:val="51"/>
          <w:sz w:val="20"/>
        </w:rPr>
        <w:t xml:space="preserve"> </w:t>
      </w:r>
      <w:r w:rsidRPr="00D37164">
        <w:rPr>
          <w:spacing w:val="-1"/>
          <w:sz w:val="20"/>
        </w:rPr>
        <w:t>injunctive relief</w:t>
      </w:r>
      <w:r w:rsidRPr="00D37164">
        <w:rPr>
          <w:sz w:val="20"/>
        </w:rPr>
        <w:t xml:space="preserve"> is </w:t>
      </w:r>
      <w:r w:rsidRPr="00D37164">
        <w:rPr>
          <w:spacing w:val="-1"/>
          <w:sz w:val="20"/>
        </w:rPr>
        <w:t>appropriate</w:t>
      </w:r>
      <w:r w:rsidRPr="00D37164">
        <w:rPr>
          <w:sz w:val="20"/>
        </w:rPr>
        <w:t xml:space="preserve"> to </w:t>
      </w:r>
      <w:r w:rsidRPr="00D37164">
        <w:rPr>
          <w:spacing w:val="-1"/>
          <w:sz w:val="20"/>
        </w:rPr>
        <w:t>enjoin</w:t>
      </w:r>
      <w:r w:rsidRPr="00D37164">
        <w:rPr>
          <w:sz w:val="20"/>
        </w:rPr>
        <w:t xml:space="preserve"> </w:t>
      </w:r>
      <w:r w:rsidRPr="00D37164">
        <w:rPr>
          <w:spacing w:val="-1"/>
          <w:sz w:val="20"/>
        </w:rPr>
        <w:t>conduct</w:t>
      </w:r>
      <w:r w:rsidRPr="00D37164">
        <w:rPr>
          <w:sz w:val="20"/>
        </w:rPr>
        <w:t xml:space="preserve"> subject to the </w:t>
      </w:r>
      <w:r w:rsidRPr="00D37164">
        <w:rPr>
          <w:spacing w:val="-1"/>
          <w:sz w:val="20"/>
        </w:rPr>
        <w:t>criminal</w:t>
      </w:r>
      <w:r w:rsidRPr="00D37164">
        <w:rPr>
          <w:sz w:val="20"/>
        </w:rPr>
        <w:t xml:space="preserve"> law? -</w:t>
      </w:r>
      <w:r w:rsidRPr="00D37164">
        <w:rPr>
          <w:spacing w:val="-2"/>
          <w:sz w:val="20"/>
        </w:rPr>
        <w:t xml:space="preserve"> If</w:t>
      </w:r>
      <w:r w:rsidRPr="00D37164">
        <w:rPr>
          <w:spacing w:val="10"/>
          <w:sz w:val="20"/>
        </w:rPr>
        <w:t xml:space="preserve"> </w:t>
      </w:r>
      <w:r w:rsidRPr="00D37164">
        <w:rPr>
          <w:spacing w:val="-1"/>
          <w:sz w:val="20"/>
        </w:rPr>
        <w:t>injunctive</w:t>
      </w:r>
      <w:r w:rsidRPr="00D37164">
        <w:rPr>
          <w:spacing w:val="8"/>
          <w:sz w:val="20"/>
        </w:rPr>
        <w:t xml:space="preserve"> </w:t>
      </w:r>
      <w:r w:rsidRPr="00D37164">
        <w:rPr>
          <w:spacing w:val="-1"/>
          <w:sz w:val="20"/>
        </w:rPr>
        <w:t>relief</w:t>
      </w:r>
      <w:r w:rsidRPr="00D37164">
        <w:rPr>
          <w:spacing w:val="8"/>
          <w:sz w:val="20"/>
        </w:rPr>
        <w:t xml:space="preserve"> </w:t>
      </w:r>
      <w:r w:rsidRPr="00D37164">
        <w:rPr>
          <w:sz w:val="20"/>
        </w:rPr>
        <w:t>is</w:t>
      </w:r>
      <w:r w:rsidRPr="00D37164">
        <w:rPr>
          <w:spacing w:val="10"/>
          <w:sz w:val="20"/>
        </w:rPr>
        <w:t xml:space="preserve"> </w:t>
      </w:r>
      <w:r w:rsidRPr="00D37164">
        <w:rPr>
          <w:spacing w:val="-1"/>
          <w:sz w:val="20"/>
        </w:rPr>
        <w:t>appropriate,</w:t>
      </w:r>
      <w:r w:rsidRPr="00D37164">
        <w:rPr>
          <w:spacing w:val="8"/>
          <w:sz w:val="20"/>
        </w:rPr>
        <w:t xml:space="preserve"> </w:t>
      </w:r>
      <w:r w:rsidRPr="00D37164">
        <w:rPr>
          <w:spacing w:val="1"/>
          <w:sz w:val="20"/>
        </w:rPr>
        <w:t>how</w:t>
      </w:r>
      <w:r w:rsidRPr="00D37164">
        <w:rPr>
          <w:spacing w:val="8"/>
          <w:sz w:val="20"/>
        </w:rPr>
        <w:t xml:space="preserve"> </w:t>
      </w:r>
      <w:r w:rsidRPr="00D37164">
        <w:rPr>
          <w:sz w:val="20"/>
        </w:rPr>
        <w:t>should</w:t>
      </w:r>
      <w:r w:rsidRPr="00D37164">
        <w:rPr>
          <w:spacing w:val="11"/>
          <w:sz w:val="20"/>
        </w:rPr>
        <w:t xml:space="preserve"> </w:t>
      </w:r>
      <w:r w:rsidRPr="00D37164">
        <w:rPr>
          <w:sz w:val="20"/>
        </w:rPr>
        <w:t>the</w:t>
      </w:r>
      <w:r w:rsidRPr="00D37164">
        <w:rPr>
          <w:spacing w:val="10"/>
          <w:sz w:val="20"/>
        </w:rPr>
        <w:t xml:space="preserve"> </w:t>
      </w:r>
      <w:r w:rsidRPr="00D37164">
        <w:rPr>
          <w:spacing w:val="-1"/>
          <w:sz w:val="20"/>
        </w:rPr>
        <w:t>proper</w:t>
      </w:r>
      <w:r w:rsidRPr="00D37164">
        <w:rPr>
          <w:spacing w:val="8"/>
          <w:sz w:val="20"/>
        </w:rPr>
        <w:t xml:space="preserve"> </w:t>
      </w:r>
      <w:r w:rsidRPr="00D37164">
        <w:rPr>
          <w:sz w:val="20"/>
        </w:rPr>
        <w:t>test</w:t>
      </w:r>
      <w:r w:rsidRPr="00D37164">
        <w:rPr>
          <w:spacing w:val="10"/>
          <w:sz w:val="20"/>
        </w:rPr>
        <w:t xml:space="preserve"> </w:t>
      </w:r>
      <w:r w:rsidRPr="00D37164">
        <w:rPr>
          <w:spacing w:val="1"/>
          <w:sz w:val="20"/>
        </w:rPr>
        <w:t>be</w:t>
      </w:r>
      <w:r w:rsidRPr="00D37164">
        <w:rPr>
          <w:spacing w:val="8"/>
          <w:sz w:val="20"/>
        </w:rPr>
        <w:t xml:space="preserve"> </w:t>
      </w:r>
      <w:r w:rsidRPr="00D37164">
        <w:rPr>
          <w:sz w:val="20"/>
        </w:rPr>
        <w:t>applied</w:t>
      </w:r>
      <w:r w:rsidRPr="00D37164">
        <w:rPr>
          <w:spacing w:val="9"/>
          <w:sz w:val="20"/>
        </w:rPr>
        <w:t xml:space="preserve"> </w:t>
      </w:r>
      <w:r w:rsidRPr="00D37164">
        <w:rPr>
          <w:sz w:val="20"/>
        </w:rPr>
        <w:t>in</w:t>
      </w:r>
      <w:r w:rsidRPr="00D37164">
        <w:rPr>
          <w:spacing w:val="57"/>
          <w:sz w:val="20"/>
        </w:rPr>
        <w:t xml:space="preserve"> </w:t>
      </w:r>
      <w:r w:rsidRPr="00D37164">
        <w:rPr>
          <w:spacing w:val="-1"/>
          <w:sz w:val="20"/>
        </w:rPr>
        <w:t>circumstances</w:t>
      </w:r>
      <w:r w:rsidRPr="00D37164">
        <w:rPr>
          <w:spacing w:val="2"/>
          <w:sz w:val="20"/>
        </w:rPr>
        <w:t xml:space="preserve"> </w:t>
      </w:r>
      <w:r w:rsidRPr="00D37164">
        <w:rPr>
          <w:spacing w:val="-1"/>
          <w:sz w:val="20"/>
        </w:rPr>
        <w:t>where</w:t>
      </w:r>
      <w:r w:rsidRPr="00D37164">
        <w:rPr>
          <w:spacing w:val="1"/>
          <w:sz w:val="20"/>
        </w:rPr>
        <w:t xml:space="preserve"> </w:t>
      </w:r>
      <w:r w:rsidRPr="00D37164">
        <w:rPr>
          <w:sz w:val="20"/>
        </w:rPr>
        <w:t>the</w:t>
      </w:r>
      <w:r w:rsidRPr="00D37164">
        <w:rPr>
          <w:spacing w:val="6"/>
          <w:sz w:val="20"/>
        </w:rPr>
        <w:t xml:space="preserve"> </w:t>
      </w:r>
      <w:r w:rsidRPr="00D37164">
        <w:rPr>
          <w:spacing w:val="-1"/>
          <w:sz w:val="20"/>
        </w:rPr>
        <w:t>AG</w:t>
      </w:r>
      <w:r w:rsidRPr="00D37164">
        <w:rPr>
          <w:spacing w:val="1"/>
          <w:sz w:val="20"/>
        </w:rPr>
        <w:t xml:space="preserve"> </w:t>
      </w:r>
      <w:r w:rsidRPr="00D37164">
        <w:rPr>
          <w:spacing w:val="-1"/>
          <w:sz w:val="20"/>
        </w:rPr>
        <w:t>seeks</w:t>
      </w:r>
      <w:r w:rsidRPr="00D37164">
        <w:rPr>
          <w:spacing w:val="2"/>
          <w:sz w:val="20"/>
        </w:rPr>
        <w:t xml:space="preserve"> </w:t>
      </w:r>
      <w:r w:rsidRPr="00D37164">
        <w:rPr>
          <w:spacing w:val="-1"/>
          <w:sz w:val="20"/>
        </w:rPr>
        <w:t>injunctive</w:t>
      </w:r>
      <w:r w:rsidRPr="00D37164">
        <w:rPr>
          <w:spacing w:val="1"/>
          <w:sz w:val="20"/>
        </w:rPr>
        <w:t xml:space="preserve"> </w:t>
      </w:r>
      <w:r w:rsidRPr="00D37164">
        <w:rPr>
          <w:sz w:val="20"/>
        </w:rPr>
        <w:t>relief</w:t>
      </w:r>
      <w:r w:rsidRPr="00D37164">
        <w:rPr>
          <w:spacing w:val="1"/>
          <w:sz w:val="20"/>
        </w:rPr>
        <w:t xml:space="preserve"> </w:t>
      </w:r>
      <w:r w:rsidRPr="00D37164">
        <w:rPr>
          <w:spacing w:val="-1"/>
          <w:sz w:val="20"/>
        </w:rPr>
        <w:t>against</w:t>
      </w:r>
      <w:r w:rsidRPr="00D37164">
        <w:rPr>
          <w:spacing w:val="3"/>
          <w:sz w:val="20"/>
        </w:rPr>
        <w:t xml:space="preserve"> </w:t>
      </w:r>
      <w:r w:rsidRPr="00D37164">
        <w:rPr>
          <w:spacing w:val="-1"/>
          <w:sz w:val="20"/>
        </w:rPr>
        <w:t>an</w:t>
      </w:r>
      <w:r w:rsidRPr="00D37164">
        <w:rPr>
          <w:spacing w:val="5"/>
          <w:sz w:val="20"/>
        </w:rPr>
        <w:t xml:space="preserve"> </w:t>
      </w:r>
      <w:r w:rsidRPr="00D37164">
        <w:rPr>
          <w:sz w:val="20"/>
        </w:rPr>
        <w:t>accused</w:t>
      </w:r>
      <w:r w:rsidRPr="00D37164">
        <w:rPr>
          <w:spacing w:val="2"/>
          <w:sz w:val="20"/>
        </w:rPr>
        <w:t xml:space="preserve"> </w:t>
      </w:r>
      <w:r w:rsidRPr="00D37164">
        <w:rPr>
          <w:sz w:val="20"/>
        </w:rPr>
        <w:t>person</w:t>
      </w:r>
      <w:r w:rsidRPr="00D37164">
        <w:rPr>
          <w:spacing w:val="2"/>
          <w:sz w:val="20"/>
        </w:rPr>
        <w:t xml:space="preserve"> </w:t>
      </w:r>
      <w:r w:rsidRPr="00D37164">
        <w:rPr>
          <w:sz w:val="20"/>
        </w:rPr>
        <w:t>in</w:t>
      </w:r>
      <w:r w:rsidRPr="00D37164">
        <w:rPr>
          <w:spacing w:val="2"/>
          <w:sz w:val="20"/>
        </w:rPr>
        <w:t xml:space="preserve"> </w:t>
      </w:r>
      <w:r w:rsidRPr="00D37164">
        <w:rPr>
          <w:sz w:val="20"/>
        </w:rPr>
        <w:t>a</w:t>
      </w:r>
      <w:r w:rsidRPr="00D37164">
        <w:rPr>
          <w:spacing w:val="65"/>
          <w:sz w:val="20"/>
        </w:rPr>
        <w:t xml:space="preserve"> </w:t>
      </w:r>
      <w:r w:rsidRPr="00D37164">
        <w:rPr>
          <w:spacing w:val="-1"/>
          <w:sz w:val="20"/>
        </w:rPr>
        <w:t>prosecution</w:t>
      </w:r>
      <w:r w:rsidRPr="00D37164">
        <w:rPr>
          <w:sz w:val="20"/>
        </w:rPr>
        <w:t xml:space="preserve"> </w:t>
      </w:r>
      <w:r w:rsidRPr="00D37164">
        <w:rPr>
          <w:spacing w:val="-1"/>
          <w:sz w:val="20"/>
        </w:rPr>
        <w:t>for</w:t>
      </w:r>
      <w:r w:rsidRPr="00D37164">
        <w:rPr>
          <w:spacing w:val="1"/>
          <w:sz w:val="20"/>
        </w:rPr>
        <w:t xml:space="preserve"> </w:t>
      </w:r>
      <w:r w:rsidRPr="00D37164">
        <w:rPr>
          <w:spacing w:val="-1"/>
          <w:sz w:val="20"/>
        </w:rPr>
        <w:t>criminal</w:t>
      </w:r>
      <w:r w:rsidRPr="00D37164">
        <w:rPr>
          <w:sz w:val="20"/>
        </w:rPr>
        <w:t xml:space="preserve"> </w:t>
      </w:r>
      <w:r w:rsidRPr="00D37164">
        <w:rPr>
          <w:spacing w:val="-1"/>
          <w:sz w:val="20"/>
        </w:rPr>
        <w:t>contempt</w:t>
      </w:r>
      <w:r w:rsidRPr="00D37164">
        <w:rPr>
          <w:spacing w:val="2"/>
          <w:sz w:val="20"/>
        </w:rPr>
        <w:t xml:space="preserve"> </w:t>
      </w:r>
      <w:r w:rsidRPr="00D37164">
        <w:rPr>
          <w:spacing w:val="-1"/>
          <w:sz w:val="20"/>
        </w:rPr>
        <w:t>and</w:t>
      </w:r>
      <w:r w:rsidRPr="00D37164">
        <w:rPr>
          <w:sz w:val="20"/>
        </w:rPr>
        <w:t xml:space="preserve"> </w:t>
      </w:r>
      <w:r w:rsidRPr="00D37164">
        <w:rPr>
          <w:spacing w:val="-1"/>
          <w:sz w:val="20"/>
        </w:rPr>
        <w:t>where free</w:t>
      </w:r>
      <w:r w:rsidRPr="00D37164">
        <w:rPr>
          <w:spacing w:val="1"/>
          <w:sz w:val="20"/>
        </w:rPr>
        <w:t xml:space="preserve"> </w:t>
      </w:r>
      <w:r w:rsidRPr="00D37164">
        <w:rPr>
          <w:spacing w:val="-1"/>
          <w:sz w:val="20"/>
        </w:rPr>
        <w:t>speech</w:t>
      </w:r>
      <w:r w:rsidRPr="00D37164">
        <w:rPr>
          <w:sz w:val="20"/>
        </w:rPr>
        <w:t xml:space="preserve"> is at issue? </w:t>
      </w:r>
      <w:r w:rsidRPr="00D37164">
        <w:rPr>
          <w:i/>
          <w:sz w:val="20"/>
        </w:rPr>
        <w:t>Criminal Code</w:t>
      </w:r>
      <w:r w:rsidRPr="00D37164">
        <w:rPr>
          <w:sz w:val="20"/>
        </w:rPr>
        <w:t xml:space="preserve">, R.S.C. 1985, c. C-46, s. 486.4(2.2) - </w:t>
      </w:r>
      <w:r w:rsidRPr="00D37164">
        <w:rPr>
          <w:i/>
          <w:sz w:val="20"/>
        </w:rPr>
        <w:t>RJR MacDonald Inc. v. Canada (Attorney General)</w:t>
      </w:r>
      <w:r w:rsidRPr="00D37164">
        <w:rPr>
          <w:sz w:val="20"/>
        </w:rPr>
        <w:t>, [1994] 1 S.C.R. 311.</w:t>
      </w:r>
    </w:p>
    <w:p w:rsidR="00D37164" w:rsidRPr="00D37164" w:rsidRDefault="00D37164" w:rsidP="00BA0A4F">
      <w:pPr>
        <w:widowControl w:val="0"/>
        <w:jc w:val="both"/>
        <w:rPr>
          <w:sz w:val="20"/>
        </w:rPr>
      </w:pPr>
    </w:p>
    <w:p w:rsidR="00D37164" w:rsidRPr="00D37164" w:rsidRDefault="00D37164" w:rsidP="00677263">
      <w:pPr>
        <w:jc w:val="both"/>
        <w:rPr>
          <w:sz w:val="20"/>
        </w:rPr>
      </w:pPr>
      <w:bookmarkStart w:id="3" w:name="QuickMark_1"/>
      <w:bookmarkEnd w:id="3"/>
      <w:r w:rsidRPr="00D37164">
        <w:rPr>
          <w:sz w:val="20"/>
        </w:rPr>
        <w:t xml:space="preserve">In March 2016, a 14 year-old girl was murdered, and CBC reported on the crime immediately, using the girl’s name and her picture. Several days later, the accused appeared in court, and pursuant to s. 486.4(2.2) of the </w:t>
      </w:r>
      <w:r w:rsidRPr="00D37164">
        <w:rPr>
          <w:i/>
          <w:sz w:val="20"/>
        </w:rPr>
        <w:t>Criminal Code</w:t>
      </w:r>
      <w:r w:rsidRPr="00D37164">
        <w:rPr>
          <w:sz w:val="20"/>
        </w:rPr>
        <w:t>, the judge issued a mandatory publication ban directing that any information that could identify the victim not be published in any document or broadcast or transmitted in anyway. CBC refused to remove the content it had posted prior to the ban. As a result, the Crown moved for an order citing CBC for criminal contempt and for an interim injunction requiring it to remove the content from its website pending the outcome of the contempt proceedings.</w:t>
      </w:r>
    </w:p>
    <w:p w:rsidR="00D37164" w:rsidRPr="00D37164" w:rsidRDefault="00D37164" w:rsidP="00677263">
      <w:pPr>
        <w:jc w:val="both"/>
        <w:rPr>
          <w:sz w:val="20"/>
        </w:rPr>
      </w:pPr>
    </w:p>
    <w:p w:rsidR="00D37164" w:rsidRPr="00D37164" w:rsidRDefault="00D37164" w:rsidP="00677263">
      <w:pPr>
        <w:jc w:val="both"/>
        <w:rPr>
          <w:sz w:val="20"/>
        </w:rPr>
      </w:pPr>
      <w:r w:rsidRPr="00D37164">
        <w:rPr>
          <w:sz w:val="20"/>
        </w:rPr>
        <w:t xml:space="preserve">The chambers judge refused to issue the injunction. Applying </w:t>
      </w:r>
      <w:r w:rsidRPr="00D37164">
        <w:rPr>
          <w:i/>
          <w:sz w:val="20"/>
        </w:rPr>
        <w:t>RJR MacDonald</w:t>
      </w:r>
      <w:r w:rsidRPr="00D37164">
        <w:rPr>
          <w:sz w:val="20"/>
        </w:rPr>
        <w:t xml:space="preserve">, he found that the Crown had not established a strong </w:t>
      </w:r>
      <w:r w:rsidRPr="00D37164">
        <w:rPr>
          <w:i/>
          <w:sz w:val="20"/>
        </w:rPr>
        <w:t>prima facie</w:t>
      </w:r>
      <w:r w:rsidRPr="00D37164">
        <w:rPr>
          <w:sz w:val="20"/>
        </w:rPr>
        <w:t xml:space="preserve"> case of criminal contempt. A majority of the Court of Appeal, however, allowed the appeal and issued the interim injunction. Among other things, the court found that the chambers judge had mischaracterized the nature of the proceedings. The Crown’s application was hybrid - the interim injunction application was civil in nature and was coupled with the application to cite CBC in criminal contempt - and the chambers judge was therefore wrong to have required the Crown to demonstrate a strong </w:t>
      </w:r>
      <w:r w:rsidRPr="00D37164">
        <w:rPr>
          <w:i/>
          <w:sz w:val="20"/>
        </w:rPr>
        <w:t>prima facie</w:t>
      </w:r>
      <w:r w:rsidRPr="00D37164">
        <w:rPr>
          <w:sz w:val="20"/>
        </w:rPr>
        <w:t xml:space="preserve"> case of criminal </w:t>
      </w:r>
      <w:r w:rsidRPr="00D37164">
        <w:rPr>
          <w:sz w:val="20"/>
        </w:rPr>
        <w:lastRenderedPageBreak/>
        <w:t xml:space="preserve">contempt. Rather, it had to demonstrate a strong </w:t>
      </w:r>
      <w:r w:rsidRPr="00D37164">
        <w:rPr>
          <w:i/>
          <w:sz w:val="20"/>
        </w:rPr>
        <w:t>prima facie</w:t>
      </w:r>
      <w:r w:rsidRPr="00D37164">
        <w:rPr>
          <w:sz w:val="20"/>
        </w:rPr>
        <w:t xml:space="preserve"> case entitling it to a permanent injunction. The dissenting judge saw the Crown’s application as criminal in nature and found the chambers judge’s application of the three-part test to be correct. The injunction order issued by the Court of Appeal has been stayed pending the determination of CBC’s application for leave</w:t>
      </w:r>
      <w:r>
        <w:rPr>
          <w:sz w:val="20"/>
        </w:rPr>
        <w:t xml:space="preserve"> in this Court.</w:t>
      </w:r>
    </w:p>
    <w:p w:rsidR="00D37164" w:rsidRPr="00D37164" w:rsidRDefault="00D37164" w:rsidP="00677263">
      <w:pPr>
        <w:jc w:val="both"/>
        <w:rPr>
          <w:sz w:val="20"/>
        </w:rPr>
      </w:pPr>
    </w:p>
    <w:p w:rsidR="00D37164" w:rsidRDefault="00D37164" w:rsidP="001F487F">
      <w:pPr>
        <w:jc w:val="both"/>
        <w:rPr>
          <w:sz w:val="20"/>
        </w:rPr>
      </w:pPr>
      <w:r w:rsidRPr="00D37164">
        <w:rPr>
          <w:sz w:val="20"/>
        </w:rPr>
        <w:t>The contempt proceedings were scheduled to commence in the Court of Queen’s Bench on January 24, 2017.</w:t>
      </w:r>
    </w:p>
    <w:p w:rsidR="00D37164" w:rsidRDefault="00D37164" w:rsidP="001F487F">
      <w:pPr>
        <w:jc w:val="both"/>
        <w:rPr>
          <w:sz w:val="20"/>
        </w:rPr>
      </w:pPr>
    </w:p>
    <w:p w:rsidR="00D37164" w:rsidRPr="00D37164" w:rsidRDefault="00D37164" w:rsidP="001F487F">
      <w:pPr>
        <w:jc w:val="both"/>
        <w:rPr>
          <w:sz w:val="20"/>
        </w:rPr>
      </w:pPr>
    </w:p>
    <w:p w:rsidR="00D37164" w:rsidRPr="00D37164" w:rsidRDefault="00D37164" w:rsidP="00091D6B">
      <w:pPr>
        <w:widowControl w:val="0"/>
        <w:ind w:left="720" w:hanging="720"/>
        <w:jc w:val="both"/>
        <w:rPr>
          <w:b/>
          <w:i/>
          <w:sz w:val="20"/>
          <w:lang w:val="fr-CA"/>
        </w:rPr>
      </w:pPr>
      <w:r w:rsidRPr="00D37164">
        <w:rPr>
          <w:b/>
          <w:sz w:val="20"/>
          <w:lang w:val="fr-CA"/>
        </w:rPr>
        <w:fldChar w:fldCharType="begin"/>
      </w:r>
      <w:r w:rsidRPr="00D37164">
        <w:rPr>
          <w:b/>
          <w:sz w:val="20"/>
          <w:lang w:val="fr-CA"/>
        </w:rPr>
        <w:instrText xml:space="preserve"> SEQ CHAPTER \h \r 1</w:instrText>
      </w:r>
      <w:r w:rsidRPr="00D37164">
        <w:rPr>
          <w:b/>
          <w:sz w:val="20"/>
          <w:lang w:val="fr-CA"/>
        </w:rPr>
        <w:fldChar w:fldCharType="end"/>
      </w:r>
      <w:r w:rsidRPr="00D37164">
        <w:rPr>
          <w:b/>
          <w:sz w:val="20"/>
          <w:lang w:val="fr-CA"/>
        </w:rPr>
        <w:t>37360</w:t>
      </w:r>
      <w:r w:rsidRPr="00D37164">
        <w:rPr>
          <w:sz w:val="20"/>
          <w:lang w:val="fr-CA"/>
        </w:rPr>
        <w:tab/>
      </w:r>
      <w:r w:rsidRPr="00D37164">
        <w:rPr>
          <w:b/>
          <w:i/>
          <w:sz w:val="20"/>
          <w:lang w:val="fr-CA"/>
        </w:rPr>
        <w:t>Société Radio-Canada c. Sa Majesté la Reine</w:t>
      </w:r>
    </w:p>
    <w:p w:rsidR="00D37164" w:rsidRPr="00D37164" w:rsidRDefault="00D37164" w:rsidP="00091D6B">
      <w:pPr>
        <w:widowControl w:val="0"/>
        <w:ind w:left="1440" w:hanging="732"/>
        <w:jc w:val="both"/>
        <w:rPr>
          <w:sz w:val="20"/>
          <w:lang w:val="fr-CA"/>
        </w:rPr>
      </w:pPr>
      <w:r w:rsidRPr="00D37164">
        <w:rPr>
          <w:sz w:val="20"/>
          <w:lang w:val="fr-CA"/>
        </w:rPr>
        <w:t>(Alb.) (Criminelle) (Sur autorisation)</w:t>
      </w:r>
    </w:p>
    <w:p w:rsidR="00D37164" w:rsidRPr="00D37164" w:rsidRDefault="00D37164" w:rsidP="00091D6B">
      <w:pPr>
        <w:widowControl w:val="0"/>
        <w:ind w:left="1440" w:hanging="732"/>
        <w:jc w:val="both"/>
        <w:rPr>
          <w:sz w:val="20"/>
          <w:lang w:val="fr-CA"/>
        </w:rPr>
      </w:pPr>
    </w:p>
    <w:p w:rsidR="00D37164" w:rsidRPr="00D37164" w:rsidRDefault="00D37164" w:rsidP="00091D6B">
      <w:pPr>
        <w:jc w:val="both"/>
        <w:rPr>
          <w:sz w:val="20"/>
          <w:lang w:val="fr-CA"/>
        </w:rPr>
      </w:pPr>
      <w:r w:rsidRPr="00D37164">
        <w:rPr>
          <w:sz w:val="20"/>
          <w:lang w:val="fr-CA"/>
        </w:rPr>
        <w:t xml:space="preserve">Droit criminel - Outrage criminel - Ordonnances de non-publication - Injonctions provisoires - Refus par la Société Radio-Canada (« SRC ») de retirer le contenu de son site Web visé par l’ordonnance de non-publication prononcée après l’affichage du contenu en question - Injonction provisoire et ordonnance condamnant la SRC pour outrage criminel sollicitées par le ministère public - Quelle approche le tribunal doit-il adopter lorsqu’il examine la question de savoir si l’injonction est appropriée pour interdire un acte soumis au droit criminel? - Si l’injonction est appropriée, comment le bon critère doit-il être appliqué dans une situation où le procureur général sollicite une injonction contre un accusé dans une poursuite en outrage criminel où la liberté d’expression est en cause? - </w:t>
      </w:r>
      <w:r w:rsidRPr="00D37164">
        <w:rPr>
          <w:i/>
          <w:sz w:val="20"/>
          <w:lang w:val="fr-CA"/>
        </w:rPr>
        <w:t>Code criminel</w:t>
      </w:r>
      <w:r w:rsidRPr="00D37164">
        <w:rPr>
          <w:sz w:val="20"/>
          <w:lang w:val="fr-CA"/>
        </w:rPr>
        <w:t>, L.R.C. 1985, c. C-46, par. </w:t>
      </w:r>
      <w:proofErr w:type="gramStart"/>
      <w:r w:rsidRPr="00D37164">
        <w:rPr>
          <w:sz w:val="20"/>
          <w:lang w:val="fr-CA"/>
        </w:rPr>
        <w:t>486.4(</w:t>
      </w:r>
      <w:proofErr w:type="gramEnd"/>
      <w:r w:rsidRPr="00D37164">
        <w:rPr>
          <w:sz w:val="20"/>
          <w:lang w:val="fr-CA"/>
        </w:rPr>
        <w:t xml:space="preserve">2.2) - </w:t>
      </w:r>
      <w:r w:rsidRPr="00D37164">
        <w:rPr>
          <w:i/>
          <w:sz w:val="20"/>
          <w:lang w:val="fr-CA"/>
        </w:rPr>
        <w:t xml:space="preserve">RJR </w:t>
      </w:r>
      <w:proofErr w:type="spellStart"/>
      <w:r w:rsidRPr="00D37164">
        <w:rPr>
          <w:i/>
          <w:sz w:val="20"/>
          <w:lang w:val="fr-CA"/>
        </w:rPr>
        <w:t>MacDonald</w:t>
      </w:r>
      <w:proofErr w:type="spellEnd"/>
      <w:r w:rsidRPr="00D37164">
        <w:rPr>
          <w:i/>
          <w:sz w:val="20"/>
          <w:lang w:val="fr-CA"/>
        </w:rPr>
        <w:t xml:space="preserve"> Inc. c. Canada (Procureur général)</w:t>
      </w:r>
      <w:r w:rsidRPr="00D37164">
        <w:rPr>
          <w:sz w:val="20"/>
          <w:lang w:val="fr-CA"/>
        </w:rPr>
        <w:t>, [1994] 1 R.C.S. 311.</w:t>
      </w:r>
    </w:p>
    <w:p w:rsidR="00D37164" w:rsidRPr="00D37164" w:rsidRDefault="00D37164" w:rsidP="00F123CC">
      <w:pPr>
        <w:widowControl w:val="0"/>
        <w:jc w:val="both"/>
        <w:rPr>
          <w:sz w:val="20"/>
          <w:lang w:val="fr-CA"/>
        </w:rPr>
      </w:pPr>
    </w:p>
    <w:p w:rsidR="00D37164" w:rsidRPr="00D37164" w:rsidRDefault="00D37164" w:rsidP="00F123CC">
      <w:pPr>
        <w:jc w:val="both"/>
        <w:rPr>
          <w:sz w:val="20"/>
          <w:lang w:val="fr-CA"/>
        </w:rPr>
      </w:pPr>
      <w:r w:rsidRPr="00D37164">
        <w:rPr>
          <w:sz w:val="20"/>
          <w:lang w:val="fr-CA"/>
        </w:rPr>
        <w:t>En mars 2016, une jeune fille de 14 ans a été assassinée et la SRC a rendu compte du crime immédiatement en utilisant le nom et l’image de la victime. Quelques jours plus tard, l’accusé a comparu en cour et, en application du par. </w:t>
      </w:r>
      <w:proofErr w:type="gramStart"/>
      <w:r w:rsidRPr="00D37164">
        <w:rPr>
          <w:sz w:val="20"/>
          <w:lang w:val="fr-CA"/>
        </w:rPr>
        <w:t>486.4(</w:t>
      </w:r>
      <w:proofErr w:type="gramEnd"/>
      <w:r w:rsidRPr="00D37164">
        <w:rPr>
          <w:sz w:val="20"/>
          <w:lang w:val="fr-CA"/>
        </w:rPr>
        <w:t xml:space="preserve">2.2) du </w:t>
      </w:r>
      <w:r w:rsidRPr="00D37164">
        <w:rPr>
          <w:i/>
          <w:sz w:val="20"/>
          <w:lang w:val="fr-CA"/>
        </w:rPr>
        <w:t>Code criminel</w:t>
      </w:r>
      <w:r w:rsidRPr="00D37164">
        <w:rPr>
          <w:sz w:val="20"/>
          <w:lang w:val="fr-CA"/>
        </w:rPr>
        <w:t>, le juge a prononcé une ordonnance de non-publication obligatoire qui interdisait la publication ou la diffusion de quelque façon que ce soit de tout renseignement qui permettrait d’établir l’identité de la victime. La SRC a refusé de retirer le contenu en cause de son site Web qu’elle avait affiché avant le prononcé de l’interdiction. Le ministère public s’est donc adressé à la cour pour que la SRC soit déclarée coupable d’outrage criminel et pour obtenir une injonction provisoire ordonnant à cette dernière de retirer le contenu en question de son site Web en attendant l’issue de la procédure pour outrage.</w:t>
      </w:r>
    </w:p>
    <w:p w:rsidR="00D37164" w:rsidRPr="00D37164" w:rsidRDefault="00D37164" w:rsidP="00F123CC">
      <w:pPr>
        <w:jc w:val="both"/>
        <w:rPr>
          <w:sz w:val="20"/>
          <w:lang w:val="fr-CA"/>
        </w:rPr>
      </w:pPr>
    </w:p>
    <w:p w:rsidR="00D37164" w:rsidRPr="00D37164" w:rsidRDefault="00D37164" w:rsidP="00F123CC">
      <w:pPr>
        <w:jc w:val="both"/>
        <w:rPr>
          <w:sz w:val="20"/>
          <w:lang w:val="fr-CA"/>
        </w:rPr>
      </w:pPr>
      <w:r w:rsidRPr="00D37164">
        <w:rPr>
          <w:sz w:val="20"/>
          <w:lang w:val="fr-CA"/>
        </w:rPr>
        <w:t xml:space="preserve">Le juge en cabinet a refusé de prononcer l’injonction. Appliquant l’arrêt </w:t>
      </w:r>
      <w:r w:rsidRPr="00D37164">
        <w:rPr>
          <w:i/>
          <w:sz w:val="20"/>
          <w:lang w:val="fr-CA"/>
        </w:rPr>
        <w:t>RJR MacDonald</w:t>
      </w:r>
      <w:r w:rsidRPr="00D37164">
        <w:rPr>
          <w:sz w:val="20"/>
          <w:lang w:val="fr-CA"/>
        </w:rPr>
        <w:t xml:space="preserve">, il a conclu que le ministère public n’avait pas établi une preuve </w:t>
      </w:r>
      <w:r w:rsidRPr="00D37164">
        <w:rPr>
          <w:i/>
          <w:sz w:val="20"/>
          <w:lang w:val="fr-CA"/>
        </w:rPr>
        <w:t>prima facie</w:t>
      </w:r>
      <w:r w:rsidRPr="00D37164">
        <w:rPr>
          <w:sz w:val="20"/>
          <w:lang w:val="fr-CA"/>
        </w:rPr>
        <w:t xml:space="preserve"> solide d’outrage criminel. Toutefois, les juges majoritaires de la Cour d’appel ont accueilli l’appel et prononcé une injonction provisoire. Entre autres choses, la cour a conclu que le juge en cabinet avait mal qualifié la nature de l’instance. La demande du ministère public avait un caractère hybride — la demande d’injonction provisoire était de nature civile et elle était conjuguée à la demande d’assignation de la SRC pour outrage criminel, si bien que le juge en cabinet avait eu tort d’exiger que le ministère public présente une preuve </w:t>
      </w:r>
      <w:r w:rsidRPr="00D37164">
        <w:rPr>
          <w:i/>
          <w:sz w:val="20"/>
          <w:lang w:val="fr-CA"/>
        </w:rPr>
        <w:t>prima facie</w:t>
      </w:r>
      <w:r w:rsidRPr="00D37164">
        <w:rPr>
          <w:sz w:val="20"/>
          <w:lang w:val="fr-CA"/>
        </w:rPr>
        <w:t xml:space="preserve"> solide d’outrage criminel. Le ministère public devait plutôt faire une preuve </w:t>
      </w:r>
      <w:r w:rsidRPr="00D37164">
        <w:rPr>
          <w:i/>
          <w:sz w:val="20"/>
          <w:lang w:val="fr-CA"/>
        </w:rPr>
        <w:t>prima facie</w:t>
      </w:r>
      <w:r w:rsidRPr="00D37164">
        <w:rPr>
          <w:sz w:val="20"/>
          <w:lang w:val="fr-CA"/>
        </w:rPr>
        <w:t xml:space="preserve"> solide lui donnant droit au prononcé d’une injonction permanente. La juge dissidente a estimé que la demande du ministère public était de nature criminelle et a conclu que le juge en cabinet avait bien appliqué le critère à trois volets. L’injonction prononcée par la Cour d’appel a été suspendue en attendant qu’il soit statué sur la demande d’autorisation d’appel de la SCR devant notre Cour. </w:t>
      </w:r>
    </w:p>
    <w:p w:rsidR="00D37164" w:rsidRPr="00D37164" w:rsidRDefault="00D37164" w:rsidP="00F123CC">
      <w:pPr>
        <w:jc w:val="both"/>
        <w:rPr>
          <w:sz w:val="20"/>
          <w:lang w:val="fr-CA"/>
        </w:rPr>
      </w:pPr>
    </w:p>
    <w:p w:rsidR="00D37164" w:rsidRPr="00D37164" w:rsidRDefault="00D37164" w:rsidP="00091D6B">
      <w:pPr>
        <w:jc w:val="both"/>
        <w:rPr>
          <w:sz w:val="20"/>
          <w:lang w:val="fr-CA"/>
        </w:rPr>
      </w:pPr>
      <w:r w:rsidRPr="00D37164">
        <w:rPr>
          <w:sz w:val="20"/>
          <w:lang w:val="fr-CA"/>
        </w:rPr>
        <w:t>Le procès pour outrage devait commencer en Cour du Banc de la Reine le 24 janvier 2017.</w:t>
      </w:r>
    </w:p>
    <w:p w:rsidR="00D37164" w:rsidRPr="00D37164" w:rsidRDefault="00D37164" w:rsidP="00340C6D">
      <w:pPr>
        <w:jc w:val="both"/>
        <w:rPr>
          <w:lang w:val="fr-CA"/>
        </w:rPr>
      </w:pPr>
    </w:p>
    <w:p w:rsidR="00072A63" w:rsidRPr="00D37164" w:rsidRDefault="00072A63" w:rsidP="00340C6D">
      <w:pPr>
        <w:jc w:val="both"/>
        <w:rPr>
          <w:szCs w:val="24"/>
          <w:lang w:val="fr-CA"/>
        </w:rPr>
      </w:pPr>
    </w:p>
    <w:p w:rsidR="00072A63" w:rsidRPr="00D37164" w:rsidRDefault="00072A63" w:rsidP="00EC79B0">
      <w:pPr>
        <w:jc w:val="both"/>
        <w:rPr>
          <w:szCs w:val="24"/>
          <w:lang w:val="fr-CA"/>
        </w:rPr>
      </w:pPr>
    </w:p>
    <w:p w:rsidR="001C4415" w:rsidRPr="00BD2F73" w:rsidRDefault="001C4415" w:rsidP="001C4415">
      <w:pPr>
        <w:widowControl w:val="0"/>
        <w:outlineLvl w:val="0"/>
      </w:pPr>
      <w:r w:rsidRPr="00BD2F73">
        <w:t xml:space="preserve">Supreme Court of Canada / Cour suprême du </w:t>
      </w:r>
      <w:proofErr w:type="gramStart"/>
      <w:r w:rsidRPr="00BD2F73">
        <w:t>Canada :</w:t>
      </w:r>
      <w:proofErr w:type="gramEnd"/>
      <w:r w:rsidRPr="00BD2F73">
        <w:t xml:space="preserve"> </w:t>
      </w:r>
    </w:p>
    <w:p w:rsidR="001C4415" w:rsidRPr="00BD2F73" w:rsidRDefault="001C27F2" w:rsidP="001C4415">
      <w:pPr>
        <w:widowControl w:val="0"/>
        <w:outlineLvl w:val="0"/>
      </w:pPr>
      <w:hyperlink r:id="rId8" w:history="1">
        <w:r w:rsidR="001C4415" w:rsidRPr="00BD2F73">
          <w:rPr>
            <w:rStyle w:val="Hyperlink"/>
          </w:rPr>
          <w:t>comments-commentaires@scc-csc.ca</w:t>
        </w:r>
      </w:hyperlink>
    </w:p>
    <w:p w:rsidR="001C4415" w:rsidRPr="00BD2F73" w:rsidRDefault="001C4415" w:rsidP="001C4415">
      <w:pPr>
        <w:widowControl w:val="0"/>
        <w:outlineLvl w:val="0"/>
      </w:pPr>
      <w:r w:rsidRPr="00BD2F73">
        <w:t>(613) 995-4330</w:t>
      </w:r>
    </w:p>
    <w:p w:rsidR="001C4415" w:rsidRPr="00BD2F73" w:rsidRDefault="001C4415" w:rsidP="001C4415">
      <w:pPr>
        <w:widowControl w:val="0"/>
        <w:rPr>
          <w:sz w:val="20"/>
        </w:rPr>
      </w:pPr>
    </w:p>
    <w:p w:rsidR="0036476C" w:rsidRPr="00A8502B" w:rsidRDefault="001C4415" w:rsidP="0036476C">
      <w:pPr>
        <w:pStyle w:val="Footer"/>
        <w:jc w:val="center"/>
        <w:rPr>
          <w:lang w:val="fr-CA"/>
        </w:rPr>
      </w:pPr>
      <w:r w:rsidRPr="00BD2F73">
        <w:rPr>
          <w:lang w:val="fr-CA"/>
        </w:rPr>
        <w:t xml:space="preserve">- 30 </w:t>
      </w:r>
      <w:r w:rsidR="003C1B6E" w:rsidRPr="00BD2F7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27F2"/>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07F6"/>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17966"/>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288F"/>
    <w:rsid w:val="007C30F2"/>
    <w:rsid w:val="007D1B42"/>
    <w:rsid w:val="007D20F6"/>
    <w:rsid w:val="007D4862"/>
    <w:rsid w:val="007D5D5B"/>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164"/>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36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2018-01-31T14:02:00Z</dcterms:created>
  <dcterms:modified xsi:type="dcterms:W3CDTF">2018-02-05T17:11:00Z</dcterms:modified>
</cp:coreProperties>
</file>