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0581" w:rsidRDefault="00F61846" w:rsidP="00122CE1">
      <w:pPr>
        <w:pStyle w:val="Header"/>
        <w:tabs>
          <w:tab w:val="left" w:pos="1620"/>
          <w:tab w:val="left" w:pos="1710"/>
        </w:tabs>
        <w:jc w:val="center"/>
        <w:rPr>
          <w:b/>
          <w:sz w:val="32"/>
        </w:rPr>
      </w:pPr>
      <w:r>
        <w:rPr>
          <w:b/>
          <w:sz w:val="32"/>
        </w:rPr>
        <w:t>S</w:t>
      </w:r>
      <w:r w:rsidR="003F43E6" w:rsidRPr="00DD0581">
        <w:rPr>
          <w:b/>
          <w:sz w:val="32"/>
        </w:rPr>
        <w:t>upreme Court of Canada / Cour suprême du Canada</w:t>
      </w:r>
    </w:p>
    <w:p w:rsidR="003F43E6" w:rsidRPr="00DD0581" w:rsidRDefault="003F43E6" w:rsidP="006F2579">
      <w:pPr>
        <w:widowControl w:val="0"/>
        <w:rPr>
          <w:i/>
        </w:rPr>
      </w:pPr>
    </w:p>
    <w:p w:rsidR="006F2579" w:rsidRPr="00DD0581" w:rsidRDefault="006F2579" w:rsidP="006F2579">
      <w:pPr>
        <w:widowControl w:val="0"/>
        <w:rPr>
          <w:i/>
        </w:rPr>
      </w:pPr>
      <w:r w:rsidRPr="00DD0581">
        <w:rPr>
          <w:i/>
        </w:rPr>
        <w:t>(le français suit)</w:t>
      </w:r>
    </w:p>
    <w:p w:rsidR="006F2579" w:rsidRPr="00DD0581" w:rsidRDefault="006F2579" w:rsidP="006F2579">
      <w:pPr>
        <w:widowControl w:val="0"/>
      </w:pPr>
    </w:p>
    <w:p w:rsidR="006F2579" w:rsidRPr="00DD0581" w:rsidRDefault="00B07908" w:rsidP="006F2579">
      <w:pPr>
        <w:widowControl w:val="0"/>
        <w:jc w:val="center"/>
        <w:rPr>
          <w:b/>
        </w:rPr>
      </w:pPr>
      <w:r w:rsidRPr="00DD0581">
        <w:fldChar w:fldCharType="begin"/>
      </w:r>
      <w:r w:rsidR="006F2579" w:rsidRPr="00DD0581">
        <w:instrText xml:space="preserve"> SEQ CHAPTER \h \r 1</w:instrText>
      </w:r>
      <w:r w:rsidRPr="00DD0581">
        <w:fldChar w:fldCharType="end"/>
      </w:r>
      <w:r w:rsidR="006F2579" w:rsidRPr="00DD0581">
        <w:rPr>
          <w:b/>
        </w:rPr>
        <w:t>JUDGMENT</w:t>
      </w:r>
      <w:r w:rsidR="00B17AAC" w:rsidRPr="00DD0581">
        <w:rPr>
          <w:b/>
        </w:rPr>
        <w:t>S</w:t>
      </w:r>
      <w:r w:rsidR="006F2579" w:rsidRPr="00DD0581">
        <w:rPr>
          <w:b/>
        </w:rPr>
        <w:t xml:space="preserve"> TO B</w:t>
      </w:r>
      <w:r w:rsidR="00001846" w:rsidRPr="00DD0581">
        <w:rPr>
          <w:b/>
        </w:rPr>
        <w:t>E RENDERED IN LE</w:t>
      </w:r>
      <w:r w:rsidR="00A0288A">
        <w:rPr>
          <w:b/>
        </w:rPr>
        <w:t>A</w:t>
      </w:r>
      <w:r w:rsidR="00001846" w:rsidRPr="00DD0581">
        <w:rPr>
          <w:b/>
        </w:rPr>
        <w:t>VE APPLICATION</w:t>
      </w:r>
      <w:r w:rsidR="00E94FDF" w:rsidRPr="00DD0581">
        <w:rPr>
          <w:b/>
        </w:rPr>
        <w:t>S</w:t>
      </w:r>
    </w:p>
    <w:p w:rsidR="006F2579" w:rsidRPr="00DD0581" w:rsidRDefault="006F2579" w:rsidP="006F2579">
      <w:pPr>
        <w:widowControl w:val="0"/>
      </w:pPr>
    </w:p>
    <w:p w:rsidR="006F2579" w:rsidRPr="00D77953" w:rsidRDefault="00AD36A2" w:rsidP="006F2579">
      <w:pPr>
        <w:widowControl w:val="0"/>
        <w:rPr>
          <w:b/>
        </w:rPr>
      </w:pPr>
      <w:r>
        <w:rPr>
          <w:b/>
        </w:rPr>
        <w:t>June</w:t>
      </w:r>
      <w:r w:rsidR="00951718" w:rsidRPr="00D77953">
        <w:rPr>
          <w:b/>
        </w:rPr>
        <w:t xml:space="preserve"> </w:t>
      </w:r>
      <w:r w:rsidR="00751ADF">
        <w:rPr>
          <w:b/>
        </w:rPr>
        <w:t>11</w:t>
      </w:r>
      <w:r w:rsidR="004441C7" w:rsidRPr="00D77953">
        <w:rPr>
          <w:b/>
        </w:rPr>
        <w:t>,</w:t>
      </w:r>
      <w:r w:rsidR="006F2579" w:rsidRPr="00D77953">
        <w:rPr>
          <w:b/>
        </w:rPr>
        <w:t xml:space="preserve"> </w:t>
      </w:r>
      <w:r w:rsidR="0054689F" w:rsidRPr="00D77953">
        <w:rPr>
          <w:b/>
        </w:rPr>
        <w:t>201</w:t>
      </w:r>
      <w:r w:rsidR="00685F7C" w:rsidRPr="00D77953">
        <w:rPr>
          <w:b/>
        </w:rPr>
        <w:t>8</w:t>
      </w:r>
    </w:p>
    <w:p w:rsidR="006F2579" w:rsidRPr="00D77953" w:rsidRDefault="00674F39" w:rsidP="006F2579">
      <w:pPr>
        <w:widowControl w:val="0"/>
        <w:rPr>
          <w:b/>
        </w:rPr>
      </w:pPr>
      <w:r w:rsidRPr="00D77953">
        <w:rPr>
          <w:b/>
        </w:rPr>
        <w:t>For immediate release</w:t>
      </w:r>
    </w:p>
    <w:p w:rsidR="006F2579" w:rsidRPr="00D77953" w:rsidRDefault="006F2579" w:rsidP="006F2579">
      <w:pPr>
        <w:widowControl w:val="0"/>
      </w:pPr>
    </w:p>
    <w:p w:rsidR="006F2579" w:rsidRPr="00F31907" w:rsidRDefault="006F2579" w:rsidP="006F2579">
      <w:pPr>
        <w:widowControl w:val="0"/>
        <w:rPr>
          <w:lang w:val="fr-CA"/>
        </w:rPr>
      </w:pPr>
      <w:r w:rsidRPr="00D77953">
        <w:rPr>
          <w:b/>
        </w:rPr>
        <w:t>OTTAWA</w:t>
      </w:r>
      <w:r w:rsidRPr="00D77953">
        <w:t xml:space="preserve"> – The Supreme Court of Canad</w:t>
      </w:r>
      <w:r w:rsidR="006246E4" w:rsidRPr="00D77953">
        <w:t>a</w:t>
      </w:r>
      <w:r w:rsidRPr="00D77953">
        <w:t xml:space="preserve"> announced today that judgment in the following application</w:t>
      </w:r>
      <w:r w:rsidR="008600ED" w:rsidRPr="00D77953">
        <w:t>s</w:t>
      </w:r>
      <w:r w:rsidRPr="00D77953">
        <w:t xml:space="preserve"> for leave to appeal will be delivered at 9:45 a.m. E</w:t>
      </w:r>
      <w:r w:rsidR="003B7D49">
        <w:t>D</w:t>
      </w:r>
      <w:r w:rsidRPr="00D77953">
        <w:t xml:space="preserve">T on Thursday, </w:t>
      </w:r>
      <w:r w:rsidR="00AD36A2">
        <w:t>June</w:t>
      </w:r>
      <w:r w:rsidR="00455912">
        <w:t xml:space="preserve"> </w:t>
      </w:r>
      <w:r w:rsidR="00751ADF">
        <w:t>14</w:t>
      </w:r>
      <w:r w:rsidR="007E112F" w:rsidRPr="00D77953">
        <w:t>,</w:t>
      </w:r>
      <w:r w:rsidR="002F38D7" w:rsidRPr="00D77953">
        <w:t xml:space="preserve"> </w:t>
      </w:r>
      <w:r w:rsidR="006648D1" w:rsidRPr="00D77953">
        <w:t>201</w:t>
      </w:r>
      <w:r w:rsidR="00685F7C" w:rsidRPr="00D77953">
        <w:t>8</w:t>
      </w:r>
      <w:r w:rsidRPr="00D77953">
        <w:t xml:space="preserve">. </w:t>
      </w:r>
      <w:r w:rsidRPr="00F31907">
        <w:rPr>
          <w:lang w:val="fr-CA"/>
        </w:rPr>
        <w:t>This list is subject to chang</w:t>
      </w:r>
      <w:r w:rsidR="00192F7F" w:rsidRPr="00F31907">
        <w:rPr>
          <w:lang w:val="fr-CA"/>
        </w:rPr>
        <w:t>e</w:t>
      </w:r>
      <w:r w:rsidRPr="00F31907">
        <w:rPr>
          <w:lang w:val="fr-CA"/>
        </w:rPr>
        <w:t>.</w:t>
      </w:r>
    </w:p>
    <w:p w:rsidR="00EF2A9D" w:rsidRPr="00F31907" w:rsidRDefault="00EF2A9D" w:rsidP="006F2579">
      <w:pPr>
        <w:widowControl w:val="0"/>
        <w:rPr>
          <w:lang w:val="fr-CA"/>
        </w:rPr>
      </w:pPr>
    </w:p>
    <w:p w:rsidR="00B43418" w:rsidRPr="00F31907" w:rsidRDefault="00B43418" w:rsidP="006F2579">
      <w:pPr>
        <w:widowControl w:val="0"/>
        <w:rPr>
          <w:lang w:val="fr-CA"/>
        </w:rPr>
      </w:pPr>
    </w:p>
    <w:p w:rsidR="006F2579" w:rsidRPr="008E2CD5" w:rsidRDefault="006F2579" w:rsidP="006F2579">
      <w:pPr>
        <w:widowControl w:val="0"/>
        <w:jc w:val="center"/>
        <w:rPr>
          <w:lang w:val="fr-CA"/>
        </w:rPr>
      </w:pPr>
      <w:r w:rsidRPr="008E2CD5">
        <w:rPr>
          <w:b/>
          <w:lang w:val="fr-CA"/>
        </w:rPr>
        <w:t>PROCHAIN</w:t>
      </w:r>
      <w:r w:rsidR="00B17AAC" w:rsidRPr="008E2CD5">
        <w:rPr>
          <w:b/>
          <w:lang w:val="fr-CA"/>
        </w:rPr>
        <w:t>S</w:t>
      </w:r>
      <w:r w:rsidRPr="008E2CD5">
        <w:rPr>
          <w:b/>
          <w:lang w:val="fr-CA"/>
        </w:rPr>
        <w:t xml:space="preserve"> JUGEMENT</w:t>
      </w:r>
      <w:r w:rsidR="00B17AAC" w:rsidRPr="008E2CD5">
        <w:rPr>
          <w:b/>
          <w:lang w:val="fr-CA"/>
        </w:rPr>
        <w:t>S</w:t>
      </w:r>
      <w:r w:rsidR="00001846" w:rsidRPr="008E2CD5">
        <w:rPr>
          <w:b/>
          <w:lang w:val="fr-CA"/>
        </w:rPr>
        <w:t xml:space="preserve"> SUR DEMANDE</w:t>
      </w:r>
      <w:r w:rsidR="00B17AAC" w:rsidRPr="008E2CD5">
        <w:rPr>
          <w:b/>
          <w:lang w:val="fr-CA"/>
        </w:rPr>
        <w:t>S</w:t>
      </w:r>
      <w:r w:rsidRPr="008E2CD5">
        <w:rPr>
          <w:b/>
          <w:lang w:val="fr-CA"/>
        </w:rPr>
        <w:t xml:space="preserve"> D’AUTORISATION</w:t>
      </w:r>
    </w:p>
    <w:p w:rsidR="006F2579" w:rsidRPr="008E2CD5" w:rsidRDefault="006F2579" w:rsidP="006F2579">
      <w:pPr>
        <w:widowControl w:val="0"/>
        <w:rPr>
          <w:lang w:val="fr-CA"/>
        </w:rPr>
      </w:pPr>
    </w:p>
    <w:p w:rsidR="006F2579" w:rsidRPr="008E2CD5" w:rsidRDefault="006F2579" w:rsidP="006F2579">
      <w:pPr>
        <w:widowControl w:val="0"/>
        <w:rPr>
          <w:b/>
          <w:lang w:val="fr-CA"/>
        </w:rPr>
      </w:pPr>
      <w:r w:rsidRPr="008E2CD5">
        <w:rPr>
          <w:b/>
          <w:lang w:val="fr-CA"/>
        </w:rPr>
        <w:t>Le</w:t>
      </w:r>
      <w:r w:rsidR="00957A76" w:rsidRPr="008E2CD5">
        <w:rPr>
          <w:b/>
          <w:lang w:val="fr-CA"/>
        </w:rPr>
        <w:t xml:space="preserve"> </w:t>
      </w:r>
      <w:r w:rsidR="00751ADF">
        <w:rPr>
          <w:b/>
          <w:lang w:val="fr-CA"/>
        </w:rPr>
        <w:t>11</w:t>
      </w:r>
      <w:r w:rsidR="00FD37D0" w:rsidRPr="008E2CD5">
        <w:rPr>
          <w:b/>
          <w:lang w:val="fr-CA"/>
        </w:rPr>
        <w:t xml:space="preserve"> </w:t>
      </w:r>
      <w:r w:rsidR="00AD36A2">
        <w:rPr>
          <w:b/>
          <w:lang w:val="fr-CA"/>
        </w:rPr>
        <w:t>juin</w:t>
      </w:r>
      <w:r w:rsidR="00A151D1" w:rsidRPr="008E2CD5">
        <w:rPr>
          <w:b/>
          <w:lang w:val="fr-CA"/>
        </w:rPr>
        <w:t xml:space="preserve"> 201</w:t>
      </w:r>
      <w:r w:rsidR="00685F7C" w:rsidRPr="008E2CD5">
        <w:rPr>
          <w:b/>
          <w:lang w:val="fr-CA"/>
        </w:rPr>
        <w:t>8</w:t>
      </w:r>
    </w:p>
    <w:p w:rsidR="006F2579" w:rsidRPr="008E2CD5" w:rsidRDefault="006F2579" w:rsidP="006F2579">
      <w:pPr>
        <w:widowControl w:val="0"/>
        <w:rPr>
          <w:b/>
          <w:lang w:val="fr-CA"/>
        </w:rPr>
      </w:pPr>
      <w:r w:rsidRPr="008E2CD5">
        <w:rPr>
          <w:b/>
          <w:lang w:val="fr-CA"/>
        </w:rPr>
        <w:t>Pour diffusion immédiate</w:t>
      </w:r>
    </w:p>
    <w:p w:rsidR="006F2579" w:rsidRPr="008E2CD5" w:rsidRDefault="006F2579" w:rsidP="006F2579">
      <w:pPr>
        <w:widowControl w:val="0"/>
        <w:rPr>
          <w:b/>
          <w:lang w:val="fr-CA"/>
        </w:rPr>
      </w:pPr>
    </w:p>
    <w:p w:rsidR="006F2579" w:rsidRPr="008E2CD5" w:rsidRDefault="006F2579" w:rsidP="006F2579">
      <w:pPr>
        <w:widowControl w:val="0"/>
        <w:rPr>
          <w:lang w:val="fr-CA"/>
        </w:rPr>
      </w:pPr>
      <w:r w:rsidRPr="008E2CD5">
        <w:rPr>
          <w:b/>
          <w:lang w:val="fr-CA"/>
        </w:rPr>
        <w:t>OTTAWA</w:t>
      </w:r>
      <w:r w:rsidRPr="008E2CD5">
        <w:rPr>
          <w:lang w:val="fr-CA"/>
        </w:rPr>
        <w:t xml:space="preserve"> – La Cour suprême du Canada annonce que jugement ser</w:t>
      </w:r>
      <w:r w:rsidR="004259F9" w:rsidRPr="008E2CD5">
        <w:rPr>
          <w:lang w:val="fr-CA"/>
        </w:rPr>
        <w:t>a</w:t>
      </w:r>
      <w:r w:rsidRPr="008E2CD5">
        <w:rPr>
          <w:lang w:val="fr-CA"/>
        </w:rPr>
        <w:t xml:space="preserve"> rendu dans l</w:t>
      </w:r>
      <w:r w:rsidR="008600ED" w:rsidRPr="008E2CD5">
        <w:rPr>
          <w:lang w:val="fr-CA"/>
        </w:rPr>
        <w:t>es</w:t>
      </w:r>
      <w:r w:rsidRPr="008E2CD5">
        <w:rPr>
          <w:lang w:val="fr-CA"/>
        </w:rPr>
        <w:t xml:space="preserve"> demande</w:t>
      </w:r>
      <w:r w:rsidR="008600ED" w:rsidRPr="008E2CD5">
        <w:rPr>
          <w:lang w:val="fr-CA"/>
        </w:rPr>
        <w:t>s</w:t>
      </w:r>
      <w:r w:rsidRPr="008E2CD5">
        <w:rPr>
          <w:lang w:val="fr-CA"/>
        </w:rPr>
        <w:t xml:space="preserve"> d</w:t>
      </w:r>
      <w:r w:rsidR="00001846" w:rsidRPr="008E2CD5">
        <w:rPr>
          <w:lang w:val="fr-CA"/>
        </w:rPr>
        <w:t>’autorisation d’appel suivante</w:t>
      </w:r>
      <w:r w:rsidR="008600ED" w:rsidRPr="008E2CD5">
        <w:rPr>
          <w:lang w:val="fr-CA"/>
        </w:rPr>
        <w:t>s</w:t>
      </w:r>
      <w:r w:rsidRPr="008E2CD5">
        <w:rPr>
          <w:lang w:val="fr-CA"/>
        </w:rPr>
        <w:t xml:space="preserve"> le jeudi </w:t>
      </w:r>
      <w:r w:rsidR="00751ADF">
        <w:rPr>
          <w:lang w:val="fr-CA"/>
        </w:rPr>
        <w:t>14</w:t>
      </w:r>
      <w:r w:rsidR="00780317" w:rsidRPr="008E2CD5">
        <w:rPr>
          <w:lang w:val="fr-CA"/>
        </w:rPr>
        <w:t xml:space="preserve"> </w:t>
      </w:r>
      <w:r w:rsidR="00AD36A2">
        <w:rPr>
          <w:lang w:val="fr-CA"/>
        </w:rPr>
        <w:t>juin</w:t>
      </w:r>
      <w:r w:rsidR="00674329" w:rsidRPr="008E2CD5">
        <w:rPr>
          <w:lang w:val="fr-CA"/>
        </w:rPr>
        <w:t xml:space="preserve"> </w:t>
      </w:r>
      <w:r w:rsidR="006648D1" w:rsidRPr="008E2CD5">
        <w:rPr>
          <w:lang w:val="fr-CA"/>
        </w:rPr>
        <w:t>201</w:t>
      </w:r>
      <w:r w:rsidR="00685F7C" w:rsidRPr="008E2CD5">
        <w:rPr>
          <w:lang w:val="fr-CA"/>
        </w:rPr>
        <w:t>8</w:t>
      </w:r>
      <w:r w:rsidRPr="008E2CD5">
        <w:rPr>
          <w:lang w:val="fr-CA"/>
        </w:rPr>
        <w:t xml:space="preserve">, à 9 h 45 </w:t>
      </w:r>
      <w:r w:rsidR="000627A2" w:rsidRPr="008E2CD5">
        <w:rPr>
          <w:lang w:val="fr-CA"/>
        </w:rPr>
        <w:t>H</w:t>
      </w:r>
      <w:r w:rsidR="003B7D49" w:rsidRPr="008E2CD5">
        <w:rPr>
          <w:lang w:val="fr-CA"/>
        </w:rPr>
        <w:t>A</w:t>
      </w:r>
      <w:r w:rsidRPr="008E2CD5">
        <w:rPr>
          <w:lang w:val="fr-CA"/>
        </w:rPr>
        <w:t>E. Cette liste est sujette à modifications.</w:t>
      </w:r>
    </w:p>
    <w:p w:rsidR="00EF2A9D" w:rsidRPr="009858DA" w:rsidRDefault="00EF2A9D" w:rsidP="009B14F4">
      <w:pPr>
        <w:widowControl w:val="0"/>
        <w:jc w:val="both"/>
        <w:rPr>
          <w:sz w:val="20"/>
          <w:lang w:val="fr-CA"/>
        </w:rPr>
      </w:pPr>
    </w:p>
    <w:p w:rsidR="001838E0" w:rsidRPr="00DD0581" w:rsidRDefault="003D353C" w:rsidP="009B14F4">
      <w:pPr>
        <w:widowControl w:val="0"/>
        <w:jc w:val="both"/>
        <w:rPr>
          <w:sz w:val="20"/>
          <w:lang w:val="fr-CA"/>
        </w:rPr>
      </w:pPr>
      <w:r w:rsidRPr="009858D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714B95">
      <w:pPr>
        <w:jc w:val="both"/>
        <w:rPr>
          <w:sz w:val="20"/>
          <w:lang w:val="fr-CA"/>
        </w:rPr>
      </w:pPr>
    </w:p>
    <w:p w:rsidR="008837DA" w:rsidRPr="008837DA" w:rsidRDefault="008837DA" w:rsidP="008837DA">
      <w:pPr>
        <w:pStyle w:val="ListParagraph"/>
        <w:numPr>
          <w:ilvl w:val="0"/>
          <w:numId w:val="45"/>
        </w:numPr>
        <w:ind w:left="360"/>
        <w:jc w:val="both"/>
        <w:rPr>
          <w:sz w:val="20"/>
        </w:rPr>
      </w:pPr>
      <w:r w:rsidRPr="008837DA">
        <w:rPr>
          <w:i/>
          <w:sz w:val="20"/>
        </w:rPr>
        <w:t>Brenda Berge v. College of Audiologists and Speech-Language Pathologists of Ontario et al.</w:t>
      </w:r>
      <w:r w:rsidRPr="008837DA">
        <w:rPr>
          <w:sz w:val="20"/>
        </w:rPr>
        <w:t xml:space="preserve"> (Ont.) (Civil) (By Leave) (</w:t>
      </w:r>
      <w:hyperlink r:id="rId7" w:history="1">
        <w:r w:rsidRPr="008837DA">
          <w:rPr>
            <w:rStyle w:val="Hyperlink"/>
            <w:sz w:val="20"/>
            <w:szCs w:val="20"/>
          </w:rPr>
          <w:t>37851</w:t>
        </w:r>
      </w:hyperlink>
      <w:r w:rsidRPr="008837DA">
        <w:rPr>
          <w:sz w:val="20"/>
        </w:rPr>
        <w:t>)</w:t>
      </w:r>
    </w:p>
    <w:p w:rsidR="008837DA" w:rsidRPr="008837DA" w:rsidRDefault="008837DA" w:rsidP="008837DA">
      <w:pPr>
        <w:ind w:left="360" w:hanging="360"/>
        <w:jc w:val="both"/>
        <w:rPr>
          <w:sz w:val="20"/>
        </w:rPr>
      </w:pPr>
    </w:p>
    <w:p w:rsidR="006505E5" w:rsidRPr="008837DA" w:rsidRDefault="006505E5" w:rsidP="008837DA">
      <w:pPr>
        <w:pStyle w:val="ListParagraph"/>
        <w:numPr>
          <w:ilvl w:val="0"/>
          <w:numId w:val="45"/>
        </w:numPr>
        <w:ind w:left="360"/>
        <w:jc w:val="both"/>
        <w:rPr>
          <w:sz w:val="20"/>
        </w:rPr>
      </w:pPr>
      <w:r w:rsidRPr="008837DA">
        <w:rPr>
          <w:i/>
          <w:sz w:val="20"/>
        </w:rPr>
        <w:t>Ciba Specialty Chemicals Water Treatments Limited v. SNF Inc.</w:t>
      </w:r>
      <w:r w:rsidRPr="008837DA">
        <w:rPr>
          <w:sz w:val="20"/>
        </w:rPr>
        <w:t xml:space="preserve"> (F.C.) (Civil) (By Leave) (</w:t>
      </w:r>
      <w:hyperlink r:id="rId8" w:history="1">
        <w:r w:rsidRPr="008837DA">
          <w:rPr>
            <w:rStyle w:val="Hyperlink"/>
            <w:sz w:val="20"/>
            <w:szCs w:val="20"/>
          </w:rPr>
          <w:t>37</w:t>
        </w:r>
        <w:r w:rsidR="00780E1B" w:rsidRPr="008837DA">
          <w:rPr>
            <w:rStyle w:val="Hyperlink"/>
            <w:sz w:val="20"/>
            <w:szCs w:val="20"/>
          </w:rPr>
          <w:t>915</w:t>
        </w:r>
      </w:hyperlink>
      <w:r w:rsidRPr="008837DA">
        <w:rPr>
          <w:sz w:val="20"/>
        </w:rPr>
        <w:t>)</w:t>
      </w:r>
    </w:p>
    <w:p w:rsidR="00751ADF" w:rsidRPr="006505E5" w:rsidRDefault="00751ADF" w:rsidP="008837DA">
      <w:pPr>
        <w:ind w:left="360" w:hanging="360"/>
        <w:jc w:val="both"/>
        <w:rPr>
          <w:sz w:val="20"/>
        </w:rPr>
      </w:pPr>
    </w:p>
    <w:p w:rsidR="006505E5" w:rsidRPr="008837DA" w:rsidRDefault="006505E5" w:rsidP="008837DA">
      <w:pPr>
        <w:pStyle w:val="ListParagraph"/>
        <w:numPr>
          <w:ilvl w:val="0"/>
          <w:numId w:val="45"/>
        </w:numPr>
        <w:ind w:left="360"/>
        <w:jc w:val="both"/>
        <w:rPr>
          <w:sz w:val="20"/>
          <w:lang w:val="en-CA"/>
        </w:rPr>
      </w:pPr>
      <w:r w:rsidRPr="008837DA">
        <w:rPr>
          <w:i/>
          <w:sz w:val="20"/>
          <w:lang w:val="en-CA"/>
        </w:rPr>
        <w:t>Nevsun Resources LTD v. Gize Yebeyo Araya et al.</w:t>
      </w:r>
      <w:r w:rsidRPr="008837DA">
        <w:rPr>
          <w:sz w:val="20"/>
          <w:lang w:val="en-CA"/>
        </w:rPr>
        <w:t xml:space="preserve"> </w:t>
      </w:r>
      <w:r w:rsidRPr="008837DA">
        <w:rPr>
          <w:sz w:val="20"/>
        </w:rPr>
        <w:t>(B.C.) (Civil) (By Leave) (</w:t>
      </w:r>
      <w:hyperlink r:id="rId9" w:history="1">
        <w:r w:rsidRPr="008837DA">
          <w:rPr>
            <w:rStyle w:val="Hyperlink"/>
            <w:sz w:val="20"/>
            <w:szCs w:val="20"/>
          </w:rPr>
          <w:t>37</w:t>
        </w:r>
        <w:r w:rsidR="00780E1B" w:rsidRPr="008837DA">
          <w:rPr>
            <w:rStyle w:val="Hyperlink"/>
            <w:sz w:val="20"/>
            <w:szCs w:val="20"/>
          </w:rPr>
          <w:t>919</w:t>
        </w:r>
      </w:hyperlink>
      <w:r w:rsidRPr="008837DA">
        <w:rPr>
          <w:sz w:val="20"/>
        </w:rPr>
        <w:t>)</w:t>
      </w:r>
    </w:p>
    <w:p w:rsidR="006505E5" w:rsidRPr="00F31907" w:rsidRDefault="006505E5" w:rsidP="008837DA">
      <w:pPr>
        <w:ind w:left="360" w:hanging="360"/>
        <w:jc w:val="both"/>
        <w:rPr>
          <w:sz w:val="20"/>
          <w:lang w:val="en-CA"/>
        </w:rPr>
      </w:pPr>
      <w:bookmarkStart w:id="0" w:name="_GoBack"/>
      <w:bookmarkEnd w:id="0"/>
    </w:p>
    <w:p w:rsidR="006505E5" w:rsidRPr="008837DA" w:rsidRDefault="006505E5" w:rsidP="008837DA">
      <w:pPr>
        <w:pStyle w:val="ListParagraph"/>
        <w:numPr>
          <w:ilvl w:val="0"/>
          <w:numId w:val="45"/>
        </w:numPr>
        <w:ind w:left="360"/>
        <w:jc w:val="both"/>
        <w:rPr>
          <w:sz w:val="20"/>
          <w:szCs w:val="20"/>
          <w:lang w:val="en-CA"/>
        </w:rPr>
      </w:pPr>
      <w:r w:rsidRPr="008837DA">
        <w:rPr>
          <w:i/>
          <w:sz w:val="20"/>
          <w:szCs w:val="20"/>
          <w:lang w:val="en-CA"/>
        </w:rPr>
        <w:t>Holli Anne Kuski v. Travis John Wetsch</w:t>
      </w:r>
      <w:r w:rsidRPr="008837DA">
        <w:rPr>
          <w:sz w:val="20"/>
          <w:szCs w:val="20"/>
          <w:lang w:val="en-CA"/>
        </w:rPr>
        <w:t xml:space="preserve"> (Sask.) (Civil) (By Leave) </w:t>
      </w:r>
      <w:r w:rsidRPr="008837DA">
        <w:rPr>
          <w:sz w:val="20"/>
          <w:szCs w:val="20"/>
        </w:rPr>
        <w:t>(</w:t>
      </w:r>
      <w:hyperlink r:id="rId10" w:history="1">
        <w:r w:rsidRPr="008837DA">
          <w:rPr>
            <w:rStyle w:val="Hyperlink"/>
            <w:sz w:val="20"/>
            <w:szCs w:val="20"/>
          </w:rPr>
          <w:t>37</w:t>
        </w:r>
        <w:r w:rsidR="00780E1B" w:rsidRPr="008837DA">
          <w:rPr>
            <w:rStyle w:val="Hyperlink"/>
            <w:sz w:val="20"/>
            <w:szCs w:val="20"/>
          </w:rPr>
          <w:t>83</w:t>
        </w:r>
        <w:r w:rsidRPr="008837DA">
          <w:rPr>
            <w:rStyle w:val="Hyperlink"/>
            <w:sz w:val="20"/>
            <w:szCs w:val="20"/>
          </w:rPr>
          <w:t>6</w:t>
        </w:r>
      </w:hyperlink>
      <w:r w:rsidRPr="008837DA">
        <w:rPr>
          <w:sz w:val="20"/>
          <w:szCs w:val="20"/>
        </w:rPr>
        <w:t>)</w:t>
      </w:r>
    </w:p>
    <w:p w:rsidR="006505E5" w:rsidRPr="006505E5" w:rsidRDefault="006505E5" w:rsidP="008837DA">
      <w:pPr>
        <w:ind w:left="360" w:hanging="360"/>
        <w:jc w:val="both"/>
        <w:rPr>
          <w:sz w:val="20"/>
          <w:lang w:val="en-CA"/>
        </w:rPr>
      </w:pPr>
    </w:p>
    <w:p w:rsidR="006505E5" w:rsidRPr="008837DA" w:rsidRDefault="006505E5" w:rsidP="008837DA">
      <w:pPr>
        <w:pStyle w:val="ListParagraph"/>
        <w:numPr>
          <w:ilvl w:val="0"/>
          <w:numId w:val="45"/>
        </w:numPr>
        <w:ind w:left="360"/>
        <w:jc w:val="both"/>
        <w:rPr>
          <w:sz w:val="20"/>
          <w:szCs w:val="20"/>
          <w:lang w:val="en-CA"/>
        </w:rPr>
      </w:pPr>
      <w:r w:rsidRPr="008837DA">
        <w:rPr>
          <w:i/>
          <w:sz w:val="20"/>
          <w:szCs w:val="20"/>
          <w:lang w:val="en-CA"/>
        </w:rPr>
        <w:t>Unifor Local 707A v. Suncor Energy Inc.</w:t>
      </w:r>
      <w:r w:rsidRPr="008837DA">
        <w:rPr>
          <w:sz w:val="20"/>
          <w:szCs w:val="20"/>
          <w:lang w:val="en-CA"/>
        </w:rPr>
        <w:t xml:space="preserve"> (Alta.) (Civil) (By Leave) </w:t>
      </w:r>
      <w:r w:rsidRPr="008837DA">
        <w:rPr>
          <w:sz w:val="20"/>
          <w:szCs w:val="20"/>
        </w:rPr>
        <w:t>(</w:t>
      </w:r>
      <w:hyperlink r:id="rId11" w:history="1">
        <w:r w:rsidRPr="008837DA">
          <w:rPr>
            <w:rStyle w:val="Hyperlink"/>
            <w:sz w:val="20"/>
            <w:szCs w:val="20"/>
          </w:rPr>
          <w:t>37</w:t>
        </w:r>
        <w:r w:rsidR="00780E1B" w:rsidRPr="008837DA">
          <w:rPr>
            <w:rStyle w:val="Hyperlink"/>
            <w:sz w:val="20"/>
            <w:szCs w:val="20"/>
          </w:rPr>
          <w:t>854</w:t>
        </w:r>
      </w:hyperlink>
      <w:r w:rsidRPr="008837DA">
        <w:rPr>
          <w:sz w:val="20"/>
          <w:szCs w:val="20"/>
        </w:rPr>
        <w:t>)</w:t>
      </w:r>
    </w:p>
    <w:p w:rsidR="00751ADF" w:rsidRPr="006505E5" w:rsidRDefault="00751ADF" w:rsidP="00714B95">
      <w:pPr>
        <w:jc w:val="both"/>
        <w:rPr>
          <w:sz w:val="20"/>
        </w:rPr>
      </w:pPr>
    </w:p>
    <w:p w:rsidR="00751ADF" w:rsidRDefault="00751ADF" w:rsidP="00714B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DF8" w:rsidRPr="00285DF8" w:rsidTr="00E95A6A">
        <w:tc>
          <w:tcPr>
            <w:tcW w:w="543" w:type="pct"/>
          </w:tcPr>
          <w:p w:rsidR="00285DF8" w:rsidRPr="00285DF8" w:rsidRDefault="00285DF8" w:rsidP="00285DF8">
            <w:pPr>
              <w:jc w:val="both"/>
              <w:rPr>
                <w:sz w:val="20"/>
              </w:rPr>
            </w:pPr>
            <w:r w:rsidRPr="00285DF8">
              <w:rPr>
                <w:rStyle w:val="SCCFileNumberChar"/>
                <w:sz w:val="20"/>
                <w:szCs w:val="20"/>
              </w:rPr>
              <w:t>37851</w:t>
            </w:r>
          </w:p>
        </w:tc>
        <w:tc>
          <w:tcPr>
            <w:tcW w:w="4457" w:type="pct"/>
            <w:gridSpan w:val="3"/>
          </w:tcPr>
          <w:p w:rsidR="00285DF8" w:rsidRPr="00285DF8" w:rsidRDefault="00285DF8" w:rsidP="00285DF8">
            <w:pPr>
              <w:pStyle w:val="SCCLsocParty"/>
              <w:jc w:val="both"/>
              <w:rPr>
                <w:b/>
                <w:sz w:val="20"/>
                <w:szCs w:val="20"/>
                <w:lang w:val="en-US"/>
              </w:rPr>
            </w:pPr>
            <w:r w:rsidRPr="00285DF8">
              <w:rPr>
                <w:b/>
                <w:sz w:val="20"/>
                <w:szCs w:val="20"/>
                <w:lang w:val="en-US"/>
              </w:rPr>
              <w:t>Brenda Berge v. College of Audiologists and Speech-Language Pathologists of Ontario, Attorney General of Ontario</w:t>
            </w:r>
          </w:p>
          <w:p w:rsidR="00285DF8" w:rsidRPr="00285DF8" w:rsidRDefault="00285DF8" w:rsidP="00285DF8">
            <w:pPr>
              <w:jc w:val="both"/>
              <w:rPr>
                <w:sz w:val="20"/>
              </w:rPr>
            </w:pPr>
            <w:r w:rsidRPr="00285DF8">
              <w:rPr>
                <w:sz w:val="20"/>
              </w:rPr>
              <w:t>(Ont.) (Civil) (By Leave)</w:t>
            </w:r>
          </w:p>
        </w:tc>
      </w:tr>
      <w:tr w:rsidR="00285DF8" w:rsidRPr="00285DF8" w:rsidTr="00E95A6A">
        <w:tc>
          <w:tcPr>
            <w:tcW w:w="5000" w:type="pct"/>
            <w:gridSpan w:val="4"/>
          </w:tcPr>
          <w:p w:rsidR="00285DF8" w:rsidRPr="00285DF8" w:rsidRDefault="00285DF8" w:rsidP="00285DF8">
            <w:pPr>
              <w:jc w:val="both"/>
              <w:rPr>
                <w:sz w:val="20"/>
              </w:rPr>
            </w:pPr>
            <w:r w:rsidRPr="00285DF8">
              <w:rPr>
                <w:i/>
                <w:sz w:val="20"/>
              </w:rPr>
              <w:t>Charter of Rights</w:t>
            </w:r>
            <w:r w:rsidRPr="00285DF8">
              <w:rPr>
                <w:sz w:val="20"/>
              </w:rPr>
              <w:t xml:space="preserve"> – Freedom of expression – Discipline tribunal finding audiologist guilty of professional misconduct for violating prohibition in s. 33 of </w:t>
            </w:r>
            <w:r w:rsidRPr="00285DF8">
              <w:rPr>
                <w:i/>
                <w:sz w:val="20"/>
              </w:rPr>
              <w:t>Regulated Health Professions Act, 1991</w:t>
            </w:r>
            <w:r w:rsidRPr="00285DF8">
              <w:rPr>
                <w:sz w:val="20"/>
              </w:rPr>
              <w:t xml:space="preserve"> against using “Doctor” in course of providing health care to patients – Does legislation limiting the use of the title “Doctor” in relation to the provision of health services unjustifiably infringe freedom of expression? – Does the prohibition in s. 33 of </w:t>
            </w:r>
            <w:r w:rsidRPr="00285DF8">
              <w:rPr>
                <w:i/>
                <w:sz w:val="20"/>
              </w:rPr>
              <w:t>Regulated Health Professions Act, 1991</w:t>
            </w:r>
            <w:r w:rsidRPr="00285DF8">
              <w:rPr>
                <w:sz w:val="20"/>
              </w:rPr>
              <w:t xml:space="preserve"> against use of "Doctor" by certain health professionals in the course of providing health care to patients violate s. 2(b) of the </w:t>
            </w:r>
            <w:r w:rsidRPr="00285DF8">
              <w:rPr>
                <w:i/>
                <w:sz w:val="20"/>
              </w:rPr>
              <w:t>Charter</w:t>
            </w:r>
            <w:r w:rsidRPr="00285DF8">
              <w:rPr>
                <w:sz w:val="20"/>
              </w:rPr>
              <w:t>?</w:t>
            </w:r>
          </w:p>
        </w:tc>
      </w:tr>
      <w:tr w:rsidR="00285DF8" w:rsidRPr="00285DF8" w:rsidTr="00E95A6A">
        <w:tc>
          <w:tcPr>
            <w:tcW w:w="5000" w:type="pct"/>
            <w:gridSpan w:val="4"/>
          </w:tcPr>
          <w:p w:rsidR="00285DF8" w:rsidRPr="00285DF8" w:rsidRDefault="00285DF8" w:rsidP="00285DF8">
            <w:pPr>
              <w:jc w:val="both"/>
              <w:rPr>
                <w:sz w:val="20"/>
              </w:rPr>
            </w:pPr>
          </w:p>
          <w:p w:rsidR="00285DF8" w:rsidRPr="00285DF8" w:rsidRDefault="00285DF8" w:rsidP="00285DF8">
            <w:pPr>
              <w:jc w:val="both"/>
              <w:rPr>
                <w:sz w:val="20"/>
              </w:rPr>
            </w:pPr>
            <w:r w:rsidRPr="00285DF8">
              <w:rPr>
                <w:sz w:val="20"/>
              </w:rPr>
              <w:t xml:space="preserve">Ms. Berge is an audiologist who has a doctorate degree in audiology and who practices in Ontario, operating as the Berge Hearing Clinic in Guelph. Audiologists and other health professionals in Ontario are governed by umbrella legislation, the </w:t>
            </w:r>
            <w:r w:rsidRPr="00285DF8">
              <w:rPr>
                <w:i/>
                <w:sz w:val="20"/>
              </w:rPr>
              <w:t xml:space="preserve">Regulated Health Professions Act, 1991 </w:t>
            </w:r>
            <w:r w:rsidRPr="00285DF8">
              <w:rPr>
                <w:sz w:val="20"/>
              </w:rPr>
              <w:t xml:space="preserve">(the RHPA). In Ontario, s. 33 of the RHPA restricts the use </w:t>
            </w:r>
            <w:r w:rsidRPr="00285DF8">
              <w:rPr>
                <w:sz w:val="20"/>
              </w:rPr>
              <w:lastRenderedPageBreak/>
              <w:t xml:space="preserve">of the title “Doctor.” Audiologists are not permitted to use this title in the course of providing health care to individuals. Ms. Berge admitted she had used the title in the course of providing health care to individuals since 2009. She also admitted she was aware of the prohibition against the use of this title. However, in her defence, she challenged the Discipline Committee’s jurisdiction and raised her </w:t>
            </w:r>
            <w:r w:rsidRPr="00285DF8">
              <w:rPr>
                <w:i/>
                <w:sz w:val="20"/>
              </w:rPr>
              <w:t xml:space="preserve">Charter </w:t>
            </w:r>
            <w:r w:rsidRPr="00285DF8">
              <w:rPr>
                <w:sz w:val="20"/>
              </w:rPr>
              <w:t xml:space="preserve">right to freedom of expression. The Discipline Committee dismissed Ms. Berge’s motion for an order dismissing the notices of hearing on multiple grounds including the constitutional validity of s. 33 of the RHPA. On appeal, the Divisional Court held that s. 33 of the RHPA does not breach s. 2(b) of the </w:t>
            </w:r>
            <w:r w:rsidRPr="00285DF8">
              <w:rPr>
                <w:i/>
                <w:sz w:val="20"/>
              </w:rPr>
              <w:t>Charter</w:t>
            </w:r>
            <w:r w:rsidRPr="00285DF8">
              <w:rPr>
                <w:sz w:val="20"/>
              </w:rPr>
              <w:t xml:space="preserve"> but that if it did breach s. 2(b), then the breach was justified by s. 1. The Court of Appeal for Ontario dismissed the application for leave to appeal.</w:t>
            </w:r>
          </w:p>
          <w:p w:rsidR="00285DF8" w:rsidRPr="00285DF8" w:rsidRDefault="00285DF8" w:rsidP="00285DF8">
            <w:pPr>
              <w:jc w:val="both"/>
              <w:rPr>
                <w:sz w:val="20"/>
              </w:rPr>
            </w:pPr>
          </w:p>
        </w:tc>
      </w:tr>
      <w:tr w:rsidR="00285DF8" w:rsidRPr="00285DF8" w:rsidTr="0015591A">
        <w:tc>
          <w:tcPr>
            <w:tcW w:w="2427" w:type="pct"/>
            <w:gridSpan w:val="2"/>
          </w:tcPr>
          <w:p w:rsidR="00285DF8" w:rsidRPr="00285DF8" w:rsidRDefault="00285DF8" w:rsidP="00285DF8">
            <w:pPr>
              <w:jc w:val="both"/>
              <w:rPr>
                <w:sz w:val="20"/>
              </w:rPr>
            </w:pPr>
            <w:r w:rsidRPr="00285DF8">
              <w:rPr>
                <w:sz w:val="20"/>
              </w:rPr>
              <w:lastRenderedPageBreak/>
              <w:t>October 25, 2015</w:t>
            </w:r>
          </w:p>
          <w:p w:rsidR="00285DF8" w:rsidRPr="00285DF8" w:rsidRDefault="00285DF8" w:rsidP="00285DF8">
            <w:pPr>
              <w:jc w:val="both"/>
              <w:rPr>
                <w:sz w:val="20"/>
              </w:rPr>
            </w:pPr>
            <w:r w:rsidRPr="00285DF8">
              <w:rPr>
                <w:sz w:val="20"/>
              </w:rPr>
              <w:t xml:space="preserve">Discipline Committee of the College of </w:t>
            </w:r>
          </w:p>
          <w:p w:rsidR="00285DF8" w:rsidRPr="00285DF8" w:rsidRDefault="00285DF8" w:rsidP="00285DF8">
            <w:pPr>
              <w:jc w:val="both"/>
              <w:rPr>
                <w:sz w:val="20"/>
              </w:rPr>
            </w:pPr>
            <w:r w:rsidRPr="00285DF8">
              <w:rPr>
                <w:sz w:val="20"/>
              </w:rPr>
              <w:t xml:space="preserve">Audiologist and Speech-language Pathologists </w:t>
            </w:r>
          </w:p>
          <w:p w:rsidR="00285DF8" w:rsidRPr="00285DF8" w:rsidRDefault="00285DF8" w:rsidP="00285DF8">
            <w:pPr>
              <w:jc w:val="both"/>
              <w:rPr>
                <w:sz w:val="20"/>
              </w:rPr>
            </w:pPr>
            <w:r w:rsidRPr="00285DF8">
              <w:rPr>
                <w:sz w:val="20"/>
              </w:rPr>
              <w:t>of Ontario</w:t>
            </w:r>
          </w:p>
          <w:p w:rsidR="00285DF8" w:rsidRPr="00285DF8" w:rsidRDefault="00285DF8" w:rsidP="00285DF8">
            <w:pPr>
              <w:jc w:val="both"/>
              <w:rPr>
                <w:sz w:val="20"/>
              </w:rPr>
            </w:pPr>
            <w:r w:rsidRPr="00285DF8">
              <w:rPr>
                <w:sz w:val="20"/>
              </w:rPr>
              <w:t xml:space="preserve">(Deb </w:t>
            </w:r>
            <w:proofErr w:type="spellStart"/>
            <w:r w:rsidRPr="00285DF8">
              <w:rPr>
                <w:sz w:val="20"/>
              </w:rPr>
              <w:t>Zelisko</w:t>
            </w:r>
            <w:proofErr w:type="spellEnd"/>
            <w:r w:rsidRPr="00285DF8">
              <w:rPr>
                <w:sz w:val="20"/>
              </w:rPr>
              <w:t>, Chair)</w:t>
            </w:r>
          </w:p>
          <w:p w:rsidR="00285DF8" w:rsidRPr="00285DF8" w:rsidRDefault="00285DF8" w:rsidP="00285DF8">
            <w:pPr>
              <w:jc w:val="both"/>
              <w:rPr>
                <w:sz w:val="20"/>
              </w:rPr>
            </w:pPr>
          </w:p>
        </w:tc>
        <w:tc>
          <w:tcPr>
            <w:tcW w:w="243" w:type="pct"/>
          </w:tcPr>
          <w:p w:rsidR="00285DF8" w:rsidRPr="00285DF8" w:rsidRDefault="00285DF8" w:rsidP="00285DF8">
            <w:pPr>
              <w:jc w:val="both"/>
              <w:rPr>
                <w:sz w:val="20"/>
              </w:rPr>
            </w:pPr>
          </w:p>
        </w:tc>
        <w:tc>
          <w:tcPr>
            <w:tcW w:w="2330" w:type="pct"/>
          </w:tcPr>
          <w:p w:rsidR="00285DF8" w:rsidRPr="00285DF8" w:rsidRDefault="00285DF8" w:rsidP="00285DF8">
            <w:pPr>
              <w:jc w:val="both"/>
              <w:rPr>
                <w:sz w:val="20"/>
              </w:rPr>
            </w:pPr>
            <w:r w:rsidRPr="00285DF8">
              <w:rPr>
                <w:sz w:val="20"/>
              </w:rPr>
              <w:t>The Discipline Committee ordered that the applicant be reprimanded and that her certificate of registration be suspended for three months.</w:t>
            </w:r>
          </w:p>
        </w:tc>
      </w:tr>
      <w:tr w:rsidR="00285DF8" w:rsidRPr="00285DF8" w:rsidTr="00E95A6A">
        <w:tc>
          <w:tcPr>
            <w:tcW w:w="2427" w:type="pct"/>
            <w:gridSpan w:val="2"/>
          </w:tcPr>
          <w:p w:rsidR="00285DF8" w:rsidRPr="00285DF8" w:rsidRDefault="00285DF8" w:rsidP="00285DF8">
            <w:pPr>
              <w:jc w:val="both"/>
              <w:rPr>
                <w:sz w:val="20"/>
              </w:rPr>
            </w:pPr>
            <w:r w:rsidRPr="00285DF8">
              <w:rPr>
                <w:sz w:val="20"/>
              </w:rPr>
              <w:t>November 29, 2016</w:t>
            </w:r>
          </w:p>
          <w:p w:rsidR="00285DF8" w:rsidRPr="00285DF8" w:rsidRDefault="00285DF8" w:rsidP="00285DF8">
            <w:pPr>
              <w:jc w:val="both"/>
              <w:rPr>
                <w:sz w:val="20"/>
              </w:rPr>
            </w:pPr>
            <w:r w:rsidRPr="00285DF8">
              <w:rPr>
                <w:sz w:val="20"/>
              </w:rPr>
              <w:t>Divisional Court of Ontario</w:t>
            </w:r>
          </w:p>
          <w:p w:rsidR="00285DF8" w:rsidRPr="00285DF8" w:rsidRDefault="00285DF8" w:rsidP="00285DF8">
            <w:pPr>
              <w:jc w:val="both"/>
              <w:rPr>
                <w:sz w:val="20"/>
              </w:rPr>
            </w:pPr>
            <w:r w:rsidRPr="00285DF8">
              <w:rPr>
                <w:sz w:val="20"/>
              </w:rPr>
              <w:t xml:space="preserve">(Sachs, </w:t>
            </w:r>
            <w:proofErr w:type="spellStart"/>
            <w:r w:rsidRPr="00285DF8">
              <w:rPr>
                <w:sz w:val="20"/>
              </w:rPr>
              <w:t>DiTomaso</w:t>
            </w:r>
            <w:proofErr w:type="spellEnd"/>
            <w:r w:rsidRPr="00285DF8">
              <w:rPr>
                <w:sz w:val="20"/>
              </w:rPr>
              <w:t xml:space="preserve">, </w:t>
            </w:r>
            <w:proofErr w:type="spellStart"/>
            <w:r w:rsidRPr="00285DF8">
              <w:rPr>
                <w:sz w:val="20"/>
              </w:rPr>
              <w:t>Horkins</w:t>
            </w:r>
            <w:proofErr w:type="spellEnd"/>
            <w:r w:rsidRPr="00285DF8">
              <w:rPr>
                <w:sz w:val="20"/>
              </w:rPr>
              <w:t xml:space="preserve"> JJ.)</w:t>
            </w:r>
          </w:p>
          <w:p w:rsidR="00285DF8" w:rsidRPr="00285DF8" w:rsidRDefault="00F31907" w:rsidP="00285DF8">
            <w:pPr>
              <w:jc w:val="both"/>
              <w:rPr>
                <w:rStyle w:val="Hyperlink"/>
                <w:sz w:val="20"/>
              </w:rPr>
            </w:pPr>
            <w:hyperlink r:id="rId12" w:history="1">
              <w:r w:rsidR="00285DF8" w:rsidRPr="00285DF8">
                <w:rPr>
                  <w:rStyle w:val="Hyperlink"/>
                  <w:sz w:val="20"/>
                </w:rPr>
                <w:t>2016 ONSC 7034</w:t>
              </w:r>
            </w:hyperlink>
          </w:p>
          <w:p w:rsidR="00285DF8" w:rsidRPr="00285DF8" w:rsidRDefault="00285DF8" w:rsidP="00285DF8">
            <w:pPr>
              <w:jc w:val="both"/>
              <w:rPr>
                <w:sz w:val="20"/>
              </w:rPr>
            </w:pPr>
          </w:p>
        </w:tc>
        <w:tc>
          <w:tcPr>
            <w:tcW w:w="243" w:type="pct"/>
          </w:tcPr>
          <w:p w:rsidR="00285DF8" w:rsidRPr="00285DF8" w:rsidRDefault="00285DF8" w:rsidP="00285DF8">
            <w:pPr>
              <w:jc w:val="both"/>
              <w:rPr>
                <w:sz w:val="20"/>
              </w:rPr>
            </w:pPr>
          </w:p>
        </w:tc>
        <w:tc>
          <w:tcPr>
            <w:tcW w:w="2330" w:type="pct"/>
          </w:tcPr>
          <w:p w:rsidR="00285DF8" w:rsidRPr="00285DF8" w:rsidRDefault="00285DF8" w:rsidP="00285DF8">
            <w:pPr>
              <w:jc w:val="both"/>
              <w:rPr>
                <w:sz w:val="20"/>
              </w:rPr>
            </w:pPr>
            <w:r w:rsidRPr="00285DF8">
              <w:rPr>
                <w:sz w:val="20"/>
              </w:rPr>
              <w:t>Applicant’s appeal dismissed.</w:t>
            </w:r>
          </w:p>
        </w:tc>
      </w:tr>
      <w:tr w:rsidR="00285DF8" w:rsidRPr="00285DF8" w:rsidTr="00E95A6A">
        <w:tc>
          <w:tcPr>
            <w:tcW w:w="2427" w:type="pct"/>
            <w:gridSpan w:val="2"/>
          </w:tcPr>
          <w:p w:rsidR="00285DF8" w:rsidRPr="00285DF8" w:rsidRDefault="00285DF8" w:rsidP="00285DF8">
            <w:pPr>
              <w:jc w:val="both"/>
              <w:rPr>
                <w:sz w:val="20"/>
              </w:rPr>
            </w:pPr>
            <w:r w:rsidRPr="00285DF8">
              <w:rPr>
                <w:sz w:val="20"/>
              </w:rPr>
              <w:t>September 22, 2017</w:t>
            </w:r>
          </w:p>
          <w:p w:rsidR="00285DF8" w:rsidRPr="00285DF8" w:rsidRDefault="00285DF8" w:rsidP="00285DF8">
            <w:pPr>
              <w:jc w:val="both"/>
              <w:rPr>
                <w:sz w:val="20"/>
              </w:rPr>
            </w:pPr>
            <w:r w:rsidRPr="00285DF8">
              <w:rPr>
                <w:sz w:val="20"/>
              </w:rPr>
              <w:t>Court of Appeal for Ontario</w:t>
            </w:r>
          </w:p>
          <w:p w:rsidR="00285DF8" w:rsidRPr="00285DF8" w:rsidRDefault="00285DF8" w:rsidP="00285DF8">
            <w:pPr>
              <w:jc w:val="both"/>
              <w:rPr>
                <w:sz w:val="20"/>
              </w:rPr>
            </w:pPr>
            <w:r w:rsidRPr="00285DF8">
              <w:rPr>
                <w:sz w:val="20"/>
              </w:rPr>
              <w:t xml:space="preserve">(Doherty, </w:t>
            </w:r>
            <w:proofErr w:type="spellStart"/>
            <w:r w:rsidRPr="00285DF8">
              <w:rPr>
                <w:sz w:val="20"/>
              </w:rPr>
              <w:t>LaForme</w:t>
            </w:r>
            <w:proofErr w:type="spellEnd"/>
            <w:r w:rsidRPr="00285DF8">
              <w:rPr>
                <w:sz w:val="20"/>
              </w:rPr>
              <w:t>, Miller JJ.A.)</w:t>
            </w:r>
          </w:p>
          <w:p w:rsidR="00285DF8" w:rsidRPr="00285DF8" w:rsidRDefault="00285DF8" w:rsidP="00285DF8">
            <w:pPr>
              <w:jc w:val="both"/>
              <w:rPr>
                <w:sz w:val="20"/>
              </w:rPr>
            </w:pPr>
            <w:r w:rsidRPr="00285DF8">
              <w:rPr>
                <w:sz w:val="20"/>
              </w:rPr>
              <w:t>Docket: M47786</w:t>
            </w:r>
          </w:p>
          <w:p w:rsidR="00285DF8" w:rsidRPr="00285DF8" w:rsidRDefault="00285DF8" w:rsidP="00285DF8">
            <w:pPr>
              <w:jc w:val="both"/>
              <w:rPr>
                <w:sz w:val="20"/>
              </w:rPr>
            </w:pPr>
          </w:p>
        </w:tc>
        <w:tc>
          <w:tcPr>
            <w:tcW w:w="243" w:type="pct"/>
          </w:tcPr>
          <w:p w:rsidR="00285DF8" w:rsidRPr="00285DF8" w:rsidRDefault="00285DF8" w:rsidP="00285DF8">
            <w:pPr>
              <w:jc w:val="both"/>
              <w:rPr>
                <w:sz w:val="20"/>
              </w:rPr>
            </w:pPr>
          </w:p>
        </w:tc>
        <w:tc>
          <w:tcPr>
            <w:tcW w:w="2330" w:type="pct"/>
          </w:tcPr>
          <w:p w:rsidR="00285DF8" w:rsidRPr="00285DF8" w:rsidRDefault="00285DF8" w:rsidP="00285DF8">
            <w:pPr>
              <w:jc w:val="both"/>
              <w:rPr>
                <w:sz w:val="20"/>
              </w:rPr>
            </w:pPr>
            <w:r w:rsidRPr="00285DF8">
              <w:rPr>
                <w:sz w:val="20"/>
              </w:rPr>
              <w:t>Applicant’s motion for leave to appeal refused.</w:t>
            </w:r>
          </w:p>
          <w:p w:rsidR="00285DF8" w:rsidRPr="00285DF8" w:rsidRDefault="00285DF8" w:rsidP="00285DF8">
            <w:pPr>
              <w:jc w:val="both"/>
              <w:rPr>
                <w:sz w:val="20"/>
              </w:rPr>
            </w:pPr>
          </w:p>
        </w:tc>
      </w:tr>
      <w:tr w:rsidR="00285DF8" w:rsidRPr="00285DF8" w:rsidTr="00E95A6A">
        <w:tc>
          <w:tcPr>
            <w:tcW w:w="2427" w:type="pct"/>
            <w:gridSpan w:val="2"/>
          </w:tcPr>
          <w:p w:rsidR="00285DF8" w:rsidRPr="00285DF8" w:rsidRDefault="00285DF8" w:rsidP="00285DF8">
            <w:pPr>
              <w:jc w:val="both"/>
              <w:rPr>
                <w:sz w:val="20"/>
              </w:rPr>
            </w:pPr>
            <w:r w:rsidRPr="00285DF8">
              <w:rPr>
                <w:sz w:val="20"/>
              </w:rPr>
              <w:t>November 17, 2017</w:t>
            </w:r>
          </w:p>
          <w:p w:rsidR="00285DF8" w:rsidRPr="00285DF8" w:rsidRDefault="00285DF8" w:rsidP="00285DF8">
            <w:pPr>
              <w:jc w:val="both"/>
              <w:rPr>
                <w:sz w:val="20"/>
              </w:rPr>
            </w:pPr>
            <w:r w:rsidRPr="00285DF8">
              <w:rPr>
                <w:sz w:val="20"/>
              </w:rPr>
              <w:t>Supreme Court of Canada</w:t>
            </w:r>
          </w:p>
        </w:tc>
        <w:tc>
          <w:tcPr>
            <w:tcW w:w="243" w:type="pct"/>
          </w:tcPr>
          <w:p w:rsidR="00285DF8" w:rsidRPr="00285DF8" w:rsidRDefault="00285DF8" w:rsidP="00285DF8">
            <w:pPr>
              <w:jc w:val="both"/>
              <w:rPr>
                <w:sz w:val="20"/>
              </w:rPr>
            </w:pPr>
          </w:p>
        </w:tc>
        <w:tc>
          <w:tcPr>
            <w:tcW w:w="2330" w:type="pct"/>
          </w:tcPr>
          <w:p w:rsidR="00285DF8" w:rsidRPr="00285DF8" w:rsidRDefault="00285DF8" w:rsidP="00285DF8">
            <w:pPr>
              <w:jc w:val="both"/>
              <w:rPr>
                <w:sz w:val="20"/>
              </w:rPr>
            </w:pPr>
            <w:r w:rsidRPr="00285DF8">
              <w:rPr>
                <w:sz w:val="20"/>
              </w:rPr>
              <w:t>Application for leave to appeal filed</w:t>
            </w:r>
          </w:p>
        </w:tc>
      </w:tr>
    </w:tbl>
    <w:p w:rsidR="00285DF8" w:rsidRDefault="00285DF8" w:rsidP="00285DF8">
      <w:pPr>
        <w:jc w:val="both"/>
        <w:rPr>
          <w:sz w:val="20"/>
        </w:rPr>
      </w:pPr>
    </w:p>
    <w:p w:rsidR="00285DF8" w:rsidRPr="00285DF8" w:rsidRDefault="00285DF8" w:rsidP="00285D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DF8" w:rsidRPr="00285DF8" w:rsidTr="00E95A6A">
        <w:tc>
          <w:tcPr>
            <w:tcW w:w="543" w:type="pct"/>
          </w:tcPr>
          <w:p w:rsidR="00285DF8" w:rsidRPr="00285DF8" w:rsidRDefault="00285DF8" w:rsidP="00285DF8">
            <w:pPr>
              <w:jc w:val="both"/>
              <w:rPr>
                <w:sz w:val="20"/>
                <w:lang w:val="fr-CA"/>
              </w:rPr>
            </w:pPr>
            <w:r w:rsidRPr="00285DF8">
              <w:rPr>
                <w:rStyle w:val="SCCFileNumberChar"/>
                <w:sz w:val="20"/>
                <w:szCs w:val="20"/>
                <w:lang w:val="fr-CA"/>
              </w:rPr>
              <w:t>37851</w:t>
            </w:r>
          </w:p>
        </w:tc>
        <w:tc>
          <w:tcPr>
            <w:tcW w:w="4457" w:type="pct"/>
            <w:gridSpan w:val="3"/>
          </w:tcPr>
          <w:p w:rsidR="00285DF8" w:rsidRPr="00285DF8" w:rsidRDefault="00285DF8" w:rsidP="00285DF8">
            <w:pPr>
              <w:pStyle w:val="SCCLsocParty"/>
              <w:jc w:val="both"/>
              <w:rPr>
                <w:b/>
                <w:sz w:val="20"/>
                <w:szCs w:val="20"/>
              </w:rPr>
            </w:pPr>
            <w:r w:rsidRPr="00285DF8">
              <w:rPr>
                <w:b/>
                <w:sz w:val="20"/>
                <w:szCs w:val="20"/>
              </w:rPr>
              <w:t>Brenda Berge c. Ordre des audiologistes et des orthophonistes de l’Ontario, procureur général de l’Ontario</w:t>
            </w:r>
          </w:p>
          <w:p w:rsidR="00285DF8" w:rsidRPr="00285DF8" w:rsidRDefault="00285DF8" w:rsidP="00285DF8">
            <w:pPr>
              <w:jc w:val="both"/>
              <w:rPr>
                <w:sz w:val="20"/>
                <w:lang w:val="fr-CA"/>
              </w:rPr>
            </w:pPr>
            <w:r w:rsidRPr="00285DF8">
              <w:rPr>
                <w:sz w:val="20"/>
                <w:lang w:val="fr-CA"/>
              </w:rPr>
              <w:t>(Ont.) (Civile) (Autorisation)</w:t>
            </w:r>
          </w:p>
        </w:tc>
      </w:tr>
      <w:tr w:rsidR="00285DF8" w:rsidRPr="00F31907" w:rsidTr="00E95A6A">
        <w:tc>
          <w:tcPr>
            <w:tcW w:w="5000" w:type="pct"/>
            <w:gridSpan w:val="4"/>
          </w:tcPr>
          <w:p w:rsidR="00285DF8" w:rsidRPr="00285DF8" w:rsidRDefault="00285DF8" w:rsidP="00285DF8">
            <w:pPr>
              <w:jc w:val="both"/>
              <w:rPr>
                <w:sz w:val="20"/>
                <w:lang w:val="fr-CA"/>
              </w:rPr>
            </w:pPr>
            <w:r w:rsidRPr="00285DF8">
              <w:rPr>
                <w:i/>
                <w:sz w:val="20"/>
                <w:lang w:val="fr-CA"/>
              </w:rPr>
              <w:t>Charte des droits</w:t>
            </w:r>
            <w:r w:rsidRPr="00285DF8">
              <w:rPr>
                <w:sz w:val="20"/>
                <w:lang w:val="fr-CA"/>
              </w:rPr>
              <w:t xml:space="preserve"> – Liberté d’expression – Un tribunal disciplinaire a déclaré une audiologiste coupable d’inconduite professionnelle pour avoir violé l’interdiction, prévue à l’art. 33 de la </w:t>
            </w:r>
            <w:r w:rsidRPr="00285DF8">
              <w:rPr>
                <w:i/>
                <w:sz w:val="20"/>
                <w:lang w:val="fr-CA"/>
              </w:rPr>
              <w:t>Loi de 1991 sur les professions de la santé réglementées</w:t>
            </w:r>
            <w:r w:rsidRPr="00285DF8">
              <w:rPr>
                <w:sz w:val="20"/>
                <w:lang w:val="fr-CA"/>
              </w:rPr>
              <w:t xml:space="preserve">, d’employer le titre de « docteur » dans la prestation de soins médicaux aux patients – La législation limitant l’emploi du titre de « docteur » en lien avec la prestation de services de santé limite-t-elle de façon injustifiable la liberté d’expression? – L’interdiction prévue à l’art. 33 de la </w:t>
            </w:r>
            <w:r w:rsidRPr="00285DF8">
              <w:rPr>
                <w:i/>
                <w:sz w:val="20"/>
                <w:lang w:val="fr-CA"/>
              </w:rPr>
              <w:t>Loi de 1991 sur les professions de la santé réglementées</w:t>
            </w:r>
            <w:r w:rsidRPr="00285DF8">
              <w:rPr>
                <w:sz w:val="20"/>
                <w:lang w:val="fr-CA"/>
              </w:rPr>
              <w:t xml:space="preserve"> de l’emploi du titre de « docteur » par certains professionnels de la santé dans la prestation de soins médicaux aux patients viole-t-elle l’al. 2b) de la </w:t>
            </w:r>
            <w:r w:rsidRPr="00285DF8">
              <w:rPr>
                <w:i/>
                <w:sz w:val="20"/>
                <w:lang w:val="fr-CA"/>
              </w:rPr>
              <w:t>Charte</w:t>
            </w:r>
            <w:r w:rsidRPr="00285DF8">
              <w:rPr>
                <w:sz w:val="20"/>
                <w:lang w:val="fr-CA"/>
              </w:rPr>
              <w:t>?</w:t>
            </w:r>
          </w:p>
        </w:tc>
      </w:tr>
      <w:tr w:rsidR="00285DF8" w:rsidRPr="00F31907" w:rsidTr="00E95A6A">
        <w:tc>
          <w:tcPr>
            <w:tcW w:w="5000" w:type="pct"/>
            <w:gridSpan w:val="4"/>
          </w:tcPr>
          <w:p w:rsidR="00285DF8" w:rsidRPr="00285DF8" w:rsidRDefault="00285DF8" w:rsidP="00285DF8">
            <w:pPr>
              <w:jc w:val="both"/>
              <w:rPr>
                <w:sz w:val="20"/>
                <w:lang w:val="fr-CA"/>
              </w:rPr>
            </w:pPr>
          </w:p>
          <w:p w:rsidR="00285DF8" w:rsidRPr="00285DF8" w:rsidRDefault="00285DF8" w:rsidP="00285DF8">
            <w:pPr>
              <w:jc w:val="both"/>
              <w:rPr>
                <w:sz w:val="20"/>
                <w:lang w:val="fr-CA"/>
              </w:rPr>
            </w:pPr>
            <w:r w:rsidRPr="00285DF8">
              <w:rPr>
                <w:sz w:val="20"/>
                <w:lang w:val="fr-CA"/>
              </w:rPr>
              <w:t xml:space="preserve">Madame Berge est audiologiste, titulaire d’un doctorat en audiologie, qui exerce sa profession en Ontario, sous la raison sociale Berge Hearing </w:t>
            </w:r>
            <w:proofErr w:type="spellStart"/>
            <w:r w:rsidRPr="00285DF8">
              <w:rPr>
                <w:sz w:val="20"/>
                <w:lang w:val="fr-CA"/>
              </w:rPr>
              <w:t>Clinic</w:t>
            </w:r>
            <w:proofErr w:type="spellEnd"/>
            <w:r w:rsidRPr="00285DF8">
              <w:rPr>
                <w:sz w:val="20"/>
                <w:lang w:val="fr-CA"/>
              </w:rPr>
              <w:t xml:space="preserve"> à Guelph. Les audiologistes et d’autres professionnels de la santé en Ontario sont régis par une loi-cadre, la </w:t>
            </w:r>
            <w:r w:rsidRPr="00285DF8">
              <w:rPr>
                <w:i/>
                <w:sz w:val="20"/>
                <w:lang w:val="fr-CA"/>
              </w:rPr>
              <w:t xml:space="preserve">Loi de 1991 sur les professions de la santé réglementées </w:t>
            </w:r>
            <w:r w:rsidRPr="00285DF8">
              <w:rPr>
                <w:sz w:val="20"/>
                <w:lang w:val="fr-CA"/>
              </w:rPr>
              <w:t xml:space="preserve">(la LPSR). En Ontario, l’art. 33 de la LPSR restreint l’emploi du titre de « docteur ». Il est interdit aux audiologistes d’employer ce titre dans la prestation des soins médicaux à des particuliers. Madame Berge a avoué avoir employé le titre dans la prestation de soins médicaux à des particuliers depuis 2009. Elle a également avoué être au courant de l’interdiction de l’emploi de ce titre. Toutefois, en sa défense, elle a contesté la compétence du comité de discipline et a invoqué le droit à la liberté d’expression que lui garantit la </w:t>
            </w:r>
            <w:r w:rsidRPr="00285DF8">
              <w:rPr>
                <w:i/>
                <w:sz w:val="20"/>
                <w:lang w:val="fr-CA"/>
              </w:rPr>
              <w:t>Charte</w:t>
            </w:r>
            <w:r w:rsidRPr="00285DF8">
              <w:rPr>
                <w:sz w:val="20"/>
                <w:lang w:val="fr-CA"/>
              </w:rPr>
              <w:t xml:space="preserve">. Le comité de discipline a rejeté la motion de Mme Berge en rejet des avis d’audience pour plusieurs motifs, notamment la validité constitutionnelle de l’art. 33 de la LPSR. En appel, la Cour divisionnaire a statué que l’art. 33 de la LPSR ne portait pas atteinte à l’al. 2b) de la </w:t>
            </w:r>
            <w:r w:rsidRPr="00285DF8">
              <w:rPr>
                <w:i/>
                <w:sz w:val="20"/>
                <w:lang w:val="fr-CA"/>
              </w:rPr>
              <w:t>Charte</w:t>
            </w:r>
            <w:r w:rsidRPr="00285DF8">
              <w:rPr>
                <w:sz w:val="20"/>
                <w:lang w:val="fr-CA"/>
              </w:rPr>
              <w:t>, mais que s’il portait atteinte à l’al. 2b), l’atteinte était justifiée au regard de l’article premier. La Cour d’appel de l’Ontario a rejeté la demande d’autorisation d’interjeter appel.</w:t>
            </w:r>
          </w:p>
          <w:p w:rsidR="00285DF8" w:rsidRPr="00285DF8" w:rsidRDefault="00285DF8" w:rsidP="00285DF8">
            <w:pPr>
              <w:jc w:val="both"/>
              <w:rPr>
                <w:sz w:val="20"/>
                <w:lang w:val="fr-CA"/>
              </w:rPr>
            </w:pPr>
          </w:p>
        </w:tc>
      </w:tr>
      <w:tr w:rsidR="00285DF8" w:rsidRPr="00F31907" w:rsidTr="0015591A">
        <w:tc>
          <w:tcPr>
            <w:tcW w:w="2427" w:type="pct"/>
            <w:gridSpan w:val="2"/>
          </w:tcPr>
          <w:p w:rsidR="00285DF8" w:rsidRPr="00285DF8" w:rsidRDefault="00285DF8" w:rsidP="00285DF8">
            <w:pPr>
              <w:jc w:val="both"/>
              <w:rPr>
                <w:sz w:val="20"/>
                <w:lang w:val="fr-CA"/>
              </w:rPr>
            </w:pPr>
            <w:r w:rsidRPr="00285DF8">
              <w:rPr>
                <w:sz w:val="20"/>
                <w:lang w:val="fr-CA"/>
              </w:rPr>
              <w:lastRenderedPageBreak/>
              <w:t>25 octobre 2015</w:t>
            </w:r>
          </w:p>
          <w:p w:rsidR="00285DF8" w:rsidRPr="00285DF8" w:rsidRDefault="00285DF8" w:rsidP="00285DF8">
            <w:pPr>
              <w:jc w:val="both"/>
              <w:rPr>
                <w:sz w:val="20"/>
                <w:lang w:val="fr-CA"/>
              </w:rPr>
            </w:pPr>
            <w:r w:rsidRPr="00285DF8">
              <w:rPr>
                <w:sz w:val="20"/>
                <w:lang w:val="fr-CA"/>
              </w:rPr>
              <w:t>Comité de discipline de l’Ordre des audiologistes et des orthophonistes de l’Ontario</w:t>
            </w:r>
          </w:p>
          <w:p w:rsidR="00285DF8" w:rsidRPr="00285DF8" w:rsidRDefault="00285DF8" w:rsidP="00285DF8">
            <w:pPr>
              <w:jc w:val="both"/>
              <w:rPr>
                <w:sz w:val="20"/>
                <w:lang w:val="fr-CA"/>
              </w:rPr>
            </w:pPr>
            <w:r w:rsidRPr="00285DF8">
              <w:rPr>
                <w:sz w:val="20"/>
                <w:lang w:val="fr-CA"/>
              </w:rPr>
              <w:t xml:space="preserve">(Présidente Deb </w:t>
            </w:r>
            <w:proofErr w:type="spellStart"/>
            <w:r w:rsidRPr="00285DF8">
              <w:rPr>
                <w:sz w:val="20"/>
                <w:lang w:val="fr-CA"/>
              </w:rPr>
              <w:t>Zelisko</w:t>
            </w:r>
            <w:proofErr w:type="spellEnd"/>
            <w:r w:rsidRPr="00285DF8">
              <w:rPr>
                <w:sz w:val="20"/>
                <w:lang w:val="fr-CA"/>
              </w:rPr>
              <w:t>)</w:t>
            </w:r>
          </w:p>
          <w:p w:rsidR="00285DF8" w:rsidRPr="00285DF8" w:rsidRDefault="00285DF8" w:rsidP="00285DF8">
            <w:pPr>
              <w:jc w:val="both"/>
              <w:rPr>
                <w:sz w:val="20"/>
                <w:lang w:val="fr-CA"/>
              </w:rPr>
            </w:pPr>
          </w:p>
        </w:tc>
        <w:tc>
          <w:tcPr>
            <w:tcW w:w="243" w:type="pct"/>
          </w:tcPr>
          <w:p w:rsidR="00285DF8" w:rsidRPr="00285DF8" w:rsidRDefault="00285DF8" w:rsidP="00285DF8">
            <w:pPr>
              <w:jc w:val="both"/>
              <w:rPr>
                <w:sz w:val="20"/>
                <w:lang w:val="fr-CA"/>
              </w:rPr>
            </w:pPr>
          </w:p>
        </w:tc>
        <w:tc>
          <w:tcPr>
            <w:tcW w:w="2330" w:type="pct"/>
          </w:tcPr>
          <w:p w:rsidR="00285DF8" w:rsidRPr="00285DF8" w:rsidRDefault="00285DF8" w:rsidP="00285DF8">
            <w:pPr>
              <w:jc w:val="both"/>
              <w:rPr>
                <w:sz w:val="20"/>
                <w:lang w:val="fr-CA"/>
              </w:rPr>
            </w:pPr>
            <w:r w:rsidRPr="00285DF8">
              <w:rPr>
                <w:sz w:val="20"/>
                <w:lang w:val="fr-CA"/>
              </w:rPr>
              <w:t>Ordonnance de réprimande de la demanderesse et de suspension de son certificat d’inscription pour une durée de trois mois.</w:t>
            </w:r>
          </w:p>
        </w:tc>
      </w:tr>
      <w:tr w:rsidR="00285DF8" w:rsidRPr="00F31907" w:rsidTr="00E95A6A">
        <w:tc>
          <w:tcPr>
            <w:tcW w:w="2427" w:type="pct"/>
            <w:gridSpan w:val="2"/>
          </w:tcPr>
          <w:p w:rsidR="00285DF8" w:rsidRPr="00285DF8" w:rsidRDefault="00285DF8" w:rsidP="00285DF8">
            <w:pPr>
              <w:jc w:val="both"/>
              <w:rPr>
                <w:sz w:val="20"/>
                <w:lang w:val="fr-CA"/>
              </w:rPr>
            </w:pPr>
            <w:r w:rsidRPr="00285DF8">
              <w:rPr>
                <w:sz w:val="20"/>
                <w:lang w:val="fr-CA"/>
              </w:rPr>
              <w:t>29 novembre 2016</w:t>
            </w:r>
          </w:p>
          <w:p w:rsidR="00285DF8" w:rsidRPr="00285DF8" w:rsidRDefault="00285DF8" w:rsidP="00285DF8">
            <w:pPr>
              <w:jc w:val="both"/>
              <w:rPr>
                <w:sz w:val="20"/>
                <w:lang w:val="fr-CA"/>
              </w:rPr>
            </w:pPr>
            <w:r w:rsidRPr="00285DF8">
              <w:rPr>
                <w:sz w:val="20"/>
                <w:lang w:val="fr-CA"/>
              </w:rPr>
              <w:t>Cour divisionnaire de l’Ontario</w:t>
            </w:r>
          </w:p>
          <w:p w:rsidR="00285DF8" w:rsidRPr="00285DF8" w:rsidRDefault="00285DF8" w:rsidP="00285DF8">
            <w:pPr>
              <w:jc w:val="both"/>
              <w:rPr>
                <w:sz w:val="20"/>
                <w:lang w:val="fr-CA"/>
              </w:rPr>
            </w:pPr>
            <w:r w:rsidRPr="00285DF8">
              <w:rPr>
                <w:sz w:val="20"/>
                <w:lang w:val="fr-CA"/>
              </w:rPr>
              <w:t xml:space="preserve">(Juges Sachs, </w:t>
            </w:r>
            <w:proofErr w:type="spellStart"/>
            <w:r w:rsidRPr="00285DF8">
              <w:rPr>
                <w:sz w:val="20"/>
                <w:lang w:val="fr-CA"/>
              </w:rPr>
              <w:t>DiTomaso</w:t>
            </w:r>
            <w:proofErr w:type="spellEnd"/>
            <w:r w:rsidRPr="00285DF8">
              <w:rPr>
                <w:sz w:val="20"/>
                <w:lang w:val="fr-CA"/>
              </w:rPr>
              <w:t xml:space="preserve"> et </w:t>
            </w:r>
            <w:proofErr w:type="spellStart"/>
            <w:r w:rsidRPr="00285DF8">
              <w:rPr>
                <w:sz w:val="20"/>
                <w:lang w:val="fr-CA"/>
              </w:rPr>
              <w:t>Horkins</w:t>
            </w:r>
            <w:proofErr w:type="spellEnd"/>
            <w:r w:rsidRPr="00285DF8">
              <w:rPr>
                <w:sz w:val="20"/>
                <w:lang w:val="fr-CA"/>
              </w:rPr>
              <w:t>)</w:t>
            </w:r>
          </w:p>
          <w:p w:rsidR="00285DF8" w:rsidRPr="00285DF8" w:rsidRDefault="00F31907" w:rsidP="00285DF8">
            <w:pPr>
              <w:jc w:val="both"/>
              <w:rPr>
                <w:rStyle w:val="Hyperlink"/>
                <w:sz w:val="20"/>
                <w:lang w:val="fr-CA"/>
              </w:rPr>
            </w:pPr>
            <w:hyperlink r:id="rId13" w:history="1">
              <w:r w:rsidR="00285DF8" w:rsidRPr="00285DF8">
                <w:rPr>
                  <w:rStyle w:val="Hyperlink"/>
                  <w:sz w:val="20"/>
                  <w:lang w:val="fr-CA"/>
                </w:rPr>
                <w:t>2016 ONSC 7034</w:t>
              </w:r>
            </w:hyperlink>
          </w:p>
          <w:p w:rsidR="00285DF8" w:rsidRPr="00285DF8" w:rsidRDefault="00285DF8" w:rsidP="00285DF8">
            <w:pPr>
              <w:jc w:val="both"/>
              <w:rPr>
                <w:sz w:val="20"/>
                <w:lang w:val="fr-CA"/>
              </w:rPr>
            </w:pPr>
          </w:p>
        </w:tc>
        <w:tc>
          <w:tcPr>
            <w:tcW w:w="243" w:type="pct"/>
          </w:tcPr>
          <w:p w:rsidR="00285DF8" w:rsidRPr="00285DF8" w:rsidRDefault="00285DF8" w:rsidP="00285DF8">
            <w:pPr>
              <w:jc w:val="both"/>
              <w:rPr>
                <w:sz w:val="20"/>
                <w:lang w:val="fr-CA"/>
              </w:rPr>
            </w:pPr>
          </w:p>
        </w:tc>
        <w:tc>
          <w:tcPr>
            <w:tcW w:w="2330" w:type="pct"/>
          </w:tcPr>
          <w:p w:rsidR="00285DF8" w:rsidRPr="00285DF8" w:rsidRDefault="00285DF8" w:rsidP="00285DF8">
            <w:pPr>
              <w:jc w:val="both"/>
              <w:rPr>
                <w:sz w:val="20"/>
                <w:lang w:val="fr-CA"/>
              </w:rPr>
            </w:pPr>
            <w:r w:rsidRPr="00285DF8">
              <w:rPr>
                <w:sz w:val="20"/>
                <w:lang w:val="fr-CA"/>
              </w:rPr>
              <w:t>Rejet de l’appel de la demanderesse.</w:t>
            </w:r>
          </w:p>
        </w:tc>
      </w:tr>
      <w:tr w:rsidR="00285DF8" w:rsidRPr="00F31907" w:rsidTr="00E95A6A">
        <w:tc>
          <w:tcPr>
            <w:tcW w:w="2427" w:type="pct"/>
            <w:gridSpan w:val="2"/>
          </w:tcPr>
          <w:p w:rsidR="00285DF8" w:rsidRPr="00285DF8" w:rsidRDefault="00285DF8" w:rsidP="00285DF8">
            <w:pPr>
              <w:jc w:val="both"/>
              <w:rPr>
                <w:sz w:val="20"/>
                <w:lang w:val="fr-CA"/>
              </w:rPr>
            </w:pPr>
            <w:r w:rsidRPr="00285DF8">
              <w:rPr>
                <w:sz w:val="20"/>
                <w:lang w:val="fr-CA"/>
              </w:rPr>
              <w:t>22 septembre 2017</w:t>
            </w:r>
          </w:p>
          <w:p w:rsidR="00285DF8" w:rsidRPr="00285DF8" w:rsidRDefault="00285DF8" w:rsidP="00285DF8">
            <w:pPr>
              <w:jc w:val="both"/>
              <w:rPr>
                <w:sz w:val="20"/>
                <w:lang w:val="fr-CA"/>
              </w:rPr>
            </w:pPr>
            <w:r w:rsidRPr="00285DF8">
              <w:rPr>
                <w:sz w:val="20"/>
                <w:lang w:val="fr-CA"/>
              </w:rPr>
              <w:t>Cour d’appel de l’Ontario</w:t>
            </w:r>
          </w:p>
          <w:p w:rsidR="00285DF8" w:rsidRPr="00285DF8" w:rsidRDefault="00285DF8" w:rsidP="00285DF8">
            <w:pPr>
              <w:jc w:val="both"/>
              <w:rPr>
                <w:sz w:val="20"/>
                <w:lang w:val="fr-CA"/>
              </w:rPr>
            </w:pPr>
            <w:r w:rsidRPr="00285DF8">
              <w:rPr>
                <w:sz w:val="20"/>
                <w:lang w:val="fr-CA"/>
              </w:rPr>
              <w:t xml:space="preserve">(Juges Doherty, </w:t>
            </w:r>
            <w:proofErr w:type="spellStart"/>
            <w:r w:rsidRPr="00285DF8">
              <w:rPr>
                <w:sz w:val="20"/>
                <w:lang w:val="fr-CA"/>
              </w:rPr>
              <w:t>LaForme</w:t>
            </w:r>
            <w:proofErr w:type="spellEnd"/>
            <w:r w:rsidRPr="00285DF8">
              <w:rPr>
                <w:sz w:val="20"/>
                <w:lang w:val="fr-CA"/>
              </w:rPr>
              <w:t xml:space="preserve"> et Miller)</w:t>
            </w:r>
          </w:p>
          <w:p w:rsidR="00285DF8" w:rsidRPr="00285DF8" w:rsidRDefault="00285DF8" w:rsidP="00285DF8">
            <w:pPr>
              <w:jc w:val="both"/>
              <w:rPr>
                <w:sz w:val="20"/>
                <w:lang w:val="fr-CA"/>
              </w:rPr>
            </w:pPr>
            <w:r w:rsidRPr="00285DF8">
              <w:rPr>
                <w:sz w:val="20"/>
                <w:lang w:val="fr-CA"/>
              </w:rPr>
              <w:t>N</w:t>
            </w:r>
            <w:r w:rsidRPr="00285DF8">
              <w:rPr>
                <w:sz w:val="20"/>
                <w:vertAlign w:val="superscript"/>
                <w:lang w:val="fr-CA"/>
              </w:rPr>
              <w:t>o</w:t>
            </w:r>
            <w:r w:rsidRPr="00285DF8">
              <w:rPr>
                <w:sz w:val="20"/>
                <w:lang w:val="fr-CA"/>
              </w:rPr>
              <w:t xml:space="preserve"> du greffe : M47786</w:t>
            </w:r>
          </w:p>
          <w:p w:rsidR="00285DF8" w:rsidRPr="00285DF8" w:rsidRDefault="00285DF8" w:rsidP="00285DF8">
            <w:pPr>
              <w:jc w:val="both"/>
              <w:rPr>
                <w:sz w:val="20"/>
                <w:lang w:val="fr-CA"/>
              </w:rPr>
            </w:pPr>
          </w:p>
        </w:tc>
        <w:tc>
          <w:tcPr>
            <w:tcW w:w="243" w:type="pct"/>
          </w:tcPr>
          <w:p w:rsidR="00285DF8" w:rsidRPr="00285DF8" w:rsidRDefault="00285DF8" w:rsidP="00285DF8">
            <w:pPr>
              <w:jc w:val="both"/>
              <w:rPr>
                <w:sz w:val="20"/>
                <w:lang w:val="fr-CA"/>
              </w:rPr>
            </w:pPr>
          </w:p>
        </w:tc>
        <w:tc>
          <w:tcPr>
            <w:tcW w:w="2330" w:type="pct"/>
          </w:tcPr>
          <w:p w:rsidR="00285DF8" w:rsidRPr="00285DF8" w:rsidRDefault="00285DF8" w:rsidP="00285DF8">
            <w:pPr>
              <w:jc w:val="both"/>
              <w:rPr>
                <w:sz w:val="20"/>
                <w:lang w:val="fr-CA"/>
              </w:rPr>
            </w:pPr>
            <w:r w:rsidRPr="00285DF8">
              <w:rPr>
                <w:sz w:val="20"/>
                <w:lang w:val="fr-CA"/>
              </w:rPr>
              <w:t>Rejet de la motion de la demanderesse en autorisation d’interjeter appel.</w:t>
            </w:r>
          </w:p>
          <w:p w:rsidR="00285DF8" w:rsidRPr="00285DF8" w:rsidRDefault="00285DF8" w:rsidP="00285DF8">
            <w:pPr>
              <w:jc w:val="both"/>
              <w:rPr>
                <w:sz w:val="20"/>
                <w:lang w:val="fr-CA"/>
              </w:rPr>
            </w:pPr>
          </w:p>
        </w:tc>
      </w:tr>
      <w:tr w:rsidR="00285DF8" w:rsidRPr="00F31907" w:rsidTr="00E95A6A">
        <w:tc>
          <w:tcPr>
            <w:tcW w:w="2427" w:type="pct"/>
            <w:gridSpan w:val="2"/>
          </w:tcPr>
          <w:p w:rsidR="00285DF8" w:rsidRPr="00285DF8" w:rsidRDefault="00285DF8" w:rsidP="00285DF8">
            <w:pPr>
              <w:jc w:val="both"/>
              <w:rPr>
                <w:sz w:val="20"/>
                <w:lang w:val="fr-CA"/>
              </w:rPr>
            </w:pPr>
            <w:r w:rsidRPr="00285DF8">
              <w:rPr>
                <w:sz w:val="20"/>
                <w:lang w:val="fr-CA"/>
              </w:rPr>
              <w:t>17 novembre 2017</w:t>
            </w:r>
          </w:p>
          <w:p w:rsidR="00285DF8" w:rsidRPr="00285DF8" w:rsidRDefault="00285DF8" w:rsidP="00285DF8">
            <w:pPr>
              <w:jc w:val="both"/>
              <w:rPr>
                <w:sz w:val="20"/>
                <w:lang w:val="fr-CA"/>
              </w:rPr>
            </w:pPr>
            <w:r w:rsidRPr="00285DF8">
              <w:rPr>
                <w:sz w:val="20"/>
                <w:lang w:val="fr-CA"/>
              </w:rPr>
              <w:t>Cour suprême du Canada</w:t>
            </w:r>
          </w:p>
        </w:tc>
        <w:tc>
          <w:tcPr>
            <w:tcW w:w="243" w:type="pct"/>
          </w:tcPr>
          <w:p w:rsidR="00285DF8" w:rsidRPr="00285DF8" w:rsidRDefault="00285DF8" w:rsidP="00285DF8">
            <w:pPr>
              <w:jc w:val="both"/>
              <w:rPr>
                <w:sz w:val="20"/>
                <w:lang w:val="fr-CA"/>
              </w:rPr>
            </w:pPr>
          </w:p>
        </w:tc>
        <w:tc>
          <w:tcPr>
            <w:tcW w:w="2330" w:type="pct"/>
          </w:tcPr>
          <w:p w:rsidR="00285DF8" w:rsidRPr="00285DF8" w:rsidRDefault="00285DF8" w:rsidP="00285DF8">
            <w:pPr>
              <w:jc w:val="both"/>
              <w:rPr>
                <w:sz w:val="20"/>
                <w:lang w:val="fr-CA"/>
              </w:rPr>
            </w:pPr>
            <w:r w:rsidRPr="00285DF8">
              <w:rPr>
                <w:sz w:val="20"/>
                <w:lang w:val="fr-CA"/>
              </w:rPr>
              <w:t>Dépôt de la demande d’autorisation d’appel.</w:t>
            </w:r>
          </w:p>
        </w:tc>
      </w:tr>
    </w:tbl>
    <w:p w:rsidR="00285DF8" w:rsidRPr="00285DF8" w:rsidRDefault="00285DF8" w:rsidP="00285DF8">
      <w:pPr>
        <w:jc w:val="both"/>
        <w:rPr>
          <w:sz w:val="20"/>
          <w:lang w:val="fr-CA"/>
        </w:rPr>
      </w:pPr>
    </w:p>
    <w:p w:rsidR="00285DF8" w:rsidRPr="00285DF8" w:rsidRDefault="00285DF8" w:rsidP="00285DF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DF8" w:rsidRPr="00285DF8" w:rsidTr="00E95A6A">
        <w:tc>
          <w:tcPr>
            <w:tcW w:w="543" w:type="pct"/>
          </w:tcPr>
          <w:p w:rsidR="00285DF8" w:rsidRPr="00285DF8" w:rsidRDefault="00285DF8" w:rsidP="00285DF8">
            <w:pPr>
              <w:jc w:val="both"/>
              <w:rPr>
                <w:sz w:val="20"/>
              </w:rPr>
            </w:pPr>
            <w:r w:rsidRPr="00285DF8">
              <w:rPr>
                <w:rStyle w:val="SCCFileNumberChar"/>
                <w:sz w:val="20"/>
                <w:szCs w:val="20"/>
              </w:rPr>
              <w:t>37915</w:t>
            </w:r>
          </w:p>
        </w:tc>
        <w:tc>
          <w:tcPr>
            <w:tcW w:w="4457" w:type="pct"/>
            <w:gridSpan w:val="3"/>
          </w:tcPr>
          <w:p w:rsidR="00285DF8" w:rsidRPr="00285DF8" w:rsidRDefault="00285DF8" w:rsidP="00285DF8">
            <w:pPr>
              <w:pStyle w:val="SCCLsocParty"/>
              <w:jc w:val="both"/>
              <w:rPr>
                <w:b/>
                <w:sz w:val="20"/>
                <w:szCs w:val="20"/>
                <w:lang w:val="en-US"/>
              </w:rPr>
            </w:pPr>
            <w:r w:rsidRPr="00285DF8">
              <w:rPr>
                <w:b/>
                <w:sz w:val="20"/>
                <w:szCs w:val="20"/>
                <w:lang w:val="en-US"/>
              </w:rPr>
              <w:t>Ciba Specialty Chemicals Water Treatments Limited v. SNF Inc.</w:t>
            </w:r>
          </w:p>
          <w:p w:rsidR="00285DF8" w:rsidRPr="00285DF8" w:rsidRDefault="00285DF8" w:rsidP="00285DF8">
            <w:pPr>
              <w:jc w:val="both"/>
              <w:rPr>
                <w:sz w:val="20"/>
              </w:rPr>
            </w:pPr>
            <w:r w:rsidRPr="00285DF8">
              <w:rPr>
                <w:sz w:val="20"/>
              </w:rPr>
              <w:t>(F</w:t>
            </w:r>
            <w:r>
              <w:rPr>
                <w:sz w:val="20"/>
              </w:rPr>
              <w:t>.</w:t>
            </w:r>
            <w:r w:rsidRPr="00285DF8">
              <w:rPr>
                <w:sz w:val="20"/>
              </w:rPr>
              <w:t>C</w:t>
            </w:r>
            <w:r>
              <w:rPr>
                <w:sz w:val="20"/>
              </w:rPr>
              <w:t>.</w:t>
            </w:r>
            <w:r w:rsidRPr="00285DF8">
              <w:rPr>
                <w:sz w:val="20"/>
              </w:rPr>
              <w:t>) (Civil) (By Leave)</w:t>
            </w:r>
          </w:p>
        </w:tc>
      </w:tr>
      <w:tr w:rsidR="00285DF8" w:rsidRPr="00285DF8" w:rsidTr="00E95A6A">
        <w:tc>
          <w:tcPr>
            <w:tcW w:w="5000" w:type="pct"/>
            <w:gridSpan w:val="4"/>
          </w:tcPr>
          <w:p w:rsidR="00285DF8" w:rsidRPr="00285DF8" w:rsidRDefault="00285DF8" w:rsidP="00285DF8">
            <w:pPr>
              <w:jc w:val="both"/>
              <w:rPr>
                <w:sz w:val="20"/>
              </w:rPr>
            </w:pPr>
            <w:r w:rsidRPr="00285DF8">
              <w:rPr>
                <w:sz w:val="20"/>
              </w:rPr>
              <w:t xml:space="preserve">Intellectual property – Patents – Validity – Market competitor challenging validity of applicant’s 581 patent – Does test for assessing non-obviousness in </w:t>
            </w:r>
            <w:r w:rsidRPr="00285DF8">
              <w:rPr>
                <w:i/>
                <w:sz w:val="20"/>
              </w:rPr>
              <w:t>Apotex v. Sanofi-Synthelabo</w:t>
            </w:r>
            <w:r w:rsidRPr="00285DF8">
              <w:rPr>
                <w:sz w:val="20"/>
              </w:rPr>
              <w:t xml:space="preserve">, 2008 SCC 61 under s. 28.3 of current </w:t>
            </w:r>
            <w:r w:rsidRPr="00285DF8">
              <w:rPr>
                <w:i/>
                <w:sz w:val="20"/>
              </w:rPr>
              <w:t>Patent Act</w:t>
            </w:r>
            <w:r w:rsidRPr="00285DF8">
              <w:rPr>
                <w:sz w:val="20"/>
              </w:rPr>
              <w:t>, R.S.C. 1985, c. P-4 still apply? – Should lower courts first attempt to identify a patent’s “inventive concept” when assessing obviousness and, if so, how is this to be performed? – Does body of prior art that may be set up against a patent in obviousness attack, include all information that could be available to public, or alternatively only that prior art that formed part of skilled person’s common general knowledge?</w:t>
            </w:r>
          </w:p>
          <w:p w:rsidR="00285DF8" w:rsidRPr="00285DF8" w:rsidRDefault="00285DF8" w:rsidP="00285DF8">
            <w:pPr>
              <w:jc w:val="both"/>
              <w:rPr>
                <w:sz w:val="20"/>
              </w:rPr>
            </w:pPr>
          </w:p>
        </w:tc>
      </w:tr>
      <w:tr w:rsidR="00285DF8" w:rsidRPr="00285DF8" w:rsidTr="00E95A6A">
        <w:tc>
          <w:tcPr>
            <w:tcW w:w="5000" w:type="pct"/>
            <w:gridSpan w:val="4"/>
          </w:tcPr>
          <w:p w:rsidR="00285DF8" w:rsidRPr="00285DF8" w:rsidRDefault="00285DF8" w:rsidP="00285DF8">
            <w:pPr>
              <w:jc w:val="both"/>
              <w:rPr>
                <w:sz w:val="20"/>
                <w:lang w:val="en"/>
              </w:rPr>
            </w:pPr>
            <w:r w:rsidRPr="00285DF8">
              <w:rPr>
                <w:sz w:val="20"/>
                <w:lang w:val="en"/>
              </w:rPr>
              <w:t>Ciba Specialty Chemicals Water Treatments Limited (“Ciba”) is the owner of the 581 Canadian Patent for a process used in dealing with waste products created by the operations of the mining industry. The waste product is a water-borne stream of particulate matter, referred to as “slurry”. Mine operators have economic and environmental incentives to recycle this water and to minimize the land area required to dispose of the particulate matter. SNF Inc. (“SNF”) is an American company that manufactures and distributes water soluble polymers and polymer feed equipment used in the processing of slurry. Water can be separated from the particulate matter in a slurry using a paste thickener, a vessel into which slurry is pumped and allowed to stand. The particulate matter settles out leaving a liquid which can be removed and reused. This process can be improved by the use of flocculants. The flocculants used in this case were water-soluble polymers that can accelerate the separation of water from the particulate matter and improve the quality of the recovered water. The 581 patent describes a process that was said to be an improvement on the prior art. It recites that it has been unexpectedly found that the addition of an aqueous solution of polymer to the slurry mixture allows the treated slurry to retain its fluidity while being transferred but to rigidify effectively when it reaches the deposition area. SNF brought an action to challenge the validity of the 581 patent on several grounds, and the patent was declared invalid for obviousness.</w:t>
            </w:r>
          </w:p>
        </w:tc>
      </w:tr>
      <w:tr w:rsidR="00285DF8" w:rsidRPr="00285DF8" w:rsidTr="00E95A6A">
        <w:tc>
          <w:tcPr>
            <w:tcW w:w="5000" w:type="pct"/>
            <w:gridSpan w:val="4"/>
          </w:tcPr>
          <w:p w:rsidR="00285DF8" w:rsidRPr="00285DF8" w:rsidRDefault="00285DF8" w:rsidP="00285DF8">
            <w:pPr>
              <w:jc w:val="both"/>
              <w:rPr>
                <w:sz w:val="20"/>
              </w:rPr>
            </w:pPr>
          </w:p>
        </w:tc>
      </w:tr>
      <w:tr w:rsidR="00285DF8" w:rsidRPr="00285DF8" w:rsidTr="00E95A6A">
        <w:tc>
          <w:tcPr>
            <w:tcW w:w="2427" w:type="pct"/>
            <w:gridSpan w:val="2"/>
          </w:tcPr>
          <w:p w:rsidR="00285DF8" w:rsidRPr="00285DF8" w:rsidRDefault="00285DF8" w:rsidP="00285DF8">
            <w:pPr>
              <w:jc w:val="both"/>
              <w:rPr>
                <w:color w:val="000000" w:themeColor="text1"/>
                <w:sz w:val="20"/>
              </w:rPr>
            </w:pPr>
            <w:r w:rsidRPr="00285DF8">
              <w:rPr>
                <w:color w:val="000000" w:themeColor="text1"/>
                <w:sz w:val="20"/>
              </w:rPr>
              <w:t>August 24, 2015</w:t>
            </w:r>
          </w:p>
          <w:p w:rsidR="00285DF8" w:rsidRPr="00285DF8" w:rsidRDefault="00285DF8" w:rsidP="00285DF8">
            <w:pPr>
              <w:jc w:val="both"/>
              <w:rPr>
                <w:color w:val="000000" w:themeColor="text1"/>
                <w:sz w:val="20"/>
              </w:rPr>
            </w:pPr>
            <w:r w:rsidRPr="00285DF8">
              <w:rPr>
                <w:color w:val="000000" w:themeColor="text1"/>
                <w:sz w:val="20"/>
              </w:rPr>
              <w:t>Federal Court</w:t>
            </w:r>
          </w:p>
          <w:p w:rsidR="00285DF8" w:rsidRPr="00285DF8" w:rsidRDefault="00285DF8" w:rsidP="00285DF8">
            <w:pPr>
              <w:jc w:val="both"/>
              <w:rPr>
                <w:color w:val="000000" w:themeColor="text1"/>
                <w:sz w:val="20"/>
              </w:rPr>
            </w:pPr>
            <w:r w:rsidRPr="00285DF8">
              <w:rPr>
                <w:color w:val="000000" w:themeColor="text1"/>
                <w:sz w:val="20"/>
              </w:rPr>
              <w:t>(Phelan J.)</w:t>
            </w:r>
          </w:p>
          <w:p w:rsidR="00285DF8" w:rsidRPr="00285DF8" w:rsidRDefault="00F31907" w:rsidP="00285DF8">
            <w:pPr>
              <w:jc w:val="both"/>
              <w:rPr>
                <w:color w:val="000000" w:themeColor="text1"/>
                <w:sz w:val="20"/>
              </w:rPr>
            </w:pPr>
            <w:hyperlink r:id="rId14" w:history="1">
              <w:r w:rsidR="00285DF8" w:rsidRPr="00285DF8">
                <w:rPr>
                  <w:rStyle w:val="Hyperlink"/>
                  <w:color w:val="000000" w:themeColor="text1"/>
                  <w:sz w:val="20"/>
                </w:rPr>
                <w:t>2015 FC 997</w:t>
              </w:r>
            </w:hyperlink>
            <w:r w:rsidR="00285DF8" w:rsidRPr="00285DF8">
              <w:rPr>
                <w:color w:val="000000" w:themeColor="text1"/>
                <w:sz w:val="20"/>
              </w:rPr>
              <w:t xml:space="preserve"> </w:t>
            </w:r>
          </w:p>
          <w:p w:rsidR="00285DF8" w:rsidRPr="00285DF8" w:rsidRDefault="00285DF8" w:rsidP="00285DF8">
            <w:pPr>
              <w:jc w:val="both"/>
              <w:rPr>
                <w:color w:val="000000" w:themeColor="text1"/>
                <w:sz w:val="20"/>
              </w:rPr>
            </w:pPr>
          </w:p>
        </w:tc>
        <w:tc>
          <w:tcPr>
            <w:tcW w:w="243" w:type="pct"/>
          </w:tcPr>
          <w:p w:rsidR="00285DF8" w:rsidRPr="00285DF8" w:rsidRDefault="00285DF8" w:rsidP="00285DF8">
            <w:pPr>
              <w:jc w:val="both"/>
              <w:rPr>
                <w:sz w:val="20"/>
              </w:rPr>
            </w:pPr>
          </w:p>
        </w:tc>
        <w:tc>
          <w:tcPr>
            <w:tcW w:w="2330" w:type="pct"/>
          </w:tcPr>
          <w:p w:rsidR="00285DF8" w:rsidRPr="00285DF8" w:rsidRDefault="00285DF8" w:rsidP="00285DF8">
            <w:pPr>
              <w:jc w:val="both"/>
              <w:rPr>
                <w:sz w:val="20"/>
              </w:rPr>
            </w:pPr>
            <w:r w:rsidRPr="00285DF8">
              <w:rPr>
                <w:sz w:val="20"/>
              </w:rPr>
              <w:t>Applicant’s 581 patent declared invalid for obviousness</w:t>
            </w:r>
          </w:p>
          <w:p w:rsidR="00285DF8" w:rsidRPr="00285DF8" w:rsidRDefault="00285DF8" w:rsidP="00285DF8">
            <w:pPr>
              <w:jc w:val="both"/>
              <w:rPr>
                <w:sz w:val="20"/>
              </w:rPr>
            </w:pPr>
          </w:p>
          <w:p w:rsidR="00285DF8" w:rsidRPr="00285DF8" w:rsidRDefault="00285DF8" w:rsidP="00285DF8">
            <w:pPr>
              <w:jc w:val="both"/>
              <w:rPr>
                <w:sz w:val="20"/>
              </w:rPr>
            </w:pPr>
          </w:p>
        </w:tc>
      </w:tr>
      <w:tr w:rsidR="00285DF8" w:rsidRPr="00285DF8" w:rsidTr="00E95A6A">
        <w:tc>
          <w:tcPr>
            <w:tcW w:w="2427" w:type="pct"/>
            <w:gridSpan w:val="2"/>
          </w:tcPr>
          <w:p w:rsidR="00285DF8" w:rsidRPr="00285DF8" w:rsidRDefault="00285DF8" w:rsidP="00285DF8">
            <w:pPr>
              <w:jc w:val="both"/>
              <w:rPr>
                <w:color w:val="000000" w:themeColor="text1"/>
                <w:sz w:val="20"/>
              </w:rPr>
            </w:pPr>
            <w:r w:rsidRPr="00285DF8">
              <w:rPr>
                <w:color w:val="000000" w:themeColor="text1"/>
                <w:sz w:val="20"/>
              </w:rPr>
              <w:t>November 17, 2017</w:t>
            </w:r>
          </w:p>
          <w:p w:rsidR="00285DF8" w:rsidRPr="00285DF8" w:rsidRDefault="00285DF8" w:rsidP="00285DF8">
            <w:pPr>
              <w:jc w:val="both"/>
              <w:rPr>
                <w:color w:val="000000" w:themeColor="text1"/>
                <w:sz w:val="20"/>
              </w:rPr>
            </w:pPr>
            <w:r w:rsidRPr="00285DF8">
              <w:rPr>
                <w:color w:val="000000" w:themeColor="text1"/>
                <w:sz w:val="20"/>
              </w:rPr>
              <w:t>Federal Court of Appeal</w:t>
            </w:r>
          </w:p>
          <w:p w:rsidR="00285DF8" w:rsidRPr="00285DF8" w:rsidRDefault="00285DF8" w:rsidP="00285DF8">
            <w:pPr>
              <w:jc w:val="both"/>
              <w:rPr>
                <w:color w:val="000000" w:themeColor="text1"/>
                <w:sz w:val="20"/>
              </w:rPr>
            </w:pPr>
            <w:r w:rsidRPr="00285DF8">
              <w:rPr>
                <w:color w:val="000000" w:themeColor="text1"/>
                <w:sz w:val="20"/>
              </w:rPr>
              <w:t xml:space="preserve">(Pelletier, Rennie and Woods [concurring] </w:t>
            </w:r>
          </w:p>
          <w:p w:rsidR="00285DF8" w:rsidRPr="00285DF8" w:rsidRDefault="00285DF8" w:rsidP="00285DF8">
            <w:pPr>
              <w:jc w:val="both"/>
              <w:rPr>
                <w:color w:val="000000" w:themeColor="text1"/>
                <w:sz w:val="20"/>
              </w:rPr>
            </w:pPr>
            <w:r w:rsidRPr="00285DF8">
              <w:rPr>
                <w:color w:val="000000" w:themeColor="text1"/>
                <w:sz w:val="20"/>
              </w:rPr>
              <w:t>JJ.A.)</w:t>
            </w:r>
          </w:p>
          <w:p w:rsidR="00285DF8" w:rsidRPr="00285DF8" w:rsidRDefault="00F31907" w:rsidP="00285DF8">
            <w:pPr>
              <w:jc w:val="both"/>
              <w:rPr>
                <w:color w:val="000000" w:themeColor="text1"/>
                <w:sz w:val="20"/>
              </w:rPr>
            </w:pPr>
            <w:hyperlink r:id="rId15" w:history="1">
              <w:r w:rsidR="00285DF8" w:rsidRPr="00285DF8">
                <w:rPr>
                  <w:rStyle w:val="Hyperlink"/>
                  <w:color w:val="000000" w:themeColor="text1"/>
                  <w:sz w:val="20"/>
                </w:rPr>
                <w:t>2017 FCA 225</w:t>
              </w:r>
            </w:hyperlink>
          </w:p>
          <w:p w:rsidR="00285DF8" w:rsidRPr="00285DF8" w:rsidRDefault="00285DF8" w:rsidP="00285DF8">
            <w:pPr>
              <w:jc w:val="both"/>
              <w:rPr>
                <w:color w:val="000000" w:themeColor="text1"/>
                <w:sz w:val="20"/>
              </w:rPr>
            </w:pPr>
          </w:p>
        </w:tc>
        <w:tc>
          <w:tcPr>
            <w:tcW w:w="243" w:type="pct"/>
          </w:tcPr>
          <w:p w:rsidR="00285DF8" w:rsidRPr="00285DF8" w:rsidRDefault="00285DF8" w:rsidP="00285DF8">
            <w:pPr>
              <w:jc w:val="both"/>
              <w:rPr>
                <w:sz w:val="20"/>
              </w:rPr>
            </w:pPr>
          </w:p>
        </w:tc>
        <w:tc>
          <w:tcPr>
            <w:tcW w:w="2330" w:type="pct"/>
          </w:tcPr>
          <w:p w:rsidR="00285DF8" w:rsidRPr="00285DF8" w:rsidRDefault="00285DF8" w:rsidP="00285DF8">
            <w:pPr>
              <w:jc w:val="both"/>
              <w:rPr>
                <w:sz w:val="20"/>
              </w:rPr>
            </w:pPr>
            <w:r w:rsidRPr="00285DF8">
              <w:rPr>
                <w:sz w:val="20"/>
              </w:rPr>
              <w:t>Applicant’s appeal dismissed</w:t>
            </w:r>
          </w:p>
          <w:p w:rsidR="00285DF8" w:rsidRPr="00285DF8" w:rsidRDefault="00285DF8" w:rsidP="00285DF8">
            <w:pPr>
              <w:jc w:val="both"/>
              <w:rPr>
                <w:sz w:val="20"/>
              </w:rPr>
            </w:pPr>
          </w:p>
        </w:tc>
      </w:tr>
      <w:tr w:rsidR="00285DF8" w:rsidRPr="00285DF8" w:rsidTr="00E95A6A">
        <w:tc>
          <w:tcPr>
            <w:tcW w:w="2427" w:type="pct"/>
            <w:gridSpan w:val="2"/>
          </w:tcPr>
          <w:p w:rsidR="00285DF8" w:rsidRPr="00285DF8" w:rsidRDefault="00285DF8" w:rsidP="00285DF8">
            <w:pPr>
              <w:jc w:val="both"/>
              <w:rPr>
                <w:sz w:val="20"/>
              </w:rPr>
            </w:pPr>
            <w:r w:rsidRPr="00285DF8">
              <w:rPr>
                <w:sz w:val="20"/>
              </w:rPr>
              <w:t>January 16, 2018</w:t>
            </w:r>
          </w:p>
          <w:p w:rsidR="00285DF8" w:rsidRPr="00285DF8" w:rsidRDefault="00285DF8" w:rsidP="00285DF8">
            <w:pPr>
              <w:jc w:val="both"/>
              <w:rPr>
                <w:sz w:val="20"/>
              </w:rPr>
            </w:pPr>
            <w:r w:rsidRPr="00285DF8">
              <w:rPr>
                <w:sz w:val="20"/>
              </w:rPr>
              <w:t>Supreme Court of Canada</w:t>
            </w:r>
          </w:p>
        </w:tc>
        <w:tc>
          <w:tcPr>
            <w:tcW w:w="243" w:type="pct"/>
          </w:tcPr>
          <w:p w:rsidR="00285DF8" w:rsidRPr="00285DF8" w:rsidRDefault="00285DF8" w:rsidP="00285DF8">
            <w:pPr>
              <w:jc w:val="both"/>
              <w:rPr>
                <w:sz w:val="20"/>
              </w:rPr>
            </w:pPr>
          </w:p>
        </w:tc>
        <w:tc>
          <w:tcPr>
            <w:tcW w:w="2330" w:type="pct"/>
          </w:tcPr>
          <w:p w:rsidR="00285DF8" w:rsidRPr="00285DF8" w:rsidRDefault="00285DF8" w:rsidP="00285DF8">
            <w:pPr>
              <w:jc w:val="both"/>
              <w:rPr>
                <w:sz w:val="20"/>
              </w:rPr>
            </w:pPr>
            <w:r w:rsidRPr="00285DF8">
              <w:rPr>
                <w:sz w:val="20"/>
              </w:rPr>
              <w:t>Application for leave to appeal filed</w:t>
            </w:r>
          </w:p>
          <w:p w:rsidR="00285DF8" w:rsidRPr="00285DF8" w:rsidRDefault="00285DF8" w:rsidP="00285DF8">
            <w:pPr>
              <w:jc w:val="both"/>
              <w:rPr>
                <w:sz w:val="20"/>
              </w:rPr>
            </w:pPr>
          </w:p>
        </w:tc>
      </w:tr>
    </w:tbl>
    <w:p w:rsidR="00285DF8" w:rsidRDefault="00285DF8" w:rsidP="00285DF8">
      <w:pPr>
        <w:jc w:val="both"/>
        <w:rPr>
          <w:sz w:val="20"/>
        </w:rPr>
      </w:pPr>
    </w:p>
    <w:p w:rsidR="00285DF8" w:rsidRPr="00285DF8" w:rsidRDefault="00285DF8" w:rsidP="00285D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DF8" w:rsidRPr="00285DF8" w:rsidTr="00E95A6A">
        <w:tc>
          <w:tcPr>
            <w:tcW w:w="543" w:type="pct"/>
          </w:tcPr>
          <w:p w:rsidR="00285DF8" w:rsidRPr="00285DF8" w:rsidRDefault="00285DF8" w:rsidP="00285DF8">
            <w:pPr>
              <w:jc w:val="both"/>
              <w:rPr>
                <w:sz w:val="20"/>
                <w:lang w:val="fr-CA"/>
              </w:rPr>
            </w:pPr>
            <w:r w:rsidRPr="00285DF8">
              <w:rPr>
                <w:rStyle w:val="SCCFileNumberChar"/>
                <w:sz w:val="20"/>
                <w:szCs w:val="20"/>
                <w:lang w:val="fr-CA"/>
              </w:rPr>
              <w:t>37915</w:t>
            </w:r>
          </w:p>
        </w:tc>
        <w:tc>
          <w:tcPr>
            <w:tcW w:w="4457" w:type="pct"/>
            <w:gridSpan w:val="3"/>
          </w:tcPr>
          <w:p w:rsidR="00285DF8" w:rsidRPr="00285DF8" w:rsidRDefault="00285DF8" w:rsidP="00285DF8">
            <w:pPr>
              <w:pStyle w:val="SCCLsocParty"/>
              <w:jc w:val="both"/>
              <w:rPr>
                <w:b/>
                <w:sz w:val="20"/>
                <w:szCs w:val="20"/>
                <w:lang w:val="en-US"/>
              </w:rPr>
            </w:pPr>
            <w:r w:rsidRPr="00285DF8">
              <w:rPr>
                <w:b/>
                <w:sz w:val="20"/>
                <w:szCs w:val="20"/>
                <w:lang w:val="en-US"/>
              </w:rPr>
              <w:t>Ciba Specialty Chemicals Water Treatments Limited c. SNF Inc.</w:t>
            </w:r>
          </w:p>
          <w:p w:rsidR="00285DF8" w:rsidRPr="00285DF8" w:rsidRDefault="00285DF8" w:rsidP="00285DF8">
            <w:pPr>
              <w:jc w:val="both"/>
              <w:rPr>
                <w:sz w:val="20"/>
                <w:lang w:val="fr-CA"/>
              </w:rPr>
            </w:pPr>
            <w:r w:rsidRPr="00285DF8">
              <w:rPr>
                <w:sz w:val="20"/>
                <w:lang w:val="fr-CA"/>
              </w:rPr>
              <w:t>(C</w:t>
            </w:r>
            <w:r>
              <w:rPr>
                <w:sz w:val="20"/>
                <w:lang w:val="fr-CA"/>
              </w:rPr>
              <w:t>.</w:t>
            </w:r>
            <w:r w:rsidRPr="00285DF8">
              <w:rPr>
                <w:sz w:val="20"/>
                <w:lang w:val="fr-CA"/>
              </w:rPr>
              <w:t>F</w:t>
            </w:r>
            <w:r>
              <w:rPr>
                <w:sz w:val="20"/>
                <w:lang w:val="fr-CA"/>
              </w:rPr>
              <w:t>.</w:t>
            </w:r>
            <w:r w:rsidRPr="00285DF8">
              <w:rPr>
                <w:sz w:val="20"/>
                <w:lang w:val="fr-CA"/>
              </w:rPr>
              <w:t>) (Civile) (Autorisation)</w:t>
            </w:r>
          </w:p>
        </w:tc>
      </w:tr>
      <w:tr w:rsidR="00285DF8" w:rsidRPr="00F31907" w:rsidTr="00E95A6A">
        <w:tc>
          <w:tcPr>
            <w:tcW w:w="5000" w:type="pct"/>
            <w:gridSpan w:val="4"/>
          </w:tcPr>
          <w:p w:rsidR="00285DF8" w:rsidRPr="00285DF8" w:rsidRDefault="00285DF8" w:rsidP="00285DF8">
            <w:pPr>
              <w:jc w:val="both"/>
              <w:rPr>
                <w:sz w:val="20"/>
                <w:lang w:val="fr-CA"/>
              </w:rPr>
            </w:pPr>
            <w:r w:rsidRPr="00285DF8">
              <w:rPr>
                <w:sz w:val="20"/>
                <w:lang w:val="fr-CA"/>
              </w:rPr>
              <w:t xml:space="preserve">Propriété intellectuelle – Brevets – Validité – Une concurrente sur le marché conteste la validité du brevet 581 de la demanderesse – Le critère d’évaluation de la non-évidence établi dans l’arrêt </w:t>
            </w:r>
            <w:r w:rsidRPr="00285DF8">
              <w:rPr>
                <w:i/>
                <w:sz w:val="20"/>
                <w:lang w:val="fr-CA"/>
              </w:rPr>
              <w:t>Apotex c. Sanofi-Synthelabo</w:t>
            </w:r>
            <w:r w:rsidRPr="00285DF8">
              <w:rPr>
                <w:sz w:val="20"/>
                <w:lang w:val="fr-CA"/>
              </w:rPr>
              <w:t xml:space="preserve">, 2008 CSC 61 en application de l’art. 28.3 de la version actuelle de la </w:t>
            </w:r>
            <w:r w:rsidRPr="00285DF8">
              <w:rPr>
                <w:i/>
                <w:sz w:val="20"/>
                <w:lang w:val="fr-CA"/>
              </w:rPr>
              <w:t>Loi sur les brevets</w:t>
            </w:r>
            <w:r w:rsidRPr="00285DF8">
              <w:rPr>
                <w:sz w:val="20"/>
                <w:lang w:val="fr-CA"/>
              </w:rPr>
              <w:t>, L.R.C. 1985, ch. P-4 s’applique-t-il encore? – Les juridictions inférieures doivent-elles d’abord tenter d’identifier l’« idée originale » d’un brevet dans leur évaluation de l’évidence et, dans l’affirmative, comment doivent-elles s’y prendre pour ce faire? – L’ensemble de l’art antérieur qui peut être invoqué à l’encontre d’un brevet dans une contestation fondée sur l’évidence comprend-il tous les renseignements dont le public pouvait avoir connaissance ou, subsidiairement, seulement l’art antérieur qui faisait partie des connaissances générales courantes d’une personne versée dans l’art?</w:t>
            </w:r>
          </w:p>
          <w:p w:rsidR="00285DF8" w:rsidRPr="00285DF8" w:rsidRDefault="00285DF8" w:rsidP="00285DF8">
            <w:pPr>
              <w:jc w:val="both"/>
              <w:rPr>
                <w:sz w:val="20"/>
                <w:lang w:val="fr-CA"/>
              </w:rPr>
            </w:pPr>
          </w:p>
        </w:tc>
      </w:tr>
      <w:tr w:rsidR="00285DF8" w:rsidRPr="00F31907" w:rsidTr="00E95A6A">
        <w:tc>
          <w:tcPr>
            <w:tcW w:w="5000" w:type="pct"/>
            <w:gridSpan w:val="4"/>
          </w:tcPr>
          <w:p w:rsidR="00285DF8" w:rsidRPr="00285DF8" w:rsidRDefault="00285DF8" w:rsidP="00285DF8">
            <w:pPr>
              <w:jc w:val="both"/>
              <w:rPr>
                <w:sz w:val="20"/>
                <w:lang w:val="fr-CA"/>
              </w:rPr>
            </w:pPr>
            <w:r w:rsidRPr="00285DF8">
              <w:rPr>
                <w:sz w:val="20"/>
                <w:lang w:val="fr-CA"/>
              </w:rPr>
              <w:t xml:space="preserve">Ciba Specialty </w:t>
            </w:r>
            <w:proofErr w:type="spellStart"/>
            <w:r w:rsidRPr="00285DF8">
              <w:rPr>
                <w:sz w:val="20"/>
                <w:lang w:val="fr-CA"/>
              </w:rPr>
              <w:t>Chemicals</w:t>
            </w:r>
            <w:proofErr w:type="spellEnd"/>
            <w:r w:rsidRPr="00285DF8">
              <w:rPr>
                <w:sz w:val="20"/>
                <w:lang w:val="fr-CA"/>
              </w:rPr>
              <w:t xml:space="preserve"> Water </w:t>
            </w:r>
            <w:proofErr w:type="spellStart"/>
            <w:r w:rsidRPr="00285DF8">
              <w:rPr>
                <w:sz w:val="20"/>
                <w:lang w:val="fr-CA"/>
              </w:rPr>
              <w:t>Treatments</w:t>
            </w:r>
            <w:proofErr w:type="spellEnd"/>
            <w:r w:rsidRPr="00285DF8">
              <w:rPr>
                <w:sz w:val="20"/>
                <w:lang w:val="fr-CA"/>
              </w:rPr>
              <w:t xml:space="preserve"> Limited (« Ciba ») est la titulaire du brevet canadien 581 portant sur un procédé utilisé pour le traitement des déchets produits par les opérations de l’industrie minière. Le déchet est un écoulement de matière particulaire dans l’eau appelé « boue ». Les exploitants de mines ont des incitatifs d’ordre pécuniaire et environnemental pour recycler ces eaux et minimiser la superficie du terrain nécessaire à l’élimination de la matière particulaire. SNF Inc. (« SNF ») est une société américaine qui fabrique et distribue des polymères hydrosolubles et du matériel d’alimentation en polymère utilisés dans le traitement des boues. L’eau peut être séparée de la matière particulaire dans les boues à l’aide d’un épaississeur de pâte, une cuve dans laquelle les boues sont pompées et dans laquelle on les laisse reposer. La matière particulaire se dépose, laissant un liquide qui peut être enlevé et réutilisé. Ce procédé peut être amélioré par l’utilisation de floculants. Les floculants utilisés en l’espèce étaient des polymères hydrosolubles qui peuvent accélérer la séparation de l’eau de la matière particulaire et améliorer la qualité de l’eau récupérée. Le brevet 581 décrit un procédé qui se voulait une amélioration de l’art antérieur. Il y est dit que les inventeurs ont constaté contre toute attente que l’ajout de la solution aqueuse de polymère aux boues permet aux boues traitées de garder leur fluidité pendant le transfert, mais de se rigidifier effectivement lorsqu’elles atteignent la zone de dépôt. SNF a intenté une action pour contester la validité du brevet 581 en s’appuyant sur plusieurs moyens et le brevet a été déclaré invalide au titre de l’évidence.</w:t>
            </w:r>
          </w:p>
        </w:tc>
      </w:tr>
      <w:tr w:rsidR="00285DF8" w:rsidRPr="00F31907" w:rsidTr="00E95A6A">
        <w:tc>
          <w:tcPr>
            <w:tcW w:w="5000" w:type="pct"/>
            <w:gridSpan w:val="4"/>
          </w:tcPr>
          <w:p w:rsidR="00285DF8" w:rsidRPr="00285DF8" w:rsidRDefault="00285DF8" w:rsidP="00285DF8">
            <w:pPr>
              <w:jc w:val="both"/>
              <w:rPr>
                <w:sz w:val="20"/>
                <w:lang w:val="fr-CA"/>
              </w:rPr>
            </w:pPr>
          </w:p>
        </w:tc>
      </w:tr>
      <w:tr w:rsidR="00285DF8" w:rsidRPr="00F31907" w:rsidTr="00E95A6A">
        <w:tc>
          <w:tcPr>
            <w:tcW w:w="2427" w:type="pct"/>
            <w:gridSpan w:val="2"/>
          </w:tcPr>
          <w:p w:rsidR="00285DF8" w:rsidRPr="00285DF8" w:rsidRDefault="00285DF8" w:rsidP="00285DF8">
            <w:pPr>
              <w:jc w:val="both"/>
              <w:rPr>
                <w:color w:val="000000" w:themeColor="text1"/>
                <w:sz w:val="20"/>
                <w:lang w:val="fr-CA"/>
              </w:rPr>
            </w:pPr>
            <w:r w:rsidRPr="00285DF8">
              <w:rPr>
                <w:color w:val="000000" w:themeColor="text1"/>
                <w:sz w:val="20"/>
                <w:lang w:val="fr-CA"/>
              </w:rPr>
              <w:t>24 août 2015</w:t>
            </w:r>
          </w:p>
          <w:p w:rsidR="00285DF8" w:rsidRPr="00285DF8" w:rsidRDefault="00285DF8" w:rsidP="00285DF8">
            <w:pPr>
              <w:jc w:val="both"/>
              <w:rPr>
                <w:color w:val="000000" w:themeColor="text1"/>
                <w:sz w:val="20"/>
                <w:lang w:val="fr-CA"/>
              </w:rPr>
            </w:pPr>
            <w:r w:rsidRPr="00285DF8">
              <w:rPr>
                <w:color w:val="000000" w:themeColor="text1"/>
                <w:sz w:val="20"/>
                <w:lang w:val="fr-CA"/>
              </w:rPr>
              <w:t>Cour fédérale</w:t>
            </w:r>
          </w:p>
          <w:p w:rsidR="00285DF8" w:rsidRPr="00285DF8" w:rsidRDefault="00285DF8" w:rsidP="00285DF8">
            <w:pPr>
              <w:jc w:val="both"/>
              <w:rPr>
                <w:color w:val="000000" w:themeColor="text1"/>
                <w:sz w:val="20"/>
                <w:lang w:val="fr-CA"/>
              </w:rPr>
            </w:pPr>
            <w:r w:rsidRPr="00285DF8">
              <w:rPr>
                <w:color w:val="000000" w:themeColor="text1"/>
                <w:sz w:val="20"/>
                <w:lang w:val="fr-CA"/>
              </w:rPr>
              <w:t>(Juge Phelan)</w:t>
            </w:r>
          </w:p>
          <w:p w:rsidR="00285DF8" w:rsidRPr="00285DF8" w:rsidRDefault="00F31907" w:rsidP="00285DF8">
            <w:pPr>
              <w:jc w:val="both"/>
              <w:rPr>
                <w:color w:val="000000" w:themeColor="text1"/>
                <w:sz w:val="20"/>
                <w:lang w:val="fr-CA"/>
              </w:rPr>
            </w:pPr>
            <w:hyperlink r:id="rId16" w:history="1">
              <w:r w:rsidR="00285DF8" w:rsidRPr="00285DF8">
                <w:rPr>
                  <w:rStyle w:val="Hyperlink"/>
                  <w:color w:val="000000" w:themeColor="text1"/>
                  <w:sz w:val="20"/>
                  <w:lang w:val="fr-CA"/>
                </w:rPr>
                <w:t>2015 CF 997</w:t>
              </w:r>
            </w:hyperlink>
            <w:r w:rsidR="00285DF8" w:rsidRPr="00285DF8">
              <w:rPr>
                <w:color w:val="000000" w:themeColor="text1"/>
                <w:sz w:val="20"/>
                <w:lang w:val="fr-CA"/>
              </w:rPr>
              <w:t xml:space="preserve"> </w:t>
            </w:r>
          </w:p>
          <w:p w:rsidR="00285DF8" w:rsidRPr="00285DF8" w:rsidRDefault="00285DF8" w:rsidP="00285DF8">
            <w:pPr>
              <w:jc w:val="both"/>
              <w:rPr>
                <w:color w:val="000000" w:themeColor="text1"/>
                <w:sz w:val="20"/>
                <w:lang w:val="fr-CA"/>
              </w:rPr>
            </w:pPr>
          </w:p>
        </w:tc>
        <w:tc>
          <w:tcPr>
            <w:tcW w:w="243" w:type="pct"/>
          </w:tcPr>
          <w:p w:rsidR="00285DF8" w:rsidRPr="00285DF8" w:rsidRDefault="00285DF8" w:rsidP="00285DF8">
            <w:pPr>
              <w:jc w:val="both"/>
              <w:rPr>
                <w:sz w:val="20"/>
                <w:lang w:val="fr-CA"/>
              </w:rPr>
            </w:pPr>
          </w:p>
        </w:tc>
        <w:tc>
          <w:tcPr>
            <w:tcW w:w="2330" w:type="pct"/>
          </w:tcPr>
          <w:p w:rsidR="00285DF8" w:rsidRPr="00285DF8" w:rsidRDefault="00285DF8" w:rsidP="00285DF8">
            <w:pPr>
              <w:jc w:val="both"/>
              <w:rPr>
                <w:sz w:val="20"/>
                <w:lang w:val="fr-CA"/>
              </w:rPr>
            </w:pPr>
            <w:r w:rsidRPr="00285DF8">
              <w:rPr>
                <w:sz w:val="20"/>
                <w:lang w:val="fr-CA"/>
              </w:rPr>
              <w:t>Jugement déclarant le brevet 581 de la demanderesse invalide au titre de l’évidence</w:t>
            </w:r>
          </w:p>
          <w:p w:rsidR="00285DF8" w:rsidRPr="00285DF8" w:rsidRDefault="00285DF8" w:rsidP="00285DF8">
            <w:pPr>
              <w:jc w:val="both"/>
              <w:rPr>
                <w:sz w:val="20"/>
                <w:lang w:val="fr-CA"/>
              </w:rPr>
            </w:pPr>
          </w:p>
          <w:p w:rsidR="00285DF8" w:rsidRPr="00285DF8" w:rsidRDefault="00285DF8" w:rsidP="00285DF8">
            <w:pPr>
              <w:jc w:val="both"/>
              <w:rPr>
                <w:sz w:val="20"/>
                <w:lang w:val="fr-CA"/>
              </w:rPr>
            </w:pPr>
          </w:p>
        </w:tc>
      </w:tr>
      <w:tr w:rsidR="00285DF8" w:rsidRPr="00F31907" w:rsidTr="00E95A6A">
        <w:tc>
          <w:tcPr>
            <w:tcW w:w="2427" w:type="pct"/>
            <w:gridSpan w:val="2"/>
          </w:tcPr>
          <w:p w:rsidR="00285DF8" w:rsidRPr="00285DF8" w:rsidRDefault="00285DF8" w:rsidP="00285DF8">
            <w:pPr>
              <w:jc w:val="both"/>
              <w:rPr>
                <w:color w:val="000000" w:themeColor="text1"/>
                <w:sz w:val="20"/>
                <w:lang w:val="fr-CA"/>
              </w:rPr>
            </w:pPr>
            <w:r w:rsidRPr="00285DF8">
              <w:rPr>
                <w:color w:val="000000" w:themeColor="text1"/>
                <w:sz w:val="20"/>
                <w:lang w:val="fr-CA"/>
              </w:rPr>
              <w:t>17 novembre 2017</w:t>
            </w:r>
          </w:p>
          <w:p w:rsidR="00285DF8" w:rsidRPr="00285DF8" w:rsidRDefault="00285DF8" w:rsidP="00285DF8">
            <w:pPr>
              <w:jc w:val="both"/>
              <w:rPr>
                <w:color w:val="000000" w:themeColor="text1"/>
                <w:sz w:val="20"/>
                <w:lang w:val="fr-CA"/>
              </w:rPr>
            </w:pPr>
            <w:r w:rsidRPr="00285DF8">
              <w:rPr>
                <w:color w:val="000000" w:themeColor="text1"/>
                <w:sz w:val="20"/>
                <w:lang w:val="fr-CA"/>
              </w:rPr>
              <w:t>Cour d’appel fédérale</w:t>
            </w:r>
          </w:p>
          <w:p w:rsidR="00285DF8" w:rsidRPr="00285DF8" w:rsidRDefault="00285DF8" w:rsidP="00285DF8">
            <w:pPr>
              <w:jc w:val="both"/>
              <w:rPr>
                <w:color w:val="000000" w:themeColor="text1"/>
                <w:sz w:val="20"/>
                <w:lang w:val="fr-CA"/>
              </w:rPr>
            </w:pPr>
            <w:r w:rsidRPr="00285DF8">
              <w:rPr>
                <w:color w:val="000000" w:themeColor="text1"/>
                <w:sz w:val="20"/>
                <w:lang w:val="fr-CA"/>
              </w:rPr>
              <w:t>(Juges Pelletier, Rennie et Woods [motifs concordants])</w:t>
            </w:r>
          </w:p>
          <w:p w:rsidR="00285DF8" w:rsidRPr="00285DF8" w:rsidRDefault="00F31907" w:rsidP="00285DF8">
            <w:pPr>
              <w:jc w:val="both"/>
              <w:rPr>
                <w:color w:val="000000" w:themeColor="text1"/>
                <w:sz w:val="20"/>
                <w:lang w:val="fr-CA"/>
              </w:rPr>
            </w:pPr>
            <w:hyperlink r:id="rId17" w:history="1">
              <w:r w:rsidR="00285DF8" w:rsidRPr="00285DF8">
                <w:rPr>
                  <w:rStyle w:val="Hyperlink"/>
                  <w:color w:val="000000" w:themeColor="text1"/>
                  <w:sz w:val="20"/>
                  <w:lang w:val="fr-CA"/>
                </w:rPr>
                <w:t>2017 FCA 225</w:t>
              </w:r>
            </w:hyperlink>
          </w:p>
          <w:p w:rsidR="00285DF8" w:rsidRPr="00285DF8" w:rsidRDefault="00285DF8" w:rsidP="00285DF8">
            <w:pPr>
              <w:jc w:val="both"/>
              <w:rPr>
                <w:color w:val="000000" w:themeColor="text1"/>
                <w:sz w:val="20"/>
                <w:lang w:val="fr-CA"/>
              </w:rPr>
            </w:pPr>
          </w:p>
        </w:tc>
        <w:tc>
          <w:tcPr>
            <w:tcW w:w="243" w:type="pct"/>
          </w:tcPr>
          <w:p w:rsidR="00285DF8" w:rsidRPr="00285DF8" w:rsidRDefault="00285DF8" w:rsidP="00285DF8">
            <w:pPr>
              <w:jc w:val="both"/>
              <w:rPr>
                <w:sz w:val="20"/>
                <w:lang w:val="fr-CA"/>
              </w:rPr>
            </w:pPr>
          </w:p>
        </w:tc>
        <w:tc>
          <w:tcPr>
            <w:tcW w:w="2330" w:type="pct"/>
          </w:tcPr>
          <w:p w:rsidR="00285DF8" w:rsidRPr="00285DF8" w:rsidRDefault="00285DF8" w:rsidP="00285DF8">
            <w:pPr>
              <w:jc w:val="both"/>
              <w:rPr>
                <w:sz w:val="20"/>
                <w:lang w:val="fr-CA"/>
              </w:rPr>
            </w:pPr>
            <w:r w:rsidRPr="00285DF8">
              <w:rPr>
                <w:sz w:val="20"/>
                <w:lang w:val="fr-CA"/>
              </w:rPr>
              <w:t>Rejet de l’appel de la demanderesse</w:t>
            </w:r>
          </w:p>
          <w:p w:rsidR="00285DF8" w:rsidRPr="00285DF8" w:rsidRDefault="00285DF8" w:rsidP="00285DF8">
            <w:pPr>
              <w:jc w:val="both"/>
              <w:rPr>
                <w:sz w:val="20"/>
                <w:lang w:val="fr-CA"/>
              </w:rPr>
            </w:pPr>
          </w:p>
        </w:tc>
      </w:tr>
      <w:tr w:rsidR="00285DF8" w:rsidRPr="00F31907" w:rsidTr="00E95A6A">
        <w:tc>
          <w:tcPr>
            <w:tcW w:w="2427" w:type="pct"/>
            <w:gridSpan w:val="2"/>
          </w:tcPr>
          <w:p w:rsidR="00285DF8" w:rsidRPr="00285DF8" w:rsidRDefault="00285DF8" w:rsidP="00285DF8">
            <w:pPr>
              <w:jc w:val="both"/>
              <w:rPr>
                <w:sz w:val="20"/>
                <w:lang w:val="fr-CA"/>
              </w:rPr>
            </w:pPr>
            <w:r w:rsidRPr="00285DF8">
              <w:rPr>
                <w:sz w:val="20"/>
                <w:lang w:val="fr-CA"/>
              </w:rPr>
              <w:t>16 janvier 2018</w:t>
            </w:r>
          </w:p>
          <w:p w:rsidR="00285DF8" w:rsidRPr="00285DF8" w:rsidRDefault="00285DF8" w:rsidP="00285DF8">
            <w:pPr>
              <w:jc w:val="both"/>
              <w:rPr>
                <w:sz w:val="20"/>
                <w:lang w:val="fr-CA"/>
              </w:rPr>
            </w:pPr>
            <w:r w:rsidRPr="00285DF8">
              <w:rPr>
                <w:sz w:val="20"/>
                <w:lang w:val="fr-CA"/>
              </w:rPr>
              <w:t>Cour suprême du Canada</w:t>
            </w:r>
          </w:p>
        </w:tc>
        <w:tc>
          <w:tcPr>
            <w:tcW w:w="243" w:type="pct"/>
          </w:tcPr>
          <w:p w:rsidR="00285DF8" w:rsidRPr="00285DF8" w:rsidRDefault="00285DF8" w:rsidP="00285DF8">
            <w:pPr>
              <w:jc w:val="both"/>
              <w:rPr>
                <w:sz w:val="20"/>
                <w:lang w:val="fr-CA"/>
              </w:rPr>
            </w:pPr>
          </w:p>
        </w:tc>
        <w:tc>
          <w:tcPr>
            <w:tcW w:w="2330" w:type="pct"/>
          </w:tcPr>
          <w:p w:rsidR="00285DF8" w:rsidRPr="00285DF8" w:rsidRDefault="00285DF8" w:rsidP="00285DF8">
            <w:pPr>
              <w:jc w:val="both"/>
              <w:rPr>
                <w:sz w:val="20"/>
                <w:lang w:val="fr-CA"/>
              </w:rPr>
            </w:pPr>
            <w:r w:rsidRPr="00285DF8">
              <w:rPr>
                <w:sz w:val="20"/>
                <w:lang w:val="fr-CA"/>
              </w:rPr>
              <w:t>Dépôt de la demande d’autorisation d’appel</w:t>
            </w:r>
          </w:p>
          <w:p w:rsidR="00285DF8" w:rsidRPr="00285DF8" w:rsidRDefault="00285DF8" w:rsidP="00285DF8">
            <w:pPr>
              <w:jc w:val="both"/>
              <w:rPr>
                <w:sz w:val="20"/>
                <w:lang w:val="fr-CA"/>
              </w:rPr>
            </w:pPr>
          </w:p>
        </w:tc>
      </w:tr>
    </w:tbl>
    <w:p w:rsidR="00285DF8" w:rsidRPr="00285DF8" w:rsidRDefault="00285DF8" w:rsidP="00285DF8">
      <w:pPr>
        <w:jc w:val="both"/>
        <w:rPr>
          <w:sz w:val="20"/>
          <w:lang w:val="fr-CA"/>
        </w:rPr>
      </w:pPr>
    </w:p>
    <w:p w:rsidR="00285DF8" w:rsidRPr="00285DF8" w:rsidRDefault="00285DF8" w:rsidP="00285DF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DF8" w:rsidRPr="00285DF8" w:rsidTr="009D49DD">
        <w:tc>
          <w:tcPr>
            <w:tcW w:w="543" w:type="pct"/>
          </w:tcPr>
          <w:p w:rsidR="00285DF8" w:rsidRPr="00285DF8" w:rsidRDefault="00285DF8" w:rsidP="00285DF8">
            <w:pPr>
              <w:jc w:val="both"/>
              <w:rPr>
                <w:sz w:val="20"/>
              </w:rPr>
            </w:pPr>
            <w:r w:rsidRPr="00285DF8">
              <w:rPr>
                <w:rStyle w:val="SCCFileNumberChar"/>
                <w:sz w:val="20"/>
                <w:szCs w:val="20"/>
              </w:rPr>
              <w:t>37919</w:t>
            </w:r>
          </w:p>
        </w:tc>
        <w:tc>
          <w:tcPr>
            <w:tcW w:w="4457" w:type="pct"/>
            <w:gridSpan w:val="3"/>
          </w:tcPr>
          <w:p w:rsidR="00285DF8" w:rsidRPr="00285DF8" w:rsidRDefault="00285DF8" w:rsidP="00285DF8">
            <w:pPr>
              <w:pStyle w:val="SCCLsocParty"/>
              <w:jc w:val="both"/>
              <w:rPr>
                <w:b/>
                <w:sz w:val="20"/>
                <w:szCs w:val="20"/>
                <w:lang w:val="en-US"/>
              </w:rPr>
            </w:pPr>
            <w:r w:rsidRPr="00285DF8">
              <w:rPr>
                <w:b/>
                <w:sz w:val="20"/>
                <w:szCs w:val="20"/>
                <w:lang w:val="en-US"/>
              </w:rPr>
              <w:t xml:space="preserve">Nevsun Resources LTD v. Gize Yebeyo Araya, </w:t>
            </w:r>
            <w:proofErr w:type="spellStart"/>
            <w:r w:rsidRPr="00285DF8">
              <w:rPr>
                <w:b/>
                <w:sz w:val="20"/>
                <w:szCs w:val="20"/>
                <w:lang w:val="en-US"/>
              </w:rPr>
              <w:t>Kesete</w:t>
            </w:r>
            <w:proofErr w:type="spellEnd"/>
            <w:r w:rsidRPr="00285DF8">
              <w:rPr>
                <w:b/>
                <w:sz w:val="20"/>
                <w:szCs w:val="20"/>
                <w:lang w:val="en-US"/>
              </w:rPr>
              <w:t xml:space="preserve"> </w:t>
            </w:r>
            <w:proofErr w:type="spellStart"/>
            <w:r w:rsidRPr="00285DF8">
              <w:rPr>
                <w:b/>
                <w:sz w:val="20"/>
                <w:szCs w:val="20"/>
                <w:lang w:val="en-US"/>
              </w:rPr>
              <w:t>Tekle</w:t>
            </w:r>
            <w:proofErr w:type="spellEnd"/>
            <w:r w:rsidRPr="00285DF8">
              <w:rPr>
                <w:b/>
                <w:sz w:val="20"/>
                <w:szCs w:val="20"/>
                <w:lang w:val="en-US"/>
              </w:rPr>
              <w:t xml:space="preserve"> </w:t>
            </w:r>
            <w:proofErr w:type="spellStart"/>
            <w:r w:rsidRPr="00285DF8">
              <w:rPr>
                <w:b/>
                <w:sz w:val="20"/>
                <w:szCs w:val="20"/>
                <w:lang w:val="en-US"/>
              </w:rPr>
              <w:t>Fshazion</w:t>
            </w:r>
            <w:proofErr w:type="spellEnd"/>
            <w:r w:rsidRPr="00285DF8">
              <w:rPr>
                <w:b/>
                <w:sz w:val="20"/>
                <w:szCs w:val="20"/>
                <w:lang w:val="en-US"/>
              </w:rPr>
              <w:t xml:space="preserve">, </w:t>
            </w:r>
            <w:proofErr w:type="spellStart"/>
            <w:r w:rsidRPr="00285DF8">
              <w:rPr>
                <w:b/>
                <w:sz w:val="20"/>
                <w:szCs w:val="20"/>
                <w:lang w:val="en-US"/>
              </w:rPr>
              <w:t>Mihretab</w:t>
            </w:r>
            <w:proofErr w:type="spellEnd"/>
            <w:r w:rsidRPr="00285DF8">
              <w:rPr>
                <w:b/>
                <w:sz w:val="20"/>
                <w:szCs w:val="20"/>
                <w:lang w:val="en-US"/>
              </w:rPr>
              <w:t xml:space="preserve"> </w:t>
            </w:r>
            <w:proofErr w:type="spellStart"/>
            <w:r w:rsidRPr="00285DF8">
              <w:rPr>
                <w:b/>
                <w:sz w:val="20"/>
                <w:szCs w:val="20"/>
                <w:lang w:val="en-US"/>
              </w:rPr>
              <w:t>Yemane</w:t>
            </w:r>
            <w:proofErr w:type="spellEnd"/>
            <w:r w:rsidRPr="00285DF8">
              <w:rPr>
                <w:b/>
                <w:sz w:val="20"/>
                <w:szCs w:val="20"/>
                <w:lang w:val="en-US"/>
              </w:rPr>
              <w:t xml:space="preserve"> </w:t>
            </w:r>
            <w:proofErr w:type="spellStart"/>
            <w:r w:rsidRPr="00285DF8">
              <w:rPr>
                <w:b/>
                <w:sz w:val="20"/>
                <w:szCs w:val="20"/>
                <w:lang w:val="en-US"/>
              </w:rPr>
              <w:t>Tekle</w:t>
            </w:r>
            <w:proofErr w:type="spellEnd"/>
          </w:p>
          <w:p w:rsidR="00285DF8" w:rsidRPr="00285DF8" w:rsidRDefault="00285DF8" w:rsidP="00285DF8">
            <w:pPr>
              <w:jc w:val="both"/>
              <w:rPr>
                <w:sz w:val="20"/>
              </w:rPr>
            </w:pPr>
            <w:r w:rsidRPr="00285DF8">
              <w:rPr>
                <w:sz w:val="20"/>
              </w:rPr>
              <w:t>(B.C.) (Civil) (By Leave)</w:t>
            </w:r>
          </w:p>
        </w:tc>
      </w:tr>
      <w:tr w:rsidR="00285DF8" w:rsidRPr="00285DF8" w:rsidTr="009D49DD">
        <w:tc>
          <w:tcPr>
            <w:tcW w:w="5000" w:type="pct"/>
            <w:gridSpan w:val="4"/>
          </w:tcPr>
          <w:p w:rsidR="00285DF8" w:rsidRPr="00285DF8" w:rsidRDefault="00285DF8" w:rsidP="00285DF8">
            <w:pPr>
              <w:jc w:val="both"/>
              <w:rPr>
                <w:sz w:val="20"/>
              </w:rPr>
            </w:pPr>
            <w:r w:rsidRPr="00285DF8">
              <w:rPr>
                <w:sz w:val="20"/>
              </w:rPr>
              <w:t>Public International Law – State Immunity – Applicability of the act of state doctrine and its exceptions – Does the act of state doctrine preclude a British Columbia court from judging the legality of the sovereign acts of a foreign state within its own territory – Should Canadian common law recognise, for the first time, a cause of action for damages based on alleged breaches of norms of customary international law.</w:t>
            </w:r>
          </w:p>
        </w:tc>
      </w:tr>
      <w:tr w:rsidR="00285DF8" w:rsidRPr="00285DF8" w:rsidTr="009D49DD">
        <w:tc>
          <w:tcPr>
            <w:tcW w:w="5000" w:type="pct"/>
            <w:gridSpan w:val="4"/>
          </w:tcPr>
          <w:p w:rsidR="00285DF8" w:rsidRPr="00285DF8" w:rsidRDefault="00285DF8" w:rsidP="00285DF8">
            <w:pPr>
              <w:jc w:val="both"/>
              <w:rPr>
                <w:sz w:val="20"/>
              </w:rPr>
            </w:pPr>
          </w:p>
          <w:p w:rsidR="00285DF8" w:rsidRPr="00285DF8" w:rsidRDefault="00285DF8" w:rsidP="00285DF8">
            <w:pPr>
              <w:jc w:val="both"/>
              <w:rPr>
                <w:sz w:val="20"/>
              </w:rPr>
            </w:pPr>
            <w:r w:rsidRPr="00285DF8">
              <w:rPr>
                <w:sz w:val="20"/>
              </w:rPr>
              <w:t>The respondents are Eritrean refugees who sought to bring a representative claim against the applicant, a publicly-held B.C. corporation. They allege that through a chain of subsidiaries, the applicant entered into a commercial venture with Eritrea for the development of a gold, copper and zinc mine in Eritrea. The applicant allegedly engaged the Eritrean military and military controlled corporations and was complicit in the use of forced labour at the mine, conscripted under Eritrea’s National Service Program. The respondents claim to have fallen victim to forced labour, slavery, torture, cruel, inhumane or degrading treatment and crimes against humanity. They brings claims of private law torts as well as breaches of peremptory principles of international law for which they seek damages at customary international law. The applicant denied that the respondents were subjected to forced labour or mistreatment and argued that the military and its personnel were not subject to the control, direction or supervision of the applicant or of the mining company in which the applicant has a 60% indirect interest.</w:t>
            </w:r>
          </w:p>
          <w:p w:rsidR="00285DF8" w:rsidRPr="00285DF8" w:rsidRDefault="00285DF8" w:rsidP="00285DF8">
            <w:pPr>
              <w:jc w:val="both"/>
              <w:rPr>
                <w:sz w:val="20"/>
              </w:rPr>
            </w:pPr>
          </w:p>
          <w:p w:rsidR="00285DF8" w:rsidRPr="00285DF8" w:rsidRDefault="00285DF8" w:rsidP="00285DF8">
            <w:pPr>
              <w:jc w:val="both"/>
              <w:rPr>
                <w:sz w:val="20"/>
              </w:rPr>
            </w:pPr>
            <w:r w:rsidRPr="00285DF8">
              <w:rPr>
                <w:sz w:val="20"/>
              </w:rPr>
              <w:t xml:space="preserve">The Supreme Court of British Columbia granted the applicant’s motion to deny the proceeding status as a common law representative action but dismissed the applicant’s motions to stay, dismiss or strike aspects of the respondents’ claims on the basis that either Eritrea is the </w:t>
            </w:r>
            <w:r w:rsidRPr="00285DF8">
              <w:rPr>
                <w:i/>
                <w:sz w:val="20"/>
              </w:rPr>
              <w:t>forum conveniens</w:t>
            </w:r>
            <w:r w:rsidRPr="00285DF8">
              <w:rPr>
                <w:sz w:val="20"/>
              </w:rPr>
              <w:t>, or that the claims are precluded by or have no reasonable chance of success due to the act of state doctrine or the inapplicability of customary international law. The court also held that certain secondary evidence filed by the respondents was admissible for the limited purpose of providing social and historical facts for context. The Court of Appeal for British Columbia dismissed the applicant’s appeal.</w:t>
            </w:r>
          </w:p>
        </w:tc>
      </w:tr>
      <w:tr w:rsidR="00285DF8" w:rsidRPr="00285DF8" w:rsidTr="009D49DD">
        <w:tc>
          <w:tcPr>
            <w:tcW w:w="5000" w:type="pct"/>
            <w:gridSpan w:val="4"/>
          </w:tcPr>
          <w:p w:rsidR="00285DF8" w:rsidRPr="00285DF8" w:rsidRDefault="00285DF8" w:rsidP="00285DF8">
            <w:pPr>
              <w:jc w:val="both"/>
              <w:rPr>
                <w:sz w:val="20"/>
              </w:rPr>
            </w:pPr>
          </w:p>
        </w:tc>
      </w:tr>
      <w:tr w:rsidR="00285DF8" w:rsidRPr="00285DF8" w:rsidTr="009D49DD">
        <w:tc>
          <w:tcPr>
            <w:tcW w:w="2427" w:type="pct"/>
            <w:gridSpan w:val="2"/>
          </w:tcPr>
          <w:p w:rsidR="00285DF8" w:rsidRPr="00285DF8" w:rsidRDefault="00285DF8" w:rsidP="00285DF8">
            <w:pPr>
              <w:jc w:val="both"/>
              <w:rPr>
                <w:sz w:val="20"/>
              </w:rPr>
            </w:pPr>
            <w:r w:rsidRPr="00285DF8">
              <w:rPr>
                <w:sz w:val="20"/>
              </w:rPr>
              <w:t>October 6, 2015</w:t>
            </w:r>
          </w:p>
          <w:p w:rsidR="00285DF8" w:rsidRPr="00285DF8" w:rsidRDefault="00285DF8" w:rsidP="00285DF8">
            <w:pPr>
              <w:jc w:val="both"/>
              <w:rPr>
                <w:sz w:val="20"/>
              </w:rPr>
            </w:pPr>
            <w:r w:rsidRPr="00285DF8">
              <w:rPr>
                <w:sz w:val="20"/>
              </w:rPr>
              <w:t>Supreme Court of British Columbia</w:t>
            </w:r>
          </w:p>
          <w:p w:rsidR="00285DF8" w:rsidRPr="00285DF8" w:rsidRDefault="00285DF8" w:rsidP="00285DF8">
            <w:pPr>
              <w:jc w:val="both"/>
              <w:rPr>
                <w:sz w:val="20"/>
              </w:rPr>
            </w:pPr>
            <w:r w:rsidRPr="00285DF8">
              <w:rPr>
                <w:sz w:val="20"/>
              </w:rPr>
              <w:t>(</w:t>
            </w:r>
            <w:proofErr w:type="spellStart"/>
            <w:r w:rsidRPr="00285DF8">
              <w:rPr>
                <w:sz w:val="20"/>
              </w:rPr>
              <w:t>Abrioux</w:t>
            </w:r>
            <w:proofErr w:type="spellEnd"/>
            <w:r w:rsidRPr="00285DF8">
              <w:rPr>
                <w:sz w:val="20"/>
              </w:rPr>
              <w:t xml:space="preserve"> J.)</w:t>
            </w:r>
          </w:p>
          <w:p w:rsidR="00285DF8" w:rsidRPr="00285DF8" w:rsidRDefault="00F31907" w:rsidP="00285DF8">
            <w:pPr>
              <w:jc w:val="both"/>
              <w:rPr>
                <w:sz w:val="20"/>
              </w:rPr>
            </w:pPr>
            <w:hyperlink r:id="rId18" w:history="1">
              <w:r w:rsidR="00285DF8" w:rsidRPr="00285DF8">
                <w:rPr>
                  <w:rStyle w:val="Hyperlink"/>
                  <w:sz w:val="20"/>
                </w:rPr>
                <w:t>2016 BCSC 1856</w:t>
              </w:r>
            </w:hyperlink>
          </w:p>
          <w:p w:rsidR="00285DF8" w:rsidRPr="00285DF8" w:rsidRDefault="00285DF8" w:rsidP="00285DF8">
            <w:pPr>
              <w:jc w:val="both"/>
              <w:rPr>
                <w:sz w:val="20"/>
              </w:rPr>
            </w:pPr>
          </w:p>
        </w:tc>
        <w:tc>
          <w:tcPr>
            <w:tcW w:w="243" w:type="pct"/>
          </w:tcPr>
          <w:p w:rsidR="00285DF8" w:rsidRPr="00285DF8" w:rsidRDefault="00285DF8" w:rsidP="00285DF8">
            <w:pPr>
              <w:jc w:val="both"/>
              <w:rPr>
                <w:sz w:val="20"/>
              </w:rPr>
            </w:pPr>
          </w:p>
        </w:tc>
        <w:tc>
          <w:tcPr>
            <w:tcW w:w="2330" w:type="pct"/>
          </w:tcPr>
          <w:p w:rsidR="00285DF8" w:rsidRPr="00285DF8" w:rsidRDefault="00285DF8" w:rsidP="00285DF8">
            <w:pPr>
              <w:jc w:val="both"/>
              <w:rPr>
                <w:sz w:val="20"/>
              </w:rPr>
            </w:pPr>
            <w:r w:rsidRPr="00285DF8">
              <w:rPr>
                <w:sz w:val="20"/>
              </w:rPr>
              <w:t>Applicant’s applications to dismiss, stay or strike aspects of the claim on various grounds, dismissed; Applicant’s application to deny proceeding as a representative action granted; Respondents’ application to file new evidence granted in part</w:t>
            </w:r>
          </w:p>
          <w:p w:rsidR="00285DF8" w:rsidRPr="00285DF8" w:rsidRDefault="00285DF8" w:rsidP="00285DF8">
            <w:pPr>
              <w:jc w:val="both"/>
              <w:rPr>
                <w:sz w:val="20"/>
              </w:rPr>
            </w:pPr>
          </w:p>
        </w:tc>
      </w:tr>
      <w:tr w:rsidR="00285DF8" w:rsidRPr="00285DF8" w:rsidTr="009D49DD">
        <w:tc>
          <w:tcPr>
            <w:tcW w:w="2427" w:type="pct"/>
            <w:gridSpan w:val="2"/>
          </w:tcPr>
          <w:p w:rsidR="00285DF8" w:rsidRPr="00285DF8" w:rsidRDefault="00285DF8" w:rsidP="00285DF8">
            <w:pPr>
              <w:jc w:val="both"/>
              <w:rPr>
                <w:sz w:val="20"/>
              </w:rPr>
            </w:pPr>
            <w:r w:rsidRPr="00285DF8">
              <w:rPr>
                <w:sz w:val="20"/>
              </w:rPr>
              <w:t>November 21, 2017</w:t>
            </w:r>
          </w:p>
          <w:p w:rsidR="00285DF8" w:rsidRPr="00285DF8" w:rsidRDefault="00285DF8" w:rsidP="00285DF8">
            <w:pPr>
              <w:jc w:val="both"/>
              <w:rPr>
                <w:sz w:val="20"/>
              </w:rPr>
            </w:pPr>
            <w:r w:rsidRPr="00285DF8">
              <w:rPr>
                <w:sz w:val="20"/>
              </w:rPr>
              <w:t xml:space="preserve">Court of Appeal for British Columbia </w:t>
            </w:r>
          </w:p>
          <w:p w:rsidR="00285DF8" w:rsidRPr="00285DF8" w:rsidRDefault="00285DF8" w:rsidP="00285DF8">
            <w:pPr>
              <w:jc w:val="both"/>
              <w:rPr>
                <w:sz w:val="20"/>
              </w:rPr>
            </w:pPr>
            <w:r w:rsidRPr="00285DF8">
              <w:rPr>
                <w:sz w:val="20"/>
              </w:rPr>
              <w:t>(Vancouver)</w:t>
            </w:r>
          </w:p>
          <w:p w:rsidR="00285DF8" w:rsidRPr="00285DF8" w:rsidRDefault="00285DF8" w:rsidP="00285DF8">
            <w:pPr>
              <w:jc w:val="both"/>
              <w:rPr>
                <w:sz w:val="20"/>
              </w:rPr>
            </w:pPr>
            <w:r w:rsidRPr="00285DF8">
              <w:rPr>
                <w:sz w:val="20"/>
              </w:rPr>
              <w:t xml:space="preserve">(Newbury, </w:t>
            </w:r>
            <w:proofErr w:type="spellStart"/>
            <w:r w:rsidRPr="00285DF8">
              <w:rPr>
                <w:sz w:val="20"/>
              </w:rPr>
              <w:t>Willcock</w:t>
            </w:r>
            <w:proofErr w:type="spellEnd"/>
            <w:r w:rsidRPr="00285DF8">
              <w:rPr>
                <w:sz w:val="20"/>
              </w:rPr>
              <w:t xml:space="preserve"> and Dickson JJ.A.)</w:t>
            </w:r>
          </w:p>
          <w:p w:rsidR="00285DF8" w:rsidRPr="00285DF8" w:rsidRDefault="00F31907" w:rsidP="00285DF8">
            <w:pPr>
              <w:jc w:val="both"/>
              <w:rPr>
                <w:sz w:val="20"/>
              </w:rPr>
            </w:pPr>
            <w:hyperlink r:id="rId19" w:history="1">
              <w:r w:rsidR="00285DF8" w:rsidRPr="00285DF8">
                <w:rPr>
                  <w:rStyle w:val="Hyperlink"/>
                  <w:sz w:val="20"/>
                </w:rPr>
                <w:t>2017 BCCA 401</w:t>
              </w:r>
            </w:hyperlink>
            <w:r w:rsidR="00285DF8" w:rsidRPr="00285DF8">
              <w:rPr>
                <w:sz w:val="20"/>
              </w:rPr>
              <w:t>; CA44025</w:t>
            </w:r>
          </w:p>
          <w:p w:rsidR="00285DF8" w:rsidRPr="00285DF8" w:rsidRDefault="00285DF8" w:rsidP="00285DF8">
            <w:pPr>
              <w:jc w:val="both"/>
              <w:rPr>
                <w:sz w:val="20"/>
              </w:rPr>
            </w:pPr>
          </w:p>
        </w:tc>
        <w:tc>
          <w:tcPr>
            <w:tcW w:w="243" w:type="pct"/>
          </w:tcPr>
          <w:p w:rsidR="00285DF8" w:rsidRPr="00285DF8" w:rsidRDefault="00285DF8" w:rsidP="00285DF8">
            <w:pPr>
              <w:jc w:val="both"/>
              <w:rPr>
                <w:sz w:val="20"/>
              </w:rPr>
            </w:pPr>
          </w:p>
        </w:tc>
        <w:tc>
          <w:tcPr>
            <w:tcW w:w="2330" w:type="pct"/>
          </w:tcPr>
          <w:p w:rsidR="00285DF8" w:rsidRPr="00285DF8" w:rsidRDefault="00285DF8" w:rsidP="00285DF8">
            <w:pPr>
              <w:jc w:val="both"/>
              <w:rPr>
                <w:sz w:val="20"/>
              </w:rPr>
            </w:pPr>
            <w:r w:rsidRPr="00285DF8">
              <w:rPr>
                <w:sz w:val="20"/>
              </w:rPr>
              <w:t>Appeal dismissed</w:t>
            </w:r>
          </w:p>
          <w:p w:rsidR="00285DF8" w:rsidRPr="00285DF8" w:rsidRDefault="00285DF8" w:rsidP="00285DF8">
            <w:pPr>
              <w:jc w:val="both"/>
              <w:rPr>
                <w:sz w:val="20"/>
              </w:rPr>
            </w:pPr>
          </w:p>
        </w:tc>
      </w:tr>
      <w:tr w:rsidR="00285DF8" w:rsidRPr="00285DF8" w:rsidTr="009D49DD">
        <w:tc>
          <w:tcPr>
            <w:tcW w:w="2427" w:type="pct"/>
            <w:gridSpan w:val="2"/>
          </w:tcPr>
          <w:p w:rsidR="00285DF8" w:rsidRPr="00285DF8" w:rsidRDefault="00285DF8" w:rsidP="00285DF8">
            <w:pPr>
              <w:jc w:val="both"/>
              <w:rPr>
                <w:sz w:val="20"/>
              </w:rPr>
            </w:pPr>
            <w:r w:rsidRPr="00285DF8">
              <w:rPr>
                <w:sz w:val="20"/>
              </w:rPr>
              <w:t>January 19, 2018</w:t>
            </w:r>
          </w:p>
          <w:p w:rsidR="00285DF8" w:rsidRPr="00285DF8" w:rsidRDefault="00285DF8" w:rsidP="00285DF8">
            <w:pPr>
              <w:jc w:val="both"/>
              <w:rPr>
                <w:sz w:val="20"/>
              </w:rPr>
            </w:pPr>
            <w:r w:rsidRPr="00285DF8">
              <w:rPr>
                <w:sz w:val="20"/>
              </w:rPr>
              <w:t>Supreme Court of Canada</w:t>
            </w:r>
          </w:p>
        </w:tc>
        <w:tc>
          <w:tcPr>
            <w:tcW w:w="243" w:type="pct"/>
          </w:tcPr>
          <w:p w:rsidR="00285DF8" w:rsidRPr="00285DF8" w:rsidRDefault="00285DF8" w:rsidP="00285DF8">
            <w:pPr>
              <w:jc w:val="both"/>
              <w:rPr>
                <w:sz w:val="20"/>
              </w:rPr>
            </w:pPr>
          </w:p>
        </w:tc>
        <w:tc>
          <w:tcPr>
            <w:tcW w:w="2330" w:type="pct"/>
          </w:tcPr>
          <w:p w:rsidR="00285DF8" w:rsidRPr="00285DF8" w:rsidRDefault="00285DF8" w:rsidP="00285DF8">
            <w:pPr>
              <w:jc w:val="both"/>
              <w:rPr>
                <w:sz w:val="20"/>
              </w:rPr>
            </w:pPr>
            <w:r w:rsidRPr="00285DF8">
              <w:rPr>
                <w:sz w:val="20"/>
              </w:rPr>
              <w:t>Application for leave to appeal filed</w:t>
            </w:r>
          </w:p>
        </w:tc>
      </w:tr>
    </w:tbl>
    <w:p w:rsidR="00285DF8" w:rsidRDefault="00285DF8" w:rsidP="00285DF8">
      <w:pPr>
        <w:jc w:val="both"/>
        <w:rPr>
          <w:sz w:val="20"/>
        </w:rPr>
      </w:pPr>
    </w:p>
    <w:p w:rsidR="00285DF8" w:rsidRPr="00285DF8" w:rsidRDefault="00285DF8" w:rsidP="00285D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DF8" w:rsidRPr="00285DF8" w:rsidTr="009D49DD">
        <w:tc>
          <w:tcPr>
            <w:tcW w:w="543" w:type="pct"/>
          </w:tcPr>
          <w:p w:rsidR="00285DF8" w:rsidRPr="00285DF8" w:rsidRDefault="00285DF8" w:rsidP="00285DF8">
            <w:pPr>
              <w:jc w:val="both"/>
              <w:rPr>
                <w:sz w:val="20"/>
                <w:lang w:val="fr-CA"/>
              </w:rPr>
            </w:pPr>
            <w:r w:rsidRPr="00285DF8">
              <w:rPr>
                <w:rStyle w:val="SCCFileNumberChar"/>
                <w:sz w:val="20"/>
                <w:szCs w:val="20"/>
                <w:lang w:val="fr-CA"/>
              </w:rPr>
              <w:t>37919</w:t>
            </w:r>
          </w:p>
        </w:tc>
        <w:tc>
          <w:tcPr>
            <w:tcW w:w="4457" w:type="pct"/>
            <w:gridSpan w:val="3"/>
          </w:tcPr>
          <w:p w:rsidR="00285DF8" w:rsidRPr="00285DF8" w:rsidRDefault="00285DF8" w:rsidP="00285DF8">
            <w:pPr>
              <w:pStyle w:val="SCCLsocParty"/>
              <w:jc w:val="both"/>
              <w:rPr>
                <w:b/>
                <w:sz w:val="20"/>
                <w:szCs w:val="20"/>
                <w:lang w:val="en-US"/>
              </w:rPr>
            </w:pPr>
            <w:r w:rsidRPr="00285DF8">
              <w:rPr>
                <w:b/>
                <w:sz w:val="20"/>
                <w:szCs w:val="20"/>
                <w:lang w:val="en-US"/>
              </w:rPr>
              <w:t xml:space="preserve">Nevsun Resources LTD c. Gize Yebeyo Araya, </w:t>
            </w:r>
            <w:proofErr w:type="spellStart"/>
            <w:r w:rsidRPr="00285DF8">
              <w:rPr>
                <w:b/>
                <w:sz w:val="20"/>
                <w:szCs w:val="20"/>
                <w:lang w:val="en-US"/>
              </w:rPr>
              <w:t>Kesete</w:t>
            </w:r>
            <w:proofErr w:type="spellEnd"/>
            <w:r w:rsidRPr="00285DF8">
              <w:rPr>
                <w:b/>
                <w:sz w:val="20"/>
                <w:szCs w:val="20"/>
                <w:lang w:val="en-US"/>
              </w:rPr>
              <w:t xml:space="preserve"> </w:t>
            </w:r>
            <w:proofErr w:type="spellStart"/>
            <w:r w:rsidRPr="00285DF8">
              <w:rPr>
                <w:b/>
                <w:sz w:val="20"/>
                <w:szCs w:val="20"/>
                <w:lang w:val="en-US"/>
              </w:rPr>
              <w:t>Tekle</w:t>
            </w:r>
            <w:proofErr w:type="spellEnd"/>
            <w:r w:rsidRPr="00285DF8">
              <w:rPr>
                <w:b/>
                <w:sz w:val="20"/>
                <w:szCs w:val="20"/>
                <w:lang w:val="en-US"/>
              </w:rPr>
              <w:t xml:space="preserve"> </w:t>
            </w:r>
            <w:proofErr w:type="spellStart"/>
            <w:r w:rsidRPr="00285DF8">
              <w:rPr>
                <w:b/>
                <w:sz w:val="20"/>
                <w:szCs w:val="20"/>
                <w:lang w:val="en-US"/>
              </w:rPr>
              <w:t>Fshazion</w:t>
            </w:r>
            <w:proofErr w:type="spellEnd"/>
            <w:r w:rsidRPr="00285DF8">
              <w:rPr>
                <w:b/>
                <w:sz w:val="20"/>
                <w:szCs w:val="20"/>
                <w:lang w:val="en-US"/>
              </w:rPr>
              <w:t xml:space="preserve">, </w:t>
            </w:r>
            <w:proofErr w:type="spellStart"/>
            <w:r w:rsidRPr="00285DF8">
              <w:rPr>
                <w:b/>
                <w:sz w:val="20"/>
                <w:szCs w:val="20"/>
                <w:lang w:val="en-US"/>
              </w:rPr>
              <w:t>Mihretab</w:t>
            </w:r>
            <w:proofErr w:type="spellEnd"/>
            <w:r w:rsidRPr="00285DF8">
              <w:rPr>
                <w:b/>
                <w:sz w:val="20"/>
                <w:szCs w:val="20"/>
                <w:lang w:val="en-US"/>
              </w:rPr>
              <w:t xml:space="preserve"> </w:t>
            </w:r>
            <w:proofErr w:type="spellStart"/>
            <w:r w:rsidRPr="00285DF8">
              <w:rPr>
                <w:b/>
                <w:sz w:val="20"/>
                <w:szCs w:val="20"/>
                <w:lang w:val="en-US"/>
              </w:rPr>
              <w:t>Yemane</w:t>
            </w:r>
            <w:proofErr w:type="spellEnd"/>
            <w:r w:rsidRPr="00285DF8">
              <w:rPr>
                <w:b/>
                <w:sz w:val="20"/>
                <w:szCs w:val="20"/>
                <w:lang w:val="en-US"/>
              </w:rPr>
              <w:t xml:space="preserve"> </w:t>
            </w:r>
            <w:proofErr w:type="spellStart"/>
            <w:r w:rsidRPr="00285DF8">
              <w:rPr>
                <w:b/>
                <w:sz w:val="20"/>
                <w:szCs w:val="20"/>
                <w:lang w:val="en-US"/>
              </w:rPr>
              <w:t>Tekle</w:t>
            </w:r>
            <w:proofErr w:type="spellEnd"/>
          </w:p>
          <w:p w:rsidR="00285DF8" w:rsidRPr="00285DF8" w:rsidRDefault="00285DF8" w:rsidP="00285DF8">
            <w:pPr>
              <w:jc w:val="both"/>
              <w:rPr>
                <w:sz w:val="20"/>
                <w:lang w:val="fr-CA"/>
              </w:rPr>
            </w:pPr>
            <w:r w:rsidRPr="00285DF8">
              <w:rPr>
                <w:sz w:val="20"/>
                <w:lang w:val="fr-CA"/>
              </w:rPr>
              <w:t>(C.-B.) (Civile) (Autorisation)</w:t>
            </w:r>
          </w:p>
        </w:tc>
      </w:tr>
      <w:tr w:rsidR="00285DF8" w:rsidRPr="00F31907" w:rsidTr="009D49DD">
        <w:tc>
          <w:tcPr>
            <w:tcW w:w="5000" w:type="pct"/>
            <w:gridSpan w:val="4"/>
          </w:tcPr>
          <w:p w:rsidR="00285DF8" w:rsidRPr="00285DF8" w:rsidRDefault="00285DF8" w:rsidP="00285DF8">
            <w:pPr>
              <w:jc w:val="both"/>
              <w:rPr>
                <w:sz w:val="20"/>
                <w:lang w:val="fr-CA"/>
              </w:rPr>
            </w:pPr>
            <w:r w:rsidRPr="00285DF8">
              <w:rPr>
                <w:sz w:val="20"/>
                <w:lang w:val="fr-CA"/>
              </w:rPr>
              <w:t xml:space="preserve">Droit international public – Immunité des États – Applicabilité de la doctrine de l’acte de gouvernement et ses exceptions – La doctrine de l’acte de gouvernement empêche-t-elle un tribunal de la Colombie-Britannique de juger de la légalité des actes souverains d’un État étranger à l’intérieur de son propre territoire? – La common law canadienne </w:t>
            </w:r>
            <w:proofErr w:type="spellStart"/>
            <w:r w:rsidRPr="00285DF8">
              <w:rPr>
                <w:sz w:val="20"/>
                <w:lang w:val="fr-CA"/>
              </w:rPr>
              <w:t>doit-elle</w:t>
            </w:r>
            <w:proofErr w:type="spellEnd"/>
            <w:r w:rsidRPr="00285DF8">
              <w:rPr>
                <w:sz w:val="20"/>
                <w:lang w:val="fr-CA"/>
              </w:rPr>
              <w:t xml:space="preserve"> reconnaître, pour la première fois, une cause d’action en dommages-intérêts fondée sur les manquements présumés aux normes du droit international coutumier?</w:t>
            </w:r>
          </w:p>
        </w:tc>
      </w:tr>
      <w:tr w:rsidR="00285DF8" w:rsidRPr="00F31907" w:rsidTr="009D49DD">
        <w:tc>
          <w:tcPr>
            <w:tcW w:w="5000" w:type="pct"/>
            <w:gridSpan w:val="4"/>
          </w:tcPr>
          <w:p w:rsidR="00285DF8" w:rsidRPr="00285DF8" w:rsidRDefault="00285DF8" w:rsidP="00285DF8">
            <w:pPr>
              <w:jc w:val="both"/>
              <w:rPr>
                <w:sz w:val="20"/>
                <w:lang w:val="fr-CA"/>
              </w:rPr>
            </w:pPr>
          </w:p>
          <w:p w:rsidR="00285DF8" w:rsidRPr="00285DF8" w:rsidRDefault="00285DF8" w:rsidP="00285DF8">
            <w:pPr>
              <w:jc w:val="both"/>
              <w:rPr>
                <w:sz w:val="20"/>
                <w:lang w:val="fr-CA"/>
              </w:rPr>
            </w:pPr>
            <w:r w:rsidRPr="00285DF8">
              <w:rPr>
                <w:sz w:val="20"/>
                <w:lang w:val="fr-CA"/>
              </w:rPr>
              <w:t>Les intimés sont des réfugiés érythréens qui ont tenté d’introduire un recours collectif contre la demanderesse, une société ouverte de la Colombie-Britannique. Ils allèguent que par une série de filiales, la demanderesse aurait participé à une entreprise commerciale avec l’Érythrée pour la mise en valeur d’une mine d’or, de cuivre et de zinc en Érythrée. La demanderesse aurait censément engagé les forces militaires érythréennes et des sociétés contrôlées par ces forces et aurait été complice dans le recours à de la main-d’œuvre contrainte au travail à la mine, conscrite dans le cadre du programme de service national de l’Érythrée. Les intimés allèguent être tombés victimes de travail forcé, d’esclavage, de torture, de traitements cruels, inhumains ou dégradants et de crimes contre l’humanité. Ils allèguent des délits civils de droit privé et des manquements aux principes péremptoires de droit international pour lesquels ils sollicitent des dommages-intérêts de droit international coutumier. La demanderesse nie que les intimés ont été contraints au travail forcé ou qu’ils ont subi des mauvais traitements et plaident que les forces militaires et leur personnel n’étaient pas soumis au contrôle, à la direction ou à la supervision de la demanderesse ou de la société minière dans laquelle la demanderesse a une participation indirecte de 60 %.</w:t>
            </w:r>
          </w:p>
          <w:p w:rsidR="00285DF8" w:rsidRPr="00285DF8" w:rsidRDefault="00285DF8" w:rsidP="00285DF8">
            <w:pPr>
              <w:jc w:val="both"/>
              <w:rPr>
                <w:sz w:val="20"/>
                <w:lang w:val="fr-CA"/>
              </w:rPr>
            </w:pPr>
          </w:p>
          <w:p w:rsidR="00285DF8" w:rsidRPr="00285DF8" w:rsidRDefault="00285DF8" w:rsidP="00285DF8">
            <w:pPr>
              <w:jc w:val="both"/>
              <w:rPr>
                <w:sz w:val="20"/>
                <w:lang w:val="fr-CA"/>
              </w:rPr>
            </w:pPr>
            <w:r w:rsidRPr="00285DF8">
              <w:rPr>
                <w:sz w:val="20"/>
                <w:lang w:val="fr-CA"/>
              </w:rPr>
              <w:t xml:space="preserve">La Cour suprême de la Colombie-Britannique a accueilli la requête de la demanderesse visant à nier à l’instance la qualité de recours collectif de common law, mais a rejeté les requêtes de la demanderesse en vue de suspendre, de rejeter ou de radier des aspects des demandes des intimés au motif que l’Érythrée est le </w:t>
            </w:r>
            <w:r w:rsidRPr="00285DF8">
              <w:rPr>
                <w:i/>
                <w:sz w:val="20"/>
                <w:lang w:val="fr-CA"/>
              </w:rPr>
              <w:t>forum conveniens</w:t>
            </w:r>
            <w:r w:rsidRPr="00285DF8">
              <w:rPr>
                <w:sz w:val="20"/>
                <w:lang w:val="fr-CA"/>
              </w:rPr>
              <w:t xml:space="preserve"> ou que les demandes sont irrecevables ou n’ont aucune chance raisonnable de succès, vu de la doctrine de l’acte de gouvernement ou l’inapplicabilité du droit international coutumier. La cour a également statué que certains éléments de preuve secondaires déposés par les intimés étaient admissibles dans le but limité de fournir des faits sociaux et historiques en guise de contexte. La Cour d’appel de la Colombie-Britannique a rejeté l’appel de la demanderesse.</w:t>
            </w:r>
          </w:p>
        </w:tc>
      </w:tr>
      <w:tr w:rsidR="00285DF8" w:rsidRPr="00F31907" w:rsidTr="009D49DD">
        <w:tc>
          <w:tcPr>
            <w:tcW w:w="5000" w:type="pct"/>
            <w:gridSpan w:val="4"/>
          </w:tcPr>
          <w:p w:rsidR="00285DF8" w:rsidRPr="00285DF8" w:rsidRDefault="00285DF8" w:rsidP="00285DF8">
            <w:pPr>
              <w:jc w:val="both"/>
              <w:rPr>
                <w:sz w:val="20"/>
                <w:lang w:val="fr-CA"/>
              </w:rPr>
            </w:pPr>
          </w:p>
        </w:tc>
      </w:tr>
      <w:tr w:rsidR="00285DF8" w:rsidRPr="00F31907" w:rsidTr="009D49DD">
        <w:tc>
          <w:tcPr>
            <w:tcW w:w="2427" w:type="pct"/>
            <w:gridSpan w:val="2"/>
          </w:tcPr>
          <w:p w:rsidR="00285DF8" w:rsidRPr="00285DF8" w:rsidRDefault="00285DF8" w:rsidP="00285DF8">
            <w:pPr>
              <w:jc w:val="both"/>
              <w:rPr>
                <w:sz w:val="20"/>
                <w:lang w:val="fr-CA"/>
              </w:rPr>
            </w:pPr>
            <w:r w:rsidRPr="00285DF8">
              <w:rPr>
                <w:sz w:val="20"/>
                <w:lang w:val="fr-CA"/>
              </w:rPr>
              <w:t>6 octobre 2015</w:t>
            </w:r>
          </w:p>
          <w:p w:rsidR="00285DF8" w:rsidRPr="00285DF8" w:rsidRDefault="00285DF8" w:rsidP="00285DF8">
            <w:pPr>
              <w:jc w:val="both"/>
              <w:rPr>
                <w:sz w:val="20"/>
                <w:lang w:val="fr-CA"/>
              </w:rPr>
            </w:pPr>
            <w:r w:rsidRPr="00285DF8">
              <w:rPr>
                <w:sz w:val="20"/>
                <w:lang w:val="fr-CA"/>
              </w:rPr>
              <w:t>Cour suprême de la Colombie-Britannique</w:t>
            </w:r>
          </w:p>
          <w:p w:rsidR="00285DF8" w:rsidRPr="00285DF8" w:rsidRDefault="00285DF8" w:rsidP="00285DF8">
            <w:pPr>
              <w:jc w:val="both"/>
              <w:rPr>
                <w:sz w:val="20"/>
                <w:lang w:val="fr-CA"/>
              </w:rPr>
            </w:pPr>
            <w:r w:rsidRPr="00285DF8">
              <w:rPr>
                <w:sz w:val="20"/>
                <w:lang w:val="fr-CA"/>
              </w:rPr>
              <w:t xml:space="preserve">(Juge </w:t>
            </w:r>
            <w:proofErr w:type="spellStart"/>
            <w:r w:rsidRPr="00285DF8">
              <w:rPr>
                <w:sz w:val="20"/>
                <w:lang w:val="fr-CA"/>
              </w:rPr>
              <w:t>Abrioux</w:t>
            </w:r>
            <w:proofErr w:type="spellEnd"/>
            <w:r w:rsidRPr="00285DF8">
              <w:rPr>
                <w:sz w:val="20"/>
                <w:lang w:val="fr-CA"/>
              </w:rPr>
              <w:t>)</w:t>
            </w:r>
          </w:p>
          <w:p w:rsidR="00285DF8" w:rsidRPr="00285DF8" w:rsidRDefault="00F31907" w:rsidP="00285DF8">
            <w:pPr>
              <w:jc w:val="both"/>
              <w:rPr>
                <w:sz w:val="20"/>
                <w:lang w:val="fr-CA"/>
              </w:rPr>
            </w:pPr>
            <w:hyperlink r:id="rId20" w:history="1">
              <w:r w:rsidR="00285DF8" w:rsidRPr="00285DF8">
                <w:rPr>
                  <w:rStyle w:val="Hyperlink"/>
                  <w:sz w:val="20"/>
                </w:rPr>
                <w:t>2016 BCSC 1856</w:t>
              </w:r>
            </w:hyperlink>
          </w:p>
          <w:p w:rsidR="00285DF8" w:rsidRPr="00285DF8" w:rsidRDefault="00285DF8" w:rsidP="00285DF8">
            <w:pPr>
              <w:jc w:val="both"/>
              <w:rPr>
                <w:sz w:val="20"/>
                <w:lang w:val="fr-CA"/>
              </w:rPr>
            </w:pPr>
          </w:p>
        </w:tc>
        <w:tc>
          <w:tcPr>
            <w:tcW w:w="243" w:type="pct"/>
          </w:tcPr>
          <w:p w:rsidR="00285DF8" w:rsidRPr="00285DF8" w:rsidRDefault="00285DF8" w:rsidP="00285DF8">
            <w:pPr>
              <w:jc w:val="both"/>
              <w:rPr>
                <w:sz w:val="20"/>
                <w:lang w:val="fr-CA"/>
              </w:rPr>
            </w:pPr>
          </w:p>
        </w:tc>
        <w:tc>
          <w:tcPr>
            <w:tcW w:w="2330" w:type="pct"/>
          </w:tcPr>
          <w:p w:rsidR="00285DF8" w:rsidRPr="00285DF8" w:rsidRDefault="00285DF8" w:rsidP="00285DF8">
            <w:pPr>
              <w:jc w:val="both"/>
              <w:rPr>
                <w:sz w:val="20"/>
                <w:lang w:val="fr-CA"/>
              </w:rPr>
            </w:pPr>
            <w:r w:rsidRPr="00285DF8">
              <w:rPr>
                <w:sz w:val="20"/>
                <w:lang w:val="fr-CA"/>
              </w:rPr>
              <w:t xml:space="preserve">Jugement rejetant les demandes de la demanderesse en rejet, en suspension ou en radiation de certains aspects de la demande pour divers motifs, accueillant la demande de la demanderesse visant à nier à l’instance la qualité de recours collectif et accueillant en partie la demande des intimés en présentation de preuves nouvelles </w:t>
            </w:r>
          </w:p>
          <w:p w:rsidR="00285DF8" w:rsidRPr="00285DF8" w:rsidRDefault="00285DF8" w:rsidP="00285DF8">
            <w:pPr>
              <w:jc w:val="both"/>
              <w:rPr>
                <w:sz w:val="20"/>
                <w:lang w:val="fr-CA"/>
              </w:rPr>
            </w:pPr>
          </w:p>
        </w:tc>
      </w:tr>
      <w:tr w:rsidR="00285DF8" w:rsidRPr="00285DF8" w:rsidTr="009D49DD">
        <w:tc>
          <w:tcPr>
            <w:tcW w:w="2427" w:type="pct"/>
            <w:gridSpan w:val="2"/>
          </w:tcPr>
          <w:p w:rsidR="00285DF8" w:rsidRPr="00285DF8" w:rsidRDefault="00285DF8" w:rsidP="00285DF8">
            <w:pPr>
              <w:jc w:val="both"/>
              <w:rPr>
                <w:sz w:val="20"/>
                <w:lang w:val="fr-CA"/>
              </w:rPr>
            </w:pPr>
            <w:r w:rsidRPr="00285DF8">
              <w:rPr>
                <w:sz w:val="20"/>
                <w:lang w:val="fr-CA"/>
              </w:rPr>
              <w:t>21 novembre 2017</w:t>
            </w:r>
          </w:p>
          <w:p w:rsidR="00285DF8" w:rsidRPr="00285DF8" w:rsidRDefault="00285DF8" w:rsidP="00285DF8">
            <w:pPr>
              <w:jc w:val="both"/>
              <w:rPr>
                <w:sz w:val="20"/>
                <w:lang w:val="fr-CA"/>
              </w:rPr>
            </w:pPr>
            <w:r w:rsidRPr="00285DF8">
              <w:rPr>
                <w:sz w:val="20"/>
                <w:lang w:val="fr-CA"/>
              </w:rPr>
              <w:t>Cour d’appel de la Colombie-Britannique</w:t>
            </w:r>
          </w:p>
          <w:p w:rsidR="00285DF8" w:rsidRPr="00285DF8" w:rsidRDefault="00285DF8" w:rsidP="00285DF8">
            <w:pPr>
              <w:jc w:val="both"/>
              <w:rPr>
                <w:sz w:val="20"/>
                <w:lang w:val="fr-CA"/>
              </w:rPr>
            </w:pPr>
            <w:r w:rsidRPr="00285DF8">
              <w:rPr>
                <w:sz w:val="20"/>
                <w:lang w:val="fr-CA"/>
              </w:rPr>
              <w:t>(Vancouver)</w:t>
            </w:r>
          </w:p>
          <w:p w:rsidR="00285DF8" w:rsidRPr="00285DF8" w:rsidRDefault="00285DF8" w:rsidP="00285DF8">
            <w:pPr>
              <w:jc w:val="both"/>
              <w:rPr>
                <w:sz w:val="20"/>
                <w:lang w:val="fr-CA"/>
              </w:rPr>
            </w:pPr>
            <w:r w:rsidRPr="00285DF8">
              <w:rPr>
                <w:sz w:val="20"/>
                <w:lang w:val="fr-CA"/>
              </w:rPr>
              <w:t xml:space="preserve">(Juges Newbury, </w:t>
            </w:r>
            <w:proofErr w:type="spellStart"/>
            <w:r w:rsidRPr="00285DF8">
              <w:rPr>
                <w:sz w:val="20"/>
                <w:lang w:val="fr-CA"/>
              </w:rPr>
              <w:t>Willcock</w:t>
            </w:r>
            <w:proofErr w:type="spellEnd"/>
            <w:r w:rsidRPr="00285DF8">
              <w:rPr>
                <w:sz w:val="20"/>
                <w:lang w:val="fr-CA"/>
              </w:rPr>
              <w:t xml:space="preserve"> et Dickson)</w:t>
            </w:r>
          </w:p>
          <w:p w:rsidR="00285DF8" w:rsidRPr="00285DF8" w:rsidRDefault="00F31907" w:rsidP="00285DF8">
            <w:pPr>
              <w:jc w:val="both"/>
              <w:rPr>
                <w:sz w:val="20"/>
                <w:lang w:val="fr-CA"/>
              </w:rPr>
            </w:pPr>
            <w:hyperlink r:id="rId21" w:history="1">
              <w:r w:rsidR="00285DF8" w:rsidRPr="00285DF8">
                <w:rPr>
                  <w:rStyle w:val="Hyperlink"/>
                  <w:sz w:val="20"/>
                </w:rPr>
                <w:t>2017 BCCA 401</w:t>
              </w:r>
            </w:hyperlink>
            <w:r w:rsidR="00285DF8" w:rsidRPr="00285DF8">
              <w:rPr>
                <w:sz w:val="20"/>
                <w:lang w:val="fr-CA"/>
              </w:rPr>
              <w:t>; CA44025</w:t>
            </w:r>
          </w:p>
          <w:p w:rsidR="00285DF8" w:rsidRPr="00285DF8" w:rsidRDefault="00285DF8" w:rsidP="00285DF8">
            <w:pPr>
              <w:jc w:val="both"/>
              <w:rPr>
                <w:sz w:val="20"/>
                <w:lang w:val="fr-CA"/>
              </w:rPr>
            </w:pPr>
          </w:p>
        </w:tc>
        <w:tc>
          <w:tcPr>
            <w:tcW w:w="243" w:type="pct"/>
          </w:tcPr>
          <w:p w:rsidR="00285DF8" w:rsidRPr="00285DF8" w:rsidRDefault="00285DF8" w:rsidP="00285DF8">
            <w:pPr>
              <w:jc w:val="both"/>
              <w:rPr>
                <w:sz w:val="20"/>
                <w:lang w:val="fr-CA"/>
              </w:rPr>
            </w:pPr>
          </w:p>
        </w:tc>
        <w:tc>
          <w:tcPr>
            <w:tcW w:w="2330" w:type="pct"/>
          </w:tcPr>
          <w:p w:rsidR="00285DF8" w:rsidRPr="00285DF8" w:rsidRDefault="00285DF8" w:rsidP="00285DF8">
            <w:pPr>
              <w:jc w:val="both"/>
              <w:rPr>
                <w:sz w:val="20"/>
                <w:lang w:val="fr-CA"/>
              </w:rPr>
            </w:pPr>
            <w:r w:rsidRPr="00285DF8">
              <w:rPr>
                <w:sz w:val="20"/>
                <w:lang w:val="fr-CA"/>
              </w:rPr>
              <w:t>Rejet de l’appel</w:t>
            </w:r>
          </w:p>
          <w:p w:rsidR="00285DF8" w:rsidRPr="00285DF8" w:rsidRDefault="00285DF8" w:rsidP="00285DF8">
            <w:pPr>
              <w:jc w:val="both"/>
              <w:rPr>
                <w:sz w:val="20"/>
                <w:lang w:val="fr-CA"/>
              </w:rPr>
            </w:pPr>
          </w:p>
        </w:tc>
      </w:tr>
      <w:tr w:rsidR="00285DF8" w:rsidRPr="00F31907" w:rsidTr="009D49DD">
        <w:tc>
          <w:tcPr>
            <w:tcW w:w="2427" w:type="pct"/>
            <w:gridSpan w:val="2"/>
          </w:tcPr>
          <w:p w:rsidR="00285DF8" w:rsidRPr="00285DF8" w:rsidRDefault="00285DF8" w:rsidP="00285DF8">
            <w:pPr>
              <w:jc w:val="both"/>
              <w:rPr>
                <w:sz w:val="20"/>
                <w:lang w:val="fr-CA"/>
              </w:rPr>
            </w:pPr>
            <w:r w:rsidRPr="00285DF8">
              <w:rPr>
                <w:sz w:val="20"/>
                <w:lang w:val="fr-CA"/>
              </w:rPr>
              <w:t>19 janvier 2018</w:t>
            </w:r>
          </w:p>
          <w:p w:rsidR="00285DF8" w:rsidRPr="00285DF8" w:rsidRDefault="00285DF8" w:rsidP="00285DF8">
            <w:pPr>
              <w:jc w:val="both"/>
              <w:rPr>
                <w:sz w:val="20"/>
                <w:lang w:val="fr-CA"/>
              </w:rPr>
            </w:pPr>
            <w:r w:rsidRPr="00285DF8">
              <w:rPr>
                <w:sz w:val="20"/>
                <w:lang w:val="fr-CA"/>
              </w:rPr>
              <w:t>Cour suprême du Canada</w:t>
            </w:r>
          </w:p>
        </w:tc>
        <w:tc>
          <w:tcPr>
            <w:tcW w:w="243" w:type="pct"/>
          </w:tcPr>
          <w:p w:rsidR="00285DF8" w:rsidRPr="00285DF8" w:rsidRDefault="00285DF8" w:rsidP="00285DF8">
            <w:pPr>
              <w:jc w:val="both"/>
              <w:rPr>
                <w:sz w:val="20"/>
                <w:lang w:val="fr-CA"/>
              </w:rPr>
            </w:pPr>
          </w:p>
        </w:tc>
        <w:tc>
          <w:tcPr>
            <w:tcW w:w="2330" w:type="pct"/>
          </w:tcPr>
          <w:p w:rsidR="00285DF8" w:rsidRPr="00285DF8" w:rsidRDefault="00285DF8" w:rsidP="00285DF8">
            <w:pPr>
              <w:jc w:val="both"/>
              <w:rPr>
                <w:sz w:val="20"/>
                <w:lang w:val="fr-CA"/>
              </w:rPr>
            </w:pPr>
            <w:r w:rsidRPr="00285DF8">
              <w:rPr>
                <w:sz w:val="20"/>
                <w:lang w:val="fr-CA"/>
              </w:rPr>
              <w:t>Dépôt de la demande d’autorisation d’appel</w:t>
            </w:r>
          </w:p>
        </w:tc>
      </w:tr>
    </w:tbl>
    <w:p w:rsidR="00285DF8" w:rsidRPr="00285DF8" w:rsidRDefault="00285DF8" w:rsidP="00285DF8">
      <w:pPr>
        <w:jc w:val="both"/>
        <w:rPr>
          <w:sz w:val="20"/>
          <w:lang w:val="fr-CA"/>
        </w:rPr>
      </w:pPr>
    </w:p>
    <w:p w:rsidR="00285DF8" w:rsidRPr="00285DF8" w:rsidRDefault="00285DF8" w:rsidP="00285DF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DF8" w:rsidRPr="00285DF8" w:rsidTr="00E95A6A">
        <w:tc>
          <w:tcPr>
            <w:tcW w:w="543" w:type="pct"/>
          </w:tcPr>
          <w:p w:rsidR="00285DF8" w:rsidRPr="00285DF8" w:rsidRDefault="00285DF8" w:rsidP="00285DF8">
            <w:pPr>
              <w:jc w:val="both"/>
              <w:rPr>
                <w:sz w:val="20"/>
              </w:rPr>
            </w:pPr>
            <w:r w:rsidRPr="00285DF8">
              <w:rPr>
                <w:rStyle w:val="SCCFileNumberChar"/>
                <w:sz w:val="20"/>
                <w:szCs w:val="20"/>
              </w:rPr>
              <w:t>37836</w:t>
            </w:r>
          </w:p>
        </w:tc>
        <w:tc>
          <w:tcPr>
            <w:tcW w:w="4457" w:type="pct"/>
            <w:gridSpan w:val="3"/>
          </w:tcPr>
          <w:p w:rsidR="00285DF8" w:rsidRPr="00285DF8" w:rsidRDefault="00285DF8" w:rsidP="00285DF8">
            <w:pPr>
              <w:pStyle w:val="SCCLsocParty"/>
              <w:jc w:val="both"/>
              <w:rPr>
                <w:b/>
                <w:sz w:val="20"/>
                <w:szCs w:val="20"/>
                <w:lang w:val="en-US"/>
              </w:rPr>
            </w:pPr>
            <w:r w:rsidRPr="00285DF8">
              <w:rPr>
                <w:b/>
                <w:sz w:val="20"/>
                <w:szCs w:val="20"/>
                <w:lang w:val="en-US"/>
              </w:rPr>
              <w:t>Holli Anne Kuski v. Travis John Wetsch</w:t>
            </w:r>
          </w:p>
          <w:p w:rsidR="00285DF8" w:rsidRPr="00285DF8" w:rsidRDefault="00285DF8" w:rsidP="00285DF8">
            <w:pPr>
              <w:jc w:val="both"/>
              <w:rPr>
                <w:sz w:val="20"/>
              </w:rPr>
            </w:pPr>
            <w:r w:rsidRPr="00285DF8">
              <w:rPr>
                <w:sz w:val="20"/>
              </w:rPr>
              <w:t>(Sask.) (Civil) (By Leave)</w:t>
            </w:r>
          </w:p>
        </w:tc>
      </w:tr>
      <w:tr w:rsidR="00285DF8" w:rsidRPr="00285DF8" w:rsidTr="00E95A6A">
        <w:tc>
          <w:tcPr>
            <w:tcW w:w="5000" w:type="pct"/>
            <w:gridSpan w:val="4"/>
          </w:tcPr>
          <w:p w:rsidR="00285DF8" w:rsidRPr="00285DF8" w:rsidRDefault="00285DF8" w:rsidP="00285DF8">
            <w:pPr>
              <w:jc w:val="both"/>
              <w:rPr>
                <w:sz w:val="20"/>
              </w:rPr>
            </w:pPr>
            <w:r w:rsidRPr="00285DF8">
              <w:rPr>
                <w:sz w:val="20"/>
              </w:rPr>
              <w:t xml:space="preserve">Family law – Support – Child support – Shared custody – Adult child – Parents disputing appropriate child support and retroactive child support for children of marriage – What are presumptions and factors to be considered in determination of child support under s. 3(2) of </w:t>
            </w:r>
            <w:r w:rsidRPr="00285DF8">
              <w:rPr>
                <w:i/>
                <w:sz w:val="20"/>
              </w:rPr>
              <w:t>Federal Child Support Guidelines</w:t>
            </w:r>
            <w:r w:rsidRPr="00285DF8">
              <w:rPr>
                <w:sz w:val="20"/>
              </w:rPr>
              <w:t xml:space="preserve">, SOR/97-175? – In light of </w:t>
            </w:r>
            <w:proofErr w:type="spellStart"/>
            <w:r w:rsidRPr="00285DF8">
              <w:rPr>
                <w:i/>
                <w:sz w:val="20"/>
              </w:rPr>
              <w:t>Hryniak</w:t>
            </w:r>
            <w:proofErr w:type="spellEnd"/>
            <w:r w:rsidRPr="00285DF8">
              <w:rPr>
                <w:i/>
                <w:sz w:val="20"/>
              </w:rPr>
              <w:t xml:space="preserve"> v. Mauldin</w:t>
            </w:r>
            <w:r w:rsidRPr="00285DF8">
              <w:rPr>
                <w:sz w:val="20"/>
              </w:rPr>
              <w:t xml:space="preserve">, 2014 SCC 7, what is proportional approach to determinations of child support payable pursuant to s. 9 of </w:t>
            </w:r>
            <w:r w:rsidRPr="00285DF8">
              <w:rPr>
                <w:i/>
                <w:sz w:val="20"/>
              </w:rPr>
              <w:t>Guidelines</w:t>
            </w:r>
            <w:r w:rsidRPr="00285DF8">
              <w:rPr>
                <w:sz w:val="20"/>
              </w:rPr>
              <w:t>? – What are parameters of chamber judge’s right to make adverse inferences under s. 19(1</w:t>
            </w:r>
            <w:proofErr w:type="gramStart"/>
            <w:r w:rsidRPr="00285DF8">
              <w:rPr>
                <w:sz w:val="20"/>
              </w:rPr>
              <w:t>)(</w:t>
            </w:r>
            <w:proofErr w:type="gramEnd"/>
            <w:r w:rsidRPr="00285DF8">
              <w:rPr>
                <w:sz w:val="20"/>
              </w:rPr>
              <w:t xml:space="preserve">f) of the </w:t>
            </w:r>
            <w:r w:rsidRPr="00285DF8">
              <w:rPr>
                <w:i/>
                <w:sz w:val="20"/>
              </w:rPr>
              <w:t>Guidelines</w:t>
            </w:r>
            <w:r w:rsidRPr="00285DF8">
              <w:rPr>
                <w:sz w:val="20"/>
              </w:rPr>
              <w:t xml:space="preserve"> regarding </w:t>
            </w:r>
            <w:proofErr w:type="spellStart"/>
            <w:r w:rsidRPr="00285DF8">
              <w:rPr>
                <w:sz w:val="20"/>
              </w:rPr>
              <w:t>payor’s</w:t>
            </w:r>
            <w:proofErr w:type="spellEnd"/>
            <w:r w:rsidRPr="00285DF8">
              <w:rPr>
                <w:sz w:val="20"/>
              </w:rPr>
              <w:t xml:space="preserve"> income? – What factors should court consider in determining whether share sale is a non-recurring source of income under </w:t>
            </w:r>
            <w:r w:rsidRPr="00285DF8">
              <w:rPr>
                <w:i/>
                <w:sz w:val="20"/>
              </w:rPr>
              <w:t>Guidelines</w:t>
            </w:r>
            <w:r w:rsidRPr="00285DF8">
              <w:rPr>
                <w:sz w:val="20"/>
              </w:rPr>
              <w:t>?</w:t>
            </w:r>
          </w:p>
        </w:tc>
      </w:tr>
      <w:tr w:rsidR="00285DF8" w:rsidRPr="00285DF8" w:rsidTr="00E95A6A">
        <w:tc>
          <w:tcPr>
            <w:tcW w:w="5000" w:type="pct"/>
            <w:gridSpan w:val="4"/>
          </w:tcPr>
          <w:p w:rsidR="00285DF8" w:rsidRPr="00285DF8" w:rsidRDefault="00285DF8" w:rsidP="00285DF8">
            <w:pPr>
              <w:jc w:val="both"/>
              <w:rPr>
                <w:sz w:val="20"/>
              </w:rPr>
            </w:pPr>
          </w:p>
        </w:tc>
      </w:tr>
      <w:tr w:rsidR="00285DF8" w:rsidRPr="00285DF8" w:rsidTr="00E95A6A">
        <w:tc>
          <w:tcPr>
            <w:tcW w:w="5000" w:type="pct"/>
            <w:gridSpan w:val="4"/>
          </w:tcPr>
          <w:p w:rsidR="00285DF8" w:rsidRPr="00285DF8" w:rsidRDefault="00285DF8" w:rsidP="00285DF8">
            <w:pPr>
              <w:jc w:val="both"/>
              <w:rPr>
                <w:sz w:val="20"/>
              </w:rPr>
            </w:pPr>
            <w:r w:rsidRPr="00285DF8">
              <w:rPr>
                <w:sz w:val="20"/>
              </w:rPr>
              <w:t>The father and mother were married in August, 1995 and separated in March, 2004. The father is the vice-president of a privately owned investment company. The mother became a lawyer after the parties separated. They have three children who are presently 25, 20 and 18 years of age. Their eldest child was adopted by the father and suffered permanent disabilities as a result of a childhood illness. Following the separation, the children resided primarily with the mother. The parties reached a settlement on their family-related issues in August 2005 and were divorced. After the mother completed her law degree in 2008, the father sought shared parenting of the two youngest children, which the mother opposed. In January 2009, the father unilaterally reduced his child support payments. A trial over the issues of parenting and child support commenced in September, 2009. The trial judge held that the children should remain in the primary care of the mother and fixed the amount of child support. After the eldest child turned eighteen in 2010, the father ceased paying child support for her. She lived with her mother until 2014. Whether or not she was entitled to child support between 2010 and 2014 was disputed. In April, 2012, the parties agreed to a shared custody arrangement for the two youngest children. Child support and related issues between the parties remained outstanding, however, and a special hearing before a chambers judge took place.</w:t>
            </w:r>
          </w:p>
          <w:p w:rsidR="00285DF8" w:rsidRPr="00285DF8" w:rsidRDefault="00285DF8" w:rsidP="00285DF8">
            <w:pPr>
              <w:jc w:val="both"/>
              <w:rPr>
                <w:sz w:val="20"/>
              </w:rPr>
            </w:pPr>
          </w:p>
        </w:tc>
      </w:tr>
      <w:tr w:rsidR="00285DF8" w:rsidRPr="00285DF8" w:rsidTr="00E95A6A">
        <w:tc>
          <w:tcPr>
            <w:tcW w:w="2427" w:type="pct"/>
            <w:gridSpan w:val="2"/>
          </w:tcPr>
          <w:p w:rsidR="00285DF8" w:rsidRPr="00285DF8" w:rsidRDefault="00285DF8" w:rsidP="00285DF8">
            <w:pPr>
              <w:jc w:val="both"/>
              <w:rPr>
                <w:sz w:val="20"/>
              </w:rPr>
            </w:pPr>
            <w:r w:rsidRPr="00285DF8">
              <w:rPr>
                <w:sz w:val="20"/>
              </w:rPr>
              <w:t>August 4, 2015</w:t>
            </w:r>
          </w:p>
          <w:p w:rsidR="00285DF8" w:rsidRPr="00285DF8" w:rsidRDefault="00285DF8" w:rsidP="00285DF8">
            <w:pPr>
              <w:jc w:val="both"/>
              <w:rPr>
                <w:sz w:val="20"/>
              </w:rPr>
            </w:pPr>
            <w:r w:rsidRPr="00285DF8">
              <w:rPr>
                <w:sz w:val="20"/>
              </w:rPr>
              <w:t>Court of Queen’s Bench of Saskatchewan</w:t>
            </w:r>
          </w:p>
          <w:p w:rsidR="00285DF8" w:rsidRPr="00285DF8" w:rsidRDefault="00285DF8" w:rsidP="00285DF8">
            <w:pPr>
              <w:jc w:val="both"/>
              <w:rPr>
                <w:sz w:val="20"/>
              </w:rPr>
            </w:pPr>
            <w:r w:rsidRPr="00285DF8">
              <w:rPr>
                <w:sz w:val="20"/>
              </w:rPr>
              <w:t>(Wilkinson J.)</w:t>
            </w:r>
          </w:p>
          <w:p w:rsidR="00285DF8" w:rsidRPr="00285DF8" w:rsidRDefault="00285DF8" w:rsidP="00285DF8">
            <w:pPr>
              <w:jc w:val="both"/>
              <w:rPr>
                <w:sz w:val="20"/>
              </w:rPr>
            </w:pPr>
            <w:r w:rsidRPr="00285DF8">
              <w:rPr>
                <w:sz w:val="20"/>
              </w:rPr>
              <w:t>Unreported</w:t>
            </w:r>
          </w:p>
        </w:tc>
        <w:tc>
          <w:tcPr>
            <w:tcW w:w="243" w:type="pct"/>
          </w:tcPr>
          <w:p w:rsidR="00285DF8" w:rsidRPr="00285DF8" w:rsidRDefault="00285DF8" w:rsidP="00285DF8">
            <w:pPr>
              <w:jc w:val="both"/>
              <w:rPr>
                <w:sz w:val="20"/>
              </w:rPr>
            </w:pPr>
          </w:p>
        </w:tc>
        <w:tc>
          <w:tcPr>
            <w:tcW w:w="2330" w:type="pct"/>
          </w:tcPr>
          <w:p w:rsidR="00285DF8" w:rsidRPr="00285DF8" w:rsidRDefault="00285DF8" w:rsidP="00285DF8">
            <w:pPr>
              <w:jc w:val="both"/>
              <w:rPr>
                <w:sz w:val="20"/>
              </w:rPr>
            </w:pPr>
            <w:r w:rsidRPr="00285DF8">
              <w:rPr>
                <w:sz w:val="20"/>
              </w:rPr>
              <w:t>Orders pertaining to child support and retroactive child support payable by father of children</w:t>
            </w:r>
          </w:p>
          <w:p w:rsidR="00285DF8" w:rsidRPr="00285DF8" w:rsidRDefault="00285DF8" w:rsidP="00285DF8">
            <w:pPr>
              <w:jc w:val="both"/>
              <w:rPr>
                <w:sz w:val="20"/>
              </w:rPr>
            </w:pPr>
          </w:p>
        </w:tc>
      </w:tr>
      <w:tr w:rsidR="00285DF8" w:rsidRPr="00285DF8" w:rsidTr="00E95A6A">
        <w:tc>
          <w:tcPr>
            <w:tcW w:w="2427" w:type="pct"/>
            <w:gridSpan w:val="2"/>
          </w:tcPr>
          <w:p w:rsidR="00285DF8" w:rsidRPr="00285DF8" w:rsidRDefault="00285DF8" w:rsidP="00285DF8">
            <w:pPr>
              <w:jc w:val="both"/>
              <w:rPr>
                <w:sz w:val="20"/>
              </w:rPr>
            </w:pPr>
            <w:r w:rsidRPr="00285DF8">
              <w:rPr>
                <w:sz w:val="20"/>
              </w:rPr>
              <w:t>September 14, 2017</w:t>
            </w:r>
          </w:p>
          <w:p w:rsidR="00285DF8" w:rsidRPr="00285DF8" w:rsidRDefault="00285DF8" w:rsidP="00285DF8">
            <w:pPr>
              <w:jc w:val="both"/>
              <w:rPr>
                <w:sz w:val="20"/>
              </w:rPr>
            </w:pPr>
            <w:r w:rsidRPr="00285DF8">
              <w:rPr>
                <w:sz w:val="20"/>
              </w:rPr>
              <w:t>Court of Appeal for Saskatchewan</w:t>
            </w:r>
          </w:p>
          <w:p w:rsidR="00285DF8" w:rsidRPr="00285DF8" w:rsidRDefault="00285DF8" w:rsidP="00285DF8">
            <w:pPr>
              <w:jc w:val="both"/>
              <w:rPr>
                <w:sz w:val="20"/>
              </w:rPr>
            </w:pPr>
            <w:r w:rsidRPr="00285DF8">
              <w:rPr>
                <w:sz w:val="20"/>
              </w:rPr>
              <w:t xml:space="preserve">(Caldwell, Lane and </w:t>
            </w:r>
            <w:proofErr w:type="spellStart"/>
            <w:r w:rsidRPr="00285DF8">
              <w:rPr>
                <w:sz w:val="20"/>
              </w:rPr>
              <w:t>Ottenbreit</w:t>
            </w:r>
            <w:proofErr w:type="spellEnd"/>
            <w:r w:rsidRPr="00285DF8">
              <w:rPr>
                <w:sz w:val="20"/>
              </w:rPr>
              <w:t xml:space="preserve"> JJ.A.)</w:t>
            </w:r>
          </w:p>
          <w:p w:rsidR="00285DF8" w:rsidRPr="00285DF8" w:rsidRDefault="00F31907" w:rsidP="00285DF8">
            <w:pPr>
              <w:jc w:val="both"/>
              <w:rPr>
                <w:sz w:val="20"/>
              </w:rPr>
            </w:pPr>
            <w:hyperlink r:id="rId22" w:history="1">
              <w:r w:rsidR="00285DF8" w:rsidRPr="00285DF8">
                <w:rPr>
                  <w:rStyle w:val="Hyperlink"/>
                  <w:color w:val="000000" w:themeColor="text1"/>
                  <w:sz w:val="20"/>
                </w:rPr>
                <w:t>2017 SKCA 77</w:t>
              </w:r>
            </w:hyperlink>
          </w:p>
        </w:tc>
        <w:tc>
          <w:tcPr>
            <w:tcW w:w="243" w:type="pct"/>
          </w:tcPr>
          <w:p w:rsidR="00285DF8" w:rsidRPr="00285DF8" w:rsidRDefault="00285DF8" w:rsidP="00285DF8">
            <w:pPr>
              <w:jc w:val="both"/>
              <w:rPr>
                <w:sz w:val="20"/>
              </w:rPr>
            </w:pPr>
          </w:p>
        </w:tc>
        <w:tc>
          <w:tcPr>
            <w:tcW w:w="2330" w:type="pct"/>
          </w:tcPr>
          <w:p w:rsidR="00285DF8" w:rsidRPr="00285DF8" w:rsidRDefault="00285DF8" w:rsidP="00285DF8">
            <w:pPr>
              <w:jc w:val="both"/>
              <w:rPr>
                <w:sz w:val="20"/>
              </w:rPr>
            </w:pPr>
            <w:r w:rsidRPr="00285DF8">
              <w:rPr>
                <w:sz w:val="20"/>
              </w:rPr>
              <w:t xml:space="preserve">Father’s appeal allowed in part; Determination of child support under s. 9 of </w:t>
            </w:r>
            <w:r w:rsidRPr="00285DF8">
              <w:rPr>
                <w:i/>
                <w:sz w:val="20"/>
              </w:rPr>
              <w:t>Guidelines</w:t>
            </w:r>
            <w:r w:rsidRPr="00285DF8">
              <w:rPr>
                <w:sz w:val="20"/>
              </w:rPr>
              <w:t xml:space="preserve"> remitted to Court of Queen’s Bench for rehearing</w:t>
            </w:r>
          </w:p>
          <w:p w:rsidR="00285DF8" w:rsidRPr="00285DF8" w:rsidRDefault="00285DF8" w:rsidP="00285DF8">
            <w:pPr>
              <w:jc w:val="both"/>
              <w:rPr>
                <w:sz w:val="20"/>
              </w:rPr>
            </w:pPr>
          </w:p>
        </w:tc>
      </w:tr>
      <w:tr w:rsidR="00285DF8" w:rsidRPr="00285DF8" w:rsidTr="00E95A6A">
        <w:tc>
          <w:tcPr>
            <w:tcW w:w="2427" w:type="pct"/>
            <w:gridSpan w:val="2"/>
          </w:tcPr>
          <w:p w:rsidR="00285DF8" w:rsidRPr="00285DF8" w:rsidRDefault="00285DF8" w:rsidP="00285DF8">
            <w:pPr>
              <w:jc w:val="both"/>
              <w:rPr>
                <w:sz w:val="20"/>
              </w:rPr>
            </w:pPr>
            <w:r w:rsidRPr="00285DF8">
              <w:rPr>
                <w:sz w:val="20"/>
              </w:rPr>
              <w:t>November 10, 2017</w:t>
            </w:r>
          </w:p>
          <w:p w:rsidR="00285DF8" w:rsidRPr="00285DF8" w:rsidRDefault="00285DF8" w:rsidP="00285DF8">
            <w:pPr>
              <w:jc w:val="both"/>
              <w:rPr>
                <w:sz w:val="20"/>
              </w:rPr>
            </w:pPr>
            <w:r w:rsidRPr="00285DF8">
              <w:rPr>
                <w:sz w:val="20"/>
              </w:rPr>
              <w:t>Supreme Court of Canada</w:t>
            </w:r>
          </w:p>
          <w:p w:rsidR="00285DF8" w:rsidRPr="00285DF8" w:rsidRDefault="00285DF8" w:rsidP="00285DF8">
            <w:pPr>
              <w:jc w:val="both"/>
              <w:rPr>
                <w:sz w:val="20"/>
              </w:rPr>
            </w:pPr>
          </w:p>
        </w:tc>
        <w:tc>
          <w:tcPr>
            <w:tcW w:w="243" w:type="pct"/>
          </w:tcPr>
          <w:p w:rsidR="00285DF8" w:rsidRPr="00285DF8" w:rsidRDefault="00285DF8" w:rsidP="00285DF8">
            <w:pPr>
              <w:jc w:val="both"/>
              <w:rPr>
                <w:sz w:val="20"/>
              </w:rPr>
            </w:pPr>
          </w:p>
        </w:tc>
        <w:tc>
          <w:tcPr>
            <w:tcW w:w="2330" w:type="pct"/>
          </w:tcPr>
          <w:p w:rsidR="00285DF8" w:rsidRPr="00285DF8" w:rsidRDefault="00285DF8" w:rsidP="00285DF8">
            <w:pPr>
              <w:jc w:val="both"/>
              <w:rPr>
                <w:sz w:val="20"/>
              </w:rPr>
            </w:pPr>
            <w:r w:rsidRPr="00285DF8">
              <w:rPr>
                <w:sz w:val="20"/>
              </w:rPr>
              <w:t>Application for leave to appeal filed</w:t>
            </w:r>
          </w:p>
          <w:p w:rsidR="00285DF8" w:rsidRPr="00285DF8" w:rsidRDefault="00285DF8" w:rsidP="00285DF8">
            <w:pPr>
              <w:jc w:val="both"/>
              <w:rPr>
                <w:sz w:val="20"/>
              </w:rPr>
            </w:pPr>
          </w:p>
        </w:tc>
      </w:tr>
      <w:tr w:rsidR="00285DF8" w:rsidRPr="00285DF8" w:rsidTr="00E95A6A">
        <w:tc>
          <w:tcPr>
            <w:tcW w:w="2427" w:type="pct"/>
            <w:gridSpan w:val="2"/>
          </w:tcPr>
          <w:p w:rsidR="00285DF8" w:rsidRPr="00285DF8" w:rsidRDefault="00285DF8" w:rsidP="00285DF8">
            <w:pPr>
              <w:jc w:val="both"/>
              <w:rPr>
                <w:sz w:val="20"/>
              </w:rPr>
            </w:pPr>
            <w:r w:rsidRPr="00285DF8">
              <w:rPr>
                <w:sz w:val="20"/>
              </w:rPr>
              <w:t>January 4, 2018</w:t>
            </w:r>
          </w:p>
          <w:p w:rsidR="00285DF8" w:rsidRPr="00285DF8" w:rsidRDefault="00285DF8" w:rsidP="00285DF8">
            <w:pPr>
              <w:jc w:val="both"/>
              <w:rPr>
                <w:sz w:val="20"/>
              </w:rPr>
            </w:pPr>
            <w:r w:rsidRPr="00285DF8">
              <w:rPr>
                <w:sz w:val="20"/>
              </w:rPr>
              <w:t>Supreme Court of Canada</w:t>
            </w:r>
          </w:p>
        </w:tc>
        <w:tc>
          <w:tcPr>
            <w:tcW w:w="243" w:type="pct"/>
          </w:tcPr>
          <w:p w:rsidR="00285DF8" w:rsidRPr="00285DF8" w:rsidRDefault="00285DF8" w:rsidP="00285DF8">
            <w:pPr>
              <w:jc w:val="both"/>
              <w:rPr>
                <w:sz w:val="20"/>
              </w:rPr>
            </w:pPr>
          </w:p>
        </w:tc>
        <w:tc>
          <w:tcPr>
            <w:tcW w:w="2330" w:type="pct"/>
          </w:tcPr>
          <w:p w:rsidR="00285DF8" w:rsidRPr="00285DF8" w:rsidRDefault="00285DF8" w:rsidP="00285DF8">
            <w:pPr>
              <w:jc w:val="both"/>
              <w:rPr>
                <w:sz w:val="20"/>
              </w:rPr>
            </w:pPr>
            <w:r w:rsidRPr="00285DF8">
              <w:rPr>
                <w:sz w:val="20"/>
              </w:rPr>
              <w:t>Motion for extension of time in which to serve and file application for leave to cross appeal and application for leave to cross-appeal filed</w:t>
            </w:r>
          </w:p>
        </w:tc>
      </w:tr>
    </w:tbl>
    <w:p w:rsidR="00285DF8" w:rsidRDefault="00285DF8" w:rsidP="00285DF8">
      <w:pPr>
        <w:jc w:val="both"/>
        <w:rPr>
          <w:sz w:val="20"/>
        </w:rPr>
      </w:pPr>
    </w:p>
    <w:p w:rsidR="00285DF8" w:rsidRPr="00285DF8" w:rsidRDefault="00285DF8" w:rsidP="00285D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DF8" w:rsidRPr="00285DF8" w:rsidTr="00E95A6A">
        <w:tc>
          <w:tcPr>
            <w:tcW w:w="543" w:type="pct"/>
          </w:tcPr>
          <w:p w:rsidR="00285DF8" w:rsidRPr="00285DF8" w:rsidRDefault="00285DF8" w:rsidP="00285DF8">
            <w:pPr>
              <w:jc w:val="both"/>
              <w:rPr>
                <w:sz w:val="20"/>
                <w:lang w:val="fr-CA"/>
              </w:rPr>
            </w:pPr>
            <w:r w:rsidRPr="00285DF8">
              <w:rPr>
                <w:rStyle w:val="SCCFileNumberChar"/>
                <w:sz w:val="20"/>
                <w:szCs w:val="20"/>
                <w:lang w:val="fr-CA"/>
              </w:rPr>
              <w:t>37836</w:t>
            </w:r>
          </w:p>
        </w:tc>
        <w:tc>
          <w:tcPr>
            <w:tcW w:w="4457" w:type="pct"/>
            <w:gridSpan w:val="3"/>
          </w:tcPr>
          <w:p w:rsidR="00285DF8" w:rsidRPr="00285DF8" w:rsidRDefault="00285DF8" w:rsidP="00285DF8">
            <w:pPr>
              <w:pStyle w:val="SCCLsocParty"/>
              <w:jc w:val="both"/>
              <w:rPr>
                <w:b/>
                <w:sz w:val="20"/>
                <w:szCs w:val="20"/>
                <w:lang w:val="en-US"/>
              </w:rPr>
            </w:pPr>
            <w:r w:rsidRPr="00285DF8">
              <w:rPr>
                <w:b/>
                <w:sz w:val="20"/>
                <w:szCs w:val="20"/>
                <w:lang w:val="en-US"/>
              </w:rPr>
              <w:t>Holli Anne Kuski c. Travis John Wetsch</w:t>
            </w:r>
          </w:p>
          <w:p w:rsidR="00285DF8" w:rsidRPr="00285DF8" w:rsidRDefault="00285DF8" w:rsidP="00285DF8">
            <w:pPr>
              <w:jc w:val="both"/>
              <w:rPr>
                <w:sz w:val="20"/>
                <w:lang w:val="fr-CA"/>
              </w:rPr>
            </w:pPr>
            <w:r w:rsidRPr="00285DF8">
              <w:rPr>
                <w:sz w:val="20"/>
                <w:lang w:val="fr-CA"/>
              </w:rPr>
              <w:t>(</w:t>
            </w:r>
            <w:proofErr w:type="spellStart"/>
            <w:r w:rsidRPr="00285DF8">
              <w:rPr>
                <w:sz w:val="20"/>
                <w:lang w:val="fr-CA"/>
              </w:rPr>
              <w:t>Sask</w:t>
            </w:r>
            <w:proofErr w:type="spellEnd"/>
            <w:r w:rsidRPr="00285DF8">
              <w:rPr>
                <w:sz w:val="20"/>
                <w:lang w:val="fr-CA"/>
              </w:rPr>
              <w:t>.) (Civile) (Autorisation)</w:t>
            </w:r>
          </w:p>
        </w:tc>
      </w:tr>
      <w:tr w:rsidR="00285DF8" w:rsidRPr="00F31907" w:rsidTr="00E95A6A">
        <w:tc>
          <w:tcPr>
            <w:tcW w:w="5000" w:type="pct"/>
            <w:gridSpan w:val="4"/>
          </w:tcPr>
          <w:p w:rsidR="00285DF8" w:rsidRPr="00285DF8" w:rsidRDefault="00285DF8" w:rsidP="00285DF8">
            <w:pPr>
              <w:jc w:val="both"/>
              <w:rPr>
                <w:sz w:val="20"/>
                <w:lang w:val="fr-CA"/>
              </w:rPr>
            </w:pPr>
            <w:r w:rsidRPr="00285DF8">
              <w:rPr>
                <w:sz w:val="20"/>
                <w:lang w:val="fr-CA"/>
              </w:rPr>
              <w:t xml:space="preserve">Droit de la famille – Aliments – Pension alimentaire pour enfants – Garde partagée – Enfant adulte – Les parents ne s’entendent pas sur la pension alimentaire qu’il convient de verser aux enfants du mariage, notamment en ce qui concerne la pension alimentaire avec effet rétroactif – Quels sont les présomptions et facteurs à examiner dans la détermination du montant de la pension alimentaire pour enfants en application du par. 3(2) des </w:t>
            </w:r>
            <w:r w:rsidRPr="00285DF8">
              <w:rPr>
                <w:i/>
                <w:sz w:val="20"/>
                <w:lang w:val="fr-CA"/>
              </w:rPr>
              <w:t>Lignes directrices fédérales sur les pensions alimentaires pour enfants</w:t>
            </w:r>
            <w:r w:rsidRPr="00285DF8">
              <w:rPr>
                <w:sz w:val="20"/>
                <w:lang w:val="fr-CA"/>
              </w:rPr>
              <w:t xml:space="preserve">, DORS/97-175? – Vu l’arrêt </w:t>
            </w:r>
            <w:proofErr w:type="spellStart"/>
            <w:r w:rsidRPr="00285DF8">
              <w:rPr>
                <w:i/>
                <w:sz w:val="20"/>
                <w:lang w:val="fr-CA"/>
              </w:rPr>
              <w:t>Hryniak</w:t>
            </w:r>
            <w:proofErr w:type="spellEnd"/>
            <w:r w:rsidRPr="00285DF8">
              <w:rPr>
                <w:i/>
                <w:sz w:val="20"/>
                <w:lang w:val="fr-CA"/>
              </w:rPr>
              <w:t xml:space="preserve"> c. </w:t>
            </w:r>
            <w:proofErr w:type="spellStart"/>
            <w:r w:rsidRPr="00285DF8">
              <w:rPr>
                <w:i/>
                <w:sz w:val="20"/>
                <w:lang w:val="fr-CA"/>
              </w:rPr>
              <w:t>Mauldin</w:t>
            </w:r>
            <w:proofErr w:type="spellEnd"/>
            <w:r w:rsidRPr="00285DF8">
              <w:rPr>
                <w:sz w:val="20"/>
                <w:lang w:val="fr-CA"/>
              </w:rPr>
              <w:t xml:space="preserve">, 2014 CSC 7, quelle est l’approche proportionnée aux déterminations du montant de la pension alimentaire payable en application de l’art. 9 des </w:t>
            </w:r>
            <w:r w:rsidRPr="00285DF8">
              <w:rPr>
                <w:i/>
                <w:sz w:val="20"/>
                <w:lang w:val="fr-CA"/>
              </w:rPr>
              <w:t>Lignes directrices</w:t>
            </w:r>
            <w:r w:rsidRPr="00285DF8">
              <w:rPr>
                <w:sz w:val="20"/>
                <w:lang w:val="fr-CA"/>
              </w:rPr>
              <w:t xml:space="preserve">? – Quelle est la portée du droit de la juge siégeant en cabinet de tirer des conclusions défavorables en application de l’al. 19(1)f) des </w:t>
            </w:r>
            <w:r w:rsidRPr="00285DF8">
              <w:rPr>
                <w:i/>
                <w:sz w:val="20"/>
                <w:lang w:val="fr-CA"/>
              </w:rPr>
              <w:t>Lignes directrices</w:t>
            </w:r>
            <w:r w:rsidRPr="00285DF8">
              <w:rPr>
                <w:sz w:val="20"/>
                <w:lang w:val="fr-CA"/>
              </w:rPr>
              <w:t xml:space="preserve"> en ce qui concerne le revenu du débiteur? – Quels facteurs le tribunal doit-il examiner lorsqu’il est appelé à trancher la question de savoir si la vente d’actions est une source de revenu non récurrente au sens des </w:t>
            </w:r>
            <w:r w:rsidRPr="00285DF8">
              <w:rPr>
                <w:i/>
                <w:sz w:val="20"/>
                <w:lang w:val="fr-CA"/>
              </w:rPr>
              <w:t>Lignes directrices</w:t>
            </w:r>
            <w:r w:rsidRPr="00285DF8">
              <w:rPr>
                <w:sz w:val="20"/>
                <w:lang w:val="fr-CA"/>
              </w:rPr>
              <w:t>?</w:t>
            </w:r>
          </w:p>
        </w:tc>
      </w:tr>
      <w:tr w:rsidR="00285DF8" w:rsidRPr="00F31907" w:rsidTr="00E95A6A">
        <w:tc>
          <w:tcPr>
            <w:tcW w:w="5000" w:type="pct"/>
            <w:gridSpan w:val="4"/>
          </w:tcPr>
          <w:p w:rsidR="00285DF8" w:rsidRPr="00285DF8" w:rsidRDefault="00285DF8" w:rsidP="00285DF8">
            <w:pPr>
              <w:jc w:val="both"/>
              <w:rPr>
                <w:sz w:val="20"/>
                <w:lang w:val="fr-CA"/>
              </w:rPr>
            </w:pPr>
          </w:p>
        </w:tc>
      </w:tr>
      <w:tr w:rsidR="00285DF8" w:rsidRPr="00F31907" w:rsidTr="00E95A6A">
        <w:tc>
          <w:tcPr>
            <w:tcW w:w="5000" w:type="pct"/>
            <w:gridSpan w:val="4"/>
          </w:tcPr>
          <w:p w:rsidR="00285DF8" w:rsidRPr="00285DF8" w:rsidRDefault="00285DF8" w:rsidP="00285DF8">
            <w:pPr>
              <w:jc w:val="both"/>
              <w:rPr>
                <w:sz w:val="20"/>
                <w:lang w:val="fr-CA"/>
              </w:rPr>
            </w:pPr>
            <w:r w:rsidRPr="00285DF8">
              <w:rPr>
                <w:sz w:val="20"/>
                <w:lang w:val="fr-CA"/>
              </w:rPr>
              <w:t>Le père et la mère se sont mariés en août 1995 et se sont séparés en mars 2004. Le père est vice-président d’une société de placement privée. La mère est devenue avocate après que les parties se sont séparées. Ils ont trois enfants qui sont présentement âgés de 25, 20 et 18 ans. Leur enfant aînée a été adoptée par le père et souffre de handicaps permanents à la suite d’une maladie infantile. Après la séparation, les enfants ont résidé principalement chez leur mère. En août 2005, les parties sont parvenues à une entente relative à leurs différends d’ordre familial et se sont divorcées. Après que la mère a obtenu son diplôme en droit en 2008, le père a demandé la garde partagée des deux enfants les plus jeunes, ce à quoi la mère s’est opposée. En janvier 2009, le père a unilatéralement réduit le montant de la pension alimentaire pour enfants qu’il versait. Un procès sur les questions de garde et de pension alimentaire pour enfants a commencé en septembre 2009. La juge de première instance a statué que la mère devait pourvoir aux soins primaires des enfants et a fixé le montant de la pension alimentaire pour enfants. Après que l’enfant aînée a atteint l’âge de dix-huit ans en 2010, le père a cessé de verser une pension alimentaire pour elle. L’aînée a vécu avec sa mère jusqu’en 2014. Les parties ne s’entendaient pas sur la question de savoir si l’aînée avait droit à une pension alimentaire pour enfants entre 2010 et 2014. En avril 2012, les parties sont parvenues à un accord sur la garde partagée des deux enfants les plus jeunes. Toutefois, des questions touchant la pension alimentaire pour enfants et des questions connexes entre les parties n’étaient toujours pas réglées et il y a eu audience spéciale devant une juge siégeant en cabinet.</w:t>
            </w:r>
          </w:p>
          <w:p w:rsidR="00285DF8" w:rsidRPr="00285DF8" w:rsidRDefault="00285DF8" w:rsidP="00285DF8">
            <w:pPr>
              <w:jc w:val="both"/>
              <w:rPr>
                <w:sz w:val="20"/>
                <w:lang w:val="fr-CA"/>
              </w:rPr>
            </w:pPr>
          </w:p>
        </w:tc>
      </w:tr>
      <w:tr w:rsidR="00285DF8" w:rsidRPr="00F31907" w:rsidTr="00E95A6A">
        <w:tc>
          <w:tcPr>
            <w:tcW w:w="2427" w:type="pct"/>
            <w:gridSpan w:val="2"/>
          </w:tcPr>
          <w:p w:rsidR="00285DF8" w:rsidRPr="00285DF8" w:rsidRDefault="00285DF8" w:rsidP="00285DF8">
            <w:pPr>
              <w:jc w:val="both"/>
              <w:rPr>
                <w:sz w:val="20"/>
                <w:lang w:val="fr-CA"/>
              </w:rPr>
            </w:pPr>
            <w:r w:rsidRPr="00285DF8">
              <w:rPr>
                <w:sz w:val="20"/>
                <w:lang w:val="fr-CA"/>
              </w:rPr>
              <w:t>4 août 2015</w:t>
            </w:r>
          </w:p>
          <w:p w:rsidR="00285DF8" w:rsidRPr="00285DF8" w:rsidRDefault="00285DF8" w:rsidP="00285DF8">
            <w:pPr>
              <w:jc w:val="both"/>
              <w:rPr>
                <w:sz w:val="20"/>
                <w:lang w:val="fr-CA"/>
              </w:rPr>
            </w:pPr>
            <w:r w:rsidRPr="00285DF8">
              <w:rPr>
                <w:sz w:val="20"/>
                <w:lang w:val="fr-CA"/>
              </w:rPr>
              <w:t>Cour du Banc de la Reine de la Saskatchewan</w:t>
            </w:r>
          </w:p>
          <w:p w:rsidR="00285DF8" w:rsidRPr="00285DF8" w:rsidRDefault="00285DF8" w:rsidP="00285DF8">
            <w:pPr>
              <w:jc w:val="both"/>
              <w:rPr>
                <w:sz w:val="20"/>
                <w:lang w:val="fr-CA"/>
              </w:rPr>
            </w:pPr>
            <w:r w:rsidRPr="00285DF8">
              <w:rPr>
                <w:sz w:val="20"/>
                <w:lang w:val="fr-CA"/>
              </w:rPr>
              <w:t>(Juge Wilkinson)</w:t>
            </w:r>
          </w:p>
          <w:p w:rsidR="00285DF8" w:rsidRPr="00285DF8" w:rsidRDefault="00285DF8" w:rsidP="00285DF8">
            <w:pPr>
              <w:jc w:val="both"/>
              <w:rPr>
                <w:sz w:val="20"/>
                <w:lang w:val="fr-CA"/>
              </w:rPr>
            </w:pPr>
            <w:r w:rsidRPr="00285DF8">
              <w:rPr>
                <w:sz w:val="20"/>
                <w:lang w:val="fr-CA"/>
              </w:rPr>
              <w:t>Non publié</w:t>
            </w:r>
          </w:p>
        </w:tc>
        <w:tc>
          <w:tcPr>
            <w:tcW w:w="243" w:type="pct"/>
          </w:tcPr>
          <w:p w:rsidR="00285DF8" w:rsidRPr="00285DF8" w:rsidRDefault="00285DF8" w:rsidP="00285DF8">
            <w:pPr>
              <w:jc w:val="both"/>
              <w:rPr>
                <w:sz w:val="20"/>
                <w:lang w:val="fr-CA"/>
              </w:rPr>
            </w:pPr>
          </w:p>
        </w:tc>
        <w:tc>
          <w:tcPr>
            <w:tcW w:w="2330" w:type="pct"/>
          </w:tcPr>
          <w:p w:rsidR="00285DF8" w:rsidRPr="00285DF8" w:rsidRDefault="00285DF8" w:rsidP="00285DF8">
            <w:pPr>
              <w:jc w:val="both"/>
              <w:rPr>
                <w:sz w:val="20"/>
                <w:lang w:val="fr-CA"/>
              </w:rPr>
            </w:pPr>
            <w:r w:rsidRPr="00285DF8">
              <w:rPr>
                <w:sz w:val="20"/>
                <w:lang w:val="fr-CA"/>
              </w:rPr>
              <w:t>Ordonnances relatives à la pension alimentaire pour enfants, notamment la pension alimentaire pour enfants avec effet rétroactif, payable par le père des enfants</w:t>
            </w:r>
          </w:p>
          <w:p w:rsidR="00285DF8" w:rsidRPr="00285DF8" w:rsidRDefault="00285DF8" w:rsidP="00285DF8">
            <w:pPr>
              <w:jc w:val="both"/>
              <w:rPr>
                <w:sz w:val="20"/>
                <w:lang w:val="fr-CA"/>
              </w:rPr>
            </w:pPr>
          </w:p>
        </w:tc>
      </w:tr>
      <w:tr w:rsidR="00285DF8" w:rsidRPr="00F31907" w:rsidTr="00E95A6A">
        <w:tc>
          <w:tcPr>
            <w:tcW w:w="2427" w:type="pct"/>
            <w:gridSpan w:val="2"/>
          </w:tcPr>
          <w:p w:rsidR="00285DF8" w:rsidRPr="00285DF8" w:rsidRDefault="00285DF8" w:rsidP="00285DF8">
            <w:pPr>
              <w:jc w:val="both"/>
              <w:rPr>
                <w:sz w:val="20"/>
                <w:lang w:val="fr-CA"/>
              </w:rPr>
            </w:pPr>
            <w:r w:rsidRPr="00285DF8">
              <w:rPr>
                <w:sz w:val="20"/>
                <w:lang w:val="fr-CA"/>
              </w:rPr>
              <w:t>14 septembre 2017</w:t>
            </w:r>
          </w:p>
          <w:p w:rsidR="00285DF8" w:rsidRPr="00285DF8" w:rsidRDefault="00285DF8" w:rsidP="00285DF8">
            <w:pPr>
              <w:jc w:val="both"/>
              <w:rPr>
                <w:sz w:val="20"/>
                <w:lang w:val="fr-CA"/>
              </w:rPr>
            </w:pPr>
            <w:r w:rsidRPr="00285DF8">
              <w:rPr>
                <w:sz w:val="20"/>
                <w:lang w:val="fr-CA"/>
              </w:rPr>
              <w:t>Cour d’appel de la Saskatchewan</w:t>
            </w:r>
          </w:p>
          <w:p w:rsidR="00285DF8" w:rsidRPr="00285DF8" w:rsidRDefault="00285DF8" w:rsidP="00285DF8">
            <w:pPr>
              <w:jc w:val="both"/>
              <w:rPr>
                <w:sz w:val="20"/>
                <w:lang w:val="fr-CA"/>
              </w:rPr>
            </w:pPr>
            <w:r w:rsidRPr="00285DF8">
              <w:rPr>
                <w:sz w:val="20"/>
                <w:lang w:val="fr-CA"/>
              </w:rPr>
              <w:t xml:space="preserve">(Juges Caldwell, Lane et </w:t>
            </w:r>
            <w:proofErr w:type="spellStart"/>
            <w:r w:rsidRPr="00285DF8">
              <w:rPr>
                <w:sz w:val="20"/>
                <w:lang w:val="fr-CA"/>
              </w:rPr>
              <w:t>Ottenbreit</w:t>
            </w:r>
            <w:proofErr w:type="spellEnd"/>
            <w:r w:rsidRPr="00285DF8">
              <w:rPr>
                <w:sz w:val="20"/>
                <w:lang w:val="fr-CA"/>
              </w:rPr>
              <w:t>)</w:t>
            </w:r>
          </w:p>
          <w:p w:rsidR="00285DF8" w:rsidRPr="00285DF8" w:rsidRDefault="00F31907" w:rsidP="00285DF8">
            <w:pPr>
              <w:jc w:val="both"/>
              <w:rPr>
                <w:sz w:val="20"/>
                <w:lang w:val="fr-CA"/>
              </w:rPr>
            </w:pPr>
            <w:hyperlink r:id="rId23" w:history="1">
              <w:r w:rsidR="00285DF8" w:rsidRPr="00285DF8">
                <w:rPr>
                  <w:rStyle w:val="Hyperlink"/>
                  <w:color w:val="000000" w:themeColor="text1"/>
                  <w:sz w:val="20"/>
                  <w:lang w:val="fr-CA"/>
                </w:rPr>
                <w:t>2017 SKCA 77</w:t>
              </w:r>
            </w:hyperlink>
          </w:p>
        </w:tc>
        <w:tc>
          <w:tcPr>
            <w:tcW w:w="243" w:type="pct"/>
          </w:tcPr>
          <w:p w:rsidR="00285DF8" w:rsidRPr="00285DF8" w:rsidRDefault="00285DF8" w:rsidP="00285DF8">
            <w:pPr>
              <w:jc w:val="both"/>
              <w:rPr>
                <w:sz w:val="20"/>
                <w:lang w:val="fr-CA"/>
              </w:rPr>
            </w:pPr>
          </w:p>
        </w:tc>
        <w:tc>
          <w:tcPr>
            <w:tcW w:w="2330" w:type="pct"/>
          </w:tcPr>
          <w:p w:rsidR="00285DF8" w:rsidRPr="00285DF8" w:rsidRDefault="00285DF8" w:rsidP="00285DF8">
            <w:pPr>
              <w:jc w:val="both"/>
              <w:rPr>
                <w:sz w:val="20"/>
                <w:lang w:val="fr-CA"/>
              </w:rPr>
            </w:pPr>
            <w:r w:rsidRPr="00285DF8">
              <w:rPr>
                <w:sz w:val="20"/>
                <w:lang w:val="fr-CA"/>
              </w:rPr>
              <w:t xml:space="preserve">Arrêt accueillant en partie l’appel du père et renvoyant la détermination du montant de la pension alimentaire pour enfants payable en application de l’art. 9 des </w:t>
            </w:r>
            <w:r w:rsidRPr="00285DF8">
              <w:rPr>
                <w:i/>
                <w:sz w:val="20"/>
                <w:lang w:val="fr-CA"/>
              </w:rPr>
              <w:t>Lignes directrices</w:t>
            </w:r>
            <w:r w:rsidRPr="00285DF8">
              <w:rPr>
                <w:sz w:val="20"/>
                <w:lang w:val="fr-CA"/>
              </w:rPr>
              <w:t xml:space="preserve"> à la Cour du Banc de la Reine pour nouvelle audience</w:t>
            </w:r>
          </w:p>
          <w:p w:rsidR="00285DF8" w:rsidRPr="00285DF8" w:rsidRDefault="00285DF8" w:rsidP="00285DF8">
            <w:pPr>
              <w:jc w:val="both"/>
              <w:rPr>
                <w:sz w:val="20"/>
                <w:lang w:val="fr-CA"/>
              </w:rPr>
            </w:pPr>
          </w:p>
        </w:tc>
      </w:tr>
      <w:tr w:rsidR="00285DF8" w:rsidRPr="00F31907" w:rsidTr="00E95A6A">
        <w:tc>
          <w:tcPr>
            <w:tcW w:w="2427" w:type="pct"/>
            <w:gridSpan w:val="2"/>
          </w:tcPr>
          <w:p w:rsidR="00285DF8" w:rsidRPr="00285DF8" w:rsidRDefault="00285DF8" w:rsidP="00285DF8">
            <w:pPr>
              <w:jc w:val="both"/>
              <w:rPr>
                <w:sz w:val="20"/>
                <w:lang w:val="fr-CA"/>
              </w:rPr>
            </w:pPr>
            <w:r w:rsidRPr="00285DF8">
              <w:rPr>
                <w:sz w:val="20"/>
                <w:lang w:val="fr-CA"/>
              </w:rPr>
              <w:t>10 novembre 2017</w:t>
            </w:r>
          </w:p>
          <w:p w:rsidR="00285DF8" w:rsidRPr="00285DF8" w:rsidRDefault="00285DF8" w:rsidP="00285DF8">
            <w:pPr>
              <w:jc w:val="both"/>
              <w:rPr>
                <w:sz w:val="20"/>
                <w:lang w:val="fr-CA"/>
              </w:rPr>
            </w:pPr>
            <w:r w:rsidRPr="00285DF8">
              <w:rPr>
                <w:sz w:val="20"/>
                <w:lang w:val="fr-CA"/>
              </w:rPr>
              <w:t>Cour suprême du Canada</w:t>
            </w:r>
          </w:p>
          <w:p w:rsidR="00285DF8" w:rsidRPr="00285DF8" w:rsidRDefault="00285DF8" w:rsidP="00285DF8">
            <w:pPr>
              <w:jc w:val="both"/>
              <w:rPr>
                <w:sz w:val="20"/>
                <w:lang w:val="fr-CA"/>
              </w:rPr>
            </w:pPr>
          </w:p>
        </w:tc>
        <w:tc>
          <w:tcPr>
            <w:tcW w:w="243" w:type="pct"/>
          </w:tcPr>
          <w:p w:rsidR="00285DF8" w:rsidRPr="00285DF8" w:rsidRDefault="00285DF8" w:rsidP="00285DF8">
            <w:pPr>
              <w:jc w:val="both"/>
              <w:rPr>
                <w:sz w:val="20"/>
                <w:lang w:val="fr-CA"/>
              </w:rPr>
            </w:pPr>
          </w:p>
        </w:tc>
        <w:tc>
          <w:tcPr>
            <w:tcW w:w="2330" w:type="pct"/>
          </w:tcPr>
          <w:p w:rsidR="00285DF8" w:rsidRPr="00285DF8" w:rsidRDefault="00285DF8" w:rsidP="00285DF8">
            <w:pPr>
              <w:jc w:val="both"/>
              <w:rPr>
                <w:sz w:val="20"/>
                <w:lang w:val="fr-CA"/>
              </w:rPr>
            </w:pPr>
            <w:r w:rsidRPr="00285DF8">
              <w:rPr>
                <w:sz w:val="20"/>
                <w:lang w:val="fr-CA"/>
              </w:rPr>
              <w:t>Dépôt de la demande d’autorisation d’appel</w:t>
            </w:r>
          </w:p>
          <w:p w:rsidR="00285DF8" w:rsidRPr="00285DF8" w:rsidRDefault="00285DF8" w:rsidP="00285DF8">
            <w:pPr>
              <w:jc w:val="both"/>
              <w:rPr>
                <w:sz w:val="20"/>
                <w:lang w:val="fr-CA"/>
              </w:rPr>
            </w:pPr>
          </w:p>
        </w:tc>
      </w:tr>
      <w:tr w:rsidR="00285DF8" w:rsidRPr="00F31907" w:rsidTr="00E95A6A">
        <w:tc>
          <w:tcPr>
            <w:tcW w:w="2427" w:type="pct"/>
            <w:gridSpan w:val="2"/>
          </w:tcPr>
          <w:p w:rsidR="00285DF8" w:rsidRPr="00285DF8" w:rsidRDefault="00285DF8" w:rsidP="00285DF8">
            <w:pPr>
              <w:jc w:val="both"/>
              <w:rPr>
                <w:sz w:val="20"/>
                <w:lang w:val="fr-CA"/>
              </w:rPr>
            </w:pPr>
            <w:r w:rsidRPr="00285DF8">
              <w:rPr>
                <w:sz w:val="20"/>
                <w:lang w:val="fr-CA"/>
              </w:rPr>
              <w:t>4 janvier 2018</w:t>
            </w:r>
          </w:p>
          <w:p w:rsidR="00285DF8" w:rsidRPr="00285DF8" w:rsidRDefault="00285DF8" w:rsidP="00285DF8">
            <w:pPr>
              <w:jc w:val="both"/>
              <w:rPr>
                <w:sz w:val="20"/>
                <w:lang w:val="fr-CA"/>
              </w:rPr>
            </w:pPr>
            <w:r w:rsidRPr="00285DF8">
              <w:rPr>
                <w:sz w:val="20"/>
                <w:lang w:val="fr-CA"/>
              </w:rPr>
              <w:t>Cour suprême du Canada</w:t>
            </w:r>
          </w:p>
        </w:tc>
        <w:tc>
          <w:tcPr>
            <w:tcW w:w="243" w:type="pct"/>
          </w:tcPr>
          <w:p w:rsidR="00285DF8" w:rsidRPr="00285DF8" w:rsidRDefault="00285DF8" w:rsidP="00285DF8">
            <w:pPr>
              <w:jc w:val="both"/>
              <w:rPr>
                <w:sz w:val="20"/>
                <w:lang w:val="fr-CA"/>
              </w:rPr>
            </w:pPr>
          </w:p>
        </w:tc>
        <w:tc>
          <w:tcPr>
            <w:tcW w:w="2330" w:type="pct"/>
          </w:tcPr>
          <w:p w:rsidR="00285DF8" w:rsidRPr="00285DF8" w:rsidRDefault="00285DF8" w:rsidP="00285DF8">
            <w:pPr>
              <w:jc w:val="both"/>
              <w:rPr>
                <w:sz w:val="20"/>
                <w:lang w:val="fr-CA"/>
              </w:rPr>
            </w:pPr>
            <w:r w:rsidRPr="00285DF8">
              <w:rPr>
                <w:sz w:val="20"/>
                <w:lang w:val="fr-CA"/>
              </w:rPr>
              <w:t>Dépôt de la requête en prorogation du délai de signification et de dépôt de la demande d’autorisation d’appel incident et de la demande d’autorisation d’appel incident</w:t>
            </w:r>
          </w:p>
        </w:tc>
      </w:tr>
    </w:tbl>
    <w:p w:rsidR="00285DF8" w:rsidRPr="00285DF8" w:rsidRDefault="00285DF8" w:rsidP="00285DF8">
      <w:pPr>
        <w:jc w:val="both"/>
        <w:rPr>
          <w:sz w:val="20"/>
          <w:lang w:val="fr-CA"/>
        </w:rPr>
      </w:pPr>
    </w:p>
    <w:p w:rsidR="00285DF8" w:rsidRPr="00285DF8" w:rsidRDefault="00285DF8" w:rsidP="00285DF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DF8" w:rsidRPr="00285DF8" w:rsidTr="00B51597">
        <w:tc>
          <w:tcPr>
            <w:tcW w:w="543" w:type="pct"/>
          </w:tcPr>
          <w:p w:rsidR="00285DF8" w:rsidRPr="00285DF8" w:rsidRDefault="00285DF8" w:rsidP="00285DF8">
            <w:pPr>
              <w:jc w:val="both"/>
              <w:rPr>
                <w:sz w:val="20"/>
              </w:rPr>
            </w:pPr>
            <w:r w:rsidRPr="00285DF8">
              <w:rPr>
                <w:rStyle w:val="SCCFileNumberChar"/>
                <w:sz w:val="20"/>
                <w:szCs w:val="20"/>
              </w:rPr>
              <w:t>37854</w:t>
            </w:r>
          </w:p>
        </w:tc>
        <w:tc>
          <w:tcPr>
            <w:tcW w:w="4457" w:type="pct"/>
            <w:gridSpan w:val="3"/>
          </w:tcPr>
          <w:p w:rsidR="00285DF8" w:rsidRPr="00285DF8" w:rsidRDefault="00285DF8" w:rsidP="00285DF8">
            <w:pPr>
              <w:jc w:val="both"/>
              <w:rPr>
                <w:b/>
                <w:sz w:val="20"/>
              </w:rPr>
            </w:pPr>
            <w:r w:rsidRPr="00285DF8">
              <w:rPr>
                <w:b/>
                <w:sz w:val="20"/>
              </w:rPr>
              <w:t>Unifor Local 707A v. Suncor Energy Inc.</w:t>
            </w:r>
          </w:p>
          <w:p w:rsidR="00285DF8" w:rsidRPr="00285DF8" w:rsidRDefault="00285DF8" w:rsidP="00285DF8">
            <w:pPr>
              <w:jc w:val="both"/>
              <w:rPr>
                <w:b/>
                <w:sz w:val="20"/>
              </w:rPr>
            </w:pPr>
            <w:r w:rsidRPr="00285DF8">
              <w:rPr>
                <w:sz w:val="20"/>
              </w:rPr>
              <w:t>(Alta.) (Civil) (By Leave)</w:t>
            </w:r>
          </w:p>
        </w:tc>
      </w:tr>
      <w:tr w:rsidR="00285DF8" w:rsidRPr="00285DF8" w:rsidTr="00B51597">
        <w:tc>
          <w:tcPr>
            <w:tcW w:w="5000" w:type="pct"/>
            <w:gridSpan w:val="4"/>
          </w:tcPr>
          <w:p w:rsidR="00285DF8" w:rsidRPr="00285DF8" w:rsidRDefault="00285DF8" w:rsidP="00285DF8">
            <w:pPr>
              <w:jc w:val="both"/>
              <w:rPr>
                <w:sz w:val="20"/>
              </w:rPr>
            </w:pPr>
            <w:proofErr w:type="spellStart"/>
            <w:r w:rsidRPr="00285DF8">
              <w:rPr>
                <w:sz w:val="20"/>
              </w:rPr>
              <w:t>Labour</w:t>
            </w:r>
            <w:proofErr w:type="spellEnd"/>
            <w:r w:rsidRPr="00285DF8">
              <w:rPr>
                <w:sz w:val="20"/>
              </w:rPr>
              <w:t xml:space="preserve"> relations – Arbitration – Policy grievance – Random alcohol and drug testing policy – Dangerous workplace – Judicial review – Employer announced it would implement random drug and alcohol testing for employees working in oil sands operations – Union grieved this policy as violating employees’ privacy rights – Arbitration board allowed union’s grievance – Arbitration board’s decision found to be unreasonable on judicial review – Whether an employer is required to show evidence of a substance abuse problem in the bargaining unit or whether evidence of a substance abuse problem in the workplace is sufficient to justify random drug and alcohol testing – On judicial review, what weight is to be given to the reasons of a dissenting member of a labour arbitration board?</w:t>
            </w:r>
          </w:p>
          <w:p w:rsidR="00285DF8" w:rsidRPr="00285DF8" w:rsidRDefault="00285DF8" w:rsidP="00285DF8">
            <w:pPr>
              <w:jc w:val="both"/>
              <w:rPr>
                <w:sz w:val="20"/>
              </w:rPr>
            </w:pPr>
          </w:p>
        </w:tc>
      </w:tr>
      <w:tr w:rsidR="00285DF8" w:rsidRPr="00285DF8" w:rsidTr="00B51597">
        <w:tc>
          <w:tcPr>
            <w:tcW w:w="5000" w:type="pct"/>
            <w:gridSpan w:val="4"/>
          </w:tcPr>
          <w:p w:rsidR="00285DF8" w:rsidRPr="00285DF8" w:rsidRDefault="00285DF8" w:rsidP="00285DF8">
            <w:pPr>
              <w:jc w:val="both"/>
              <w:rPr>
                <w:sz w:val="20"/>
              </w:rPr>
            </w:pPr>
            <w:r w:rsidRPr="00285DF8">
              <w:rPr>
                <w:sz w:val="20"/>
              </w:rPr>
              <w:t>In 2012, the employer, Suncor, announced it would institute random drug and alcohol testing for workers in safety-sensitive positions at oil sands operations in Regional Municipality of Wood Buffalo in the Fort McMurray area. The workforce at the operations consists of approximately 10,000 workers, and includes employees represented by Unifor, non-represented employees and contractors. The parties agree the workplace is dangerous.</w:t>
            </w:r>
          </w:p>
          <w:p w:rsidR="00285DF8" w:rsidRPr="00285DF8" w:rsidRDefault="00285DF8" w:rsidP="00285DF8">
            <w:pPr>
              <w:jc w:val="both"/>
              <w:rPr>
                <w:sz w:val="20"/>
              </w:rPr>
            </w:pPr>
          </w:p>
          <w:p w:rsidR="00285DF8" w:rsidRPr="00285DF8" w:rsidRDefault="00285DF8" w:rsidP="00285DF8">
            <w:pPr>
              <w:jc w:val="both"/>
              <w:rPr>
                <w:sz w:val="20"/>
              </w:rPr>
            </w:pPr>
            <w:r w:rsidRPr="00285DF8">
              <w:rPr>
                <w:sz w:val="20"/>
              </w:rPr>
              <w:t xml:space="preserve">The union filed a policy grievance alleging infringement of unionized workers’ privacy rights, human dignity and human rights based on searches of employees’ persons which the union claimed were unreasonable and unjustifiable. </w:t>
            </w:r>
          </w:p>
          <w:p w:rsidR="00285DF8" w:rsidRPr="00285DF8" w:rsidRDefault="00285DF8" w:rsidP="00285DF8">
            <w:pPr>
              <w:jc w:val="both"/>
              <w:rPr>
                <w:sz w:val="20"/>
              </w:rPr>
            </w:pPr>
          </w:p>
          <w:p w:rsidR="00285DF8" w:rsidRPr="00285DF8" w:rsidRDefault="00285DF8" w:rsidP="00285DF8">
            <w:pPr>
              <w:jc w:val="both"/>
              <w:rPr>
                <w:sz w:val="20"/>
              </w:rPr>
            </w:pPr>
            <w:r w:rsidRPr="00285DF8">
              <w:rPr>
                <w:sz w:val="20"/>
              </w:rPr>
              <w:t xml:space="preserve">The majority of the arbitration board applied this Court’s decision in </w:t>
            </w:r>
            <w:r w:rsidRPr="00285DF8">
              <w:rPr>
                <w:i/>
                <w:sz w:val="20"/>
              </w:rPr>
              <w:t xml:space="preserve">Communications, Energy and </w:t>
            </w:r>
            <w:proofErr w:type="spellStart"/>
            <w:r w:rsidRPr="00285DF8">
              <w:rPr>
                <w:i/>
                <w:sz w:val="20"/>
              </w:rPr>
              <w:t>Paperworkers</w:t>
            </w:r>
            <w:proofErr w:type="spellEnd"/>
            <w:r w:rsidRPr="00285DF8">
              <w:rPr>
                <w:i/>
                <w:sz w:val="20"/>
              </w:rPr>
              <w:t xml:space="preserve"> Union of Canada, Local 30 v. Irving Pulp &amp; Paper, Ltd.</w:t>
            </w:r>
            <w:r w:rsidRPr="00285DF8">
              <w:rPr>
                <w:sz w:val="20"/>
              </w:rPr>
              <w:t xml:space="preserve">, [2013] 2 S.C.R. 458, </w:t>
            </w:r>
            <w:hyperlink r:id="rId24" w:history="1">
              <w:r w:rsidRPr="00285DF8">
                <w:rPr>
                  <w:rStyle w:val="Hyperlink"/>
                  <w:sz w:val="20"/>
                </w:rPr>
                <w:t>2013 SCC 34,</w:t>
              </w:r>
            </w:hyperlink>
            <w:r w:rsidRPr="00285DF8">
              <w:rPr>
                <w:sz w:val="20"/>
              </w:rPr>
              <w:t xml:space="preserve"> (</w:t>
            </w:r>
            <w:r w:rsidRPr="00285DF8">
              <w:rPr>
                <w:i/>
                <w:sz w:val="20"/>
              </w:rPr>
              <w:t>Irving</w:t>
            </w:r>
            <w:r w:rsidRPr="00285DF8">
              <w:rPr>
                <w:sz w:val="20"/>
              </w:rPr>
              <w:t>) and allowed the union’s grievance, holding that the employer’s policy on random drug and alcohol testing was an unreasonable exercise of the employer’s management rights. On judicial review, the reviewing judge held that the arbitration board’s majority decision had not met the reasonableness threshold. He granted the application for judicial review and remitted the matter for arbitration by a fresh panel. The Court of Appeal dismissed the union’s appeal, holding that the reviewing judge had selected the appropriate standard of review and had applied it properly.</w:t>
            </w:r>
          </w:p>
          <w:p w:rsidR="00285DF8" w:rsidRPr="00285DF8" w:rsidRDefault="00285DF8" w:rsidP="00285DF8">
            <w:pPr>
              <w:jc w:val="both"/>
              <w:rPr>
                <w:sz w:val="20"/>
              </w:rPr>
            </w:pPr>
          </w:p>
        </w:tc>
      </w:tr>
      <w:tr w:rsidR="00285DF8" w:rsidRPr="00285DF8" w:rsidTr="00B51597">
        <w:tc>
          <w:tcPr>
            <w:tcW w:w="2427" w:type="pct"/>
            <w:gridSpan w:val="2"/>
          </w:tcPr>
          <w:p w:rsidR="00285DF8" w:rsidRPr="00285DF8" w:rsidRDefault="00285DF8" w:rsidP="00285DF8">
            <w:pPr>
              <w:jc w:val="both"/>
              <w:rPr>
                <w:color w:val="000000" w:themeColor="text1"/>
                <w:sz w:val="20"/>
              </w:rPr>
            </w:pPr>
            <w:r w:rsidRPr="00285DF8">
              <w:rPr>
                <w:color w:val="000000" w:themeColor="text1"/>
                <w:sz w:val="20"/>
              </w:rPr>
              <w:t>March 18, 2014</w:t>
            </w:r>
          </w:p>
          <w:p w:rsidR="00285DF8" w:rsidRPr="00285DF8" w:rsidRDefault="00285DF8" w:rsidP="00285DF8">
            <w:pPr>
              <w:jc w:val="both"/>
              <w:rPr>
                <w:color w:val="000000" w:themeColor="text1"/>
                <w:sz w:val="20"/>
              </w:rPr>
            </w:pPr>
            <w:r w:rsidRPr="00285DF8">
              <w:rPr>
                <w:color w:val="000000" w:themeColor="text1"/>
                <w:sz w:val="20"/>
              </w:rPr>
              <w:t>Arbitration Board</w:t>
            </w:r>
          </w:p>
          <w:p w:rsidR="00285DF8" w:rsidRPr="00285DF8" w:rsidRDefault="00285DF8" w:rsidP="00285DF8">
            <w:pPr>
              <w:jc w:val="both"/>
              <w:rPr>
                <w:color w:val="000000" w:themeColor="text1"/>
                <w:sz w:val="20"/>
              </w:rPr>
            </w:pPr>
            <w:r w:rsidRPr="00285DF8">
              <w:rPr>
                <w:color w:val="000000" w:themeColor="text1"/>
                <w:sz w:val="20"/>
              </w:rPr>
              <w:t>(Tom Hodges, Chair)</w:t>
            </w:r>
          </w:p>
          <w:p w:rsidR="00285DF8" w:rsidRPr="00285DF8" w:rsidRDefault="00F31907" w:rsidP="00285DF8">
            <w:pPr>
              <w:jc w:val="both"/>
              <w:rPr>
                <w:color w:val="000000" w:themeColor="text1"/>
                <w:sz w:val="20"/>
              </w:rPr>
            </w:pPr>
            <w:hyperlink r:id="rId25" w:history="1">
              <w:r w:rsidR="00285DF8" w:rsidRPr="00285DF8">
                <w:rPr>
                  <w:rStyle w:val="Hyperlink"/>
                  <w:color w:val="000000" w:themeColor="text1"/>
                  <w:sz w:val="20"/>
                </w:rPr>
                <w:t>2014 CanLII 23034</w:t>
              </w:r>
            </w:hyperlink>
            <w:r w:rsidR="00285DF8" w:rsidRPr="00285DF8">
              <w:rPr>
                <w:color w:val="000000" w:themeColor="text1"/>
                <w:sz w:val="20"/>
              </w:rPr>
              <w:t xml:space="preserve"> (dissent not published on </w:t>
            </w:r>
          </w:p>
          <w:p w:rsidR="00285DF8" w:rsidRPr="00285DF8" w:rsidRDefault="00285DF8" w:rsidP="00285DF8">
            <w:pPr>
              <w:jc w:val="both"/>
              <w:rPr>
                <w:color w:val="000000" w:themeColor="text1"/>
                <w:sz w:val="20"/>
              </w:rPr>
            </w:pPr>
            <w:r w:rsidRPr="00285DF8">
              <w:rPr>
                <w:color w:val="000000" w:themeColor="text1"/>
                <w:sz w:val="20"/>
              </w:rPr>
              <w:t xml:space="preserve">CanLII); 242 LAC (4th) 1, [2014] AGAA No 6 </w:t>
            </w:r>
          </w:p>
          <w:p w:rsidR="00285DF8" w:rsidRPr="00285DF8" w:rsidRDefault="00285DF8" w:rsidP="00285DF8">
            <w:pPr>
              <w:jc w:val="both"/>
              <w:rPr>
                <w:color w:val="000000" w:themeColor="text1"/>
                <w:sz w:val="20"/>
              </w:rPr>
            </w:pPr>
            <w:r w:rsidRPr="00285DF8">
              <w:rPr>
                <w:color w:val="000000" w:themeColor="text1"/>
                <w:sz w:val="20"/>
              </w:rPr>
              <w:t>(including dissent)</w:t>
            </w:r>
          </w:p>
          <w:p w:rsidR="00285DF8" w:rsidRPr="00285DF8" w:rsidRDefault="00285DF8" w:rsidP="00285DF8">
            <w:pPr>
              <w:jc w:val="both"/>
              <w:rPr>
                <w:color w:val="000000" w:themeColor="text1"/>
                <w:sz w:val="20"/>
              </w:rPr>
            </w:pPr>
          </w:p>
        </w:tc>
        <w:tc>
          <w:tcPr>
            <w:tcW w:w="243" w:type="pct"/>
          </w:tcPr>
          <w:p w:rsidR="00285DF8" w:rsidRPr="00285DF8" w:rsidRDefault="00285DF8" w:rsidP="00285DF8">
            <w:pPr>
              <w:jc w:val="both"/>
              <w:rPr>
                <w:sz w:val="20"/>
              </w:rPr>
            </w:pPr>
          </w:p>
        </w:tc>
        <w:tc>
          <w:tcPr>
            <w:tcW w:w="2330" w:type="pct"/>
          </w:tcPr>
          <w:p w:rsidR="00285DF8" w:rsidRPr="00285DF8" w:rsidRDefault="00285DF8" w:rsidP="00285DF8">
            <w:pPr>
              <w:jc w:val="both"/>
              <w:rPr>
                <w:sz w:val="20"/>
              </w:rPr>
            </w:pPr>
            <w:r w:rsidRPr="00285DF8">
              <w:rPr>
                <w:sz w:val="20"/>
              </w:rPr>
              <w:t>Applicant’s policy grievance allowed</w:t>
            </w:r>
          </w:p>
        </w:tc>
      </w:tr>
      <w:tr w:rsidR="00285DF8" w:rsidRPr="00285DF8" w:rsidTr="00B51597">
        <w:tc>
          <w:tcPr>
            <w:tcW w:w="2427" w:type="pct"/>
            <w:gridSpan w:val="2"/>
          </w:tcPr>
          <w:p w:rsidR="00285DF8" w:rsidRPr="00285DF8" w:rsidRDefault="00285DF8" w:rsidP="00285DF8">
            <w:pPr>
              <w:jc w:val="both"/>
              <w:rPr>
                <w:color w:val="000000" w:themeColor="text1"/>
                <w:sz w:val="20"/>
              </w:rPr>
            </w:pPr>
            <w:r w:rsidRPr="00285DF8">
              <w:rPr>
                <w:color w:val="000000" w:themeColor="text1"/>
                <w:sz w:val="20"/>
              </w:rPr>
              <w:t>May 18, 2016</w:t>
            </w:r>
          </w:p>
          <w:p w:rsidR="00285DF8" w:rsidRPr="00285DF8" w:rsidRDefault="00285DF8" w:rsidP="00285DF8">
            <w:pPr>
              <w:jc w:val="both"/>
              <w:rPr>
                <w:color w:val="000000" w:themeColor="text1"/>
                <w:sz w:val="20"/>
              </w:rPr>
            </w:pPr>
            <w:r w:rsidRPr="00285DF8">
              <w:rPr>
                <w:color w:val="000000" w:themeColor="text1"/>
                <w:sz w:val="20"/>
              </w:rPr>
              <w:t>Court of Queen’s Bench of Alberta</w:t>
            </w:r>
          </w:p>
          <w:p w:rsidR="00285DF8" w:rsidRPr="00285DF8" w:rsidRDefault="00285DF8" w:rsidP="00285DF8">
            <w:pPr>
              <w:jc w:val="both"/>
              <w:rPr>
                <w:color w:val="000000" w:themeColor="text1"/>
                <w:sz w:val="20"/>
              </w:rPr>
            </w:pPr>
            <w:r w:rsidRPr="00285DF8">
              <w:rPr>
                <w:color w:val="000000" w:themeColor="text1"/>
                <w:sz w:val="20"/>
              </w:rPr>
              <w:t>(Nixon J.)</w:t>
            </w:r>
          </w:p>
          <w:p w:rsidR="00285DF8" w:rsidRPr="00285DF8" w:rsidRDefault="00F31907" w:rsidP="00285DF8">
            <w:pPr>
              <w:jc w:val="both"/>
              <w:rPr>
                <w:color w:val="000000" w:themeColor="text1"/>
                <w:sz w:val="20"/>
              </w:rPr>
            </w:pPr>
            <w:hyperlink r:id="rId26" w:history="1">
              <w:r w:rsidR="00285DF8" w:rsidRPr="00285DF8">
                <w:rPr>
                  <w:rStyle w:val="Hyperlink"/>
                  <w:color w:val="000000" w:themeColor="text1"/>
                  <w:sz w:val="20"/>
                </w:rPr>
                <w:t>2016 ABQB 269</w:t>
              </w:r>
            </w:hyperlink>
          </w:p>
          <w:p w:rsidR="00285DF8" w:rsidRPr="00285DF8" w:rsidRDefault="00285DF8" w:rsidP="00285DF8">
            <w:pPr>
              <w:jc w:val="both"/>
              <w:rPr>
                <w:color w:val="000000" w:themeColor="text1"/>
                <w:sz w:val="20"/>
              </w:rPr>
            </w:pPr>
            <w:r w:rsidRPr="00285DF8">
              <w:rPr>
                <w:color w:val="000000" w:themeColor="text1"/>
                <w:sz w:val="20"/>
              </w:rPr>
              <w:t>Docket 1401 03831</w:t>
            </w:r>
          </w:p>
          <w:p w:rsidR="00285DF8" w:rsidRPr="00285DF8" w:rsidRDefault="00285DF8" w:rsidP="00285DF8">
            <w:pPr>
              <w:jc w:val="both"/>
              <w:rPr>
                <w:color w:val="000000" w:themeColor="text1"/>
                <w:sz w:val="20"/>
              </w:rPr>
            </w:pPr>
          </w:p>
        </w:tc>
        <w:tc>
          <w:tcPr>
            <w:tcW w:w="243" w:type="pct"/>
          </w:tcPr>
          <w:p w:rsidR="00285DF8" w:rsidRPr="00285DF8" w:rsidRDefault="00285DF8" w:rsidP="00285DF8">
            <w:pPr>
              <w:jc w:val="both"/>
              <w:rPr>
                <w:sz w:val="20"/>
              </w:rPr>
            </w:pPr>
          </w:p>
        </w:tc>
        <w:tc>
          <w:tcPr>
            <w:tcW w:w="2330" w:type="pct"/>
          </w:tcPr>
          <w:p w:rsidR="00285DF8" w:rsidRPr="00285DF8" w:rsidRDefault="00285DF8" w:rsidP="00285DF8">
            <w:pPr>
              <w:jc w:val="both"/>
              <w:rPr>
                <w:sz w:val="20"/>
              </w:rPr>
            </w:pPr>
            <w:r w:rsidRPr="00285DF8">
              <w:rPr>
                <w:sz w:val="20"/>
              </w:rPr>
              <w:t>Judicial review allowed; matter sent back for reconsideration by a new panel</w:t>
            </w:r>
          </w:p>
          <w:p w:rsidR="00285DF8" w:rsidRPr="00285DF8" w:rsidRDefault="00285DF8" w:rsidP="00285DF8">
            <w:pPr>
              <w:jc w:val="both"/>
              <w:rPr>
                <w:sz w:val="20"/>
              </w:rPr>
            </w:pPr>
          </w:p>
        </w:tc>
      </w:tr>
      <w:tr w:rsidR="00285DF8" w:rsidRPr="00285DF8" w:rsidTr="00B51597">
        <w:tc>
          <w:tcPr>
            <w:tcW w:w="2427" w:type="pct"/>
            <w:gridSpan w:val="2"/>
          </w:tcPr>
          <w:p w:rsidR="00285DF8" w:rsidRPr="00285DF8" w:rsidRDefault="00285DF8" w:rsidP="00285DF8">
            <w:pPr>
              <w:jc w:val="both"/>
              <w:rPr>
                <w:sz w:val="20"/>
              </w:rPr>
            </w:pPr>
            <w:r w:rsidRPr="00285DF8">
              <w:rPr>
                <w:sz w:val="20"/>
              </w:rPr>
              <w:t>September 28, 2017</w:t>
            </w:r>
          </w:p>
          <w:p w:rsidR="00285DF8" w:rsidRPr="00285DF8" w:rsidRDefault="00285DF8" w:rsidP="00285DF8">
            <w:pPr>
              <w:jc w:val="both"/>
              <w:rPr>
                <w:sz w:val="20"/>
              </w:rPr>
            </w:pPr>
            <w:r w:rsidRPr="00285DF8">
              <w:rPr>
                <w:sz w:val="20"/>
              </w:rPr>
              <w:t>Court of Appeal of Alberta (Calgary)</w:t>
            </w:r>
          </w:p>
          <w:p w:rsidR="00285DF8" w:rsidRPr="00285DF8" w:rsidRDefault="00285DF8" w:rsidP="00285DF8">
            <w:pPr>
              <w:jc w:val="both"/>
              <w:rPr>
                <w:color w:val="000000" w:themeColor="text1"/>
                <w:sz w:val="20"/>
              </w:rPr>
            </w:pPr>
            <w:r w:rsidRPr="00285DF8">
              <w:rPr>
                <w:sz w:val="20"/>
              </w:rPr>
              <w:t>(</w:t>
            </w:r>
            <w:r w:rsidRPr="00285DF8">
              <w:rPr>
                <w:color w:val="000000" w:themeColor="text1"/>
                <w:sz w:val="20"/>
              </w:rPr>
              <w:t>McDonald, Veldhuis, Schutz JJ.A.)</w:t>
            </w:r>
          </w:p>
          <w:p w:rsidR="00285DF8" w:rsidRPr="00285DF8" w:rsidRDefault="00F31907" w:rsidP="00285DF8">
            <w:pPr>
              <w:jc w:val="both"/>
              <w:rPr>
                <w:color w:val="000000" w:themeColor="text1"/>
                <w:sz w:val="20"/>
              </w:rPr>
            </w:pPr>
            <w:hyperlink r:id="rId27" w:history="1">
              <w:r w:rsidR="00285DF8" w:rsidRPr="00285DF8">
                <w:rPr>
                  <w:rStyle w:val="Hyperlink"/>
                  <w:color w:val="000000" w:themeColor="text1"/>
                  <w:sz w:val="20"/>
                </w:rPr>
                <w:t>2017 ABCA 313</w:t>
              </w:r>
            </w:hyperlink>
            <w:r w:rsidR="00285DF8" w:rsidRPr="00285DF8">
              <w:rPr>
                <w:color w:val="000000" w:themeColor="text1"/>
                <w:sz w:val="20"/>
              </w:rPr>
              <w:t xml:space="preserve"> </w:t>
            </w:r>
          </w:p>
          <w:p w:rsidR="00285DF8" w:rsidRPr="00285DF8" w:rsidRDefault="00285DF8" w:rsidP="00285DF8">
            <w:pPr>
              <w:jc w:val="both"/>
              <w:rPr>
                <w:color w:val="000000" w:themeColor="text1"/>
                <w:sz w:val="20"/>
              </w:rPr>
            </w:pPr>
            <w:r w:rsidRPr="00285DF8">
              <w:rPr>
                <w:color w:val="000000" w:themeColor="text1"/>
                <w:sz w:val="20"/>
              </w:rPr>
              <w:t>Docket: 1601-0146-AC</w:t>
            </w:r>
          </w:p>
          <w:p w:rsidR="00285DF8" w:rsidRPr="00285DF8" w:rsidRDefault="00285DF8" w:rsidP="00285DF8">
            <w:pPr>
              <w:jc w:val="both"/>
              <w:rPr>
                <w:sz w:val="20"/>
              </w:rPr>
            </w:pPr>
          </w:p>
        </w:tc>
        <w:tc>
          <w:tcPr>
            <w:tcW w:w="243" w:type="pct"/>
          </w:tcPr>
          <w:p w:rsidR="00285DF8" w:rsidRPr="00285DF8" w:rsidRDefault="00285DF8" w:rsidP="00285DF8">
            <w:pPr>
              <w:jc w:val="both"/>
              <w:rPr>
                <w:sz w:val="20"/>
              </w:rPr>
            </w:pPr>
          </w:p>
        </w:tc>
        <w:tc>
          <w:tcPr>
            <w:tcW w:w="2330" w:type="pct"/>
          </w:tcPr>
          <w:p w:rsidR="00285DF8" w:rsidRPr="00285DF8" w:rsidRDefault="00285DF8" w:rsidP="00285DF8">
            <w:pPr>
              <w:jc w:val="both"/>
              <w:rPr>
                <w:sz w:val="20"/>
              </w:rPr>
            </w:pPr>
            <w:r w:rsidRPr="00285DF8">
              <w:rPr>
                <w:sz w:val="20"/>
              </w:rPr>
              <w:t>Appeal dismissed</w:t>
            </w:r>
          </w:p>
          <w:p w:rsidR="00285DF8" w:rsidRPr="00285DF8" w:rsidRDefault="00285DF8" w:rsidP="00285DF8">
            <w:pPr>
              <w:jc w:val="both"/>
              <w:rPr>
                <w:sz w:val="20"/>
              </w:rPr>
            </w:pPr>
          </w:p>
        </w:tc>
      </w:tr>
      <w:tr w:rsidR="00285DF8" w:rsidRPr="00285DF8" w:rsidTr="00B51597">
        <w:tc>
          <w:tcPr>
            <w:tcW w:w="2427" w:type="pct"/>
            <w:gridSpan w:val="2"/>
          </w:tcPr>
          <w:p w:rsidR="00285DF8" w:rsidRPr="00285DF8" w:rsidRDefault="00285DF8" w:rsidP="00285DF8">
            <w:pPr>
              <w:jc w:val="both"/>
              <w:rPr>
                <w:sz w:val="20"/>
              </w:rPr>
            </w:pPr>
            <w:r w:rsidRPr="00285DF8">
              <w:rPr>
                <w:sz w:val="20"/>
              </w:rPr>
              <w:t>November 22, 2017</w:t>
            </w:r>
          </w:p>
          <w:p w:rsidR="00285DF8" w:rsidRPr="00285DF8" w:rsidRDefault="00285DF8" w:rsidP="00285DF8">
            <w:pPr>
              <w:jc w:val="both"/>
              <w:rPr>
                <w:sz w:val="20"/>
              </w:rPr>
            </w:pPr>
            <w:r w:rsidRPr="00285DF8">
              <w:rPr>
                <w:sz w:val="20"/>
              </w:rPr>
              <w:t>Supreme Court of Canada</w:t>
            </w:r>
          </w:p>
        </w:tc>
        <w:tc>
          <w:tcPr>
            <w:tcW w:w="243" w:type="pct"/>
          </w:tcPr>
          <w:p w:rsidR="00285DF8" w:rsidRPr="00285DF8" w:rsidRDefault="00285DF8" w:rsidP="00285DF8">
            <w:pPr>
              <w:jc w:val="both"/>
              <w:rPr>
                <w:sz w:val="20"/>
              </w:rPr>
            </w:pPr>
          </w:p>
        </w:tc>
        <w:tc>
          <w:tcPr>
            <w:tcW w:w="2330" w:type="pct"/>
          </w:tcPr>
          <w:p w:rsidR="00285DF8" w:rsidRPr="00285DF8" w:rsidRDefault="00285DF8" w:rsidP="00285DF8">
            <w:pPr>
              <w:jc w:val="both"/>
              <w:rPr>
                <w:sz w:val="20"/>
              </w:rPr>
            </w:pPr>
            <w:r w:rsidRPr="00285DF8">
              <w:rPr>
                <w:sz w:val="20"/>
              </w:rPr>
              <w:t>Application for leave to appeal filed</w:t>
            </w:r>
          </w:p>
        </w:tc>
      </w:tr>
    </w:tbl>
    <w:p w:rsidR="00285DF8" w:rsidRDefault="00285DF8" w:rsidP="00285DF8">
      <w:pPr>
        <w:jc w:val="both"/>
        <w:rPr>
          <w:sz w:val="20"/>
        </w:rPr>
      </w:pPr>
    </w:p>
    <w:p w:rsidR="00285DF8" w:rsidRPr="00285DF8" w:rsidRDefault="00285DF8" w:rsidP="00285D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DF8" w:rsidRPr="00285DF8" w:rsidTr="00B51597">
        <w:tc>
          <w:tcPr>
            <w:tcW w:w="543" w:type="pct"/>
          </w:tcPr>
          <w:p w:rsidR="00285DF8" w:rsidRPr="00285DF8" w:rsidRDefault="00285DF8" w:rsidP="00285DF8">
            <w:pPr>
              <w:jc w:val="both"/>
              <w:rPr>
                <w:sz w:val="20"/>
                <w:lang w:val="fr-CA"/>
              </w:rPr>
            </w:pPr>
            <w:r w:rsidRPr="00285DF8">
              <w:rPr>
                <w:rStyle w:val="SCCFileNumberChar"/>
                <w:sz w:val="20"/>
                <w:szCs w:val="20"/>
                <w:lang w:val="fr-CA"/>
              </w:rPr>
              <w:t>37854</w:t>
            </w:r>
          </w:p>
        </w:tc>
        <w:tc>
          <w:tcPr>
            <w:tcW w:w="4457" w:type="pct"/>
            <w:gridSpan w:val="3"/>
          </w:tcPr>
          <w:p w:rsidR="00285DF8" w:rsidRPr="00285DF8" w:rsidRDefault="00285DF8" w:rsidP="00285DF8">
            <w:pPr>
              <w:jc w:val="both"/>
              <w:rPr>
                <w:b/>
                <w:sz w:val="20"/>
              </w:rPr>
            </w:pPr>
            <w:r w:rsidRPr="00285DF8">
              <w:rPr>
                <w:b/>
                <w:sz w:val="20"/>
              </w:rPr>
              <w:t>Unifor, section locale 707A c. Suncor Energy Inc.</w:t>
            </w:r>
          </w:p>
          <w:p w:rsidR="00285DF8" w:rsidRPr="00285DF8" w:rsidRDefault="00285DF8" w:rsidP="00285DF8">
            <w:pPr>
              <w:jc w:val="both"/>
              <w:rPr>
                <w:b/>
                <w:sz w:val="20"/>
                <w:lang w:val="fr-CA"/>
              </w:rPr>
            </w:pPr>
            <w:r w:rsidRPr="00285DF8">
              <w:rPr>
                <w:sz w:val="20"/>
                <w:lang w:val="fr-CA"/>
              </w:rPr>
              <w:t>(Alb.) (Civile) (Autorisation)</w:t>
            </w:r>
          </w:p>
        </w:tc>
      </w:tr>
      <w:tr w:rsidR="00285DF8" w:rsidRPr="00F31907" w:rsidTr="00B51597">
        <w:tc>
          <w:tcPr>
            <w:tcW w:w="5000" w:type="pct"/>
            <w:gridSpan w:val="4"/>
          </w:tcPr>
          <w:p w:rsidR="00285DF8" w:rsidRPr="00285DF8" w:rsidRDefault="00285DF8" w:rsidP="00285DF8">
            <w:pPr>
              <w:jc w:val="both"/>
              <w:rPr>
                <w:sz w:val="20"/>
                <w:lang w:val="fr-CA"/>
              </w:rPr>
            </w:pPr>
            <w:r w:rsidRPr="00285DF8">
              <w:rPr>
                <w:sz w:val="20"/>
                <w:lang w:val="fr-CA"/>
              </w:rPr>
              <w:t>Relations du travail – Arbitrage – Grief de principe – Politique de tests aléatoires de dépistage d’alcool et de drogue – Lieu de travail dangereux – Contrôle judiciaire – L’employeur a annoncé qu’il allait mettre en œuvre des tests aléatoires de dépistage d’alcool et de drogue destinés aux employés qui travaillent dans les usines de sables bitumineux – Le syndicat a contesté par grief cette politique, alléguant qu’elle violait les droits à la vie privée des employés – Le conseil d’arbitrage a accueilli le grief du syndicat – La décision du conseil a été jugée déraisonnable lors d’un contrôle judiciaire – L’employeur est-il tenu de faire la preuve d’un problème de toxicomanie dans l’unité de négociation ou est-ce que la preuve d’un problème de toxicomanie dans le lieu de travail suffit pour justifier des tests aléatoires de dépistage de drogue et d’alcool? – Lors du contrôle judiciaire, quel poids faut-il donner aux motifs d’un membre dissident du conseil d’arbitrage?</w:t>
            </w:r>
          </w:p>
          <w:p w:rsidR="00285DF8" w:rsidRPr="00285DF8" w:rsidRDefault="00285DF8" w:rsidP="00285DF8">
            <w:pPr>
              <w:jc w:val="both"/>
              <w:rPr>
                <w:sz w:val="20"/>
                <w:lang w:val="fr-CA"/>
              </w:rPr>
            </w:pPr>
          </w:p>
        </w:tc>
      </w:tr>
      <w:tr w:rsidR="00285DF8" w:rsidRPr="00F31907" w:rsidTr="00B51597">
        <w:tc>
          <w:tcPr>
            <w:tcW w:w="5000" w:type="pct"/>
            <w:gridSpan w:val="4"/>
          </w:tcPr>
          <w:p w:rsidR="00285DF8" w:rsidRPr="00285DF8" w:rsidRDefault="00285DF8" w:rsidP="00285DF8">
            <w:pPr>
              <w:jc w:val="both"/>
              <w:rPr>
                <w:sz w:val="20"/>
                <w:lang w:val="fr-CA"/>
              </w:rPr>
            </w:pPr>
            <w:r w:rsidRPr="00285DF8">
              <w:rPr>
                <w:sz w:val="20"/>
                <w:lang w:val="fr-CA"/>
              </w:rPr>
              <w:t xml:space="preserve">En 2012, l’employeur, </w:t>
            </w:r>
            <w:proofErr w:type="spellStart"/>
            <w:r w:rsidRPr="00285DF8">
              <w:rPr>
                <w:sz w:val="20"/>
                <w:lang w:val="fr-CA"/>
              </w:rPr>
              <w:t>Suncor</w:t>
            </w:r>
            <w:proofErr w:type="spellEnd"/>
            <w:r w:rsidRPr="00285DF8">
              <w:rPr>
                <w:sz w:val="20"/>
                <w:lang w:val="fr-CA"/>
              </w:rPr>
              <w:t>, a annoncé qu’il allait introduire des tests aléatoires de dépistage de drogue et d’alcool destinés aux travailleurs qui occupaient des postes critiques pour la sécurité aux usines de sables bitumineux dans la municipalité régionale de Wood Buffalo dans la région de Fort McMurray. L’effectif des usines est constitué d’environ 10 000 travailleurs et comprend des employés représentés par Unifor, des employés non représentés et des entrepreneurs. Les parties conviennent que le milieu de travail est dangereux.</w:t>
            </w:r>
          </w:p>
          <w:p w:rsidR="00285DF8" w:rsidRPr="00285DF8" w:rsidRDefault="00285DF8" w:rsidP="00285DF8">
            <w:pPr>
              <w:jc w:val="both"/>
              <w:rPr>
                <w:sz w:val="20"/>
                <w:lang w:val="fr-CA"/>
              </w:rPr>
            </w:pPr>
          </w:p>
          <w:p w:rsidR="00285DF8" w:rsidRPr="00285DF8" w:rsidRDefault="00285DF8" w:rsidP="00285DF8">
            <w:pPr>
              <w:jc w:val="both"/>
              <w:rPr>
                <w:sz w:val="20"/>
                <w:lang w:val="fr-CA"/>
              </w:rPr>
            </w:pPr>
            <w:r w:rsidRPr="00285DF8">
              <w:rPr>
                <w:sz w:val="20"/>
                <w:lang w:val="fr-CA"/>
              </w:rPr>
              <w:t xml:space="preserve">Le syndicat a déposé un grief de principe, alléguant une atteinte aux droits à la vie privée, à la dignité humaine et aux droits de la personne des travailleurs syndiqués attribuables aux fouilles effectuées sur les employés, fouilles qui, selon le syndicat, sont déraisonnables et injustifiables. </w:t>
            </w:r>
          </w:p>
          <w:p w:rsidR="00285DF8" w:rsidRPr="00285DF8" w:rsidRDefault="00285DF8" w:rsidP="00285DF8">
            <w:pPr>
              <w:jc w:val="both"/>
              <w:rPr>
                <w:sz w:val="20"/>
                <w:lang w:val="fr-CA"/>
              </w:rPr>
            </w:pPr>
          </w:p>
          <w:p w:rsidR="00285DF8" w:rsidRPr="00285DF8" w:rsidRDefault="00285DF8" w:rsidP="00285DF8">
            <w:pPr>
              <w:jc w:val="both"/>
              <w:rPr>
                <w:sz w:val="20"/>
                <w:lang w:val="fr-CA"/>
              </w:rPr>
            </w:pPr>
            <w:r w:rsidRPr="00285DF8">
              <w:rPr>
                <w:sz w:val="20"/>
                <w:lang w:val="fr-CA"/>
              </w:rPr>
              <w:t xml:space="preserve">Les membres majoritaires du conseil d’arbitrage ont appliqué l’arrêt </w:t>
            </w:r>
            <w:r w:rsidRPr="00285DF8">
              <w:rPr>
                <w:i/>
                <w:sz w:val="20"/>
                <w:lang w:val="fr-CA"/>
              </w:rPr>
              <w:t>Syndicat canadien des communications, de l’énergie et du papier, section locale 30 </w:t>
            </w:r>
            <w:r w:rsidRPr="00285DF8">
              <w:rPr>
                <w:i/>
                <w:iCs/>
                <w:sz w:val="20"/>
                <w:lang w:val="fr-CA"/>
              </w:rPr>
              <w:t>c.</w:t>
            </w:r>
            <w:r w:rsidRPr="00285DF8">
              <w:rPr>
                <w:i/>
                <w:sz w:val="20"/>
                <w:lang w:val="fr-CA"/>
              </w:rPr>
              <w:t xml:space="preserve"> Pâtes &amp; Papier Irving, Ltée, </w:t>
            </w:r>
            <w:r w:rsidRPr="00285DF8">
              <w:rPr>
                <w:sz w:val="20"/>
                <w:lang w:val="fr-CA"/>
              </w:rPr>
              <w:t xml:space="preserve">[2013] 2 R.C.S. 458, </w:t>
            </w:r>
            <w:r w:rsidR="00F31907">
              <w:fldChar w:fldCharType="begin"/>
            </w:r>
            <w:r w:rsidR="00F31907" w:rsidRPr="00F31907">
              <w:rPr>
                <w:lang w:val="fr-CA"/>
              </w:rPr>
              <w:instrText xml:space="preserve"> HYPERLINK "https://www.canlii.org/fr/ca/csc/doc/2013/2013csc34/2013csc34.html" </w:instrText>
            </w:r>
            <w:r w:rsidR="00F31907">
              <w:fldChar w:fldCharType="separate"/>
            </w:r>
            <w:r w:rsidRPr="00285DF8">
              <w:rPr>
                <w:rStyle w:val="Hyperlink"/>
                <w:sz w:val="20"/>
                <w:lang w:val="fr-CA"/>
              </w:rPr>
              <w:t>2013 CSC 34,</w:t>
            </w:r>
            <w:r w:rsidR="00F31907">
              <w:rPr>
                <w:rStyle w:val="Hyperlink"/>
                <w:sz w:val="20"/>
                <w:lang w:val="fr-CA"/>
              </w:rPr>
              <w:fldChar w:fldCharType="end"/>
            </w:r>
            <w:r w:rsidRPr="00285DF8">
              <w:rPr>
                <w:sz w:val="20"/>
                <w:lang w:val="fr-CA"/>
              </w:rPr>
              <w:t xml:space="preserve"> (</w:t>
            </w:r>
            <w:r w:rsidRPr="00285DF8">
              <w:rPr>
                <w:i/>
                <w:sz w:val="20"/>
                <w:lang w:val="fr-CA"/>
              </w:rPr>
              <w:t>Irving</w:t>
            </w:r>
            <w:r w:rsidRPr="00285DF8">
              <w:rPr>
                <w:sz w:val="20"/>
                <w:lang w:val="fr-CA"/>
              </w:rPr>
              <w:t>) et ont accueilli le grief, statuant que la politique de l’employeur sur les tests aléatoires de dépistage de drogue et d’alcool était un exercice déraisonnable des droits de la direction de l’employeur. Lors du contrôle judiciaire, le juge en révision a statué que la décision des membres majoritaires du conseil d’arbitrage ne satisfaisait pas à la norme du caractère raisonnable. Il a accueilli la demande de contrôle judiciaire et renvoyé l’affaire à l’arbitrage par une nouvelle formation. La Cour d’appel a rejeté l’appel du syndicat, statuant que le juge en révision avait choisi la norme de contrôle appropriée et qu’il l’avait correctement appliquée.</w:t>
            </w:r>
          </w:p>
          <w:p w:rsidR="00285DF8" w:rsidRPr="00285DF8" w:rsidRDefault="00285DF8" w:rsidP="00285DF8">
            <w:pPr>
              <w:jc w:val="both"/>
              <w:rPr>
                <w:sz w:val="20"/>
                <w:lang w:val="fr-CA"/>
              </w:rPr>
            </w:pPr>
          </w:p>
        </w:tc>
      </w:tr>
      <w:tr w:rsidR="00285DF8" w:rsidRPr="00F31907" w:rsidTr="00B51597">
        <w:tc>
          <w:tcPr>
            <w:tcW w:w="2427" w:type="pct"/>
            <w:gridSpan w:val="2"/>
          </w:tcPr>
          <w:p w:rsidR="00285DF8" w:rsidRPr="00285DF8" w:rsidRDefault="00285DF8" w:rsidP="00285DF8">
            <w:pPr>
              <w:jc w:val="both"/>
              <w:rPr>
                <w:color w:val="000000" w:themeColor="text1"/>
                <w:sz w:val="20"/>
                <w:lang w:val="fr-CA"/>
              </w:rPr>
            </w:pPr>
            <w:r w:rsidRPr="00285DF8">
              <w:rPr>
                <w:color w:val="000000" w:themeColor="text1"/>
                <w:sz w:val="20"/>
                <w:lang w:val="fr-CA"/>
              </w:rPr>
              <w:t>18 mars 2014</w:t>
            </w:r>
          </w:p>
          <w:p w:rsidR="00285DF8" w:rsidRPr="00285DF8" w:rsidRDefault="00285DF8" w:rsidP="00285DF8">
            <w:pPr>
              <w:jc w:val="both"/>
              <w:rPr>
                <w:color w:val="000000" w:themeColor="text1"/>
                <w:sz w:val="20"/>
                <w:lang w:val="fr-CA"/>
              </w:rPr>
            </w:pPr>
            <w:r w:rsidRPr="00285DF8">
              <w:rPr>
                <w:color w:val="000000" w:themeColor="text1"/>
                <w:sz w:val="20"/>
                <w:lang w:val="fr-CA"/>
              </w:rPr>
              <w:t>Conseil d’arbitrage</w:t>
            </w:r>
          </w:p>
          <w:p w:rsidR="00285DF8" w:rsidRPr="00285DF8" w:rsidRDefault="00285DF8" w:rsidP="00285DF8">
            <w:pPr>
              <w:jc w:val="both"/>
              <w:rPr>
                <w:color w:val="000000" w:themeColor="text1"/>
                <w:sz w:val="20"/>
                <w:lang w:val="fr-CA"/>
              </w:rPr>
            </w:pPr>
            <w:r w:rsidRPr="00285DF8">
              <w:rPr>
                <w:color w:val="000000" w:themeColor="text1"/>
                <w:sz w:val="20"/>
                <w:lang w:val="fr-CA"/>
              </w:rPr>
              <w:t xml:space="preserve">(Président Tom </w:t>
            </w:r>
            <w:proofErr w:type="spellStart"/>
            <w:r w:rsidRPr="00285DF8">
              <w:rPr>
                <w:color w:val="000000" w:themeColor="text1"/>
                <w:sz w:val="20"/>
                <w:lang w:val="fr-CA"/>
              </w:rPr>
              <w:t>Hodges</w:t>
            </w:r>
            <w:proofErr w:type="spellEnd"/>
            <w:r w:rsidRPr="00285DF8">
              <w:rPr>
                <w:color w:val="000000" w:themeColor="text1"/>
                <w:sz w:val="20"/>
                <w:lang w:val="fr-CA"/>
              </w:rPr>
              <w:t>)</w:t>
            </w:r>
          </w:p>
          <w:p w:rsidR="00285DF8" w:rsidRPr="00285DF8" w:rsidRDefault="00F31907" w:rsidP="00285DF8">
            <w:pPr>
              <w:jc w:val="both"/>
              <w:rPr>
                <w:color w:val="000000" w:themeColor="text1"/>
                <w:sz w:val="20"/>
                <w:lang w:val="fr-CA"/>
              </w:rPr>
            </w:pPr>
            <w:r>
              <w:fldChar w:fldCharType="begin"/>
            </w:r>
            <w:r w:rsidRPr="00F31907">
              <w:rPr>
                <w:lang w:val="fr-CA"/>
              </w:rPr>
              <w:instrText xml:space="preserve"> HYPERLINK "https://www.canlii.org/en/ab/abgaa/doc/2014/2014canlii23034/2014canlii23034.html" </w:instrText>
            </w:r>
            <w:r>
              <w:fldChar w:fldCharType="separate"/>
            </w:r>
            <w:r w:rsidR="00285DF8" w:rsidRPr="00285DF8">
              <w:rPr>
                <w:rStyle w:val="Hyperlink"/>
                <w:color w:val="000000" w:themeColor="text1"/>
                <w:sz w:val="20"/>
                <w:lang w:val="fr-CA"/>
              </w:rPr>
              <w:t>2014 CanLII 23034</w:t>
            </w:r>
            <w:r>
              <w:rPr>
                <w:rStyle w:val="Hyperlink"/>
                <w:color w:val="000000" w:themeColor="text1"/>
                <w:sz w:val="20"/>
                <w:lang w:val="fr-CA"/>
              </w:rPr>
              <w:fldChar w:fldCharType="end"/>
            </w:r>
            <w:r w:rsidR="00285DF8" w:rsidRPr="00285DF8">
              <w:rPr>
                <w:color w:val="000000" w:themeColor="text1"/>
                <w:sz w:val="20"/>
                <w:lang w:val="fr-CA"/>
              </w:rPr>
              <w:t xml:space="preserve"> (dissidence non publiée sur </w:t>
            </w:r>
          </w:p>
          <w:p w:rsidR="00285DF8" w:rsidRPr="00285DF8" w:rsidRDefault="00285DF8" w:rsidP="00285DF8">
            <w:pPr>
              <w:jc w:val="both"/>
              <w:rPr>
                <w:color w:val="000000" w:themeColor="text1"/>
                <w:sz w:val="20"/>
                <w:lang w:val="fr-CA"/>
              </w:rPr>
            </w:pPr>
            <w:r w:rsidRPr="00285DF8">
              <w:rPr>
                <w:color w:val="000000" w:themeColor="text1"/>
                <w:sz w:val="20"/>
                <w:lang w:val="fr-CA"/>
              </w:rPr>
              <w:t xml:space="preserve">CanLII); 242 LAC (4th) 1, [2014] AGAA No 6 </w:t>
            </w:r>
          </w:p>
          <w:p w:rsidR="00285DF8" w:rsidRPr="00285DF8" w:rsidRDefault="00285DF8" w:rsidP="00285DF8">
            <w:pPr>
              <w:jc w:val="both"/>
              <w:rPr>
                <w:color w:val="000000" w:themeColor="text1"/>
                <w:sz w:val="20"/>
                <w:lang w:val="fr-CA"/>
              </w:rPr>
            </w:pPr>
            <w:r w:rsidRPr="00285DF8">
              <w:rPr>
                <w:color w:val="000000" w:themeColor="text1"/>
                <w:sz w:val="20"/>
                <w:lang w:val="fr-CA"/>
              </w:rPr>
              <w:t>(y compris la dissidence)</w:t>
            </w:r>
          </w:p>
          <w:p w:rsidR="00285DF8" w:rsidRPr="00285DF8" w:rsidRDefault="00285DF8" w:rsidP="00285DF8">
            <w:pPr>
              <w:jc w:val="both"/>
              <w:rPr>
                <w:color w:val="000000" w:themeColor="text1"/>
                <w:sz w:val="20"/>
                <w:lang w:val="fr-CA"/>
              </w:rPr>
            </w:pPr>
          </w:p>
        </w:tc>
        <w:tc>
          <w:tcPr>
            <w:tcW w:w="243" w:type="pct"/>
          </w:tcPr>
          <w:p w:rsidR="00285DF8" w:rsidRPr="00285DF8" w:rsidRDefault="00285DF8" w:rsidP="00285DF8">
            <w:pPr>
              <w:jc w:val="both"/>
              <w:rPr>
                <w:sz w:val="20"/>
                <w:lang w:val="fr-CA"/>
              </w:rPr>
            </w:pPr>
          </w:p>
        </w:tc>
        <w:tc>
          <w:tcPr>
            <w:tcW w:w="2330" w:type="pct"/>
          </w:tcPr>
          <w:p w:rsidR="00285DF8" w:rsidRPr="00285DF8" w:rsidRDefault="00285DF8" w:rsidP="00285DF8">
            <w:pPr>
              <w:jc w:val="both"/>
              <w:rPr>
                <w:sz w:val="20"/>
                <w:lang w:val="fr-CA"/>
              </w:rPr>
            </w:pPr>
            <w:r w:rsidRPr="00285DF8">
              <w:rPr>
                <w:sz w:val="20"/>
                <w:lang w:val="fr-CA"/>
              </w:rPr>
              <w:t>Sentence accueillant le grief de principe du demandeur</w:t>
            </w:r>
          </w:p>
        </w:tc>
      </w:tr>
      <w:tr w:rsidR="00285DF8" w:rsidRPr="00F31907" w:rsidTr="00B51597">
        <w:tc>
          <w:tcPr>
            <w:tcW w:w="2427" w:type="pct"/>
            <w:gridSpan w:val="2"/>
          </w:tcPr>
          <w:p w:rsidR="00285DF8" w:rsidRPr="00285DF8" w:rsidRDefault="00285DF8" w:rsidP="00285DF8">
            <w:pPr>
              <w:jc w:val="both"/>
              <w:rPr>
                <w:color w:val="000000" w:themeColor="text1"/>
                <w:sz w:val="20"/>
                <w:lang w:val="fr-CA"/>
              </w:rPr>
            </w:pPr>
            <w:r w:rsidRPr="00285DF8">
              <w:rPr>
                <w:color w:val="000000" w:themeColor="text1"/>
                <w:sz w:val="20"/>
                <w:lang w:val="fr-CA"/>
              </w:rPr>
              <w:t>18 mai 2016</w:t>
            </w:r>
          </w:p>
          <w:p w:rsidR="00285DF8" w:rsidRPr="00285DF8" w:rsidRDefault="00285DF8" w:rsidP="00285DF8">
            <w:pPr>
              <w:jc w:val="both"/>
              <w:rPr>
                <w:color w:val="000000" w:themeColor="text1"/>
                <w:sz w:val="20"/>
                <w:lang w:val="fr-CA"/>
              </w:rPr>
            </w:pPr>
            <w:r w:rsidRPr="00285DF8">
              <w:rPr>
                <w:color w:val="000000" w:themeColor="text1"/>
                <w:sz w:val="20"/>
                <w:lang w:val="fr-CA"/>
              </w:rPr>
              <w:t>Cour du Banc de la Reine de l’Alberta</w:t>
            </w:r>
          </w:p>
          <w:p w:rsidR="00285DF8" w:rsidRPr="00285DF8" w:rsidRDefault="00285DF8" w:rsidP="00285DF8">
            <w:pPr>
              <w:jc w:val="both"/>
              <w:rPr>
                <w:color w:val="000000" w:themeColor="text1"/>
                <w:sz w:val="20"/>
                <w:lang w:val="fr-CA"/>
              </w:rPr>
            </w:pPr>
            <w:r w:rsidRPr="00285DF8">
              <w:rPr>
                <w:color w:val="000000" w:themeColor="text1"/>
                <w:sz w:val="20"/>
                <w:lang w:val="fr-CA"/>
              </w:rPr>
              <w:t>(Juge Nixon)</w:t>
            </w:r>
          </w:p>
          <w:p w:rsidR="00285DF8" w:rsidRPr="00285DF8" w:rsidRDefault="00F31907" w:rsidP="00285DF8">
            <w:pPr>
              <w:jc w:val="both"/>
              <w:rPr>
                <w:color w:val="000000" w:themeColor="text1"/>
                <w:sz w:val="20"/>
                <w:lang w:val="fr-CA"/>
              </w:rPr>
            </w:pPr>
            <w:r>
              <w:fldChar w:fldCharType="begin"/>
            </w:r>
            <w:r w:rsidRPr="00F31907">
              <w:rPr>
                <w:lang w:val="fr-CA"/>
              </w:rPr>
              <w:instrText xml:space="preserve"> HYPERLINK "https://www.canlii.org/en/ab/abqb/doc/2016/2016abqb269/2016abqb269.html" </w:instrText>
            </w:r>
            <w:r>
              <w:fldChar w:fldCharType="separate"/>
            </w:r>
            <w:r w:rsidR="00285DF8" w:rsidRPr="00285DF8">
              <w:rPr>
                <w:rStyle w:val="Hyperlink"/>
                <w:color w:val="000000" w:themeColor="text1"/>
                <w:sz w:val="20"/>
                <w:lang w:val="fr-CA"/>
              </w:rPr>
              <w:t>2016 ABQB 269</w:t>
            </w:r>
            <w:r>
              <w:rPr>
                <w:rStyle w:val="Hyperlink"/>
                <w:color w:val="000000" w:themeColor="text1"/>
                <w:sz w:val="20"/>
                <w:lang w:val="fr-CA"/>
              </w:rPr>
              <w:fldChar w:fldCharType="end"/>
            </w:r>
          </w:p>
          <w:p w:rsidR="00285DF8" w:rsidRPr="00285DF8" w:rsidRDefault="00285DF8" w:rsidP="00285DF8">
            <w:pPr>
              <w:jc w:val="both"/>
              <w:rPr>
                <w:color w:val="000000" w:themeColor="text1"/>
                <w:sz w:val="20"/>
                <w:lang w:val="fr-CA"/>
              </w:rPr>
            </w:pPr>
            <w:r w:rsidRPr="00285DF8">
              <w:rPr>
                <w:color w:val="000000" w:themeColor="text1"/>
                <w:sz w:val="20"/>
                <w:lang w:val="fr-CA"/>
              </w:rPr>
              <w:t>N</w:t>
            </w:r>
            <w:r w:rsidRPr="00285DF8">
              <w:rPr>
                <w:color w:val="000000" w:themeColor="text1"/>
                <w:sz w:val="20"/>
                <w:vertAlign w:val="superscript"/>
                <w:lang w:val="fr-CA"/>
              </w:rPr>
              <w:t>o</w:t>
            </w:r>
            <w:r w:rsidRPr="00285DF8">
              <w:rPr>
                <w:color w:val="000000" w:themeColor="text1"/>
                <w:sz w:val="20"/>
                <w:lang w:val="fr-CA"/>
              </w:rPr>
              <w:t xml:space="preserve"> du greffe 1401 03831</w:t>
            </w:r>
          </w:p>
          <w:p w:rsidR="00285DF8" w:rsidRPr="00285DF8" w:rsidRDefault="00285DF8" w:rsidP="00285DF8">
            <w:pPr>
              <w:jc w:val="both"/>
              <w:rPr>
                <w:color w:val="000000" w:themeColor="text1"/>
                <w:sz w:val="20"/>
                <w:lang w:val="fr-CA"/>
              </w:rPr>
            </w:pPr>
          </w:p>
        </w:tc>
        <w:tc>
          <w:tcPr>
            <w:tcW w:w="243" w:type="pct"/>
          </w:tcPr>
          <w:p w:rsidR="00285DF8" w:rsidRPr="00285DF8" w:rsidRDefault="00285DF8" w:rsidP="00285DF8">
            <w:pPr>
              <w:jc w:val="both"/>
              <w:rPr>
                <w:sz w:val="20"/>
                <w:lang w:val="fr-CA"/>
              </w:rPr>
            </w:pPr>
          </w:p>
        </w:tc>
        <w:tc>
          <w:tcPr>
            <w:tcW w:w="2330" w:type="pct"/>
          </w:tcPr>
          <w:p w:rsidR="00285DF8" w:rsidRPr="00285DF8" w:rsidRDefault="00285DF8" w:rsidP="00285DF8">
            <w:pPr>
              <w:jc w:val="both"/>
              <w:rPr>
                <w:sz w:val="20"/>
                <w:lang w:val="fr-CA"/>
              </w:rPr>
            </w:pPr>
            <w:r w:rsidRPr="00285DF8">
              <w:rPr>
                <w:sz w:val="20"/>
                <w:lang w:val="fr-CA"/>
              </w:rPr>
              <w:t xml:space="preserve">Jugement accueillant la demande de contrôle judiciaire et renvoyant l’affaire à une nouvelle formation pour un nouvel examen </w:t>
            </w:r>
          </w:p>
          <w:p w:rsidR="00285DF8" w:rsidRPr="00285DF8" w:rsidRDefault="00285DF8" w:rsidP="00285DF8">
            <w:pPr>
              <w:jc w:val="both"/>
              <w:rPr>
                <w:sz w:val="20"/>
                <w:lang w:val="fr-CA"/>
              </w:rPr>
            </w:pPr>
          </w:p>
        </w:tc>
      </w:tr>
      <w:tr w:rsidR="00285DF8" w:rsidRPr="00285DF8" w:rsidTr="00B51597">
        <w:tc>
          <w:tcPr>
            <w:tcW w:w="2427" w:type="pct"/>
            <w:gridSpan w:val="2"/>
          </w:tcPr>
          <w:p w:rsidR="00285DF8" w:rsidRPr="00285DF8" w:rsidRDefault="00285DF8" w:rsidP="00285DF8">
            <w:pPr>
              <w:jc w:val="both"/>
              <w:rPr>
                <w:sz w:val="20"/>
                <w:lang w:val="fr-CA"/>
              </w:rPr>
            </w:pPr>
            <w:r w:rsidRPr="00285DF8">
              <w:rPr>
                <w:sz w:val="20"/>
                <w:lang w:val="fr-CA"/>
              </w:rPr>
              <w:t>28 septembre 2017</w:t>
            </w:r>
          </w:p>
          <w:p w:rsidR="00285DF8" w:rsidRPr="00285DF8" w:rsidRDefault="00285DF8" w:rsidP="00285DF8">
            <w:pPr>
              <w:jc w:val="both"/>
              <w:rPr>
                <w:sz w:val="20"/>
                <w:lang w:val="fr-CA"/>
              </w:rPr>
            </w:pPr>
            <w:r w:rsidRPr="00285DF8">
              <w:rPr>
                <w:sz w:val="20"/>
                <w:lang w:val="fr-CA"/>
              </w:rPr>
              <w:t>Cour d’appel de l’Alberta (Calgary)</w:t>
            </w:r>
          </w:p>
          <w:p w:rsidR="00285DF8" w:rsidRPr="00285DF8" w:rsidRDefault="00285DF8" w:rsidP="00285DF8">
            <w:pPr>
              <w:jc w:val="both"/>
              <w:rPr>
                <w:color w:val="000000" w:themeColor="text1"/>
                <w:sz w:val="20"/>
                <w:lang w:val="fr-CA"/>
              </w:rPr>
            </w:pPr>
            <w:r w:rsidRPr="00285DF8">
              <w:rPr>
                <w:sz w:val="20"/>
                <w:lang w:val="fr-CA"/>
              </w:rPr>
              <w:t xml:space="preserve">(Juges </w:t>
            </w:r>
            <w:r w:rsidRPr="00285DF8">
              <w:rPr>
                <w:color w:val="000000" w:themeColor="text1"/>
                <w:sz w:val="20"/>
                <w:lang w:val="fr-CA"/>
              </w:rPr>
              <w:t>McDonald, Veldhuis et Schutz)</w:t>
            </w:r>
          </w:p>
          <w:p w:rsidR="00285DF8" w:rsidRPr="00285DF8" w:rsidRDefault="00F31907" w:rsidP="00285DF8">
            <w:pPr>
              <w:jc w:val="both"/>
              <w:rPr>
                <w:color w:val="000000" w:themeColor="text1"/>
                <w:sz w:val="20"/>
                <w:lang w:val="fr-CA"/>
              </w:rPr>
            </w:pPr>
            <w:hyperlink r:id="rId28" w:history="1">
              <w:r w:rsidR="00285DF8" w:rsidRPr="00285DF8">
                <w:rPr>
                  <w:rStyle w:val="Hyperlink"/>
                  <w:color w:val="000000" w:themeColor="text1"/>
                  <w:sz w:val="20"/>
                  <w:lang w:val="fr-CA"/>
                </w:rPr>
                <w:t>2017 ABCA 313</w:t>
              </w:r>
            </w:hyperlink>
            <w:r w:rsidR="00285DF8" w:rsidRPr="00285DF8">
              <w:rPr>
                <w:color w:val="000000" w:themeColor="text1"/>
                <w:sz w:val="20"/>
                <w:lang w:val="fr-CA"/>
              </w:rPr>
              <w:t xml:space="preserve"> </w:t>
            </w:r>
          </w:p>
          <w:p w:rsidR="00285DF8" w:rsidRPr="00285DF8" w:rsidRDefault="00285DF8" w:rsidP="00285DF8">
            <w:pPr>
              <w:jc w:val="both"/>
              <w:rPr>
                <w:color w:val="000000" w:themeColor="text1"/>
                <w:sz w:val="20"/>
                <w:lang w:val="fr-CA"/>
              </w:rPr>
            </w:pPr>
            <w:r w:rsidRPr="00285DF8">
              <w:rPr>
                <w:color w:val="000000" w:themeColor="text1"/>
                <w:sz w:val="20"/>
                <w:lang w:val="fr-CA"/>
              </w:rPr>
              <w:t>N</w:t>
            </w:r>
            <w:r w:rsidRPr="00285DF8">
              <w:rPr>
                <w:color w:val="000000" w:themeColor="text1"/>
                <w:sz w:val="20"/>
                <w:vertAlign w:val="superscript"/>
                <w:lang w:val="fr-CA"/>
              </w:rPr>
              <w:t>o</w:t>
            </w:r>
            <w:r w:rsidRPr="00285DF8">
              <w:rPr>
                <w:color w:val="000000" w:themeColor="text1"/>
                <w:sz w:val="20"/>
                <w:lang w:val="fr-CA"/>
              </w:rPr>
              <w:t xml:space="preserve"> du greffe : 1601-0146-AC</w:t>
            </w:r>
          </w:p>
          <w:p w:rsidR="00285DF8" w:rsidRPr="00285DF8" w:rsidRDefault="00285DF8" w:rsidP="00285DF8">
            <w:pPr>
              <w:jc w:val="both"/>
              <w:rPr>
                <w:sz w:val="20"/>
                <w:lang w:val="fr-CA"/>
              </w:rPr>
            </w:pPr>
          </w:p>
        </w:tc>
        <w:tc>
          <w:tcPr>
            <w:tcW w:w="243" w:type="pct"/>
          </w:tcPr>
          <w:p w:rsidR="00285DF8" w:rsidRPr="00285DF8" w:rsidRDefault="00285DF8" w:rsidP="00285DF8">
            <w:pPr>
              <w:jc w:val="both"/>
              <w:rPr>
                <w:sz w:val="20"/>
                <w:lang w:val="fr-CA"/>
              </w:rPr>
            </w:pPr>
          </w:p>
        </w:tc>
        <w:tc>
          <w:tcPr>
            <w:tcW w:w="2330" w:type="pct"/>
          </w:tcPr>
          <w:p w:rsidR="00285DF8" w:rsidRPr="00285DF8" w:rsidRDefault="00285DF8" w:rsidP="00285DF8">
            <w:pPr>
              <w:jc w:val="both"/>
              <w:rPr>
                <w:sz w:val="20"/>
                <w:lang w:val="fr-CA"/>
              </w:rPr>
            </w:pPr>
            <w:r w:rsidRPr="00285DF8">
              <w:rPr>
                <w:sz w:val="20"/>
                <w:lang w:val="fr-CA"/>
              </w:rPr>
              <w:t>Rejet de l’appel</w:t>
            </w:r>
          </w:p>
          <w:p w:rsidR="00285DF8" w:rsidRPr="00285DF8" w:rsidRDefault="00285DF8" w:rsidP="00285DF8">
            <w:pPr>
              <w:jc w:val="both"/>
              <w:rPr>
                <w:sz w:val="20"/>
                <w:lang w:val="fr-CA"/>
              </w:rPr>
            </w:pPr>
          </w:p>
        </w:tc>
      </w:tr>
      <w:tr w:rsidR="00285DF8" w:rsidRPr="00F31907" w:rsidTr="00B51597">
        <w:tc>
          <w:tcPr>
            <w:tcW w:w="2427" w:type="pct"/>
            <w:gridSpan w:val="2"/>
          </w:tcPr>
          <w:p w:rsidR="00285DF8" w:rsidRPr="00285DF8" w:rsidRDefault="00285DF8" w:rsidP="00285DF8">
            <w:pPr>
              <w:jc w:val="both"/>
              <w:rPr>
                <w:sz w:val="20"/>
                <w:lang w:val="fr-CA"/>
              </w:rPr>
            </w:pPr>
            <w:r w:rsidRPr="00285DF8">
              <w:rPr>
                <w:sz w:val="20"/>
                <w:lang w:val="fr-CA"/>
              </w:rPr>
              <w:t>22 novembre 2017</w:t>
            </w:r>
          </w:p>
          <w:p w:rsidR="00285DF8" w:rsidRPr="00285DF8" w:rsidRDefault="00285DF8" w:rsidP="00285DF8">
            <w:pPr>
              <w:jc w:val="both"/>
              <w:rPr>
                <w:sz w:val="20"/>
                <w:lang w:val="fr-CA"/>
              </w:rPr>
            </w:pPr>
            <w:r w:rsidRPr="00285DF8">
              <w:rPr>
                <w:sz w:val="20"/>
                <w:lang w:val="fr-CA"/>
              </w:rPr>
              <w:t>Cour suprême du Canada</w:t>
            </w:r>
          </w:p>
        </w:tc>
        <w:tc>
          <w:tcPr>
            <w:tcW w:w="243" w:type="pct"/>
          </w:tcPr>
          <w:p w:rsidR="00285DF8" w:rsidRPr="00285DF8" w:rsidRDefault="00285DF8" w:rsidP="00285DF8">
            <w:pPr>
              <w:jc w:val="both"/>
              <w:rPr>
                <w:sz w:val="20"/>
                <w:lang w:val="fr-CA"/>
              </w:rPr>
            </w:pPr>
          </w:p>
        </w:tc>
        <w:tc>
          <w:tcPr>
            <w:tcW w:w="2330" w:type="pct"/>
          </w:tcPr>
          <w:p w:rsidR="00285DF8" w:rsidRPr="00285DF8" w:rsidRDefault="00285DF8" w:rsidP="00285DF8">
            <w:pPr>
              <w:jc w:val="both"/>
              <w:rPr>
                <w:sz w:val="20"/>
                <w:lang w:val="fr-CA"/>
              </w:rPr>
            </w:pPr>
            <w:r w:rsidRPr="00285DF8">
              <w:rPr>
                <w:sz w:val="20"/>
                <w:lang w:val="fr-CA"/>
              </w:rPr>
              <w:t>Dépôt de la demande d’autorisation d’appel</w:t>
            </w:r>
          </w:p>
        </w:tc>
      </w:tr>
    </w:tbl>
    <w:p w:rsidR="00285DF8" w:rsidRPr="00285DF8" w:rsidRDefault="00285DF8" w:rsidP="00714B95">
      <w:pPr>
        <w:jc w:val="both"/>
        <w:rPr>
          <w:sz w:val="20"/>
          <w:lang w:val="fr-CA"/>
        </w:rPr>
      </w:pPr>
    </w:p>
    <w:p w:rsidR="00285DF8" w:rsidRPr="00285DF8" w:rsidRDefault="00285DF8" w:rsidP="00714B95">
      <w:pPr>
        <w:jc w:val="both"/>
        <w:rPr>
          <w:sz w:val="20"/>
          <w:lang w:val="fr-CA"/>
        </w:rPr>
      </w:pPr>
    </w:p>
    <w:p w:rsidR="00751ADF" w:rsidRPr="00285DF8" w:rsidRDefault="00751ADF" w:rsidP="00714B95">
      <w:pPr>
        <w:jc w:val="both"/>
        <w:rPr>
          <w:sz w:val="20"/>
          <w:lang w:val="fr-CA"/>
        </w:rPr>
      </w:pPr>
    </w:p>
    <w:p w:rsidR="00D3344A" w:rsidRPr="00DD0581" w:rsidRDefault="00D3344A" w:rsidP="00D3344A">
      <w:pPr>
        <w:widowControl w:val="0"/>
        <w:outlineLvl w:val="0"/>
      </w:pPr>
      <w:r w:rsidRPr="00DD0581">
        <w:t xml:space="preserve">Supreme Court of Canada / Cour suprême du </w:t>
      </w:r>
      <w:proofErr w:type="gramStart"/>
      <w:r w:rsidRPr="00DD0581">
        <w:t>Canad</w:t>
      </w:r>
      <w:r w:rsidR="00EE289F" w:rsidRPr="00DD0581">
        <w:t>a</w:t>
      </w:r>
      <w:r w:rsidRPr="00DD0581">
        <w:t xml:space="preserve"> :</w:t>
      </w:r>
      <w:proofErr w:type="gramEnd"/>
    </w:p>
    <w:p w:rsidR="00D3344A" w:rsidRPr="00DD0581" w:rsidRDefault="00F31907" w:rsidP="00D3344A">
      <w:pPr>
        <w:widowControl w:val="0"/>
        <w:outlineLvl w:val="0"/>
        <w:rPr>
          <w:u w:val="single"/>
        </w:rPr>
      </w:pPr>
      <w:hyperlink r:id="rId29" w:history="1">
        <w:r w:rsidR="009B7391" w:rsidRPr="00DD0581">
          <w:rPr>
            <w:rStyle w:val="Hyperlink"/>
          </w:rPr>
          <w:t>comments-commentaires@scc-csc.ca</w:t>
        </w:r>
      </w:hyperlink>
    </w:p>
    <w:p w:rsidR="00D3344A" w:rsidRPr="00DD0581" w:rsidRDefault="0065588C" w:rsidP="00D3344A">
      <w:pPr>
        <w:widowControl w:val="0"/>
        <w:outlineLvl w:val="0"/>
      </w:pPr>
      <w:r w:rsidRPr="00DD0581">
        <w:t>613-</w:t>
      </w:r>
      <w:r w:rsidR="00D3344A" w:rsidRPr="00DD0581">
        <w:t>995-4330</w:t>
      </w:r>
    </w:p>
    <w:p w:rsidR="00497B5E" w:rsidRPr="00DD0581" w:rsidRDefault="00497B5E" w:rsidP="00497B5E">
      <w:pPr>
        <w:widowControl w:val="0"/>
        <w:rPr>
          <w:sz w:val="20"/>
        </w:rPr>
      </w:pPr>
    </w:p>
    <w:p w:rsidR="00F6251B" w:rsidRPr="006E558B" w:rsidRDefault="003F43E6" w:rsidP="00F6251B">
      <w:pPr>
        <w:pStyle w:val="Footer"/>
        <w:jc w:val="center"/>
      </w:pPr>
      <w:r w:rsidRPr="00DD0581">
        <w:t>- 30 -</w:t>
      </w:r>
    </w:p>
    <w:sectPr w:rsidR="00F6251B" w:rsidRPr="006E558B" w:rsidSect="00524822">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75A26DA"/>
    <w:multiLevelType w:val="hybridMultilevel"/>
    <w:tmpl w:val="64CC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50392"/>
    <w:multiLevelType w:val="hybridMultilevel"/>
    <w:tmpl w:val="2DAEB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C0F2001"/>
    <w:multiLevelType w:val="hybridMultilevel"/>
    <w:tmpl w:val="B7E436B4"/>
    <w:lvl w:ilvl="0" w:tplc="35C2D318">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F06DF3"/>
    <w:multiLevelType w:val="hybridMultilevel"/>
    <w:tmpl w:val="FC62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95780"/>
    <w:multiLevelType w:val="hybridMultilevel"/>
    <w:tmpl w:val="86F84530"/>
    <w:lvl w:ilvl="0" w:tplc="BA5872E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7510E3"/>
    <w:multiLevelType w:val="hybridMultilevel"/>
    <w:tmpl w:val="5EF07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6168AC"/>
    <w:multiLevelType w:val="hybridMultilevel"/>
    <w:tmpl w:val="A9746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5676B"/>
    <w:multiLevelType w:val="hybridMultilevel"/>
    <w:tmpl w:val="8F90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43A48"/>
    <w:multiLevelType w:val="hybridMultilevel"/>
    <w:tmpl w:val="1B66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1C20DE"/>
    <w:multiLevelType w:val="hybridMultilevel"/>
    <w:tmpl w:val="ABF08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2146F"/>
    <w:multiLevelType w:val="hybridMultilevel"/>
    <w:tmpl w:val="BBEE1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424751"/>
    <w:multiLevelType w:val="hybridMultilevel"/>
    <w:tmpl w:val="825A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C3202"/>
    <w:multiLevelType w:val="hybridMultilevel"/>
    <w:tmpl w:val="5A20E8CE"/>
    <w:lvl w:ilvl="0" w:tplc="E02A4126">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71ADB"/>
    <w:multiLevelType w:val="hybridMultilevel"/>
    <w:tmpl w:val="EDD0C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0604E"/>
    <w:multiLevelType w:val="hybridMultilevel"/>
    <w:tmpl w:val="C720B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C93E64"/>
    <w:multiLevelType w:val="hybridMultilevel"/>
    <w:tmpl w:val="6368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462CD"/>
    <w:multiLevelType w:val="hybridMultilevel"/>
    <w:tmpl w:val="486C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00015"/>
    <w:multiLevelType w:val="hybridMultilevel"/>
    <w:tmpl w:val="AF02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87D5918"/>
    <w:multiLevelType w:val="hybridMultilevel"/>
    <w:tmpl w:val="8460EDB6"/>
    <w:lvl w:ilvl="0" w:tplc="E16228F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714D6"/>
    <w:multiLevelType w:val="hybridMultilevel"/>
    <w:tmpl w:val="3874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C686D"/>
    <w:multiLevelType w:val="hybridMultilevel"/>
    <w:tmpl w:val="D2CEC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F2F00"/>
    <w:multiLevelType w:val="hybridMultilevel"/>
    <w:tmpl w:val="8D72B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F6522A"/>
    <w:multiLevelType w:val="hybridMultilevel"/>
    <w:tmpl w:val="DAACB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num>
  <w:num w:numId="2">
    <w:abstractNumId w:val="1"/>
  </w:num>
  <w:num w:numId="3">
    <w:abstractNumId w:val="0"/>
  </w:num>
  <w:num w:numId="4">
    <w:abstractNumId w:val="10"/>
  </w:num>
  <w:num w:numId="5">
    <w:abstractNumId w:val="18"/>
  </w:num>
  <w:num w:numId="6">
    <w:abstractNumId w:val="15"/>
  </w:num>
  <w:num w:numId="7">
    <w:abstractNumId w:val="2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2"/>
  </w:num>
  <w:num w:numId="11">
    <w:abstractNumId w:val="4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28"/>
  </w:num>
  <w:num w:numId="16">
    <w:abstractNumId w:val="37"/>
  </w:num>
  <w:num w:numId="17">
    <w:abstractNumId w:val="26"/>
  </w:num>
  <w:num w:numId="18">
    <w:abstractNumId w:val="35"/>
  </w:num>
  <w:num w:numId="19">
    <w:abstractNumId w:val="33"/>
  </w:num>
  <w:num w:numId="20">
    <w:abstractNumId w:val="38"/>
  </w:num>
  <w:num w:numId="21">
    <w:abstractNumId w:val="29"/>
  </w:num>
  <w:num w:numId="22">
    <w:abstractNumId w:val="20"/>
  </w:num>
  <w:num w:numId="23">
    <w:abstractNumId w:val="5"/>
  </w:num>
  <w:num w:numId="24">
    <w:abstractNumId w:val="44"/>
  </w:num>
  <w:num w:numId="25">
    <w:abstractNumId w:val="13"/>
  </w:num>
  <w:num w:numId="26">
    <w:abstractNumId w:val="9"/>
  </w:num>
  <w:num w:numId="27">
    <w:abstractNumId w:val="42"/>
  </w:num>
  <w:num w:numId="28">
    <w:abstractNumId w:val="30"/>
  </w:num>
  <w:num w:numId="29">
    <w:abstractNumId w:val="12"/>
  </w:num>
  <w:num w:numId="30">
    <w:abstractNumId w:val="34"/>
  </w:num>
  <w:num w:numId="31">
    <w:abstractNumId w:val="22"/>
  </w:num>
  <w:num w:numId="32">
    <w:abstractNumId w:val="6"/>
  </w:num>
  <w:num w:numId="33">
    <w:abstractNumId w:val="19"/>
  </w:num>
  <w:num w:numId="34">
    <w:abstractNumId w:val="36"/>
  </w:num>
  <w:num w:numId="35">
    <w:abstractNumId w:val="39"/>
  </w:num>
  <w:num w:numId="36">
    <w:abstractNumId w:val="43"/>
  </w:num>
  <w:num w:numId="37">
    <w:abstractNumId w:val="31"/>
  </w:num>
  <w:num w:numId="38">
    <w:abstractNumId w:val="14"/>
  </w:num>
  <w:num w:numId="39">
    <w:abstractNumId w:val="11"/>
  </w:num>
  <w:num w:numId="40">
    <w:abstractNumId w:val="16"/>
  </w:num>
  <w:num w:numId="41">
    <w:abstractNumId w:val="17"/>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4"/>
  </w:num>
  <w:num w:numId="45">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83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650"/>
    <w:rsid w:val="00041B58"/>
    <w:rsid w:val="00042069"/>
    <w:rsid w:val="00042390"/>
    <w:rsid w:val="0004298B"/>
    <w:rsid w:val="000437B4"/>
    <w:rsid w:val="00043D20"/>
    <w:rsid w:val="00043FDE"/>
    <w:rsid w:val="000467DE"/>
    <w:rsid w:val="00046CB2"/>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31F"/>
    <w:rsid w:val="000627A2"/>
    <w:rsid w:val="000629D7"/>
    <w:rsid w:val="0006325B"/>
    <w:rsid w:val="00063A81"/>
    <w:rsid w:val="0006417A"/>
    <w:rsid w:val="000645F4"/>
    <w:rsid w:val="000657E8"/>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5EAA"/>
    <w:rsid w:val="001665EA"/>
    <w:rsid w:val="00166949"/>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C82"/>
    <w:rsid w:val="001B2F6B"/>
    <w:rsid w:val="001B3657"/>
    <w:rsid w:val="001B3EDD"/>
    <w:rsid w:val="001B3EE2"/>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E7C87"/>
    <w:rsid w:val="001F15CD"/>
    <w:rsid w:val="001F1A6D"/>
    <w:rsid w:val="001F1F3F"/>
    <w:rsid w:val="001F27B1"/>
    <w:rsid w:val="001F2F00"/>
    <w:rsid w:val="001F348D"/>
    <w:rsid w:val="001F3AE7"/>
    <w:rsid w:val="001F47D0"/>
    <w:rsid w:val="001F5B11"/>
    <w:rsid w:val="001F69E8"/>
    <w:rsid w:val="001F7038"/>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5DF8"/>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1CFA"/>
    <w:rsid w:val="002C239C"/>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AB7"/>
    <w:rsid w:val="002E1AF1"/>
    <w:rsid w:val="002E24D4"/>
    <w:rsid w:val="002E293D"/>
    <w:rsid w:val="002E2A27"/>
    <w:rsid w:val="002E3911"/>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144"/>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1D3D"/>
    <w:rsid w:val="004020AB"/>
    <w:rsid w:val="004026BA"/>
    <w:rsid w:val="00403038"/>
    <w:rsid w:val="004030D5"/>
    <w:rsid w:val="0040388F"/>
    <w:rsid w:val="004050B4"/>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1E5"/>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676"/>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932"/>
    <w:rsid w:val="00531C3D"/>
    <w:rsid w:val="0053277C"/>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FF4"/>
    <w:rsid w:val="00573C76"/>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B48"/>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12E"/>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5439"/>
    <w:rsid w:val="006F713E"/>
    <w:rsid w:val="006F750C"/>
    <w:rsid w:val="006F7EB1"/>
    <w:rsid w:val="00700A36"/>
    <w:rsid w:val="00700AD5"/>
    <w:rsid w:val="00701834"/>
    <w:rsid w:val="0070199E"/>
    <w:rsid w:val="007019C6"/>
    <w:rsid w:val="00701BDD"/>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695A"/>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3353"/>
    <w:rsid w:val="00743655"/>
    <w:rsid w:val="0074467F"/>
    <w:rsid w:val="00744F24"/>
    <w:rsid w:val="0074501E"/>
    <w:rsid w:val="00745868"/>
    <w:rsid w:val="00746472"/>
    <w:rsid w:val="00746CD0"/>
    <w:rsid w:val="00746F76"/>
    <w:rsid w:val="00747C5A"/>
    <w:rsid w:val="00747CD0"/>
    <w:rsid w:val="007500B9"/>
    <w:rsid w:val="007516D1"/>
    <w:rsid w:val="00751ADF"/>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6875"/>
    <w:rsid w:val="008A0D44"/>
    <w:rsid w:val="008A1084"/>
    <w:rsid w:val="008A1C2F"/>
    <w:rsid w:val="008A1DA7"/>
    <w:rsid w:val="008A29BC"/>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CD5"/>
    <w:rsid w:val="008E2DF1"/>
    <w:rsid w:val="008E3BD0"/>
    <w:rsid w:val="008E53E7"/>
    <w:rsid w:val="008E5B3B"/>
    <w:rsid w:val="008E63EA"/>
    <w:rsid w:val="008E7537"/>
    <w:rsid w:val="008E7C23"/>
    <w:rsid w:val="008E7F8D"/>
    <w:rsid w:val="008F06E9"/>
    <w:rsid w:val="008F11C4"/>
    <w:rsid w:val="008F2850"/>
    <w:rsid w:val="008F2FC2"/>
    <w:rsid w:val="008F302C"/>
    <w:rsid w:val="008F3E18"/>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5752"/>
    <w:rsid w:val="00946910"/>
    <w:rsid w:val="00946D18"/>
    <w:rsid w:val="00947C38"/>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AD8"/>
    <w:rsid w:val="009F096D"/>
    <w:rsid w:val="009F0C01"/>
    <w:rsid w:val="009F0D41"/>
    <w:rsid w:val="009F161C"/>
    <w:rsid w:val="009F1B97"/>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09E"/>
    <w:rsid w:val="00AA53A0"/>
    <w:rsid w:val="00AA6484"/>
    <w:rsid w:val="00AA66A3"/>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3B0"/>
    <w:rsid w:val="00C418F0"/>
    <w:rsid w:val="00C419F7"/>
    <w:rsid w:val="00C42040"/>
    <w:rsid w:val="00C42448"/>
    <w:rsid w:val="00C4313B"/>
    <w:rsid w:val="00C435AB"/>
    <w:rsid w:val="00C44016"/>
    <w:rsid w:val="00C45F01"/>
    <w:rsid w:val="00C4698C"/>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1406"/>
    <w:rsid w:val="00D015A7"/>
    <w:rsid w:val="00D0250E"/>
    <w:rsid w:val="00D0423A"/>
    <w:rsid w:val="00D048C7"/>
    <w:rsid w:val="00D04A90"/>
    <w:rsid w:val="00D05D7C"/>
    <w:rsid w:val="00D06573"/>
    <w:rsid w:val="00D06EF2"/>
    <w:rsid w:val="00D07131"/>
    <w:rsid w:val="00D07526"/>
    <w:rsid w:val="00D07E3B"/>
    <w:rsid w:val="00D10705"/>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9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377"/>
    <w:rsid w:val="00E81E0D"/>
    <w:rsid w:val="00E829B0"/>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340D"/>
    <w:rsid w:val="00EC43F0"/>
    <w:rsid w:val="00EC4BBD"/>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231A"/>
    <w:rsid w:val="00EE24D6"/>
    <w:rsid w:val="00EE289F"/>
    <w:rsid w:val="00EE59C6"/>
    <w:rsid w:val="00EE69B9"/>
    <w:rsid w:val="00EE75E5"/>
    <w:rsid w:val="00EE76C8"/>
    <w:rsid w:val="00EF0066"/>
    <w:rsid w:val="00EF1864"/>
    <w:rsid w:val="00EF26B4"/>
    <w:rsid w:val="00EF2732"/>
    <w:rsid w:val="00EF2A9D"/>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907"/>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B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8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915" TargetMode="External"/><Relationship Id="rId13" Type="http://schemas.openxmlformats.org/officeDocument/2006/relationships/hyperlink" Target="https://www.canlii.org/en/on/onscdc/doc/2016/2016onsc7034/2016onsc7034.html" TargetMode="External"/><Relationship Id="rId18" Type="http://schemas.openxmlformats.org/officeDocument/2006/relationships/hyperlink" Target="https://www.canlii.org/en/bc/bcsc/doc/2016/2016bcsc1856/2016bcsc1856.html" TargetMode="External"/><Relationship Id="rId26" Type="http://schemas.openxmlformats.org/officeDocument/2006/relationships/hyperlink" Target="https://www.canlii.org/en/ab/abqb/doc/2016/2016abqb269/2016abqb269.html" TargetMode="External"/><Relationship Id="rId3" Type="http://schemas.openxmlformats.org/officeDocument/2006/relationships/settings" Target="settings.xml"/><Relationship Id="rId21" Type="http://schemas.openxmlformats.org/officeDocument/2006/relationships/hyperlink" Target="https://www.canlii.org/en/bc/bcca/doc/2017/2017bcca401/2017bcca401.html?autocompleteStr=2017%20BCCA%20401&amp;autocompletePos=1" TargetMode="External"/><Relationship Id="rId34" Type="http://schemas.openxmlformats.org/officeDocument/2006/relationships/header" Target="header3.xml"/><Relationship Id="rId7" Type="http://schemas.openxmlformats.org/officeDocument/2006/relationships/hyperlink" Target="http://www.scc-csc.ca/case-dossier/info/sum-som-eng.aspx?cas=37851" TargetMode="External"/><Relationship Id="rId12" Type="http://schemas.openxmlformats.org/officeDocument/2006/relationships/hyperlink" Target="https://www.canlii.org/en/on/onscdc/doc/2016/2016onsc7034/2016onsc7034.html" TargetMode="External"/><Relationship Id="rId17" Type="http://schemas.openxmlformats.org/officeDocument/2006/relationships/hyperlink" Target="http://canlii.ca/t/hnsn0" TargetMode="External"/><Relationship Id="rId25" Type="http://schemas.openxmlformats.org/officeDocument/2006/relationships/hyperlink" Target="https://www.canlii.org/en/ab/abgaa/doc/2014/2014canlii23034/2014canlii23034.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anlii.org/fr/ca/cfpi/doc/2015/2015cf997/2015cf997.html" TargetMode="External"/><Relationship Id="rId20" Type="http://schemas.openxmlformats.org/officeDocument/2006/relationships/hyperlink" Target="https://www.canlii.org/en/bc/bcsc/doc/2016/2016bcsc1856/2016bcsc1856.html" TargetMode="External"/><Relationship Id="rId29" Type="http://schemas.openxmlformats.org/officeDocument/2006/relationships/hyperlink" Target="mailto:comments-commentaires@scc-c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854" TargetMode="External"/><Relationship Id="rId24" Type="http://schemas.openxmlformats.org/officeDocument/2006/relationships/hyperlink" Target="https://www.canlii.org/en/ca/scc/doc/2013/2013scc34/2013scc34.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nlii.ca/t/hnsn0" TargetMode="External"/><Relationship Id="rId23" Type="http://schemas.openxmlformats.org/officeDocument/2006/relationships/hyperlink" Target="http://canlii.ca/t/h6cdr" TargetMode="External"/><Relationship Id="rId28" Type="http://schemas.openxmlformats.org/officeDocument/2006/relationships/hyperlink" Target="https://www.canlii.org/en/ab/abca/doc/2017/2017abca313/2017abca313.html" TargetMode="External"/><Relationship Id="rId36" Type="http://schemas.openxmlformats.org/officeDocument/2006/relationships/fontTable" Target="fontTable.xml"/><Relationship Id="rId10" Type="http://schemas.openxmlformats.org/officeDocument/2006/relationships/hyperlink" Target="http://www.scc-csc.ca/case-dossier/info/sum-som-eng.aspx?cas=37836" TargetMode="External"/><Relationship Id="rId19" Type="http://schemas.openxmlformats.org/officeDocument/2006/relationships/hyperlink" Target="https://www.canlii.org/en/bc/bcca/doc/2017/2017bcca401/2017bcca401.html?autocompleteStr=2017%20BCCA%20401&amp;autocompletePos=1"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cc-csc.ca/case-dossier/info/sum-som-eng.aspx?cas=37919" TargetMode="External"/><Relationship Id="rId14" Type="http://schemas.openxmlformats.org/officeDocument/2006/relationships/hyperlink" Target="http://canlii.ca/t/gktx7" TargetMode="External"/><Relationship Id="rId22" Type="http://schemas.openxmlformats.org/officeDocument/2006/relationships/hyperlink" Target="http://canlii.ca/t/h6cdr" TargetMode="External"/><Relationship Id="rId27" Type="http://schemas.openxmlformats.org/officeDocument/2006/relationships/hyperlink" Target="https://www.canlii.org/en/ab/abca/doc/2017/2017abca313/2017abca313.html"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5121</Words>
  <Characters>29194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34247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2018-06-08T18:15:00Z</dcterms:created>
  <dcterms:modified xsi:type="dcterms:W3CDTF">2018-06-11T13:21:00Z</dcterms:modified>
</cp:coreProperties>
</file>