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3EF9" w:rsidRDefault="003F43E6" w:rsidP="00E0055E">
      <w:pPr>
        <w:pStyle w:val="Header"/>
        <w:jc w:val="center"/>
        <w:rPr>
          <w:b/>
          <w:sz w:val="32"/>
        </w:rPr>
      </w:pPr>
      <w:r w:rsidRPr="00303EF9">
        <w:rPr>
          <w:b/>
          <w:sz w:val="32"/>
        </w:rPr>
        <w:t>Supreme Court of Canada / Cour suprême du Canada</w:t>
      </w:r>
    </w:p>
    <w:p w:rsidR="003F43E6" w:rsidRPr="00303EF9" w:rsidRDefault="003F43E6" w:rsidP="00E0055E">
      <w:pPr>
        <w:widowControl w:val="0"/>
        <w:rPr>
          <w:i/>
        </w:rPr>
      </w:pPr>
    </w:p>
    <w:p w:rsidR="003F43E6" w:rsidRPr="00303EF9" w:rsidRDefault="003F43E6" w:rsidP="00E0055E">
      <w:pPr>
        <w:widowControl w:val="0"/>
        <w:rPr>
          <w:i/>
        </w:rPr>
      </w:pPr>
    </w:p>
    <w:p w:rsidR="006F2579" w:rsidRPr="00303EF9" w:rsidRDefault="006F2579" w:rsidP="00E0055E">
      <w:pPr>
        <w:widowControl w:val="0"/>
        <w:rPr>
          <w:i/>
          <w:lang w:val="fr-CA"/>
        </w:rPr>
      </w:pPr>
      <w:r w:rsidRPr="00303EF9">
        <w:rPr>
          <w:i/>
          <w:lang w:val="fr-CA"/>
        </w:rPr>
        <w:t>(</w:t>
      </w:r>
      <w:proofErr w:type="gramStart"/>
      <w:r w:rsidRPr="00303EF9">
        <w:rPr>
          <w:i/>
          <w:lang w:val="fr-CA"/>
        </w:rPr>
        <w:t>le</w:t>
      </w:r>
      <w:proofErr w:type="gramEnd"/>
      <w:r w:rsidRPr="00303EF9">
        <w:rPr>
          <w:i/>
          <w:lang w:val="fr-CA"/>
        </w:rPr>
        <w:t xml:space="preserve"> français suit)</w:t>
      </w:r>
    </w:p>
    <w:p w:rsidR="006F2579" w:rsidRPr="00303EF9" w:rsidRDefault="006F2579" w:rsidP="00E0055E">
      <w:pPr>
        <w:widowControl w:val="0"/>
        <w:rPr>
          <w:lang w:val="fr-CA"/>
        </w:rPr>
      </w:pPr>
    </w:p>
    <w:p w:rsidR="006F2579" w:rsidRPr="00303EF9" w:rsidRDefault="00C007C3" w:rsidP="00E0055E">
      <w:pPr>
        <w:widowControl w:val="0"/>
        <w:jc w:val="center"/>
        <w:rPr>
          <w:b/>
          <w:lang w:val="fr-CA"/>
        </w:rPr>
      </w:pPr>
      <w:r w:rsidRPr="00303EF9">
        <w:fldChar w:fldCharType="begin"/>
      </w:r>
      <w:r w:rsidR="006F2579" w:rsidRPr="00303EF9">
        <w:rPr>
          <w:lang w:val="fr-CA"/>
        </w:rPr>
        <w:instrText xml:space="preserve"> SEQ CHAPTER \h \r 1</w:instrText>
      </w:r>
      <w:r w:rsidRPr="00303EF9">
        <w:fldChar w:fldCharType="end"/>
      </w:r>
      <w:r w:rsidR="002767DF" w:rsidRPr="00303EF9">
        <w:rPr>
          <w:b/>
          <w:lang w:val="fr-CA"/>
        </w:rPr>
        <w:t xml:space="preserve">JUDGMENTS </w:t>
      </w:r>
      <w:r w:rsidR="004C4C26" w:rsidRPr="00303EF9">
        <w:rPr>
          <w:b/>
          <w:lang w:val="fr-CA"/>
        </w:rPr>
        <w:t>IN LEAVE APPLICATION</w:t>
      </w:r>
      <w:r w:rsidR="00005B6D" w:rsidRPr="00303EF9">
        <w:rPr>
          <w:b/>
          <w:lang w:val="fr-CA"/>
        </w:rPr>
        <w:t>S</w:t>
      </w:r>
    </w:p>
    <w:p w:rsidR="006F2579" w:rsidRPr="00303EF9" w:rsidRDefault="006F2579" w:rsidP="00E0055E">
      <w:pPr>
        <w:widowControl w:val="0"/>
        <w:rPr>
          <w:b/>
          <w:lang w:val="fr-CA"/>
        </w:rPr>
      </w:pPr>
    </w:p>
    <w:p w:rsidR="006F2579" w:rsidRPr="00303EF9" w:rsidRDefault="00DC7C53" w:rsidP="00E0055E">
      <w:pPr>
        <w:widowControl w:val="0"/>
        <w:rPr>
          <w:b/>
        </w:rPr>
      </w:pPr>
      <w:r>
        <w:rPr>
          <w:b/>
        </w:rPr>
        <w:t>January</w:t>
      </w:r>
      <w:r w:rsidR="00C9475D" w:rsidRPr="00303EF9">
        <w:rPr>
          <w:b/>
        </w:rPr>
        <w:t xml:space="preserve"> </w:t>
      </w:r>
      <w:r>
        <w:rPr>
          <w:b/>
        </w:rPr>
        <w:t>1</w:t>
      </w:r>
      <w:r w:rsidR="003F4983">
        <w:rPr>
          <w:b/>
        </w:rPr>
        <w:t>0</w:t>
      </w:r>
      <w:r w:rsidR="00170148" w:rsidRPr="00303EF9">
        <w:rPr>
          <w:b/>
        </w:rPr>
        <w:t>,</w:t>
      </w:r>
      <w:r w:rsidR="008825DB" w:rsidRPr="00303EF9">
        <w:rPr>
          <w:b/>
        </w:rPr>
        <w:t xml:space="preserve"> 201</w:t>
      </w:r>
      <w:r>
        <w:rPr>
          <w:b/>
        </w:rPr>
        <w:t>9</w:t>
      </w:r>
    </w:p>
    <w:p w:rsidR="006F2579" w:rsidRPr="00303EF9" w:rsidRDefault="006F2579" w:rsidP="00E0055E">
      <w:pPr>
        <w:widowControl w:val="0"/>
        <w:rPr>
          <w:b/>
        </w:rPr>
      </w:pPr>
      <w:r w:rsidRPr="00303EF9">
        <w:rPr>
          <w:b/>
        </w:rPr>
        <w:t>For immediate release</w:t>
      </w:r>
    </w:p>
    <w:p w:rsidR="006F2579" w:rsidRPr="00303EF9" w:rsidRDefault="006F2579" w:rsidP="00E0055E">
      <w:pPr>
        <w:widowControl w:val="0"/>
      </w:pPr>
    </w:p>
    <w:p w:rsidR="002767DF" w:rsidRPr="00303EF9" w:rsidRDefault="002767DF" w:rsidP="00E0055E">
      <w:pPr>
        <w:widowControl w:val="0"/>
      </w:pPr>
      <w:r w:rsidRPr="00303EF9">
        <w:rPr>
          <w:b/>
        </w:rPr>
        <w:t>OTTAWA</w:t>
      </w:r>
      <w:r w:rsidRPr="00303EF9">
        <w:t xml:space="preserve"> – The Suprem</w:t>
      </w:r>
      <w:r w:rsidR="00580213" w:rsidRPr="00303EF9">
        <w:t>e</w:t>
      </w:r>
      <w:r w:rsidRPr="00303EF9">
        <w:t xml:space="preserve"> Court of Canada has today deposited with the Registrar judgment</w:t>
      </w:r>
      <w:r w:rsidR="004D3B41" w:rsidRPr="00303EF9">
        <w:t>s</w:t>
      </w:r>
      <w:r w:rsidRPr="00303EF9">
        <w:t xml:space="preserve"> in the following application</w:t>
      </w:r>
      <w:r w:rsidR="00CC044F" w:rsidRPr="00303EF9">
        <w:t>s</w:t>
      </w:r>
      <w:r w:rsidRPr="00303EF9">
        <w:t xml:space="preserve"> for leave to appe</w:t>
      </w:r>
      <w:r w:rsidR="00DB3E59" w:rsidRPr="00303EF9">
        <w:t>a</w:t>
      </w:r>
      <w:r w:rsidRPr="00303EF9">
        <w:t>l.</w:t>
      </w:r>
    </w:p>
    <w:p w:rsidR="006F2579" w:rsidRPr="00303EF9" w:rsidRDefault="006F2579" w:rsidP="00E0055E">
      <w:pPr>
        <w:widowControl w:val="0"/>
      </w:pPr>
    </w:p>
    <w:p w:rsidR="006F2579" w:rsidRPr="00303EF9" w:rsidRDefault="006F2579" w:rsidP="00E0055E">
      <w:pPr>
        <w:widowControl w:val="0"/>
      </w:pPr>
    </w:p>
    <w:p w:rsidR="002767DF" w:rsidRPr="00303EF9" w:rsidRDefault="002767DF" w:rsidP="00E0055E">
      <w:pPr>
        <w:widowControl w:val="0"/>
        <w:jc w:val="center"/>
        <w:rPr>
          <w:lang w:val="fr-CA"/>
        </w:rPr>
      </w:pPr>
      <w:r w:rsidRPr="00303EF9">
        <w:rPr>
          <w:b/>
          <w:lang w:val="fr-CA"/>
        </w:rPr>
        <w:t>JUGEMENT</w:t>
      </w:r>
      <w:r w:rsidR="004C4C26" w:rsidRPr="00303EF9">
        <w:rPr>
          <w:b/>
          <w:lang w:val="fr-CA"/>
        </w:rPr>
        <w:t>S SUR DEMANDE</w:t>
      </w:r>
      <w:r w:rsidR="00CC044F" w:rsidRPr="00303EF9">
        <w:rPr>
          <w:b/>
          <w:lang w:val="fr-CA"/>
        </w:rPr>
        <w:t>S</w:t>
      </w:r>
      <w:r w:rsidRPr="00303EF9">
        <w:rPr>
          <w:b/>
          <w:lang w:val="fr-CA"/>
        </w:rPr>
        <w:t xml:space="preserve"> D’AUTORISATION</w:t>
      </w:r>
    </w:p>
    <w:p w:rsidR="006F2579" w:rsidRPr="00303EF9" w:rsidRDefault="006F2579" w:rsidP="00E0055E">
      <w:pPr>
        <w:widowControl w:val="0"/>
        <w:rPr>
          <w:lang w:val="fr-CA"/>
        </w:rPr>
      </w:pPr>
    </w:p>
    <w:p w:rsidR="006F2579" w:rsidRPr="00303EF9" w:rsidRDefault="006F2579" w:rsidP="00E0055E">
      <w:pPr>
        <w:widowControl w:val="0"/>
        <w:rPr>
          <w:b/>
          <w:lang w:val="fr-CA"/>
        </w:rPr>
      </w:pPr>
      <w:r w:rsidRPr="00303EF9">
        <w:rPr>
          <w:b/>
          <w:lang w:val="fr-CA"/>
        </w:rPr>
        <w:t>Le</w:t>
      </w:r>
      <w:r w:rsidR="008825DB" w:rsidRPr="00303EF9">
        <w:rPr>
          <w:b/>
          <w:lang w:val="fr-CA"/>
        </w:rPr>
        <w:t xml:space="preserve"> </w:t>
      </w:r>
      <w:r w:rsidR="00DC7C53">
        <w:rPr>
          <w:b/>
          <w:lang w:val="fr-CA"/>
        </w:rPr>
        <w:t>1</w:t>
      </w:r>
      <w:r w:rsidR="003F4983">
        <w:rPr>
          <w:b/>
          <w:lang w:val="fr-CA"/>
        </w:rPr>
        <w:t>0</w:t>
      </w:r>
      <w:r w:rsidR="00C9475D" w:rsidRPr="00303EF9">
        <w:rPr>
          <w:b/>
          <w:lang w:val="fr-CA"/>
        </w:rPr>
        <w:t xml:space="preserve"> </w:t>
      </w:r>
      <w:r w:rsidR="00DC7C53">
        <w:rPr>
          <w:b/>
          <w:lang w:val="fr-CA"/>
        </w:rPr>
        <w:t>janvier</w:t>
      </w:r>
      <w:r w:rsidR="004E4B02" w:rsidRPr="00303EF9">
        <w:rPr>
          <w:b/>
          <w:lang w:val="fr-CA"/>
        </w:rPr>
        <w:t xml:space="preserve"> </w:t>
      </w:r>
      <w:r w:rsidR="008825DB" w:rsidRPr="00303EF9">
        <w:rPr>
          <w:b/>
          <w:lang w:val="fr-CA"/>
        </w:rPr>
        <w:t>201</w:t>
      </w:r>
      <w:r w:rsidR="00DC7C53">
        <w:rPr>
          <w:b/>
          <w:lang w:val="fr-CA"/>
        </w:rPr>
        <w:t>9</w:t>
      </w:r>
    </w:p>
    <w:p w:rsidR="006F2579" w:rsidRPr="00303EF9" w:rsidRDefault="006F2579" w:rsidP="00E0055E">
      <w:pPr>
        <w:widowControl w:val="0"/>
        <w:rPr>
          <w:b/>
          <w:lang w:val="fr-CA"/>
        </w:rPr>
      </w:pPr>
      <w:r w:rsidRPr="00303EF9">
        <w:rPr>
          <w:b/>
          <w:lang w:val="fr-CA"/>
        </w:rPr>
        <w:t>Pour diffusion immédiate</w:t>
      </w:r>
    </w:p>
    <w:p w:rsidR="006F2579" w:rsidRPr="00303EF9" w:rsidRDefault="006F2579" w:rsidP="00E0055E">
      <w:pPr>
        <w:widowControl w:val="0"/>
        <w:rPr>
          <w:b/>
          <w:lang w:val="fr-CA"/>
        </w:rPr>
      </w:pPr>
    </w:p>
    <w:p w:rsidR="002767DF" w:rsidRPr="00303EF9" w:rsidRDefault="002767DF" w:rsidP="00E0055E">
      <w:pPr>
        <w:widowControl w:val="0"/>
        <w:rPr>
          <w:lang w:val="fr-CA"/>
        </w:rPr>
      </w:pPr>
      <w:r w:rsidRPr="00303EF9">
        <w:rPr>
          <w:b/>
          <w:lang w:val="fr-CA"/>
        </w:rPr>
        <w:t>OTTAWA</w:t>
      </w:r>
      <w:r w:rsidRPr="00303EF9">
        <w:rPr>
          <w:lang w:val="fr-CA"/>
        </w:rPr>
        <w:t xml:space="preserve"> – La Cour suprême du Canada a déposé aujourd’hui auprès du registraire les jugements dans </w:t>
      </w:r>
      <w:r w:rsidR="00CC044F" w:rsidRPr="00303EF9">
        <w:rPr>
          <w:lang w:val="fr-CA"/>
        </w:rPr>
        <w:t>les</w:t>
      </w:r>
      <w:r w:rsidR="008C7CD9" w:rsidRPr="00303EF9">
        <w:rPr>
          <w:lang w:val="fr-CA"/>
        </w:rPr>
        <w:t xml:space="preserve"> </w:t>
      </w:r>
      <w:r w:rsidR="004C4C26" w:rsidRPr="00303EF9">
        <w:rPr>
          <w:lang w:val="fr-CA"/>
        </w:rPr>
        <w:t>demande</w:t>
      </w:r>
      <w:r w:rsidR="0088435A" w:rsidRPr="00303EF9">
        <w:rPr>
          <w:lang w:val="fr-CA"/>
        </w:rPr>
        <w:t>s</w:t>
      </w:r>
      <w:r w:rsidRPr="00303EF9">
        <w:rPr>
          <w:lang w:val="fr-CA"/>
        </w:rPr>
        <w:t xml:space="preserve"> d’au</w:t>
      </w:r>
      <w:r w:rsidR="00F24EF2" w:rsidRPr="00303EF9">
        <w:rPr>
          <w:lang w:val="fr-CA"/>
        </w:rPr>
        <w:t>torisation d’appel qui suivent.</w:t>
      </w:r>
    </w:p>
    <w:p w:rsidR="00694BDA" w:rsidRDefault="00694BDA" w:rsidP="00E0055E">
      <w:pPr>
        <w:jc w:val="both"/>
        <w:rPr>
          <w:sz w:val="20"/>
          <w:lang w:val="fr-CA"/>
        </w:rPr>
      </w:pPr>
    </w:p>
    <w:p w:rsidR="00942396" w:rsidRDefault="00942396" w:rsidP="00E0055E">
      <w:pPr>
        <w:jc w:val="both"/>
        <w:rPr>
          <w:sz w:val="20"/>
          <w:lang w:val="fr-CA"/>
        </w:rPr>
      </w:pPr>
    </w:p>
    <w:p w:rsidR="00942396" w:rsidRPr="00303EF9" w:rsidRDefault="00942396" w:rsidP="00E0055E">
      <w:pPr>
        <w:jc w:val="both"/>
        <w:rPr>
          <w:b/>
          <w:sz w:val="22"/>
          <w:szCs w:val="22"/>
        </w:rPr>
      </w:pPr>
      <w:r>
        <w:rPr>
          <w:b/>
          <w:sz w:val="22"/>
          <w:szCs w:val="22"/>
        </w:rPr>
        <w:t>GRANTED</w:t>
      </w:r>
      <w:r w:rsidRPr="00303EF9">
        <w:rPr>
          <w:b/>
          <w:sz w:val="22"/>
          <w:szCs w:val="22"/>
        </w:rPr>
        <w:t xml:space="preserve"> / </w:t>
      </w:r>
      <w:r>
        <w:rPr>
          <w:b/>
          <w:sz w:val="22"/>
          <w:szCs w:val="22"/>
        </w:rPr>
        <w:t>ACCORD</w:t>
      </w:r>
      <w:r w:rsidRPr="00303EF9">
        <w:rPr>
          <w:b/>
          <w:sz w:val="22"/>
          <w:szCs w:val="22"/>
        </w:rPr>
        <w:t>ÉE</w:t>
      </w:r>
      <w:r w:rsidR="00E31FC7">
        <w:rPr>
          <w:b/>
          <w:sz w:val="22"/>
          <w:szCs w:val="22"/>
        </w:rPr>
        <w:t>S</w:t>
      </w:r>
    </w:p>
    <w:p w:rsidR="00942396" w:rsidRPr="00DC7C53" w:rsidRDefault="00942396" w:rsidP="00E0055E">
      <w:pPr>
        <w:jc w:val="both"/>
        <w:rPr>
          <w:sz w:val="20"/>
        </w:rPr>
      </w:pPr>
    </w:p>
    <w:p w:rsidR="00E0055E" w:rsidRPr="00117216" w:rsidRDefault="00E0055E" w:rsidP="00E0055E">
      <w:pPr>
        <w:rPr>
          <w:sz w:val="22"/>
          <w:lang w:val="en-CA"/>
        </w:rPr>
      </w:pPr>
      <w:r w:rsidRPr="00117216">
        <w:rPr>
          <w:i/>
          <w:sz w:val="22"/>
        </w:rPr>
        <w:t>Javid Ahmad v. Her Majesty the Queen</w:t>
      </w:r>
      <w:r w:rsidRPr="00117216">
        <w:rPr>
          <w:sz w:val="22"/>
        </w:rPr>
        <w:t xml:space="preserve"> (Ont.) </w:t>
      </w:r>
      <w:r w:rsidRPr="00117216">
        <w:rPr>
          <w:sz w:val="22"/>
          <w:lang w:val="en-CA"/>
        </w:rPr>
        <w:t xml:space="preserve">(Criminal) (By Leave) </w:t>
      </w:r>
      <w:r w:rsidRPr="00117216">
        <w:rPr>
          <w:sz w:val="22"/>
        </w:rPr>
        <w:t>(</w:t>
      </w:r>
      <w:hyperlink r:id="rId8" w:history="1">
        <w:r w:rsidRPr="00117216">
          <w:rPr>
            <w:rStyle w:val="Hyperlink"/>
            <w:sz w:val="22"/>
          </w:rPr>
          <w:t>38165</w:t>
        </w:r>
      </w:hyperlink>
      <w:r w:rsidRPr="00117216">
        <w:rPr>
          <w:sz w:val="22"/>
        </w:rPr>
        <w:t>)</w:t>
      </w:r>
    </w:p>
    <w:p w:rsidR="003B63FD" w:rsidRPr="003B5254" w:rsidRDefault="00117216" w:rsidP="00E0055E">
      <w:pPr>
        <w:rPr>
          <w:sz w:val="20"/>
        </w:rPr>
      </w:pPr>
      <w:r>
        <w:rPr>
          <w:sz w:val="20"/>
          <w:lang w:val="en-CA"/>
        </w:rPr>
        <w:t>(</w:t>
      </w:r>
      <w:r w:rsidR="00E0055E" w:rsidRPr="00E0055E">
        <w:rPr>
          <w:sz w:val="20"/>
          <w:lang w:val="en-CA"/>
        </w:rPr>
        <w:t xml:space="preserve">The motion for an extension of time to serve and file the response to the application for leave to appeal is granted. </w:t>
      </w:r>
      <w:r w:rsidR="00E0055E" w:rsidRPr="003B5254">
        <w:rPr>
          <w:sz w:val="20"/>
        </w:rPr>
        <w:t>The application for leave to appeal</w:t>
      </w:r>
      <w:r w:rsidR="003B63FD" w:rsidRPr="003B5254">
        <w:rPr>
          <w:sz w:val="20"/>
        </w:rPr>
        <w:t xml:space="preserve"> is</w:t>
      </w:r>
      <w:r w:rsidR="00E0055E" w:rsidRPr="003B5254">
        <w:rPr>
          <w:sz w:val="20"/>
        </w:rPr>
        <w:t xml:space="preserve"> granted and the scope of the appeal is limited to the entrapment issue.</w:t>
      </w:r>
      <w:r w:rsidR="003B5254" w:rsidRPr="003B5254">
        <w:rPr>
          <w:sz w:val="20"/>
        </w:rPr>
        <w:t xml:space="preserve"> The appeal will be heard with </w:t>
      </w:r>
      <w:r w:rsidR="003B5254" w:rsidRPr="003B5254">
        <w:rPr>
          <w:i/>
          <w:sz w:val="20"/>
        </w:rPr>
        <w:t>Landon Williams v. Her Majesty the Queen</w:t>
      </w:r>
      <w:r w:rsidR="003B5254" w:rsidRPr="003B5254">
        <w:rPr>
          <w:sz w:val="20"/>
        </w:rPr>
        <w:t xml:space="preserve"> (38304). The schedule for serving and filing materials will be set by the Registrar.</w:t>
      </w:r>
      <w:r w:rsidR="00E0055E" w:rsidRPr="003B5254">
        <w:rPr>
          <w:sz w:val="20"/>
        </w:rPr>
        <w:t xml:space="preserve"> / </w:t>
      </w:r>
    </w:p>
    <w:p w:rsidR="00E0055E" w:rsidRPr="00292818" w:rsidRDefault="00E0055E" w:rsidP="00E0055E">
      <w:pPr>
        <w:rPr>
          <w:sz w:val="20"/>
          <w:lang w:val="fr-CA"/>
        </w:rPr>
      </w:pPr>
      <w:r w:rsidRPr="00E0055E">
        <w:rPr>
          <w:sz w:val="20"/>
          <w:lang w:val="fr-CA"/>
        </w:rPr>
        <w:t xml:space="preserve">La requête en prorogation du délai de signification et de dépôt de la réponse à la demande d’autorisation d’appel est accueillie. La demande d’autorisation d’appel est accueillie, et la portée de l’appel se limite à la question de la provocation </w:t>
      </w:r>
      <w:r w:rsidRPr="00292818">
        <w:rPr>
          <w:sz w:val="20"/>
          <w:lang w:val="fr-CA"/>
        </w:rPr>
        <w:t>policière.</w:t>
      </w:r>
      <w:r w:rsidR="00292818" w:rsidRPr="00292818">
        <w:rPr>
          <w:sz w:val="20"/>
          <w:lang w:val="fr-CA"/>
        </w:rPr>
        <w:t xml:space="preserve"> </w:t>
      </w:r>
      <w:r w:rsidR="00292818" w:rsidRPr="00292818">
        <w:rPr>
          <w:sz w:val="20"/>
          <w:lang w:val="fr-CA"/>
        </w:rPr>
        <w:t xml:space="preserve">L’appel sera entendu avec </w:t>
      </w:r>
      <w:r w:rsidR="00292818" w:rsidRPr="00292818">
        <w:rPr>
          <w:i/>
          <w:iCs/>
          <w:sz w:val="20"/>
          <w:lang w:val="fr-CA"/>
        </w:rPr>
        <w:t xml:space="preserve">Landon Williams c. Sa Majesté la Reine </w:t>
      </w:r>
      <w:r w:rsidR="00292818" w:rsidRPr="00292818">
        <w:rPr>
          <w:sz w:val="20"/>
          <w:lang w:val="fr-CA"/>
        </w:rPr>
        <w:t>(38304). L’échéancier pour la signification et le dépôt des documents sera fixé par le registraire.</w:t>
      </w:r>
      <w:r w:rsidRPr="00292818">
        <w:rPr>
          <w:sz w:val="20"/>
          <w:lang w:val="fr-CA"/>
        </w:rPr>
        <w:t>)</w:t>
      </w:r>
    </w:p>
    <w:p w:rsidR="003D6258" w:rsidRPr="00E0055E" w:rsidRDefault="003D6258" w:rsidP="001C6584">
      <w:pPr>
        <w:rPr>
          <w:sz w:val="20"/>
          <w:lang w:val="fr-CA"/>
        </w:rPr>
      </w:pPr>
    </w:p>
    <w:p w:rsidR="003D6258" w:rsidRPr="00DC7C53" w:rsidRDefault="003D6258" w:rsidP="00E0055E">
      <w:pPr>
        <w:jc w:val="both"/>
        <w:rPr>
          <w:sz w:val="22"/>
          <w:szCs w:val="22"/>
        </w:rPr>
      </w:pPr>
      <w:r w:rsidRPr="00DC7C53">
        <w:rPr>
          <w:sz w:val="22"/>
          <w:szCs w:val="22"/>
        </w:rPr>
        <w:t>****</w:t>
      </w:r>
    </w:p>
    <w:p w:rsidR="00E31FC7" w:rsidRPr="00E0055E" w:rsidRDefault="00E31FC7" w:rsidP="00E31FC7">
      <w:pPr>
        <w:rPr>
          <w:rFonts w:eastAsia="Calibri"/>
          <w:sz w:val="20"/>
          <w:lang w:val="fr-CA"/>
        </w:rPr>
      </w:pPr>
    </w:p>
    <w:p w:rsidR="00E31FC7" w:rsidRPr="00E31FC7" w:rsidRDefault="00E31FC7" w:rsidP="00E31FC7">
      <w:pPr>
        <w:rPr>
          <w:sz w:val="22"/>
          <w:lang w:val="en-CA"/>
        </w:rPr>
      </w:pPr>
      <w:r w:rsidRPr="00E31FC7">
        <w:rPr>
          <w:i/>
          <w:sz w:val="22"/>
          <w:lang w:val="en-CA"/>
        </w:rPr>
        <w:t>Landon Williams v. Her Majesty the Queen</w:t>
      </w:r>
      <w:r w:rsidRPr="00E31FC7">
        <w:rPr>
          <w:sz w:val="22"/>
          <w:lang w:val="en-CA"/>
        </w:rPr>
        <w:t xml:space="preserve"> (Ont.) (Criminal) (As of Right / By Leave) </w:t>
      </w:r>
      <w:r w:rsidRPr="00E31FC7">
        <w:rPr>
          <w:sz w:val="22"/>
        </w:rPr>
        <w:t>(</w:t>
      </w:r>
      <w:hyperlink r:id="rId9" w:history="1">
        <w:r w:rsidRPr="00E31FC7">
          <w:rPr>
            <w:rStyle w:val="Hyperlink"/>
            <w:sz w:val="22"/>
          </w:rPr>
          <w:t>38304</w:t>
        </w:r>
      </w:hyperlink>
      <w:r w:rsidRPr="00E31FC7">
        <w:rPr>
          <w:sz w:val="22"/>
        </w:rPr>
        <w:t>)</w:t>
      </w:r>
    </w:p>
    <w:p w:rsidR="00E31FC7" w:rsidRPr="00E31FC7" w:rsidRDefault="00E31FC7" w:rsidP="00E31FC7">
      <w:pPr>
        <w:rPr>
          <w:sz w:val="20"/>
          <w:lang w:val="en-CA"/>
        </w:rPr>
      </w:pPr>
      <w:r w:rsidRPr="00E31FC7">
        <w:rPr>
          <w:sz w:val="20"/>
          <w:lang w:val="en-CA"/>
        </w:rPr>
        <w:t xml:space="preserve">(The motion for an extension of time to serve and file the notice of appeal is granted. The motion for an extension of time to serve and file the motion to quash is granted. The motion to quash and the motion for an extension of time to serve and file the application for leave to appeal are dismissed. </w:t>
      </w:r>
      <w:r w:rsidRPr="00E31FC7">
        <w:rPr>
          <w:sz w:val="20"/>
        </w:rPr>
        <w:t xml:space="preserve">The appeal will be heard with </w:t>
      </w:r>
      <w:r w:rsidRPr="00E31FC7">
        <w:rPr>
          <w:i/>
          <w:sz w:val="20"/>
        </w:rPr>
        <w:t xml:space="preserve">Javid Ahmad v. Her Majesty the Queen </w:t>
      </w:r>
      <w:r w:rsidRPr="00E31FC7">
        <w:rPr>
          <w:sz w:val="20"/>
        </w:rPr>
        <w:t>(38165). The schedule for serving and filing the materials for the appeal as of right will be set by the Registrar.</w:t>
      </w:r>
      <w:r w:rsidRPr="00E31FC7">
        <w:rPr>
          <w:sz w:val="20"/>
          <w:lang w:val="en-CA"/>
        </w:rPr>
        <w:t xml:space="preserve"> </w:t>
      </w:r>
      <w:bookmarkStart w:id="0" w:name="BM_1_"/>
      <w:bookmarkEnd w:id="0"/>
      <w:r w:rsidRPr="00E31FC7">
        <w:rPr>
          <w:sz w:val="20"/>
          <w:lang w:val="en-CA"/>
        </w:rPr>
        <w:t xml:space="preserve">/ </w:t>
      </w:r>
    </w:p>
    <w:p w:rsidR="00E31FC7" w:rsidRPr="00ED443B" w:rsidRDefault="00E31FC7" w:rsidP="00E31FC7">
      <w:pPr>
        <w:rPr>
          <w:sz w:val="20"/>
          <w:lang w:val="fr-CA"/>
        </w:rPr>
      </w:pPr>
      <w:r w:rsidRPr="00E31FC7">
        <w:rPr>
          <w:sz w:val="20"/>
          <w:lang w:val="fr-CA"/>
        </w:rPr>
        <w:t xml:space="preserve">La requête en prorogation du délai de signification et de dépôt de l’avis d’appel est accueillie. La requête en prorogation du délai de signification et de dépôt de la requête en annulation est accueillie. La requête en annulation et la requête en prorogation du délai de signification et de dépôt de la demande d’autorisation d’appel sont rejetées. L’appel sera entendu avec </w:t>
      </w:r>
      <w:r w:rsidRPr="00E31FC7">
        <w:rPr>
          <w:i/>
          <w:sz w:val="20"/>
          <w:lang w:val="fr-CA"/>
        </w:rPr>
        <w:t xml:space="preserve">Javid Ahmad c. Sa Majesté la Reine </w:t>
      </w:r>
      <w:r w:rsidRPr="00E31FC7">
        <w:rPr>
          <w:sz w:val="20"/>
          <w:lang w:val="fr-CA"/>
        </w:rPr>
        <w:t>(38165). L’échéancier pour la signification et le dépôt des documents de l’appel de plein droit sera fixé par le registraire.)</w:t>
      </w:r>
    </w:p>
    <w:p w:rsidR="00F007DC" w:rsidRPr="00E31FC7" w:rsidRDefault="00F007DC" w:rsidP="00E0055E">
      <w:pPr>
        <w:jc w:val="both"/>
        <w:rPr>
          <w:sz w:val="20"/>
          <w:lang w:val="fr-CA"/>
        </w:rPr>
      </w:pPr>
    </w:p>
    <w:p w:rsidR="00E31FC7" w:rsidRPr="00DC7C53" w:rsidRDefault="00E31FC7" w:rsidP="00E31FC7">
      <w:pPr>
        <w:jc w:val="both"/>
        <w:rPr>
          <w:sz w:val="22"/>
          <w:szCs w:val="22"/>
        </w:rPr>
      </w:pPr>
      <w:r w:rsidRPr="00DC7C53">
        <w:rPr>
          <w:sz w:val="22"/>
          <w:szCs w:val="22"/>
        </w:rPr>
        <w:t>****</w:t>
      </w:r>
    </w:p>
    <w:p w:rsidR="00F007DC" w:rsidRPr="00E31FC7" w:rsidRDefault="00F007DC" w:rsidP="00E0055E">
      <w:pPr>
        <w:jc w:val="both"/>
        <w:rPr>
          <w:sz w:val="20"/>
          <w:lang w:val="fr-CA"/>
        </w:rPr>
      </w:pPr>
    </w:p>
    <w:p w:rsidR="00431DE2" w:rsidRPr="00303EF9" w:rsidRDefault="00431DE2" w:rsidP="00E0055E">
      <w:pPr>
        <w:jc w:val="both"/>
        <w:rPr>
          <w:b/>
          <w:sz w:val="22"/>
          <w:szCs w:val="22"/>
        </w:rPr>
      </w:pPr>
      <w:r w:rsidRPr="00303EF9">
        <w:rPr>
          <w:b/>
          <w:sz w:val="22"/>
          <w:szCs w:val="22"/>
        </w:rPr>
        <w:t>DISMISSED / REJETÉ</w:t>
      </w:r>
      <w:r w:rsidRPr="00E0055E">
        <w:rPr>
          <w:b/>
          <w:sz w:val="22"/>
          <w:szCs w:val="22"/>
        </w:rPr>
        <w:t>E</w:t>
      </w:r>
      <w:r w:rsidR="001B1618" w:rsidRPr="00E0055E">
        <w:rPr>
          <w:b/>
          <w:sz w:val="22"/>
          <w:szCs w:val="22"/>
        </w:rPr>
        <w:t>S</w:t>
      </w:r>
    </w:p>
    <w:p w:rsidR="00431DE2" w:rsidRDefault="00431DE2" w:rsidP="00E0055E">
      <w:pPr>
        <w:jc w:val="both"/>
        <w:rPr>
          <w:sz w:val="20"/>
        </w:rPr>
      </w:pPr>
    </w:p>
    <w:p w:rsidR="00E0055E" w:rsidRPr="00117216" w:rsidRDefault="00E0055E" w:rsidP="00E0055E">
      <w:pPr>
        <w:rPr>
          <w:sz w:val="22"/>
        </w:rPr>
      </w:pPr>
      <w:r w:rsidRPr="00117216">
        <w:rPr>
          <w:i/>
          <w:sz w:val="22"/>
        </w:rPr>
        <w:t xml:space="preserve">Harold Edward McKenna v. Her Majesty the Queen </w:t>
      </w:r>
      <w:r w:rsidRPr="00117216">
        <w:rPr>
          <w:sz w:val="22"/>
        </w:rPr>
        <w:t>(N.B.) (Criminal) (By Leave) (</w:t>
      </w:r>
      <w:hyperlink r:id="rId10" w:history="1">
        <w:r w:rsidRPr="00117216">
          <w:rPr>
            <w:rStyle w:val="Hyperlink"/>
            <w:sz w:val="22"/>
          </w:rPr>
          <w:t>38274</w:t>
        </w:r>
      </w:hyperlink>
      <w:r w:rsidRPr="00117216">
        <w:rPr>
          <w:sz w:val="22"/>
        </w:rPr>
        <w:t>)</w:t>
      </w:r>
    </w:p>
    <w:p w:rsidR="00E0055E" w:rsidRPr="00E0055E" w:rsidRDefault="00E0055E" w:rsidP="00E0055E">
      <w:pPr>
        <w:jc w:val="both"/>
        <w:rPr>
          <w:sz w:val="20"/>
        </w:rPr>
      </w:pPr>
      <w:r w:rsidRPr="00E0055E">
        <w:rPr>
          <w:sz w:val="20"/>
        </w:rPr>
        <w:t xml:space="preserve">(The application for leave to appeal is dismissed. / La demande d’autorisation d’appel </w:t>
      </w:r>
      <w:proofErr w:type="gramStart"/>
      <w:r w:rsidRPr="00E0055E">
        <w:rPr>
          <w:sz w:val="20"/>
        </w:rPr>
        <w:t>est</w:t>
      </w:r>
      <w:proofErr w:type="gramEnd"/>
      <w:r w:rsidRPr="00E0055E">
        <w:rPr>
          <w:sz w:val="20"/>
        </w:rPr>
        <w:t xml:space="preserve"> rejetée.)</w:t>
      </w:r>
    </w:p>
    <w:p w:rsidR="00AA07A6" w:rsidRDefault="00AA07A6" w:rsidP="00E0055E">
      <w:pPr>
        <w:jc w:val="both"/>
        <w:rPr>
          <w:sz w:val="20"/>
        </w:rPr>
      </w:pPr>
    </w:p>
    <w:p w:rsidR="00E0055E" w:rsidRDefault="00AA07A6" w:rsidP="00E0055E">
      <w:pPr>
        <w:jc w:val="both"/>
        <w:rPr>
          <w:sz w:val="22"/>
          <w:szCs w:val="22"/>
        </w:rPr>
      </w:pPr>
      <w:r w:rsidRPr="004C6B9D">
        <w:rPr>
          <w:sz w:val="22"/>
          <w:szCs w:val="22"/>
        </w:rPr>
        <w:t>****</w:t>
      </w:r>
    </w:p>
    <w:p w:rsidR="000B0F6D" w:rsidRPr="000B0F6D" w:rsidRDefault="000B0F6D" w:rsidP="00E0055E">
      <w:pPr>
        <w:jc w:val="both"/>
        <w:rPr>
          <w:sz w:val="22"/>
        </w:rPr>
      </w:pPr>
    </w:p>
    <w:p w:rsidR="00E0055E" w:rsidRPr="000B0F6D" w:rsidRDefault="00E0055E" w:rsidP="00E0055E">
      <w:pPr>
        <w:jc w:val="both"/>
        <w:rPr>
          <w:sz w:val="22"/>
          <w:lang w:val="en-CA"/>
        </w:rPr>
      </w:pPr>
      <w:r w:rsidRPr="00DD7345">
        <w:rPr>
          <w:i/>
          <w:sz w:val="22"/>
          <w:lang w:val="en-CA"/>
        </w:rPr>
        <w:t xml:space="preserve">Godfred Kwaku Hiamey c. Toronto Community Housing Corporation </w:t>
      </w:r>
      <w:r w:rsidRPr="00DD7345">
        <w:rPr>
          <w:sz w:val="22"/>
          <w:lang w:val="en-CA"/>
        </w:rPr>
        <w:t xml:space="preserve">(Ont.) </w:t>
      </w:r>
      <w:r w:rsidRPr="000B0F6D">
        <w:rPr>
          <w:sz w:val="22"/>
          <w:lang w:val="en-CA"/>
        </w:rPr>
        <w:t>(Civile) (Autorisation) (</w:t>
      </w:r>
      <w:hyperlink r:id="rId11" w:history="1">
        <w:r w:rsidRPr="000B0F6D">
          <w:rPr>
            <w:rStyle w:val="Hyperlink"/>
            <w:sz w:val="22"/>
            <w:lang w:val="en-CA"/>
          </w:rPr>
          <w:t>38122</w:t>
        </w:r>
      </w:hyperlink>
      <w:r w:rsidRPr="000B0F6D">
        <w:rPr>
          <w:sz w:val="22"/>
          <w:lang w:val="en-CA"/>
        </w:rPr>
        <w:t>)</w:t>
      </w:r>
    </w:p>
    <w:p w:rsidR="007B16F3" w:rsidRDefault="00E0055E" w:rsidP="00E0055E">
      <w:pPr>
        <w:rPr>
          <w:sz w:val="20"/>
          <w:lang w:val="en-CA"/>
        </w:rPr>
      </w:pPr>
      <w:r w:rsidRPr="000B0F6D">
        <w:rPr>
          <w:sz w:val="20"/>
          <w:lang w:val="en-CA"/>
        </w:rPr>
        <w:t xml:space="preserve">(La demande d’autorisation d’appel </w:t>
      </w:r>
      <w:proofErr w:type="gramStart"/>
      <w:r w:rsidRPr="000B0F6D">
        <w:rPr>
          <w:sz w:val="20"/>
          <w:lang w:val="en-CA"/>
        </w:rPr>
        <w:t>est</w:t>
      </w:r>
      <w:proofErr w:type="gramEnd"/>
      <w:r w:rsidRPr="000B0F6D">
        <w:rPr>
          <w:sz w:val="20"/>
          <w:lang w:val="en-CA"/>
        </w:rPr>
        <w:t xml:space="preserve"> rejetée avec dépens conformément au tarif des honoraires et débours établi à l’Annexe B des </w:t>
      </w:r>
      <w:r w:rsidRPr="000B0F6D">
        <w:rPr>
          <w:i/>
          <w:sz w:val="20"/>
          <w:lang w:val="en-CA"/>
        </w:rPr>
        <w:t>Règles de la Cour suprême du Canada</w:t>
      </w:r>
      <w:r w:rsidRPr="000B0F6D">
        <w:rPr>
          <w:sz w:val="20"/>
          <w:lang w:val="en-CA"/>
        </w:rPr>
        <w:t>.</w:t>
      </w:r>
      <w:r w:rsidR="00117216" w:rsidRPr="000B0F6D">
        <w:rPr>
          <w:sz w:val="20"/>
          <w:lang w:val="en-CA"/>
        </w:rPr>
        <w:t xml:space="preserve"> / </w:t>
      </w:r>
    </w:p>
    <w:p w:rsidR="00E0055E" w:rsidRPr="000B0F6D" w:rsidRDefault="00117216" w:rsidP="00E0055E">
      <w:pPr>
        <w:rPr>
          <w:sz w:val="20"/>
          <w:lang w:val="en-CA"/>
        </w:rPr>
      </w:pPr>
      <w:r w:rsidRPr="000B0F6D">
        <w:rPr>
          <w:sz w:val="20"/>
          <w:lang w:val="en-CA"/>
        </w:rPr>
        <w:lastRenderedPageBreak/>
        <w:t xml:space="preserve">The application for leave to appeal is dismissed with costs in accordance with the tariff of fees and disbursements set out in Schedule B of the </w:t>
      </w:r>
      <w:r w:rsidRPr="000B0F6D">
        <w:rPr>
          <w:i/>
          <w:iCs/>
          <w:sz w:val="20"/>
          <w:lang w:val="en-CA"/>
        </w:rPr>
        <w:t>Rules of the Supreme Court of Canada</w:t>
      </w:r>
      <w:r w:rsidRPr="000B0F6D">
        <w:rPr>
          <w:sz w:val="20"/>
          <w:lang w:val="en-CA"/>
        </w:rPr>
        <w:t>.</w:t>
      </w:r>
      <w:r w:rsidR="00E0055E" w:rsidRPr="000B0F6D">
        <w:rPr>
          <w:sz w:val="20"/>
          <w:lang w:val="en-CA"/>
        </w:rPr>
        <w:t>)</w:t>
      </w:r>
    </w:p>
    <w:p w:rsidR="00E0055E" w:rsidRPr="000B0F6D" w:rsidRDefault="00E0055E" w:rsidP="001C6584">
      <w:pPr>
        <w:rPr>
          <w:sz w:val="20"/>
          <w:lang w:val="en-CA"/>
        </w:rPr>
      </w:pPr>
    </w:p>
    <w:p w:rsidR="00AA07A6" w:rsidRPr="004C6B9D" w:rsidRDefault="00AA07A6" w:rsidP="00E0055E">
      <w:pPr>
        <w:jc w:val="both"/>
        <w:rPr>
          <w:sz w:val="22"/>
          <w:szCs w:val="22"/>
        </w:rPr>
      </w:pPr>
      <w:r w:rsidRPr="004C6B9D">
        <w:rPr>
          <w:sz w:val="22"/>
          <w:szCs w:val="22"/>
        </w:rPr>
        <w:t>****</w:t>
      </w:r>
    </w:p>
    <w:p w:rsidR="00C908A2" w:rsidRPr="004C6B9D" w:rsidRDefault="00C908A2" w:rsidP="00E0055E">
      <w:pPr>
        <w:rPr>
          <w:sz w:val="20"/>
        </w:rPr>
      </w:pPr>
    </w:p>
    <w:p w:rsidR="00E0055E" w:rsidRPr="00117216" w:rsidRDefault="00E0055E" w:rsidP="00E0055E">
      <w:pPr>
        <w:rPr>
          <w:sz w:val="22"/>
          <w:lang w:val="en-CA"/>
        </w:rPr>
      </w:pPr>
      <w:r w:rsidRPr="00117216">
        <w:rPr>
          <w:i/>
          <w:sz w:val="22"/>
          <w:lang w:val="en-CA"/>
        </w:rPr>
        <w:t>Mar</w:t>
      </w:r>
      <w:r w:rsidR="00CE1B34">
        <w:rPr>
          <w:i/>
          <w:sz w:val="22"/>
          <w:lang w:val="en-CA"/>
        </w:rPr>
        <w:t xml:space="preserve">tin Green v. Heather Bush and George Bush </w:t>
      </w:r>
      <w:r w:rsidRPr="00117216">
        <w:rPr>
          <w:sz w:val="22"/>
          <w:lang w:val="en-CA"/>
        </w:rPr>
        <w:t xml:space="preserve">(Man.) (Civil) (By Leave) </w:t>
      </w:r>
      <w:r w:rsidRPr="00117216">
        <w:rPr>
          <w:sz w:val="22"/>
        </w:rPr>
        <w:t>(</w:t>
      </w:r>
      <w:hyperlink r:id="rId12" w:history="1">
        <w:r w:rsidRPr="00117216">
          <w:rPr>
            <w:rStyle w:val="Hyperlink"/>
            <w:sz w:val="22"/>
          </w:rPr>
          <w:t>38100</w:t>
        </w:r>
      </w:hyperlink>
      <w:r w:rsidRPr="00117216">
        <w:rPr>
          <w:sz w:val="22"/>
        </w:rPr>
        <w:t>)</w:t>
      </w:r>
    </w:p>
    <w:p w:rsidR="00E7616F" w:rsidRDefault="00E0055E" w:rsidP="00E0055E">
      <w:pPr>
        <w:rPr>
          <w:sz w:val="20"/>
          <w:lang w:val="fr-CA"/>
        </w:rPr>
      </w:pPr>
      <w:r>
        <w:rPr>
          <w:sz w:val="20"/>
          <w:lang w:val="en-CA"/>
        </w:rPr>
        <w:t>(</w:t>
      </w:r>
      <w:r w:rsidRPr="00E0055E">
        <w:rPr>
          <w:sz w:val="20"/>
          <w:lang w:val="en-CA"/>
        </w:rPr>
        <w:t xml:space="preserve">The motion for an extension of time to serve and file the response to the application for leave to appeal is granted. </w:t>
      </w:r>
      <w:r w:rsidRPr="00E0055E">
        <w:rPr>
          <w:sz w:val="20"/>
          <w:lang w:val="fr-CA"/>
        </w:rPr>
        <w:t xml:space="preserve">The application for leave to appeal is dismissed with costs. / </w:t>
      </w:r>
    </w:p>
    <w:p w:rsidR="00942396" w:rsidRPr="00E0055E" w:rsidRDefault="00E0055E" w:rsidP="00E0055E">
      <w:pPr>
        <w:rPr>
          <w:sz w:val="20"/>
          <w:lang w:val="fr-CA"/>
        </w:rPr>
      </w:pPr>
      <w:r w:rsidRPr="00E0055E">
        <w:rPr>
          <w:sz w:val="20"/>
          <w:lang w:val="fr-CA"/>
        </w:rPr>
        <w:t>La requête en prorogation du délai de signification et de dépôt de la réponse à la demande d’autorisation d’appel est accueillie. La demande d’autorisation d’appel</w:t>
      </w:r>
      <w:r>
        <w:rPr>
          <w:sz w:val="20"/>
          <w:lang w:val="fr-CA"/>
        </w:rPr>
        <w:t xml:space="preserve"> </w:t>
      </w:r>
      <w:r w:rsidRPr="00E0055E">
        <w:rPr>
          <w:sz w:val="20"/>
          <w:lang w:val="fr-CA"/>
        </w:rPr>
        <w:t>est rejetée avec dépens.</w:t>
      </w:r>
      <w:r>
        <w:rPr>
          <w:sz w:val="20"/>
          <w:lang w:val="fr-CA"/>
        </w:rPr>
        <w:t>)</w:t>
      </w:r>
    </w:p>
    <w:p w:rsidR="00942396" w:rsidRPr="00E0055E" w:rsidRDefault="00942396" w:rsidP="0047212E">
      <w:pPr>
        <w:rPr>
          <w:sz w:val="20"/>
          <w:lang w:val="fr-CA"/>
        </w:rPr>
      </w:pPr>
    </w:p>
    <w:p w:rsidR="00C32190" w:rsidRPr="004C6B9D" w:rsidRDefault="00AA07A6" w:rsidP="00C32190">
      <w:pPr>
        <w:jc w:val="both"/>
        <w:rPr>
          <w:sz w:val="22"/>
          <w:szCs w:val="22"/>
        </w:rPr>
      </w:pPr>
      <w:r w:rsidRPr="000B0F6D">
        <w:rPr>
          <w:sz w:val="22"/>
          <w:szCs w:val="22"/>
          <w:lang w:val="fr-CA"/>
        </w:rPr>
        <w:t>****</w:t>
      </w:r>
    </w:p>
    <w:p w:rsidR="00AA07A6" w:rsidRPr="000B0F6D" w:rsidRDefault="00AA07A6" w:rsidP="00E0055E">
      <w:pPr>
        <w:jc w:val="both"/>
        <w:rPr>
          <w:sz w:val="22"/>
          <w:szCs w:val="22"/>
          <w:lang w:val="fr-CA"/>
        </w:rPr>
      </w:pPr>
    </w:p>
    <w:p w:rsidR="00E0055E" w:rsidRPr="00117216" w:rsidRDefault="00E0055E" w:rsidP="00E0055E">
      <w:pPr>
        <w:rPr>
          <w:sz w:val="22"/>
          <w:lang w:val="en-CA"/>
        </w:rPr>
      </w:pPr>
      <w:r w:rsidRPr="00F84395">
        <w:rPr>
          <w:i/>
          <w:sz w:val="22"/>
        </w:rPr>
        <w:t>Martin Green v. Don Metz</w:t>
      </w:r>
      <w:r w:rsidR="00CE1B34" w:rsidRPr="00F84395">
        <w:rPr>
          <w:i/>
          <w:sz w:val="22"/>
        </w:rPr>
        <w:t>, Neil Besner and University of Winnipeg</w:t>
      </w:r>
      <w:r w:rsidRPr="00F84395">
        <w:rPr>
          <w:sz w:val="22"/>
        </w:rPr>
        <w:t xml:space="preserve"> (Man.) </w:t>
      </w:r>
      <w:r w:rsidRPr="00117216">
        <w:rPr>
          <w:sz w:val="22"/>
          <w:lang w:val="en-CA"/>
        </w:rPr>
        <w:t xml:space="preserve">(Civil) (By Leave) </w:t>
      </w:r>
      <w:r w:rsidRPr="00117216">
        <w:rPr>
          <w:sz w:val="22"/>
        </w:rPr>
        <w:t>(</w:t>
      </w:r>
      <w:hyperlink r:id="rId13" w:history="1">
        <w:r w:rsidRPr="00117216">
          <w:rPr>
            <w:rStyle w:val="Hyperlink"/>
            <w:sz w:val="22"/>
          </w:rPr>
          <w:t>38101</w:t>
        </w:r>
      </w:hyperlink>
      <w:r w:rsidRPr="00117216">
        <w:rPr>
          <w:sz w:val="22"/>
        </w:rPr>
        <w:t>)</w:t>
      </w:r>
    </w:p>
    <w:p w:rsidR="003B63FD" w:rsidRDefault="00E0055E" w:rsidP="00E0055E">
      <w:pPr>
        <w:rPr>
          <w:sz w:val="20"/>
          <w:lang w:val="fr-CA"/>
        </w:rPr>
      </w:pPr>
      <w:r>
        <w:rPr>
          <w:sz w:val="20"/>
          <w:lang w:val="en-CA"/>
        </w:rPr>
        <w:t>(</w:t>
      </w:r>
      <w:r w:rsidRPr="00E0055E">
        <w:rPr>
          <w:sz w:val="20"/>
          <w:lang w:val="en-CA"/>
        </w:rPr>
        <w:t xml:space="preserve">The motion for an extension of time to serve and file the response to the application for leave to appeal is granted. </w:t>
      </w:r>
      <w:r w:rsidRPr="00E0055E">
        <w:rPr>
          <w:sz w:val="20"/>
          <w:lang w:val="fr-CA"/>
        </w:rPr>
        <w:t xml:space="preserve">The application for leave to appeal is dismissed with costs. / </w:t>
      </w:r>
    </w:p>
    <w:p w:rsidR="00E0055E" w:rsidRPr="00E0055E" w:rsidRDefault="00E0055E" w:rsidP="00E0055E">
      <w:pPr>
        <w:rPr>
          <w:sz w:val="20"/>
          <w:lang w:val="fr-CA"/>
        </w:rPr>
      </w:pPr>
      <w:r w:rsidRPr="00E0055E">
        <w:rPr>
          <w:sz w:val="20"/>
          <w:lang w:val="fr-CA"/>
        </w:rPr>
        <w:t>La requête en prorogation du délai de signification et de dépôt de la réponse à la demande d’autorisation d’appel est accueillie. La demande d’autorisation d’appel est rejetée avec dépens.</w:t>
      </w:r>
      <w:r>
        <w:rPr>
          <w:sz w:val="20"/>
          <w:lang w:val="fr-CA"/>
        </w:rPr>
        <w:t>)</w:t>
      </w:r>
    </w:p>
    <w:p w:rsidR="00C908A2" w:rsidRPr="00E0055E" w:rsidRDefault="00C908A2" w:rsidP="00E0055E">
      <w:pPr>
        <w:rPr>
          <w:sz w:val="20"/>
          <w:lang w:val="fr-CA"/>
        </w:rPr>
      </w:pPr>
    </w:p>
    <w:p w:rsidR="009E4DCB" w:rsidRPr="00E0055E" w:rsidRDefault="009E4DCB" w:rsidP="00E0055E">
      <w:pPr>
        <w:jc w:val="both"/>
        <w:rPr>
          <w:sz w:val="22"/>
          <w:szCs w:val="22"/>
          <w:lang w:val="fr-CA"/>
        </w:rPr>
      </w:pPr>
      <w:r w:rsidRPr="00E0055E">
        <w:rPr>
          <w:sz w:val="22"/>
          <w:szCs w:val="22"/>
          <w:lang w:val="fr-CA"/>
        </w:rPr>
        <w:t>****</w:t>
      </w:r>
    </w:p>
    <w:p w:rsidR="00005A7A" w:rsidRPr="00E31FC7" w:rsidRDefault="00005A7A" w:rsidP="00005A7A">
      <w:pPr>
        <w:rPr>
          <w:sz w:val="20"/>
          <w:lang w:val="fr-CA"/>
        </w:rPr>
      </w:pPr>
    </w:p>
    <w:p w:rsidR="00005A7A" w:rsidRPr="00117216" w:rsidRDefault="00005A7A" w:rsidP="00005A7A">
      <w:pPr>
        <w:rPr>
          <w:sz w:val="22"/>
          <w:lang w:val="fr-CA"/>
        </w:rPr>
      </w:pPr>
      <w:r w:rsidRPr="00117216">
        <w:rPr>
          <w:i/>
          <w:sz w:val="22"/>
          <w:lang w:val="fr-CA"/>
        </w:rPr>
        <w:t>W.G. c. V.L., ès qualités de tutrice à X.C.</w:t>
      </w:r>
      <w:r w:rsidR="000837AF">
        <w:rPr>
          <w:i/>
          <w:sz w:val="22"/>
          <w:lang w:val="fr-CA"/>
        </w:rPr>
        <w:t>,</w:t>
      </w:r>
      <w:r w:rsidRPr="00117216">
        <w:rPr>
          <w:i/>
          <w:sz w:val="22"/>
          <w:lang w:val="fr-CA"/>
        </w:rPr>
        <w:t xml:space="preserve"> et </w:t>
      </w:r>
      <w:r w:rsidR="00CE1B34">
        <w:rPr>
          <w:i/>
          <w:sz w:val="22"/>
          <w:lang w:val="fr-CA"/>
        </w:rPr>
        <w:t>D.C.</w:t>
      </w:r>
      <w:r w:rsidRPr="00117216">
        <w:rPr>
          <w:sz w:val="22"/>
          <w:lang w:val="fr-CA"/>
        </w:rPr>
        <w:t xml:space="preserve"> </w:t>
      </w:r>
      <w:r w:rsidR="00D724C2" w:rsidRPr="00D724C2">
        <w:rPr>
          <w:i/>
          <w:sz w:val="22"/>
          <w:lang w:val="fr-CA"/>
        </w:rPr>
        <w:t xml:space="preserve">– et – Directeur de l’état civil </w:t>
      </w:r>
      <w:r w:rsidRPr="00117216">
        <w:rPr>
          <w:sz w:val="22"/>
          <w:lang w:val="fr-CA"/>
        </w:rPr>
        <w:t>(Qc) (Civile) (Autorisation) (</w:t>
      </w:r>
      <w:hyperlink r:id="rId14" w:history="1">
        <w:r w:rsidRPr="00117216">
          <w:rPr>
            <w:rStyle w:val="Hyperlink"/>
            <w:sz w:val="22"/>
            <w:lang w:val="fr-CA"/>
          </w:rPr>
          <w:t>38318</w:t>
        </w:r>
      </w:hyperlink>
      <w:r w:rsidRPr="00117216">
        <w:rPr>
          <w:sz w:val="22"/>
          <w:lang w:val="fr-CA"/>
        </w:rPr>
        <w:t>)</w:t>
      </w:r>
    </w:p>
    <w:p w:rsidR="00005A7A" w:rsidRPr="000B0F6D" w:rsidRDefault="00005A7A" w:rsidP="00005A7A">
      <w:pPr>
        <w:rPr>
          <w:rFonts w:eastAsia="Calibri"/>
          <w:sz w:val="20"/>
        </w:rPr>
      </w:pPr>
      <w:r w:rsidRPr="000B0F6D">
        <w:rPr>
          <w:rFonts w:eastAsia="Calibri"/>
          <w:sz w:val="20"/>
        </w:rPr>
        <w:t>(La demande d’autorisation</w:t>
      </w:r>
      <w:r w:rsidR="00C31895">
        <w:rPr>
          <w:rFonts w:eastAsia="Calibri"/>
          <w:sz w:val="20"/>
        </w:rPr>
        <w:t xml:space="preserve"> d’appel</w:t>
      </w:r>
      <w:r w:rsidRPr="000B0F6D">
        <w:rPr>
          <w:rFonts w:eastAsia="Calibri"/>
          <w:sz w:val="20"/>
        </w:rPr>
        <w:t xml:space="preserve"> </w:t>
      </w:r>
      <w:proofErr w:type="gramStart"/>
      <w:r w:rsidRPr="000B0F6D">
        <w:rPr>
          <w:rFonts w:eastAsia="Calibri"/>
          <w:sz w:val="20"/>
        </w:rPr>
        <w:t>est</w:t>
      </w:r>
      <w:proofErr w:type="gramEnd"/>
      <w:r w:rsidRPr="000B0F6D">
        <w:rPr>
          <w:rFonts w:eastAsia="Calibri"/>
          <w:sz w:val="20"/>
        </w:rPr>
        <w:t xml:space="preserve"> rejetée sans dépens. / </w:t>
      </w:r>
      <w:proofErr w:type="gramStart"/>
      <w:r w:rsidRPr="000B0F6D">
        <w:rPr>
          <w:rFonts w:eastAsia="Calibri"/>
          <w:sz w:val="20"/>
        </w:rPr>
        <w:t>The</w:t>
      </w:r>
      <w:proofErr w:type="gramEnd"/>
      <w:r w:rsidRPr="000B0F6D">
        <w:rPr>
          <w:rFonts w:eastAsia="Calibri"/>
          <w:sz w:val="20"/>
        </w:rPr>
        <w:t xml:space="preserve"> application for leave to appeal is dismissed without costs.)</w:t>
      </w:r>
    </w:p>
    <w:p w:rsidR="00005A7A" w:rsidRPr="000B0F6D" w:rsidRDefault="00005A7A" w:rsidP="00005A7A">
      <w:pPr>
        <w:rPr>
          <w:rFonts w:eastAsia="Calibri"/>
          <w:sz w:val="20"/>
        </w:rPr>
      </w:pPr>
    </w:p>
    <w:p w:rsidR="009E4DCB" w:rsidRPr="000B0F6D" w:rsidRDefault="009E4DCB" w:rsidP="00E0055E">
      <w:pPr>
        <w:jc w:val="both"/>
        <w:rPr>
          <w:sz w:val="22"/>
          <w:szCs w:val="22"/>
        </w:rPr>
      </w:pPr>
      <w:r w:rsidRPr="000B0F6D">
        <w:rPr>
          <w:sz w:val="22"/>
          <w:szCs w:val="22"/>
        </w:rPr>
        <w:t>****</w:t>
      </w:r>
    </w:p>
    <w:p w:rsidR="00C908A2" w:rsidRPr="000B0F6D" w:rsidRDefault="00C908A2" w:rsidP="00E0055E">
      <w:pPr>
        <w:pStyle w:val="SCCAppellantInfoAppellantInfo"/>
        <w:rPr>
          <w:sz w:val="20"/>
          <w:szCs w:val="20"/>
          <w:lang w:val="en-US"/>
        </w:rPr>
      </w:pPr>
    </w:p>
    <w:p w:rsidR="0047212E" w:rsidRPr="00117216" w:rsidRDefault="0047212E" w:rsidP="0047212E">
      <w:pPr>
        <w:pStyle w:val="SCCAppellantInfoAppellantInfo"/>
        <w:rPr>
          <w:sz w:val="22"/>
          <w:szCs w:val="20"/>
        </w:rPr>
      </w:pPr>
      <w:r w:rsidRPr="00117216">
        <w:rPr>
          <w:i/>
          <w:sz w:val="22"/>
          <w:szCs w:val="20"/>
        </w:rPr>
        <w:t>Her Majesty the Queen v. Graham Elmer Johnson</w:t>
      </w:r>
      <w:r w:rsidRPr="00117216">
        <w:rPr>
          <w:sz w:val="22"/>
          <w:szCs w:val="20"/>
        </w:rPr>
        <w:t xml:space="preserve"> (Sask.) (Criminal) (By Leave) (</w:t>
      </w:r>
      <w:hyperlink r:id="rId15" w:history="1">
        <w:r w:rsidRPr="00117216">
          <w:rPr>
            <w:rStyle w:val="Hyperlink"/>
            <w:sz w:val="22"/>
            <w:szCs w:val="20"/>
          </w:rPr>
          <w:t>38143</w:t>
        </w:r>
      </w:hyperlink>
      <w:r w:rsidRPr="00117216">
        <w:rPr>
          <w:sz w:val="22"/>
          <w:szCs w:val="20"/>
        </w:rPr>
        <w:t>)</w:t>
      </w:r>
    </w:p>
    <w:p w:rsidR="0047212E" w:rsidRPr="0047212E" w:rsidRDefault="0047212E" w:rsidP="0047212E">
      <w:pPr>
        <w:rPr>
          <w:sz w:val="20"/>
        </w:rPr>
      </w:pPr>
      <w:r w:rsidRPr="0047212E">
        <w:rPr>
          <w:sz w:val="20"/>
        </w:rPr>
        <w:t xml:space="preserve">(The application for leave to appeal is dismissed. / La demande d’autorisation d’appel </w:t>
      </w:r>
      <w:proofErr w:type="gramStart"/>
      <w:r w:rsidRPr="0047212E">
        <w:rPr>
          <w:sz w:val="20"/>
        </w:rPr>
        <w:t>est</w:t>
      </w:r>
      <w:proofErr w:type="gramEnd"/>
      <w:r w:rsidRPr="0047212E">
        <w:rPr>
          <w:sz w:val="20"/>
        </w:rPr>
        <w:t xml:space="preserve"> rejetée.)</w:t>
      </w:r>
    </w:p>
    <w:p w:rsidR="009E4DCB" w:rsidRPr="0047212E" w:rsidRDefault="009E4DCB" w:rsidP="00005A7A">
      <w:pPr>
        <w:rPr>
          <w:sz w:val="20"/>
        </w:rPr>
      </w:pPr>
    </w:p>
    <w:p w:rsidR="009E4DCB" w:rsidRPr="004C6B9D" w:rsidRDefault="009E4DCB" w:rsidP="0047212E">
      <w:pPr>
        <w:jc w:val="both"/>
        <w:rPr>
          <w:sz w:val="22"/>
          <w:szCs w:val="22"/>
        </w:rPr>
      </w:pPr>
      <w:r w:rsidRPr="004C6B9D">
        <w:rPr>
          <w:sz w:val="22"/>
          <w:szCs w:val="22"/>
        </w:rPr>
        <w:t>****</w:t>
      </w:r>
    </w:p>
    <w:p w:rsidR="00C62667" w:rsidRPr="004C6B9D" w:rsidRDefault="00C62667" w:rsidP="0047212E">
      <w:pPr>
        <w:rPr>
          <w:rFonts w:eastAsia="Calibri"/>
          <w:sz w:val="20"/>
        </w:rPr>
      </w:pPr>
    </w:p>
    <w:p w:rsidR="0047212E" w:rsidRPr="00117216" w:rsidRDefault="0047212E" w:rsidP="0047212E">
      <w:pPr>
        <w:pStyle w:val="SCCAppellantInfoAppellantInfo"/>
        <w:rPr>
          <w:sz w:val="22"/>
          <w:szCs w:val="20"/>
        </w:rPr>
      </w:pPr>
      <w:r w:rsidRPr="00117216">
        <w:rPr>
          <w:i/>
          <w:sz w:val="22"/>
          <w:szCs w:val="20"/>
        </w:rPr>
        <w:t>Municipal Corporation of the Town of Fort Erie v. Wanda Labanowicz</w:t>
      </w:r>
      <w:r w:rsidRPr="00117216">
        <w:rPr>
          <w:sz w:val="22"/>
          <w:szCs w:val="20"/>
        </w:rPr>
        <w:t xml:space="preserve"> (Ont.) (Civil) (By Leave) (</w:t>
      </w:r>
      <w:hyperlink r:id="rId16" w:history="1">
        <w:r w:rsidRPr="00117216">
          <w:rPr>
            <w:rStyle w:val="Hyperlink"/>
            <w:sz w:val="22"/>
            <w:szCs w:val="20"/>
          </w:rPr>
          <w:t>38140</w:t>
        </w:r>
      </w:hyperlink>
      <w:r w:rsidRPr="00117216">
        <w:rPr>
          <w:sz w:val="22"/>
          <w:szCs w:val="20"/>
        </w:rPr>
        <w:t>)</w:t>
      </w:r>
    </w:p>
    <w:p w:rsidR="0047212E" w:rsidRPr="0047212E" w:rsidRDefault="0047212E" w:rsidP="0047212E">
      <w:pPr>
        <w:rPr>
          <w:sz w:val="20"/>
        </w:rPr>
      </w:pPr>
      <w:r w:rsidRPr="0047212E">
        <w:rPr>
          <w:sz w:val="20"/>
        </w:rPr>
        <w:t xml:space="preserve">(The application for leave to appeal is dismissed with costs. / La demande d’autorisation d’appel </w:t>
      </w:r>
      <w:proofErr w:type="gramStart"/>
      <w:r w:rsidRPr="0047212E">
        <w:rPr>
          <w:sz w:val="20"/>
        </w:rPr>
        <w:t>est</w:t>
      </w:r>
      <w:proofErr w:type="gramEnd"/>
      <w:r w:rsidRPr="0047212E">
        <w:rPr>
          <w:sz w:val="20"/>
        </w:rPr>
        <w:t xml:space="preserve"> rejetée avec dépens.)</w:t>
      </w:r>
    </w:p>
    <w:p w:rsidR="00C62667" w:rsidRPr="0047212E" w:rsidRDefault="00C62667" w:rsidP="0047212E">
      <w:pPr>
        <w:rPr>
          <w:sz w:val="20"/>
        </w:rPr>
      </w:pPr>
    </w:p>
    <w:p w:rsidR="00C62667" w:rsidRPr="004C6B9D" w:rsidRDefault="00C62667" w:rsidP="0047212E">
      <w:pPr>
        <w:jc w:val="both"/>
        <w:rPr>
          <w:sz w:val="22"/>
          <w:szCs w:val="22"/>
        </w:rPr>
      </w:pPr>
      <w:r w:rsidRPr="004C6B9D">
        <w:rPr>
          <w:sz w:val="22"/>
          <w:szCs w:val="22"/>
        </w:rPr>
        <w:t>****</w:t>
      </w:r>
    </w:p>
    <w:p w:rsidR="0047212E" w:rsidRDefault="0047212E" w:rsidP="0047212E">
      <w:pPr>
        <w:pStyle w:val="SCCAppellantInfoAppellantInfo"/>
        <w:rPr>
          <w:i/>
          <w:sz w:val="20"/>
          <w:szCs w:val="20"/>
        </w:rPr>
      </w:pPr>
    </w:p>
    <w:p w:rsidR="0047212E" w:rsidRPr="00117216" w:rsidRDefault="0047212E" w:rsidP="0047212E">
      <w:pPr>
        <w:pStyle w:val="SCCAppellantInfoAppellantInfo"/>
        <w:rPr>
          <w:sz w:val="22"/>
          <w:szCs w:val="20"/>
        </w:rPr>
      </w:pPr>
      <w:r w:rsidRPr="00117216">
        <w:rPr>
          <w:i/>
          <w:sz w:val="22"/>
          <w:szCs w:val="20"/>
        </w:rPr>
        <w:t>Nathan Robert Wayne Field v.</w:t>
      </w:r>
      <w:r w:rsidRPr="00117216">
        <w:rPr>
          <w:sz w:val="22"/>
          <w:szCs w:val="20"/>
        </w:rPr>
        <w:t xml:space="preserve"> </w:t>
      </w:r>
      <w:r w:rsidRPr="00117216">
        <w:rPr>
          <w:i/>
          <w:sz w:val="22"/>
          <w:szCs w:val="20"/>
        </w:rPr>
        <w:t xml:space="preserve">Her Majesty the Queen </w:t>
      </w:r>
      <w:r w:rsidRPr="00117216">
        <w:rPr>
          <w:sz w:val="22"/>
          <w:szCs w:val="20"/>
        </w:rPr>
        <w:t>(B.C.) (Criminal) (By Leave) (</w:t>
      </w:r>
      <w:hyperlink r:id="rId17" w:history="1">
        <w:r w:rsidRPr="00117216">
          <w:rPr>
            <w:rStyle w:val="Hyperlink"/>
            <w:sz w:val="22"/>
            <w:szCs w:val="20"/>
          </w:rPr>
          <w:t>38314</w:t>
        </w:r>
      </w:hyperlink>
      <w:r w:rsidRPr="00117216">
        <w:rPr>
          <w:sz w:val="22"/>
          <w:szCs w:val="20"/>
        </w:rPr>
        <w:t>)</w:t>
      </w:r>
    </w:p>
    <w:p w:rsidR="0047212E" w:rsidRPr="000B0F6D" w:rsidRDefault="0047212E" w:rsidP="0047212E">
      <w:pPr>
        <w:rPr>
          <w:rFonts w:eastAsia="Calibri"/>
          <w:sz w:val="20"/>
        </w:rPr>
      </w:pPr>
      <w:r w:rsidRPr="000B0F6D">
        <w:rPr>
          <w:rFonts w:eastAsia="Calibri"/>
          <w:sz w:val="20"/>
        </w:rPr>
        <w:t xml:space="preserve">(The application for leave to appeal is dismissed. / La demande d’autorisation d’appel </w:t>
      </w:r>
      <w:proofErr w:type="gramStart"/>
      <w:r w:rsidRPr="000B0F6D">
        <w:rPr>
          <w:rFonts w:eastAsia="Calibri"/>
          <w:sz w:val="20"/>
        </w:rPr>
        <w:t>est</w:t>
      </w:r>
      <w:proofErr w:type="gramEnd"/>
      <w:r w:rsidRPr="000B0F6D">
        <w:rPr>
          <w:rFonts w:eastAsia="Calibri"/>
          <w:sz w:val="20"/>
        </w:rPr>
        <w:t xml:space="preserve"> rejetée.)</w:t>
      </w:r>
    </w:p>
    <w:p w:rsidR="00C62667" w:rsidRPr="000B0F6D" w:rsidRDefault="00C62667" w:rsidP="0047212E">
      <w:pPr>
        <w:rPr>
          <w:rFonts w:eastAsia="Calibri"/>
          <w:sz w:val="20"/>
        </w:rPr>
      </w:pPr>
    </w:p>
    <w:p w:rsidR="00C62667" w:rsidRPr="004C6B9D" w:rsidRDefault="00C62667" w:rsidP="0047212E">
      <w:pPr>
        <w:jc w:val="both"/>
        <w:rPr>
          <w:sz w:val="22"/>
          <w:szCs w:val="22"/>
        </w:rPr>
      </w:pPr>
      <w:r w:rsidRPr="004C6B9D">
        <w:rPr>
          <w:sz w:val="22"/>
          <w:szCs w:val="22"/>
        </w:rPr>
        <w:t>****</w:t>
      </w:r>
    </w:p>
    <w:p w:rsidR="00C62667" w:rsidRDefault="00C62667" w:rsidP="0047212E">
      <w:pPr>
        <w:pStyle w:val="SCCAppellantInfoAppellantInfo"/>
        <w:rPr>
          <w:sz w:val="20"/>
          <w:szCs w:val="20"/>
          <w:lang w:val="en-US"/>
        </w:rPr>
      </w:pPr>
    </w:p>
    <w:p w:rsidR="0047212E" w:rsidRPr="00117216" w:rsidRDefault="0047212E" w:rsidP="0047212E">
      <w:pPr>
        <w:pStyle w:val="SCCAppellantInfoAppellantInfo"/>
        <w:rPr>
          <w:sz w:val="22"/>
          <w:szCs w:val="20"/>
        </w:rPr>
      </w:pPr>
      <w:r w:rsidRPr="00117216">
        <w:rPr>
          <w:i/>
          <w:sz w:val="22"/>
          <w:szCs w:val="20"/>
        </w:rPr>
        <w:t xml:space="preserve">John Charles Beima v. Minister of National Revenue </w:t>
      </w:r>
      <w:r w:rsidRPr="00117216">
        <w:rPr>
          <w:sz w:val="22"/>
          <w:szCs w:val="20"/>
        </w:rPr>
        <w:t>(F.C.) (Civil) (By Leave) (</w:t>
      </w:r>
      <w:hyperlink r:id="rId18" w:history="1">
        <w:r w:rsidRPr="00117216">
          <w:rPr>
            <w:rStyle w:val="Hyperlink"/>
            <w:sz w:val="22"/>
            <w:szCs w:val="20"/>
          </w:rPr>
          <w:t>38178</w:t>
        </w:r>
      </w:hyperlink>
      <w:r w:rsidRPr="00117216">
        <w:rPr>
          <w:sz w:val="22"/>
          <w:szCs w:val="20"/>
        </w:rPr>
        <w:t>)</w:t>
      </w:r>
    </w:p>
    <w:p w:rsidR="00343BF6" w:rsidRDefault="0047212E" w:rsidP="0047212E">
      <w:pPr>
        <w:rPr>
          <w:sz w:val="20"/>
          <w:lang w:val="fr-CA"/>
        </w:rPr>
      </w:pPr>
      <w:r>
        <w:rPr>
          <w:sz w:val="20"/>
          <w:lang w:val="en-CA"/>
        </w:rPr>
        <w:t>(</w:t>
      </w:r>
      <w:r w:rsidRPr="0047212E">
        <w:rPr>
          <w:sz w:val="20"/>
          <w:lang w:val="en-CA"/>
        </w:rPr>
        <w:t xml:space="preserve">The motion for an extension of time to serve and file the application for leave to appeal is granted. </w:t>
      </w:r>
      <w:r w:rsidRPr="006315AA">
        <w:rPr>
          <w:sz w:val="20"/>
          <w:lang w:val="fr-CA"/>
        </w:rPr>
        <w:t xml:space="preserve">The application for leave to appeal is dismissed with costs. / </w:t>
      </w:r>
    </w:p>
    <w:p w:rsidR="0047212E" w:rsidRPr="0047212E" w:rsidRDefault="0047212E" w:rsidP="0047212E">
      <w:pPr>
        <w:rPr>
          <w:sz w:val="20"/>
          <w:lang w:val="fr-CA"/>
        </w:rPr>
      </w:pPr>
      <w:r w:rsidRPr="006315AA">
        <w:rPr>
          <w:sz w:val="20"/>
          <w:lang w:val="fr-CA"/>
        </w:rPr>
        <w:t xml:space="preserve">La requête en prorogation du délai de signification et de dépôt de la demande d’autorisation d’appel est accueillie. </w:t>
      </w:r>
      <w:r w:rsidRPr="0047212E">
        <w:rPr>
          <w:sz w:val="20"/>
          <w:lang w:val="fr-CA"/>
        </w:rPr>
        <w:t>La demande d’autorisation d’appel est rejetée avec dépens.</w:t>
      </w:r>
      <w:r w:rsidR="006315AA">
        <w:rPr>
          <w:sz w:val="20"/>
          <w:lang w:val="fr-CA"/>
        </w:rPr>
        <w:t>)</w:t>
      </w:r>
    </w:p>
    <w:p w:rsidR="00C62667" w:rsidRPr="0047212E" w:rsidRDefault="00C62667" w:rsidP="0047212E">
      <w:pPr>
        <w:rPr>
          <w:sz w:val="20"/>
          <w:lang w:val="fr-CA"/>
        </w:rPr>
      </w:pPr>
    </w:p>
    <w:p w:rsidR="00C62667" w:rsidRPr="006315AA" w:rsidRDefault="00C62667" w:rsidP="00E0055E">
      <w:pPr>
        <w:jc w:val="both"/>
        <w:rPr>
          <w:sz w:val="22"/>
          <w:szCs w:val="22"/>
          <w:lang w:val="fr-CA"/>
        </w:rPr>
      </w:pPr>
      <w:r w:rsidRPr="006315AA">
        <w:rPr>
          <w:sz w:val="22"/>
          <w:szCs w:val="22"/>
          <w:lang w:val="fr-CA"/>
        </w:rPr>
        <w:t>****</w:t>
      </w:r>
    </w:p>
    <w:p w:rsidR="00C62667" w:rsidRPr="006315AA" w:rsidRDefault="00C62667" w:rsidP="00E0055E">
      <w:pPr>
        <w:rPr>
          <w:rFonts w:eastAsia="Calibri"/>
          <w:sz w:val="20"/>
          <w:lang w:val="fr-CA"/>
        </w:rPr>
      </w:pPr>
    </w:p>
    <w:p w:rsidR="006315AA" w:rsidRPr="00117216" w:rsidRDefault="006315AA" w:rsidP="006315AA">
      <w:pPr>
        <w:pStyle w:val="SCCAppellantInfoAppellantInfo"/>
        <w:rPr>
          <w:sz w:val="22"/>
          <w:szCs w:val="20"/>
        </w:rPr>
      </w:pPr>
      <w:r w:rsidRPr="00CF0B2F">
        <w:rPr>
          <w:i/>
          <w:sz w:val="22"/>
          <w:szCs w:val="20"/>
          <w:lang w:val="en-US"/>
        </w:rPr>
        <w:t xml:space="preserve">Ryan </w:t>
      </w:r>
      <w:r w:rsidR="00CE1B34" w:rsidRPr="00CF0B2F">
        <w:rPr>
          <w:i/>
          <w:sz w:val="22"/>
          <w:szCs w:val="20"/>
          <w:lang w:val="en-US"/>
        </w:rPr>
        <w:t xml:space="preserve">Zaroski </w:t>
      </w:r>
      <w:r w:rsidR="00CF0B2F" w:rsidRPr="00CF0B2F">
        <w:rPr>
          <w:i/>
          <w:sz w:val="22"/>
          <w:szCs w:val="20"/>
          <w:lang w:val="en-US"/>
        </w:rPr>
        <w:t>and 1853780 Ontario Inc.</w:t>
      </w:r>
      <w:r w:rsidR="00CF0B2F">
        <w:rPr>
          <w:i/>
          <w:sz w:val="22"/>
          <w:szCs w:val="20"/>
          <w:lang w:val="en-US"/>
        </w:rPr>
        <w:t xml:space="preserve"> o/a Kee to Bala</w:t>
      </w:r>
      <w:r w:rsidR="00CE1B34" w:rsidRPr="00CF0B2F">
        <w:rPr>
          <w:i/>
          <w:sz w:val="22"/>
          <w:szCs w:val="20"/>
          <w:lang w:val="en-US"/>
        </w:rPr>
        <w:t xml:space="preserve"> v. Ryan Turcotte, Rick Turcotte and Kerry Turcotte</w:t>
      </w:r>
      <w:r w:rsidRPr="00CF0B2F">
        <w:rPr>
          <w:sz w:val="22"/>
          <w:szCs w:val="20"/>
          <w:lang w:val="en-US"/>
        </w:rPr>
        <w:t xml:space="preserve"> </w:t>
      </w:r>
      <w:r w:rsidR="00CF0B2F" w:rsidRPr="00CF0B2F">
        <w:rPr>
          <w:i/>
          <w:sz w:val="22"/>
          <w:szCs w:val="20"/>
          <w:lang w:val="en-US"/>
        </w:rPr>
        <w:t>– and between – First Student Canada and David Ribble v. Ryan Turcotte, Rick Turcotte and Kerry Turcotte</w:t>
      </w:r>
      <w:r w:rsidR="00CF0B2F">
        <w:rPr>
          <w:sz w:val="22"/>
          <w:szCs w:val="20"/>
          <w:lang w:val="en-US"/>
        </w:rPr>
        <w:t xml:space="preserve"> </w:t>
      </w:r>
      <w:r w:rsidRPr="00CF0B2F">
        <w:rPr>
          <w:sz w:val="22"/>
          <w:szCs w:val="20"/>
          <w:lang w:val="en-US"/>
        </w:rPr>
        <w:t xml:space="preserve">(Ont.) </w:t>
      </w:r>
      <w:r w:rsidRPr="00117216">
        <w:rPr>
          <w:sz w:val="22"/>
          <w:szCs w:val="20"/>
        </w:rPr>
        <w:t>(Civil) (By Leave) (</w:t>
      </w:r>
      <w:hyperlink r:id="rId19" w:history="1">
        <w:r w:rsidRPr="00117216">
          <w:rPr>
            <w:rStyle w:val="Hyperlink"/>
            <w:sz w:val="22"/>
            <w:szCs w:val="20"/>
          </w:rPr>
          <w:t>38162</w:t>
        </w:r>
      </w:hyperlink>
      <w:r w:rsidRPr="00117216">
        <w:rPr>
          <w:sz w:val="22"/>
          <w:szCs w:val="20"/>
        </w:rPr>
        <w:t>)</w:t>
      </w:r>
    </w:p>
    <w:p w:rsidR="006315AA" w:rsidRPr="006315AA" w:rsidRDefault="006315AA" w:rsidP="006315AA">
      <w:pPr>
        <w:rPr>
          <w:sz w:val="20"/>
        </w:rPr>
      </w:pPr>
      <w:r w:rsidRPr="006315AA">
        <w:rPr>
          <w:sz w:val="20"/>
        </w:rPr>
        <w:t>(The applications for leave to appeal are dismissed with costs. / Les demandes d’autorisation d’appel sont rejetées avec dépens.)</w:t>
      </w:r>
    </w:p>
    <w:p w:rsidR="00C62667" w:rsidRPr="006315AA" w:rsidRDefault="00C62667" w:rsidP="006315AA">
      <w:pPr>
        <w:rPr>
          <w:sz w:val="20"/>
        </w:rPr>
      </w:pPr>
    </w:p>
    <w:p w:rsidR="00C62667" w:rsidRPr="004C6B9D" w:rsidRDefault="00C62667" w:rsidP="00E0055E">
      <w:pPr>
        <w:jc w:val="both"/>
        <w:rPr>
          <w:sz w:val="22"/>
          <w:szCs w:val="22"/>
        </w:rPr>
      </w:pPr>
      <w:r w:rsidRPr="004C6B9D">
        <w:rPr>
          <w:sz w:val="22"/>
          <w:szCs w:val="22"/>
        </w:rPr>
        <w:t>****</w:t>
      </w:r>
    </w:p>
    <w:p w:rsidR="00C62667" w:rsidRPr="004C6B9D" w:rsidRDefault="00C62667" w:rsidP="00E0055E">
      <w:pPr>
        <w:rPr>
          <w:sz w:val="20"/>
        </w:rPr>
      </w:pPr>
    </w:p>
    <w:p w:rsidR="006315AA" w:rsidRPr="00B040B0" w:rsidRDefault="006315AA" w:rsidP="006315AA">
      <w:pPr>
        <w:pStyle w:val="SCCAppellantInfoAppellantInfo"/>
        <w:rPr>
          <w:sz w:val="20"/>
          <w:szCs w:val="20"/>
        </w:rPr>
      </w:pPr>
      <w:r w:rsidRPr="00117216">
        <w:rPr>
          <w:i/>
          <w:sz w:val="22"/>
          <w:szCs w:val="20"/>
        </w:rPr>
        <w:t xml:space="preserve">Pascal Gaudreault v. Attorney General of Canada representing the United States of America </w:t>
      </w:r>
      <w:r w:rsidR="00CE1B34">
        <w:rPr>
          <w:i/>
          <w:sz w:val="22"/>
          <w:szCs w:val="20"/>
        </w:rPr>
        <w:t xml:space="preserve">and Minister of Justice </w:t>
      </w:r>
      <w:r w:rsidR="00CE1B34" w:rsidRPr="00CC5743">
        <w:rPr>
          <w:i/>
          <w:sz w:val="22"/>
          <w:szCs w:val="20"/>
        </w:rPr>
        <w:t>Canada</w:t>
      </w:r>
      <w:r w:rsidRPr="00CC5743">
        <w:rPr>
          <w:i/>
          <w:sz w:val="22"/>
          <w:szCs w:val="20"/>
        </w:rPr>
        <w:t xml:space="preserve"> </w:t>
      </w:r>
      <w:r w:rsidR="00CC5743" w:rsidRPr="00CC5743">
        <w:rPr>
          <w:i/>
          <w:sz w:val="22"/>
          <w:szCs w:val="20"/>
        </w:rPr>
        <w:t>– and between – Pascal Gaudreault v. Minister of Justice Canada</w:t>
      </w:r>
      <w:r w:rsidR="00CC5743">
        <w:rPr>
          <w:sz w:val="22"/>
          <w:szCs w:val="20"/>
        </w:rPr>
        <w:t xml:space="preserve"> </w:t>
      </w:r>
      <w:r w:rsidRPr="00117216">
        <w:rPr>
          <w:sz w:val="22"/>
          <w:szCs w:val="20"/>
        </w:rPr>
        <w:t>(Que.) (Criminal</w:t>
      </w:r>
      <w:r w:rsidRPr="003373FE">
        <w:rPr>
          <w:sz w:val="22"/>
          <w:szCs w:val="22"/>
        </w:rPr>
        <w:t>) (By Leave) (</w:t>
      </w:r>
      <w:hyperlink r:id="rId20" w:history="1">
        <w:r w:rsidRPr="003373FE">
          <w:rPr>
            <w:rStyle w:val="Hyperlink"/>
            <w:sz w:val="22"/>
            <w:szCs w:val="22"/>
          </w:rPr>
          <w:t>38303</w:t>
        </w:r>
      </w:hyperlink>
      <w:r w:rsidRPr="003373FE">
        <w:rPr>
          <w:sz w:val="22"/>
          <w:szCs w:val="22"/>
        </w:rPr>
        <w:t>)</w:t>
      </w:r>
    </w:p>
    <w:p w:rsidR="006B3D5C" w:rsidRDefault="006315AA" w:rsidP="006315AA">
      <w:pPr>
        <w:rPr>
          <w:sz w:val="20"/>
          <w:lang w:val="en-CA"/>
        </w:rPr>
      </w:pPr>
      <w:r w:rsidRPr="006315AA">
        <w:rPr>
          <w:sz w:val="20"/>
          <w:lang w:val="en-CA"/>
        </w:rPr>
        <w:t xml:space="preserve">(The motion for an extension of time to serve and file the application for leave to appeal is dismissed. / </w:t>
      </w:r>
    </w:p>
    <w:p w:rsidR="006315AA" w:rsidRPr="006B3D5C" w:rsidRDefault="006315AA" w:rsidP="006315AA">
      <w:pPr>
        <w:rPr>
          <w:sz w:val="20"/>
          <w:lang w:val="fr-CA"/>
        </w:rPr>
      </w:pPr>
      <w:r w:rsidRPr="006B3D5C">
        <w:rPr>
          <w:sz w:val="20"/>
          <w:lang w:val="fr-CA"/>
        </w:rPr>
        <w:t>La requête en prorogation du délai de signification et de dépôt de la demande d’autorisation d’appel est rejetée.)</w:t>
      </w:r>
    </w:p>
    <w:p w:rsidR="00C62667" w:rsidRPr="006B3D5C" w:rsidRDefault="00C62667" w:rsidP="00E0055E">
      <w:pPr>
        <w:rPr>
          <w:sz w:val="20"/>
          <w:lang w:val="fr-CA"/>
        </w:rPr>
      </w:pPr>
    </w:p>
    <w:p w:rsidR="00C62667" w:rsidRPr="004C6B9D" w:rsidRDefault="00C62667" w:rsidP="00E0055E">
      <w:pPr>
        <w:jc w:val="both"/>
        <w:rPr>
          <w:sz w:val="22"/>
          <w:szCs w:val="22"/>
        </w:rPr>
      </w:pPr>
      <w:r w:rsidRPr="004C6B9D">
        <w:rPr>
          <w:sz w:val="22"/>
          <w:szCs w:val="22"/>
        </w:rPr>
        <w:t>****</w:t>
      </w:r>
    </w:p>
    <w:p w:rsidR="00C62667" w:rsidRPr="004C6B9D" w:rsidRDefault="00C62667" w:rsidP="00E0055E">
      <w:pPr>
        <w:pStyle w:val="SCCAppellantInfoAppellantInfo"/>
        <w:rPr>
          <w:sz w:val="20"/>
          <w:szCs w:val="20"/>
          <w:lang w:val="en-US"/>
        </w:rPr>
      </w:pPr>
    </w:p>
    <w:p w:rsidR="006315AA" w:rsidRPr="00117216" w:rsidRDefault="006315AA" w:rsidP="006315AA">
      <w:pPr>
        <w:rPr>
          <w:rFonts w:eastAsia="Calibri"/>
          <w:sz w:val="22"/>
          <w:lang w:val="en-CA"/>
        </w:rPr>
      </w:pPr>
      <w:r w:rsidRPr="00117216">
        <w:rPr>
          <w:rFonts w:eastAsia="Calibri"/>
          <w:i/>
          <w:sz w:val="22"/>
          <w:lang w:val="en-CA"/>
        </w:rPr>
        <w:t xml:space="preserve">SaskEnergy Incorporated v. ADAG Corporation Canada Ltd. </w:t>
      </w:r>
      <w:r w:rsidR="00CE1B34" w:rsidRPr="00CE1B34">
        <w:rPr>
          <w:rFonts w:eastAsia="Calibri"/>
          <w:i/>
          <w:sz w:val="22"/>
          <w:lang w:val="en-CA"/>
        </w:rPr>
        <w:t>and Geschlossene Grundstücksgesellschaft GGG</w:t>
      </w:r>
      <w:r w:rsidRPr="00117216">
        <w:rPr>
          <w:rFonts w:eastAsia="Calibri"/>
          <w:i/>
          <w:sz w:val="22"/>
          <w:lang w:val="en-CA"/>
        </w:rPr>
        <w:t>.</w:t>
      </w:r>
      <w:r w:rsidRPr="00117216">
        <w:rPr>
          <w:rFonts w:eastAsia="Calibri"/>
          <w:sz w:val="22"/>
          <w:lang w:val="en-CA"/>
        </w:rPr>
        <w:t xml:space="preserve"> (Sask.) (Civil) (By Leave) </w:t>
      </w:r>
      <w:r w:rsidRPr="00117216">
        <w:rPr>
          <w:sz w:val="22"/>
        </w:rPr>
        <w:t>(</w:t>
      </w:r>
      <w:hyperlink r:id="rId21" w:history="1">
        <w:r w:rsidRPr="00117216">
          <w:rPr>
            <w:rStyle w:val="Hyperlink"/>
            <w:sz w:val="22"/>
          </w:rPr>
          <w:t>38079</w:t>
        </w:r>
      </w:hyperlink>
      <w:r w:rsidRPr="00117216">
        <w:rPr>
          <w:sz w:val="22"/>
        </w:rPr>
        <w:t>)</w:t>
      </w:r>
    </w:p>
    <w:p w:rsidR="006315AA" w:rsidRPr="000B0F6D" w:rsidRDefault="006315AA" w:rsidP="006315AA">
      <w:pPr>
        <w:rPr>
          <w:sz w:val="20"/>
          <w:lang w:val="en-CA"/>
        </w:rPr>
      </w:pPr>
      <w:r w:rsidRPr="000B0F6D">
        <w:rPr>
          <w:sz w:val="20"/>
          <w:lang w:val="en-CA"/>
        </w:rPr>
        <w:t xml:space="preserve">(The application for leave to appeal is dismissed with costs. / La demande d’autorisation d’appel </w:t>
      </w:r>
      <w:proofErr w:type="gramStart"/>
      <w:r w:rsidRPr="000B0F6D">
        <w:rPr>
          <w:sz w:val="20"/>
          <w:lang w:val="en-CA"/>
        </w:rPr>
        <w:t>est</w:t>
      </w:r>
      <w:proofErr w:type="gramEnd"/>
      <w:r w:rsidRPr="000B0F6D">
        <w:rPr>
          <w:sz w:val="20"/>
          <w:lang w:val="en-CA"/>
        </w:rPr>
        <w:t xml:space="preserve"> rejetée avec dépens.)</w:t>
      </w:r>
    </w:p>
    <w:p w:rsidR="00C62667" w:rsidRPr="000B0F6D" w:rsidRDefault="00C62667" w:rsidP="006315AA">
      <w:pPr>
        <w:rPr>
          <w:sz w:val="20"/>
          <w:lang w:val="en-CA"/>
        </w:rPr>
      </w:pPr>
    </w:p>
    <w:p w:rsidR="00C62667" w:rsidRPr="000B0F6D" w:rsidRDefault="00C62667" w:rsidP="00E0055E">
      <w:pPr>
        <w:jc w:val="both"/>
        <w:rPr>
          <w:sz w:val="22"/>
          <w:szCs w:val="22"/>
        </w:rPr>
      </w:pPr>
      <w:r w:rsidRPr="000B0F6D">
        <w:rPr>
          <w:sz w:val="22"/>
          <w:szCs w:val="22"/>
        </w:rPr>
        <w:t>****</w:t>
      </w:r>
    </w:p>
    <w:p w:rsidR="00C62667" w:rsidRPr="000B0F6D" w:rsidRDefault="00C62667" w:rsidP="00E0055E">
      <w:pPr>
        <w:rPr>
          <w:rFonts w:eastAsia="Calibri"/>
          <w:sz w:val="20"/>
        </w:rPr>
      </w:pPr>
    </w:p>
    <w:p w:rsidR="006315AA" w:rsidRPr="00117216" w:rsidRDefault="006315AA" w:rsidP="006315AA">
      <w:pPr>
        <w:rPr>
          <w:sz w:val="22"/>
        </w:rPr>
      </w:pPr>
      <w:r w:rsidRPr="00CE1B34">
        <w:rPr>
          <w:i/>
          <w:sz w:val="22"/>
        </w:rPr>
        <w:t xml:space="preserve">Randy T. Jalava v. Terry Webster </w:t>
      </w:r>
      <w:r w:rsidR="00CE1B34" w:rsidRPr="00CE1B34">
        <w:rPr>
          <w:i/>
          <w:sz w:val="22"/>
          <w:lang w:val="en-CA"/>
        </w:rPr>
        <w:t>and Planet Café Inc.</w:t>
      </w:r>
      <w:r w:rsidR="00CE1B34">
        <w:rPr>
          <w:i/>
          <w:sz w:val="22"/>
          <w:lang w:val="en-CA"/>
        </w:rPr>
        <w:t xml:space="preserve"> </w:t>
      </w:r>
      <w:r w:rsidRPr="00117216">
        <w:rPr>
          <w:sz w:val="22"/>
        </w:rPr>
        <w:t>(B.C.) (Civil) (By Leave) (</w:t>
      </w:r>
      <w:hyperlink r:id="rId22" w:history="1">
        <w:r w:rsidRPr="00117216">
          <w:rPr>
            <w:rStyle w:val="Hyperlink"/>
            <w:sz w:val="22"/>
          </w:rPr>
          <w:t>38119</w:t>
        </w:r>
      </w:hyperlink>
      <w:r w:rsidRPr="00117216">
        <w:rPr>
          <w:sz w:val="22"/>
        </w:rPr>
        <w:t>)</w:t>
      </w:r>
    </w:p>
    <w:p w:rsidR="00C7721C" w:rsidRDefault="006315AA" w:rsidP="006315AA">
      <w:pPr>
        <w:rPr>
          <w:sz w:val="20"/>
          <w:lang w:val="fr-CA"/>
        </w:rPr>
      </w:pPr>
      <w:r>
        <w:rPr>
          <w:sz w:val="20"/>
        </w:rPr>
        <w:t>(</w:t>
      </w:r>
      <w:r w:rsidRPr="006315AA">
        <w:rPr>
          <w:sz w:val="20"/>
          <w:lang w:val="en-CA"/>
        </w:rPr>
        <w:t xml:space="preserve">The motion for an extension of time to serve and file the application for leave to appeal is granted. </w:t>
      </w:r>
      <w:r w:rsidRPr="006315AA">
        <w:rPr>
          <w:sz w:val="20"/>
          <w:lang w:val="fr-CA"/>
        </w:rPr>
        <w:t xml:space="preserve">The application for leave to appeal is dismissed with no order as to costs. / </w:t>
      </w:r>
    </w:p>
    <w:p w:rsidR="006315AA" w:rsidRPr="006315AA" w:rsidRDefault="006315AA" w:rsidP="006315AA">
      <w:pPr>
        <w:rPr>
          <w:sz w:val="20"/>
          <w:lang w:val="fr-CA"/>
        </w:rPr>
      </w:pPr>
      <w:r w:rsidRPr="006315AA">
        <w:rPr>
          <w:sz w:val="20"/>
          <w:lang w:val="fr-CA"/>
        </w:rPr>
        <w:t>La requête en prorogation du délai de signification et de dépôt de la demande d’autorisation d’appel est accueillie. La demande d’autorisation d’appel est rejetée sans ordonnance quant aux dépens.</w:t>
      </w:r>
      <w:r>
        <w:rPr>
          <w:sz w:val="20"/>
          <w:lang w:val="fr-CA"/>
        </w:rPr>
        <w:t>)</w:t>
      </w:r>
    </w:p>
    <w:p w:rsidR="00C62667" w:rsidRPr="006315AA" w:rsidRDefault="00C62667" w:rsidP="00E0055E">
      <w:pPr>
        <w:rPr>
          <w:sz w:val="20"/>
          <w:lang w:val="fr-CA"/>
        </w:rPr>
      </w:pPr>
    </w:p>
    <w:p w:rsidR="00C62667" w:rsidRPr="004C6B9D" w:rsidRDefault="00C62667" w:rsidP="00E0055E">
      <w:pPr>
        <w:jc w:val="both"/>
        <w:rPr>
          <w:sz w:val="22"/>
          <w:szCs w:val="22"/>
        </w:rPr>
      </w:pPr>
      <w:r w:rsidRPr="004C6B9D">
        <w:rPr>
          <w:sz w:val="22"/>
          <w:szCs w:val="22"/>
        </w:rPr>
        <w:t>****</w:t>
      </w:r>
    </w:p>
    <w:p w:rsidR="00C62667" w:rsidRPr="004C6B9D" w:rsidRDefault="00C62667" w:rsidP="00E0055E">
      <w:pPr>
        <w:pStyle w:val="SCCAppellantInfoAppellantInfo"/>
        <w:rPr>
          <w:sz w:val="20"/>
          <w:szCs w:val="20"/>
          <w:lang w:val="en-US"/>
        </w:rPr>
      </w:pPr>
    </w:p>
    <w:p w:rsidR="006315AA" w:rsidRPr="00117216" w:rsidRDefault="00CE1B34" w:rsidP="006315AA">
      <w:pPr>
        <w:rPr>
          <w:sz w:val="22"/>
        </w:rPr>
      </w:pPr>
      <w:r w:rsidRPr="00CE1B34">
        <w:rPr>
          <w:i/>
          <w:sz w:val="22"/>
          <w:lang w:val="en-CA"/>
        </w:rPr>
        <w:t>Pimicikamak and Cross Lake Band of Indians</w:t>
      </w:r>
      <w:r w:rsidRPr="00CE1B34">
        <w:rPr>
          <w:i/>
          <w:sz w:val="22"/>
        </w:rPr>
        <w:t xml:space="preserve"> </w:t>
      </w:r>
      <w:r w:rsidR="006315AA" w:rsidRPr="00117216">
        <w:rPr>
          <w:i/>
          <w:sz w:val="22"/>
        </w:rPr>
        <w:t xml:space="preserve">v. </w:t>
      </w:r>
      <w:r w:rsidRPr="00CE1B34">
        <w:rPr>
          <w:i/>
          <w:sz w:val="22"/>
          <w:lang w:val="en-CA"/>
        </w:rPr>
        <w:t>Her Majesty the Queen in Right of Manitoba, Manitoba Hydro Electric Board and Incorporated Community of Cross Lake</w:t>
      </w:r>
      <w:r w:rsidRPr="00CE1B34">
        <w:rPr>
          <w:i/>
          <w:sz w:val="22"/>
        </w:rPr>
        <w:t xml:space="preserve"> </w:t>
      </w:r>
      <w:r w:rsidR="006315AA" w:rsidRPr="00117216">
        <w:rPr>
          <w:sz w:val="22"/>
        </w:rPr>
        <w:t>(Man.) (Civil) (By Leave) (</w:t>
      </w:r>
      <w:hyperlink r:id="rId23" w:history="1">
        <w:r w:rsidR="006315AA" w:rsidRPr="00117216">
          <w:rPr>
            <w:rStyle w:val="Hyperlink"/>
            <w:sz w:val="22"/>
          </w:rPr>
          <w:t>38221</w:t>
        </w:r>
      </w:hyperlink>
      <w:r w:rsidR="006315AA" w:rsidRPr="00117216">
        <w:rPr>
          <w:sz w:val="22"/>
        </w:rPr>
        <w:t>)</w:t>
      </w:r>
    </w:p>
    <w:p w:rsidR="006315AA" w:rsidRPr="006315AA" w:rsidRDefault="006315AA" w:rsidP="006315AA">
      <w:pPr>
        <w:rPr>
          <w:sz w:val="20"/>
        </w:rPr>
      </w:pPr>
      <w:r w:rsidRPr="006315AA">
        <w:rPr>
          <w:sz w:val="20"/>
        </w:rPr>
        <w:t xml:space="preserve">(The application for leave to appeal is dismissed with no order as to costs. / La demande d’autorisation d’appel </w:t>
      </w:r>
      <w:proofErr w:type="gramStart"/>
      <w:r w:rsidRPr="006315AA">
        <w:rPr>
          <w:sz w:val="20"/>
        </w:rPr>
        <w:t>est</w:t>
      </w:r>
      <w:proofErr w:type="gramEnd"/>
      <w:r w:rsidRPr="006315AA">
        <w:rPr>
          <w:sz w:val="20"/>
        </w:rPr>
        <w:t xml:space="preserve"> rejetée sans ordonnance quant aux dépens.)</w:t>
      </w:r>
    </w:p>
    <w:p w:rsidR="00C62667" w:rsidRPr="006315AA" w:rsidRDefault="00C62667" w:rsidP="00F84395">
      <w:pPr>
        <w:rPr>
          <w:sz w:val="20"/>
        </w:rPr>
      </w:pPr>
    </w:p>
    <w:p w:rsidR="00C62667" w:rsidRDefault="00C62667" w:rsidP="00E0055E">
      <w:pPr>
        <w:jc w:val="both"/>
        <w:rPr>
          <w:sz w:val="22"/>
          <w:szCs w:val="22"/>
        </w:rPr>
      </w:pPr>
      <w:r w:rsidRPr="004C6B9D">
        <w:rPr>
          <w:sz w:val="22"/>
          <w:szCs w:val="22"/>
        </w:rPr>
        <w:t>****</w:t>
      </w:r>
    </w:p>
    <w:p w:rsidR="006315AA" w:rsidRPr="004C6B9D" w:rsidRDefault="006315AA" w:rsidP="00E0055E">
      <w:pPr>
        <w:jc w:val="both"/>
        <w:rPr>
          <w:sz w:val="22"/>
          <w:szCs w:val="22"/>
        </w:rPr>
      </w:pPr>
    </w:p>
    <w:p w:rsidR="004E3FE8" w:rsidRPr="00117216" w:rsidRDefault="004E3FE8" w:rsidP="00E0055E">
      <w:pPr>
        <w:rPr>
          <w:rFonts w:eastAsia="Calibri"/>
          <w:sz w:val="22"/>
          <w:lang w:val="en-CA"/>
        </w:rPr>
      </w:pPr>
      <w:r w:rsidRPr="00117216">
        <w:rPr>
          <w:rFonts w:eastAsia="Calibri"/>
          <w:i/>
          <w:sz w:val="22"/>
          <w:lang w:val="en-CA"/>
        </w:rPr>
        <w:t>Rodney J. Gillis v. Bank of Nova Scotia</w:t>
      </w:r>
      <w:r w:rsidRPr="00117216">
        <w:rPr>
          <w:rFonts w:eastAsia="Calibri"/>
          <w:sz w:val="22"/>
          <w:lang w:val="en-CA"/>
        </w:rPr>
        <w:t xml:space="preserve"> (N.B.) (Civil) (By Leave) </w:t>
      </w:r>
      <w:r w:rsidRPr="00117216">
        <w:rPr>
          <w:sz w:val="22"/>
        </w:rPr>
        <w:t>(</w:t>
      </w:r>
      <w:hyperlink r:id="rId24" w:history="1">
        <w:r w:rsidRPr="00117216">
          <w:rPr>
            <w:rStyle w:val="Hyperlink"/>
            <w:sz w:val="22"/>
          </w:rPr>
          <w:t>38102</w:t>
        </w:r>
      </w:hyperlink>
      <w:r w:rsidRPr="00117216">
        <w:rPr>
          <w:sz w:val="22"/>
        </w:rPr>
        <w:t>)</w:t>
      </w:r>
    </w:p>
    <w:p w:rsidR="006315AA" w:rsidRPr="000B0F6D" w:rsidRDefault="006315AA" w:rsidP="006315AA">
      <w:pPr>
        <w:rPr>
          <w:rFonts w:eastAsia="Calibri"/>
          <w:sz w:val="20"/>
        </w:rPr>
      </w:pPr>
      <w:r w:rsidRPr="000B0F6D">
        <w:rPr>
          <w:rFonts w:eastAsia="Calibri"/>
          <w:sz w:val="20"/>
        </w:rPr>
        <w:t xml:space="preserve">(The application for leave to appeal is dismissed with costs. / La demande d’autorisation d’appel </w:t>
      </w:r>
      <w:proofErr w:type="gramStart"/>
      <w:r w:rsidRPr="000B0F6D">
        <w:rPr>
          <w:rFonts w:eastAsia="Calibri"/>
          <w:sz w:val="20"/>
        </w:rPr>
        <w:t>est</w:t>
      </w:r>
      <w:proofErr w:type="gramEnd"/>
      <w:r w:rsidRPr="000B0F6D">
        <w:rPr>
          <w:rFonts w:eastAsia="Calibri"/>
          <w:sz w:val="20"/>
        </w:rPr>
        <w:t xml:space="preserve"> rejetée avec dépens.)</w:t>
      </w:r>
    </w:p>
    <w:p w:rsidR="006315AA" w:rsidRPr="000B0F6D" w:rsidRDefault="006315AA" w:rsidP="006315AA">
      <w:pPr>
        <w:rPr>
          <w:rFonts w:eastAsia="Calibri"/>
          <w:sz w:val="20"/>
        </w:rPr>
      </w:pPr>
    </w:p>
    <w:p w:rsidR="006315AA" w:rsidRDefault="006315AA" w:rsidP="006315AA">
      <w:pPr>
        <w:jc w:val="both"/>
        <w:rPr>
          <w:sz w:val="22"/>
          <w:szCs w:val="22"/>
        </w:rPr>
      </w:pPr>
      <w:r w:rsidRPr="004C6B9D">
        <w:rPr>
          <w:sz w:val="22"/>
          <w:szCs w:val="22"/>
        </w:rPr>
        <w:t>****</w:t>
      </w:r>
    </w:p>
    <w:p w:rsidR="006315AA" w:rsidRPr="000B0F6D" w:rsidRDefault="006315AA" w:rsidP="008C5EB2">
      <w:pPr>
        <w:rPr>
          <w:rFonts w:eastAsia="Calibri"/>
          <w:sz w:val="20"/>
        </w:rPr>
      </w:pPr>
    </w:p>
    <w:p w:rsidR="004E3FE8" w:rsidRPr="00117216" w:rsidRDefault="00CE1B34" w:rsidP="00E0055E">
      <w:pPr>
        <w:pStyle w:val="SCCAppellantInfoAppellantInfo"/>
        <w:rPr>
          <w:sz w:val="22"/>
          <w:szCs w:val="20"/>
        </w:rPr>
      </w:pPr>
      <w:r w:rsidRPr="00CE1B34">
        <w:rPr>
          <w:i/>
          <w:sz w:val="22"/>
          <w:szCs w:val="20"/>
          <w:lang w:val="en-US"/>
        </w:rPr>
        <w:t>Phoenix Interactive Design Inc. and 1932780 Ontario Inc.</w:t>
      </w:r>
      <w:r w:rsidR="004E3FE8" w:rsidRPr="00117216">
        <w:rPr>
          <w:i/>
          <w:sz w:val="22"/>
          <w:szCs w:val="20"/>
        </w:rPr>
        <w:t xml:space="preserve"> v. </w:t>
      </w:r>
      <w:r w:rsidRPr="00CE1B34">
        <w:rPr>
          <w:i/>
          <w:sz w:val="22"/>
          <w:szCs w:val="20"/>
          <w:lang w:val="en-US"/>
        </w:rPr>
        <w:t>Alterinvest II Fund L.P. by its General Partner, Busi</w:t>
      </w:r>
      <w:r>
        <w:rPr>
          <w:i/>
          <w:sz w:val="22"/>
          <w:szCs w:val="20"/>
          <w:lang w:val="en-US"/>
        </w:rPr>
        <w:t xml:space="preserve">ness Development Bank of Canada </w:t>
      </w:r>
      <w:r w:rsidR="004E3FE8" w:rsidRPr="00117216">
        <w:rPr>
          <w:sz w:val="22"/>
          <w:szCs w:val="20"/>
        </w:rPr>
        <w:t>(Ont.) (Civil) (By Leave) (</w:t>
      </w:r>
      <w:hyperlink r:id="rId25" w:history="1">
        <w:r w:rsidR="004E3FE8" w:rsidRPr="00117216">
          <w:rPr>
            <w:rStyle w:val="Hyperlink"/>
            <w:sz w:val="22"/>
            <w:szCs w:val="20"/>
          </w:rPr>
          <w:t>38041</w:t>
        </w:r>
      </w:hyperlink>
      <w:r w:rsidR="004E3FE8" w:rsidRPr="00117216">
        <w:rPr>
          <w:sz w:val="22"/>
          <w:szCs w:val="20"/>
        </w:rPr>
        <w:t>)</w:t>
      </w:r>
    </w:p>
    <w:p w:rsidR="006315AA" w:rsidRPr="000B0F6D" w:rsidRDefault="006315AA" w:rsidP="006315AA">
      <w:pPr>
        <w:rPr>
          <w:sz w:val="20"/>
        </w:rPr>
      </w:pPr>
      <w:r w:rsidRPr="000B0F6D">
        <w:rPr>
          <w:sz w:val="20"/>
        </w:rPr>
        <w:t xml:space="preserve">(The application for leave to appeal is dismissed with costs. / La demande d’autorisation d’appel </w:t>
      </w:r>
      <w:proofErr w:type="gramStart"/>
      <w:r w:rsidRPr="000B0F6D">
        <w:rPr>
          <w:sz w:val="20"/>
        </w:rPr>
        <w:t>est</w:t>
      </w:r>
      <w:proofErr w:type="gramEnd"/>
      <w:r w:rsidRPr="000B0F6D">
        <w:rPr>
          <w:sz w:val="20"/>
        </w:rPr>
        <w:t xml:space="preserve"> rejetée avec dépens.)</w:t>
      </w:r>
    </w:p>
    <w:p w:rsidR="006315AA" w:rsidRPr="000B0F6D" w:rsidRDefault="006315AA" w:rsidP="006315AA">
      <w:pPr>
        <w:rPr>
          <w:rFonts w:eastAsia="Calibri"/>
          <w:sz w:val="20"/>
        </w:rPr>
      </w:pPr>
    </w:p>
    <w:p w:rsidR="006315AA" w:rsidRDefault="006315AA" w:rsidP="006315AA">
      <w:pPr>
        <w:jc w:val="both"/>
        <w:rPr>
          <w:sz w:val="22"/>
          <w:szCs w:val="22"/>
        </w:rPr>
      </w:pPr>
      <w:r w:rsidRPr="004C6B9D">
        <w:rPr>
          <w:sz w:val="22"/>
          <w:szCs w:val="22"/>
        </w:rPr>
        <w:t>****</w:t>
      </w:r>
    </w:p>
    <w:p w:rsidR="006315AA" w:rsidRPr="000B0F6D" w:rsidRDefault="006315AA" w:rsidP="008C5EB2">
      <w:pPr>
        <w:rPr>
          <w:sz w:val="20"/>
        </w:rPr>
      </w:pPr>
      <w:bookmarkStart w:id="1" w:name="_GoBack"/>
      <w:bookmarkEnd w:id="1"/>
    </w:p>
    <w:p w:rsidR="004E3FE8" w:rsidRPr="00117216" w:rsidRDefault="004E3FE8" w:rsidP="00E0055E">
      <w:pPr>
        <w:pStyle w:val="SCCAppellantInfoAppellantInfo"/>
        <w:rPr>
          <w:sz w:val="22"/>
          <w:szCs w:val="20"/>
        </w:rPr>
      </w:pPr>
      <w:r w:rsidRPr="00117216">
        <w:rPr>
          <w:i/>
          <w:sz w:val="22"/>
          <w:szCs w:val="20"/>
        </w:rPr>
        <w:t>Guy Joseph Sanders v. Royal Bank of Canada</w:t>
      </w:r>
      <w:r w:rsidRPr="00117216">
        <w:rPr>
          <w:sz w:val="22"/>
          <w:szCs w:val="20"/>
        </w:rPr>
        <w:t xml:space="preserve"> (Ont.) (Civil) (By Leave) (</w:t>
      </w:r>
      <w:hyperlink r:id="rId26" w:history="1">
        <w:r w:rsidRPr="00117216">
          <w:rPr>
            <w:rStyle w:val="Hyperlink"/>
            <w:sz w:val="22"/>
            <w:szCs w:val="20"/>
          </w:rPr>
          <w:t>38148</w:t>
        </w:r>
      </w:hyperlink>
      <w:r w:rsidRPr="00117216">
        <w:rPr>
          <w:sz w:val="22"/>
          <w:szCs w:val="20"/>
        </w:rPr>
        <w:t>)</w:t>
      </w:r>
    </w:p>
    <w:p w:rsidR="0095770B" w:rsidRDefault="006315AA" w:rsidP="006315AA">
      <w:pPr>
        <w:jc w:val="both"/>
        <w:rPr>
          <w:i/>
          <w:sz w:val="20"/>
          <w:lang w:val="en-CA"/>
        </w:rPr>
      </w:pPr>
      <w:r w:rsidRPr="00117216">
        <w:rPr>
          <w:sz w:val="20"/>
          <w:lang w:val="en-CA"/>
        </w:rPr>
        <w:t xml:space="preserve">(The application for leave to appeal is dismissed with costs to the respondent in accordance with the tariff of fees and disbursements set out in Schedule B of the </w:t>
      </w:r>
      <w:r w:rsidRPr="00117216">
        <w:rPr>
          <w:i/>
          <w:sz w:val="20"/>
          <w:lang w:val="en-CA"/>
        </w:rPr>
        <w:t xml:space="preserve">Rules of the Supreme Court of Canada. / </w:t>
      </w:r>
    </w:p>
    <w:p w:rsidR="006315AA" w:rsidRPr="0095770B" w:rsidRDefault="006315AA" w:rsidP="006315AA">
      <w:pPr>
        <w:jc w:val="both"/>
        <w:rPr>
          <w:sz w:val="20"/>
          <w:lang w:val="fr-CA"/>
        </w:rPr>
      </w:pPr>
      <w:r w:rsidRPr="0095770B">
        <w:rPr>
          <w:sz w:val="20"/>
          <w:lang w:val="fr-CA"/>
        </w:rPr>
        <w:t xml:space="preserve">La demande d’autorisation d’appel est rejetée avec dépens en faveur de l’intimée conformément au tarif des honoraires et débours établi à l’Annexe B des </w:t>
      </w:r>
      <w:r w:rsidRPr="0095770B">
        <w:rPr>
          <w:i/>
          <w:iCs/>
          <w:sz w:val="20"/>
          <w:lang w:val="fr-CA"/>
        </w:rPr>
        <w:t>Règles de la Cour suprême du Canada</w:t>
      </w:r>
      <w:r w:rsidRPr="0095770B">
        <w:rPr>
          <w:sz w:val="20"/>
          <w:lang w:val="fr-CA"/>
        </w:rPr>
        <w:t>.</w:t>
      </w:r>
      <w:r w:rsidR="00117216" w:rsidRPr="0095770B">
        <w:rPr>
          <w:sz w:val="20"/>
          <w:lang w:val="fr-CA"/>
        </w:rPr>
        <w:t>)</w:t>
      </w:r>
    </w:p>
    <w:p w:rsidR="00117216" w:rsidRPr="0095770B" w:rsidRDefault="00117216" w:rsidP="006315AA">
      <w:pPr>
        <w:jc w:val="both"/>
        <w:rPr>
          <w:sz w:val="20"/>
          <w:lang w:val="fr-CA"/>
        </w:rPr>
      </w:pPr>
    </w:p>
    <w:p w:rsidR="00117216" w:rsidRDefault="00117216" w:rsidP="00117216">
      <w:pPr>
        <w:jc w:val="both"/>
        <w:rPr>
          <w:sz w:val="22"/>
          <w:szCs w:val="22"/>
        </w:rPr>
      </w:pPr>
      <w:r w:rsidRPr="004C6B9D">
        <w:rPr>
          <w:sz w:val="22"/>
          <w:szCs w:val="22"/>
        </w:rPr>
        <w:t>****</w:t>
      </w:r>
    </w:p>
    <w:p w:rsidR="00117216" w:rsidRPr="00117216" w:rsidRDefault="00117216" w:rsidP="006315AA">
      <w:pPr>
        <w:jc w:val="both"/>
        <w:rPr>
          <w:sz w:val="20"/>
          <w:lang w:val="en-CA"/>
        </w:rPr>
      </w:pPr>
    </w:p>
    <w:p w:rsidR="00D3228D" w:rsidRPr="00117216" w:rsidRDefault="00D3228D" w:rsidP="006315AA">
      <w:pPr>
        <w:jc w:val="both"/>
        <w:rPr>
          <w:sz w:val="20"/>
          <w:lang w:val="en-CA"/>
        </w:rPr>
      </w:pPr>
    </w:p>
    <w:p w:rsidR="00117216" w:rsidRPr="00107549" w:rsidRDefault="00117216" w:rsidP="006315AA">
      <w:pPr>
        <w:widowControl w:val="0"/>
        <w:outlineLvl w:val="0"/>
        <w:rPr>
          <w:sz w:val="20"/>
        </w:rPr>
      </w:pPr>
    </w:p>
    <w:p w:rsidR="00D3344A" w:rsidRPr="00303EF9" w:rsidRDefault="00D3344A" w:rsidP="006315AA">
      <w:pPr>
        <w:widowControl w:val="0"/>
        <w:outlineLvl w:val="0"/>
      </w:pPr>
      <w:r w:rsidRPr="00303EF9">
        <w:t xml:space="preserve">Supreme Court of Canada / Cour suprême du </w:t>
      </w:r>
      <w:proofErr w:type="gramStart"/>
      <w:r w:rsidRPr="00303EF9">
        <w:t>Canada :</w:t>
      </w:r>
      <w:proofErr w:type="gramEnd"/>
      <w:r w:rsidRPr="00303EF9">
        <w:t xml:space="preserve"> </w:t>
      </w:r>
    </w:p>
    <w:p w:rsidR="00D3344A" w:rsidRPr="00303EF9" w:rsidRDefault="006E5E0F" w:rsidP="006315AA">
      <w:pPr>
        <w:widowControl w:val="0"/>
        <w:outlineLvl w:val="0"/>
        <w:rPr>
          <w:color w:val="0000FF"/>
          <w:u w:val="single"/>
        </w:rPr>
      </w:pPr>
      <w:hyperlink r:id="rId27" w:history="1">
        <w:r w:rsidR="00D3344A" w:rsidRPr="00303EF9">
          <w:rPr>
            <w:rStyle w:val="Hyperlink"/>
          </w:rPr>
          <w:t>comments-commentaires@scc-csc.ca</w:t>
        </w:r>
      </w:hyperlink>
    </w:p>
    <w:p w:rsidR="00D3344A" w:rsidRPr="00303EF9" w:rsidRDefault="00D3344A" w:rsidP="006315AA">
      <w:pPr>
        <w:widowControl w:val="0"/>
        <w:outlineLvl w:val="0"/>
      </w:pPr>
      <w:r w:rsidRPr="00303EF9">
        <w:t>(613) 995-4330</w:t>
      </w:r>
    </w:p>
    <w:p w:rsidR="00497B5E" w:rsidRPr="00303EF9" w:rsidRDefault="00497B5E" w:rsidP="00E0055E">
      <w:pPr>
        <w:widowControl w:val="0"/>
        <w:rPr>
          <w:sz w:val="20"/>
        </w:rPr>
      </w:pPr>
    </w:p>
    <w:p w:rsidR="003F43E6" w:rsidRPr="00303EF9" w:rsidRDefault="003F43E6" w:rsidP="00E0055E">
      <w:pPr>
        <w:widowControl w:val="0"/>
        <w:rPr>
          <w:sz w:val="20"/>
        </w:rPr>
      </w:pPr>
    </w:p>
    <w:p w:rsidR="00224F26" w:rsidRPr="00910AEC" w:rsidRDefault="003F43E6" w:rsidP="00E0055E">
      <w:pPr>
        <w:pStyle w:val="Footer"/>
        <w:jc w:val="center"/>
      </w:pPr>
      <w:r w:rsidRPr="00303EF9">
        <w:t>- 30</w:t>
      </w:r>
      <w:r w:rsidR="00312438" w:rsidRPr="00303EF9">
        <w:t xml:space="preserve"> -</w:t>
      </w:r>
    </w:p>
    <w:p w:rsidR="00C711D9" w:rsidRPr="00910AEC" w:rsidRDefault="00C711D9" w:rsidP="00E0055E">
      <w:pPr>
        <w:pStyle w:val="Footer"/>
        <w:jc w:val="center"/>
      </w:pPr>
    </w:p>
    <w:sectPr w:rsidR="00C711D9" w:rsidRPr="00910AE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E2957"/>
    <w:multiLevelType w:val="hybridMultilevel"/>
    <w:tmpl w:val="476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82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A7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7AF"/>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0F6D"/>
    <w:rsid w:val="000B1124"/>
    <w:rsid w:val="000B163F"/>
    <w:rsid w:val="000B2C3D"/>
    <w:rsid w:val="000B3835"/>
    <w:rsid w:val="000B4331"/>
    <w:rsid w:val="000B5274"/>
    <w:rsid w:val="000B5899"/>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549"/>
    <w:rsid w:val="00107B4E"/>
    <w:rsid w:val="00110987"/>
    <w:rsid w:val="0011144F"/>
    <w:rsid w:val="0011236E"/>
    <w:rsid w:val="001123E0"/>
    <w:rsid w:val="001125B4"/>
    <w:rsid w:val="00113872"/>
    <w:rsid w:val="00113B62"/>
    <w:rsid w:val="00113C6F"/>
    <w:rsid w:val="001152E6"/>
    <w:rsid w:val="0011721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584"/>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271"/>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818"/>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3FE"/>
    <w:rsid w:val="0033772C"/>
    <w:rsid w:val="00340D7B"/>
    <w:rsid w:val="003413DF"/>
    <w:rsid w:val="0034178A"/>
    <w:rsid w:val="003422C2"/>
    <w:rsid w:val="00342CE7"/>
    <w:rsid w:val="00343BF6"/>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254"/>
    <w:rsid w:val="003B5381"/>
    <w:rsid w:val="003B61F0"/>
    <w:rsid w:val="003B63FD"/>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2E"/>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6B9D"/>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3FE8"/>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4FA5"/>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5AA"/>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442"/>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A1C"/>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D5C"/>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79A"/>
    <w:rsid w:val="007A6B20"/>
    <w:rsid w:val="007A6F16"/>
    <w:rsid w:val="007A7F7F"/>
    <w:rsid w:val="007A7FD6"/>
    <w:rsid w:val="007B09DF"/>
    <w:rsid w:val="007B0B4B"/>
    <w:rsid w:val="007B16F3"/>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EB2"/>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70B"/>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5CE6"/>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343C"/>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895"/>
    <w:rsid w:val="00C319FB"/>
    <w:rsid w:val="00C31C5A"/>
    <w:rsid w:val="00C3212D"/>
    <w:rsid w:val="00C32190"/>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3B38"/>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2667"/>
    <w:rsid w:val="00C640E6"/>
    <w:rsid w:val="00C64192"/>
    <w:rsid w:val="00C653FB"/>
    <w:rsid w:val="00C66545"/>
    <w:rsid w:val="00C67481"/>
    <w:rsid w:val="00C67623"/>
    <w:rsid w:val="00C67AD1"/>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1C"/>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43"/>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B34"/>
    <w:rsid w:val="00CE1C3A"/>
    <w:rsid w:val="00CE31E2"/>
    <w:rsid w:val="00CE3714"/>
    <w:rsid w:val="00CE37E6"/>
    <w:rsid w:val="00CE3FA5"/>
    <w:rsid w:val="00CE4C48"/>
    <w:rsid w:val="00CE6B98"/>
    <w:rsid w:val="00CE6C1C"/>
    <w:rsid w:val="00CE7071"/>
    <w:rsid w:val="00CE708F"/>
    <w:rsid w:val="00CE7839"/>
    <w:rsid w:val="00CE7B3F"/>
    <w:rsid w:val="00CF0B2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4C2"/>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126B"/>
    <w:rsid w:val="00DD1A21"/>
    <w:rsid w:val="00DD1C63"/>
    <w:rsid w:val="00DD267F"/>
    <w:rsid w:val="00DD28EA"/>
    <w:rsid w:val="00DD39D1"/>
    <w:rsid w:val="00DD3A7B"/>
    <w:rsid w:val="00DD4C74"/>
    <w:rsid w:val="00DD5106"/>
    <w:rsid w:val="00DD5423"/>
    <w:rsid w:val="00DD5E8E"/>
    <w:rsid w:val="00DD620A"/>
    <w:rsid w:val="00DD7345"/>
    <w:rsid w:val="00DD762C"/>
    <w:rsid w:val="00DD765A"/>
    <w:rsid w:val="00DE0F77"/>
    <w:rsid w:val="00DE11D6"/>
    <w:rsid w:val="00DE1C44"/>
    <w:rsid w:val="00DE6166"/>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055E"/>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1FC7"/>
    <w:rsid w:val="00E3236E"/>
    <w:rsid w:val="00E337E8"/>
    <w:rsid w:val="00E33B56"/>
    <w:rsid w:val="00E33F7B"/>
    <w:rsid w:val="00E34AA2"/>
    <w:rsid w:val="00E35B12"/>
    <w:rsid w:val="00E35BB1"/>
    <w:rsid w:val="00E35DF8"/>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16F"/>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43B"/>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07DC"/>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395"/>
    <w:rsid w:val="00F84472"/>
    <w:rsid w:val="00F857B4"/>
    <w:rsid w:val="00F86178"/>
    <w:rsid w:val="00F86C88"/>
    <w:rsid w:val="00F87477"/>
    <w:rsid w:val="00F87535"/>
    <w:rsid w:val="00F87D2E"/>
    <w:rsid w:val="00F913BE"/>
    <w:rsid w:val="00F915A2"/>
    <w:rsid w:val="00F91C82"/>
    <w:rsid w:val="00F92D44"/>
    <w:rsid w:val="00F9335D"/>
    <w:rsid w:val="00F94491"/>
    <w:rsid w:val="00F96241"/>
    <w:rsid w:val="00F962B4"/>
    <w:rsid w:val="00F9698D"/>
    <w:rsid w:val="00F97208"/>
    <w:rsid w:val="00FA0210"/>
    <w:rsid w:val="00FA325A"/>
    <w:rsid w:val="00FA37CA"/>
    <w:rsid w:val="00FA3AA3"/>
    <w:rsid w:val="00FA3ECA"/>
    <w:rsid w:val="00FA4061"/>
    <w:rsid w:val="00FA4D44"/>
    <w:rsid w:val="00FA5D62"/>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6B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2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65" TargetMode="External"/><Relationship Id="rId13" Type="http://schemas.openxmlformats.org/officeDocument/2006/relationships/hyperlink" Target="https://www.scc-csc.ca/case-dossier/info/sum-som-eng.aspx?cas=38101" TargetMode="External"/><Relationship Id="rId18" Type="http://schemas.openxmlformats.org/officeDocument/2006/relationships/hyperlink" Target="https://www.scc-csc.ca/case-dossier/info/sum-som-eng.aspx?cas=38178" TargetMode="External"/><Relationship Id="rId26" Type="http://schemas.openxmlformats.org/officeDocument/2006/relationships/hyperlink" Target="https://www.scc-csc.ca/case-dossier/info/sum-som-eng.aspx?cas=38148" TargetMode="External"/><Relationship Id="rId3" Type="http://schemas.openxmlformats.org/officeDocument/2006/relationships/styles" Target="styles.xml"/><Relationship Id="rId21" Type="http://schemas.openxmlformats.org/officeDocument/2006/relationships/hyperlink" Target="https://www.scc-csc.ca/case-dossier/info/sum-som-eng.aspx?cas=3807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8100" TargetMode="External"/><Relationship Id="rId17" Type="http://schemas.openxmlformats.org/officeDocument/2006/relationships/hyperlink" Target="https://www.scc-csc.ca/case-dossier/info/sum-som-eng.aspx?cas=38314" TargetMode="External"/><Relationship Id="rId25" Type="http://schemas.openxmlformats.org/officeDocument/2006/relationships/hyperlink" Target="https://www.scc-csc.ca/case-dossier/info/sum-som-eng.aspx?cas=3804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8140" TargetMode="External"/><Relationship Id="rId20" Type="http://schemas.openxmlformats.org/officeDocument/2006/relationships/hyperlink" Target="https://www.scc-csc.ca/case-dossier/info/sum-som-eng.aspx?cas=383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122" TargetMode="External"/><Relationship Id="rId24" Type="http://schemas.openxmlformats.org/officeDocument/2006/relationships/hyperlink" Target="https://www.scc-csc.ca/case-dossier/info/sum-som-eng.aspx?cas=3810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8143" TargetMode="External"/><Relationship Id="rId23" Type="http://schemas.openxmlformats.org/officeDocument/2006/relationships/hyperlink" Target="https://www.scc-csc.ca/case-dossier/info/sum-som-eng.aspx?cas=38221" TargetMode="External"/><Relationship Id="rId28" Type="http://schemas.openxmlformats.org/officeDocument/2006/relationships/header" Target="header1.xml"/><Relationship Id="rId10" Type="http://schemas.openxmlformats.org/officeDocument/2006/relationships/hyperlink" Target="https://www.scc-csc.ca/case-dossier/info/sum-som-eng.aspx?cas=38274" TargetMode="External"/><Relationship Id="rId19" Type="http://schemas.openxmlformats.org/officeDocument/2006/relationships/hyperlink" Target="https://www.scc-csc.ca/case-dossier/info/sum-som-eng.aspx?cas=3816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304" TargetMode="External"/><Relationship Id="rId14" Type="http://schemas.openxmlformats.org/officeDocument/2006/relationships/hyperlink" Target="https://www.scc-csc.ca/case-dossier/info/sum-som-fra.aspx?cas=38286" TargetMode="External"/><Relationship Id="rId22" Type="http://schemas.openxmlformats.org/officeDocument/2006/relationships/hyperlink" Target="https://www.scc-csc.ca/case-dossier/info/sum-som-eng.aspx?cas=38119"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6E9A-968E-4C04-ABF7-F7AF7ECD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2019-01-09T19:06:00Z</dcterms:created>
  <dcterms:modified xsi:type="dcterms:W3CDTF">2019-01-09T19:06:00Z</dcterms:modified>
</cp:coreProperties>
</file>