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132D5" w:rsidRDefault="00F61846" w:rsidP="00122CE1">
      <w:pPr>
        <w:pStyle w:val="Header"/>
        <w:tabs>
          <w:tab w:val="left" w:pos="1620"/>
          <w:tab w:val="left" w:pos="1710"/>
        </w:tabs>
        <w:jc w:val="center"/>
        <w:rPr>
          <w:b/>
          <w:sz w:val="32"/>
        </w:rPr>
      </w:pPr>
      <w:r w:rsidRPr="005132D5">
        <w:rPr>
          <w:b/>
          <w:sz w:val="32"/>
        </w:rPr>
        <w:t>S</w:t>
      </w:r>
      <w:r w:rsidR="003F43E6" w:rsidRPr="005132D5">
        <w:rPr>
          <w:b/>
          <w:sz w:val="32"/>
        </w:rPr>
        <w:t>upreme Court of Canada / Cour suprême du Canada</w:t>
      </w:r>
    </w:p>
    <w:p w:rsidR="003F43E6" w:rsidRPr="005132D5" w:rsidRDefault="003F43E6" w:rsidP="006F2579">
      <w:pPr>
        <w:widowControl w:val="0"/>
        <w:rPr>
          <w:i/>
        </w:rPr>
      </w:pPr>
    </w:p>
    <w:p w:rsidR="006F2579" w:rsidRPr="005132D5" w:rsidRDefault="006F2579" w:rsidP="006F2579">
      <w:pPr>
        <w:widowControl w:val="0"/>
        <w:rPr>
          <w:i/>
        </w:rPr>
      </w:pPr>
      <w:r w:rsidRPr="005132D5">
        <w:rPr>
          <w:i/>
        </w:rPr>
        <w:t>(le français suit)</w:t>
      </w:r>
    </w:p>
    <w:p w:rsidR="006F2579" w:rsidRPr="005132D5" w:rsidRDefault="006F2579" w:rsidP="006F2579">
      <w:pPr>
        <w:widowControl w:val="0"/>
      </w:pPr>
    </w:p>
    <w:p w:rsidR="006F2579" w:rsidRPr="005132D5" w:rsidRDefault="00B07908" w:rsidP="006F2579">
      <w:pPr>
        <w:widowControl w:val="0"/>
        <w:jc w:val="center"/>
        <w:rPr>
          <w:b/>
        </w:rPr>
      </w:pPr>
      <w:r w:rsidRPr="005132D5">
        <w:fldChar w:fldCharType="begin"/>
      </w:r>
      <w:r w:rsidR="006F2579" w:rsidRPr="005132D5">
        <w:instrText xml:space="preserve"> SEQ CHAPTER \h \r 1</w:instrText>
      </w:r>
      <w:r w:rsidRPr="005132D5">
        <w:fldChar w:fldCharType="end"/>
      </w:r>
      <w:r w:rsidR="006F2579" w:rsidRPr="005132D5">
        <w:rPr>
          <w:b/>
        </w:rPr>
        <w:t>JUDGMENT</w:t>
      </w:r>
      <w:r w:rsidR="00B17AAC" w:rsidRPr="005132D5">
        <w:rPr>
          <w:b/>
        </w:rPr>
        <w:t>S</w:t>
      </w:r>
      <w:r w:rsidR="006F2579" w:rsidRPr="005132D5">
        <w:rPr>
          <w:b/>
        </w:rPr>
        <w:t xml:space="preserve"> TO B</w:t>
      </w:r>
      <w:r w:rsidR="00001846" w:rsidRPr="005132D5">
        <w:rPr>
          <w:b/>
        </w:rPr>
        <w:t>E RENDERED IN LE</w:t>
      </w:r>
      <w:r w:rsidR="00A0288A" w:rsidRPr="005132D5">
        <w:rPr>
          <w:b/>
        </w:rPr>
        <w:t>A</w:t>
      </w:r>
      <w:r w:rsidR="00001846" w:rsidRPr="005132D5">
        <w:rPr>
          <w:b/>
        </w:rPr>
        <w:t>VE APPLICATION</w:t>
      </w:r>
      <w:r w:rsidR="00E94FDF" w:rsidRPr="005132D5">
        <w:rPr>
          <w:b/>
        </w:rPr>
        <w:t>S</w:t>
      </w:r>
    </w:p>
    <w:p w:rsidR="006F2579" w:rsidRPr="005132D5" w:rsidRDefault="006F2579" w:rsidP="006F2579">
      <w:pPr>
        <w:widowControl w:val="0"/>
      </w:pPr>
    </w:p>
    <w:p w:rsidR="006F2579" w:rsidRPr="005132D5" w:rsidRDefault="00136C09" w:rsidP="006F2579">
      <w:pPr>
        <w:widowControl w:val="0"/>
        <w:rPr>
          <w:b/>
        </w:rPr>
      </w:pPr>
      <w:r>
        <w:rPr>
          <w:b/>
        </w:rPr>
        <w:t>April</w:t>
      </w:r>
      <w:r w:rsidR="00A15B66" w:rsidRPr="005132D5">
        <w:rPr>
          <w:b/>
        </w:rPr>
        <w:t xml:space="preserve"> </w:t>
      </w:r>
      <w:r w:rsidR="00E677B3">
        <w:rPr>
          <w:b/>
        </w:rPr>
        <w:t>8</w:t>
      </w:r>
      <w:r w:rsidR="004441C7" w:rsidRPr="005132D5">
        <w:rPr>
          <w:b/>
        </w:rPr>
        <w:t>,</w:t>
      </w:r>
      <w:r w:rsidR="006F2579" w:rsidRPr="005132D5">
        <w:rPr>
          <w:b/>
        </w:rPr>
        <w:t xml:space="preserve"> </w:t>
      </w:r>
      <w:r w:rsidR="0054689F" w:rsidRPr="005132D5">
        <w:rPr>
          <w:b/>
        </w:rPr>
        <w:t>201</w:t>
      </w:r>
      <w:r w:rsidR="00313D36" w:rsidRPr="005132D5">
        <w:rPr>
          <w:b/>
        </w:rPr>
        <w:t>9</w:t>
      </w:r>
    </w:p>
    <w:p w:rsidR="006F2579" w:rsidRPr="005132D5" w:rsidRDefault="00674F39" w:rsidP="006F2579">
      <w:pPr>
        <w:widowControl w:val="0"/>
        <w:rPr>
          <w:b/>
        </w:rPr>
      </w:pPr>
      <w:r w:rsidRPr="005132D5">
        <w:rPr>
          <w:b/>
        </w:rPr>
        <w:t>For immediate release</w:t>
      </w:r>
    </w:p>
    <w:p w:rsidR="006F2579" w:rsidRPr="005132D5" w:rsidRDefault="006F2579" w:rsidP="006F2579">
      <w:pPr>
        <w:widowControl w:val="0"/>
      </w:pPr>
    </w:p>
    <w:p w:rsidR="006F2579" w:rsidRPr="005132D5" w:rsidRDefault="006F2579" w:rsidP="006F2579">
      <w:pPr>
        <w:widowControl w:val="0"/>
      </w:pPr>
      <w:r w:rsidRPr="005132D5">
        <w:rPr>
          <w:b/>
        </w:rPr>
        <w:t>OTTAWA</w:t>
      </w:r>
      <w:r w:rsidRPr="005132D5">
        <w:t xml:space="preserve"> – The Supreme Court of Canad</w:t>
      </w:r>
      <w:r w:rsidR="006246E4" w:rsidRPr="005132D5">
        <w:t>a</w:t>
      </w:r>
      <w:r w:rsidRPr="005132D5">
        <w:t xml:space="preserve"> announced today that judgment in the following application</w:t>
      </w:r>
      <w:r w:rsidR="008600ED" w:rsidRPr="005132D5">
        <w:t>s</w:t>
      </w:r>
      <w:r w:rsidRPr="005132D5">
        <w:t xml:space="preserve"> for leave to appeal will be delivered at 9:45 a.m. </w:t>
      </w:r>
      <w:r w:rsidR="00E05816" w:rsidRPr="005132D5">
        <w:t>E</w:t>
      </w:r>
      <w:r w:rsidR="005B48B5" w:rsidRPr="005132D5">
        <w:t>D</w:t>
      </w:r>
      <w:r w:rsidR="00E05816" w:rsidRPr="005132D5">
        <w:t>T</w:t>
      </w:r>
      <w:r w:rsidRPr="005132D5">
        <w:t xml:space="preserve"> on Thursday, </w:t>
      </w:r>
      <w:r w:rsidR="00136C09">
        <w:t>April</w:t>
      </w:r>
      <w:r w:rsidR="00455912" w:rsidRPr="005132D5">
        <w:t xml:space="preserve"> </w:t>
      </w:r>
      <w:r w:rsidR="00E677B3">
        <w:t>11</w:t>
      </w:r>
      <w:r w:rsidR="007E112F" w:rsidRPr="005132D5">
        <w:t>,</w:t>
      </w:r>
      <w:r w:rsidR="002F38D7" w:rsidRPr="005132D5">
        <w:t xml:space="preserve"> </w:t>
      </w:r>
      <w:r w:rsidR="006648D1" w:rsidRPr="005132D5">
        <w:t>201</w:t>
      </w:r>
      <w:r w:rsidR="00313D36" w:rsidRPr="005132D5">
        <w:t>9</w:t>
      </w:r>
      <w:r w:rsidRPr="005132D5">
        <w:t>. This list is subject to chang</w:t>
      </w:r>
      <w:r w:rsidR="00192F7F" w:rsidRPr="005132D5">
        <w:t>e</w:t>
      </w:r>
      <w:r w:rsidRPr="005132D5">
        <w:t>.</w:t>
      </w:r>
    </w:p>
    <w:p w:rsidR="00EF2A9D" w:rsidRPr="005132D5" w:rsidRDefault="00EF2A9D" w:rsidP="006F2579">
      <w:pPr>
        <w:widowControl w:val="0"/>
        <w:rPr>
          <w:sz w:val="20"/>
        </w:rPr>
      </w:pPr>
    </w:p>
    <w:p w:rsidR="00B43418" w:rsidRPr="005132D5" w:rsidRDefault="00B43418" w:rsidP="006F2579">
      <w:pPr>
        <w:widowControl w:val="0"/>
        <w:rPr>
          <w:sz w:val="20"/>
        </w:rPr>
      </w:pPr>
    </w:p>
    <w:p w:rsidR="006F2579" w:rsidRPr="005132D5" w:rsidRDefault="006F2579" w:rsidP="006F2579">
      <w:pPr>
        <w:widowControl w:val="0"/>
        <w:jc w:val="center"/>
        <w:rPr>
          <w:lang w:val="fr-CA"/>
        </w:rPr>
      </w:pPr>
      <w:r w:rsidRPr="005132D5">
        <w:rPr>
          <w:b/>
          <w:lang w:val="fr-CA"/>
        </w:rPr>
        <w:t>PROCHAIN</w:t>
      </w:r>
      <w:r w:rsidR="00B17AAC" w:rsidRPr="005132D5">
        <w:rPr>
          <w:b/>
          <w:lang w:val="fr-CA"/>
        </w:rPr>
        <w:t>S</w:t>
      </w:r>
      <w:r w:rsidRPr="005132D5">
        <w:rPr>
          <w:b/>
          <w:lang w:val="fr-CA"/>
        </w:rPr>
        <w:t xml:space="preserve"> JUGEMENT</w:t>
      </w:r>
      <w:r w:rsidR="00B17AAC" w:rsidRPr="005132D5">
        <w:rPr>
          <w:b/>
          <w:lang w:val="fr-CA"/>
        </w:rPr>
        <w:t>S</w:t>
      </w:r>
      <w:r w:rsidR="00001846" w:rsidRPr="005132D5">
        <w:rPr>
          <w:b/>
          <w:lang w:val="fr-CA"/>
        </w:rPr>
        <w:t xml:space="preserve"> SUR DEMANDE</w:t>
      </w:r>
      <w:r w:rsidR="00B17AAC" w:rsidRPr="005132D5">
        <w:rPr>
          <w:b/>
          <w:lang w:val="fr-CA"/>
        </w:rPr>
        <w:t>S</w:t>
      </w:r>
      <w:r w:rsidRPr="005132D5">
        <w:rPr>
          <w:b/>
          <w:lang w:val="fr-CA"/>
        </w:rPr>
        <w:t xml:space="preserve"> D’AUTORISATION</w:t>
      </w:r>
    </w:p>
    <w:p w:rsidR="006F2579" w:rsidRPr="005132D5" w:rsidRDefault="006F2579" w:rsidP="006F2579">
      <w:pPr>
        <w:widowControl w:val="0"/>
        <w:rPr>
          <w:lang w:val="fr-CA"/>
        </w:rPr>
      </w:pPr>
    </w:p>
    <w:p w:rsidR="006F2579" w:rsidRPr="005132D5" w:rsidRDefault="006F2579" w:rsidP="006F2579">
      <w:pPr>
        <w:widowControl w:val="0"/>
        <w:rPr>
          <w:b/>
          <w:lang w:val="fr-CA"/>
        </w:rPr>
      </w:pPr>
      <w:r w:rsidRPr="005132D5">
        <w:rPr>
          <w:b/>
          <w:lang w:val="fr-CA"/>
        </w:rPr>
        <w:t>Le</w:t>
      </w:r>
      <w:r w:rsidR="00957A76" w:rsidRPr="005132D5">
        <w:rPr>
          <w:b/>
          <w:lang w:val="fr-CA"/>
        </w:rPr>
        <w:t xml:space="preserve"> </w:t>
      </w:r>
      <w:r w:rsidR="00E677B3">
        <w:rPr>
          <w:b/>
          <w:lang w:val="fr-CA"/>
        </w:rPr>
        <w:t>8</w:t>
      </w:r>
      <w:r w:rsidR="00136C09">
        <w:rPr>
          <w:b/>
          <w:lang w:val="fr-CA"/>
        </w:rPr>
        <w:t xml:space="preserve"> av</w:t>
      </w:r>
      <w:r w:rsidR="00AA7874" w:rsidRPr="005132D5">
        <w:rPr>
          <w:b/>
          <w:lang w:val="fr-CA"/>
        </w:rPr>
        <w:t>r</w:t>
      </w:r>
      <w:r w:rsidR="00136C09">
        <w:rPr>
          <w:b/>
          <w:lang w:val="fr-CA"/>
        </w:rPr>
        <w:t>il</w:t>
      </w:r>
      <w:r w:rsidR="00A151D1" w:rsidRPr="005132D5">
        <w:rPr>
          <w:b/>
          <w:lang w:val="fr-CA"/>
        </w:rPr>
        <w:t xml:space="preserve"> 201</w:t>
      </w:r>
      <w:r w:rsidR="00313D36" w:rsidRPr="005132D5">
        <w:rPr>
          <w:b/>
          <w:lang w:val="fr-CA"/>
        </w:rPr>
        <w:t>9</w:t>
      </w:r>
    </w:p>
    <w:p w:rsidR="006F2579" w:rsidRPr="005132D5" w:rsidRDefault="006F2579" w:rsidP="006F2579">
      <w:pPr>
        <w:widowControl w:val="0"/>
        <w:rPr>
          <w:b/>
          <w:lang w:val="fr-CA"/>
        </w:rPr>
      </w:pPr>
      <w:r w:rsidRPr="005132D5">
        <w:rPr>
          <w:b/>
          <w:lang w:val="fr-CA"/>
        </w:rPr>
        <w:t>Pour diffusion immédiate</w:t>
      </w:r>
    </w:p>
    <w:p w:rsidR="006F2579" w:rsidRPr="005132D5" w:rsidRDefault="006F2579" w:rsidP="006F2579">
      <w:pPr>
        <w:widowControl w:val="0"/>
        <w:rPr>
          <w:lang w:val="fr-CA"/>
        </w:rPr>
      </w:pPr>
    </w:p>
    <w:p w:rsidR="006F2579" w:rsidRPr="005132D5" w:rsidRDefault="006F2579" w:rsidP="006F2579">
      <w:pPr>
        <w:widowControl w:val="0"/>
        <w:rPr>
          <w:lang w:val="fr-CA"/>
        </w:rPr>
      </w:pPr>
      <w:r w:rsidRPr="005132D5">
        <w:rPr>
          <w:b/>
          <w:lang w:val="fr-CA"/>
        </w:rPr>
        <w:t>OTTAWA</w:t>
      </w:r>
      <w:r w:rsidRPr="005132D5">
        <w:rPr>
          <w:lang w:val="fr-CA"/>
        </w:rPr>
        <w:t xml:space="preserve"> – La Cour suprême du Canada annonce que jugement ser</w:t>
      </w:r>
      <w:r w:rsidR="004259F9" w:rsidRPr="005132D5">
        <w:rPr>
          <w:lang w:val="fr-CA"/>
        </w:rPr>
        <w:t>a</w:t>
      </w:r>
      <w:r w:rsidRPr="005132D5">
        <w:rPr>
          <w:lang w:val="fr-CA"/>
        </w:rPr>
        <w:t xml:space="preserve"> rendu dans l</w:t>
      </w:r>
      <w:r w:rsidR="008600ED" w:rsidRPr="005132D5">
        <w:rPr>
          <w:lang w:val="fr-CA"/>
        </w:rPr>
        <w:t>es</w:t>
      </w:r>
      <w:r w:rsidRPr="005132D5">
        <w:rPr>
          <w:lang w:val="fr-CA"/>
        </w:rPr>
        <w:t xml:space="preserve"> demande</w:t>
      </w:r>
      <w:r w:rsidR="008600ED" w:rsidRPr="005132D5">
        <w:rPr>
          <w:lang w:val="fr-CA"/>
        </w:rPr>
        <w:t>s</w:t>
      </w:r>
      <w:r w:rsidRPr="005132D5">
        <w:rPr>
          <w:lang w:val="fr-CA"/>
        </w:rPr>
        <w:t xml:space="preserve"> d</w:t>
      </w:r>
      <w:r w:rsidR="00001846" w:rsidRPr="005132D5">
        <w:rPr>
          <w:lang w:val="fr-CA"/>
        </w:rPr>
        <w:t>’autorisation d’appel suivante</w:t>
      </w:r>
      <w:r w:rsidR="008600ED" w:rsidRPr="005132D5">
        <w:rPr>
          <w:lang w:val="fr-CA"/>
        </w:rPr>
        <w:t>s</w:t>
      </w:r>
      <w:r w:rsidRPr="005132D5">
        <w:rPr>
          <w:lang w:val="fr-CA"/>
        </w:rPr>
        <w:t xml:space="preserve"> le jeudi </w:t>
      </w:r>
      <w:r w:rsidR="00E677B3">
        <w:rPr>
          <w:lang w:val="fr-CA"/>
        </w:rPr>
        <w:t>11</w:t>
      </w:r>
      <w:r w:rsidR="00780317" w:rsidRPr="005132D5">
        <w:rPr>
          <w:lang w:val="fr-CA"/>
        </w:rPr>
        <w:t xml:space="preserve"> </w:t>
      </w:r>
      <w:r w:rsidR="00AA7874" w:rsidRPr="005132D5">
        <w:rPr>
          <w:lang w:val="fr-CA"/>
        </w:rPr>
        <w:t>a</w:t>
      </w:r>
      <w:r w:rsidR="00136C09">
        <w:rPr>
          <w:lang w:val="fr-CA"/>
        </w:rPr>
        <w:t>v</w:t>
      </w:r>
      <w:r w:rsidR="00AA7874" w:rsidRPr="005132D5">
        <w:rPr>
          <w:lang w:val="fr-CA"/>
        </w:rPr>
        <w:t>r</w:t>
      </w:r>
      <w:r w:rsidR="00136C09">
        <w:rPr>
          <w:lang w:val="fr-CA"/>
        </w:rPr>
        <w:t>il</w:t>
      </w:r>
      <w:r w:rsidR="00694391" w:rsidRPr="005132D5">
        <w:rPr>
          <w:lang w:val="fr-CA"/>
        </w:rPr>
        <w:t xml:space="preserve"> 2</w:t>
      </w:r>
      <w:r w:rsidR="006648D1" w:rsidRPr="005132D5">
        <w:rPr>
          <w:lang w:val="fr-CA"/>
        </w:rPr>
        <w:t>01</w:t>
      </w:r>
      <w:r w:rsidR="00313D36" w:rsidRPr="005132D5">
        <w:rPr>
          <w:lang w:val="fr-CA"/>
        </w:rPr>
        <w:t>9</w:t>
      </w:r>
      <w:r w:rsidRPr="005132D5">
        <w:rPr>
          <w:lang w:val="fr-CA"/>
        </w:rPr>
        <w:t xml:space="preserve">, à 9 h 45 </w:t>
      </w:r>
      <w:r w:rsidR="000627A2" w:rsidRPr="005132D5">
        <w:rPr>
          <w:lang w:val="fr-CA"/>
        </w:rPr>
        <w:t>H</w:t>
      </w:r>
      <w:r w:rsidR="005B48B5" w:rsidRPr="005132D5">
        <w:rPr>
          <w:lang w:val="fr-CA"/>
        </w:rPr>
        <w:t>A</w:t>
      </w:r>
      <w:r w:rsidRPr="005132D5">
        <w:rPr>
          <w:lang w:val="fr-CA"/>
        </w:rPr>
        <w:t>E. Cette liste est sujette à modifications.</w:t>
      </w:r>
    </w:p>
    <w:p w:rsidR="00EF2A9D" w:rsidRPr="005132D5" w:rsidRDefault="00EF2A9D" w:rsidP="009B14F4">
      <w:pPr>
        <w:widowControl w:val="0"/>
        <w:jc w:val="both"/>
        <w:rPr>
          <w:sz w:val="20"/>
          <w:lang w:val="fr-CA"/>
        </w:rPr>
      </w:pPr>
    </w:p>
    <w:p w:rsidR="001838E0" w:rsidRPr="005132D5" w:rsidRDefault="007B6202" w:rsidP="009B14F4">
      <w:pPr>
        <w:widowControl w:val="0"/>
        <w:jc w:val="both"/>
        <w:rPr>
          <w:sz w:val="20"/>
          <w:lang w:val="fr-CA"/>
        </w:rPr>
      </w:pPr>
      <w:r>
        <w:rPr>
          <w:sz w:val="20"/>
        </w:rPr>
        <w:pict>
          <v:rect id="_x0000_i1025" style="width:2in;height:1pt" o:hrpct="0" o:hralign="center" o:hrstd="t" o:hrnoshade="t" o:hr="t" fillcolor="black [3213]" stroked="f"/>
        </w:pict>
      </w:r>
    </w:p>
    <w:p w:rsidR="00714B95" w:rsidRDefault="00714B95" w:rsidP="006A22CA">
      <w:pPr>
        <w:ind w:left="142" w:hanging="142"/>
        <w:jc w:val="both"/>
        <w:rPr>
          <w:sz w:val="20"/>
          <w:lang w:val="fr-CA"/>
        </w:rPr>
      </w:pPr>
    </w:p>
    <w:p w:rsidR="00094A30" w:rsidRPr="00037E9F" w:rsidRDefault="00094A30" w:rsidP="00037E9F">
      <w:pPr>
        <w:pStyle w:val="ListParagraph"/>
        <w:numPr>
          <w:ilvl w:val="0"/>
          <w:numId w:val="20"/>
        </w:numPr>
        <w:ind w:left="357" w:hanging="357"/>
        <w:rPr>
          <w:sz w:val="20"/>
          <w:szCs w:val="20"/>
        </w:rPr>
      </w:pPr>
      <w:r w:rsidRPr="00037E9F">
        <w:rPr>
          <w:i/>
          <w:sz w:val="20"/>
          <w:szCs w:val="20"/>
        </w:rPr>
        <w:t xml:space="preserve">Timothy Clarke Anthony v. Her Majesty the Queen </w:t>
      </w:r>
      <w:r w:rsidRPr="00037E9F">
        <w:rPr>
          <w:sz w:val="20"/>
          <w:szCs w:val="20"/>
        </w:rPr>
        <w:t>(Ont.) (Criminal) (By Leave)</w:t>
      </w:r>
      <w:r w:rsidR="00CB58D5" w:rsidRPr="00037E9F">
        <w:rPr>
          <w:sz w:val="20"/>
        </w:rPr>
        <w:t xml:space="preserve"> (</w:t>
      </w:r>
      <w:hyperlink r:id="rId8" w:history="1">
        <w:r w:rsidR="00CB58D5" w:rsidRPr="00037E9F">
          <w:rPr>
            <w:rStyle w:val="Hyperlink"/>
            <w:sz w:val="20"/>
          </w:rPr>
          <w:t>38</w:t>
        </w:r>
        <w:r w:rsidR="000A32BF">
          <w:rPr>
            <w:rStyle w:val="Hyperlink"/>
            <w:sz w:val="20"/>
          </w:rPr>
          <w:t>435</w:t>
        </w:r>
      </w:hyperlink>
      <w:r w:rsidR="00CB58D5" w:rsidRPr="00037E9F">
        <w:rPr>
          <w:sz w:val="20"/>
        </w:rPr>
        <w:t>)</w:t>
      </w:r>
    </w:p>
    <w:p w:rsidR="00094A30" w:rsidRPr="00094A30" w:rsidRDefault="00094A30" w:rsidP="00037E9F">
      <w:pPr>
        <w:ind w:left="357" w:hanging="357"/>
        <w:rPr>
          <w:sz w:val="20"/>
        </w:rPr>
      </w:pPr>
    </w:p>
    <w:p w:rsidR="00094A30" w:rsidRPr="00037E9F" w:rsidRDefault="00094A30" w:rsidP="00037E9F">
      <w:pPr>
        <w:pStyle w:val="ListParagraph"/>
        <w:numPr>
          <w:ilvl w:val="0"/>
          <w:numId w:val="20"/>
        </w:numPr>
        <w:ind w:left="357" w:hanging="357"/>
        <w:rPr>
          <w:sz w:val="20"/>
          <w:lang w:val="fr-CA"/>
        </w:rPr>
      </w:pPr>
      <w:r w:rsidRPr="00037E9F">
        <w:rPr>
          <w:i/>
          <w:sz w:val="20"/>
          <w:lang w:val="fr-CA"/>
        </w:rPr>
        <w:t xml:space="preserve">Denis Gilbert c. Syndicat de professionnelles et professionnels du gouvernement du Québec </w:t>
      </w:r>
      <w:r w:rsidRPr="00037E9F">
        <w:rPr>
          <w:sz w:val="20"/>
          <w:lang w:val="fr-CA"/>
        </w:rPr>
        <w:t>(Q</w:t>
      </w:r>
      <w:r w:rsidR="00C63365" w:rsidRPr="00037E9F">
        <w:rPr>
          <w:sz w:val="20"/>
          <w:lang w:val="fr-CA"/>
        </w:rPr>
        <w:t>c</w:t>
      </w:r>
      <w:r w:rsidRPr="00037E9F">
        <w:rPr>
          <w:sz w:val="20"/>
          <w:lang w:val="fr-CA"/>
        </w:rPr>
        <w:t>) (Civile) (Autorisation)</w:t>
      </w:r>
      <w:r w:rsidR="00CB58D5" w:rsidRPr="00037E9F">
        <w:rPr>
          <w:sz w:val="20"/>
          <w:lang w:val="fr-CA"/>
        </w:rPr>
        <w:t xml:space="preserve"> (</w:t>
      </w:r>
      <w:hyperlink r:id="rId9" w:history="1">
        <w:r w:rsidR="00CB58D5" w:rsidRPr="00037E9F">
          <w:rPr>
            <w:rStyle w:val="Hyperlink"/>
            <w:sz w:val="20"/>
            <w:lang w:val="fr-CA"/>
          </w:rPr>
          <w:t>3</w:t>
        </w:r>
        <w:r w:rsidR="00B311A8">
          <w:rPr>
            <w:rStyle w:val="Hyperlink"/>
            <w:sz w:val="20"/>
            <w:lang w:val="fr-CA"/>
          </w:rPr>
          <w:t>8</w:t>
        </w:r>
        <w:r w:rsidR="00F4276C">
          <w:rPr>
            <w:rStyle w:val="Hyperlink"/>
            <w:sz w:val="20"/>
            <w:lang w:val="fr-CA"/>
          </w:rPr>
          <w:t>147</w:t>
        </w:r>
      </w:hyperlink>
      <w:r w:rsidR="00CB58D5" w:rsidRPr="00037E9F">
        <w:rPr>
          <w:sz w:val="20"/>
          <w:lang w:val="fr-CA"/>
        </w:rPr>
        <w:t>)</w:t>
      </w:r>
    </w:p>
    <w:p w:rsidR="00094A30" w:rsidRPr="00094A30" w:rsidRDefault="00094A30" w:rsidP="00037E9F">
      <w:pPr>
        <w:ind w:left="357" w:hanging="357"/>
        <w:rPr>
          <w:sz w:val="20"/>
          <w:lang w:val="fr-CA"/>
        </w:rPr>
      </w:pPr>
    </w:p>
    <w:p w:rsidR="00094A30" w:rsidRPr="00037E9F" w:rsidRDefault="00094A30" w:rsidP="00037E9F">
      <w:pPr>
        <w:pStyle w:val="ListParagraph"/>
        <w:numPr>
          <w:ilvl w:val="0"/>
          <w:numId w:val="20"/>
        </w:numPr>
        <w:ind w:left="357" w:hanging="357"/>
        <w:rPr>
          <w:sz w:val="20"/>
          <w:szCs w:val="20"/>
          <w:lang w:val="en-CA"/>
        </w:rPr>
      </w:pPr>
      <w:r w:rsidRPr="00037E9F">
        <w:rPr>
          <w:i/>
          <w:sz w:val="20"/>
          <w:szCs w:val="20"/>
          <w:lang w:val="fr-CA"/>
        </w:rPr>
        <w:t>CI Investments Inc., et al. v. Claude Ravary</w:t>
      </w:r>
      <w:r w:rsidRPr="00037E9F">
        <w:rPr>
          <w:sz w:val="20"/>
          <w:szCs w:val="20"/>
          <w:lang w:val="fr-CA"/>
        </w:rPr>
        <w:t xml:space="preserve"> (Que.) (</w:t>
      </w:r>
      <w:r w:rsidR="00C63365" w:rsidRPr="00037E9F">
        <w:rPr>
          <w:sz w:val="20"/>
          <w:lang w:val="en-CA"/>
        </w:rPr>
        <w:t>Civil) (By Leave)</w:t>
      </w:r>
      <w:r w:rsidR="00CB58D5" w:rsidRPr="00037E9F">
        <w:rPr>
          <w:sz w:val="20"/>
          <w:lang w:val="en-CA"/>
        </w:rPr>
        <w:t xml:space="preserve"> </w:t>
      </w:r>
      <w:r w:rsidR="00CB58D5" w:rsidRPr="00037E9F">
        <w:rPr>
          <w:sz w:val="20"/>
        </w:rPr>
        <w:t>(</w:t>
      </w:r>
      <w:hyperlink r:id="rId10" w:history="1">
        <w:r w:rsidR="00CB58D5" w:rsidRPr="00037E9F">
          <w:rPr>
            <w:rStyle w:val="Hyperlink"/>
            <w:sz w:val="20"/>
          </w:rPr>
          <w:t>3817</w:t>
        </w:r>
        <w:r w:rsidR="00C9116E">
          <w:rPr>
            <w:rStyle w:val="Hyperlink"/>
            <w:sz w:val="20"/>
          </w:rPr>
          <w:t>1</w:t>
        </w:r>
      </w:hyperlink>
      <w:r w:rsidR="00CB58D5" w:rsidRPr="00037E9F">
        <w:rPr>
          <w:sz w:val="20"/>
        </w:rPr>
        <w:t>)</w:t>
      </w:r>
    </w:p>
    <w:p w:rsidR="00094A30" w:rsidRPr="00094A30" w:rsidRDefault="00094A30" w:rsidP="00037E9F">
      <w:pPr>
        <w:ind w:left="357" w:hanging="357"/>
        <w:rPr>
          <w:sz w:val="20"/>
          <w:lang w:val="en-CA"/>
        </w:rPr>
      </w:pPr>
    </w:p>
    <w:p w:rsidR="00094A30" w:rsidRPr="00037E9F" w:rsidRDefault="00094A30" w:rsidP="00037E9F">
      <w:pPr>
        <w:pStyle w:val="ListParagraph"/>
        <w:numPr>
          <w:ilvl w:val="0"/>
          <w:numId w:val="20"/>
        </w:numPr>
        <w:ind w:left="357" w:hanging="357"/>
        <w:rPr>
          <w:sz w:val="20"/>
          <w:szCs w:val="20"/>
          <w:lang w:val="en-CA"/>
        </w:rPr>
      </w:pPr>
      <w:r w:rsidRPr="00037E9F">
        <w:rPr>
          <w:i/>
          <w:sz w:val="20"/>
          <w:szCs w:val="20"/>
          <w:lang w:val="en-CA"/>
        </w:rPr>
        <w:t xml:space="preserve">Fraser Hillary’s Limited v. Eddy Huang, et al. </w:t>
      </w:r>
      <w:r w:rsidRPr="00037E9F">
        <w:rPr>
          <w:sz w:val="20"/>
          <w:szCs w:val="20"/>
          <w:lang w:val="en-CA"/>
        </w:rPr>
        <w:t>(Ont.) (Civil) (By Leave)</w:t>
      </w:r>
      <w:r w:rsidR="00CB58D5" w:rsidRPr="00037E9F">
        <w:rPr>
          <w:sz w:val="20"/>
          <w:lang w:val="en-CA"/>
        </w:rPr>
        <w:t xml:space="preserve"> </w:t>
      </w:r>
      <w:r w:rsidR="00CB58D5" w:rsidRPr="00037E9F">
        <w:rPr>
          <w:sz w:val="20"/>
        </w:rPr>
        <w:t>(</w:t>
      </w:r>
      <w:hyperlink r:id="rId11" w:history="1">
        <w:r w:rsidR="00CB58D5" w:rsidRPr="00037E9F">
          <w:rPr>
            <w:rStyle w:val="Hyperlink"/>
            <w:sz w:val="20"/>
          </w:rPr>
          <w:t>38</w:t>
        </w:r>
        <w:r w:rsidR="00F073E3">
          <w:rPr>
            <w:rStyle w:val="Hyperlink"/>
            <w:sz w:val="20"/>
          </w:rPr>
          <w:t>282</w:t>
        </w:r>
      </w:hyperlink>
      <w:r w:rsidR="00CB58D5" w:rsidRPr="00037E9F">
        <w:rPr>
          <w:sz w:val="20"/>
        </w:rPr>
        <w:t>)</w:t>
      </w:r>
    </w:p>
    <w:p w:rsidR="00094A30" w:rsidRPr="00094A30" w:rsidRDefault="00094A30" w:rsidP="00037E9F">
      <w:pPr>
        <w:ind w:left="357" w:hanging="357"/>
        <w:rPr>
          <w:sz w:val="20"/>
          <w:lang w:val="en-CA"/>
        </w:rPr>
      </w:pPr>
    </w:p>
    <w:p w:rsidR="00094A30" w:rsidRPr="00037E9F" w:rsidRDefault="00094A30" w:rsidP="00037E9F">
      <w:pPr>
        <w:pStyle w:val="ListParagraph"/>
        <w:numPr>
          <w:ilvl w:val="0"/>
          <w:numId w:val="20"/>
        </w:numPr>
        <w:ind w:left="357" w:hanging="357"/>
        <w:rPr>
          <w:sz w:val="20"/>
        </w:rPr>
      </w:pPr>
      <w:r w:rsidRPr="00037E9F">
        <w:rPr>
          <w:i/>
          <w:sz w:val="20"/>
          <w:lang w:val="en-CA"/>
        </w:rPr>
        <w:t xml:space="preserve">Ontario Medical Association, et al. v. Information and Privacy Commissioner of Ontario, et al. </w:t>
      </w:r>
      <w:r w:rsidRPr="00037E9F">
        <w:rPr>
          <w:sz w:val="20"/>
          <w:lang w:val="en-CA"/>
        </w:rPr>
        <w:t xml:space="preserve">(Ont.) </w:t>
      </w:r>
      <w:r w:rsidRPr="00037E9F">
        <w:rPr>
          <w:sz w:val="20"/>
        </w:rPr>
        <w:t>(Civil) (By Leave)</w:t>
      </w:r>
      <w:r w:rsidR="00CB58D5" w:rsidRPr="00037E9F">
        <w:rPr>
          <w:sz w:val="20"/>
        </w:rPr>
        <w:t xml:space="preserve"> (</w:t>
      </w:r>
      <w:hyperlink r:id="rId12" w:history="1">
        <w:r w:rsidR="00CB58D5" w:rsidRPr="00037E9F">
          <w:rPr>
            <w:rStyle w:val="Hyperlink"/>
            <w:sz w:val="20"/>
          </w:rPr>
          <w:t>38</w:t>
        </w:r>
        <w:r w:rsidR="00A7045E">
          <w:rPr>
            <w:rStyle w:val="Hyperlink"/>
            <w:sz w:val="20"/>
          </w:rPr>
          <w:t>343</w:t>
        </w:r>
      </w:hyperlink>
      <w:r w:rsidR="00CB58D5" w:rsidRPr="00037E9F">
        <w:rPr>
          <w:sz w:val="20"/>
        </w:rPr>
        <w:t>)</w:t>
      </w:r>
    </w:p>
    <w:p w:rsidR="00094A30" w:rsidRPr="00094A30" w:rsidRDefault="00094A30" w:rsidP="00037E9F">
      <w:pPr>
        <w:ind w:left="357" w:hanging="357"/>
        <w:rPr>
          <w:sz w:val="20"/>
        </w:rPr>
      </w:pPr>
    </w:p>
    <w:p w:rsidR="00094A30" w:rsidRPr="00037E9F" w:rsidRDefault="00094A30" w:rsidP="00037E9F">
      <w:pPr>
        <w:pStyle w:val="ListParagraph"/>
        <w:numPr>
          <w:ilvl w:val="0"/>
          <w:numId w:val="20"/>
        </w:numPr>
        <w:ind w:left="357" w:hanging="357"/>
        <w:rPr>
          <w:sz w:val="20"/>
          <w:szCs w:val="20"/>
          <w:lang w:val="fr-CA"/>
        </w:rPr>
      </w:pPr>
      <w:r w:rsidRPr="00037E9F">
        <w:rPr>
          <w:i/>
          <w:sz w:val="20"/>
          <w:szCs w:val="20"/>
          <w:lang w:val="en-CA"/>
        </w:rPr>
        <w:t>Lamar Skeete v. Her Majesty the Queen</w:t>
      </w:r>
      <w:r w:rsidRPr="00037E9F">
        <w:rPr>
          <w:sz w:val="20"/>
          <w:szCs w:val="20"/>
          <w:lang w:val="en-CA"/>
        </w:rPr>
        <w:t xml:space="preserve"> (Ont.) </w:t>
      </w:r>
      <w:r w:rsidRPr="00037E9F">
        <w:rPr>
          <w:sz w:val="20"/>
          <w:szCs w:val="20"/>
          <w:lang w:val="fr-CA"/>
        </w:rPr>
        <w:t>(Criminal) (By Leave)</w:t>
      </w:r>
      <w:r w:rsidR="00CB58D5" w:rsidRPr="00037E9F">
        <w:rPr>
          <w:sz w:val="20"/>
          <w:lang w:val="fr-CA"/>
        </w:rPr>
        <w:t xml:space="preserve"> </w:t>
      </w:r>
      <w:r w:rsidR="00CB58D5" w:rsidRPr="00037E9F">
        <w:rPr>
          <w:sz w:val="20"/>
        </w:rPr>
        <w:t>(</w:t>
      </w:r>
      <w:hyperlink r:id="rId13" w:history="1">
        <w:r w:rsidR="00CB58D5" w:rsidRPr="00037E9F">
          <w:rPr>
            <w:rStyle w:val="Hyperlink"/>
            <w:sz w:val="20"/>
          </w:rPr>
          <w:t>38</w:t>
        </w:r>
        <w:r w:rsidR="00962483">
          <w:rPr>
            <w:rStyle w:val="Hyperlink"/>
            <w:sz w:val="20"/>
          </w:rPr>
          <w:t>442</w:t>
        </w:r>
      </w:hyperlink>
      <w:r w:rsidR="00CB58D5" w:rsidRPr="00037E9F">
        <w:rPr>
          <w:sz w:val="20"/>
        </w:rPr>
        <w:t>)</w:t>
      </w:r>
    </w:p>
    <w:p w:rsidR="00094A30" w:rsidRPr="00094A30" w:rsidRDefault="00094A30" w:rsidP="00037E9F">
      <w:pPr>
        <w:ind w:left="357" w:hanging="357"/>
        <w:rPr>
          <w:sz w:val="20"/>
          <w:lang w:val="fr-CA"/>
        </w:rPr>
      </w:pPr>
    </w:p>
    <w:p w:rsidR="00094A30" w:rsidRPr="00037E9F" w:rsidRDefault="00094A30" w:rsidP="00037E9F">
      <w:pPr>
        <w:pStyle w:val="ListParagraph"/>
        <w:numPr>
          <w:ilvl w:val="0"/>
          <w:numId w:val="20"/>
        </w:numPr>
        <w:ind w:left="357" w:hanging="357"/>
        <w:rPr>
          <w:sz w:val="20"/>
          <w:szCs w:val="20"/>
          <w:lang w:val="fr-CA"/>
        </w:rPr>
      </w:pPr>
      <w:r w:rsidRPr="00037E9F">
        <w:rPr>
          <w:i/>
          <w:sz w:val="20"/>
          <w:szCs w:val="20"/>
          <w:lang w:val="fr-CA"/>
        </w:rPr>
        <w:t xml:space="preserve">Daniel Turp c. Ministre des </w:t>
      </w:r>
      <w:r w:rsidR="004D6FCC">
        <w:rPr>
          <w:i/>
          <w:sz w:val="20"/>
          <w:szCs w:val="20"/>
          <w:lang w:val="fr-CA"/>
        </w:rPr>
        <w:t>A</w:t>
      </w:r>
      <w:r w:rsidRPr="00037E9F">
        <w:rPr>
          <w:i/>
          <w:sz w:val="20"/>
          <w:szCs w:val="20"/>
          <w:lang w:val="fr-CA"/>
        </w:rPr>
        <w:t>ffaires étrangères</w:t>
      </w:r>
      <w:r w:rsidRPr="00037E9F">
        <w:rPr>
          <w:sz w:val="20"/>
          <w:szCs w:val="20"/>
          <w:lang w:val="fr-CA"/>
        </w:rPr>
        <w:t xml:space="preserve"> (C</w:t>
      </w:r>
      <w:r w:rsidR="00C63365" w:rsidRPr="00037E9F">
        <w:rPr>
          <w:sz w:val="20"/>
          <w:lang w:val="fr-CA"/>
        </w:rPr>
        <w:t>.</w:t>
      </w:r>
      <w:r w:rsidRPr="00037E9F">
        <w:rPr>
          <w:sz w:val="20"/>
          <w:szCs w:val="20"/>
          <w:lang w:val="fr-CA"/>
        </w:rPr>
        <w:t>F</w:t>
      </w:r>
      <w:r w:rsidR="00C63365" w:rsidRPr="00037E9F">
        <w:rPr>
          <w:sz w:val="20"/>
          <w:lang w:val="fr-CA"/>
        </w:rPr>
        <w:t>.</w:t>
      </w:r>
      <w:r w:rsidRPr="00037E9F">
        <w:rPr>
          <w:sz w:val="20"/>
          <w:szCs w:val="20"/>
          <w:lang w:val="fr-CA"/>
        </w:rPr>
        <w:t>) (Civile) (Autorisation)</w:t>
      </w:r>
      <w:r w:rsidR="00CB58D5" w:rsidRPr="00037E9F">
        <w:rPr>
          <w:sz w:val="20"/>
          <w:lang w:val="fr-CA"/>
        </w:rPr>
        <w:t xml:space="preserve"> (</w:t>
      </w:r>
      <w:hyperlink r:id="rId14" w:history="1">
        <w:r w:rsidR="00CB58D5" w:rsidRPr="00037E9F">
          <w:rPr>
            <w:rStyle w:val="Hyperlink"/>
            <w:sz w:val="20"/>
            <w:lang w:val="fr-CA"/>
          </w:rPr>
          <w:t>38</w:t>
        </w:r>
        <w:r w:rsidR="00B40976">
          <w:rPr>
            <w:rStyle w:val="Hyperlink"/>
            <w:sz w:val="20"/>
            <w:lang w:val="fr-CA"/>
          </w:rPr>
          <w:t>3</w:t>
        </w:r>
        <w:r w:rsidR="00CB58D5" w:rsidRPr="00037E9F">
          <w:rPr>
            <w:rStyle w:val="Hyperlink"/>
            <w:sz w:val="20"/>
            <w:lang w:val="fr-CA"/>
          </w:rPr>
          <w:t>2</w:t>
        </w:r>
        <w:r w:rsidR="00B40976">
          <w:rPr>
            <w:rStyle w:val="Hyperlink"/>
            <w:sz w:val="20"/>
            <w:lang w:val="fr-CA"/>
          </w:rPr>
          <w:t>1</w:t>
        </w:r>
      </w:hyperlink>
      <w:r w:rsidR="00CB58D5" w:rsidRPr="00037E9F">
        <w:rPr>
          <w:sz w:val="20"/>
          <w:lang w:val="fr-CA"/>
        </w:rPr>
        <w:t>)</w:t>
      </w:r>
    </w:p>
    <w:p w:rsidR="00094A30" w:rsidRPr="00094A30" w:rsidRDefault="00094A30" w:rsidP="00037E9F">
      <w:pPr>
        <w:ind w:left="357" w:hanging="357"/>
        <w:rPr>
          <w:sz w:val="20"/>
          <w:lang w:val="fr-CA"/>
        </w:rPr>
      </w:pPr>
    </w:p>
    <w:p w:rsidR="00094A30" w:rsidRPr="00037E9F" w:rsidRDefault="00094A30" w:rsidP="00037E9F">
      <w:pPr>
        <w:pStyle w:val="ListParagraph"/>
        <w:numPr>
          <w:ilvl w:val="0"/>
          <w:numId w:val="20"/>
        </w:numPr>
        <w:ind w:left="357" w:hanging="357"/>
        <w:rPr>
          <w:sz w:val="20"/>
          <w:szCs w:val="20"/>
          <w:lang w:val="en-CA"/>
        </w:rPr>
      </w:pPr>
      <w:r w:rsidRPr="00037E9F">
        <w:rPr>
          <w:i/>
          <w:sz w:val="20"/>
          <w:szCs w:val="20"/>
          <w:lang w:val="en-CA"/>
        </w:rPr>
        <w:t>Jennifer Cottrill v. Utopia Day Spas and Salons Ltd.</w:t>
      </w:r>
      <w:r w:rsidR="0008442A">
        <w:rPr>
          <w:sz w:val="20"/>
          <w:szCs w:val="20"/>
          <w:lang w:val="en-CA"/>
        </w:rPr>
        <w:t xml:space="preserve"> (B.C.) (Civil) (By Leave)</w:t>
      </w:r>
      <w:r w:rsidR="00CB58D5" w:rsidRPr="00037E9F">
        <w:rPr>
          <w:sz w:val="20"/>
          <w:lang w:val="en-CA"/>
        </w:rPr>
        <w:t xml:space="preserve"> </w:t>
      </w:r>
      <w:r w:rsidR="00CB58D5" w:rsidRPr="00037E9F">
        <w:rPr>
          <w:sz w:val="20"/>
        </w:rPr>
        <w:t>(</w:t>
      </w:r>
      <w:hyperlink r:id="rId15" w:history="1">
        <w:r w:rsidR="00CB58D5" w:rsidRPr="00037E9F">
          <w:rPr>
            <w:rStyle w:val="Hyperlink"/>
            <w:sz w:val="20"/>
          </w:rPr>
          <w:t>38</w:t>
        </w:r>
        <w:r w:rsidR="0008442A">
          <w:rPr>
            <w:rStyle w:val="Hyperlink"/>
            <w:sz w:val="20"/>
          </w:rPr>
          <w:t>448</w:t>
        </w:r>
      </w:hyperlink>
      <w:r w:rsidR="00CB58D5" w:rsidRPr="00037E9F">
        <w:rPr>
          <w:sz w:val="20"/>
        </w:rPr>
        <w:t>)</w:t>
      </w:r>
    </w:p>
    <w:p w:rsidR="00094A30" w:rsidRPr="00094A30" w:rsidRDefault="00094A30" w:rsidP="00037E9F">
      <w:pPr>
        <w:ind w:left="357" w:hanging="357"/>
        <w:rPr>
          <w:sz w:val="20"/>
          <w:lang w:val="en-CA"/>
        </w:rPr>
      </w:pPr>
    </w:p>
    <w:p w:rsidR="00094A30" w:rsidRPr="00037E9F" w:rsidRDefault="00094A30" w:rsidP="00037E9F">
      <w:pPr>
        <w:pStyle w:val="ListParagraph"/>
        <w:numPr>
          <w:ilvl w:val="0"/>
          <w:numId w:val="20"/>
        </w:numPr>
        <w:ind w:left="357" w:hanging="357"/>
        <w:rPr>
          <w:sz w:val="20"/>
          <w:szCs w:val="20"/>
          <w:lang w:val="en-CA"/>
        </w:rPr>
      </w:pPr>
      <w:r w:rsidRPr="00037E9F">
        <w:rPr>
          <w:i/>
          <w:sz w:val="20"/>
          <w:szCs w:val="20"/>
          <w:lang w:val="fr-CA"/>
        </w:rPr>
        <w:t>Esad Kokic, et al. v. Dale Clarke, et al.</w:t>
      </w:r>
      <w:r w:rsidRPr="00037E9F">
        <w:rPr>
          <w:sz w:val="20"/>
          <w:szCs w:val="20"/>
          <w:lang w:val="fr-CA"/>
        </w:rPr>
        <w:t xml:space="preserve"> </w:t>
      </w:r>
      <w:r w:rsidRPr="00037E9F">
        <w:rPr>
          <w:sz w:val="20"/>
          <w:szCs w:val="20"/>
          <w:lang w:val="en-CA"/>
        </w:rPr>
        <w:t>(Ont.) (Civil) (By Leave)</w:t>
      </w:r>
      <w:r w:rsidR="00CB58D5" w:rsidRPr="00037E9F">
        <w:rPr>
          <w:sz w:val="20"/>
          <w:lang w:val="en-CA"/>
        </w:rPr>
        <w:t xml:space="preserve"> </w:t>
      </w:r>
      <w:r w:rsidR="00CB58D5" w:rsidRPr="00037E9F">
        <w:rPr>
          <w:sz w:val="20"/>
        </w:rPr>
        <w:t>(</w:t>
      </w:r>
      <w:hyperlink r:id="rId16" w:history="1">
        <w:r w:rsidR="00CB58D5" w:rsidRPr="00037E9F">
          <w:rPr>
            <w:rStyle w:val="Hyperlink"/>
            <w:sz w:val="20"/>
          </w:rPr>
          <w:t>38</w:t>
        </w:r>
        <w:r w:rsidR="00415DD0">
          <w:rPr>
            <w:rStyle w:val="Hyperlink"/>
            <w:sz w:val="20"/>
          </w:rPr>
          <w:t>368</w:t>
        </w:r>
      </w:hyperlink>
      <w:r w:rsidR="00CB58D5" w:rsidRPr="00037E9F">
        <w:rPr>
          <w:sz w:val="20"/>
        </w:rPr>
        <w:t>)</w:t>
      </w:r>
    </w:p>
    <w:p w:rsidR="00094A30" w:rsidRPr="00094A30" w:rsidRDefault="00094A30" w:rsidP="00037E9F">
      <w:pPr>
        <w:ind w:left="357" w:hanging="357"/>
        <w:rPr>
          <w:sz w:val="20"/>
        </w:rPr>
      </w:pPr>
    </w:p>
    <w:p w:rsidR="00094A30" w:rsidRPr="00037E9F" w:rsidRDefault="00094A30" w:rsidP="00037E9F">
      <w:pPr>
        <w:pStyle w:val="ListParagraph"/>
        <w:numPr>
          <w:ilvl w:val="0"/>
          <w:numId w:val="20"/>
        </w:numPr>
        <w:ind w:left="357" w:hanging="357"/>
        <w:rPr>
          <w:sz w:val="20"/>
          <w:lang w:val="fr-CA"/>
        </w:rPr>
      </w:pPr>
      <w:r w:rsidRPr="00037E9F">
        <w:rPr>
          <w:i/>
          <w:sz w:val="20"/>
          <w:lang w:val="fr-CA"/>
        </w:rPr>
        <w:t xml:space="preserve">Conseil </w:t>
      </w:r>
      <w:r w:rsidR="002254EC">
        <w:rPr>
          <w:i/>
          <w:sz w:val="20"/>
          <w:lang w:val="fr-CA"/>
        </w:rPr>
        <w:t>s</w:t>
      </w:r>
      <w:r w:rsidRPr="00037E9F">
        <w:rPr>
          <w:i/>
          <w:sz w:val="20"/>
          <w:lang w:val="fr-CA"/>
        </w:rPr>
        <w:t xml:space="preserve">colaire </w:t>
      </w:r>
      <w:r w:rsidR="002254EC">
        <w:rPr>
          <w:i/>
          <w:sz w:val="20"/>
          <w:lang w:val="fr-CA"/>
        </w:rPr>
        <w:t>f</w:t>
      </w:r>
      <w:r w:rsidRPr="00037E9F">
        <w:rPr>
          <w:i/>
          <w:sz w:val="20"/>
          <w:lang w:val="fr-CA"/>
        </w:rPr>
        <w:t xml:space="preserve">rancophone de la Colombie-Britannique, et al. c. Sa Majesté </w:t>
      </w:r>
      <w:r w:rsidR="002254EC">
        <w:rPr>
          <w:i/>
          <w:sz w:val="20"/>
          <w:lang w:val="fr-CA"/>
        </w:rPr>
        <w:t>l</w:t>
      </w:r>
      <w:r w:rsidRPr="00037E9F">
        <w:rPr>
          <w:i/>
          <w:sz w:val="20"/>
          <w:lang w:val="fr-CA"/>
        </w:rPr>
        <w:t xml:space="preserve">a Reine en chef de la province de Colombie-Britannique, et al. </w:t>
      </w:r>
      <w:r w:rsidRPr="00037E9F">
        <w:rPr>
          <w:sz w:val="20"/>
          <w:lang w:val="fr-CA"/>
        </w:rPr>
        <w:t>(C.-B.) (Civile) (Autorisation)</w:t>
      </w:r>
      <w:r w:rsidR="00CB58D5" w:rsidRPr="00037E9F">
        <w:rPr>
          <w:sz w:val="20"/>
          <w:lang w:val="fr-CA"/>
        </w:rPr>
        <w:t xml:space="preserve"> (</w:t>
      </w:r>
      <w:hyperlink r:id="rId17" w:history="1">
        <w:r w:rsidR="00CB58D5" w:rsidRPr="00037E9F">
          <w:rPr>
            <w:rStyle w:val="Hyperlink"/>
            <w:sz w:val="20"/>
            <w:lang w:val="fr-CA"/>
          </w:rPr>
          <w:t>38</w:t>
        </w:r>
        <w:r w:rsidR="00CB21D8">
          <w:rPr>
            <w:rStyle w:val="Hyperlink"/>
            <w:sz w:val="20"/>
            <w:lang w:val="fr-CA"/>
          </w:rPr>
          <w:t>33</w:t>
        </w:r>
        <w:r w:rsidR="00CB58D5" w:rsidRPr="00037E9F">
          <w:rPr>
            <w:rStyle w:val="Hyperlink"/>
            <w:sz w:val="20"/>
            <w:lang w:val="fr-CA"/>
          </w:rPr>
          <w:t>2</w:t>
        </w:r>
      </w:hyperlink>
      <w:r w:rsidR="00CB58D5" w:rsidRPr="00037E9F">
        <w:rPr>
          <w:sz w:val="20"/>
          <w:lang w:val="fr-CA"/>
        </w:rPr>
        <w:t>)</w:t>
      </w:r>
    </w:p>
    <w:p w:rsidR="00DC76A7" w:rsidRPr="002254EC" w:rsidRDefault="00DC76A7" w:rsidP="00037E9F">
      <w:pPr>
        <w:ind w:left="357" w:hanging="357"/>
        <w:rPr>
          <w:sz w:val="20"/>
          <w:lang w:val="fr-CA"/>
        </w:rPr>
      </w:pPr>
    </w:p>
    <w:p w:rsidR="00DC76A7" w:rsidRPr="00233702" w:rsidRDefault="00DC76A7" w:rsidP="00037E9F">
      <w:pPr>
        <w:pStyle w:val="SCCAppellantInfoAppellantInfo"/>
        <w:numPr>
          <w:ilvl w:val="0"/>
          <w:numId w:val="20"/>
        </w:numPr>
        <w:ind w:left="357" w:hanging="357"/>
        <w:rPr>
          <w:sz w:val="20"/>
          <w:szCs w:val="20"/>
          <w:lang w:val="fr-CA"/>
        </w:rPr>
      </w:pPr>
      <w:r w:rsidRPr="00DC76A7">
        <w:rPr>
          <w:i/>
          <w:sz w:val="20"/>
          <w:szCs w:val="20"/>
          <w:lang w:val="fr-CA"/>
        </w:rPr>
        <w:t>Lina Maryanne Francis c. Sa Majesté la Reine</w:t>
      </w:r>
      <w:r w:rsidRPr="00DC76A7">
        <w:rPr>
          <w:sz w:val="20"/>
          <w:szCs w:val="20"/>
          <w:lang w:val="fr-CA"/>
        </w:rPr>
        <w:t xml:space="preserve"> (Qc) (Criminelle) (Autorisation)</w:t>
      </w:r>
      <w:r w:rsidR="00233702">
        <w:rPr>
          <w:sz w:val="20"/>
          <w:szCs w:val="20"/>
          <w:lang w:val="fr-CA"/>
        </w:rPr>
        <w:t xml:space="preserve"> </w:t>
      </w:r>
      <w:r w:rsidR="00233702" w:rsidRPr="00233702">
        <w:rPr>
          <w:sz w:val="20"/>
          <w:lang w:val="fr-CA"/>
        </w:rPr>
        <w:t>(</w:t>
      </w:r>
      <w:hyperlink r:id="rId18" w:history="1">
        <w:r w:rsidR="00233702" w:rsidRPr="00233702">
          <w:rPr>
            <w:rStyle w:val="Hyperlink"/>
            <w:sz w:val="20"/>
            <w:lang w:val="fr-CA"/>
          </w:rPr>
          <w:t>38</w:t>
        </w:r>
        <w:r w:rsidR="00626107">
          <w:rPr>
            <w:rStyle w:val="Hyperlink"/>
            <w:sz w:val="20"/>
            <w:lang w:val="fr-CA"/>
          </w:rPr>
          <w:t>4</w:t>
        </w:r>
        <w:r w:rsidR="00233702" w:rsidRPr="00233702">
          <w:rPr>
            <w:rStyle w:val="Hyperlink"/>
            <w:sz w:val="20"/>
            <w:lang w:val="fr-CA"/>
          </w:rPr>
          <w:t>1</w:t>
        </w:r>
        <w:r w:rsidR="00626107">
          <w:rPr>
            <w:rStyle w:val="Hyperlink"/>
            <w:sz w:val="20"/>
            <w:lang w:val="fr-CA"/>
          </w:rPr>
          <w:t>8</w:t>
        </w:r>
      </w:hyperlink>
      <w:r w:rsidR="00233702" w:rsidRPr="00233702">
        <w:rPr>
          <w:sz w:val="20"/>
          <w:lang w:val="fr-CA"/>
        </w:rPr>
        <w:t>)</w:t>
      </w:r>
    </w:p>
    <w:p w:rsidR="00DC76A7" w:rsidRPr="00DC76A7" w:rsidRDefault="00DC76A7" w:rsidP="00037E9F">
      <w:pPr>
        <w:ind w:left="357" w:hanging="357"/>
        <w:rPr>
          <w:sz w:val="20"/>
          <w:lang w:val="fr-CA"/>
        </w:rPr>
      </w:pPr>
    </w:p>
    <w:p w:rsidR="00DC76A7" w:rsidRPr="00DC76A7" w:rsidRDefault="00DC76A7" w:rsidP="00037E9F">
      <w:pPr>
        <w:pStyle w:val="SCCAppellantInfoAppellantInfo"/>
        <w:numPr>
          <w:ilvl w:val="0"/>
          <w:numId w:val="20"/>
        </w:numPr>
        <w:ind w:left="357" w:hanging="357"/>
        <w:rPr>
          <w:sz w:val="20"/>
          <w:szCs w:val="20"/>
        </w:rPr>
      </w:pPr>
      <w:r w:rsidRPr="00DC76A7">
        <w:rPr>
          <w:i/>
          <w:sz w:val="20"/>
          <w:szCs w:val="20"/>
          <w:lang w:val="en-US"/>
        </w:rPr>
        <w:t>Schuyler Francis Van Wissen v. Her Majesty the Queen</w:t>
      </w:r>
      <w:r w:rsidRPr="00DC76A7">
        <w:rPr>
          <w:sz w:val="20"/>
          <w:szCs w:val="20"/>
          <w:lang w:val="en-US"/>
        </w:rPr>
        <w:t xml:space="preserve"> (Man.) (Criminal) (By Leave)</w:t>
      </w:r>
      <w:r w:rsidR="00233702">
        <w:rPr>
          <w:sz w:val="20"/>
          <w:szCs w:val="20"/>
          <w:lang w:val="en-US"/>
        </w:rPr>
        <w:t xml:space="preserve"> </w:t>
      </w:r>
      <w:r w:rsidR="00233702" w:rsidRPr="005132D5">
        <w:rPr>
          <w:sz w:val="20"/>
        </w:rPr>
        <w:t>(</w:t>
      </w:r>
      <w:hyperlink r:id="rId19" w:history="1">
        <w:r w:rsidR="00233702" w:rsidRPr="005132D5">
          <w:rPr>
            <w:rStyle w:val="Hyperlink"/>
            <w:sz w:val="20"/>
          </w:rPr>
          <w:t>38</w:t>
        </w:r>
        <w:r w:rsidR="004B4BC0">
          <w:rPr>
            <w:rStyle w:val="Hyperlink"/>
            <w:sz w:val="20"/>
          </w:rPr>
          <w:t>458</w:t>
        </w:r>
      </w:hyperlink>
      <w:r w:rsidR="00233702" w:rsidRPr="005132D5">
        <w:rPr>
          <w:sz w:val="20"/>
        </w:rPr>
        <w:t>)</w:t>
      </w:r>
    </w:p>
    <w:p w:rsidR="00DC76A7" w:rsidRPr="00DC76A7" w:rsidRDefault="00DC76A7" w:rsidP="00037E9F">
      <w:pPr>
        <w:ind w:left="357" w:hanging="357"/>
        <w:rPr>
          <w:sz w:val="20"/>
          <w:lang w:val="en-CA"/>
        </w:rPr>
      </w:pPr>
    </w:p>
    <w:p w:rsidR="00DC76A7" w:rsidRPr="00037E9F" w:rsidRDefault="00DC76A7" w:rsidP="00037E9F">
      <w:pPr>
        <w:pStyle w:val="ListParagraph"/>
        <w:numPr>
          <w:ilvl w:val="0"/>
          <w:numId w:val="20"/>
        </w:numPr>
        <w:ind w:left="357" w:hanging="357"/>
        <w:rPr>
          <w:sz w:val="20"/>
          <w:szCs w:val="20"/>
          <w:lang w:val="en-CA"/>
        </w:rPr>
      </w:pPr>
      <w:r w:rsidRPr="00037E9F">
        <w:rPr>
          <w:i/>
          <w:sz w:val="20"/>
          <w:szCs w:val="20"/>
          <w:lang w:val="en-CA"/>
        </w:rPr>
        <w:t>Douglas Beattie, et al. v. Women’s College Hospital</w:t>
      </w:r>
      <w:r w:rsidRPr="00037E9F">
        <w:rPr>
          <w:sz w:val="20"/>
          <w:szCs w:val="20"/>
          <w:lang w:val="en-CA"/>
        </w:rPr>
        <w:t xml:space="preserve"> (Ont.) (Civil) (By Leave)</w:t>
      </w:r>
      <w:r w:rsidR="00233702" w:rsidRPr="00037E9F">
        <w:rPr>
          <w:sz w:val="20"/>
          <w:lang w:val="en-CA"/>
        </w:rPr>
        <w:t xml:space="preserve"> </w:t>
      </w:r>
      <w:r w:rsidR="00233702" w:rsidRPr="00037E9F">
        <w:rPr>
          <w:sz w:val="20"/>
        </w:rPr>
        <w:t>(</w:t>
      </w:r>
      <w:hyperlink r:id="rId20" w:history="1">
        <w:r w:rsidR="00233702" w:rsidRPr="00037E9F">
          <w:rPr>
            <w:rStyle w:val="Hyperlink"/>
            <w:sz w:val="20"/>
          </w:rPr>
          <w:t>38</w:t>
        </w:r>
        <w:r w:rsidR="00453477">
          <w:rPr>
            <w:rStyle w:val="Hyperlink"/>
            <w:sz w:val="20"/>
          </w:rPr>
          <w:t>452</w:t>
        </w:r>
      </w:hyperlink>
      <w:r w:rsidR="00233702" w:rsidRPr="00037E9F">
        <w:rPr>
          <w:sz w:val="20"/>
        </w:rPr>
        <w:t>)</w:t>
      </w:r>
    </w:p>
    <w:p w:rsidR="00DC76A7" w:rsidRPr="00DC76A7" w:rsidRDefault="00DC76A7" w:rsidP="00037E9F">
      <w:pPr>
        <w:ind w:left="357" w:hanging="357"/>
        <w:rPr>
          <w:sz w:val="20"/>
          <w:lang w:val="en-CA"/>
        </w:rPr>
      </w:pPr>
    </w:p>
    <w:p w:rsidR="00DC76A7" w:rsidRPr="00DC76A7" w:rsidRDefault="00DC76A7" w:rsidP="00037E9F">
      <w:pPr>
        <w:pStyle w:val="SCCAppellantInfoAppellantInfo"/>
        <w:numPr>
          <w:ilvl w:val="0"/>
          <w:numId w:val="20"/>
        </w:numPr>
        <w:ind w:left="357" w:hanging="357"/>
        <w:rPr>
          <w:sz w:val="20"/>
          <w:szCs w:val="20"/>
        </w:rPr>
      </w:pPr>
      <w:r w:rsidRPr="00DC76A7">
        <w:rPr>
          <w:i/>
          <w:sz w:val="20"/>
          <w:szCs w:val="20"/>
        </w:rPr>
        <w:t xml:space="preserve">Newfoundland and Labrador Teachers’ Association, as </w:t>
      </w:r>
      <w:r w:rsidR="00E3566D">
        <w:rPr>
          <w:i/>
          <w:sz w:val="20"/>
          <w:szCs w:val="20"/>
        </w:rPr>
        <w:t>R</w:t>
      </w:r>
      <w:r w:rsidRPr="00DC76A7">
        <w:rPr>
          <w:i/>
          <w:sz w:val="20"/>
          <w:szCs w:val="20"/>
        </w:rPr>
        <w:t xml:space="preserve">epresentative of its members who are Third Parties to a </w:t>
      </w:r>
      <w:r w:rsidR="00E3566D">
        <w:rPr>
          <w:i/>
          <w:sz w:val="20"/>
          <w:szCs w:val="20"/>
        </w:rPr>
        <w:t>R</w:t>
      </w:r>
      <w:r w:rsidRPr="00DC76A7">
        <w:rPr>
          <w:i/>
          <w:sz w:val="20"/>
          <w:szCs w:val="20"/>
        </w:rPr>
        <w:t xml:space="preserve">equest as defined under the Access to Information and Protection Act, 2015 </w:t>
      </w:r>
      <w:r w:rsidRPr="00DC76A7">
        <w:rPr>
          <w:i/>
          <w:sz w:val="20"/>
          <w:szCs w:val="20"/>
          <w:lang w:val="en-US"/>
        </w:rPr>
        <w:t>v. Her Majesty the Queen in Right of Newfoundland and Labrador, et al.</w:t>
      </w:r>
      <w:r w:rsidRPr="00DC76A7">
        <w:rPr>
          <w:sz w:val="20"/>
          <w:szCs w:val="20"/>
          <w:lang w:val="en-US"/>
        </w:rPr>
        <w:t xml:space="preserve"> (N.L.) (Civil) (By Leave) </w:t>
      </w:r>
      <w:r w:rsidR="00233702" w:rsidRPr="005132D5">
        <w:rPr>
          <w:sz w:val="20"/>
        </w:rPr>
        <w:t>(</w:t>
      </w:r>
      <w:hyperlink r:id="rId21" w:history="1">
        <w:r w:rsidR="00233702" w:rsidRPr="005132D5">
          <w:rPr>
            <w:rStyle w:val="Hyperlink"/>
            <w:sz w:val="20"/>
          </w:rPr>
          <w:t>38</w:t>
        </w:r>
        <w:r w:rsidR="006E2EB2">
          <w:rPr>
            <w:rStyle w:val="Hyperlink"/>
            <w:sz w:val="20"/>
          </w:rPr>
          <w:t>400</w:t>
        </w:r>
      </w:hyperlink>
      <w:r w:rsidR="00233702" w:rsidRPr="005132D5">
        <w:rPr>
          <w:sz w:val="20"/>
        </w:rPr>
        <w:t>)</w:t>
      </w:r>
    </w:p>
    <w:p w:rsidR="00DC76A7" w:rsidRPr="00DC76A7" w:rsidRDefault="00DC76A7" w:rsidP="00037E9F">
      <w:pPr>
        <w:ind w:left="357" w:hanging="357"/>
        <w:rPr>
          <w:sz w:val="20"/>
          <w:lang w:val="en-CA"/>
        </w:rPr>
      </w:pPr>
    </w:p>
    <w:p w:rsidR="00DC76A7" w:rsidRPr="00037E9F" w:rsidRDefault="00DC76A7" w:rsidP="00037E9F">
      <w:pPr>
        <w:pStyle w:val="ListParagraph"/>
        <w:numPr>
          <w:ilvl w:val="0"/>
          <w:numId w:val="20"/>
        </w:numPr>
        <w:ind w:left="357" w:hanging="357"/>
        <w:rPr>
          <w:sz w:val="20"/>
          <w:szCs w:val="20"/>
          <w:lang w:val="en-CA"/>
        </w:rPr>
      </w:pPr>
      <w:r w:rsidRPr="00037E9F">
        <w:rPr>
          <w:i/>
          <w:sz w:val="20"/>
          <w:szCs w:val="20"/>
          <w:lang w:val="en-CA"/>
        </w:rPr>
        <w:t>Xiaoli Lily Wang, et al. v. Alberta Health Services</w:t>
      </w:r>
      <w:r w:rsidRPr="00037E9F">
        <w:rPr>
          <w:sz w:val="20"/>
          <w:szCs w:val="20"/>
          <w:lang w:val="en-CA"/>
        </w:rPr>
        <w:t xml:space="preserve"> (Alta.) (Civil) (By Leave)</w:t>
      </w:r>
      <w:r w:rsidR="00233702" w:rsidRPr="00037E9F">
        <w:rPr>
          <w:sz w:val="20"/>
          <w:lang w:val="en-CA"/>
        </w:rPr>
        <w:t xml:space="preserve"> </w:t>
      </w:r>
      <w:r w:rsidR="00233702" w:rsidRPr="00037E9F">
        <w:rPr>
          <w:sz w:val="20"/>
        </w:rPr>
        <w:t>(</w:t>
      </w:r>
      <w:hyperlink r:id="rId22" w:history="1">
        <w:r w:rsidR="00233702" w:rsidRPr="00037E9F">
          <w:rPr>
            <w:rStyle w:val="Hyperlink"/>
            <w:sz w:val="20"/>
          </w:rPr>
          <w:t>38</w:t>
        </w:r>
        <w:r w:rsidR="00CF33AC">
          <w:rPr>
            <w:rStyle w:val="Hyperlink"/>
            <w:sz w:val="20"/>
          </w:rPr>
          <w:t>445</w:t>
        </w:r>
      </w:hyperlink>
      <w:r w:rsidR="00233702" w:rsidRPr="00037E9F">
        <w:rPr>
          <w:sz w:val="20"/>
        </w:rPr>
        <w:t>)</w:t>
      </w:r>
    </w:p>
    <w:p w:rsidR="00E677B3" w:rsidRPr="00D06723" w:rsidRDefault="00E677B3" w:rsidP="00037E9F">
      <w:pPr>
        <w:ind w:left="357" w:hanging="357"/>
        <w:rPr>
          <w:sz w:val="20"/>
        </w:rPr>
      </w:pPr>
    </w:p>
    <w:p w:rsidR="00D06723" w:rsidRPr="00037E9F" w:rsidRDefault="00D06723" w:rsidP="00037E9F">
      <w:pPr>
        <w:pStyle w:val="ListParagraph"/>
        <w:numPr>
          <w:ilvl w:val="0"/>
          <w:numId w:val="20"/>
        </w:numPr>
        <w:ind w:left="357" w:hanging="357"/>
        <w:rPr>
          <w:rFonts w:eastAsia="Calibri"/>
          <w:i/>
          <w:sz w:val="20"/>
          <w:lang w:val="en-CA"/>
        </w:rPr>
      </w:pPr>
      <w:r w:rsidRPr="00037E9F">
        <w:rPr>
          <w:rFonts w:eastAsia="Calibri"/>
          <w:i/>
          <w:sz w:val="20"/>
          <w:lang w:val="en-CA"/>
        </w:rPr>
        <w:t xml:space="preserve">Michael Yar Zuk v. Alberta Dental Association and College, et al. </w:t>
      </w:r>
      <w:r w:rsidRPr="00037E9F">
        <w:rPr>
          <w:rFonts w:eastAsia="Calibri"/>
          <w:sz w:val="20"/>
          <w:lang w:val="en-CA"/>
        </w:rPr>
        <w:t xml:space="preserve">(Alta.) (Civil) (By Leave) </w:t>
      </w:r>
      <w:r w:rsidRPr="00037E9F">
        <w:rPr>
          <w:sz w:val="20"/>
        </w:rPr>
        <w:t>(</w:t>
      </w:r>
      <w:hyperlink r:id="rId23" w:history="1">
        <w:r w:rsidRPr="00037E9F">
          <w:rPr>
            <w:rStyle w:val="Hyperlink"/>
            <w:sz w:val="20"/>
          </w:rPr>
          <w:t>38</w:t>
        </w:r>
        <w:r w:rsidR="00513637">
          <w:rPr>
            <w:rStyle w:val="Hyperlink"/>
            <w:sz w:val="20"/>
          </w:rPr>
          <w:t>35</w:t>
        </w:r>
        <w:r w:rsidRPr="00037E9F">
          <w:rPr>
            <w:rStyle w:val="Hyperlink"/>
            <w:sz w:val="20"/>
          </w:rPr>
          <w:t>9</w:t>
        </w:r>
      </w:hyperlink>
      <w:r w:rsidRPr="00037E9F">
        <w:rPr>
          <w:sz w:val="20"/>
        </w:rPr>
        <w:t>)</w:t>
      </w:r>
    </w:p>
    <w:p w:rsidR="00D06723" w:rsidRPr="00D06723" w:rsidRDefault="00D06723" w:rsidP="00037E9F">
      <w:pPr>
        <w:widowControl w:val="0"/>
        <w:autoSpaceDE w:val="0"/>
        <w:autoSpaceDN w:val="0"/>
        <w:adjustRightInd w:val="0"/>
        <w:ind w:left="357" w:hanging="357"/>
        <w:rPr>
          <w:rFonts w:eastAsia="Calibri"/>
          <w:i/>
          <w:sz w:val="20"/>
          <w:lang w:val="en-CA"/>
        </w:rPr>
      </w:pPr>
    </w:p>
    <w:p w:rsidR="00D06723" w:rsidRPr="00037E9F" w:rsidRDefault="00D06723" w:rsidP="00037E9F">
      <w:pPr>
        <w:pStyle w:val="ListParagraph"/>
        <w:numPr>
          <w:ilvl w:val="0"/>
          <w:numId w:val="20"/>
        </w:numPr>
        <w:ind w:left="357" w:hanging="357"/>
        <w:rPr>
          <w:rFonts w:eastAsia="Calibri"/>
          <w:sz w:val="20"/>
          <w:szCs w:val="20"/>
          <w:lang w:val="en-CA"/>
        </w:rPr>
      </w:pPr>
      <w:r w:rsidRPr="00037E9F">
        <w:rPr>
          <w:rFonts w:eastAsia="Calibri"/>
          <w:i/>
          <w:sz w:val="20"/>
          <w:szCs w:val="20"/>
          <w:lang w:val="en-CA"/>
        </w:rPr>
        <w:t xml:space="preserve">Penguin Properties Inc. v. Parc Downsview Park Inc. </w:t>
      </w:r>
      <w:r w:rsidR="005209B8">
        <w:rPr>
          <w:rFonts w:eastAsia="Calibri"/>
          <w:sz w:val="20"/>
          <w:szCs w:val="20"/>
          <w:lang w:val="en-CA"/>
        </w:rPr>
        <w:t>(Ont.) (Civil) (By Leave)</w:t>
      </w:r>
      <w:r w:rsidRPr="00037E9F">
        <w:rPr>
          <w:rFonts w:eastAsia="Calibri"/>
          <w:sz w:val="20"/>
          <w:lang w:val="en-CA"/>
        </w:rPr>
        <w:t xml:space="preserve"> </w:t>
      </w:r>
      <w:r w:rsidRPr="00037E9F">
        <w:rPr>
          <w:sz w:val="20"/>
        </w:rPr>
        <w:t>(</w:t>
      </w:r>
      <w:hyperlink r:id="rId24" w:history="1">
        <w:r w:rsidRPr="00037E9F">
          <w:rPr>
            <w:rStyle w:val="Hyperlink"/>
            <w:sz w:val="20"/>
          </w:rPr>
          <w:t>38</w:t>
        </w:r>
        <w:r w:rsidR="005209B8">
          <w:rPr>
            <w:rStyle w:val="Hyperlink"/>
            <w:sz w:val="20"/>
          </w:rPr>
          <w:t>324</w:t>
        </w:r>
      </w:hyperlink>
      <w:r w:rsidRPr="00037E9F">
        <w:rPr>
          <w:sz w:val="20"/>
        </w:rPr>
        <w:t>)</w:t>
      </w:r>
    </w:p>
    <w:p w:rsidR="00E677B3" w:rsidRDefault="00E677B3" w:rsidP="006A22CA">
      <w:pPr>
        <w:ind w:left="142" w:hanging="142"/>
        <w:jc w:val="both"/>
        <w:rPr>
          <w:sz w:val="20"/>
        </w:rPr>
      </w:pPr>
    </w:p>
    <w:p w:rsidR="00AE7EB1" w:rsidRDefault="007B6202" w:rsidP="006A22CA">
      <w:pPr>
        <w:ind w:left="142" w:hanging="142"/>
        <w:jc w:val="both"/>
        <w:rPr>
          <w:sz w:val="20"/>
        </w:rPr>
      </w:pPr>
      <w:r>
        <w:rPr>
          <w:sz w:val="20"/>
        </w:rPr>
        <w:pict>
          <v:rect id="_x0000_i1026" style="width:2in;height:1pt" o:hrpct="0" o:hralign="center" o:hrstd="t" o:hrnoshade="t" o:hr="t" fillcolor="black [3213]" stroked="f"/>
        </w:pict>
      </w:r>
    </w:p>
    <w:p w:rsidR="007B6202" w:rsidRDefault="007B6202" w:rsidP="006A22C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rPr>
            </w:pPr>
            <w:r w:rsidRPr="00197413">
              <w:rPr>
                <w:rStyle w:val="SCCFileNumberChar"/>
                <w:sz w:val="20"/>
                <w:szCs w:val="20"/>
              </w:rPr>
              <w:t>38435</w:t>
            </w:r>
          </w:p>
        </w:tc>
        <w:tc>
          <w:tcPr>
            <w:tcW w:w="4457" w:type="pct"/>
            <w:gridSpan w:val="3"/>
          </w:tcPr>
          <w:p w:rsidR="00C91655" w:rsidRPr="007B6202" w:rsidRDefault="00C91655" w:rsidP="00197413">
            <w:pPr>
              <w:pStyle w:val="SCCLsocParty"/>
              <w:jc w:val="both"/>
              <w:rPr>
                <w:b/>
                <w:sz w:val="20"/>
                <w:szCs w:val="20"/>
                <w:lang w:val="en-US"/>
              </w:rPr>
            </w:pPr>
            <w:r w:rsidRPr="007B6202">
              <w:rPr>
                <w:b/>
                <w:sz w:val="20"/>
                <w:szCs w:val="20"/>
                <w:lang w:val="en-US"/>
              </w:rPr>
              <w:t>Timothy Clarke Anthony v. Her Majesty the Queen</w:t>
            </w:r>
          </w:p>
          <w:p w:rsidR="00C91655" w:rsidRPr="00197413" w:rsidRDefault="00C91655" w:rsidP="00197413">
            <w:pPr>
              <w:jc w:val="both"/>
              <w:rPr>
                <w:sz w:val="20"/>
              </w:rPr>
            </w:pPr>
            <w:r w:rsidRPr="00197413">
              <w:rPr>
                <w:sz w:val="20"/>
              </w:rPr>
              <w:t>(Ont.) (Criminal) (By Leave)</w:t>
            </w:r>
          </w:p>
        </w:tc>
      </w:tr>
      <w:tr w:rsidR="00C91655" w:rsidRPr="00197413" w:rsidTr="00C91655">
        <w:tc>
          <w:tcPr>
            <w:tcW w:w="5000" w:type="pct"/>
            <w:gridSpan w:val="4"/>
          </w:tcPr>
          <w:p w:rsidR="00C91655" w:rsidRPr="00197413" w:rsidRDefault="00C91655" w:rsidP="00197413">
            <w:pPr>
              <w:jc w:val="both"/>
              <w:rPr>
                <w:color w:val="3A3A3A"/>
                <w:sz w:val="20"/>
              </w:rPr>
            </w:pPr>
            <w:r w:rsidRPr="00197413">
              <w:rPr>
                <w:sz w:val="20"/>
              </w:rPr>
              <w:t xml:space="preserve">Criminal law — Judicial interim release — Whether the </w:t>
            </w:r>
            <w:r w:rsidRPr="00197413">
              <w:rPr>
                <w:i/>
                <w:sz w:val="20"/>
              </w:rPr>
              <w:t>Gladue</w:t>
            </w:r>
            <w:r w:rsidRPr="00197413">
              <w:rPr>
                <w:sz w:val="20"/>
              </w:rPr>
              <w:t xml:space="preserve"> principles apply — Whether the case law is inconsistent regarding whether the </w:t>
            </w:r>
            <w:r w:rsidRPr="00197413">
              <w:rPr>
                <w:i/>
                <w:sz w:val="20"/>
              </w:rPr>
              <w:t>Gladue</w:t>
            </w:r>
            <w:r w:rsidRPr="00197413">
              <w:rPr>
                <w:sz w:val="20"/>
              </w:rPr>
              <w:t xml:space="preserve"> principles apply at bail and how those principles should be applied — Whether the </w:t>
            </w:r>
            <w:r w:rsidRPr="00197413">
              <w:rPr>
                <w:color w:val="3A3A3A"/>
                <w:sz w:val="20"/>
              </w:rPr>
              <w:t xml:space="preserve">inconsistent application of the </w:t>
            </w:r>
            <w:r w:rsidRPr="00197413">
              <w:rPr>
                <w:i/>
                <w:iCs/>
                <w:color w:val="494949"/>
                <w:sz w:val="20"/>
              </w:rPr>
              <w:t xml:space="preserve">Gladue </w:t>
            </w:r>
            <w:r w:rsidRPr="00197413">
              <w:rPr>
                <w:color w:val="3A3A3A"/>
                <w:sz w:val="20"/>
              </w:rPr>
              <w:t xml:space="preserve">principles by the lower courts </w:t>
            </w:r>
            <w:r w:rsidRPr="00197413">
              <w:rPr>
                <w:color w:val="494949"/>
                <w:sz w:val="20"/>
              </w:rPr>
              <w:t xml:space="preserve">is </w:t>
            </w:r>
            <w:r w:rsidRPr="00197413">
              <w:rPr>
                <w:color w:val="3A3A3A"/>
                <w:sz w:val="20"/>
              </w:rPr>
              <w:t xml:space="preserve">frustrating the </w:t>
            </w:r>
            <w:r w:rsidRPr="00197413">
              <w:rPr>
                <w:color w:val="494949"/>
                <w:sz w:val="20"/>
              </w:rPr>
              <w:t xml:space="preserve">issues that the </w:t>
            </w:r>
            <w:r w:rsidRPr="00197413">
              <w:rPr>
                <w:i/>
                <w:iCs/>
                <w:color w:val="494949"/>
                <w:sz w:val="20"/>
              </w:rPr>
              <w:t xml:space="preserve">Gladue </w:t>
            </w:r>
            <w:r w:rsidRPr="00197413">
              <w:rPr>
                <w:iCs/>
                <w:color w:val="494949"/>
                <w:sz w:val="20"/>
              </w:rPr>
              <w:t xml:space="preserve">decision </w:t>
            </w:r>
            <w:r w:rsidRPr="00197413">
              <w:rPr>
                <w:color w:val="3A3A3A"/>
                <w:sz w:val="20"/>
              </w:rPr>
              <w:t>was designed to ameliorate.</w:t>
            </w:r>
          </w:p>
          <w:p w:rsidR="00C91655" w:rsidRPr="00197413" w:rsidRDefault="00C91655" w:rsidP="00197413">
            <w:pPr>
              <w:jc w:val="both"/>
              <w:rPr>
                <w:sz w:val="20"/>
              </w:rPr>
            </w:pPr>
          </w:p>
        </w:tc>
      </w:tr>
      <w:tr w:rsidR="00C91655" w:rsidRPr="00197413" w:rsidTr="00C91655">
        <w:tc>
          <w:tcPr>
            <w:tcW w:w="5000" w:type="pct"/>
            <w:gridSpan w:val="4"/>
          </w:tcPr>
          <w:p w:rsidR="00C91655" w:rsidRPr="00197413" w:rsidRDefault="00C91655" w:rsidP="00197413">
            <w:pPr>
              <w:jc w:val="both"/>
              <w:rPr>
                <w:sz w:val="20"/>
              </w:rPr>
            </w:pPr>
            <w:r w:rsidRPr="00197413">
              <w:rPr>
                <w:sz w:val="20"/>
              </w:rPr>
              <w:t>The applicant is an Aboriginal person. The applicant was charged with a number of offences after a high speed car chase with police. The applicant has a lengthy criminal record and had outstanding charges. The Justice of the Peace denied bail pending trial. Edwards J. dismissed the application for bail review.</w:t>
            </w:r>
          </w:p>
        </w:tc>
      </w:tr>
      <w:tr w:rsidR="00C91655" w:rsidRPr="00197413" w:rsidTr="00C91655">
        <w:tc>
          <w:tcPr>
            <w:tcW w:w="5000" w:type="pct"/>
            <w:gridSpan w:val="4"/>
          </w:tcPr>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September 18, 2018</w:t>
            </w:r>
          </w:p>
          <w:p w:rsidR="00C91655" w:rsidRPr="00197413" w:rsidRDefault="00C91655" w:rsidP="00197413">
            <w:pPr>
              <w:jc w:val="both"/>
              <w:rPr>
                <w:sz w:val="20"/>
              </w:rPr>
            </w:pPr>
            <w:r w:rsidRPr="00197413">
              <w:rPr>
                <w:sz w:val="20"/>
              </w:rPr>
              <w:t>Ontario Court of Justice</w:t>
            </w:r>
          </w:p>
          <w:p w:rsidR="00C91655" w:rsidRPr="00197413" w:rsidRDefault="00C91655" w:rsidP="00197413">
            <w:pPr>
              <w:jc w:val="both"/>
              <w:rPr>
                <w:sz w:val="20"/>
              </w:rPr>
            </w:pPr>
            <w:r w:rsidRPr="00197413">
              <w:rPr>
                <w:sz w:val="20"/>
              </w:rPr>
              <w:t>(Boon J.P.)</w:t>
            </w:r>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Applicant denied bail pending trial</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October 5, 2018</w:t>
            </w:r>
          </w:p>
          <w:p w:rsidR="00C91655" w:rsidRPr="00197413" w:rsidRDefault="00C91655" w:rsidP="00197413">
            <w:pPr>
              <w:jc w:val="both"/>
              <w:rPr>
                <w:sz w:val="20"/>
              </w:rPr>
            </w:pPr>
            <w:r w:rsidRPr="00197413">
              <w:rPr>
                <w:sz w:val="20"/>
              </w:rPr>
              <w:t>Ontario Superior Court of Justice</w:t>
            </w:r>
          </w:p>
          <w:p w:rsidR="00C91655" w:rsidRPr="00197413" w:rsidRDefault="00C91655" w:rsidP="00197413">
            <w:pPr>
              <w:jc w:val="both"/>
              <w:rPr>
                <w:sz w:val="20"/>
              </w:rPr>
            </w:pPr>
            <w:r w:rsidRPr="00197413">
              <w:rPr>
                <w:sz w:val="20"/>
              </w:rPr>
              <w:t>(Edwards J.)</w:t>
            </w:r>
          </w:p>
          <w:p w:rsidR="00C91655" w:rsidRPr="00197413" w:rsidRDefault="00C91655" w:rsidP="00197413">
            <w:pPr>
              <w:jc w:val="both"/>
              <w:rPr>
                <w:sz w:val="20"/>
              </w:rPr>
            </w:pPr>
            <w:r w:rsidRPr="00197413">
              <w:rPr>
                <w:sz w:val="20"/>
              </w:rPr>
              <w:t>(unreported); 16-0097/17-0050/17-0003</w:t>
            </w:r>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Application for bail review dismissed</w:t>
            </w:r>
          </w:p>
        </w:tc>
      </w:tr>
      <w:tr w:rsidR="00C91655" w:rsidRPr="00197413" w:rsidTr="00C91655">
        <w:tc>
          <w:tcPr>
            <w:tcW w:w="2427" w:type="pct"/>
            <w:gridSpan w:val="2"/>
          </w:tcPr>
          <w:p w:rsidR="00C91655" w:rsidRPr="00197413" w:rsidRDefault="00C91655" w:rsidP="00197413">
            <w:pPr>
              <w:jc w:val="both"/>
              <w:rPr>
                <w:sz w:val="20"/>
              </w:rPr>
            </w:pPr>
            <w:r w:rsidRPr="00197413">
              <w:rPr>
                <w:sz w:val="20"/>
              </w:rPr>
              <w:t>November 29, 2018</w:t>
            </w:r>
          </w:p>
          <w:p w:rsidR="00C91655" w:rsidRPr="00197413" w:rsidRDefault="00C91655" w:rsidP="00197413">
            <w:pPr>
              <w:jc w:val="both"/>
              <w:rPr>
                <w:sz w:val="20"/>
              </w:rPr>
            </w:pPr>
            <w:r w:rsidRPr="00197413">
              <w:rPr>
                <w:sz w:val="20"/>
              </w:rPr>
              <w:t>Supreme Court of Canada</w:t>
            </w: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Application for leave to appeal filed</w:t>
            </w:r>
          </w:p>
          <w:p w:rsidR="00C91655" w:rsidRPr="00197413" w:rsidRDefault="00C91655" w:rsidP="00197413">
            <w:pPr>
              <w:jc w:val="both"/>
              <w:rPr>
                <w:sz w:val="20"/>
              </w:rPr>
            </w:pPr>
          </w:p>
        </w:tc>
      </w:tr>
    </w:tbl>
    <w:p w:rsidR="00C91655" w:rsidRDefault="00C91655" w:rsidP="00197413">
      <w:pPr>
        <w:jc w:val="both"/>
        <w:rPr>
          <w:sz w:val="20"/>
        </w:rPr>
      </w:pPr>
    </w:p>
    <w:p w:rsidR="003303C3" w:rsidRDefault="003303C3" w:rsidP="00197413">
      <w:pPr>
        <w:jc w:val="both"/>
        <w:rPr>
          <w:sz w:val="20"/>
        </w:rPr>
      </w:pPr>
      <w:r>
        <w:rPr>
          <w:sz w:val="20"/>
        </w:rPr>
        <w:pict>
          <v:rect id="_x0000_i1027" style="width:2in;height:1pt" o:hrpct="0" o:hralign="center" o:hrstd="t" o:hrnoshade="t" o:hr="t" fillcolor="black [3213]" stroked="f"/>
        </w:pict>
      </w:r>
    </w:p>
    <w:p w:rsidR="007B6202" w:rsidRPr="00197413" w:rsidRDefault="007B6202" w:rsidP="0019741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rPr>
            </w:pPr>
            <w:r w:rsidRPr="00197413">
              <w:rPr>
                <w:rStyle w:val="SCCFileNumberChar"/>
                <w:sz w:val="20"/>
                <w:szCs w:val="20"/>
              </w:rPr>
              <w:t>38435</w:t>
            </w:r>
          </w:p>
        </w:tc>
        <w:tc>
          <w:tcPr>
            <w:tcW w:w="4457" w:type="pct"/>
            <w:gridSpan w:val="3"/>
          </w:tcPr>
          <w:p w:rsidR="00C91655" w:rsidRPr="003303C3" w:rsidRDefault="00C91655" w:rsidP="00197413">
            <w:pPr>
              <w:pStyle w:val="SCCLsocParty"/>
              <w:jc w:val="both"/>
              <w:rPr>
                <w:b/>
                <w:sz w:val="20"/>
                <w:szCs w:val="20"/>
              </w:rPr>
            </w:pPr>
            <w:r w:rsidRPr="003303C3">
              <w:rPr>
                <w:b/>
                <w:sz w:val="20"/>
                <w:szCs w:val="20"/>
              </w:rPr>
              <w:t>Timothy Clarke Anthony c. Sa Majesté la Reine</w:t>
            </w:r>
          </w:p>
          <w:p w:rsidR="00C91655" w:rsidRPr="00197413" w:rsidRDefault="00C91655" w:rsidP="00197413">
            <w:pPr>
              <w:jc w:val="both"/>
              <w:rPr>
                <w:sz w:val="20"/>
              </w:rPr>
            </w:pPr>
            <w:r w:rsidRPr="00197413">
              <w:rPr>
                <w:sz w:val="20"/>
              </w:rPr>
              <w:t>(Ont.) (Criminelle) (Sur autorisation)</w:t>
            </w:r>
          </w:p>
        </w:tc>
      </w:tr>
      <w:tr w:rsidR="00C91655" w:rsidRPr="00197413" w:rsidTr="00C91655">
        <w:tc>
          <w:tcPr>
            <w:tcW w:w="5000" w:type="pct"/>
            <w:gridSpan w:val="4"/>
          </w:tcPr>
          <w:p w:rsidR="00C91655" w:rsidRPr="00197413" w:rsidRDefault="00C91655" w:rsidP="00197413">
            <w:pPr>
              <w:jc w:val="both"/>
              <w:rPr>
                <w:color w:val="3A3A3A"/>
                <w:sz w:val="20"/>
                <w:lang w:val="fr-CA"/>
              </w:rPr>
            </w:pPr>
            <w:r w:rsidRPr="00197413">
              <w:rPr>
                <w:sz w:val="20"/>
                <w:lang w:val="fr-CA"/>
              </w:rPr>
              <w:t xml:space="preserve">Droit criminel — Mise en liberté provisoire — Les principes énoncés dans </w:t>
            </w:r>
            <w:proofErr w:type="spellStart"/>
            <w:r w:rsidRPr="00197413">
              <w:rPr>
                <w:i/>
                <w:sz w:val="20"/>
                <w:lang w:val="fr-CA"/>
              </w:rPr>
              <w:t>Gladue</w:t>
            </w:r>
            <w:proofErr w:type="spellEnd"/>
            <w:r w:rsidRPr="00197413">
              <w:rPr>
                <w:sz w:val="20"/>
                <w:lang w:val="fr-CA"/>
              </w:rPr>
              <w:t xml:space="preserve"> s’appliquent-ils? — Les décisions se contredisent-elles sur la question de savoir si les principes de l’arrêt </w:t>
            </w:r>
            <w:proofErr w:type="spellStart"/>
            <w:r w:rsidRPr="00197413">
              <w:rPr>
                <w:i/>
                <w:sz w:val="20"/>
                <w:lang w:val="fr-CA"/>
              </w:rPr>
              <w:t>Gladue</w:t>
            </w:r>
            <w:proofErr w:type="spellEnd"/>
            <w:r w:rsidRPr="00197413">
              <w:rPr>
                <w:sz w:val="20"/>
                <w:lang w:val="fr-CA"/>
              </w:rPr>
              <w:t xml:space="preserve"> s’appliquent à la mise en liberté sous caution et sur la manière de les appliquer? — L’application incohérente des principes de cet arrêt par les juridictions inférieures contrecarre-t-elle le règlement des questions qu’était censé améliorer l’arrêt </w:t>
            </w:r>
            <w:proofErr w:type="spellStart"/>
            <w:r w:rsidRPr="00197413">
              <w:rPr>
                <w:i/>
                <w:iCs/>
                <w:color w:val="494949"/>
                <w:sz w:val="20"/>
                <w:lang w:val="fr-CA"/>
              </w:rPr>
              <w:t>Gladue</w:t>
            </w:r>
            <w:proofErr w:type="spellEnd"/>
            <w:r w:rsidRPr="00197413">
              <w:rPr>
                <w:iCs/>
                <w:color w:val="494949"/>
                <w:sz w:val="20"/>
                <w:lang w:val="fr-CA"/>
              </w:rPr>
              <w:t>?</w:t>
            </w:r>
            <w:r w:rsidRPr="00197413">
              <w:rPr>
                <w:i/>
                <w:iCs/>
                <w:color w:val="494949"/>
                <w:sz w:val="20"/>
                <w:lang w:val="fr-CA"/>
              </w:rPr>
              <w:t xml:space="preserve"> </w:t>
            </w:r>
          </w:p>
          <w:p w:rsidR="00C91655" w:rsidRPr="00197413" w:rsidRDefault="00C91655" w:rsidP="00197413">
            <w:pPr>
              <w:jc w:val="both"/>
              <w:rPr>
                <w:sz w:val="20"/>
                <w:lang w:val="fr-CA"/>
              </w:rPr>
            </w:pPr>
          </w:p>
        </w:tc>
      </w:tr>
      <w:tr w:rsidR="00C91655" w:rsidRPr="00197413" w:rsidTr="00C91655">
        <w:tc>
          <w:tcPr>
            <w:tcW w:w="5000" w:type="pct"/>
            <w:gridSpan w:val="4"/>
          </w:tcPr>
          <w:p w:rsidR="00C91655" w:rsidRPr="00197413" w:rsidRDefault="00C91655" w:rsidP="00197413">
            <w:pPr>
              <w:jc w:val="both"/>
              <w:rPr>
                <w:sz w:val="20"/>
                <w:lang w:val="fr-CA"/>
              </w:rPr>
            </w:pPr>
            <w:r w:rsidRPr="00197413">
              <w:rPr>
                <w:sz w:val="20"/>
                <w:lang w:val="fr-CA"/>
              </w:rPr>
              <w:t xml:space="preserve">Le demandeur est autochtone. Il a été accusé de plusieurs infractions à la suite d’une poursuite à haute vitesse avec des policiers. Il a un long casier judiciaire et des accusations pesaient contre lui. Le juge de paix lui a refusé la mise en liberté sous caution en attendant son procès. Le juge Edwards a rejeté la demande de contrôle visant la remise en liberté sous caution. </w:t>
            </w:r>
          </w:p>
        </w:tc>
      </w:tr>
      <w:tr w:rsidR="00C91655" w:rsidRPr="00197413" w:rsidTr="00C91655">
        <w:tc>
          <w:tcPr>
            <w:tcW w:w="5000" w:type="pct"/>
            <w:gridSpan w:val="4"/>
          </w:tcPr>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18 septembre 2018</w:t>
            </w:r>
          </w:p>
          <w:p w:rsidR="00C91655" w:rsidRPr="00197413" w:rsidRDefault="00C91655" w:rsidP="00197413">
            <w:pPr>
              <w:jc w:val="both"/>
              <w:rPr>
                <w:sz w:val="20"/>
                <w:lang w:val="fr-CA"/>
              </w:rPr>
            </w:pPr>
            <w:r w:rsidRPr="00197413">
              <w:rPr>
                <w:sz w:val="20"/>
                <w:lang w:val="fr-CA"/>
              </w:rPr>
              <w:t>Cour de justice de l’Ontario</w:t>
            </w:r>
          </w:p>
          <w:p w:rsidR="00C91655" w:rsidRPr="00197413" w:rsidRDefault="00C91655" w:rsidP="00197413">
            <w:pPr>
              <w:jc w:val="both"/>
              <w:rPr>
                <w:sz w:val="20"/>
              </w:rPr>
            </w:pPr>
            <w:r w:rsidRPr="00197413">
              <w:rPr>
                <w:sz w:val="20"/>
              </w:rPr>
              <w:t>(Boon J.P.)</w:t>
            </w:r>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lang w:val="fr-CA"/>
              </w:rPr>
            </w:pPr>
            <w:r w:rsidRPr="00197413">
              <w:rPr>
                <w:sz w:val="20"/>
                <w:lang w:val="fr-CA"/>
              </w:rPr>
              <w:t>Refus de mettre en liberté sous caution le demandeur en attendant son procès</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5 octobre 2018</w:t>
            </w:r>
          </w:p>
          <w:p w:rsidR="00C91655" w:rsidRPr="00197413" w:rsidRDefault="00C91655" w:rsidP="00197413">
            <w:pPr>
              <w:jc w:val="both"/>
              <w:rPr>
                <w:sz w:val="20"/>
                <w:lang w:val="fr-CA"/>
              </w:rPr>
            </w:pPr>
            <w:r w:rsidRPr="00197413">
              <w:rPr>
                <w:sz w:val="20"/>
                <w:lang w:val="fr-CA"/>
              </w:rPr>
              <w:t xml:space="preserve">Cour supérieure de justice de l’Ontario </w:t>
            </w:r>
          </w:p>
          <w:p w:rsidR="00C91655" w:rsidRPr="00197413" w:rsidRDefault="00C91655" w:rsidP="00197413">
            <w:pPr>
              <w:jc w:val="both"/>
              <w:rPr>
                <w:sz w:val="20"/>
              </w:rPr>
            </w:pPr>
            <w:r w:rsidRPr="00197413">
              <w:rPr>
                <w:sz w:val="20"/>
              </w:rPr>
              <w:t>(Juge Edwards)</w:t>
            </w:r>
          </w:p>
          <w:p w:rsidR="00C91655" w:rsidRPr="00197413" w:rsidRDefault="00C91655" w:rsidP="00197413">
            <w:pPr>
              <w:jc w:val="both"/>
              <w:rPr>
                <w:sz w:val="20"/>
              </w:rPr>
            </w:pPr>
            <w:r w:rsidRPr="00197413">
              <w:rPr>
                <w:sz w:val="20"/>
              </w:rPr>
              <w:t xml:space="preserve">(non </w:t>
            </w:r>
            <w:proofErr w:type="spellStart"/>
            <w:r w:rsidRPr="00197413">
              <w:rPr>
                <w:sz w:val="20"/>
              </w:rPr>
              <w:t>publiée</w:t>
            </w:r>
            <w:proofErr w:type="spellEnd"/>
            <w:r w:rsidRPr="00197413">
              <w:rPr>
                <w:sz w:val="20"/>
              </w:rPr>
              <w:t>); 16-0097/17-0050/17-0003</w:t>
            </w:r>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lang w:val="fr-CA"/>
              </w:rPr>
            </w:pPr>
            <w:r w:rsidRPr="00197413">
              <w:rPr>
                <w:sz w:val="20"/>
                <w:lang w:val="fr-CA"/>
              </w:rPr>
              <w:t xml:space="preserve">Rejet de la demande de contrôle visant la remise en liberté sous caution </w:t>
            </w: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29 novembre 2018</w:t>
            </w:r>
          </w:p>
          <w:p w:rsidR="00C91655" w:rsidRPr="00197413" w:rsidRDefault="00C91655" w:rsidP="00197413">
            <w:pPr>
              <w:jc w:val="both"/>
              <w:rPr>
                <w:sz w:val="20"/>
                <w:lang w:val="fr-CA"/>
              </w:rPr>
            </w:pPr>
            <w:r w:rsidRPr="00197413">
              <w:rPr>
                <w:sz w:val="20"/>
                <w:lang w:val="fr-CA"/>
              </w:rPr>
              <w:t>Cour suprême du Canada</w:t>
            </w: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 xml:space="preserve">Dépôt de la demande d’autorisation d’appel </w:t>
            </w:r>
          </w:p>
          <w:p w:rsidR="00C91655" w:rsidRPr="00197413" w:rsidRDefault="00C91655" w:rsidP="00197413">
            <w:pPr>
              <w:jc w:val="both"/>
              <w:rPr>
                <w:sz w:val="20"/>
                <w:lang w:val="fr-CA"/>
              </w:rPr>
            </w:pPr>
          </w:p>
        </w:tc>
      </w:tr>
    </w:tbl>
    <w:p w:rsidR="00C91655" w:rsidRDefault="00C91655" w:rsidP="00197413">
      <w:pPr>
        <w:jc w:val="both"/>
        <w:rPr>
          <w:sz w:val="20"/>
          <w:lang w:val="fr-CA"/>
        </w:rPr>
      </w:pPr>
    </w:p>
    <w:p w:rsidR="003303C3" w:rsidRPr="00197413" w:rsidRDefault="003303C3" w:rsidP="00197413">
      <w:pPr>
        <w:jc w:val="both"/>
        <w:rPr>
          <w:sz w:val="20"/>
          <w:lang w:val="fr-CA"/>
        </w:rPr>
      </w:pPr>
      <w:r>
        <w:rPr>
          <w:sz w:val="20"/>
        </w:rPr>
        <w:pict>
          <v:rect id="_x0000_i1028" style="width:2in;height:1pt" o:hrpct="0" o:hralign="center" o:hrstd="t" o:hrnoshade="t" o:hr="t" fillcolor="black [3213]" stroked="f"/>
        </w:pict>
      </w:r>
    </w:p>
    <w:p w:rsidR="00AE7EB1" w:rsidRPr="00197413" w:rsidRDefault="00AE7EB1" w:rsidP="0019741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lang w:val="en-CA"/>
              </w:rPr>
            </w:pPr>
            <w:r w:rsidRPr="00197413">
              <w:rPr>
                <w:rStyle w:val="SCCFileNumberChar"/>
                <w:sz w:val="20"/>
                <w:szCs w:val="20"/>
              </w:rPr>
              <w:t>38147</w:t>
            </w:r>
          </w:p>
        </w:tc>
        <w:tc>
          <w:tcPr>
            <w:tcW w:w="4457" w:type="pct"/>
            <w:gridSpan w:val="3"/>
          </w:tcPr>
          <w:p w:rsidR="00C91655" w:rsidRPr="003303C3" w:rsidRDefault="00C91655" w:rsidP="00197413">
            <w:pPr>
              <w:pStyle w:val="SCCLsocParty"/>
              <w:jc w:val="both"/>
              <w:rPr>
                <w:b/>
                <w:sz w:val="20"/>
                <w:szCs w:val="20"/>
              </w:rPr>
            </w:pPr>
            <w:r w:rsidRPr="003303C3">
              <w:rPr>
                <w:b/>
                <w:sz w:val="20"/>
                <w:szCs w:val="20"/>
              </w:rPr>
              <w:t>Denis Gilbert v. Syndicat de professionnelles et professionnels du gouvernement du Québec</w:t>
            </w:r>
          </w:p>
          <w:p w:rsidR="00C91655" w:rsidRPr="003303C3" w:rsidRDefault="00C91655" w:rsidP="00197413">
            <w:pPr>
              <w:pStyle w:val="SCCLsocOtherPartySeparator"/>
              <w:rPr>
                <w:sz w:val="20"/>
                <w:szCs w:val="20"/>
              </w:rPr>
            </w:pPr>
            <w:r w:rsidRPr="003303C3">
              <w:rPr>
                <w:sz w:val="20"/>
                <w:szCs w:val="20"/>
              </w:rPr>
              <w:t>— and —</w:t>
            </w:r>
          </w:p>
          <w:p w:rsidR="00C91655" w:rsidRPr="003303C3" w:rsidRDefault="00C91655" w:rsidP="00197413">
            <w:pPr>
              <w:pStyle w:val="SCCLsocParty"/>
              <w:jc w:val="both"/>
              <w:rPr>
                <w:b/>
                <w:sz w:val="20"/>
                <w:szCs w:val="20"/>
              </w:rPr>
            </w:pPr>
            <w:r w:rsidRPr="003303C3">
              <w:rPr>
                <w:b/>
                <w:sz w:val="20"/>
                <w:szCs w:val="20"/>
              </w:rPr>
              <w:t>Administrative Labour Tribunal and Ministère de l’Agriculture, des Pêcheries et de l’Alimentation du Québec (MAPAQ)</w:t>
            </w:r>
          </w:p>
          <w:p w:rsidR="00C91655" w:rsidRPr="00197413" w:rsidRDefault="00C91655" w:rsidP="00197413">
            <w:pPr>
              <w:jc w:val="both"/>
              <w:rPr>
                <w:sz w:val="20"/>
                <w:lang w:val="en-CA"/>
              </w:rPr>
            </w:pPr>
            <w:r w:rsidRPr="00197413">
              <w:rPr>
                <w:sz w:val="20"/>
                <w:lang w:val="en-CA"/>
              </w:rPr>
              <w:t>(Que.) (Civil) (By Leave)</w:t>
            </w:r>
          </w:p>
        </w:tc>
      </w:tr>
      <w:tr w:rsidR="00C91655" w:rsidRPr="00197413" w:rsidTr="00C91655">
        <w:tc>
          <w:tcPr>
            <w:tcW w:w="5000" w:type="pct"/>
            <w:gridSpan w:val="4"/>
          </w:tcPr>
          <w:p w:rsidR="00C91655" w:rsidRPr="00197413" w:rsidRDefault="00C91655" w:rsidP="00197413">
            <w:pPr>
              <w:jc w:val="both"/>
              <w:rPr>
                <w:sz w:val="20"/>
                <w:lang w:val="en-CA"/>
              </w:rPr>
            </w:pPr>
            <w:proofErr w:type="gramStart"/>
            <w:r w:rsidRPr="00197413">
              <w:rPr>
                <w:sz w:val="20"/>
                <w:lang w:val="en-CA"/>
              </w:rPr>
              <w:t>Labour relations — Union — Duty of representation — Discretion of union to submit claim to arbitrator — Arbitrator reserving his jurisdiction in order to rule on any difficulty relating to application of his decision — Whether, once arbitrator has expressly ruled on one aspect of grievance that was submitted to him and has overturned applicant’s dismissal with full compensation as of date of dismissal, arbitrator becomes “</w:t>
            </w:r>
            <w:proofErr w:type="spellStart"/>
            <w:r w:rsidRPr="00197413">
              <w:rPr>
                <w:i/>
                <w:sz w:val="20"/>
                <w:lang w:val="en-CA"/>
              </w:rPr>
              <w:t>functus</w:t>
            </w:r>
            <w:proofErr w:type="spellEnd"/>
            <w:r w:rsidRPr="00197413">
              <w:rPr>
                <w:i/>
                <w:sz w:val="20"/>
                <w:lang w:val="en-CA"/>
              </w:rPr>
              <w:t xml:space="preserve"> officio</w:t>
            </w:r>
            <w:r w:rsidRPr="00197413">
              <w:rPr>
                <w:sz w:val="20"/>
                <w:lang w:val="en-CA"/>
              </w:rPr>
              <w:t xml:space="preserve">” in relation to that conclusion — Discretion of union in relation to that conclusion of arbitration award — Whether it is open to union to decline to comply with that conclusion of arbitration award without exposing itself to liability under section 47.2 of </w:t>
            </w:r>
            <w:r w:rsidRPr="00197413">
              <w:rPr>
                <w:i/>
                <w:sz w:val="20"/>
                <w:lang w:val="en-CA"/>
              </w:rPr>
              <w:t xml:space="preserve">Labour Code </w:t>
            </w:r>
            <w:r w:rsidRPr="00197413">
              <w:rPr>
                <w:sz w:val="20"/>
                <w:lang w:val="en-CA"/>
              </w:rPr>
              <w:t>— Whether ALT usurped powers of grievance arbitrator by declining to give effect to that conclusion of arbitration award, and applicable standard of review in this case.</w:t>
            </w:r>
            <w:proofErr w:type="gramEnd"/>
          </w:p>
        </w:tc>
      </w:tr>
      <w:tr w:rsidR="00C91655" w:rsidRPr="00197413" w:rsidTr="00C91655">
        <w:tc>
          <w:tcPr>
            <w:tcW w:w="5000" w:type="pct"/>
            <w:gridSpan w:val="4"/>
          </w:tcPr>
          <w:p w:rsidR="00C91655" w:rsidRPr="00197413" w:rsidRDefault="00C91655" w:rsidP="00197413">
            <w:pPr>
              <w:jc w:val="both"/>
              <w:rPr>
                <w:sz w:val="20"/>
                <w:lang w:val="en-CA"/>
              </w:rPr>
            </w:pPr>
          </w:p>
        </w:tc>
      </w:tr>
      <w:tr w:rsidR="00C91655" w:rsidRPr="00197413" w:rsidTr="00C91655">
        <w:tc>
          <w:tcPr>
            <w:tcW w:w="5000" w:type="pct"/>
            <w:gridSpan w:val="4"/>
          </w:tcPr>
          <w:p w:rsidR="00C91655" w:rsidRPr="00197413" w:rsidRDefault="00C91655" w:rsidP="00197413">
            <w:pPr>
              <w:jc w:val="both"/>
              <w:rPr>
                <w:sz w:val="20"/>
                <w:lang w:val="en-CA"/>
              </w:rPr>
            </w:pPr>
            <w:r w:rsidRPr="00197413">
              <w:rPr>
                <w:sz w:val="20"/>
                <w:lang w:val="en-CA"/>
              </w:rPr>
              <w:t xml:space="preserve">After the respondent, the </w:t>
            </w:r>
            <w:proofErr w:type="spellStart"/>
            <w:r w:rsidRPr="00197413">
              <w:rPr>
                <w:sz w:val="20"/>
                <w:lang w:val="en-CA"/>
              </w:rPr>
              <w:t>Syndicat</w:t>
            </w:r>
            <w:proofErr w:type="spellEnd"/>
            <w:r w:rsidRPr="00197413">
              <w:rPr>
                <w:sz w:val="20"/>
                <w:lang w:val="en-CA"/>
              </w:rPr>
              <w:t xml:space="preserve"> de </w:t>
            </w:r>
            <w:proofErr w:type="spellStart"/>
            <w:r w:rsidRPr="00197413">
              <w:rPr>
                <w:sz w:val="20"/>
                <w:lang w:val="en-CA"/>
              </w:rPr>
              <w:t>professionnelles</w:t>
            </w:r>
            <w:proofErr w:type="spellEnd"/>
            <w:r w:rsidRPr="00197413">
              <w:rPr>
                <w:sz w:val="20"/>
                <w:lang w:val="en-CA"/>
              </w:rPr>
              <w:t xml:space="preserve"> et </w:t>
            </w:r>
            <w:proofErr w:type="spellStart"/>
            <w:r w:rsidRPr="00197413">
              <w:rPr>
                <w:sz w:val="20"/>
                <w:lang w:val="en-CA"/>
              </w:rPr>
              <w:t>professionnels</w:t>
            </w:r>
            <w:proofErr w:type="spellEnd"/>
            <w:r w:rsidRPr="00197413">
              <w:rPr>
                <w:sz w:val="20"/>
                <w:lang w:val="en-CA"/>
              </w:rPr>
              <w:t xml:space="preserve"> du </w:t>
            </w:r>
            <w:proofErr w:type="spellStart"/>
            <w:r w:rsidRPr="00197413">
              <w:rPr>
                <w:sz w:val="20"/>
                <w:lang w:val="en-CA"/>
              </w:rPr>
              <w:t>gouvernement</w:t>
            </w:r>
            <w:proofErr w:type="spellEnd"/>
            <w:r w:rsidRPr="00197413">
              <w:rPr>
                <w:sz w:val="20"/>
                <w:lang w:val="en-CA"/>
              </w:rPr>
              <w:t xml:space="preserve"> du Québec, filed a grievance to contest the dismissal of the applicant, Denis Gilbert, the arbitrator rendered a decision in which he restored the employment relationship between Mr. Gilbert and his employer with full compensation. The arbitrator [</w:t>
            </w:r>
            <w:r w:rsidRPr="00197413">
              <w:rPr>
                <w:smallCaps/>
                <w:sz w:val="20"/>
                <w:lang w:val="en-CA"/>
              </w:rPr>
              <w:t>translation</w:t>
            </w:r>
            <w:r w:rsidRPr="00197413">
              <w:rPr>
                <w:rFonts w:asciiTheme="minorBidi" w:hAnsiTheme="minorBidi"/>
                <w:sz w:val="20"/>
                <w:lang w:val="en-CA"/>
              </w:rPr>
              <w:t>]</w:t>
            </w:r>
            <w:r w:rsidRPr="00197413">
              <w:rPr>
                <w:sz w:val="20"/>
                <w:lang w:val="en-CA"/>
              </w:rPr>
              <w:t xml:space="preserve"> “reserve[d</w:t>
            </w:r>
            <w:r w:rsidRPr="00197413">
              <w:rPr>
                <w:rFonts w:asciiTheme="minorBidi" w:hAnsiTheme="minorBidi"/>
                <w:sz w:val="20"/>
                <w:lang w:val="en-CA"/>
              </w:rPr>
              <w:t>]</w:t>
            </w:r>
            <w:r w:rsidRPr="00197413">
              <w:rPr>
                <w:sz w:val="20"/>
                <w:lang w:val="en-CA"/>
              </w:rPr>
              <w:t xml:space="preserve"> jurisdiction to rule, at the request of a party, on any difficulty relating to the application of this arbitration award, in particular as regards the amounts that are owed”. After being </w:t>
            </w:r>
            <w:proofErr w:type="gramStart"/>
            <w:r w:rsidRPr="00197413">
              <w:rPr>
                <w:sz w:val="20"/>
                <w:lang w:val="en-CA"/>
              </w:rPr>
              <w:t>reinstated,</w:t>
            </w:r>
            <w:proofErr w:type="gramEnd"/>
            <w:r w:rsidRPr="00197413">
              <w:rPr>
                <w:sz w:val="20"/>
                <w:lang w:val="en-CA"/>
              </w:rPr>
              <w:t xml:space="preserve"> and following exchanges with his union, Mr. Gilbert filed a complaint against the union, alleging that it had breached its duty of representation by declining to return to the arbitrator for a ruling on questions of retroactive step raises and financial compensation (s. 47.2 of </w:t>
            </w:r>
            <w:r w:rsidRPr="00197413">
              <w:rPr>
                <w:i/>
                <w:sz w:val="20"/>
                <w:lang w:val="en-CA"/>
              </w:rPr>
              <w:t>Labour Code</w:t>
            </w:r>
            <w:r w:rsidRPr="00197413">
              <w:rPr>
                <w:sz w:val="20"/>
                <w:lang w:val="en-CA"/>
              </w:rPr>
              <w:t>).</w:t>
            </w:r>
          </w:p>
          <w:p w:rsidR="00C91655" w:rsidRPr="00197413" w:rsidRDefault="00C91655" w:rsidP="00197413">
            <w:pPr>
              <w:jc w:val="both"/>
              <w:rPr>
                <w:sz w:val="20"/>
                <w:lang w:val="en-CA"/>
              </w:rPr>
            </w:pPr>
          </w:p>
          <w:p w:rsidR="00C91655" w:rsidRPr="00197413" w:rsidRDefault="00C91655" w:rsidP="00197413">
            <w:pPr>
              <w:jc w:val="both"/>
              <w:rPr>
                <w:sz w:val="20"/>
                <w:lang w:val="en-CA"/>
              </w:rPr>
            </w:pPr>
            <w:r w:rsidRPr="00197413">
              <w:rPr>
                <w:sz w:val="20"/>
                <w:lang w:val="en-CA"/>
              </w:rPr>
              <w:t xml:space="preserve">The Commission des relations du travail (now the Administrative Labour Tribunal) dismissed the complaint. It concluded that the union’s decision not to apply to the arbitrator </w:t>
            </w:r>
            <w:proofErr w:type="gramStart"/>
            <w:r w:rsidRPr="00197413">
              <w:rPr>
                <w:sz w:val="20"/>
                <w:lang w:val="en-CA"/>
              </w:rPr>
              <w:t>was based</w:t>
            </w:r>
            <w:proofErr w:type="gramEnd"/>
            <w:r w:rsidRPr="00197413">
              <w:rPr>
                <w:sz w:val="20"/>
                <w:lang w:val="en-CA"/>
              </w:rPr>
              <w:t xml:space="preserve"> on an assessment of the case’s chance of success and that the union had not usurped the arbitrator’s function by deciding not to submit the claim. The Superior Court dismissed Mr. Gilbert’s motion for judicial review and the Court of Appeal dismissed the appeal, holding that there was no error in the Superior Court’s judgment. </w:t>
            </w:r>
          </w:p>
          <w:p w:rsidR="00C91655" w:rsidRPr="00197413" w:rsidRDefault="00C91655" w:rsidP="00197413">
            <w:pPr>
              <w:jc w:val="both"/>
              <w:rPr>
                <w:sz w:val="20"/>
                <w:lang w:val="en-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December 7, 2015</w:t>
            </w:r>
          </w:p>
          <w:p w:rsidR="00C91655" w:rsidRPr="00197413" w:rsidRDefault="00C91655" w:rsidP="00197413">
            <w:pPr>
              <w:jc w:val="both"/>
              <w:rPr>
                <w:sz w:val="20"/>
                <w:lang w:val="fr-CA"/>
              </w:rPr>
            </w:pPr>
            <w:r w:rsidRPr="00197413">
              <w:rPr>
                <w:sz w:val="20"/>
                <w:lang w:val="fr-CA"/>
              </w:rPr>
              <w:t>Commission des relations du travail</w:t>
            </w:r>
          </w:p>
          <w:p w:rsidR="00C91655" w:rsidRPr="00197413" w:rsidRDefault="00C91655" w:rsidP="00197413">
            <w:pPr>
              <w:jc w:val="both"/>
              <w:rPr>
                <w:sz w:val="20"/>
                <w:lang w:val="en-CA"/>
              </w:rPr>
            </w:pPr>
            <w:r w:rsidRPr="00197413">
              <w:rPr>
                <w:sz w:val="20"/>
                <w:lang w:val="en-CA"/>
              </w:rPr>
              <w:t xml:space="preserve">(Administrative Judge </w:t>
            </w:r>
            <w:proofErr w:type="spellStart"/>
            <w:r w:rsidRPr="00197413">
              <w:rPr>
                <w:sz w:val="20"/>
                <w:lang w:val="en-CA"/>
              </w:rPr>
              <w:t>Drolet</w:t>
            </w:r>
            <w:proofErr w:type="spellEnd"/>
            <w:r w:rsidRPr="00197413">
              <w:rPr>
                <w:sz w:val="20"/>
                <w:lang w:val="en-CA"/>
              </w:rPr>
              <w:t>)</w:t>
            </w:r>
          </w:p>
          <w:p w:rsidR="00C91655" w:rsidRPr="00197413" w:rsidRDefault="00C91655" w:rsidP="00197413">
            <w:pPr>
              <w:jc w:val="both"/>
              <w:rPr>
                <w:sz w:val="20"/>
                <w:lang w:val="en-CA"/>
              </w:rPr>
            </w:pPr>
            <w:hyperlink r:id="rId25" w:history="1">
              <w:r w:rsidRPr="00197413">
                <w:rPr>
                  <w:rStyle w:val="Hyperlink"/>
                  <w:sz w:val="20"/>
                  <w:lang w:val="en-CA"/>
                </w:rPr>
                <w:t>2015 QCCRT 641</w:t>
              </w:r>
            </w:hyperlink>
          </w:p>
          <w:p w:rsidR="00C91655" w:rsidRPr="00197413" w:rsidRDefault="00C91655" w:rsidP="00197413">
            <w:pPr>
              <w:jc w:val="both"/>
              <w:rPr>
                <w:sz w:val="20"/>
                <w:lang w:val="en-CA"/>
              </w:rPr>
            </w:pPr>
          </w:p>
        </w:tc>
        <w:tc>
          <w:tcPr>
            <w:tcW w:w="243" w:type="pct"/>
          </w:tcPr>
          <w:p w:rsidR="00C91655" w:rsidRPr="00197413" w:rsidRDefault="00C91655" w:rsidP="00197413">
            <w:pPr>
              <w:jc w:val="both"/>
              <w:rPr>
                <w:sz w:val="20"/>
                <w:lang w:val="en-CA"/>
              </w:rPr>
            </w:pPr>
          </w:p>
        </w:tc>
        <w:tc>
          <w:tcPr>
            <w:tcW w:w="2330" w:type="pct"/>
          </w:tcPr>
          <w:p w:rsidR="00C91655" w:rsidRPr="00197413" w:rsidRDefault="00C91655" w:rsidP="00197413">
            <w:pPr>
              <w:jc w:val="both"/>
              <w:rPr>
                <w:sz w:val="20"/>
                <w:lang w:val="en-CA"/>
              </w:rPr>
            </w:pPr>
            <w:r w:rsidRPr="00197413">
              <w:rPr>
                <w:sz w:val="20"/>
                <w:lang w:val="en-CA"/>
              </w:rPr>
              <w:t>Complaint dismissed</w:t>
            </w:r>
          </w:p>
        </w:tc>
      </w:tr>
      <w:tr w:rsidR="00C91655" w:rsidRPr="00197413" w:rsidTr="00C91655">
        <w:tc>
          <w:tcPr>
            <w:tcW w:w="2427" w:type="pct"/>
            <w:gridSpan w:val="2"/>
          </w:tcPr>
          <w:p w:rsidR="00C91655" w:rsidRPr="00197413" w:rsidRDefault="00C91655" w:rsidP="00197413">
            <w:pPr>
              <w:jc w:val="both"/>
              <w:rPr>
                <w:sz w:val="20"/>
                <w:lang w:val="en-CA"/>
              </w:rPr>
            </w:pPr>
            <w:r w:rsidRPr="00197413">
              <w:rPr>
                <w:sz w:val="20"/>
                <w:lang w:val="en-CA"/>
              </w:rPr>
              <w:t>October 24, 2016</w:t>
            </w:r>
          </w:p>
          <w:p w:rsidR="00C91655" w:rsidRPr="00197413" w:rsidRDefault="00C91655" w:rsidP="00197413">
            <w:pPr>
              <w:jc w:val="both"/>
              <w:rPr>
                <w:sz w:val="20"/>
                <w:lang w:val="en-CA"/>
              </w:rPr>
            </w:pPr>
            <w:r w:rsidRPr="00197413">
              <w:rPr>
                <w:sz w:val="20"/>
                <w:lang w:val="en-CA"/>
              </w:rPr>
              <w:t>Quebec Superior Court</w:t>
            </w:r>
          </w:p>
          <w:p w:rsidR="00C91655" w:rsidRPr="00197413" w:rsidRDefault="00C91655" w:rsidP="00197413">
            <w:pPr>
              <w:jc w:val="both"/>
              <w:rPr>
                <w:sz w:val="20"/>
                <w:lang w:val="en-CA"/>
              </w:rPr>
            </w:pPr>
            <w:r w:rsidRPr="00197413">
              <w:rPr>
                <w:sz w:val="20"/>
                <w:lang w:val="en-CA"/>
              </w:rPr>
              <w:t>(Banford J.)</w:t>
            </w:r>
          </w:p>
          <w:p w:rsidR="00C91655" w:rsidRPr="00197413" w:rsidRDefault="00C91655" w:rsidP="00197413">
            <w:pPr>
              <w:jc w:val="both"/>
              <w:rPr>
                <w:sz w:val="20"/>
                <w:lang w:val="en-CA"/>
              </w:rPr>
            </w:pPr>
            <w:hyperlink r:id="rId26" w:history="1">
              <w:r w:rsidRPr="00197413">
                <w:rPr>
                  <w:rStyle w:val="Hyperlink"/>
                  <w:sz w:val="20"/>
                  <w:lang w:val="en-CA"/>
                </w:rPr>
                <w:t>2016 QCCS 5160</w:t>
              </w:r>
            </w:hyperlink>
          </w:p>
          <w:p w:rsidR="00C91655" w:rsidRPr="00197413" w:rsidRDefault="00C91655" w:rsidP="00197413">
            <w:pPr>
              <w:jc w:val="both"/>
              <w:rPr>
                <w:sz w:val="20"/>
                <w:lang w:val="en-CA"/>
              </w:rPr>
            </w:pPr>
          </w:p>
        </w:tc>
        <w:tc>
          <w:tcPr>
            <w:tcW w:w="243" w:type="pct"/>
          </w:tcPr>
          <w:p w:rsidR="00C91655" w:rsidRPr="00197413" w:rsidRDefault="00C91655" w:rsidP="00197413">
            <w:pPr>
              <w:jc w:val="both"/>
              <w:rPr>
                <w:sz w:val="20"/>
                <w:lang w:val="en-CA"/>
              </w:rPr>
            </w:pPr>
          </w:p>
        </w:tc>
        <w:tc>
          <w:tcPr>
            <w:tcW w:w="2330" w:type="pct"/>
          </w:tcPr>
          <w:p w:rsidR="00C91655" w:rsidRPr="00197413" w:rsidRDefault="00C91655" w:rsidP="00197413">
            <w:pPr>
              <w:jc w:val="both"/>
              <w:rPr>
                <w:sz w:val="20"/>
                <w:lang w:val="en-CA"/>
              </w:rPr>
            </w:pPr>
            <w:r w:rsidRPr="00197413">
              <w:rPr>
                <w:sz w:val="20"/>
                <w:lang w:val="en-CA"/>
              </w:rPr>
              <w:t>Motion for judicial review dismissed</w:t>
            </w:r>
          </w:p>
          <w:p w:rsidR="00C91655" w:rsidRPr="00197413" w:rsidRDefault="00C91655" w:rsidP="00197413">
            <w:pPr>
              <w:jc w:val="both"/>
              <w:rPr>
                <w:sz w:val="20"/>
                <w:lang w:val="en-CA"/>
              </w:rPr>
            </w:pPr>
          </w:p>
        </w:tc>
      </w:tr>
      <w:tr w:rsidR="00C91655" w:rsidRPr="00197413" w:rsidTr="00C91655">
        <w:tc>
          <w:tcPr>
            <w:tcW w:w="2427" w:type="pct"/>
            <w:gridSpan w:val="2"/>
          </w:tcPr>
          <w:p w:rsidR="00C91655" w:rsidRPr="00197413" w:rsidRDefault="00C91655" w:rsidP="00197413">
            <w:pPr>
              <w:jc w:val="both"/>
              <w:rPr>
                <w:sz w:val="20"/>
                <w:lang w:val="en-CA"/>
              </w:rPr>
            </w:pPr>
            <w:r w:rsidRPr="00197413">
              <w:rPr>
                <w:sz w:val="20"/>
                <w:lang w:val="en-CA"/>
              </w:rPr>
              <w:lastRenderedPageBreak/>
              <w:t>April 13, 2018</w:t>
            </w:r>
          </w:p>
          <w:p w:rsidR="00C91655" w:rsidRPr="00197413" w:rsidRDefault="00C91655" w:rsidP="00197413">
            <w:pPr>
              <w:jc w:val="both"/>
              <w:rPr>
                <w:sz w:val="20"/>
                <w:lang w:val="en-CA"/>
              </w:rPr>
            </w:pPr>
            <w:r w:rsidRPr="00197413">
              <w:rPr>
                <w:sz w:val="20"/>
                <w:lang w:val="en-CA"/>
              </w:rPr>
              <w:t>Quebec Court of Appeal (Québec)</w:t>
            </w:r>
          </w:p>
          <w:p w:rsidR="00C91655" w:rsidRPr="00197413" w:rsidRDefault="00C91655" w:rsidP="00197413">
            <w:pPr>
              <w:jc w:val="both"/>
              <w:rPr>
                <w:sz w:val="20"/>
                <w:lang w:val="en-CA"/>
              </w:rPr>
            </w:pPr>
            <w:r w:rsidRPr="00197413">
              <w:rPr>
                <w:sz w:val="20"/>
                <w:lang w:val="en-CA"/>
              </w:rPr>
              <w:t>(Dutil, Bich and Ruel JJ.A.)</w:t>
            </w:r>
          </w:p>
          <w:p w:rsidR="00C91655" w:rsidRPr="00197413" w:rsidRDefault="00C91655" w:rsidP="00197413">
            <w:pPr>
              <w:jc w:val="both"/>
              <w:rPr>
                <w:sz w:val="20"/>
                <w:lang w:val="en-CA"/>
              </w:rPr>
            </w:pPr>
            <w:hyperlink r:id="rId27" w:history="1">
              <w:r w:rsidRPr="00197413">
                <w:rPr>
                  <w:rStyle w:val="Hyperlink"/>
                  <w:sz w:val="20"/>
                  <w:lang w:val="en-CA"/>
                </w:rPr>
                <w:t>2018 QCCA 593</w:t>
              </w:r>
            </w:hyperlink>
            <w:r w:rsidRPr="00197413">
              <w:rPr>
                <w:sz w:val="20"/>
                <w:lang w:val="en-CA"/>
              </w:rPr>
              <w:t xml:space="preserve"> (200-09-009398-162)</w:t>
            </w:r>
          </w:p>
          <w:p w:rsidR="00C91655" w:rsidRPr="00197413" w:rsidRDefault="00C91655" w:rsidP="00197413">
            <w:pPr>
              <w:jc w:val="both"/>
              <w:rPr>
                <w:sz w:val="20"/>
                <w:lang w:val="en-CA"/>
              </w:rPr>
            </w:pPr>
          </w:p>
        </w:tc>
        <w:tc>
          <w:tcPr>
            <w:tcW w:w="243" w:type="pct"/>
          </w:tcPr>
          <w:p w:rsidR="00C91655" w:rsidRPr="00197413" w:rsidRDefault="00C91655" w:rsidP="00197413">
            <w:pPr>
              <w:jc w:val="both"/>
              <w:rPr>
                <w:sz w:val="20"/>
                <w:lang w:val="en-CA"/>
              </w:rPr>
            </w:pPr>
          </w:p>
        </w:tc>
        <w:tc>
          <w:tcPr>
            <w:tcW w:w="2330" w:type="pct"/>
          </w:tcPr>
          <w:p w:rsidR="00C91655" w:rsidRPr="00197413" w:rsidRDefault="00C91655" w:rsidP="00197413">
            <w:pPr>
              <w:jc w:val="both"/>
              <w:rPr>
                <w:sz w:val="20"/>
                <w:lang w:val="en-CA"/>
              </w:rPr>
            </w:pPr>
            <w:r w:rsidRPr="00197413">
              <w:rPr>
                <w:sz w:val="20"/>
                <w:lang w:val="en-CA"/>
              </w:rPr>
              <w:t>Appeal dismissed; application for anonymity  dismissed</w:t>
            </w:r>
          </w:p>
          <w:p w:rsidR="00C91655" w:rsidRPr="00197413" w:rsidRDefault="00C91655" w:rsidP="00197413">
            <w:pPr>
              <w:jc w:val="both"/>
              <w:rPr>
                <w:sz w:val="20"/>
                <w:lang w:val="en-CA"/>
              </w:rPr>
            </w:pPr>
          </w:p>
        </w:tc>
      </w:tr>
      <w:tr w:rsidR="00C91655" w:rsidRPr="00197413" w:rsidTr="00C91655">
        <w:tc>
          <w:tcPr>
            <w:tcW w:w="2427" w:type="pct"/>
            <w:gridSpan w:val="2"/>
          </w:tcPr>
          <w:p w:rsidR="00C91655" w:rsidRPr="00197413" w:rsidRDefault="00C91655" w:rsidP="00197413">
            <w:pPr>
              <w:jc w:val="both"/>
              <w:rPr>
                <w:sz w:val="20"/>
                <w:lang w:val="en-CA"/>
              </w:rPr>
            </w:pPr>
            <w:r w:rsidRPr="00197413">
              <w:rPr>
                <w:sz w:val="20"/>
                <w:lang w:val="en-CA"/>
              </w:rPr>
              <w:t>June 7, 2018</w:t>
            </w:r>
          </w:p>
          <w:p w:rsidR="00C91655" w:rsidRPr="00197413" w:rsidRDefault="00C91655" w:rsidP="00197413">
            <w:pPr>
              <w:jc w:val="both"/>
              <w:rPr>
                <w:sz w:val="20"/>
                <w:lang w:val="en-CA"/>
              </w:rPr>
            </w:pPr>
            <w:r w:rsidRPr="00197413">
              <w:rPr>
                <w:sz w:val="20"/>
                <w:lang w:val="en-CA"/>
              </w:rPr>
              <w:t>Supreme Court of Canada</w:t>
            </w:r>
          </w:p>
        </w:tc>
        <w:tc>
          <w:tcPr>
            <w:tcW w:w="243" w:type="pct"/>
          </w:tcPr>
          <w:p w:rsidR="00C91655" w:rsidRPr="00197413" w:rsidRDefault="00C91655" w:rsidP="00197413">
            <w:pPr>
              <w:jc w:val="both"/>
              <w:rPr>
                <w:sz w:val="20"/>
                <w:lang w:val="en-CA"/>
              </w:rPr>
            </w:pPr>
          </w:p>
        </w:tc>
        <w:tc>
          <w:tcPr>
            <w:tcW w:w="2330" w:type="pct"/>
          </w:tcPr>
          <w:p w:rsidR="00C91655" w:rsidRPr="00197413" w:rsidRDefault="00C91655" w:rsidP="00197413">
            <w:pPr>
              <w:jc w:val="both"/>
              <w:rPr>
                <w:sz w:val="20"/>
                <w:lang w:val="en-CA"/>
              </w:rPr>
            </w:pPr>
            <w:r w:rsidRPr="00197413">
              <w:rPr>
                <w:sz w:val="20"/>
                <w:lang w:val="en-CA"/>
              </w:rPr>
              <w:t>Application for leave to appeal filed</w:t>
            </w:r>
          </w:p>
          <w:p w:rsidR="00C91655" w:rsidRPr="00197413" w:rsidRDefault="00C91655" w:rsidP="00197413">
            <w:pPr>
              <w:jc w:val="both"/>
              <w:rPr>
                <w:sz w:val="20"/>
                <w:lang w:val="en-CA"/>
              </w:rPr>
            </w:pPr>
          </w:p>
        </w:tc>
      </w:tr>
    </w:tbl>
    <w:p w:rsidR="00C91655" w:rsidRDefault="00C91655" w:rsidP="00197413">
      <w:pPr>
        <w:jc w:val="both"/>
        <w:rPr>
          <w:sz w:val="20"/>
          <w:lang w:val="en-CA"/>
        </w:rPr>
      </w:pPr>
    </w:p>
    <w:p w:rsidR="003303C3" w:rsidRDefault="003303C3" w:rsidP="00197413">
      <w:pPr>
        <w:jc w:val="both"/>
        <w:rPr>
          <w:sz w:val="20"/>
          <w:lang w:val="en-CA"/>
        </w:rPr>
      </w:pPr>
      <w:r>
        <w:rPr>
          <w:sz w:val="20"/>
        </w:rPr>
        <w:pict>
          <v:rect id="_x0000_i1029" style="width:2in;height:1pt" o:hrpct="0" o:hralign="center" o:hrstd="t" o:hrnoshade="t" o:hr="t" fillcolor="black [3213]" stroked="f"/>
        </w:pict>
      </w:r>
    </w:p>
    <w:p w:rsidR="003303C3" w:rsidRPr="00197413" w:rsidRDefault="003303C3" w:rsidP="0019741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rPr>
            </w:pPr>
            <w:r w:rsidRPr="00197413">
              <w:rPr>
                <w:rStyle w:val="SCCFileNumberChar"/>
                <w:sz w:val="20"/>
                <w:szCs w:val="20"/>
              </w:rPr>
              <w:t>38147</w:t>
            </w:r>
          </w:p>
        </w:tc>
        <w:tc>
          <w:tcPr>
            <w:tcW w:w="4457" w:type="pct"/>
            <w:gridSpan w:val="3"/>
          </w:tcPr>
          <w:p w:rsidR="00C91655" w:rsidRPr="003303C3" w:rsidRDefault="00C91655" w:rsidP="00197413">
            <w:pPr>
              <w:pStyle w:val="SCCLsocParty"/>
              <w:jc w:val="both"/>
              <w:rPr>
                <w:b/>
                <w:sz w:val="20"/>
                <w:szCs w:val="20"/>
              </w:rPr>
            </w:pPr>
            <w:r w:rsidRPr="003303C3">
              <w:rPr>
                <w:b/>
                <w:sz w:val="20"/>
                <w:szCs w:val="20"/>
              </w:rPr>
              <w:t>Denis Gilbert c. Syndicat de professionnelles et professionnels du gouvernement du Québec</w:t>
            </w:r>
          </w:p>
          <w:p w:rsidR="00C91655" w:rsidRPr="003303C3" w:rsidRDefault="00C91655" w:rsidP="00197413">
            <w:pPr>
              <w:pStyle w:val="SCCLsocOtherPartySeparator"/>
              <w:rPr>
                <w:sz w:val="20"/>
                <w:szCs w:val="20"/>
              </w:rPr>
            </w:pPr>
            <w:r w:rsidRPr="003303C3">
              <w:rPr>
                <w:sz w:val="20"/>
                <w:szCs w:val="20"/>
              </w:rPr>
              <w:t>— et —</w:t>
            </w:r>
          </w:p>
          <w:p w:rsidR="00C91655" w:rsidRPr="003303C3" w:rsidRDefault="00C91655" w:rsidP="00197413">
            <w:pPr>
              <w:pStyle w:val="SCCLsocParty"/>
              <w:jc w:val="both"/>
              <w:rPr>
                <w:b/>
                <w:sz w:val="20"/>
                <w:szCs w:val="20"/>
              </w:rPr>
            </w:pPr>
            <w:r w:rsidRPr="003303C3">
              <w:rPr>
                <w:b/>
                <w:sz w:val="20"/>
                <w:szCs w:val="20"/>
              </w:rPr>
              <w:t>Tribunal administratif du travail et ministère de l’Agriculture, des Pêcheries et de l’Alimentation du Québec (MAPAQ)</w:t>
            </w:r>
          </w:p>
          <w:p w:rsidR="00C91655" w:rsidRPr="00197413" w:rsidRDefault="00C91655" w:rsidP="00197413">
            <w:pPr>
              <w:jc w:val="both"/>
              <w:rPr>
                <w:sz w:val="20"/>
              </w:rPr>
            </w:pPr>
            <w:r w:rsidRPr="00197413">
              <w:rPr>
                <w:sz w:val="20"/>
              </w:rPr>
              <w:t>(Qc) (Civile) (Autorisation)</w:t>
            </w:r>
          </w:p>
        </w:tc>
      </w:tr>
      <w:tr w:rsidR="00C91655" w:rsidRPr="00197413" w:rsidTr="00C91655">
        <w:tc>
          <w:tcPr>
            <w:tcW w:w="5000" w:type="pct"/>
            <w:gridSpan w:val="4"/>
          </w:tcPr>
          <w:p w:rsidR="00C91655" w:rsidRPr="00197413" w:rsidRDefault="00C91655" w:rsidP="00197413">
            <w:pPr>
              <w:jc w:val="both"/>
              <w:rPr>
                <w:sz w:val="20"/>
                <w:lang w:val="fr-CA"/>
              </w:rPr>
            </w:pPr>
            <w:r w:rsidRPr="00197413">
              <w:rPr>
                <w:sz w:val="20"/>
                <w:lang w:val="fr-CA"/>
              </w:rPr>
              <w:t>Relations du travail — Syndicat — Devoir de représentation — Pouvoir discrétionnaire du syndicat de soumettre une réclamation à l’arbitre — Arbitre ayant réservé sa compétence pour trancher toute difficulté relative à l’application de sa décision — Une fois que l’arbitre s’est prononcé expressément sur un aspect du grief qui lui était soumis et ait annulé le congédiement du demandeur avec pleine compensation à compter de la date de son congédiement, l’arbitre devient-il « </w:t>
            </w:r>
            <w:proofErr w:type="spellStart"/>
            <w:r w:rsidRPr="00197413">
              <w:rPr>
                <w:i/>
                <w:sz w:val="20"/>
                <w:lang w:val="fr-CA"/>
              </w:rPr>
              <w:t>functus</w:t>
            </w:r>
            <w:proofErr w:type="spellEnd"/>
            <w:r w:rsidRPr="00197413">
              <w:rPr>
                <w:i/>
                <w:sz w:val="20"/>
                <w:lang w:val="fr-CA"/>
              </w:rPr>
              <w:t xml:space="preserve"> </w:t>
            </w:r>
            <w:proofErr w:type="spellStart"/>
            <w:r w:rsidRPr="00197413">
              <w:rPr>
                <w:i/>
                <w:sz w:val="20"/>
                <w:lang w:val="fr-CA"/>
              </w:rPr>
              <w:t>officio</w:t>
            </w:r>
            <w:proofErr w:type="spellEnd"/>
            <w:r w:rsidRPr="00197413">
              <w:rPr>
                <w:sz w:val="20"/>
                <w:lang w:val="fr-CA"/>
              </w:rPr>
              <w:t xml:space="preserve"> » à l’égard de cette conclusion? — Quelle discrétion possède un syndicat à l’égard de cette conclusion de la sentence arbitrale? — Un syndicat peut-il refuser de se conformer à cette conclusion de la sentence arbitrale sans engager sa responsabilité en vertu du paragraphe 47.2 du </w:t>
            </w:r>
            <w:r w:rsidRPr="00197413">
              <w:rPr>
                <w:i/>
                <w:sz w:val="20"/>
                <w:lang w:val="fr-CA"/>
              </w:rPr>
              <w:t>Code du travail</w:t>
            </w:r>
            <w:r w:rsidRPr="00197413">
              <w:rPr>
                <w:sz w:val="20"/>
                <w:lang w:val="fr-CA"/>
              </w:rPr>
              <w:t>? — Le TAT a-t-il usurpé les pouvoirs de l’arbitre de grief en refusant de donner effet à cette conclusion de la sentence arbitrale et quelle est la norme de révision applicable en l’espèce?</w:t>
            </w:r>
          </w:p>
        </w:tc>
      </w:tr>
      <w:tr w:rsidR="00C91655" w:rsidRPr="00197413" w:rsidTr="00C91655">
        <w:tc>
          <w:tcPr>
            <w:tcW w:w="5000" w:type="pct"/>
            <w:gridSpan w:val="4"/>
          </w:tcPr>
          <w:p w:rsidR="00C91655" w:rsidRPr="00197413" w:rsidRDefault="00C91655" w:rsidP="00197413">
            <w:pPr>
              <w:jc w:val="both"/>
              <w:rPr>
                <w:sz w:val="20"/>
                <w:lang w:val="fr-CA"/>
              </w:rPr>
            </w:pPr>
          </w:p>
        </w:tc>
      </w:tr>
      <w:tr w:rsidR="00C91655" w:rsidRPr="00197413" w:rsidTr="00C91655">
        <w:tc>
          <w:tcPr>
            <w:tcW w:w="5000" w:type="pct"/>
            <w:gridSpan w:val="4"/>
          </w:tcPr>
          <w:p w:rsidR="00C91655" w:rsidRPr="00197413" w:rsidRDefault="00C91655" w:rsidP="00197413">
            <w:pPr>
              <w:jc w:val="both"/>
              <w:rPr>
                <w:sz w:val="20"/>
                <w:lang w:val="fr-CA"/>
              </w:rPr>
            </w:pPr>
            <w:r w:rsidRPr="00197413">
              <w:rPr>
                <w:sz w:val="20"/>
                <w:lang w:val="fr-CA"/>
              </w:rPr>
              <w:t xml:space="preserve">Suivant le dépôt d’un grief par l’intimé, le Syndicat de professionnelles et professionnels du gouvernement du Québec, pour contester le congédiement de Denis Gilbert, demandeur, l’arbitre rend une décision par laquelle il rétablit le lien d’emploi entre M. Gilbert et son employeur avec pleine compensation. L’arbitre se « réserve compétence pour trancher, à la demande d’une partie, toute difficulté relative à l’application de cette décision arbitrale, notamment quant aux sommes dues ». Une fois réintégré et suivant des échanges avec son syndicat, M. Gilbert dépose une plainte contre ce dernier, à qui il reproche d’avoir manqué à son devoir de représentation en refusant de saisir de nouveau l’arbitre pour qu’il statue sur des questions d’avancements d’échelon rétroactifs et de compensation financière (art. 47.2 du </w:t>
            </w:r>
            <w:r w:rsidRPr="00197413">
              <w:rPr>
                <w:i/>
                <w:sz w:val="20"/>
                <w:lang w:val="fr-CA"/>
              </w:rPr>
              <w:t>Code du travail</w:t>
            </w:r>
            <w:r w:rsidRPr="00197413">
              <w:rPr>
                <w:sz w:val="20"/>
                <w:lang w:val="fr-CA"/>
              </w:rPr>
              <w:t>).</w:t>
            </w:r>
          </w:p>
          <w:p w:rsidR="00C91655" w:rsidRPr="00197413" w:rsidRDefault="00C91655" w:rsidP="00197413">
            <w:pPr>
              <w:jc w:val="both"/>
              <w:rPr>
                <w:sz w:val="20"/>
                <w:lang w:val="fr-CA"/>
              </w:rPr>
            </w:pPr>
          </w:p>
          <w:p w:rsidR="00C91655" w:rsidRPr="00197413" w:rsidRDefault="00C91655" w:rsidP="00197413">
            <w:pPr>
              <w:jc w:val="both"/>
              <w:rPr>
                <w:sz w:val="20"/>
                <w:lang w:val="fr-CA"/>
              </w:rPr>
            </w:pPr>
            <w:r w:rsidRPr="00197413">
              <w:rPr>
                <w:sz w:val="20"/>
                <w:lang w:val="fr-CA"/>
              </w:rPr>
              <w:t xml:space="preserve">La Commission des relations du travail (maintenant le Tribunal administratif du travail) rejette la plainte. Elle conclut que la décision du syndicat de ne pas saisir l’arbitre était fondée sur une évaluation des chances de succès du dossier et que ce faisant, le syndicat n’a pas usurpé la fonction de l’arbitre en décidant de ne pas soumettre la réclamation. La Cour supérieure rejette la requête en révision judiciaire de M. Gilbert et la Cour d’appel rejette l’appel, concluant que le jugement de la Cour supérieure est exempt d’erreur. </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Le 7 décembre 2015</w:t>
            </w:r>
          </w:p>
          <w:p w:rsidR="00C91655" w:rsidRPr="00197413" w:rsidRDefault="00C91655" w:rsidP="00197413">
            <w:pPr>
              <w:jc w:val="both"/>
              <w:rPr>
                <w:sz w:val="20"/>
                <w:lang w:val="fr-CA"/>
              </w:rPr>
            </w:pPr>
            <w:r w:rsidRPr="00197413">
              <w:rPr>
                <w:sz w:val="20"/>
                <w:lang w:val="fr-CA"/>
              </w:rPr>
              <w:t>Commission des relations du travail</w:t>
            </w:r>
          </w:p>
          <w:p w:rsidR="00C91655" w:rsidRPr="00197413" w:rsidRDefault="00C91655" w:rsidP="00197413">
            <w:pPr>
              <w:jc w:val="both"/>
              <w:rPr>
                <w:sz w:val="20"/>
                <w:lang w:val="fr-CA"/>
              </w:rPr>
            </w:pPr>
            <w:r w:rsidRPr="00197413">
              <w:rPr>
                <w:sz w:val="20"/>
                <w:lang w:val="fr-CA"/>
              </w:rPr>
              <w:t>(Le juge administratif Drolet)</w:t>
            </w:r>
          </w:p>
          <w:p w:rsidR="00C91655" w:rsidRPr="00197413" w:rsidRDefault="00C91655" w:rsidP="00197413">
            <w:pPr>
              <w:jc w:val="both"/>
              <w:rPr>
                <w:sz w:val="20"/>
                <w:lang w:val="fr-CA"/>
              </w:rPr>
            </w:pPr>
            <w:hyperlink r:id="rId28" w:history="1">
              <w:r w:rsidRPr="00197413">
                <w:rPr>
                  <w:rStyle w:val="Hyperlink"/>
                  <w:sz w:val="20"/>
                  <w:lang w:val="fr-CA"/>
                </w:rPr>
                <w:t>2015 QCCRT 641</w:t>
              </w:r>
            </w:hyperlink>
          </w:p>
          <w:p w:rsidR="00C91655" w:rsidRPr="00197413" w:rsidRDefault="00C91655" w:rsidP="00197413">
            <w:pPr>
              <w:jc w:val="both"/>
              <w:rPr>
                <w:sz w:val="20"/>
                <w:lang w:val="fr-CA"/>
              </w:rPr>
            </w:pP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rPr>
            </w:pPr>
            <w:proofErr w:type="spellStart"/>
            <w:r w:rsidRPr="00197413">
              <w:rPr>
                <w:sz w:val="20"/>
              </w:rPr>
              <w:t>Plainte</w:t>
            </w:r>
            <w:proofErr w:type="spellEnd"/>
            <w:r w:rsidRPr="00197413">
              <w:rPr>
                <w:sz w:val="20"/>
              </w:rPr>
              <w:t xml:space="preserve"> rejetée</w:t>
            </w: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Le 24 octobre 2016</w:t>
            </w:r>
          </w:p>
          <w:p w:rsidR="00C91655" w:rsidRPr="00197413" w:rsidRDefault="00C91655" w:rsidP="00197413">
            <w:pPr>
              <w:jc w:val="both"/>
              <w:rPr>
                <w:sz w:val="20"/>
                <w:lang w:val="fr-CA"/>
              </w:rPr>
            </w:pPr>
            <w:r w:rsidRPr="00197413">
              <w:rPr>
                <w:sz w:val="20"/>
                <w:lang w:val="fr-CA"/>
              </w:rPr>
              <w:t>Cour supérieure du Québec</w:t>
            </w:r>
          </w:p>
          <w:p w:rsidR="00C91655" w:rsidRPr="00197413" w:rsidRDefault="00C91655" w:rsidP="00197413">
            <w:pPr>
              <w:jc w:val="both"/>
              <w:rPr>
                <w:sz w:val="20"/>
              </w:rPr>
            </w:pPr>
            <w:r w:rsidRPr="00197413">
              <w:rPr>
                <w:sz w:val="20"/>
              </w:rPr>
              <w:t xml:space="preserve">(Le juge </w:t>
            </w:r>
            <w:proofErr w:type="spellStart"/>
            <w:r w:rsidRPr="00197413">
              <w:rPr>
                <w:sz w:val="20"/>
              </w:rPr>
              <w:t>Banford</w:t>
            </w:r>
            <w:proofErr w:type="spellEnd"/>
            <w:r w:rsidRPr="00197413">
              <w:rPr>
                <w:sz w:val="20"/>
              </w:rPr>
              <w:t>)</w:t>
            </w:r>
          </w:p>
          <w:p w:rsidR="00C91655" w:rsidRPr="00197413" w:rsidRDefault="00C91655" w:rsidP="00197413">
            <w:pPr>
              <w:jc w:val="both"/>
              <w:rPr>
                <w:sz w:val="20"/>
              </w:rPr>
            </w:pPr>
            <w:hyperlink r:id="rId29" w:history="1">
              <w:r w:rsidRPr="00197413">
                <w:rPr>
                  <w:rStyle w:val="Hyperlink"/>
                  <w:sz w:val="20"/>
                </w:rPr>
                <w:t>2016 QCCS 5160</w:t>
              </w:r>
            </w:hyperlink>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Requête en révision judiciaire rejetée</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lastRenderedPageBreak/>
              <w:t>Le 13 avril 2018</w:t>
            </w:r>
          </w:p>
          <w:p w:rsidR="00C91655" w:rsidRPr="00197413" w:rsidRDefault="00C91655" w:rsidP="00197413">
            <w:pPr>
              <w:jc w:val="both"/>
              <w:rPr>
                <w:sz w:val="20"/>
                <w:lang w:val="fr-CA"/>
              </w:rPr>
            </w:pPr>
            <w:r w:rsidRPr="00197413">
              <w:rPr>
                <w:sz w:val="20"/>
                <w:lang w:val="fr-CA"/>
              </w:rPr>
              <w:t>Cour d’appel du Québec (Québec)</w:t>
            </w:r>
          </w:p>
          <w:p w:rsidR="00C91655" w:rsidRPr="00197413" w:rsidRDefault="00C91655" w:rsidP="00197413">
            <w:pPr>
              <w:jc w:val="both"/>
              <w:rPr>
                <w:sz w:val="20"/>
                <w:lang w:val="fr-CA"/>
              </w:rPr>
            </w:pPr>
            <w:r w:rsidRPr="00197413">
              <w:rPr>
                <w:sz w:val="20"/>
                <w:lang w:val="fr-CA"/>
              </w:rPr>
              <w:t xml:space="preserve">(Les juges </w:t>
            </w:r>
            <w:proofErr w:type="spellStart"/>
            <w:r w:rsidRPr="00197413">
              <w:rPr>
                <w:sz w:val="20"/>
                <w:lang w:val="fr-CA"/>
              </w:rPr>
              <w:t>Dutil</w:t>
            </w:r>
            <w:proofErr w:type="spellEnd"/>
            <w:r w:rsidRPr="00197413">
              <w:rPr>
                <w:sz w:val="20"/>
                <w:lang w:val="fr-CA"/>
              </w:rPr>
              <w:t xml:space="preserve">, </w:t>
            </w:r>
            <w:proofErr w:type="spellStart"/>
            <w:r w:rsidRPr="00197413">
              <w:rPr>
                <w:sz w:val="20"/>
                <w:lang w:val="fr-CA"/>
              </w:rPr>
              <w:t>Bich</w:t>
            </w:r>
            <w:proofErr w:type="spellEnd"/>
            <w:r w:rsidRPr="00197413">
              <w:rPr>
                <w:sz w:val="20"/>
                <w:lang w:val="fr-CA"/>
              </w:rPr>
              <w:t xml:space="preserve"> et Ruel)</w:t>
            </w:r>
          </w:p>
          <w:p w:rsidR="00C91655" w:rsidRPr="00197413" w:rsidRDefault="00C91655" w:rsidP="00197413">
            <w:pPr>
              <w:jc w:val="both"/>
              <w:rPr>
                <w:sz w:val="20"/>
              </w:rPr>
            </w:pPr>
            <w:hyperlink r:id="rId30" w:history="1">
              <w:r w:rsidRPr="00197413">
                <w:rPr>
                  <w:rStyle w:val="Hyperlink"/>
                  <w:sz w:val="20"/>
                </w:rPr>
                <w:t>2018 QCCA 593</w:t>
              </w:r>
            </w:hyperlink>
            <w:r w:rsidRPr="00197413">
              <w:rPr>
                <w:sz w:val="20"/>
              </w:rPr>
              <w:t xml:space="preserve"> (200-09-009398-162)</w:t>
            </w:r>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Appel rejeté; demande d’anonymisation  rejetée</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Le 7 juin 2018</w:t>
            </w:r>
          </w:p>
          <w:p w:rsidR="00C91655" w:rsidRPr="00197413" w:rsidRDefault="00C91655" w:rsidP="00197413">
            <w:pPr>
              <w:jc w:val="both"/>
              <w:rPr>
                <w:sz w:val="20"/>
                <w:lang w:val="fr-CA"/>
              </w:rPr>
            </w:pPr>
            <w:r w:rsidRPr="00197413">
              <w:rPr>
                <w:sz w:val="20"/>
                <w:lang w:val="fr-CA"/>
              </w:rPr>
              <w:t>Cour suprême du Canada</w:t>
            </w: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rPr>
            </w:pPr>
            <w:r w:rsidRPr="00197413">
              <w:rPr>
                <w:sz w:val="20"/>
              </w:rPr>
              <w:t xml:space="preserve">Demande d’autorisation d’appel </w:t>
            </w:r>
            <w:proofErr w:type="spellStart"/>
            <w:r w:rsidRPr="00197413">
              <w:rPr>
                <w:sz w:val="20"/>
              </w:rPr>
              <w:t>déposée</w:t>
            </w:r>
            <w:proofErr w:type="spellEnd"/>
          </w:p>
          <w:p w:rsidR="00C91655" w:rsidRPr="00197413" w:rsidRDefault="00C91655" w:rsidP="00197413">
            <w:pPr>
              <w:jc w:val="both"/>
              <w:rPr>
                <w:sz w:val="20"/>
              </w:rPr>
            </w:pPr>
          </w:p>
        </w:tc>
      </w:tr>
    </w:tbl>
    <w:p w:rsidR="00C91655" w:rsidRDefault="00C91655" w:rsidP="00197413">
      <w:pPr>
        <w:jc w:val="both"/>
        <w:rPr>
          <w:sz w:val="20"/>
        </w:rPr>
      </w:pPr>
    </w:p>
    <w:p w:rsidR="003303C3" w:rsidRPr="00197413" w:rsidRDefault="003303C3" w:rsidP="00197413">
      <w:pPr>
        <w:jc w:val="both"/>
        <w:rPr>
          <w:sz w:val="20"/>
        </w:rPr>
      </w:pPr>
      <w:r>
        <w:rPr>
          <w:sz w:val="20"/>
        </w:rPr>
        <w:pict>
          <v:rect id="_x0000_i1030" style="width:2in;height:1pt" o:hrpct="0" o:hralign="center" o:hrstd="t" o:hrnoshade="t" o:hr="t" fillcolor="black [3213]" stroked="f"/>
        </w:pict>
      </w:r>
    </w:p>
    <w:p w:rsidR="00AE7EB1" w:rsidRPr="00197413" w:rsidRDefault="00AE7EB1" w:rsidP="0019741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rPr>
            </w:pPr>
            <w:r w:rsidRPr="00197413">
              <w:rPr>
                <w:rStyle w:val="SCCFileNumberChar"/>
                <w:sz w:val="20"/>
                <w:szCs w:val="20"/>
              </w:rPr>
              <w:t>38171</w:t>
            </w:r>
          </w:p>
        </w:tc>
        <w:tc>
          <w:tcPr>
            <w:tcW w:w="4457" w:type="pct"/>
            <w:gridSpan w:val="3"/>
          </w:tcPr>
          <w:p w:rsidR="00C91655" w:rsidRPr="003303C3" w:rsidRDefault="00C91655" w:rsidP="00197413">
            <w:pPr>
              <w:pStyle w:val="SCCLsocParty"/>
              <w:jc w:val="both"/>
              <w:rPr>
                <w:b/>
                <w:sz w:val="20"/>
                <w:szCs w:val="20"/>
                <w:lang w:val="en-US"/>
              </w:rPr>
            </w:pPr>
            <w:r w:rsidRPr="003303C3">
              <w:rPr>
                <w:b/>
                <w:sz w:val="20"/>
                <w:szCs w:val="20"/>
                <w:lang w:val="en-US"/>
              </w:rPr>
              <w:t>CI Investments Inc., AIC Global Holdings v. Claude Ravary</w:t>
            </w:r>
          </w:p>
          <w:p w:rsidR="00C91655" w:rsidRPr="00197413" w:rsidRDefault="00C91655" w:rsidP="00197413">
            <w:pPr>
              <w:jc w:val="both"/>
              <w:rPr>
                <w:sz w:val="20"/>
              </w:rPr>
            </w:pPr>
            <w:r w:rsidRPr="00197413">
              <w:rPr>
                <w:sz w:val="20"/>
              </w:rPr>
              <w:t>(Que.) (Civil) (By Leave)</w:t>
            </w:r>
          </w:p>
        </w:tc>
      </w:tr>
      <w:tr w:rsidR="00C91655" w:rsidRPr="00197413" w:rsidTr="00C91655">
        <w:tc>
          <w:tcPr>
            <w:tcW w:w="5000" w:type="pct"/>
            <w:gridSpan w:val="4"/>
          </w:tcPr>
          <w:p w:rsidR="00C91655" w:rsidRPr="00197413" w:rsidRDefault="00C91655" w:rsidP="00197413">
            <w:pPr>
              <w:jc w:val="both"/>
              <w:rPr>
                <w:sz w:val="20"/>
                <w:lang w:val="en"/>
              </w:rPr>
            </w:pPr>
            <w:r w:rsidRPr="00197413">
              <w:rPr>
                <w:sz w:val="20"/>
              </w:rPr>
              <w:t xml:space="preserve">Civil procedure — Class actions — Jurisdiction of the Court of Appeal — Production and discovery orders — Judgments rendered in the course of a proceeding — Case management measures — In an era of increased case management designed to advance cases more efficiently, what is the role of an appellate court in reviewing the pre-trial production and discovery orders of a judge charged with the case management of a complex multi-jurisdictional class action? — </w:t>
            </w:r>
            <w:r w:rsidRPr="00197413">
              <w:rPr>
                <w:i/>
                <w:sz w:val="20"/>
                <w:lang w:val="en"/>
              </w:rPr>
              <w:t>Code of Civil Procedure</w:t>
            </w:r>
            <w:r w:rsidRPr="00197413">
              <w:rPr>
                <w:sz w:val="20"/>
                <w:lang w:val="en"/>
              </w:rPr>
              <w:t>, CQLR c. C-25.01, art. 31, 32.</w:t>
            </w:r>
          </w:p>
          <w:p w:rsidR="00C91655" w:rsidRPr="00197413" w:rsidRDefault="00C91655" w:rsidP="00197413">
            <w:pPr>
              <w:jc w:val="both"/>
              <w:rPr>
                <w:sz w:val="20"/>
              </w:rPr>
            </w:pPr>
          </w:p>
        </w:tc>
      </w:tr>
      <w:tr w:rsidR="00C91655" w:rsidRPr="00197413" w:rsidTr="00C91655">
        <w:tc>
          <w:tcPr>
            <w:tcW w:w="5000" w:type="pct"/>
            <w:gridSpan w:val="4"/>
          </w:tcPr>
          <w:p w:rsidR="00C91655" w:rsidRPr="00197413" w:rsidRDefault="00C91655" w:rsidP="00197413">
            <w:pPr>
              <w:jc w:val="both"/>
              <w:rPr>
                <w:sz w:val="20"/>
              </w:rPr>
            </w:pPr>
            <w:r w:rsidRPr="00197413">
              <w:rPr>
                <w:sz w:val="20"/>
              </w:rPr>
              <w:t xml:space="preserve">In 2010, a class action against the applicants, mutual fund management corporations (“fund managers”), was authorized. The respondent, Claude Ravary, represents a class of plaintiffs who fault the fund managers for not having put measures in place to prevent the practice of market timing. More specifically, they allege that the return on their long-term investments was diluted by the high number of short-term trades. Subsequent to a court order (“framework judgment”) limiting the scope of the action to certain trades, and following disclosure by the fund managers of some transaction information, Mr. Ravary was able to determine which specific client accounts had an abnormally high level of repeated short-term trades. However, he could not establish the fund managers’ liability because, among other things, the specific trades that had a negative impact on the performance of the class members’ units could not be identified. As a result, Mr.  Ravary sought to obtain further disclosure, namely all the trades for certain identified accounts for the period contemplated in the framework judgment. In his view, the trades made in these accounts would prove the exact circumstances of the market timing, including the actual investment models and patterns of the abnormally active investors and the concrete impact of the trading on the value of the units owned by the class members. The Superior Court refused to order the disclosure of the financial information. The Court of Appeal reversed that decision. In coming to this conclusion, the Court of Appeal discussed the difference between </w:t>
            </w:r>
            <w:proofErr w:type="gramStart"/>
            <w:r w:rsidRPr="00197413">
              <w:rPr>
                <w:sz w:val="20"/>
              </w:rPr>
              <w:t>art</w:t>
            </w:r>
            <w:proofErr w:type="gramEnd"/>
            <w:r w:rsidRPr="00197413">
              <w:rPr>
                <w:sz w:val="20"/>
              </w:rPr>
              <w:t xml:space="preserve">. 31 and 32 of the </w:t>
            </w:r>
            <w:r w:rsidRPr="00197413">
              <w:rPr>
                <w:i/>
                <w:sz w:val="20"/>
              </w:rPr>
              <w:t>Code of Civil Procedure</w:t>
            </w:r>
            <w:r w:rsidRPr="00197413">
              <w:rPr>
                <w:sz w:val="20"/>
              </w:rPr>
              <w:t>.</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June 22, 2017</w:t>
            </w:r>
          </w:p>
          <w:p w:rsidR="00C91655" w:rsidRPr="00197413" w:rsidRDefault="00C91655" w:rsidP="00197413">
            <w:pPr>
              <w:jc w:val="both"/>
              <w:rPr>
                <w:sz w:val="20"/>
              </w:rPr>
            </w:pPr>
            <w:r w:rsidRPr="00197413">
              <w:rPr>
                <w:sz w:val="20"/>
              </w:rPr>
              <w:t>Superior Court of Quebec</w:t>
            </w:r>
          </w:p>
          <w:p w:rsidR="00C91655" w:rsidRPr="00197413" w:rsidRDefault="00C91655" w:rsidP="00197413">
            <w:pPr>
              <w:jc w:val="both"/>
              <w:rPr>
                <w:sz w:val="20"/>
              </w:rPr>
            </w:pPr>
            <w:r w:rsidRPr="00197413">
              <w:rPr>
                <w:sz w:val="20"/>
              </w:rPr>
              <w:t>(</w:t>
            </w:r>
            <w:proofErr w:type="spellStart"/>
            <w:r w:rsidRPr="00197413">
              <w:rPr>
                <w:sz w:val="20"/>
              </w:rPr>
              <w:t>Gouin</w:t>
            </w:r>
            <w:proofErr w:type="spellEnd"/>
            <w:r w:rsidRPr="00197413">
              <w:rPr>
                <w:sz w:val="20"/>
              </w:rPr>
              <w:t xml:space="preserve"> J.)</w:t>
            </w: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w:t>
            </w:r>
            <w:proofErr w:type="spellStart"/>
            <w:r w:rsidRPr="00197413">
              <w:rPr>
                <w:sz w:val="20"/>
                <w:lang w:val="en"/>
              </w:rPr>
              <w:t>pplication</w:t>
            </w:r>
            <w:proofErr w:type="spellEnd"/>
            <w:r w:rsidRPr="00197413">
              <w:rPr>
                <w:i/>
                <w:iCs/>
                <w:sz w:val="20"/>
                <w:lang w:val="en"/>
              </w:rPr>
              <w:t xml:space="preserve"> de bene </w:t>
            </w:r>
            <w:proofErr w:type="spellStart"/>
            <w:r w:rsidRPr="00197413">
              <w:rPr>
                <w:i/>
                <w:iCs/>
                <w:sz w:val="20"/>
                <w:lang w:val="en"/>
              </w:rPr>
              <w:t>esse</w:t>
            </w:r>
            <w:proofErr w:type="spellEnd"/>
            <w:r w:rsidRPr="00197413">
              <w:rPr>
                <w:sz w:val="20"/>
                <w:lang w:val="en"/>
              </w:rPr>
              <w:t xml:space="preserve"> seeking, </w:t>
            </w:r>
            <w:r w:rsidRPr="00197413">
              <w:rPr>
                <w:i/>
                <w:iCs/>
                <w:sz w:val="20"/>
                <w:lang w:val="en"/>
              </w:rPr>
              <w:t>inter alia</w:t>
            </w:r>
            <w:r w:rsidRPr="00197413">
              <w:rPr>
                <w:sz w:val="20"/>
                <w:lang w:val="en"/>
              </w:rPr>
              <w:t xml:space="preserve"> to obtain disclosure of various financial documents dismissed</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April 16, 2018</w:t>
            </w:r>
          </w:p>
          <w:p w:rsidR="00C91655" w:rsidRPr="00197413" w:rsidRDefault="00C91655" w:rsidP="00197413">
            <w:pPr>
              <w:jc w:val="both"/>
              <w:rPr>
                <w:sz w:val="20"/>
              </w:rPr>
            </w:pPr>
            <w:r w:rsidRPr="00197413">
              <w:rPr>
                <w:sz w:val="20"/>
              </w:rPr>
              <w:t>Court of Appeal of Quebec (Montréal)</w:t>
            </w:r>
          </w:p>
          <w:p w:rsidR="00C91655" w:rsidRPr="00197413" w:rsidRDefault="00C91655" w:rsidP="00197413">
            <w:pPr>
              <w:jc w:val="both"/>
              <w:rPr>
                <w:sz w:val="20"/>
              </w:rPr>
            </w:pPr>
            <w:r w:rsidRPr="00197413">
              <w:rPr>
                <w:sz w:val="20"/>
              </w:rPr>
              <w:t>(Healy, Cohen and Thibault JJ.A.)</w:t>
            </w:r>
          </w:p>
          <w:p w:rsidR="00C91655" w:rsidRPr="00197413" w:rsidRDefault="00C91655" w:rsidP="00197413">
            <w:pPr>
              <w:jc w:val="both"/>
              <w:rPr>
                <w:rStyle w:val="Hyperlink"/>
                <w:sz w:val="20"/>
              </w:rPr>
            </w:pPr>
            <w:hyperlink r:id="rId31" w:history="1">
              <w:r w:rsidRPr="00197413">
                <w:rPr>
                  <w:rStyle w:val="Hyperlink"/>
                  <w:sz w:val="20"/>
                </w:rPr>
                <w:t>2018 QCCA 606</w:t>
              </w:r>
            </w:hyperlink>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Appeal allowed</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June 15, 2018</w:t>
            </w:r>
          </w:p>
          <w:p w:rsidR="00C91655" w:rsidRPr="00197413" w:rsidRDefault="00C91655" w:rsidP="00197413">
            <w:pPr>
              <w:jc w:val="both"/>
              <w:rPr>
                <w:sz w:val="20"/>
              </w:rPr>
            </w:pPr>
            <w:r w:rsidRPr="00197413">
              <w:rPr>
                <w:sz w:val="20"/>
              </w:rPr>
              <w:t>Supreme Court of Canada</w:t>
            </w: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Application for leave to appeal filed</w:t>
            </w:r>
          </w:p>
          <w:p w:rsidR="00C91655" w:rsidRPr="00197413" w:rsidRDefault="00C91655" w:rsidP="00197413">
            <w:pPr>
              <w:jc w:val="both"/>
              <w:rPr>
                <w:sz w:val="20"/>
              </w:rPr>
            </w:pPr>
          </w:p>
        </w:tc>
      </w:tr>
    </w:tbl>
    <w:p w:rsidR="00C91655" w:rsidRDefault="00C91655" w:rsidP="00197413">
      <w:pPr>
        <w:jc w:val="both"/>
        <w:rPr>
          <w:sz w:val="20"/>
        </w:rPr>
      </w:pPr>
    </w:p>
    <w:p w:rsidR="003303C3" w:rsidRDefault="003303C3" w:rsidP="00197413">
      <w:pPr>
        <w:jc w:val="both"/>
        <w:rPr>
          <w:sz w:val="20"/>
        </w:rPr>
      </w:pPr>
      <w:r>
        <w:rPr>
          <w:sz w:val="20"/>
        </w:rPr>
        <w:pict>
          <v:rect id="_x0000_i1031" style="width:2in;height:1pt" o:hrpct="0" o:hralign="center" o:hrstd="t" o:hrnoshade="t" o:hr="t" fillcolor="black [3213]" stroked="f"/>
        </w:pict>
      </w:r>
    </w:p>
    <w:p w:rsidR="003303C3" w:rsidRPr="00197413" w:rsidRDefault="003303C3" w:rsidP="0019741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lang w:val="fr-CA"/>
              </w:rPr>
            </w:pPr>
            <w:r w:rsidRPr="00197413">
              <w:rPr>
                <w:rStyle w:val="SCCFileNumberChar"/>
                <w:sz w:val="20"/>
                <w:szCs w:val="20"/>
                <w:lang w:val="fr-CA"/>
              </w:rPr>
              <w:t>38171</w:t>
            </w:r>
          </w:p>
        </w:tc>
        <w:tc>
          <w:tcPr>
            <w:tcW w:w="4457" w:type="pct"/>
            <w:gridSpan w:val="3"/>
          </w:tcPr>
          <w:p w:rsidR="00C91655" w:rsidRPr="003303C3" w:rsidRDefault="00C91655" w:rsidP="00197413">
            <w:pPr>
              <w:pStyle w:val="SCCLsocParty"/>
              <w:jc w:val="both"/>
              <w:rPr>
                <w:b/>
                <w:sz w:val="20"/>
                <w:szCs w:val="20"/>
                <w:lang w:val="en-US"/>
              </w:rPr>
            </w:pPr>
            <w:r w:rsidRPr="003303C3">
              <w:rPr>
                <w:b/>
                <w:sz w:val="20"/>
                <w:szCs w:val="20"/>
                <w:lang w:val="en-US"/>
              </w:rPr>
              <w:t>CI Investments Inc., AIC Global Holdings c. Claude Ravary</w:t>
            </w:r>
          </w:p>
          <w:p w:rsidR="00C91655" w:rsidRPr="00197413" w:rsidRDefault="00C91655" w:rsidP="00370AF0">
            <w:pPr>
              <w:jc w:val="both"/>
              <w:rPr>
                <w:sz w:val="20"/>
                <w:lang w:val="fr-CA"/>
              </w:rPr>
            </w:pPr>
            <w:r w:rsidRPr="00197413">
              <w:rPr>
                <w:sz w:val="20"/>
                <w:lang w:val="fr-CA"/>
              </w:rPr>
              <w:t>(Q</w:t>
            </w:r>
            <w:r w:rsidR="00370AF0">
              <w:rPr>
                <w:sz w:val="20"/>
                <w:lang w:val="fr-CA"/>
              </w:rPr>
              <w:t>c</w:t>
            </w:r>
            <w:bookmarkStart w:id="0" w:name="_GoBack"/>
            <w:bookmarkEnd w:id="0"/>
            <w:r w:rsidRPr="00197413">
              <w:rPr>
                <w:sz w:val="20"/>
                <w:lang w:val="fr-CA"/>
              </w:rPr>
              <w:t>) (Civile) (Autorisation)</w:t>
            </w:r>
          </w:p>
        </w:tc>
      </w:tr>
      <w:tr w:rsidR="00C91655" w:rsidRPr="003303C3" w:rsidTr="00C91655">
        <w:tc>
          <w:tcPr>
            <w:tcW w:w="5000" w:type="pct"/>
            <w:gridSpan w:val="4"/>
          </w:tcPr>
          <w:p w:rsidR="00C91655" w:rsidRPr="00197413" w:rsidRDefault="00C91655" w:rsidP="00197413">
            <w:pPr>
              <w:jc w:val="both"/>
              <w:rPr>
                <w:sz w:val="20"/>
                <w:lang w:val="fr-CA"/>
              </w:rPr>
            </w:pPr>
            <w:r w:rsidRPr="00197413">
              <w:rPr>
                <w:sz w:val="20"/>
                <w:lang w:val="fr-CA"/>
              </w:rPr>
              <w:t xml:space="preserve">Procédure civile — Recours collectifs — Compétence de la Cour d’appel — Ordonnances de production et de communication de la preuve — Jugements rendus en cours d’instance — Mesures de gestion de l’instance — À une époque où la gestion des instances s’accroît pour instruire les causes de façon plus efficiente, quel est le rôle d’une </w:t>
            </w:r>
            <w:r w:rsidRPr="00197413">
              <w:rPr>
                <w:sz w:val="20"/>
                <w:lang w:val="fr-CA"/>
              </w:rPr>
              <w:lastRenderedPageBreak/>
              <w:t xml:space="preserve">cour d’appel dans la révision d’ordonnances préalables de production et de communication de la preuve rendues par un juge chargé de la gestion d’instance d’un recours collectif complexe touchant plusieurs ressorts? — </w:t>
            </w:r>
            <w:r w:rsidRPr="00197413">
              <w:rPr>
                <w:i/>
                <w:sz w:val="20"/>
                <w:lang w:val="fr-CA"/>
              </w:rPr>
              <w:t>Code de procédure civile</w:t>
            </w:r>
            <w:r w:rsidRPr="00197413">
              <w:rPr>
                <w:sz w:val="20"/>
                <w:lang w:val="fr-CA"/>
              </w:rPr>
              <w:t>, RLRQ ch. C-25.01, art. 31, 32.</w:t>
            </w:r>
          </w:p>
          <w:p w:rsidR="00C91655" w:rsidRPr="00197413" w:rsidRDefault="00C91655" w:rsidP="00197413">
            <w:pPr>
              <w:jc w:val="both"/>
              <w:rPr>
                <w:sz w:val="20"/>
                <w:lang w:val="fr-CA"/>
              </w:rPr>
            </w:pPr>
          </w:p>
        </w:tc>
      </w:tr>
      <w:tr w:rsidR="00C91655" w:rsidRPr="00197413" w:rsidTr="00C91655">
        <w:tc>
          <w:tcPr>
            <w:tcW w:w="5000" w:type="pct"/>
            <w:gridSpan w:val="4"/>
          </w:tcPr>
          <w:p w:rsidR="00C91655" w:rsidRPr="00197413" w:rsidRDefault="00C91655" w:rsidP="00197413">
            <w:pPr>
              <w:jc w:val="both"/>
              <w:rPr>
                <w:sz w:val="20"/>
                <w:lang w:val="fr-CA"/>
              </w:rPr>
            </w:pPr>
            <w:r w:rsidRPr="00197413">
              <w:rPr>
                <w:sz w:val="20"/>
                <w:lang w:val="fr-CA"/>
              </w:rPr>
              <w:lastRenderedPageBreak/>
              <w:t xml:space="preserve">En 2010, un recours collectif contre les demanderesses, des sociétés de gestion de fonds de placement (les « gestionnaires de fonds »), a été autorisé. L’intimé, Claude Ravary, représente un groupe de demandeurs qui reprochent aux gestionnaires de fonds de ne pas avoir mis en place des mesures pour empêcher la pratique de synchronisation des marchés. Plus particulièrement, ils allèguent que le rendement de leurs placements à long terme a été dilué par le nombre élevé d’opérations à court terme. À la suite d’une ordonnance du tribunal (le « jugement cadre ») limitant la portée de l’action à certaines opérations et suivant la communication, par les gestionnaires de fonds, de certains renseignements sur les opérations, M. Ravary a pu déterminer quels comptes clients en particulier comportaient un niveau anormalement élevé d’opérations à court terme répétées. Toutefois, il ne pouvait établir la responsabilité des gestionnaires de fonds parce que, entre autres, les opérations particulières qui avaient eu une incidence négative sur le rendement des unités des membres du groupe ne pouvaient pas être identifiées. En conséquence, M.  Ravary a demandé la communication d’autres éléments de preuve, à savoir toutes les opérations relatives à certains comptes identifiés pour la période visée dans le jugement </w:t>
            </w:r>
            <w:proofErr w:type="gramStart"/>
            <w:r w:rsidRPr="00197413">
              <w:rPr>
                <w:sz w:val="20"/>
                <w:lang w:val="fr-CA"/>
              </w:rPr>
              <w:t>cadre</w:t>
            </w:r>
            <w:proofErr w:type="gramEnd"/>
            <w:r w:rsidRPr="00197413">
              <w:rPr>
                <w:sz w:val="20"/>
                <w:lang w:val="fr-CA"/>
              </w:rPr>
              <w:t xml:space="preserve">. À son avis, les opérations effectuées dans ces comptes prouveraient les circonstances exactes de la synchronisation des marchés, y compris les modèles et les comportements d’investissement réels des investisseurs anormalement actifs et l’incidence concrète des opérations sur la valeur des unités appartenant aux membres du groupe. La Cour supérieure a refusé d’ordonner la communication de l’information financière. La Cour d’appel a infirmé cette décision. En arrivant à cette conclusion, la Cour d’appel a discuté la différence entre </w:t>
            </w:r>
            <w:proofErr w:type="gramStart"/>
            <w:r w:rsidRPr="00197413">
              <w:rPr>
                <w:sz w:val="20"/>
                <w:lang w:val="fr-CA"/>
              </w:rPr>
              <w:t>les art</w:t>
            </w:r>
            <w:proofErr w:type="gramEnd"/>
            <w:r w:rsidRPr="00197413">
              <w:rPr>
                <w:sz w:val="20"/>
                <w:lang w:val="fr-CA"/>
              </w:rPr>
              <w:t xml:space="preserve">. 31 et 32 du </w:t>
            </w:r>
            <w:r w:rsidRPr="00197413">
              <w:rPr>
                <w:i/>
                <w:sz w:val="20"/>
                <w:lang w:val="fr-CA"/>
              </w:rPr>
              <w:t>Code de procédure civile</w:t>
            </w:r>
            <w:r w:rsidRPr="00197413">
              <w:rPr>
                <w:sz w:val="20"/>
                <w:lang w:val="fr-CA"/>
              </w:rPr>
              <w:t>.</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22 juin 2017</w:t>
            </w:r>
          </w:p>
          <w:p w:rsidR="00C91655" w:rsidRPr="00197413" w:rsidRDefault="00C91655" w:rsidP="00197413">
            <w:pPr>
              <w:jc w:val="both"/>
              <w:rPr>
                <w:sz w:val="20"/>
                <w:lang w:val="fr-CA"/>
              </w:rPr>
            </w:pPr>
            <w:r w:rsidRPr="00197413">
              <w:rPr>
                <w:sz w:val="20"/>
                <w:lang w:val="fr-CA"/>
              </w:rPr>
              <w:t>Cour supérieure du Québec</w:t>
            </w:r>
          </w:p>
          <w:p w:rsidR="00C91655" w:rsidRPr="00197413" w:rsidRDefault="00C91655" w:rsidP="00197413">
            <w:pPr>
              <w:jc w:val="both"/>
              <w:rPr>
                <w:sz w:val="20"/>
                <w:lang w:val="fr-CA"/>
              </w:rPr>
            </w:pPr>
            <w:r w:rsidRPr="00197413">
              <w:rPr>
                <w:sz w:val="20"/>
                <w:lang w:val="fr-CA"/>
              </w:rPr>
              <w:t>(Juge Gouin)</w:t>
            </w: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Rejet de la demande</w:t>
            </w:r>
            <w:r w:rsidRPr="00197413">
              <w:rPr>
                <w:i/>
                <w:iCs/>
                <w:sz w:val="20"/>
                <w:lang w:val="fr-CA"/>
              </w:rPr>
              <w:t xml:space="preserve"> de bene esse</w:t>
            </w:r>
            <w:r w:rsidRPr="00197413">
              <w:rPr>
                <w:sz w:val="20"/>
                <w:lang w:val="fr-CA"/>
              </w:rPr>
              <w:t xml:space="preserve"> sollicitant notamment la communication de certains documents financiers</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16 avril 2018</w:t>
            </w:r>
          </w:p>
          <w:p w:rsidR="00C91655" w:rsidRPr="00197413" w:rsidRDefault="00C91655" w:rsidP="00197413">
            <w:pPr>
              <w:jc w:val="both"/>
              <w:rPr>
                <w:sz w:val="20"/>
                <w:lang w:val="fr-CA"/>
              </w:rPr>
            </w:pPr>
            <w:r w:rsidRPr="00197413">
              <w:rPr>
                <w:sz w:val="20"/>
                <w:lang w:val="fr-CA"/>
              </w:rPr>
              <w:t>Cour d’appel du Québec (Montréal)</w:t>
            </w:r>
          </w:p>
          <w:p w:rsidR="00C91655" w:rsidRPr="00197413" w:rsidRDefault="00C91655" w:rsidP="00197413">
            <w:pPr>
              <w:jc w:val="both"/>
              <w:rPr>
                <w:sz w:val="20"/>
                <w:lang w:val="fr-CA"/>
              </w:rPr>
            </w:pPr>
            <w:r w:rsidRPr="00197413">
              <w:rPr>
                <w:sz w:val="20"/>
                <w:lang w:val="fr-CA"/>
              </w:rPr>
              <w:t>(Juges Healy, Cohen et Thibault)</w:t>
            </w:r>
          </w:p>
          <w:p w:rsidR="00C91655" w:rsidRPr="00197413" w:rsidRDefault="00C91655" w:rsidP="00197413">
            <w:pPr>
              <w:jc w:val="both"/>
              <w:rPr>
                <w:rStyle w:val="Hyperlink"/>
                <w:sz w:val="20"/>
                <w:lang w:val="fr-CA"/>
              </w:rPr>
            </w:pPr>
            <w:hyperlink r:id="rId32" w:history="1">
              <w:r w:rsidRPr="00197413">
                <w:rPr>
                  <w:rStyle w:val="Hyperlink"/>
                  <w:sz w:val="20"/>
                  <w:lang w:val="fr-CA"/>
                </w:rPr>
                <w:t>2018 QCCA 606</w:t>
              </w:r>
            </w:hyperlink>
          </w:p>
          <w:p w:rsidR="00C91655" w:rsidRPr="00197413" w:rsidRDefault="00C91655" w:rsidP="00197413">
            <w:pPr>
              <w:jc w:val="both"/>
              <w:rPr>
                <w:sz w:val="20"/>
                <w:lang w:val="fr-CA"/>
              </w:rPr>
            </w:pP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Arrêt accueillant l’appel</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15 juin 2018</w:t>
            </w:r>
          </w:p>
          <w:p w:rsidR="00C91655" w:rsidRPr="00197413" w:rsidRDefault="00C91655" w:rsidP="00197413">
            <w:pPr>
              <w:jc w:val="both"/>
              <w:rPr>
                <w:sz w:val="20"/>
                <w:lang w:val="fr-CA"/>
              </w:rPr>
            </w:pPr>
            <w:r w:rsidRPr="00197413">
              <w:rPr>
                <w:sz w:val="20"/>
                <w:lang w:val="fr-CA"/>
              </w:rPr>
              <w:t>Cour suprême du Canada</w:t>
            </w: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Dépôt de la demande d’autorisation d’appel</w:t>
            </w:r>
          </w:p>
          <w:p w:rsidR="00C91655" w:rsidRPr="00197413" w:rsidRDefault="00C91655" w:rsidP="00197413">
            <w:pPr>
              <w:jc w:val="both"/>
              <w:rPr>
                <w:sz w:val="20"/>
                <w:lang w:val="fr-CA"/>
              </w:rPr>
            </w:pPr>
          </w:p>
        </w:tc>
      </w:tr>
    </w:tbl>
    <w:p w:rsidR="00C91655" w:rsidRDefault="00C91655" w:rsidP="00197413">
      <w:pPr>
        <w:jc w:val="both"/>
        <w:rPr>
          <w:sz w:val="20"/>
          <w:lang w:val="fr-CA"/>
        </w:rPr>
      </w:pPr>
    </w:p>
    <w:p w:rsidR="003303C3" w:rsidRPr="00197413" w:rsidRDefault="003303C3" w:rsidP="00197413">
      <w:pPr>
        <w:jc w:val="both"/>
        <w:rPr>
          <w:sz w:val="20"/>
          <w:lang w:val="fr-CA"/>
        </w:rPr>
      </w:pPr>
      <w:r>
        <w:rPr>
          <w:sz w:val="20"/>
        </w:rPr>
        <w:pict>
          <v:rect id="_x0000_i1032" style="width:2in;height:1pt" o:hrpct="0" o:hralign="center" o:hrstd="t" o:hrnoshade="t" o:hr="t" fillcolor="black [3213]" stroked="f"/>
        </w:pict>
      </w:r>
    </w:p>
    <w:p w:rsidR="00AE7EB1" w:rsidRPr="00197413" w:rsidRDefault="00AE7EB1" w:rsidP="0019741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rPr>
            </w:pPr>
            <w:r w:rsidRPr="00197413">
              <w:rPr>
                <w:rStyle w:val="SCCFileNumberChar"/>
                <w:sz w:val="20"/>
                <w:szCs w:val="20"/>
              </w:rPr>
              <w:t>38282</w:t>
            </w:r>
          </w:p>
        </w:tc>
        <w:tc>
          <w:tcPr>
            <w:tcW w:w="4457" w:type="pct"/>
            <w:gridSpan w:val="3"/>
          </w:tcPr>
          <w:p w:rsidR="00C91655" w:rsidRPr="003303C3" w:rsidRDefault="00C91655" w:rsidP="00197413">
            <w:pPr>
              <w:pStyle w:val="SCCLsocParty"/>
              <w:jc w:val="both"/>
              <w:rPr>
                <w:b/>
                <w:sz w:val="20"/>
                <w:szCs w:val="20"/>
                <w:lang w:val="en-US"/>
              </w:rPr>
            </w:pPr>
            <w:r w:rsidRPr="003303C3">
              <w:rPr>
                <w:b/>
                <w:sz w:val="20"/>
                <w:szCs w:val="20"/>
                <w:lang w:val="en-US"/>
              </w:rPr>
              <w:t>Fraser Hillary's Limited v. Eddy Huang, David Hillary</w:t>
            </w:r>
          </w:p>
          <w:p w:rsidR="00C91655" w:rsidRPr="00197413" w:rsidRDefault="00C91655" w:rsidP="003303C3">
            <w:pPr>
              <w:jc w:val="both"/>
              <w:rPr>
                <w:sz w:val="20"/>
              </w:rPr>
            </w:pPr>
            <w:r w:rsidRPr="00197413">
              <w:rPr>
                <w:sz w:val="20"/>
              </w:rPr>
              <w:t>(Ont.) (Civil) (By Leave)</w:t>
            </w:r>
          </w:p>
        </w:tc>
      </w:tr>
      <w:tr w:rsidR="00C91655" w:rsidRPr="00197413" w:rsidTr="00C91655">
        <w:tc>
          <w:tcPr>
            <w:tcW w:w="5000" w:type="pct"/>
            <w:gridSpan w:val="4"/>
          </w:tcPr>
          <w:p w:rsidR="00C91655" w:rsidRPr="00197413" w:rsidRDefault="00C91655" w:rsidP="00197413">
            <w:pPr>
              <w:jc w:val="both"/>
              <w:rPr>
                <w:sz w:val="20"/>
              </w:rPr>
            </w:pPr>
            <w:r w:rsidRPr="00197413">
              <w:rPr>
                <w:sz w:val="20"/>
              </w:rPr>
              <w:t xml:space="preserve">Torts — Nuisance — </w:t>
            </w:r>
            <w:r w:rsidRPr="00197413">
              <w:rPr>
                <w:color w:val="151515"/>
                <w:sz w:val="20"/>
              </w:rPr>
              <w:t xml:space="preserve">Liability under s. 99 of </w:t>
            </w:r>
            <w:r w:rsidRPr="00197413">
              <w:rPr>
                <w:i/>
                <w:iCs/>
                <w:color w:val="151515"/>
                <w:sz w:val="20"/>
              </w:rPr>
              <w:t>Environmental Protection Act</w:t>
            </w:r>
            <w:r w:rsidRPr="00197413">
              <w:rPr>
                <w:i/>
                <w:iCs/>
                <w:color w:val="2F2F2F"/>
                <w:sz w:val="20"/>
              </w:rPr>
              <w:t xml:space="preserve">, </w:t>
            </w:r>
            <w:r w:rsidRPr="00197413">
              <w:rPr>
                <w:color w:val="151515"/>
                <w:sz w:val="20"/>
              </w:rPr>
              <w:t>R</w:t>
            </w:r>
            <w:r w:rsidRPr="00197413">
              <w:rPr>
                <w:color w:val="2F2F2F"/>
                <w:sz w:val="20"/>
              </w:rPr>
              <w:t>.</w:t>
            </w:r>
            <w:r w:rsidRPr="00197413">
              <w:rPr>
                <w:color w:val="151515"/>
                <w:sz w:val="20"/>
              </w:rPr>
              <w:t>S</w:t>
            </w:r>
            <w:r w:rsidRPr="00197413">
              <w:rPr>
                <w:color w:val="2F2F2F"/>
                <w:sz w:val="20"/>
              </w:rPr>
              <w:t>.</w:t>
            </w:r>
            <w:r w:rsidRPr="00197413">
              <w:rPr>
                <w:color w:val="151515"/>
                <w:sz w:val="20"/>
              </w:rPr>
              <w:t>O. 1990</w:t>
            </w:r>
            <w:r w:rsidRPr="00197413">
              <w:rPr>
                <w:color w:val="2F2F2F"/>
                <w:sz w:val="20"/>
              </w:rPr>
              <w:t xml:space="preserve">, </w:t>
            </w:r>
            <w:r w:rsidRPr="00197413">
              <w:rPr>
                <w:color w:val="151515"/>
                <w:sz w:val="20"/>
              </w:rPr>
              <w:t>c. </w:t>
            </w:r>
            <w:r w:rsidRPr="00197413">
              <w:rPr>
                <w:color w:val="2F2F2F"/>
                <w:sz w:val="20"/>
              </w:rPr>
              <w:t>E</w:t>
            </w:r>
            <w:r w:rsidRPr="00197413">
              <w:rPr>
                <w:color w:val="151515"/>
                <w:sz w:val="20"/>
              </w:rPr>
              <w:t>.</w:t>
            </w:r>
            <w:r w:rsidRPr="00197413">
              <w:rPr>
                <w:color w:val="2F2F2F"/>
                <w:sz w:val="20"/>
              </w:rPr>
              <w:t>19</w:t>
            </w:r>
            <w:r w:rsidRPr="00197413">
              <w:rPr>
                <w:color w:val="151515"/>
                <w:sz w:val="20"/>
              </w:rPr>
              <w:t xml:space="preserve"> — Whether </w:t>
            </w:r>
            <w:r w:rsidRPr="00197413">
              <w:rPr>
                <w:color w:val="000000"/>
                <w:sz w:val="20"/>
              </w:rPr>
              <w:t xml:space="preserve">reasonable foreseeability of harm is a requirement of the tort of private nuisance in Canada — Whether Part X of the </w:t>
            </w:r>
            <w:r w:rsidRPr="00197413">
              <w:rPr>
                <w:i/>
                <w:iCs/>
                <w:color w:val="151515"/>
                <w:sz w:val="20"/>
              </w:rPr>
              <w:t>Environmental Protection Act</w:t>
            </w:r>
            <w:r w:rsidRPr="00197413">
              <w:rPr>
                <w:color w:val="000000"/>
                <w:sz w:val="20"/>
              </w:rPr>
              <w:t xml:space="preserve"> applies to discharges that occurred prior its enactment in 1985?</w:t>
            </w:r>
          </w:p>
        </w:tc>
      </w:tr>
      <w:tr w:rsidR="00C91655" w:rsidRPr="00197413" w:rsidTr="00C91655">
        <w:tc>
          <w:tcPr>
            <w:tcW w:w="5000" w:type="pct"/>
            <w:gridSpan w:val="4"/>
          </w:tcPr>
          <w:p w:rsidR="00C91655" w:rsidRPr="00197413" w:rsidRDefault="00C91655" w:rsidP="00197413">
            <w:pPr>
              <w:jc w:val="both"/>
              <w:rPr>
                <w:sz w:val="20"/>
              </w:rPr>
            </w:pPr>
          </w:p>
        </w:tc>
      </w:tr>
      <w:tr w:rsidR="00C91655" w:rsidRPr="00197413" w:rsidTr="00C91655">
        <w:tc>
          <w:tcPr>
            <w:tcW w:w="5000" w:type="pct"/>
            <w:gridSpan w:val="4"/>
          </w:tcPr>
          <w:p w:rsidR="00C91655" w:rsidRPr="00197413" w:rsidRDefault="00C91655" w:rsidP="00197413">
            <w:pPr>
              <w:jc w:val="both"/>
              <w:rPr>
                <w:sz w:val="20"/>
              </w:rPr>
            </w:pPr>
            <w:r w:rsidRPr="00197413">
              <w:rPr>
                <w:sz w:val="20"/>
              </w:rPr>
              <w:t xml:space="preserve">Fraser Hillary’s Limited owns lands on which it operates a dry cleaning business. From 1960 to 1974, it spilled dry cleaning solvents. It contaminated its lands and groundwater and the lands and groundwater of two properties owned by Mr. Huang. Mr. Huang discovered the contamination in </w:t>
            </w:r>
            <w:r w:rsidRPr="00197413">
              <w:rPr>
                <w:color w:val="131313"/>
                <w:sz w:val="20"/>
              </w:rPr>
              <w:t>2002. He</w:t>
            </w:r>
            <w:r w:rsidRPr="00197413">
              <w:rPr>
                <w:iCs/>
                <w:color w:val="232323"/>
                <w:sz w:val="20"/>
              </w:rPr>
              <w:t xml:space="preserve"> </w:t>
            </w:r>
            <w:r w:rsidRPr="00197413">
              <w:rPr>
                <w:color w:val="141414"/>
                <w:sz w:val="20"/>
              </w:rPr>
              <w:t>commenced an action claiming declaratory relief and</w:t>
            </w:r>
            <w:r w:rsidRPr="00197413">
              <w:rPr>
                <w:color w:val="252525"/>
                <w:sz w:val="20"/>
              </w:rPr>
              <w:t xml:space="preserve"> damages under n</w:t>
            </w:r>
            <w:r w:rsidRPr="00197413">
              <w:rPr>
                <w:color w:val="151515"/>
                <w:sz w:val="20"/>
              </w:rPr>
              <w:t>uisance, negl</w:t>
            </w:r>
            <w:r w:rsidRPr="00197413">
              <w:rPr>
                <w:color w:val="2F2F2F"/>
                <w:sz w:val="20"/>
              </w:rPr>
              <w:t>i</w:t>
            </w:r>
            <w:r w:rsidRPr="00197413">
              <w:rPr>
                <w:color w:val="151515"/>
                <w:sz w:val="20"/>
              </w:rPr>
              <w:t xml:space="preserve">gence, trespass, s. 99 of the </w:t>
            </w:r>
            <w:r w:rsidRPr="00197413">
              <w:rPr>
                <w:i/>
                <w:iCs/>
                <w:color w:val="151515"/>
                <w:sz w:val="20"/>
              </w:rPr>
              <w:t>Environmental Protection Act</w:t>
            </w:r>
            <w:r w:rsidRPr="00197413">
              <w:rPr>
                <w:i/>
                <w:iCs/>
                <w:color w:val="2F2F2F"/>
                <w:sz w:val="20"/>
              </w:rPr>
              <w:t xml:space="preserve">, </w:t>
            </w:r>
            <w:r w:rsidRPr="00197413">
              <w:rPr>
                <w:color w:val="151515"/>
                <w:sz w:val="20"/>
              </w:rPr>
              <w:t>R</w:t>
            </w:r>
            <w:r w:rsidRPr="00197413">
              <w:rPr>
                <w:color w:val="2F2F2F"/>
                <w:sz w:val="20"/>
              </w:rPr>
              <w:t>.</w:t>
            </w:r>
            <w:r w:rsidRPr="00197413">
              <w:rPr>
                <w:color w:val="151515"/>
                <w:sz w:val="20"/>
              </w:rPr>
              <w:t>S</w:t>
            </w:r>
            <w:r w:rsidRPr="00197413">
              <w:rPr>
                <w:color w:val="2F2F2F"/>
                <w:sz w:val="20"/>
              </w:rPr>
              <w:t>.</w:t>
            </w:r>
            <w:r w:rsidRPr="00197413">
              <w:rPr>
                <w:color w:val="151515"/>
                <w:sz w:val="20"/>
              </w:rPr>
              <w:t>O. 1990</w:t>
            </w:r>
            <w:r w:rsidRPr="00197413">
              <w:rPr>
                <w:color w:val="2F2F2F"/>
                <w:sz w:val="20"/>
              </w:rPr>
              <w:t xml:space="preserve">, c. E.19, </w:t>
            </w:r>
            <w:r w:rsidRPr="00197413">
              <w:rPr>
                <w:color w:val="151515"/>
                <w:sz w:val="20"/>
              </w:rPr>
              <w:t xml:space="preserve">and the doctrine </w:t>
            </w:r>
            <w:r w:rsidRPr="00197413">
              <w:rPr>
                <w:iCs/>
                <w:color w:val="151515"/>
                <w:sz w:val="20"/>
              </w:rPr>
              <w:t>of</w:t>
            </w:r>
            <w:r w:rsidRPr="00197413">
              <w:rPr>
                <w:i/>
                <w:iCs/>
                <w:color w:val="151515"/>
                <w:sz w:val="20"/>
              </w:rPr>
              <w:t xml:space="preserve"> </w:t>
            </w:r>
            <w:r w:rsidRPr="00197413">
              <w:rPr>
                <w:color w:val="151515"/>
                <w:sz w:val="20"/>
              </w:rPr>
              <w:t xml:space="preserve">strict liability. </w:t>
            </w:r>
            <w:r w:rsidRPr="00197413">
              <w:rPr>
                <w:sz w:val="20"/>
              </w:rPr>
              <w:t xml:space="preserve">The trial judge found Fraser Hillary’s Limited liable in nuisance and under the </w:t>
            </w:r>
            <w:r w:rsidRPr="00197413">
              <w:rPr>
                <w:i/>
                <w:iCs/>
                <w:color w:val="151515"/>
                <w:sz w:val="20"/>
              </w:rPr>
              <w:t>Environmental Protection Act</w:t>
            </w:r>
            <w:r w:rsidRPr="00197413">
              <w:rPr>
                <w:sz w:val="20"/>
              </w:rPr>
              <w:t>. He awarded $1,632,500.00 to Mr. Huang for the cost to remediate his lands and $201,726.71 for engineering costs incurred before trial. He dismissed all other claims. Fraser Hillary’s Limited and Mr. Huang appealed. The Court of Appeal dismissed both appeals.</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March 6, 2017</w:t>
            </w:r>
          </w:p>
          <w:p w:rsidR="00C91655" w:rsidRPr="00197413" w:rsidRDefault="00C91655" w:rsidP="00197413">
            <w:pPr>
              <w:jc w:val="both"/>
              <w:rPr>
                <w:sz w:val="20"/>
              </w:rPr>
            </w:pPr>
            <w:r w:rsidRPr="00197413">
              <w:rPr>
                <w:sz w:val="20"/>
              </w:rPr>
              <w:lastRenderedPageBreak/>
              <w:t>Ontario Superior Court of Justice</w:t>
            </w:r>
          </w:p>
          <w:p w:rsidR="00C91655" w:rsidRPr="00197413" w:rsidRDefault="00C91655" w:rsidP="00197413">
            <w:pPr>
              <w:jc w:val="both"/>
              <w:rPr>
                <w:sz w:val="20"/>
              </w:rPr>
            </w:pPr>
            <w:r w:rsidRPr="00197413">
              <w:rPr>
                <w:sz w:val="20"/>
              </w:rPr>
              <w:t>(Roger J.)</w:t>
            </w:r>
          </w:p>
          <w:p w:rsidR="00C91655" w:rsidRPr="00197413" w:rsidRDefault="00C91655" w:rsidP="00197413">
            <w:pPr>
              <w:jc w:val="both"/>
              <w:rPr>
                <w:sz w:val="20"/>
              </w:rPr>
            </w:pPr>
            <w:hyperlink r:id="rId33" w:history="1">
              <w:r w:rsidRPr="00197413">
                <w:rPr>
                  <w:rStyle w:val="Hyperlink"/>
                  <w:sz w:val="20"/>
                </w:rPr>
                <w:t>2017 ONSC 1500</w:t>
              </w:r>
            </w:hyperlink>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Damages awarded, declaratory relief denied</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lastRenderedPageBreak/>
              <w:t>June 8, 2018</w:t>
            </w:r>
          </w:p>
          <w:p w:rsidR="00C91655" w:rsidRPr="00197413" w:rsidRDefault="00C91655" w:rsidP="00197413">
            <w:pPr>
              <w:jc w:val="both"/>
              <w:rPr>
                <w:sz w:val="20"/>
              </w:rPr>
            </w:pPr>
            <w:r w:rsidRPr="00197413">
              <w:rPr>
                <w:sz w:val="20"/>
              </w:rPr>
              <w:t>Court of Appeal for Ontario</w:t>
            </w:r>
          </w:p>
          <w:p w:rsidR="00C91655" w:rsidRPr="00197413" w:rsidRDefault="00C91655" w:rsidP="00197413">
            <w:pPr>
              <w:jc w:val="both"/>
              <w:rPr>
                <w:sz w:val="20"/>
              </w:rPr>
            </w:pPr>
            <w:r w:rsidRPr="00197413">
              <w:rPr>
                <w:sz w:val="20"/>
              </w:rPr>
              <w:t xml:space="preserve">(Hourigan, </w:t>
            </w:r>
            <w:proofErr w:type="spellStart"/>
            <w:r w:rsidRPr="00197413">
              <w:rPr>
                <w:sz w:val="20"/>
              </w:rPr>
              <w:t>Benotto</w:t>
            </w:r>
            <w:proofErr w:type="spellEnd"/>
            <w:r w:rsidRPr="00197413">
              <w:rPr>
                <w:sz w:val="20"/>
              </w:rPr>
              <w:t>, Fairburn JJ.A.)</w:t>
            </w:r>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Appeals dismissed</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September 7, 2018</w:t>
            </w:r>
          </w:p>
          <w:p w:rsidR="00C91655" w:rsidRPr="00197413" w:rsidRDefault="00C91655" w:rsidP="00197413">
            <w:pPr>
              <w:jc w:val="both"/>
              <w:rPr>
                <w:sz w:val="20"/>
              </w:rPr>
            </w:pPr>
            <w:r w:rsidRPr="00197413">
              <w:rPr>
                <w:sz w:val="20"/>
              </w:rPr>
              <w:t>Supreme Court of Canada</w:t>
            </w: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Application for leave to appeal filed</w:t>
            </w:r>
          </w:p>
          <w:p w:rsidR="00C91655" w:rsidRPr="00197413" w:rsidRDefault="00C91655" w:rsidP="00197413">
            <w:pPr>
              <w:jc w:val="both"/>
              <w:rPr>
                <w:sz w:val="20"/>
              </w:rPr>
            </w:pPr>
          </w:p>
        </w:tc>
      </w:tr>
    </w:tbl>
    <w:p w:rsidR="00C91655" w:rsidRDefault="00C91655" w:rsidP="00197413">
      <w:pPr>
        <w:jc w:val="both"/>
        <w:rPr>
          <w:sz w:val="20"/>
        </w:rPr>
      </w:pPr>
    </w:p>
    <w:p w:rsidR="007E41BB" w:rsidRDefault="007E41BB" w:rsidP="00197413">
      <w:pPr>
        <w:jc w:val="both"/>
        <w:rPr>
          <w:sz w:val="20"/>
        </w:rPr>
      </w:pPr>
      <w:r>
        <w:rPr>
          <w:sz w:val="20"/>
        </w:rPr>
        <w:pict>
          <v:rect id="_x0000_i1033" style="width:2in;height:1pt" o:hrpct="0" o:hralign="center" o:hrstd="t" o:hrnoshade="t" o:hr="t" fillcolor="black [3213]" stroked="f"/>
        </w:pict>
      </w:r>
    </w:p>
    <w:p w:rsidR="007E41BB" w:rsidRPr="00197413" w:rsidRDefault="007E41BB" w:rsidP="0019741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lang w:val="fr-CA"/>
              </w:rPr>
            </w:pPr>
            <w:r w:rsidRPr="00197413">
              <w:rPr>
                <w:rStyle w:val="SCCFileNumberChar"/>
                <w:sz w:val="20"/>
                <w:szCs w:val="20"/>
                <w:lang w:val="fr-CA"/>
              </w:rPr>
              <w:t>38282</w:t>
            </w:r>
          </w:p>
        </w:tc>
        <w:tc>
          <w:tcPr>
            <w:tcW w:w="4457" w:type="pct"/>
            <w:gridSpan w:val="3"/>
          </w:tcPr>
          <w:p w:rsidR="00C91655" w:rsidRPr="007E41BB" w:rsidRDefault="00C91655" w:rsidP="00197413">
            <w:pPr>
              <w:pStyle w:val="SCCLsocParty"/>
              <w:jc w:val="both"/>
              <w:rPr>
                <w:b/>
                <w:sz w:val="20"/>
                <w:szCs w:val="20"/>
                <w:lang w:val="en-US"/>
              </w:rPr>
            </w:pPr>
            <w:r w:rsidRPr="007E41BB">
              <w:rPr>
                <w:b/>
                <w:sz w:val="20"/>
                <w:szCs w:val="20"/>
                <w:lang w:val="en-US"/>
              </w:rPr>
              <w:t>Fraser Hillary's Limited c. Eddy Huang, David Hillary</w:t>
            </w:r>
          </w:p>
          <w:p w:rsidR="00C91655" w:rsidRPr="00197413" w:rsidRDefault="00C91655" w:rsidP="00197413">
            <w:pPr>
              <w:jc w:val="both"/>
              <w:rPr>
                <w:sz w:val="20"/>
                <w:lang w:val="fr-CA"/>
              </w:rPr>
            </w:pPr>
            <w:r w:rsidRPr="00197413">
              <w:rPr>
                <w:sz w:val="20"/>
                <w:lang w:val="fr-CA"/>
              </w:rPr>
              <w:t>(Ont.) (Civile) (Autorisation</w:t>
            </w:r>
            <w:r w:rsidR="007E41BB">
              <w:rPr>
                <w:sz w:val="20"/>
                <w:lang w:val="fr-CA"/>
              </w:rPr>
              <w:t>)</w:t>
            </w:r>
          </w:p>
        </w:tc>
      </w:tr>
      <w:tr w:rsidR="00C91655" w:rsidRPr="00197413" w:rsidTr="00C91655">
        <w:tc>
          <w:tcPr>
            <w:tcW w:w="5000" w:type="pct"/>
            <w:gridSpan w:val="4"/>
          </w:tcPr>
          <w:p w:rsidR="00C91655" w:rsidRPr="00197413" w:rsidRDefault="00C91655" w:rsidP="00197413">
            <w:pPr>
              <w:jc w:val="both"/>
              <w:rPr>
                <w:sz w:val="20"/>
                <w:lang w:val="fr-CA"/>
              </w:rPr>
            </w:pPr>
            <w:r w:rsidRPr="00197413">
              <w:rPr>
                <w:sz w:val="20"/>
                <w:lang w:val="fr-CA"/>
              </w:rPr>
              <w:t xml:space="preserve">Responsabilité délictuelle — Nuisance — </w:t>
            </w:r>
            <w:r w:rsidRPr="00197413">
              <w:rPr>
                <w:color w:val="151515"/>
                <w:sz w:val="20"/>
                <w:lang w:val="fr-CA"/>
              </w:rPr>
              <w:t xml:space="preserve">Responsabilité en vertu de l’art. 99 de la </w:t>
            </w:r>
            <w:r w:rsidRPr="00197413">
              <w:rPr>
                <w:i/>
                <w:iCs/>
                <w:color w:val="151515"/>
                <w:sz w:val="20"/>
                <w:lang w:val="fr-CA"/>
              </w:rPr>
              <w:t>Loi sur la protection de l’environnement</w:t>
            </w:r>
            <w:r w:rsidRPr="00197413">
              <w:rPr>
                <w:i/>
                <w:iCs/>
                <w:color w:val="2F2F2F"/>
                <w:sz w:val="20"/>
                <w:lang w:val="fr-CA"/>
              </w:rPr>
              <w:t xml:space="preserve">, </w:t>
            </w:r>
            <w:r w:rsidRPr="00197413">
              <w:rPr>
                <w:color w:val="151515"/>
                <w:sz w:val="20"/>
                <w:lang w:val="fr-CA"/>
              </w:rPr>
              <w:t>L.R</w:t>
            </w:r>
            <w:r w:rsidRPr="00197413">
              <w:rPr>
                <w:color w:val="2F2F2F"/>
                <w:sz w:val="20"/>
                <w:lang w:val="fr-CA"/>
              </w:rPr>
              <w:t>.</w:t>
            </w:r>
            <w:r w:rsidRPr="00197413">
              <w:rPr>
                <w:color w:val="151515"/>
                <w:sz w:val="20"/>
                <w:lang w:val="fr-CA"/>
              </w:rPr>
              <w:t>O. 1990</w:t>
            </w:r>
            <w:r w:rsidRPr="00197413">
              <w:rPr>
                <w:color w:val="2F2F2F"/>
                <w:sz w:val="20"/>
                <w:lang w:val="fr-CA"/>
              </w:rPr>
              <w:t xml:space="preserve">, </w:t>
            </w:r>
            <w:r w:rsidRPr="00197413">
              <w:rPr>
                <w:color w:val="151515"/>
                <w:sz w:val="20"/>
                <w:lang w:val="fr-CA"/>
              </w:rPr>
              <w:t>ch. </w:t>
            </w:r>
            <w:r w:rsidRPr="00197413">
              <w:rPr>
                <w:color w:val="2F2F2F"/>
                <w:sz w:val="20"/>
                <w:lang w:val="fr-CA"/>
              </w:rPr>
              <w:t>E</w:t>
            </w:r>
            <w:r w:rsidRPr="00197413">
              <w:rPr>
                <w:color w:val="151515"/>
                <w:sz w:val="20"/>
                <w:lang w:val="fr-CA"/>
              </w:rPr>
              <w:t>.</w:t>
            </w:r>
            <w:r w:rsidRPr="00197413">
              <w:rPr>
                <w:color w:val="2F2F2F"/>
                <w:sz w:val="20"/>
                <w:lang w:val="fr-CA"/>
              </w:rPr>
              <w:t>19</w:t>
            </w:r>
            <w:r w:rsidRPr="00197413">
              <w:rPr>
                <w:color w:val="151515"/>
                <w:sz w:val="20"/>
                <w:lang w:val="fr-CA"/>
              </w:rPr>
              <w:t xml:space="preserve"> — La prévisibilité raisonnable du préjudice</w:t>
            </w:r>
            <w:r w:rsidRPr="00197413">
              <w:rPr>
                <w:color w:val="000000"/>
                <w:sz w:val="20"/>
                <w:lang w:val="fr-CA"/>
              </w:rPr>
              <w:t xml:space="preserve"> est-elle un critère du délit civil de nuisance privée au Canada? — La Partie X de la </w:t>
            </w:r>
            <w:r w:rsidRPr="00197413">
              <w:rPr>
                <w:i/>
                <w:iCs/>
                <w:color w:val="151515"/>
                <w:sz w:val="20"/>
                <w:lang w:val="fr-CA"/>
              </w:rPr>
              <w:t>Loi sur la protection de l’environnement</w:t>
            </w:r>
            <w:r w:rsidRPr="00197413">
              <w:rPr>
                <w:color w:val="000000"/>
                <w:sz w:val="20"/>
                <w:lang w:val="fr-CA"/>
              </w:rPr>
              <w:t xml:space="preserve"> s’applique-t-elle aux déversements qui se sont produits avant sa promulgation en 1985?</w:t>
            </w:r>
          </w:p>
        </w:tc>
      </w:tr>
      <w:tr w:rsidR="00C91655" w:rsidRPr="00197413" w:rsidTr="00C91655">
        <w:tc>
          <w:tcPr>
            <w:tcW w:w="5000" w:type="pct"/>
            <w:gridSpan w:val="4"/>
          </w:tcPr>
          <w:p w:rsidR="00C91655" w:rsidRPr="00197413" w:rsidRDefault="00C91655" w:rsidP="00197413">
            <w:pPr>
              <w:jc w:val="both"/>
              <w:rPr>
                <w:sz w:val="20"/>
                <w:lang w:val="fr-CA"/>
              </w:rPr>
            </w:pPr>
          </w:p>
        </w:tc>
      </w:tr>
      <w:tr w:rsidR="00C91655" w:rsidRPr="00197413" w:rsidTr="00C91655">
        <w:tc>
          <w:tcPr>
            <w:tcW w:w="5000" w:type="pct"/>
            <w:gridSpan w:val="4"/>
          </w:tcPr>
          <w:p w:rsidR="00C91655" w:rsidRPr="00197413" w:rsidRDefault="00C91655" w:rsidP="00197413">
            <w:pPr>
              <w:jc w:val="both"/>
              <w:rPr>
                <w:sz w:val="20"/>
                <w:lang w:val="fr-CA"/>
              </w:rPr>
            </w:pPr>
            <w:r w:rsidRPr="00197413">
              <w:rPr>
                <w:sz w:val="20"/>
                <w:lang w:val="fr-CA"/>
              </w:rPr>
              <w:t xml:space="preserve">Fraser Hillary’s Limited est propriétaire de terrains sur lesquels elle exploite une entreprise de nettoyage à sec. De 1960 à 1974, elle a déversé des solvants pour nettoyage à sec. Ces déversements ont contaminé ses terrains et ses eaux souterraines ainsi que les terrains et les eaux souterraines de deux propriétés appartenant à M. Huang. Monsieur Huang a découvert la contamination en </w:t>
            </w:r>
            <w:r w:rsidRPr="00197413">
              <w:rPr>
                <w:color w:val="131313"/>
                <w:sz w:val="20"/>
                <w:lang w:val="fr-CA"/>
              </w:rPr>
              <w:t xml:space="preserve">2002. Il a intenté une action en jugement déclaratoire et en dommages-intérêts </w:t>
            </w:r>
            <w:r w:rsidRPr="00197413">
              <w:rPr>
                <w:color w:val="151515"/>
                <w:sz w:val="20"/>
                <w:lang w:val="fr-CA"/>
              </w:rPr>
              <w:t xml:space="preserve">sur le fondement de </w:t>
            </w:r>
            <w:r w:rsidRPr="00197413">
              <w:rPr>
                <w:color w:val="131313"/>
                <w:sz w:val="20"/>
                <w:lang w:val="fr-CA"/>
              </w:rPr>
              <w:t>la nuisance, de la négligence, de l’atteinte directe, de l’art</w:t>
            </w:r>
            <w:r w:rsidRPr="00197413">
              <w:rPr>
                <w:color w:val="151515"/>
                <w:sz w:val="20"/>
                <w:lang w:val="fr-CA"/>
              </w:rPr>
              <w:t xml:space="preserve">. 99 de la </w:t>
            </w:r>
            <w:r w:rsidRPr="00197413">
              <w:rPr>
                <w:i/>
                <w:iCs/>
                <w:color w:val="151515"/>
                <w:sz w:val="20"/>
                <w:lang w:val="fr-CA"/>
              </w:rPr>
              <w:t>Loi sur la protection de l’environnement</w:t>
            </w:r>
            <w:r w:rsidRPr="00197413">
              <w:rPr>
                <w:i/>
                <w:iCs/>
                <w:color w:val="2F2F2F"/>
                <w:sz w:val="20"/>
                <w:lang w:val="fr-CA"/>
              </w:rPr>
              <w:t xml:space="preserve">, </w:t>
            </w:r>
            <w:r w:rsidRPr="00197413">
              <w:rPr>
                <w:color w:val="151515"/>
                <w:sz w:val="20"/>
                <w:lang w:val="fr-CA"/>
              </w:rPr>
              <w:t>L.R</w:t>
            </w:r>
            <w:r w:rsidRPr="00197413">
              <w:rPr>
                <w:color w:val="2F2F2F"/>
                <w:sz w:val="20"/>
                <w:lang w:val="fr-CA"/>
              </w:rPr>
              <w:t>.</w:t>
            </w:r>
            <w:r w:rsidRPr="00197413">
              <w:rPr>
                <w:color w:val="151515"/>
                <w:sz w:val="20"/>
                <w:lang w:val="fr-CA"/>
              </w:rPr>
              <w:t>O. 1990</w:t>
            </w:r>
            <w:r w:rsidRPr="00197413">
              <w:rPr>
                <w:color w:val="2F2F2F"/>
                <w:sz w:val="20"/>
                <w:lang w:val="fr-CA"/>
              </w:rPr>
              <w:t xml:space="preserve">, ch. E.19 </w:t>
            </w:r>
            <w:r w:rsidRPr="00197413">
              <w:rPr>
                <w:color w:val="151515"/>
                <w:sz w:val="20"/>
                <w:lang w:val="fr-CA"/>
              </w:rPr>
              <w:t xml:space="preserve">et de la doctrine de la responsabilité stricte. </w:t>
            </w:r>
            <w:r w:rsidRPr="00197413">
              <w:rPr>
                <w:sz w:val="20"/>
                <w:lang w:val="fr-CA"/>
              </w:rPr>
              <w:t xml:space="preserve">Le juge de première instance a conclu que Fraser Hillary’s Limited était responsable sur le fondement de la nuisance et de la </w:t>
            </w:r>
            <w:r w:rsidRPr="00197413">
              <w:rPr>
                <w:i/>
                <w:iCs/>
                <w:color w:val="151515"/>
                <w:sz w:val="20"/>
                <w:lang w:val="fr-CA"/>
              </w:rPr>
              <w:t>Loi sur la protection de l’environnement</w:t>
            </w:r>
            <w:r w:rsidRPr="00197413">
              <w:rPr>
                <w:sz w:val="20"/>
                <w:lang w:val="fr-CA"/>
              </w:rPr>
              <w:t>. Il a accordé à M. Huang la somme de 1 632 500 $ pour le coût d’assainissement de ses terrains et la somme de 201 726,71 $ pour les frais d’ingénierie engagés avant le procès. Il a rejeté les autres demandes. Fraser Hillary’s Limited et M. Huang ont interjeté appel. La Cour d’appel a rejeté les deux appels.</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6 mars 2017</w:t>
            </w:r>
          </w:p>
          <w:p w:rsidR="00C91655" w:rsidRPr="00197413" w:rsidRDefault="00C91655" w:rsidP="00197413">
            <w:pPr>
              <w:jc w:val="both"/>
              <w:rPr>
                <w:sz w:val="20"/>
                <w:lang w:val="fr-CA"/>
              </w:rPr>
            </w:pPr>
            <w:r w:rsidRPr="00197413">
              <w:rPr>
                <w:sz w:val="20"/>
                <w:lang w:val="fr-CA"/>
              </w:rPr>
              <w:t>Cour supérieure de justice de l’Ontario</w:t>
            </w:r>
          </w:p>
          <w:p w:rsidR="00C91655" w:rsidRPr="00197413" w:rsidRDefault="00C91655" w:rsidP="00197413">
            <w:pPr>
              <w:jc w:val="both"/>
              <w:rPr>
                <w:sz w:val="20"/>
                <w:lang w:val="fr-CA"/>
              </w:rPr>
            </w:pPr>
            <w:r w:rsidRPr="00197413">
              <w:rPr>
                <w:sz w:val="20"/>
                <w:lang w:val="fr-CA"/>
              </w:rPr>
              <w:t>(Juge Roger)</w:t>
            </w:r>
          </w:p>
          <w:p w:rsidR="00C91655" w:rsidRPr="00197413" w:rsidRDefault="00C91655" w:rsidP="00197413">
            <w:pPr>
              <w:jc w:val="both"/>
              <w:rPr>
                <w:sz w:val="20"/>
                <w:lang w:val="fr-CA"/>
              </w:rPr>
            </w:pPr>
            <w:hyperlink r:id="rId34" w:history="1">
              <w:r w:rsidRPr="00197413">
                <w:rPr>
                  <w:rStyle w:val="Hyperlink"/>
                  <w:sz w:val="20"/>
                  <w:lang w:val="fr-CA"/>
                </w:rPr>
                <w:t>2017 ONSC 1500</w:t>
              </w:r>
            </w:hyperlink>
          </w:p>
          <w:p w:rsidR="00C91655" w:rsidRPr="00197413" w:rsidRDefault="00C91655" w:rsidP="00197413">
            <w:pPr>
              <w:jc w:val="both"/>
              <w:rPr>
                <w:sz w:val="20"/>
                <w:lang w:val="fr-CA"/>
              </w:rPr>
            </w:pP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Jugement accordant des dommages-intérêts et rejetant la demande de jugement déclaratoire</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8 juin 2018</w:t>
            </w:r>
          </w:p>
          <w:p w:rsidR="00C91655" w:rsidRPr="00197413" w:rsidRDefault="00C91655" w:rsidP="00197413">
            <w:pPr>
              <w:jc w:val="both"/>
              <w:rPr>
                <w:sz w:val="20"/>
                <w:lang w:val="fr-CA"/>
              </w:rPr>
            </w:pPr>
            <w:r w:rsidRPr="00197413">
              <w:rPr>
                <w:sz w:val="20"/>
                <w:lang w:val="fr-CA"/>
              </w:rPr>
              <w:t>Cour d’appel de l’Ontario</w:t>
            </w:r>
          </w:p>
          <w:p w:rsidR="00C91655" w:rsidRPr="00197413" w:rsidRDefault="00C91655" w:rsidP="00197413">
            <w:pPr>
              <w:jc w:val="both"/>
              <w:rPr>
                <w:sz w:val="20"/>
                <w:lang w:val="fr-CA"/>
              </w:rPr>
            </w:pPr>
            <w:r w:rsidRPr="00197413">
              <w:rPr>
                <w:sz w:val="20"/>
                <w:lang w:val="fr-CA"/>
              </w:rPr>
              <w:t>(Juges Hourigan, Benotto et Fairburn)</w:t>
            </w:r>
          </w:p>
          <w:p w:rsidR="00C91655" w:rsidRPr="00197413" w:rsidRDefault="00C91655" w:rsidP="00197413">
            <w:pPr>
              <w:jc w:val="both"/>
              <w:rPr>
                <w:sz w:val="20"/>
                <w:lang w:val="fr-CA"/>
              </w:rPr>
            </w:pP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Rejet des appels</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7 septembre 2018</w:t>
            </w:r>
          </w:p>
          <w:p w:rsidR="00C91655" w:rsidRPr="00197413" w:rsidRDefault="00C91655" w:rsidP="00197413">
            <w:pPr>
              <w:jc w:val="both"/>
              <w:rPr>
                <w:sz w:val="20"/>
                <w:lang w:val="fr-CA"/>
              </w:rPr>
            </w:pPr>
            <w:r w:rsidRPr="00197413">
              <w:rPr>
                <w:sz w:val="20"/>
                <w:lang w:val="fr-CA"/>
              </w:rPr>
              <w:t>Cour suprême du Canada</w:t>
            </w: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Dépôt de la demande d’autorisation d’appel</w:t>
            </w:r>
          </w:p>
          <w:p w:rsidR="00C91655" w:rsidRPr="00197413" w:rsidRDefault="00C91655" w:rsidP="00197413">
            <w:pPr>
              <w:jc w:val="both"/>
              <w:rPr>
                <w:sz w:val="20"/>
                <w:lang w:val="fr-CA"/>
              </w:rPr>
            </w:pPr>
          </w:p>
        </w:tc>
      </w:tr>
    </w:tbl>
    <w:p w:rsidR="00C91655" w:rsidRPr="00197413" w:rsidRDefault="00C91655" w:rsidP="00197413">
      <w:pPr>
        <w:jc w:val="both"/>
        <w:rPr>
          <w:sz w:val="20"/>
          <w:lang w:val="fr-CA"/>
        </w:rPr>
      </w:pPr>
    </w:p>
    <w:p w:rsidR="00AE7EB1" w:rsidRDefault="007E41BB" w:rsidP="00197413">
      <w:pPr>
        <w:ind w:left="142" w:hanging="142"/>
        <w:jc w:val="both"/>
        <w:rPr>
          <w:sz w:val="20"/>
          <w:lang w:val="fr-CA"/>
        </w:rPr>
      </w:pPr>
      <w:r>
        <w:rPr>
          <w:sz w:val="20"/>
        </w:rPr>
        <w:pict>
          <v:rect id="_x0000_i1034" style="width:2in;height:1pt" o:hrpct="0" o:hralign="center" o:hrstd="t" o:hrnoshade="t" o:hr="t" fillcolor="black [3213]" stroked="f"/>
        </w:pict>
      </w:r>
    </w:p>
    <w:p w:rsidR="007E41BB" w:rsidRPr="00197413" w:rsidRDefault="007E41BB" w:rsidP="0019741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rPr>
            </w:pPr>
            <w:r w:rsidRPr="00197413">
              <w:rPr>
                <w:rStyle w:val="SCCFileNumberChar"/>
                <w:sz w:val="20"/>
                <w:szCs w:val="20"/>
              </w:rPr>
              <w:t>38343</w:t>
            </w:r>
          </w:p>
        </w:tc>
        <w:tc>
          <w:tcPr>
            <w:tcW w:w="4457" w:type="pct"/>
            <w:gridSpan w:val="3"/>
          </w:tcPr>
          <w:p w:rsidR="00C91655" w:rsidRPr="007E41BB" w:rsidRDefault="00C91655" w:rsidP="00197413">
            <w:pPr>
              <w:pStyle w:val="SCCLsocParty"/>
              <w:jc w:val="both"/>
              <w:rPr>
                <w:b/>
                <w:sz w:val="20"/>
                <w:szCs w:val="20"/>
                <w:lang w:val="en-US"/>
              </w:rPr>
            </w:pPr>
            <w:r w:rsidRPr="007E41BB">
              <w:rPr>
                <w:b/>
                <w:sz w:val="20"/>
                <w:szCs w:val="20"/>
                <w:lang w:val="en-US"/>
              </w:rPr>
              <w:t>Ontario Medical Association v. Information and Privacy Commissioner of Ontario, The Honourable Eric Hoskins, Minister of Health and Long-Term Care, The Ministry of Health and Long-Term Care and Theresa Boyle</w:t>
            </w:r>
          </w:p>
          <w:p w:rsidR="00C91655" w:rsidRPr="00197413" w:rsidRDefault="00C91655" w:rsidP="00197413">
            <w:pPr>
              <w:pStyle w:val="SCCLsocSubfileSeparator"/>
              <w:rPr>
                <w:sz w:val="20"/>
                <w:szCs w:val="20"/>
              </w:rPr>
            </w:pPr>
            <w:r w:rsidRPr="00197413">
              <w:rPr>
                <w:sz w:val="20"/>
                <w:szCs w:val="20"/>
              </w:rPr>
              <w:t>— and between —</w:t>
            </w:r>
          </w:p>
          <w:p w:rsidR="00C91655" w:rsidRPr="007E41BB" w:rsidRDefault="00C91655" w:rsidP="00197413">
            <w:pPr>
              <w:pStyle w:val="SCCLsocParty"/>
              <w:jc w:val="both"/>
              <w:rPr>
                <w:b/>
                <w:sz w:val="20"/>
                <w:szCs w:val="20"/>
                <w:lang w:val="en-US"/>
              </w:rPr>
            </w:pPr>
            <w:r w:rsidRPr="007E41BB">
              <w:rPr>
                <w:b/>
                <w:sz w:val="20"/>
                <w:szCs w:val="20"/>
                <w:lang w:val="en-US"/>
              </w:rPr>
              <w:lastRenderedPageBreak/>
              <w:t>Several Physicians Affected Directly by the Order v. Information and Privacy Commissioner of Ontario, The Honourable Eric Hoskins, Minister of Health and Long-Term Care, The Ministry of Health and Long-Term Care and Theresa Boyle</w:t>
            </w:r>
          </w:p>
          <w:p w:rsidR="00C91655" w:rsidRPr="00197413" w:rsidRDefault="00C91655" w:rsidP="00197413">
            <w:pPr>
              <w:pStyle w:val="SCCLsocSubfileSeparator"/>
              <w:rPr>
                <w:sz w:val="20"/>
                <w:szCs w:val="20"/>
              </w:rPr>
            </w:pPr>
            <w:r w:rsidRPr="00197413">
              <w:rPr>
                <w:sz w:val="20"/>
                <w:szCs w:val="20"/>
              </w:rPr>
              <w:t>— and between —</w:t>
            </w:r>
          </w:p>
          <w:p w:rsidR="00C91655" w:rsidRPr="007E41BB" w:rsidRDefault="00C91655" w:rsidP="00197413">
            <w:pPr>
              <w:pStyle w:val="SCCLsocParty"/>
              <w:jc w:val="both"/>
              <w:rPr>
                <w:b/>
                <w:sz w:val="20"/>
                <w:szCs w:val="20"/>
                <w:lang w:val="en-US"/>
              </w:rPr>
            </w:pPr>
            <w:r w:rsidRPr="007E41BB">
              <w:rPr>
                <w:b/>
                <w:sz w:val="20"/>
                <w:szCs w:val="20"/>
                <w:lang w:val="en-US"/>
              </w:rPr>
              <w:t>Affected Third Party Doctors v. Information and Privacy Commissioner of Ontario, The Honourable Eric Hoskins, Minister of Health and Long-Term Care, The Ministry of Health and Long-Term Care and Theresa Boyle</w:t>
            </w:r>
          </w:p>
          <w:p w:rsidR="00C91655" w:rsidRPr="00197413" w:rsidRDefault="00C91655" w:rsidP="00197413">
            <w:pPr>
              <w:jc w:val="both"/>
              <w:rPr>
                <w:sz w:val="20"/>
              </w:rPr>
            </w:pPr>
            <w:r w:rsidRPr="00197413">
              <w:rPr>
                <w:sz w:val="20"/>
              </w:rPr>
              <w:t>(Ont.) (Civil) (By Leave)</w:t>
            </w:r>
          </w:p>
        </w:tc>
      </w:tr>
      <w:tr w:rsidR="00C91655" w:rsidRPr="00197413" w:rsidTr="00C91655">
        <w:tc>
          <w:tcPr>
            <w:tcW w:w="5000" w:type="pct"/>
            <w:gridSpan w:val="4"/>
          </w:tcPr>
          <w:p w:rsidR="00C91655" w:rsidRPr="00197413" w:rsidRDefault="00C91655" w:rsidP="00197413">
            <w:pPr>
              <w:pStyle w:val="SCCBanSummary"/>
              <w:rPr>
                <w:sz w:val="20"/>
                <w:szCs w:val="20"/>
              </w:rPr>
            </w:pPr>
            <w:proofErr w:type="gramStart"/>
            <w:r w:rsidRPr="00197413">
              <w:rPr>
                <w:smallCaps w:val="0"/>
                <w:sz w:val="20"/>
                <w:szCs w:val="20"/>
              </w:rPr>
              <w:lastRenderedPageBreak/>
              <w:t xml:space="preserve">Access to information — Exemptions — Statutory interpretation — Administrative law —Reporter made access to information request to Ministry of Health seeking names of top 100 physician billers, amounts billed and physicians’ specializations — Whether a physician’s name and Ontario Health Insurance Program billing information together should be considered “personal information” under the </w:t>
            </w:r>
            <w:r w:rsidRPr="00197413">
              <w:rPr>
                <w:i/>
                <w:smallCaps w:val="0"/>
                <w:sz w:val="20"/>
                <w:szCs w:val="20"/>
              </w:rPr>
              <w:t>Freedom of Information and Protection of Privacy Act</w:t>
            </w:r>
            <w:r w:rsidRPr="00197413">
              <w:rPr>
                <w:smallCaps w:val="0"/>
                <w:sz w:val="20"/>
                <w:szCs w:val="20"/>
              </w:rPr>
              <w:t xml:space="preserve"> – </w:t>
            </w:r>
            <w:r w:rsidRPr="00197413">
              <w:rPr>
                <w:i/>
                <w:smallCaps w:val="0"/>
                <w:sz w:val="20"/>
                <w:szCs w:val="20"/>
              </w:rPr>
              <w:t>Freedom of Information and Protection of Privacy Act</w:t>
            </w:r>
            <w:r w:rsidRPr="00197413">
              <w:rPr>
                <w:smallCaps w:val="0"/>
                <w:sz w:val="20"/>
                <w:szCs w:val="20"/>
              </w:rPr>
              <w:t>, R.S.O. 1990, c. F.31, ss. 2(1), 21.</w:t>
            </w:r>
            <w:proofErr w:type="gramEnd"/>
          </w:p>
          <w:p w:rsidR="00C91655" w:rsidRPr="00197413" w:rsidRDefault="00C91655" w:rsidP="00197413">
            <w:pPr>
              <w:jc w:val="both"/>
              <w:rPr>
                <w:sz w:val="20"/>
              </w:rPr>
            </w:pPr>
          </w:p>
        </w:tc>
      </w:tr>
      <w:tr w:rsidR="00C91655" w:rsidRPr="00197413" w:rsidTr="00C91655">
        <w:tc>
          <w:tcPr>
            <w:tcW w:w="5000" w:type="pct"/>
            <w:gridSpan w:val="4"/>
          </w:tcPr>
          <w:p w:rsidR="00C91655" w:rsidRPr="00197413" w:rsidRDefault="00C91655" w:rsidP="00197413">
            <w:pPr>
              <w:jc w:val="both"/>
              <w:rPr>
                <w:sz w:val="20"/>
              </w:rPr>
            </w:pPr>
            <w:r w:rsidRPr="00197413">
              <w:rPr>
                <w:sz w:val="20"/>
              </w:rPr>
              <w:t xml:space="preserve">The respondent Theresa Boyle, a Toronto Star reporter, made an access to information request to the Ontario Ministry of Health and Long-Term Care pursuant to the </w:t>
            </w:r>
            <w:r w:rsidRPr="00197413">
              <w:rPr>
                <w:i/>
                <w:sz w:val="20"/>
              </w:rPr>
              <w:t>Freedom of Information and Protection of Privacy Act</w:t>
            </w:r>
            <w:r w:rsidRPr="00197413">
              <w:rPr>
                <w:sz w:val="20"/>
              </w:rPr>
              <w:t>, R.S.O. 1990, c. F.31 (“</w:t>
            </w:r>
            <w:r w:rsidRPr="00197413">
              <w:rPr>
                <w:i/>
                <w:sz w:val="20"/>
              </w:rPr>
              <w:t>FIPPA</w:t>
            </w:r>
            <w:r w:rsidRPr="00197413">
              <w:rPr>
                <w:sz w:val="20"/>
              </w:rPr>
              <w:t>”). Ms. Boyle sought access to the names of the top 100 physician billers to the Ontario Health Insurance Program for the 2008 to 2012 fiscal years and a breakdown of the physicians’ medical specialties and dollar amounts billed. The Ministry acceded to the request in part but did not disclose the names and some specializations of the physicians. Ms. Boyle appealed the decision of the Minister to the Information and Privacy Commissioner of Ontario (“IPCO”).</w:t>
            </w:r>
          </w:p>
          <w:p w:rsidR="00C91655" w:rsidRPr="00197413" w:rsidRDefault="00C91655" w:rsidP="00197413">
            <w:pPr>
              <w:jc w:val="both"/>
              <w:rPr>
                <w:sz w:val="20"/>
              </w:rPr>
            </w:pPr>
          </w:p>
          <w:p w:rsidR="00C91655" w:rsidRPr="00197413" w:rsidRDefault="00C91655" w:rsidP="00197413">
            <w:pPr>
              <w:jc w:val="both"/>
              <w:rPr>
                <w:sz w:val="20"/>
              </w:rPr>
            </w:pPr>
            <w:r w:rsidRPr="00197413">
              <w:rPr>
                <w:sz w:val="20"/>
              </w:rPr>
              <w:t xml:space="preserve">The IPCO adjudicator tasked with the inquiry and adjudication held that the information requested was not “personal information” within the meaning of s. 2(1) of the </w:t>
            </w:r>
            <w:r w:rsidRPr="00197413">
              <w:rPr>
                <w:i/>
                <w:sz w:val="20"/>
              </w:rPr>
              <w:t xml:space="preserve">FIPPA </w:t>
            </w:r>
            <w:r w:rsidRPr="00197413">
              <w:rPr>
                <w:sz w:val="20"/>
              </w:rPr>
              <w:t>and that the privacy exemption at s. 21(1) did not apply. The adjudicator therefore ordered that the records be disclosed in full. The Ontario Medical Association and two groups of physicians sought judicial reviews of the IPCO adjudicator’s decision. The Ontario Divisional Court determined that the adjudicator’s decision was reasonable and dismissed the applications for judicial review. The Ontario Court of Appeal dismissed the applicants’ appeals.</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June 1, 2016</w:t>
            </w:r>
          </w:p>
          <w:p w:rsidR="00C91655" w:rsidRPr="00197413" w:rsidRDefault="00C91655" w:rsidP="00197413">
            <w:pPr>
              <w:jc w:val="both"/>
              <w:rPr>
                <w:sz w:val="20"/>
              </w:rPr>
            </w:pPr>
            <w:r w:rsidRPr="00197413">
              <w:rPr>
                <w:sz w:val="20"/>
              </w:rPr>
              <w:t>Information and Privacy Commissioner of Ontario</w:t>
            </w:r>
          </w:p>
          <w:p w:rsidR="00C91655" w:rsidRPr="00197413" w:rsidRDefault="00C91655" w:rsidP="00197413">
            <w:pPr>
              <w:jc w:val="both"/>
              <w:rPr>
                <w:sz w:val="20"/>
              </w:rPr>
            </w:pPr>
            <w:r w:rsidRPr="00197413">
              <w:rPr>
                <w:sz w:val="20"/>
              </w:rPr>
              <w:t>Adjudicator: Higgins J.</w:t>
            </w:r>
          </w:p>
          <w:p w:rsidR="00C91655" w:rsidRPr="00197413" w:rsidRDefault="00C91655" w:rsidP="00197413">
            <w:pPr>
              <w:jc w:val="both"/>
              <w:rPr>
                <w:rStyle w:val="Hyperlink"/>
                <w:sz w:val="20"/>
                <w:lang w:val="en"/>
              </w:rPr>
            </w:pPr>
            <w:hyperlink r:id="rId35" w:history="1">
              <w:r w:rsidRPr="00197413">
                <w:rPr>
                  <w:rStyle w:val="Hyperlink"/>
                  <w:sz w:val="20"/>
                  <w:lang w:val="en"/>
                </w:rPr>
                <w:t>2016 CanLII 32641</w:t>
              </w:r>
            </w:hyperlink>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Disclosure of the records in their entirety ordered.  .</w:t>
            </w:r>
          </w:p>
        </w:tc>
      </w:tr>
      <w:tr w:rsidR="00C91655" w:rsidRPr="00197413" w:rsidTr="00C91655">
        <w:tc>
          <w:tcPr>
            <w:tcW w:w="2427" w:type="pct"/>
            <w:gridSpan w:val="2"/>
          </w:tcPr>
          <w:p w:rsidR="00C91655" w:rsidRPr="00197413" w:rsidRDefault="00C91655" w:rsidP="00197413">
            <w:pPr>
              <w:jc w:val="both"/>
              <w:rPr>
                <w:sz w:val="20"/>
              </w:rPr>
            </w:pPr>
            <w:r w:rsidRPr="00197413">
              <w:rPr>
                <w:sz w:val="20"/>
              </w:rPr>
              <w:t>June 30, 2017</w:t>
            </w:r>
          </w:p>
          <w:p w:rsidR="00C91655" w:rsidRPr="00197413" w:rsidRDefault="00C91655" w:rsidP="00197413">
            <w:pPr>
              <w:jc w:val="both"/>
              <w:rPr>
                <w:sz w:val="20"/>
              </w:rPr>
            </w:pPr>
            <w:r w:rsidRPr="00197413">
              <w:rPr>
                <w:sz w:val="20"/>
              </w:rPr>
              <w:t>Ontario Superior Court of Justice</w:t>
            </w:r>
          </w:p>
          <w:p w:rsidR="00C91655" w:rsidRPr="00197413" w:rsidRDefault="00C91655" w:rsidP="00197413">
            <w:pPr>
              <w:jc w:val="both"/>
              <w:rPr>
                <w:sz w:val="20"/>
              </w:rPr>
            </w:pPr>
            <w:r w:rsidRPr="00197413">
              <w:rPr>
                <w:sz w:val="20"/>
              </w:rPr>
              <w:t>Divisional Court</w:t>
            </w:r>
          </w:p>
          <w:p w:rsidR="00C91655" w:rsidRPr="00197413" w:rsidRDefault="00C91655" w:rsidP="00197413">
            <w:pPr>
              <w:jc w:val="both"/>
              <w:rPr>
                <w:sz w:val="20"/>
              </w:rPr>
            </w:pPr>
            <w:r w:rsidRPr="00197413">
              <w:rPr>
                <w:sz w:val="20"/>
              </w:rPr>
              <w:t xml:space="preserve">(Kiteley, </w:t>
            </w:r>
            <w:proofErr w:type="spellStart"/>
            <w:r w:rsidRPr="00197413">
              <w:rPr>
                <w:sz w:val="20"/>
              </w:rPr>
              <w:t>Nordheimer</w:t>
            </w:r>
            <w:proofErr w:type="spellEnd"/>
            <w:r w:rsidRPr="00197413">
              <w:rPr>
                <w:sz w:val="20"/>
              </w:rPr>
              <w:t xml:space="preserve"> and Edwards JJ.)</w:t>
            </w:r>
          </w:p>
          <w:p w:rsidR="00C91655" w:rsidRPr="00197413" w:rsidRDefault="00C91655" w:rsidP="00197413">
            <w:pPr>
              <w:jc w:val="both"/>
              <w:rPr>
                <w:sz w:val="20"/>
              </w:rPr>
            </w:pPr>
            <w:hyperlink r:id="rId36" w:history="1">
              <w:r w:rsidRPr="00197413">
                <w:rPr>
                  <w:rStyle w:val="Hyperlink"/>
                  <w:sz w:val="20"/>
                </w:rPr>
                <w:t>2017 ONSC 4090</w:t>
              </w:r>
            </w:hyperlink>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 xml:space="preserve">Applications for judicial review dismissed. </w:t>
            </w:r>
          </w:p>
        </w:tc>
      </w:tr>
      <w:tr w:rsidR="00C91655" w:rsidRPr="00197413" w:rsidTr="00C91655">
        <w:tc>
          <w:tcPr>
            <w:tcW w:w="2427" w:type="pct"/>
            <w:gridSpan w:val="2"/>
          </w:tcPr>
          <w:p w:rsidR="00C91655" w:rsidRPr="00197413" w:rsidRDefault="00C91655" w:rsidP="00197413">
            <w:pPr>
              <w:jc w:val="both"/>
              <w:rPr>
                <w:sz w:val="20"/>
              </w:rPr>
            </w:pPr>
            <w:r w:rsidRPr="00197413">
              <w:rPr>
                <w:sz w:val="20"/>
              </w:rPr>
              <w:t>August 3, 2018</w:t>
            </w:r>
          </w:p>
          <w:p w:rsidR="00C91655" w:rsidRPr="00197413" w:rsidRDefault="00C91655" w:rsidP="00197413">
            <w:pPr>
              <w:jc w:val="both"/>
              <w:rPr>
                <w:sz w:val="20"/>
              </w:rPr>
            </w:pPr>
            <w:r w:rsidRPr="00197413">
              <w:rPr>
                <w:sz w:val="20"/>
              </w:rPr>
              <w:t>Court of Appeal for Ontario</w:t>
            </w:r>
          </w:p>
          <w:p w:rsidR="00C91655" w:rsidRPr="00197413" w:rsidRDefault="00C91655" w:rsidP="00197413">
            <w:pPr>
              <w:jc w:val="both"/>
              <w:rPr>
                <w:sz w:val="20"/>
              </w:rPr>
            </w:pPr>
            <w:r w:rsidRPr="00197413">
              <w:rPr>
                <w:sz w:val="20"/>
              </w:rPr>
              <w:t xml:space="preserve">(Hoy, Rouleau and </w:t>
            </w:r>
            <w:proofErr w:type="spellStart"/>
            <w:r w:rsidRPr="00197413">
              <w:rPr>
                <w:sz w:val="20"/>
              </w:rPr>
              <w:t>Benotto</w:t>
            </w:r>
            <w:proofErr w:type="spellEnd"/>
            <w:r w:rsidRPr="00197413">
              <w:rPr>
                <w:sz w:val="20"/>
              </w:rPr>
              <w:t xml:space="preserve"> JJ.A.)</w:t>
            </w:r>
          </w:p>
          <w:p w:rsidR="00C91655" w:rsidRPr="00197413" w:rsidRDefault="00C91655" w:rsidP="00197413">
            <w:pPr>
              <w:jc w:val="both"/>
              <w:rPr>
                <w:sz w:val="20"/>
              </w:rPr>
            </w:pPr>
            <w:hyperlink r:id="rId37" w:history="1">
              <w:r w:rsidRPr="00197413">
                <w:rPr>
                  <w:rStyle w:val="Hyperlink"/>
                  <w:sz w:val="20"/>
                </w:rPr>
                <w:t>2018 ONCA 673</w:t>
              </w:r>
            </w:hyperlink>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 xml:space="preserve">Appeal dismissed. </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September 27, 2018</w:t>
            </w:r>
          </w:p>
          <w:p w:rsidR="00C91655" w:rsidRPr="00197413" w:rsidRDefault="00C91655" w:rsidP="00197413">
            <w:pPr>
              <w:jc w:val="both"/>
              <w:rPr>
                <w:sz w:val="20"/>
              </w:rPr>
            </w:pPr>
            <w:r w:rsidRPr="00197413">
              <w:rPr>
                <w:sz w:val="20"/>
              </w:rPr>
              <w:t>Supreme Court of Canada</w:t>
            </w:r>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Application for leave to appeal filed</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October 29, 2018</w:t>
            </w:r>
          </w:p>
          <w:p w:rsidR="00C91655" w:rsidRPr="00197413" w:rsidRDefault="00C91655" w:rsidP="00197413">
            <w:pPr>
              <w:jc w:val="both"/>
              <w:rPr>
                <w:sz w:val="20"/>
              </w:rPr>
            </w:pPr>
            <w:r w:rsidRPr="00197413">
              <w:rPr>
                <w:sz w:val="20"/>
              </w:rPr>
              <w:t>Supreme Court of Canada</w:t>
            </w: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 xml:space="preserve">Motion for leave to intervene in application for leave to appeal filed. </w:t>
            </w:r>
          </w:p>
        </w:tc>
      </w:tr>
    </w:tbl>
    <w:p w:rsidR="00C91655" w:rsidRDefault="00C91655" w:rsidP="00197413">
      <w:pPr>
        <w:jc w:val="both"/>
        <w:rPr>
          <w:sz w:val="20"/>
        </w:rPr>
      </w:pPr>
    </w:p>
    <w:p w:rsidR="007E41BB" w:rsidRDefault="007E41BB" w:rsidP="00197413">
      <w:pPr>
        <w:jc w:val="both"/>
        <w:rPr>
          <w:sz w:val="20"/>
        </w:rPr>
      </w:pPr>
      <w:r>
        <w:rPr>
          <w:sz w:val="20"/>
        </w:rPr>
        <w:pict>
          <v:rect id="_x0000_i1035" style="width:2in;height:1pt" o:hrpct="0" o:hralign="center" o:hrstd="t" o:hrnoshade="t" o:hr="t" fillcolor="black [3213]" stroked="f"/>
        </w:pict>
      </w:r>
    </w:p>
    <w:p w:rsidR="007E41BB" w:rsidRPr="00197413" w:rsidRDefault="007E41BB" w:rsidP="0019741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rPr>
            </w:pPr>
            <w:r w:rsidRPr="00197413">
              <w:rPr>
                <w:rStyle w:val="SCCFileNumberChar"/>
                <w:sz w:val="20"/>
                <w:szCs w:val="20"/>
              </w:rPr>
              <w:t>38343</w:t>
            </w:r>
          </w:p>
        </w:tc>
        <w:tc>
          <w:tcPr>
            <w:tcW w:w="4457" w:type="pct"/>
            <w:gridSpan w:val="3"/>
          </w:tcPr>
          <w:p w:rsidR="00C91655" w:rsidRPr="007E41BB" w:rsidRDefault="00C91655" w:rsidP="00197413">
            <w:pPr>
              <w:pStyle w:val="SCCLsocParty"/>
              <w:jc w:val="both"/>
              <w:rPr>
                <w:b/>
                <w:sz w:val="20"/>
                <w:szCs w:val="20"/>
              </w:rPr>
            </w:pPr>
            <w:r w:rsidRPr="007E41BB">
              <w:rPr>
                <w:b/>
                <w:sz w:val="20"/>
                <w:szCs w:val="20"/>
              </w:rPr>
              <w:t xml:space="preserve">Ontario Medical Association c. Commissaire à l’information et à la protection de la vie privée de l’Ontario, l’honorable Eric </w:t>
            </w:r>
            <w:proofErr w:type="spellStart"/>
            <w:r w:rsidRPr="007E41BB">
              <w:rPr>
                <w:b/>
                <w:sz w:val="20"/>
                <w:szCs w:val="20"/>
              </w:rPr>
              <w:t>Hoskins</w:t>
            </w:r>
            <w:proofErr w:type="spellEnd"/>
            <w:r w:rsidRPr="007E41BB">
              <w:rPr>
                <w:b/>
                <w:sz w:val="20"/>
                <w:szCs w:val="20"/>
              </w:rPr>
              <w:t>, ministre de la Santé et des Soins de longue durée, le ministre de la Santé et des Soins de longue durée et Theresa Boyle</w:t>
            </w:r>
          </w:p>
          <w:p w:rsidR="00C91655" w:rsidRPr="00197413" w:rsidRDefault="00C91655" w:rsidP="00197413">
            <w:pPr>
              <w:pStyle w:val="SCCLsocSubfileSeparator"/>
              <w:rPr>
                <w:sz w:val="20"/>
                <w:szCs w:val="20"/>
                <w:lang w:val="fr-CA"/>
              </w:rPr>
            </w:pPr>
            <w:r w:rsidRPr="00197413">
              <w:rPr>
                <w:sz w:val="20"/>
                <w:szCs w:val="20"/>
                <w:lang w:val="fr-CA"/>
              </w:rPr>
              <w:t>— et entre —</w:t>
            </w:r>
          </w:p>
          <w:p w:rsidR="00C91655" w:rsidRPr="007E41BB" w:rsidRDefault="00C91655" w:rsidP="00197413">
            <w:pPr>
              <w:pStyle w:val="SCCLsocParty"/>
              <w:jc w:val="both"/>
              <w:rPr>
                <w:b/>
                <w:sz w:val="20"/>
                <w:szCs w:val="20"/>
              </w:rPr>
            </w:pPr>
            <w:r w:rsidRPr="007E41BB">
              <w:rPr>
                <w:b/>
                <w:sz w:val="20"/>
                <w:szCs w:val="20"/>
              </w:rPr>
              <w:t>Plusieurs médecins touchés directement par l’ordonnance c. Commissaire à l’information et à la protection de la vie privée de l’Ontario, l’honorable Eric </w:t>
            </w:r>
            <w:proofErr w:type="spellStart"/>
            <w:r w:rsidRPr="007E41BB">
              <w:rPr>
                <w:b/>
                <w:sz w:val="20"/>
                <w:szCs w:val="20"/>
              </w:rPr>
              <w:t>Hoskins</w:t>
            </w:r>
            <w:proofErr w:type="spellEnd"/>
            <w:r w:rsidRPr="007E41BB">
              <w:rPr>
                <w:b/>
                <w:sz w:val="20"/>
                <w:szCs w:val="20"/>
              </w:rPr>
              <w:t>, ministre de la Santé et des Soins de longue durée, le ministre de la Santé et des Soins de longue durée et Theresa Boyle</w:t>
            </w:r>
          </w:p>
          <w:p w:rsidR="00C91655" w:rsidRPr="00197413" w:rsidRDefault="00C91655" w:rsidP="00197413">
            <w:pPr>
              <w:pStyle w:val="SCCLsocSubfileSeparator"/>
              <w:rPr>
                <w:sz w:val="20"/>
                <w:szCs w:val="20"/>
                <w:lang w:val="fr-CA"/>
              </w:rPr>
            </w:pPr>
            <w:r w:rsidRPr="00197413">
              <w:rPr>
                <w:sz w:val="20"/>
                <w:szCs w:val="20"/>
                <w:lang w:val="fr-CA"/>
              </w:rPr>
              <w:t>— et entre —</w:t>
            </w:r>
          </w:p>
          <w:p w:rsidR="00C91655" w:rsidRPr="007E41BB" w:rsidRDefault="00C91655" w:rsidP="00197413">
            <w:pPr>
              <w:pStyle w:val="SCCLsocParty"/>
              <w:jc w:val="both"/>
              <w:rPr>
                <w:b/>
                <w:sz w:val="20"/>
                <w:szCs w:val="20"/>
              </w:rPr>
            </w:pPr>
            <w:r w:rsidRPr="007E41BB">
              <w:rPr>
                <w:b/>
                <w:sz w:val="20"/>
                <w:szCs w:val="20"/>
              </w:rPr>
              <w:t xml:space="preserve">Médecins tiers touchés c. Commissaire à l’information et à la protection de la vie privée, l’honorable Eric </w:t>
            </w:r>
            <w:proofErr w:type="spellStart"/>
            <w:r w:rsidRPr="007E41BB">
              <w:rPr>
                <w:b/>
                <w:sz w:val="20"/>
                <w:szCs w:val="20"/>
              </w:rPr>
              <w:t>Hoskins</w:t>
            </w:r>
            <w:proofErr w:type="spellEnd"/>
            <w:r w:rsidRPr="007E41BB">
              <w:rPr>
                <w:b/>
                <w:sz w:val="20"/>
                <w:szCs w:val="20"/>
              </w:rPr>
              <w:t>, ministre de la Santé et des Soins de longue durée, le ministre de la Santé et des Soins de longue durée et Theresa Boyle</w:t>
            </w:r>
          </w:p>
          <w:p w:rsidR="00C91655" w:rsidRPr="00197413" w:rsidRDefault="00C91655" w:rsidP="00197413">
            <w:pPr>
              <w:jc w:val="both"/>
              <w:rPr>
                <w:sz w:val="20"/>
              </w:rPr>
            </w:pPr>
            <w:r w:rsidRPr="00197413">
              <w:rPr>
                <w:sz w:val="20"/>
              </w:rPr>
              <w:t>(Ont.) (Civile) (Sur autorisation)</w:t>
            </w:r>
          </w:p>
        </w:tc>
      </w:tr>
      <w:tr w:rsidR="00C91655" w:rsidRPr="00197413" w:rsidTr="00C91655">
        <w:tc>
          <w:tcPr>
            <w:tcW w:w="5000" w:type="pct"/>
            <w:gridSpan w:val="4"/>
          </w:tcPr>
          <w:p w:rsidR="00C91655" w:rsidRPr="00197413" w:rsidRDefault="00C91655" w:rsidP="00197413">
            <w:pPr>
              <w:pStyle w:val="SCCBanSummary"/>
              <w:rPr>
                <w:sz w:val="20"/>
                <w:szCs w:val="20"/>
                <w:lang w:val="fr-CA"/>
              </w:rPr>
            </w:pPr>
            <w:r w:rsidRPr="00197413">
              <w:rPr>
                <w:smallCaps w:val="0"/>
                <w:sz w:val="20"/>
                <w:szCs w:val="20"/>
                <w:lang w:val="fr-CA"/>
              </w:rPr>
              <w:t xml:space="preserve">Accès à l’information — Exemptions — Interprétation des lois — Droit administratif — Présentation par une journaliste d’une demande d’accès à l’information au ministre de la Santé pour obtenir les noms des 100 médecins aux factures les plus élevées, les sommes facturées et les domaines de spécialisation des médecins — Le nom d’un médecin et les données de facturation du Programme d’assurance-santé de l’Ontario pris ensemble doivent-ils être considérés comme des « renseignements personnels » au sens de la </w:t>
            </w:r>
            <w:r w:rsidRPr="00197413">
              <w:rPr>
                <w:i/>
                <w:smallCaps w:val="0"/>
                <w:sz w:val="20"/>
                <w:szCs w:val="20"/>
                <w:lang w:val="fr-CA"/>
              </w:rPr>
              <w:t>Loi sur l’accès à l’information et la protection de la vie privée</w:t>
            </w:r>
            <w:r w:rsidRPr="00197413">
              <w:rPr>
                <w:smallCaps w:val="0"/>
                <w:sz w:val="20"/>
                <w:szCs w:val="20"/>
                <w:lang w:val="fr-CA"/>
              </w:rPr>
              <w:t xml:space="preserve">? – </w:t>
            </w:r>
            <w:r w:rsidRPr="00197413">
              <w:rPr>
                <w:i/>
                <w:smallCaps w:val="0"/>
                <w:sz w:val="20"/>
                <w:szCs w:val="20"/>
                <w:lang w:val="fr-CA"/>
              </w:rPr>
              <w:t>Loi sur l’accès à l’information et la protection de la vie privée</w:t>
            </w:r>
            <w:r w:rsidRPr="00197413">
              <w:rPr>
                <w:smallCaps w:val="0"/>
                <w:sz w:val="20"/>
                <w:szCs w:val="20"/>
                <w:lang w:val="fr-CA"/>
              </w:rPr>
              <w:t>, L.R.O. 1990, c. F.31, art. 2(1), 21.</w:t>
            </w:r>
          </w:p>
          <w:p w:rsidR="00C91655" w:rsidRPr="00197413" w:rsidRDefault="00C91655" w:rsidP="00197413">
            <w:pPr>
              <w:jc w:val="both"/>
              <w:rPr>
                <w:sz w:val="20"/>
                <w:lang w:val="fr-CA"/>
              </w:rPr>
            </w:pPr>
          </w:p>
        </w:tc>
      </w:tr>
      <w:tr w:rsidR="00C91655" w:rsidRPr="00197413" w:rsidTr="00C91655">
        <w:tc>
          <w:tcPr>
            <w:tcW w:w="5000" w:type="pct"/>
            <w:gridSpan w:val="4"/>
          </w:tcPr>
          <w:p w:rsidR="00C91655" w:rsidRPr="00197413" w:rsidRDefault="00C91655" w:rsidP="00197413">
            <w:pPr>
              <w:jc w:val="both"/>
              <w:rPr>
                <w:sz w:val="20"/>
                <w:lang w:val="fr-CA"/>
              </w:rPr>
            </w:pPr>
            <w:r w:rsidRPr="00197413">
              <w:rPr>
                <w:sz w:val="20"/>
                <w:lang w:val="fr-CA"/>
              </w:rPr>
              <w:t xml:space="preserve">L’intimée Theresa Boyle, journaliste du </w:t>
            </w:r>
            <w:r w:rsidRPr="00197413">
              <w:rPr>
                <w:i/>
                <w:sz w:val="20"/>
                <w:lang w:val="fr-CA"/>
              </w:rPr>
              <w:t>Toronto Star</w:t>
            </w:r>
            <w:r w:rsidRPr="00197413">
              <w:rPr>
                <w:sz w:val="20"/>
                <w:lang w:val="fr-CA"/>
              </w:rPr>
              <w:t xml:space="preserve">, a présenté une demande d’accès à l’information au ministre de la Santé et des Soins de longue durée de l’Ontario en vertu de la </w:t>
            </w:r>
            <w:r w:rsidRPr="00197413">
              <w:rPr>
                <w:i/>
                <w:sz w:val="20"/>
                <w:lang w:val="fr-CA"/>
              </w:rPr>
              <w:t>Loi sur l’accès à l’information et la protection de la vie privée</w:t>
            </w:r>
            <w:r w:rsidRPr="00197413">
              <w:rPr>
                <w:sz w:val="20"/>
                <w:lang w:val="fr-CA"/>
              </w:rPr>
              <w:t xml:space="preserve">, L.R.O. 1990, c. F.31 (« </w:t>
            </w:r>
            <w:r w:rsidRPr="00197413">
              <w:rPr>
                <w:i/>
                <w:sz w:val="20"/>
                <w:lang w:val="fr-CA"/>
              </w:rPr>
              <w:t>LAIPVP</w:t>
            </w:r>
            <w:r w:rsidRPr="00197413">
              <w:rPr>
                <w:sz w:val="20"/>
                <w:lang w:val="fr-CA"/>
              </w:rPr>
              <w:t> »). M</w:t>
            </w:r>
            <w:r w:rsidRPr="00197413">
              <w:rPr>
                <w:sz w:val="20"/>
                <w:vertAlign w:val="superscript"/>
                <w:lang w:val="fr-CA"/>
              </w:rPr>
              <w:t xml:space="preserve">me </w:t>
            </w:r>
            <w:r w:rsidRPr="00197413">
              <w:rPr>
                <w:sz w:val="20"/>
                <w:lang w:val="fr-CA"/>
              </w:rPr>
              <w:t>Boyle a réclamé les noms des 100 médecins aux factures les plus élevées du Programme d’assurance-santé de l’Ontario pour les exercices financiers 2008 à 2012 et une répartition des spécialités médicales et des sommes facturées. Le ministre a accédé à la demande en partie, mais n’a pas communiqué les noms et certains champs de spécialisation des médecins. M</w:t>
            </w:r>
            <w:r w:rsidRPr="00197413">
              <w:rPr>
                <w:sz w:val="20"/>
                <w:vertAlign w:val="superscript"/>
                <w:lang w:val="fr-CA"/>
              </w:rPr>
              <w:t>me</w:t>
            </w:r>
            <w:r w:rsidRPr="00197413">
              <w:rPr>
                <w:sz w:val="20"/>
                <w:lang w:val="fr-CA"/>
              </w:rPr>
              <w:t> Boyle a interjeté appel de la décision du ministre au commissaire à l’information et à la protection de la vie privée de l’Ontario (« CIPVP »).</w:t>
            </w:r>
          </w:p>
          <w:p w:rsidR="00C91655" w:rsidRPr="00197413" w:rsidRDefault="00C91655" w:rsidP="00197413">
            <w:pPr>
              <w:jc w:val="both"/>
              <w:rPr>
                <w:sz w:val="20"/>
                <w:lang w:val="fr-CA"/>
              </w:rPr>
            </w:pPr>
          </w:p>
          <w:p w:rsidR="00C91655" w:rsidRPr="00197413" w:rsidRDefault="00C91655" w:rsidP="00197413">
            <w:pPr>
              <w:jc w:val="both"/>
              <w:rPr>
                <w:sz w:val="20"/>
                <w:lang w:val="fr-CA"/>
              </w:rPr>
            </w:pPr>
            <w:r w:rsidRPr="00197413">
              <w:rPr>
                <w:sz w:val="20"/>
                <w:lang w:val="fr-CA"/>
              </w:rPr>
              <w:t xml:space="preserve">Le décideur du CIPVP chargé d’enquêter et de statuer sur le dossier a conclu que l’information demandée ne constituait pas des « renseignements personnels » au sens du par. 2(1) de la </w:t>
            </w:r>
            <w:r w:rsidRPr="00197413">
              <w:rPr>
                <w:i/>
                <w:sz w:val="20"/>
                <w:lang w:val="fr-CA"/>
              </w:rPr>
              <w:t>LAIPVP</w:t>
            </w:r>
            <w:r w:rsidRPr="00197413">
              <w:rPr>
                <w:sz w:val="20"/>
                <w:lang w:val="fr-CA"/>
              </w:rPr>
              <w:t xml:space="preserve"> et que l’exemption prévue au </w:t>
            </w:r>
            <w:proofErr w:type="spellStart"/>
            <w:r w:rsidRPr="00197413">
              <w:rPr>
                <w:sz w:val="20"/>
                <w:lang w:val="fr-CA"/>
              </w:rPr>
              <w:t>par</w:t>
            </w:r>
            <w:proofErr w:type="spellEnd"/>
            <w:r w:rsidRPr="00197413">
              <w:rPr>
                <w:sz w:val="20"/>
                <w:lang w:val="fr-CA"/>
              </w:rPr>
              <w:t xml:space="preserve">. 21(1) en matière de vie privée ne s’appliquait pas. Le décideur a donc ordonné que les documents soient communiqués dans leur totalité. </w:t>
            </w:r>
            <w:proofErr w:type="gramStart"/>
            <w:r w:rsidRPr="00197413">
              <w:rPr>
                <w:sz w:val="20"/>
                <w:lang w:val="fr-CA"/>
              </w:rPr>
              <w:t>La Ontario</w:t>
            </w:r>
            <w:proofErr w:type="gramEnd"/>
            <w:r w:rsidRPr="00197413">
              <w:rPr>
                <w:sz w:val="20"/>
                <w:lang w:val="fr-CA"/>
              </w:rPr>
              <w:t xml:space="preserve"> </w:t>
            </w:r>
            <w:proofErr w:type="spellStart"/>
            <w:r w:rsidRPr="00197413">
              <w:rPr>
                <w:sz w:val="20"/>
                <w:lang w:val="fr-CA"/>
              </w:rPr>
              <w:t>Medical</w:t>
            </w:r>
            <w:proofErr w:type="spellEnd"/>
            <w:r w:rsidRPr="00197413">
              <w:rPr>
                <w:sz w:val="20"/>
                <w:lang w:val="fr-CA"/>
              </w:rPr>
              <w:t xml:space="preserve"> Association et deux groupes de médecins ont sollicité le contrôle judiciaire de la décision rendue par le décideur du CIPVP. La Cour divisionnaire de l’Ontario a jugé que la décision du décideur était raisonnable et elle a rejeté les demandes de contrôle judiciaire. La Cour d’appel de l’Ontario a rejeté les appels des demandeurs.</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1</w:t>
            </w:r>
            <w:r w:rsidRPr="00197413">
              <w:rPr>
                <w:sz w:val="20"/>
                <w:vertAlign w:val="superscript"/>
              </w:rPr>
              <w:t>er</w:t>
            </w:r>
            <w:r w:rsidRPr="00197413">
              <w:rPr>
                <w:sz w:val="20"/>
              </w:rPr>
              <w:t xml:space="preserve"> juin 2016</w:t>
            </w:r>
          </w:p>
          <w:p w:rsidR="00C91655" w:rsidRPr="00197413" w:rsidRDefault="00C91655" w:rsidP="00197413">
            <w:pPr>
              <w:jc w:val="both"/>
              <w:rPr>
                <w:sz w:val="20"/>
                <w:lang w:val="fr-CA"/>
              </w:rPr>
            </w:pPr>
            <w:r w:rsidRPr="00197413">
              <w:rPr>
                <w:sz w:val="20"/>
                <w:lang w:val="fr-CA"/>
              </w:rPr>
              <w:t xml:space="preserve">Commissaire à l’information et à la protection de la vie privée de l’Ontario </w:t>
            </w:r>
          </w:p>
          <w:p w:rsidR="00C91655" w:rsidRPr="00197413" w:rsidRDefault="00C91655" w:rsidP="00197413">
            <w:pPr>
              <w:jc w:val="both"/>
              <w:rPr>
                <w:sz w:val="20"/>
              </w:rPr>
            </w:pPr>
            <w:proofErr w:type="spellStart"/>
            <w:r w:rsidRPr="00197413">
              <w:rPr>
                <w:sz w:val="20"/>
              </w:rPr>
              <w:t>Décideur</w:t>
            </w:r>
            <w:proofErr w:type="spellEnd"/>
            <w:r w:rsidRPr="00197413">
              <w:rPr>
                <w:sz w:val="20"/>
              </w:rPr>
              <w:t xml:space="preserve"> : J. Higgins</w:t>
            </w:r>
          </w:p>
          <w:p w:rsidR="00C91655" w:rsidRPr="00197413" w:rsidRDefault="00C91655" w:rsidP="00197413">
            <w:pPr>
              <w:jc w:val="both"/>
              <w:rPr>
                <w:rStyle w:val="Hyperlink"/>
                <w:sz w:val="20"/>
                <w:lang w:val="en"/>
              </w:rPr>
            </w:pPr>
            <w:hyperlink r:id="rId38" w:history="1">
              <w:r w:rsidRPr="00197413">
                <w:rPr>
                  <w:rStyle w:val="Hyperlink"/>
                  <w:sz w:val="20"/>
                  <w:lang w:val="en"/>
                </w:rPr>
                <w:t>2016 CanLII 32641</w:t>
              </w:r>
            </w:hyperlink>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lang w:val="fr-CA"/>
              </w:rPr>
            </w:pPr>
            <w:r w:rsidRPr="00197413">
              <w:rPr>
                <w:sz w:val="20"/>
                <w:lang w:val="fr-CA"/>
              </w:rPr>
              <w:t>Communication des documents dans leur intégralité ordonnée.</w:t>
            </w: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30 juin 2017</w:t>
            </w:r>
          </w:p>
          <w:p w:rsidR="00C91655" w:rsidRPr="00197413" w:rsidRDefault="00C91655" w:rsidP="00197413">
            <w:pPr>
              <w:jc w:val="both"/>
              <w:rPr>
                <w:sz w:val="20"/>
                <w:lang w:val="fr-CA"/>
              </w:rPr>
            </w:pPr>
            <w:r w:rsidRPr="00197413">
              <w:rPr>
                <w:sz w:val="20"/>
                <w:lang w:val="fr-CA"/>
              </w:rPr>
              <w:t xml:space="preserve">Cour supérieure de justice de l’Ontario </w:t>
            </w:r>
          </w:p>
          <w:p w:rsidR="00C91655" w:rsidRPr="00197413" w:rsidRDefault="00C91655" w:rsidP="00197413">
            <w:pPr>
              <w:jc w:val="both"/>
              <w:rPr>
                <w:sz w:val="20"/>
                <w:lang w:val="fr-CA"/>
              </w:rPr>
            </w:pPr>
            <w:r w:rsidRPr="00197413">
              <w:rPr>
                <w:sz w:val="20"/>
                <w:lang w:val="fr-CA"/>
              </w:rPr>
              <w:t>Cour divisionnaire</w:t>
            </w:r>
          </w:p>
          <w:p w:rsidR="00C91655" w:rsidRPr="00197413" w:rsidRDefault="00C91655" w:rsidP="00197413">
            <w:pPr>
              <w:jc w:val="both"/>
              <w:rPr>
                <w:sz w:val="20"/>
                <w:lang w:val="fr-CA"/>
              </w:rPr>
            </w:pPr>
            <w:r w:rsidRPr="00197413">
              <w:rPr>
                <w:sz w:val="20"/>
                <w:lang w:val="fr-CA"/>
              </w:rPr>
              <w:t xml:space="preserve">(Juges </w:t>
            </w:r>
            <w:proofErr w:type="spellStart"/>
            <w:r w:rsidRPr="00197413">
              <w:rPr>
                <w:sz w:val="20"/>
                <w:lang w:val="fr-CA"/>
              </w:rPr>
              <w:t>Kiteley</w:t>
            </w:r>
            <w:proofErr w:type="spellEnd"/>
            <w:r w:rsidRPr="00197413">
              <w:rPr>
                <w:sz w:val="20"/>
                <w:lang w:val="fr-CA"/>
              </w:rPr>
              <w:t xml:space="preserve">, </w:t>
            </w:r>
            <w:proofErr w:type="spellStart"/>
            <w:r w:rsidRPr="00197413">
              <w:rPr>
                <w:sz w:val="20"/>
                <w:lang w:val="fr-CA"/>
              </w:rPr>
              <w:t>Nordheimer</w:t>
            </w:r>
            <w:proofErr w:type="spellEnd"/>
            <w:r w:rsidRPr="00197413">
              <w:rPr>
                <w:sz w:val="20"/>
                <w:lang w:val="fr-CA"/>
              </w:rPr>
              <w:t xml:space="preserve"> et Edwards)</w:t>
            </w:r>
          </w:p>
          <w:p w:rsidR="00C91655" w:rsidRPr="00197413" w:rsidRDefault="00C91655" w:rsidP="00197413">
            <w:pPr>
              <w:jc w:val="both"/>
              <w:rPr>
                <w:sz w:val="20"/>
              </w:rPr>
            </w:pPr>
            <w:hyperlink r:id="rId39" w:history="1">
              <w:r w:rsidRPr="00197413">
                <w:rPr>
                  <w:rStyle w:val="Hyperlink"/>
                  <w:sz w:val="20"/>
                </w:rPr>
                <w:t>2017 ONSC 4090</w:t>
              </w:r>
            </w:hyperlink>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lang w:val="fr-CA"/>
              </w:rPr>
            </w:pPr>
            <w:r w:rsidRPr="00197413">
              <w:rPr>
                <w:sz w:val="20"/>
                <w:lang w:val="fr-CA"/>
              </w:rPr>
              <w:t xml:space="preserve">Rejet des demandes de contrôle judiciaire. </w:t>
            </w: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3 août 2018</w:t>
            </w:r>
          </w:p>
          <w:p w:rsidR="00C91655" w:rsidRPr="00197413" w:rsidRDefault="00C91655" w:rsidP="00197413">
            <w:pPr>
              <w:jc w:val="both"/>
              <w:rPr>
                <w:sz w:val="20"/>
                <w:lang w:val="fr-CA"/>
              </w:rPr>
            </w:pPr>
            <w:r w:rsidRPr="00197413">
              <w:rPr>
                <w:sz w:val="20"/>
                <w:lang w:val="fr-CA"/>
              </w:rPr>
              <w:t>Cour d’appel de l’Ontario</w:t>
            </w:r>
          </w:p>
          <w:p w:rsidR="00C91655" w:rsidRPr="00197413" w:rsidRDefault="00C91655" w:rsidP="00197413">
            <w:pPr>
              <w:jc w:val="both"/>
              <w:rPr>
                <w:sz w:val="20"/>
                <w:lang w:val="fr-CA"/>
              </w:rPr>
            </w:pPr>
            <w:r w:rsidRPr="00197413">
              <w:rPr>
                <w:sz w:val="20"/>
                <w:lang w:val="fr-CA"/>
              </w:rPr>
              <w:t xml:space="preserve">(Juges </w:t>
            </w:r>
            <w:proofErr w:type="spellStart"/>
            <w:r w:rsidRPr="00197413">
              <w:rPr>
                <w:sz w:val="20"/>
                <w:lang w:val="fr-CA"/>
              </w:rPr>
              <w:t>Hoy</w:t>
            </w:r>
            <w:proofErr w:type="spellEnd"/>
            <w:r w:rsidRPr="00197413">
              <w:rPr>
                <w:sz w:val="20"/>
                <w:lang w:val="fr-CA"/>
              </w:rPr>
              <w:t xml:space="preserve">, Rouleau et </w:t>
            </w:r>
            <w:proofErr w:type="spellStart"/>
            <w:r w:rsidRPr="00197413">
              <w:rPr>
                <w:sz w:val="20"/>
                <w:lang w:val="fr-CA"/>
              </w:rPr>
              <w:t>Benotto</w:t>
            </w:r>
            <w:proofErr w:type="spellEnd"/>
            <w:r w:rsidRPr="00197413">
              <w:rPr>
                <w:sz w:val="20"/>
                <w:lang w:val="fr-CA"/>
              </w:rPr>
              <w:t>)</w:t>
            </w:r>
          </w:p>
          <w:p w:rsidR="00C91655" w:rsidRPr="00197413" w:rsidRDefault="00C91655" w:rsidP="00197413">
            <w:pPr>
              <w:jc w:val="both"/>
              <w:rPr>
                <w:sz w:val="20"/>
              </w:rPr>
            </w:pPr>
            <w:hyperlink r:id="rId40" w:history="1">
              <w:r w:rsidRPr="00197413">
                <w:rPr>
                  <w:rStyle w:val="Hyperlink"/>
                  <w:sz w:val="20"/>
                </w:rPr>
                <w:t>2018 ONCA 673</w:t>
              </w:r>
            </w:hyperlink>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proofErr w:type="spellStart"/>
            <w:r w:rsidRPr="00197413">
              <w:rPr>
                <w:sz w:val="20"/>
              </w:rPr>
              <w:t>Rejet</w:t>
            </w:r>
            <w:proofErr w:type="spellEnd"/>
            <w:r w:rsidRPr="00197413">
              <w:rPr>
                <w:sz w:val="20"/>
              </w:rPr>
              <w:t xml:space="preserve"> de </w:t>
            </w:r>
            <w:proofErr w:type="spellStart"/>
            <w:r w:rsidRPr="00197413">
              <w:rPr>
                <w:sz w:val="20"/>
              </w:rPr>
              <w:t>l’appel</w:t>
            </w:r>
            <w:proofErr w:type="spellEnd"/>
            <w:r w:rsidRPr="00197413">
              <w:rPr>
                <w:sz w:val="20"/>
              </w:rPr>
              <w:t xml:space="preserve">. </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lastRenderedPageBreak/>
              <w:t xml:space="preserve">27 </w:t>
            </w:r>
            <w:proofErr w:type="spellStart"/>
            <w:r w:rsidRPr="00197413">
              <w:rPr>
                <w:sz w:val="20"/>
              </w:rPr>
              <w:t>septembre</w:t>
            </w:r>
            <w:proofErr w:type="spellEnd"/>
            <w:r w:rsidRPr="00197413">
              <w:rPr>
                <w:sz w:val="20"/>
              </w:rPr>
              <w:t xml:space="preserve"> 2018</w:t>
            </w:r>
          </w:p>
          <w:p w:rsidR="00C91655" w:rsidRPr="00197413" w:rsidRDefault="00C91655" w:rsidP="00197413">
            <w:pPr>
              <w:jc w:val="both"/>
              <w:rPr>
                <w:sz w:val="20"/>
              </w:rPr>
            </w:pPr>
            <w:r w:rsidRPr="00197413">
              <w:rPr>
                <w:sz w:val="20"/>
              </w:rPr>
              <w:t>Cour suprême du Canada</w:t>
            </w:r>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lang w:val="fr-CA"/>
              </w:rPr>
            </w:pPr>
            <w:r w:rsidRPr="00197413">
              <w:rPr>
                <w:sz w:val="20"/>
                <w:lang w:val="fr-CA"/>
              </w:rPr>
              <w:t xml:space="preserve">Dépôt de la demande d’autorisation d’appel. </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29 octobre 2018</w:t>
            </w:r>
          </w:p>
          <w:p w:rsidR="00C91655" w:rsidRPr="00197413" w:rsidRDefault="00C91655" w:rsidP="00197413">
            <w:pPr>
              <w:jc w:val="both"/>
              <w:rPr>
                <w:sz w:val="20"/>
                <w:lang w:val="fr-CA"/>
              </w:rPr>
            </w:pPr>
            <w:r w:rsidRPr="00197413">
              <w:rPr>
                <w:sz w:val="20"/>
                <w:lang w:val="fr-CA"/>
              </w:rPr>
              <w:t xml:space="preserve">Cour suprême du Canada </w:t>
            </w: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 xml:space="preserve">Dépôt de la requête en autorisation d’intervenir dans la demande d’autorisation d’appel. </w:t>
            </w:r>
          </w:p>
        </w:tc>
      </w:tr>
    </w:tbl>
    <w:p w:rsidR="00C91655" w:rsidRPr="00197413" w:rsidRDefault="00C91655" w:rsidP="00197413">
      <w:pPr>
        <w:jc w:val="both"/>
        <w:rPr>
          <w:sz w:val="20"/>
          <w:lang w:val="fr-CA"/>
        </w:rPr>
      </w:pPr>
    </w:p>
    <w:p w:rsidR="00AE7EB1" w:rsidRDefault="007E41BB" w:rsidP="00197413">
      <w:pPr>
        <w:ind w:left="142" w:hanging="142"/>
        <w:jc w:val="both"/>
        <w:rPr>
          <w:sz w:val="20"/>
          <w:lang w:val="fr-CA"/>
        </w:rPr>
      </w:pPr>
      <w:r>
        <w:rPr>
          <w:sz w:val="20"/>
        </w:rPr>
        <w:pict>
          <v:rect id="_x0000_i1042" style="width:2in;height:1pt" o:hrpct="0" o:hralign="center" o:hrstd="t" o:hrnoshade="t" o:hr="t" fillcolor="black [3213]" stroked="f"/>
        </w:pict>
      </w:r>
    </w:p>
    <w:p w:rsidR="007E41BB" w:rsidRPr="00197413" w:rsidRDefault="007E41BB" w:rsidP="00197413">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C91655" w:rsidRPr="00197413" w:rsidTr="00C91655">
        <w:trPr>
          <w:gridAfter w:val="1"/>
          <w:wAfter w:w="48" w:type="pct"/>
        </w:trPr>
        <w:tc>
          <w:tcPr>
            <w:tcW w:w="537" w:type="pct"/>
          </w:tcPr>
          <w:p w:rsidR="00C91655" w:rsidRPr="00197413" w:rsidRDefault="00C91655" w:rsidP="00197413">
            <w:pPr>
              <w:jc w:val="both"/>
              <w:rPr>
                <w:sz w:val="20"/>
              </w:rPr>
            </w:pPr>
            <w:r w:rsidRPr="00197413">
              <w:rPr>
                <w:rStyle w:val="SCCFileNumberChar"/>
                <w:sz w:val="20"/>
                <w:szCs w:val="20"/>
              </w:rPr>
              <w:t>38442</w:t>
            </w:r>
          </w:p>
        </w:tc>
        <w:tc>
          <w:tcPr>
            <w:tcW w:w="4415" w:type="pct"/>
            <w:gridSpan w:val="3"/>
          </w:tcPr>
          <w:p w:rsidR="00C91655" w:rsidRPr="007E41BB" w:rsidRDefault="00C91655" w:rsidP="00197413">
            <w:pPr>
              <w:pStyle w:val="SCCLsocParty"/>
              <w:jc w:val="both"/>
              <w:rPr>
                <w:b/>
                <w:sz w:val="20"/>
                <w:szCs w:val="20"/>
                <w:lang w:val="en-US"/>
              </w:rPr>
            </w:pPr>
            <w:r w:rsidRPr="007E41BB">
              <w:rPr>
                <w:b/>
                <w:sz w:val="20"/>
                <w:szCs w:val="20"/>
                <w:lang w:val="en-US"/>
              </w:rPr>
              <w:t xml:space="preserve">Lamar </w:t>
            </w:r>
            <w:proofErr w:type="spellStart"/>
            <w:r w:rsidRPr="007E41BB">
              <w:rPr>
                <w:b/>
                <w:sz w:val="20"/>
                <w:szCs w:val="20"/>
                <w:lang w:val="en-US"/>
              </w:rPr>
              <w:t>Skeete</w:t>
            </w:r>
            <w:proofErr w:type="spellEnd"/>
            <w:r w:rsidRPr="007E41BB">
              <w:rPr>
                <w:b/>
                <w:sz w:val="20"/>
                <w:szCs w:val="20"/>
                <w:lang w:val="en-US"/>
              </w:rPr>
              <w:t xml:space="preserve"> v. Her Majesty the Queen</w:t>
            </w:r>
          </w:p>
          <w:p w:rsidR="00C91655" w:rsidRPr="00197413" w:rsidRDefault="00C91655" w:rsidP="00197413">
            <w:pPr>
              <w:jc w:val="both"/>
              <w:rPr>
                <w:sz w:val="20"/>
              </w:rPr>
            </w:pPr>
            <w:r w:rsidRPr="00197413">
              <w:rPr>
                <w:sz w:val="20"/>
              </w:rPr>
              <w:t>(Ont.) (Criminal) (By Leave)</w:t>
            </w:r>
          </w:p>
        </w:tc>
      </w:tr>
      <w:tr w:rsidR="00C91655" w:rsidRPr="00197413" w:rsidTr="00C91655">
        <w:trPr>
          <w:gridAfter w:val="1"/>
          <w:wAfter w:w="48" w:type="pct"/>
        </w:trPr>
        <w:tc>
          <w:tcPr>
            <w:tcW w:w="4952" w:type="pct"/>
            <w:gridSpan w:val="4"/>
          </w:tcPr>
          <w:p w:rsidR="00C91655" w:rsidRPr="00197413" w:rsidRDefault="00C91655" w:rsidP="00197413">
            <w:pPr>
              <w:pStyle w:val="SCCBanSummary"/>
              <w:rPr>
                <w:sz w:val="20"/>
                <w:szCs w:val="20"/>
              </w:rPr>
            </w:pPr>
            <w:r w:rsidRPr="00197413">
              <w:rPr>
                <w:sz w:val="20"/>
                <w:szCs w:val="20"/>
              </w:rPr>
              <w:t>(Publication ban in case)</w:t>
            </w:r>
          </w:p>
          <w:p w:rsidR="00C91655" w:rsidRPr="00197413" w:rsidRDefault="00C91655" w:rsidP="00197413">
            <w:pPr>
              <w:jc w:val="both"/>
              <w:rPr>
                <w:sz w:val="20"/>
              </w:rPr>
            </w:pPr>
          </w:p>
        </w:tc>
      </w:tr>
      <w:tr w:rsidR="00C91655" w:rsidRPr="00197413" w:rsidTr="00C91655">
        <w:trPr>
          <w:gridAfter w:val="1"/>
          <w:wAfter w:w="48" w:type="pct"/>
        </w:trPr>
        <w:tc>
          <w:tcPr>
            <w:tcW w:w="4952" w:type="pct"/>
            <w:gridSpan w:val="4"/>
          </w:tcPr>
          <w:p w:rsidR="00C91655" w:rsidRPr="00197413" w:rsidRDefault="00C91655" w:rsidP="00197413">
            <w:pPr>
              <w:jc w:val="both"/>
              <w:rPr>
                <w:sz w:val="20"/>
              </w:rPr>
            </w:pPr>
            <w:r w:rsidRPr="00197413">
              <w:rPr>
                <w:sz w:val="20"/>
              </w:rPr>
              <w:t>Criminal law — Evidence — Admissibility — Principles applicable to admissibility of evidence — When, if ever, should rap compositions, or other forms of musical expression, be admitted as evidence of guilt.</w:t>
            </w:r>
          </w:p>
          <w:p w:rsidR="00C91655" w:rsidRPr="00197413" w:rsidRDefault="00C91655" w:rsidP="00197413">
            <w:pPr>
              <w:jc w:val="both"/>
              <w:rPr>
                <w:sz w:val="20"/>
              </w:rPr>
            </w:pPr>
          </w:p>
        </w:tc>
      </w:tr>
      <w:tr w:rsidR="00C91655" w:rsidRPr="00197413" w:rsidTr="00C91655">
        <w:trPr>
          <w:gridAfter w:val="1"/>
          <w:wAfter w:w="48" w:type="pct"/>
        </w:trPr>
        <w:tc>
          <w:tcPr>
            <w:tcW w:w="4952" w:type="pct"/>
            <w:gridSpan w:val="4"/>
          </w:tcPr>
          <w:p w:rsidR="00C91655" w:rsidRPr="00197413" w:rsidRDefault="00C91655" w:rsidP="00197413">
            <w:pPr>
              <w:jc w:val="both"/>
              <w:rPr>
                <w:sz w:val="20"/>
              </w:rPr>
            </w:pPr>
            <w:r w:rsidRPr="00197413">
              <w:rPr>
                <w:sz w:val="20"/>
                <w:lang w:val="en"/>
              </w:rPr>
              <w:t>The Crown’s theory was that Mr. </w:t>
            </w:r>
            <w:proofErr w:type="spellStart"/>
            <w:r w:rsidRPr="00197413">
              <w:rPr>
                <w:sz w:val="20"/>
                <w:lang w:val="en"/>
              </w:rPr>
              <w:t>Skeete</w:t>
            </w:r>
            <w:proofErr w:type="spellEnd"/>
            <w:r w:rsidRPr="00197413">
              <w:rPr>
                <w:sz w:val="20"/>
                <w:lang w:val="en"/>
              </w:rPr>
              <w:t xml:space="preserve"> shot and killed Mr. Mark in retaliation for Mr. Mark’s implication of Mr. </w:t>
            </w:r>
            <w:proofErr w:type="spellStart"/>
            <w:r w:rsidRPr="00197413">
              <w:rPr>
                <w:sz w:val="20"/>
                <w:lang w:val="en"/>
              </w:rPr>
              <w:t>Skeete</w:t>
            </w:r>
            <w:proofErr w:type="spellEnd"/>
            <w:r w:rsidRPr="00197413">
              <w:rPr>
                <w:sz w:val="20"/>
                <w:lang w:val="en"/>
              </w:rPr>
              <w:t xml:space="preserve"> and another individual in his prior shooting. </w:t>
            </w:r>
            <w:r w:rsidRPr="00197413">
              <w:rPr>
                <w:color w:val="212529"/>
                <w:sz w:val="20"/>
                <w:lang w:val="en"/>
              </w:rPr>
              <w:t>Partway through the trial, the Crown became aware that Mr. </w:t>
            </w:r>
            <w:proofErr w:type="spellStart"/>
            <w:r w:rsidRPr="00197413">
              <w:rPr>
                <w:color w:val="212529"/>
                <w:sz w:val="20"/>
                <w:lang w:val="en"/>
              </w:rPr>
              <w:t>Skeete</w:t>
            </w:r>
            <w:proofErr w:type="spellEnd"/>
            <w:r w:rsidRPr="00197413">
              <w:rPr>
                <w:color w:val="212529"/>
                <w:sz w:val="20"/>
                <w:lang w:val="en"/>
              </w:rPr>
              <w:t xml:space="preserve"> had posted a composition entitled “Live from the Don” on a website. The Crown sought a ruling on the admissibility of a single lyric from the composition.</w:t>
            </w:r>
            <w:r w:rsidRPr="00197413">
              <w:rPr>
                <w:sz w:val="20"/>
                <w:lang w:val="en"/>
              </w:rPr>
              <w:t xml:space="preserve"> </w:t>
            </w:r>
            <w:r w:rsidRPr="00197413">
              <w:rPr>
                <w:sz w:val="20"/>
              </w:rPr>
              <w:t xml:space="preserve">The trial judge held that the evidence was admissible. After a trial by judge and jury, the applicant was convicted of first degree murder. The </w:t>
            </w:r>
            <w:r w:rsidRPr="00197413">
              <w:rPr>
                <w:color w:val="212529"/>
                <w:sz w:val="20"/>
                <w:lang w:val="en"/>
              </w:rPr>
              <w:t>Court of Appeal held that the trial judge’s probative value versus prejudicial effect analysis was flawed such that his conclusion was not entitled to deference.</w:t>
            </w:r>
            <w:r w:rsidRPr="00197413">
              <w:rPr>
                <w:sz w:val="20"/>
              </w:rPr>
              <w:t xml:space="preserve"> The Court of Appeal considered the question of the admissibility of the evidence afresh and ruled that it was admissible. The conviction appeal was dismissed by the Court of Appeal.</w:t>
            </w:r>
          </w:p>
          <w:p w:rsidR="00C91655" w:rsidRPr="00197413" w:rsidRDefault="00C91655" w:rsidP="00197413">
            <w:pPr>
              <w:jc w:val="both"/>
              <w:rPr>
                <w:sz w:val="20"/>
              </w:rPr>
            </w:pPr>
          </w:p>
        </w:tc>
      </w:tr>
      <w:tr w:rsidR="00C91655" w:rsidRPr="00197413" w:rsidTr="00C91655">
        <w:tblPrEx>
          <w:tblCellMar>
            <w:bottom w:w="0" w:type="dxa"/>
          </w:tblCellMar>
        </w:tblPrEx>
        <w:tc>
          <w:tcPr>
            <w:tcW w:w="2367" w:type="pct"/>
            <w:gridSpan w:val="2"/>
          </w:tcPr>
          <w:p w:rsidR="00C91655" w:rsidRPr="00197413" w:rsidRDefault="00C91655" w:rsidP="00197413">
            <w:pPr>
              <w:jc w:val="both"/>
              <w:rPr>
                <w:sz w:val="20"/>
              </w:rPr>
            </w:pPr>
            <w:r w:rsidRPr="00197413">
              <w:rPr>
                <w:sz w:val="20"/>
              </w:rPr>
              <w:t>March 30, 2012</w:t>
            </w:r>
          </w:p>
          <w:p w:rsidR="00C91655" w:rsidRPr="00197413" w:rsidRDefault="00C91655" w:rsidP="00197413">
            <w:pPr>
              <w:jc w:val="both"/>
              <w:rPr>
                <w:sz w:val="20"/>
              </w:rPr>
            </w:pPr>
            <w:r w:rsidRPr="00197413">
              <w:rPr>
                <w:sz w:val="20"/>
              </w:rPr>
              <w:t>Ontario Superior Court of Justice</w:t>
            </w:r>
          </w:p>
          <w:p w:rsidR="00C91655" w:rsidRPr="00197413" w:rsidRDefault="00C91655" w:rsidP="00197413">
            <w:pPr>
              <w:jc w:val="both"/>
              <w:rPr>
                <w:sz w:val="20"/>
              </w:rPr>
            </w:pPr>
            <w:r w:rsidRPr="00197413">
              <w:rPr>
                <w:sz w:val="20"/>
              </w:rPr>
              <w:t>(Nordheimer J.)</w:t>
            </w:r>
          </w:p>
          <w:p w:rsidR="00C91655" w:rsidRPr="00197413" w:rsidRDefault="00C91655" w:rsidP="00197413">
            <w:pPr>
              <w:jc w:val="both"/>
              <w:rPr>
                <w:sz w:val="20"/>
              </w:rPr>
            </w:pPr>
          </w:p>
        </w:tc>
        <w:tc>
          <w:tcPr>
            <w:tcW w:w="267" w:type="pct"/>
          </w:tcPr>
          <w:p w:rsidR="00C91655" w:rsidRPr="00197413" w:rsidRDefault="00C91655" w:rsidP="00197413">
            <w:pPr>
              <w:jc w:val="both"/>
              <w:rPr>
                <w:sz w:val="20"/>
              </w:rPr>
            </w:pPr>
          </w:p>
        </w:tc>
        <w:tc>
          <w:tcPr>
            <w:tcW w:w="2366" w:type="pct"/>
            <w:gridSpan w:val="2"/>
          </w:tcPr>
          <w:p w:rsidR="00C91655" w:rsidRPr="00197413" w:rsidRDefault="00C91655" w:rsidP="00197413">
            <w:pPr>
              <w:jc w:val="both"/>
              <w:rPr>
                <w:sz w:val="20"/>
              </w:rPr>
            </w:pPr>
            <w:r w:rsidRPr="00197413">
              <w:rPr>
                <w:sz w:val="20"/>
              </w:rPr>
              <w:t>Conviction: first degree murder</w:t>
            </w:r>
          </w:p>
          <w:p w:rsidR="00C91655" w:rsidRPr="00197413" w:rsidRDefault="00C91655" w:rsidP="00197413">
            <w:pPr>
              <w:jc w:val="both"/>
              <w:rPr>
                <w:sz w:val="20"/>
              </w:rPr>
            </w:pPr>
          </w:p>
        </w:tc>
      </w:tr>
      <w:tr w:rsidR="00C91655" w:rsidRPr="00197413" w:rsidTr="00C91655">
        <w:tblPrEx>
          <w:tblCellMar>
            <w:bottom w:w="0" w:type="dxa"/>
          </w:tblCellMar>
        </w:tblPrEx>
        <w:tc>
          <w:tcPr>
            <w:tcW w:w="2367" w:type="pct"/>
            <w:gridSpan w:val="2"/>
          </w:tcPr>
          <w:p w:rsidR="00C91655" w:rsidRPr="00197413" w:rsidRDefault="00C91655" w:rsidP="00197413">
            <w:pPr>
              <w:jc w:val="both"/>
              <w:rPr>
                <w:sz w:val="20"/>
              </w:rPr>
            </w:pPr>
            <w:r w:rsidRPr="00197413">
              <w:rPr>
                <w:sz w:val="20"/>
              </w:rPr>
              <w:t>November 30, 2017</w:t>
            </w:r>
          </w:p>
          <w:p w:rsidR="00C91655" w:rsidRPr="00197413" w:rsidRDefault="00C91655" w:rsidP="00197413">
            <w:pPr>
              <w:jc w:val="both"/>
              <w:rPr>
                <w:sz w:val="20"/>
              </w:rPr>
            </w:pPr>
            <w:r w:rsidRPr="00197413">
              <w:rPr>
                <w:sz w:val="20"/>
              </w:rPr>
              <w:t>Court of Appeal for Ontario</w:t>
            </w:r>
          </w:p>
          <w:p w:rsidR="00C91655" w:rsidRPr="00197413" w:rsidRDefault="00C91655" w:rsidP="00197413">
            <w:pPr>
              <w:jc w:val="both"/>
              <w:rPr>
                <w:sz w:val="20"/>
              </w:rPr>
            </w:pPr>
            <w:r w:rsidRPr="00197413">
              <w:rPr>
                <w:sz w:val="20"/>
              </w:rPr>
              <w:t>(Watt, van Rensburg, Pardu JJ.A.)</w:t>
            </w:r>
          </w:p>
          <w:p w:rsidR="00C91655" w:rsidRPr="00197413" w:rsidRDefault="00C91655" w:rsidP="00197413">
            <w:pPr>
              <w:jc w:val="both"/>
              <w:rPr>
                <w:sz w:val="20"/>
              </w:rPr>
            </w:pPr>
            <w:hyperlink r:id="rId41" w:history="1">
              <w:r w:rsidRPr="00197413">
                <w:rPr>
                  <w:rStyle w:val="Hyperlink"/>
                  <w:sz w:val="20"/>
                </w:rPr>
                <w:t>2017 ONCA 926</w:t>
              </w:r>
            </w:hyperlink>
            <w:r w:rsidRPr="00197413">
              <w:rPr>
                <w:sz w:val="20"/>
              </w:rPr>
              <w:t>;C55872</w:t>
            </w:r>
          </w:p>
          <w:p w:rsidR="00C91655" w:rsidRPr="00197413" w:rsidRDefault="00C91655" w:rsidP="00197413">
            <w:pPr>
              <w:jc w:val="both"/>
              <w:rPr>
                <w:sz w:val="20"/>
              </w:rPr>
            </w:pPr>
          </w:p>
        </w:tc>
        <w:tc>
          <w:tcPr>
            <w:tcW w:w="267" w:type="pct"/>
          </w:tcPr>
          <w:p w:rsidR="00C91655" w:rsidRPr="00197413" w:rsidRDefault="00C91655" w:rsidP="00197413">
            <w:pPr>
              <w:jc w:val="both"/>
              <w:rPr>
                <w:sz w:val="20"/>
              </w:rPr>
            </w:pPr>
          </w:p>
        </w:tc>
        <w:tc>
          <w:tcPr>
            <w:tcW w:w="2366" w:type="pct"/>
            <w:gridSpan w:val="2"/>
          </w:tcPr>
          <w:p w:rsidR="00C91655" w:rsidRPr="00197413" w:rsidRDefault="00C91655" w:rsidP="00197413">
            <w:pPr>
              <w:jc w:val="both"/>
              <w:rPr>
                <w:sz w:val="20"/>
              </w:rPr>
            </w:pPr>
            <w:r w:rsidRPr="00197413">
              <w:rPr>
                <w:sz w:val="20"/>
              </w:rPr>
              <w:t>Conviction appeal dismissed</w:t>
            </w:r>
          </w:p>
          <w:p w:rsidR="00C91655" w:rsidRPr="00197413" w:rsidRDefault="00C91655" w:rsidP="00197413">
            <w:pPr>
              <w:jc w:val="both"/>
              <w:rPr>
                <w:sz w:val="20"/>
              </w:rPr>
            </w:pPr>
          </w:p>
        </w:tc>
      </w:tr>
      <w:tr w:rsidR="00C91655" w:rsidRPr="00197413" w:rsidTr="00C91655">
        <w:tblPrEx>
          <w:tblCellMar>
            <w:bottom w:w="0" w:type="dxa"/>
          </w:tblCellMar>
        </w:tblPrEx>
        <w:tc>
          <w:tcPr>
            <w:tcW w:w="2367" w:type="pct"/>
            <w:gridSpan w:val="2"/>
          </w:tcPr>
          <w:p w:rsidR="00C91655" w:rsidRPr="00197413" w:rsidRDefault="00C91655" w:rsidP="00197413">
            <w:pPr>
              <w:jc w:val="both"/>
              <w:rPr>
                <w:sz w:val="20"/>
              </w:rPr>
            </w:pPr>
            <w:r w:rsidRPr="00197413">
              <w:rPr>
                <w:sz w:val="20"/>
              </w:rPr>
              <w:t>December 13, 2018</w:t>
            </w:r>
          </w:p>
          <w:p w:rsidR="00C91655" w:rsidRPr="00197413" w:rsidRDefault="00C91655" w:rsidP="00197413">
            <w:pPr>
              <w:jc w:val="both"/>
              <w:rPr>
                <w:sz w:val="20"/>
              </w:rPr>
            </w:pPr>
            <w:r w:rsidRPr="00197413">
              <w:rPr>
                <w:sz w:val="20"/>
              </w:rPr>
              <w:t>Supreme Court of Canada</w:t>
            </w:r>
          </w:p>
          <w:p w:rsidR="00C91655" w:rsidRPr="00197413" w:rsidRDefault="00C91655" w:rsidP="00197413">
            <w:pPr>
              <w:jc w:val="both"/>
              <w:rPr>
                <w:sz w:val="20"/>
              </w:rPr>
            </w:pPr>
          </w:p>
        </w:tc>
        <w:tc>
          <w:tcPr>
            <w:tcW w:w="267" w:type="pct"/>
          </w:tcPr>
          <w:p w:rsidR="00C91655" w:rsidRPr="00197413" w:rsidRDefault="00C91655" w:rsidP="00197413">
            <w:pPr>
              <w:jc w:val="both"/>
              <w:rPr>
                <w:sz w:val="20"/>
              </w:rPr>
            </w:pPr>
          </w:p>
        </w:tc>
        <w:tc>
          <w:tcPr>
            <w:tcW w:w="2366" w:type="pct"/>
            <w:gridSpan w:val="2"/>
          </w:tcPr>
          <w:p w:rsidR="00C91655" w:rsidRPr="00197413" w:rsidRDefault="00C91655" w:rsidP="007E41BB">
            <w:pPr>
              <w:jc w:val="both"/>
              <w:rPr>
                <w:sz w:val="20"/>
              </w:rPr>
            </w:pPr>
            <w:r w:rsidRPr="00197413">
              <w:rPr>
                <w:sz w:val="20"/>
              </w:rPr>
              <w:t>Motion for an extension of time to serve and file the application for leave to appeal and application for leave to appeal filed</w:t>
            </w:r>
          </w:p>
        </w:tc>
      </w:tr>
    </w:tbl>
    <w:p w:rsidR="00C91655" w:rsidRDefault="00C91655" w:rsidP="00197413">
      <w:pPr>
        <w:ind w:left="142" w:hanging="142"/>
        <w:jc w:val="both"/>
        <w:rPr>
          <w:sz w:val="20"/>
        </w:rPr>
      </w:pPr>
    </w:p>
    <w:p w:rsidR="007E41BB" w:rsidRPr="00197413" w:rsidRDefault="007E41BB" w:rsidP="00197413">
      <w:pPr>
        <w:ind w:left="142" w:hanging="142"/>
        <w:jc w:val="both"/>
        <w:rPr>
          <w:sz w:val="20"/>
        </w:rPr>
      </w:pPr>
      <w:r>
        <w:rPr>
          <w:sz w:val="20"/>
        </w:rPr>
        <w:pict>
          <v:rect id="_x0000_i1043" style="width:2in;height:1pt" o:hrpct="0" o:hralign="center" o:hrstd="t" o:hrnoshade="t" o:hr="t" fillcolor="black [3213]" stroked="f"/>
        </w:pict>
      </w:r>
    </w:p>
    <w:p w:rsidR="00C91655" w:rsidRPr="00197413" w:rsidRDefault="00C91655" w:rsidP="00197413">
      <w:pPr>
        <w:ind w:left="142" w:hanging="142"/>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C91655" w:rsidRPr="00197413" w:rsidTr="00C91655">
        <w:trPr>
          <w:gridAfter w:val="1"/>
          <w:wAfter w:w="48" w:type="pct"/>
        </w:trPr>
        <w:tc>
          <w:tcPr>
            <w:tcW w:w="537" w:type="pct"/>
          </w:tcPr>
          <w:p w:rsidR="00C91655" w:rsidRPr="00197413" w:rsidRDefault="00C91655" w:rsidP="00197413">
            <w:pPr>
              <w:jc w:val="both"/>
              <w:rPr>
                <w:sz w:val="20"/>
                <w:lang w:val="fr-CA"/>
              </w:rPr>
            </w:pPr>
            <w:r w:rsidRPr="00197413">
              <w:rPr>
                <w:rStyle w:val="SCCFileNumberChar"/>
                <w:sz w:val="20"/>
                <w:szCs w:val="20"/>
                <w:lang w:val="fr-CA"/>
              </w:rPr>
              <w:t>38442</w:t>
            </w:r>
          </w:p>
        </w:tc>
        <w:tc>
          <w:tcPr>
            <w:tcW w:w="4415" w:type="pct"/>
            <w:gridSpan w:val="3"/>
          </w:tcPr>
          <w:p w:rsidR="00C91655" w:rsidRPr="007E41BB" w:rsidRDefault="00C91655" w:rsidP="00197413">
            <w:pPr>
              <w:pStyle w:val="SCCLsocParty"/>
              <w:jc w:val="both"/>
              <w:rPr>
                <w:b/>
                <w:sz w:val="20"/>
                <w:szCs w:val="20"/>
              </w:rPr>
            </w:pPr>
            <w:r w:rsidRPr="007E41BB">
              <w:rPr>
                <w:b/>
                <w:sz w:val="20"/>
                <w:szCs w:val="20"/>
              </w:rPr>
              <w:t>Lamar Skeete c. Sa Majesté la Reine</w:t>
            </w:r>
          </w:p>
          <w:p w:rsidR="00C91655" w:rsidRPr="00197413" w:rsidRDefault="00C91655" w:rsidP="00197413">
            <w:pPr>
              <w:jc w:val="both"/>
              <w:rPr>
                <w:sz w:val="20"/>
                <w:lang w:val="fr-CA"/>
              </w:rPr>
            </w:pPr>
            <w:r w:rsidRPr="00197413">
              <w:rPr>
                <w:sz w:val="20"/>
                <w:lang w:val="fr-CA"/>
              </w:rPr>
              <w:t>(Ont.) (Criminelle) (Autorisation)</w:t>
            </w:r>
          </w:p>
        </w:tc>
      </w:tr>
      <w:tr w:rsidR="00C91655" w:rsidRPr="00197413" w:rsidTr="00C91655">
        <w:trPr>
          <w:gridAfter w:val="1"/>
          <w:wAfter w:w="48" w:type="pct"/>
        </w:trPr>
        <w:tc>
          <w:tcPr>
            <w:tcW w:w="4952" w:type="pct"/>
            <w:gridSpan w:val="4"/>
          </w:tcPr>
          <w:p w:rsidR="00C91655" w:rsidRPr="00197413" w:rsidRDefault="00C91655" w:rsidP="00197413">
            <w:pPr>
              <w:pStyle w:val="SCCBanSummary"/>
              <w:rPr>
                <w:sz w:val="20"/>
                <w:szCs w:val="20"/>
                <w:lang w:val="fr-CA"/>
              </w:rPr>
            </w:pPr>
            <w:r w:rsidRPr="00197413">
              <w:rPr>
                <w:sz w:val="20"/>
                <w:szCs w:val="20"/>
                <w:lang w:val="fr-CA"/>
              </w:rPr>
              <w:t>(Ordonnance de non-publication dans le dossier)</w:t>
            </w:r>
          </w:p>
          <w:p w:rsidR="00C91655" w:rsidRPr="00197413" w:rsidRDefault="00C91655" w:rsidP="00197413">
            <w:pPr>
              <w:jc w:val="both"/>
              <w:rPr>
                <w:sz w:val="20"/>
                <w:lang w:val="fr-CA"/>
              </w:rPr>
            </w:pPr>
          </w:p>
        </w:tc>
      </w:tr>
      <w:tr w:rsidR="00C91655" w:rsidRPr="00197413" w:rsidTr="00C91655">
        <w:trPr>
          <w:gridAfter w:val="1"/>
          <w:wAfter w:w="48" w:type="pct"/>
        </w:trPr>
        <w:tc>
          <w:tcPr>
            <w:tcW w:w="4952" w:type="pct"/>
            <w:gridSpan w:val="4"/>
          </w:tcPr>
          <w:p w:rsidR="00C91655" w:rsidRPr="00197413" w:rsidRDefault="00C91655" w:rsidP="00197413">
            <w:pPr>
              <w:jc w:val="both"/>
              <w:rPr>
                <w:sz w:val="20"/>
                <w:lang w:val="fr-CA"/>
              </w:rPr>
            </w:pPr>
            <w:r w:rsidRPr="00197413">
              <w:rPr>
                <w:sz w:val="20"/>
                <w:lang w:val="fr-CA"/>
              </w:rPr>
              <w:t>Droit criminel — Preuve — Admissibilité — Principes applicables à l’admissibilité de la preuve — Dans quels cas, s’il en est, convient-il d’admettre, comme preuve de la culpabilité, des compositions rap ou d’autres formes d’expression musicale?</w:t>
            </w:r>
          </w:p>
          <w:p w:rsidR="00C91655" w:rsidRPr="00197413" w:rsidRDefault="00C91655" w:rsidP="00197413">
            <w:pPr>
              <w:jc w:val="both"/>
              <w:rPr>
                <w:sz w:val="20"/>
                <w:lang w:val="fr-CA"/>
              </w:rPr>
            </w:pPr>
          </w:p>
        </w:tc>
      </w:tr>
      <w:tr w:rsidR="00C91655" w:rsidRPr="00197413" w:rsidTr="00C91655">
        <w:trPr>
          <w:gridAfter w:val="1"/>
          <w:wAfter w:w="48" w:type="pct"/>
        </w:trPr>
        <w:tc>
          <w:tcPr>
            <w:tcW w:w="4952" w:type="pct"/>
            <w:gridSpan w:val="4"/>
          </w:tcPr>
          <w:p w:rsidR="00C91655" w:rsidRPr="00197413" w:rsidRDefault="00C91655" w:rsidP="00197413">
            <w:pPr>
              <w:jc w:val="both"/>
              <w:rPr>
                <w:sz w:val="20"/>
                <w:lang w:val="fr-CA"/>
              </w:rPr>
            </w:pPr>
            <w:r w:rsidRPr="00197413">
              <w:rPr>
                <w:sz w:val="20"/>
                <w:lang w:val="fr-CA"/>
              </w:rPr>
              <w:t xml:space="preserve">La Couronne soutenait que M. Skeete avait tué par balle M. Mark en guise de représailles parce que M. Mark avait impliqué M. Skeete et un autre individu dans sa fusillade antérieure. </w:t>
            </w:r>
            <w:r w:rsidRPr="00197413">
              <w:rPr>
                <w:color w:val="212529"/>
                <w:sz w:val="20"/>
                <w:lang w:val="fr-CA"/>
              </w:rPr>
              <w:t>En cours de procès, le ministère public a appris que M. Skeete avait mis en ligne une composition intitulée « Live from the Don » sur un site Web. Le ministère public a demandé au juge du procès de statuer sur l’admissibilité d’une seule parole de la composition.</w:t>
            </w:r>
            <w:r w:rsidRPr="00197413">
              <w:rPr>
                <w:sz w:val="20"/>
                <w:lang w:val="fr-CA"/>
              </w:rPr>
              <w:t xml:space="preserve"> Le juge a statué que la preuve était admissible. Au terme d’un procès devant juge et jury, le demandeur a été déclaré coupable </w:t>
            </w:r>
            <w:r w:rsidRPr="00197413">
              <w:rPr>
                <w:sz w:val="20"/>
                <w:lang w:val="fr-CA"/>
              </w:rPr>
              <w:lastRenderedPageBreak/>
              <w:t>de meurtre au premier degré. La Cour d’appel a statué que l’analyse faite par le juge du procès de la valeur probante par rapport à l’effet préjudiciable était viciée, si bien que sa conclusion ne commandait aucune déférence</w:t>
            </w:r>
            <w:r w:rsidRPr="00197413">
              <w:rPr>
                <w:color w:val="212529"/>
                <w:sz w:val="20"/>
                <w:lang w:val="fr-CA"/>
              </w:rPr>
              <w:t>.</w:t>
            </w:r>
            <w:r w:rsidRPr="00197413">
              <w:rPr>
                <w:sz w:val="20"/>
                <w:lang w:val="fr-CA"/>
              </w:rPr>
              <w:t xml:space="preserve"> La Cour d’appel a examiné de nouveau la question de l’admissibilité de la preuve et a statué qu’elle était admissible. La Cour d’appel a rejeté l’appel de la déclaration de culpabilité.</w:t>
            </w:r>
          </w:p>
          <w:p w:rsidR="00C91655" w:rsidRPr="00197413" w:rsidRDefault="00C91655" w:rsidP="00197413">
            <w:pPr>
              <w:jc w:val="both"/>
              <w:rPr>
                <w:sz w:val="20"/>
                <w:lang w:val="fr-CA"/>
              </w:rPr>
            </w:pPr>
          </w:p>
        </w:tc>
      </w:tr>
      <w:tr w:rsidR="00C91655" w:rsidRPr="00197413" w:rsidTr="00C91655">
        <w:tblPrEx>
          <w:tblCellMar>
            <w:bottom w:w="0" w:type="dxa"/>
          </w:tblCellMar>
        </w:tblPrEx>
        <w:tc>
          <w:tcPr>
            <w:tcW w:w="2367" w:type="pct"/>
            <w:gridSpan w:val="2"/>
          </w:tcPr>
          <w:p w:rsidR="00C91655" w:rsidRPr="00197413" w:rsidRDefault="00C91655" w:rsidP="00197413">
            <w:pPr>
              <w:jc w:val="both"/>
              <w:rPr>
                <w:sz w:val="20"/>
                <w:lang w:val="fr-CA"/>
              </w:rPr>
            </w:pPr>
            <w:r w:rsidRPr="00197413">
              <w:rPr>
                <w:sz w:val="20"/>
                <w:lang w:val="fr-CA"/>
              </w:rPr>
              <w:lastRenderedPageBreak/>
              <w:t>30 mars 2012</w:t>
            </w:r>
          </w:p>
          <w:p w:rsidR="00C91655" w:rsidRPr="00197413" w:rsidRDefault="00C91655" w:rsidP="00197413">
            <w:pPr>
              <w:jc w:val="both"/>
              <w:rPr>
                <w:sz w:val="20"/>
                <w:lang w:val="fr-CA"/>
              </w:rPr>
            </w:pPr>
            <w:r w:rsidRPr="00197413">
              <w:rPr>
                <w:sz w:val="20"/>
                <w:lang w:val="fr-CA"/>
              </w:rPr>
              <w:t>Cour supérieure de justice de l’Ontario</w:t>
            </w:r>
          </w:p>
          <w:p w:rsidR="00C91655" w:rsidRPr="00197413" w:rsidRDefault="00C91655" w:rsidP="00197413">
            <w:pPr>
              <w:jc w:val="both"/>
              <w:rPr>
                <w:sz w:val="20"/>
                <w:lang w:val="fr-CA"/>
              </w:rPr>
            </w:pPr>
            <w:r w:rsidRPr="00197413">
              <w:rPr>
                <w:sz w:val="20"/>
                <w:lang w:val="fr-CA"/>
              </w:rPr>
              <w:t>(Juge Nordheimer)</w:t>
            </w:r>
          </w:p>
          <w:p w:rsidR="00C91655" w:rsidRPr="00197413" w:rsidRDefault="00C91655" w:rsidP="00197413">
            <w:pPr>
              <w:jc w:val="both"/>
              <w:rPr>
                <w:sz w:val="20"/>
                <w:lang w:val="fr-CA"/>
              </w:rPr>
            </w:pPr>
          </w:p>
        </w:tc>
        <w:tc>
          <w:tcPr>
            <w:tcW w:w="267" w:type="pct"/>
          </w:tcPr>
          <w:p w:rsidR="00C91655" w:rsidRPr="00197413" w:rsidRDefault="00C91655" w:rsidP="00197413">
            <w:pPr>
              <w:jc w:val="both"/>
              <w:rPr>
                <w:sz w:val="20"/>
                <w:lang w:val="fr-CA"/>
              </w:rPr>
            </w:pPr>
          </w:p>
        </w:tc>
        <w:tc>
          <w:tcPr>
            <w:tcW w:w="2366" w:type="pct"/>
            <w:gridSpan w:val="2"/>
          </w:tcPr>
          <w:p w:rsidR="00C91655" w:rsidRPr="00197413" w:rsidRDefault="00C91655" w:rsidP="00197413">
            <w:pPr>
              <w:jc w:val="both"/>
              <w:rPr>
                <w:sz w:val="20"/>
                <w:lang w:val="fr-CA"/>
              </w:rPr>
            </w:pPr>
            <w:r w:rsidRPr="00197413">
              <w:rPr>
                <w:sz w:val="20"/>
                <w:lang w:val="fr-CA"/>
              </w:rPr>
              <w:t>Déclaration de culpabilité : meurtre au premier degré</w:t>
            </w:r>
          </w:p>
          <w:p w:rsidR="00C91655" w:rsidRPr="00197413" w:rsidRDefault="00C91655" w:rsidP="00197413">
            <w:pPr>
              <w:jc w:val="both"/>
              <w:rPr>
                <w:sz w:val="20"/>
                <w:lang w:val="fr-CA"/>
              </w:rPr>
            </w:pPr>
          </w:p>
        </w:tc>
      </w:tr>
      <w:tr w:rsidR="00C91655" w:rsidRPr="00197413" w:rsidTr="00C91655">
        <w:tblPrEx>
          <w:tblCellMar>
            <w:bottom w:w="0" w:type="dxa"/>
          </w:tblCellMar>
        </w:tblPrEx>
        <w:tc>
          <w:tcPr>
            <w:tcW w:w="2367" w:type="pct"/>
            <w:gridSpan w:val="2"/>
          </w:tcPr>
          <w:p w:rsidR="00C91655" w:rsidRPr="00197413" w:rsidRDefault="00C91655" w:rsidP="00197413">
            <w:pPr>
              <w:jc w:val="both"/>
              <w:rPr>
                <w:sz w:val="20"/>
                <w:lang w:val="fr-CA"/>
              </w:rPr>
            </w:pPr>
            <w:r w:rsidRPr="00197413">
              <w:rPr>
                <w:sz w:val="20"/>
                <w:lang w:val="fr-CA"/>
              </w:rPr>
              <w:t>30 novembre 2017</w:t>
            </w:r>
          </w:p>
          <w:p w:rsidR="00C91655" w:rsidRPr="00197413" w:rsidRDefault="00C91655" w:rsidP="00197413">
            <w:pPr>
              <w:jc w:val="both"/>
              <w:rPr>
                <w:sz w:val="20"/>
                <w:lang w:val="fr-CA"/>
              </w:rPr>
            </w:pPr>
            <w:r w:rsidRPr="00197413">
              <w:rPr>
                <w:sz w:val="20"/>
                <w:lang w:val="fr-CA"/>
              </w:rPr>
              <w:t>Cour d’appel de l’Ontario</w:t>
            </w:r>
          </w:p>
          <w:p w:rsidR="00C91655" w:rsidRPr="00197413" w:rsidRDefault="00C91655" w:rsidP="00197413">
            <w:pPr>
              <w:jc w:val="both"/>
              <w:rPr>
                <w:sz w:val="20"/>
                <w:lang w:val="fr-CA"/>
              </w:rPr>
            </w:pPr>
            <w:r w:rsidRPr="00197413">
              <w:rPr>
                <w:sz w:val="20"/>
                <w:lang w:val="fr-CA"/>
              </w:rPr>
              <w:t>(Juges Watt, van Rensburg et Pardu)</w:t>
            </w:r>
          </w:p>
          <w:p w:rsidR="00C91655" w:rsidRPr="00197413" w:rsidRDefault="00C91655" w:rsidP="00197413">
            <w:pPr>
              <w:jc w:val="both"/>
              <w:rPr>
                <w:sz w:val="20"/>
                <w:lang w:val="fr-CA"/>
              </w:rPr>
            </w:pPr>
            <w:hyperlink r:id="rId42" w:history="1">
              <w:r w:rsidRPr="00197413">
                <w:rPr>
                  <w:rStyle w:val="Hyperlink"/>
                  <w:sz w:val="20"/>
                  <w:lang w:val="fr-CA"/>
                </w:rPr>
                <w:t>2017 ONCA 926</w:t>
              </w:r>
            </w:hyperlink>
            <w:r w:rsidRPr="00197413">
              <w:rPr>
                <w:sz w:val="20"/>
                <w:lang w:val="fr-CA"/>
              </w:rPr>
              <w:t>;C55872</w:t>
            </w:r>
          </w:p>
          <w:p w:rsidR="00C91655" w:rsidRPr="00197413" w:rsidRDefault="00C91655" w:rsidP="00197413">
            <w:pPr>
              <w:jc w:val="both"/>
              <w:rPr>
                <w:sz w:val="20"/>
                <w:lang w:val="fr-CA"/>
              </w:rPr>
            </w:pPr>
          </w:p>
        </w:tc>
        <w:tc>
          <w:tcPr>
            <w:tcW w:w="267" w:type="pct"/>
          </w:tcPr>
          <w:p w:rsidR="00C91655" w:rsidRPr="00197413" w:rsidRDefault="00C91655" w:rsidP="00197413">
            <w:pPr>
              <w:jc w:val="both"/>
              <w:rPr>
                <w:sz w:val="20"/>
                <w:lang w:val="fr-CA"/>
              </w:rPr>
            </w:pPr>
          </w:p>
        </w:tc>
        <w:tc>
          <w:tcPr>
            <w:tcW w:w="2366" w:type="pct"/>
            <w:gridSpan w:val="2"/>
          </w:tcPr>
          <w:p w:rsidR="00C91655" w:rsidRPr="00197413" w:rsidRDefault="00C91655" w:rsidP="00197413">
            <w:pPr>
              <w:jc w:val="both"/>
              <w:rPr>
                <w:sz w:val="20"/>
                <w:lang w:val="fr-CA"/>
              </w:rPr>
            </w:pPr>
            <w:r w:rsidRPr="00197413">
              <w:rPr>
                <w:sz w:val="20"/>
                <w:lang w:val="fr-CA"/>
              </w:rPr>
              <w:t>Rejet de l’appel de la déclaration de culpabilité</w:t>
            </w:r>
          </w:p>
          <w:p w:rsidR="00C91655" w:rsidRPr="00197413" w:rsidRDefault="00C91655" w:rsidP="00197413">
            <w:pPr>
              <w:jc w:val="both"/>
              <w:rPr>
                <w:sz w:val="20"/>
                <w:lang w:val="fr-CA"/>
              </w:rPr>
            </w:pPr>
          </w:p>
        </w:tc>
      </w:tr>
      <w:tr w:rsidR="00C91655" w:rsidRPr="00197413" w:rsidTr="00C91655">
        <w:tblPrEx>
          <w:tblCellMar>
            <w:bottom w:w="0" w:type="dxa"/>
          </w:tblCellMar>
        </w:tblPrEx>
        <w:tc>
          <w:tcPr>
            <w:tcW w:w="2367" w:type="pct"/>
            <w:gridSpan w:val="2"/>
          </w:tcPr>
          <w:p w:rsidR="00C91655" w:rsidRPr="00197413" w:rsidRDefault="00C91655" w:rsidP="00197413">
            <w:pPr>
              <w:jc w:val="both"/>
              <w:rPr>
                <w:sz w:val="20"/>
                <w:lang w:val="fr-CA"/>
              </w:rPr>
            </w:pPr>
            <w:r w:rsidRPr="00197413">
              <w:rPr>
                <w:sz w:val="20"/>
                <w:lang w:val="fr-CA"/>
              </w:rPr>
              <w:t>13 décembre 2018</w:t>
            </w:r>
          </w:p>
          <w:p w:rsidR="00C91655" w:rsidRPr="00197413" w:rsidRDefault="00C91655" w:rsidP="00197413">
            <w:pPr>
              <w:jc w:val="both"/>
              <w:rPr>
                <w:sz w:val="20"/>
                <w:lang w:val="fr-CA"/>
              </w:rPr>
            </w:pPr>
            <w:r w:rsidRPr="00197413">
              <w:rPr>
                <w:sz w:val="20"/>
                <w:lang w:val="fr-CA"/>
              </w:rPr>
              <w:t>Cour suprême du Canada</w:t>
            </w:r>
          </w:p>
          <w:p w:rsidR="00C91655" w:rsidRPr="00197413" w:rsidRDefault="00C91655" w:rsidP="00197413">
            <w:pPr>
              <w:jc w:val="both"/>
              <w:rPr>
                <w:sz w:val="20"/>
                <w:lang w:val="fr-CA"/>
              </w:rPr>
            </w:pPr>
          </w:p>
        </w:tc>
        <w:tc>
          <w:tcPr>
            <w:tcW w:w="267" w:type="pct"/>
          </w:tcPr>
          <w:p w:rsidR="00C91655" w:rsidRPr="00197413" w:rsidRDefault="00C91655" w:rsidP="00197413">
            <w:pPr>
              <w:jc w:val="both"/>
              <w:rPr>
                <w:sz w:val="20"/>
                <w:lang w:val="fr-CA"/>
              </w:rPr>
            </w:pPr>
          </w:p>
        </w:tc>
        <w:tc>
          <w:tcPr>
            <w:tcW w:w="2366" w:type="pct"/>
            <w:gridSpan w:val="2"/>
          </w:tcPr>
          <w:p w:rsidR="00C91655" w:rsidRPr="00197413" w:rsidRDefault="00C91655" w:rsidP="007E41BB">
            <w:pPr>
              <w:jc w:val="both"/>
              <w:rPr>
                <w:sz w:val="20"/>
                <w:lang w:val="fr-CA"/>
              </w:rPr>
            </w:pPr>
            <w:r w:rsidRPr="00197413">
              <w:rPr>
                <w:sz w:val="20"/>
                <w:lang w:val="fr-CA"/>
              </w:rPr>
              <w:t>Dépôt de la requête en prorogation du délai de signification et de dépôt de la demande d’autorisation d’appel et de la demande d’autorisation d’appel</w:t>
            </w:r>
          </w:p>
        </w:tc>
      </w:tr>
    </w:tbl>
    <w:p w:rsidR="00C91655" w:rsidRDefault="00C91655" w:rsidP="00197413">
      <w:pPr>
        <w:jc w:val="both"/>
        <w:rPr>
          <w:sz w:val="20"/>
          <w:lang w:val="fr-CA"/>
        </w:rPr>
      </w:pPr>
    </w:p>
    <w:p w:rsidR="007E41BB" w:rsidRPr="00197413" w:rsidRDefault="007E41BB" w:rsidP="00197413">
      <w:pPr>
        <w:jc w:val="both"/>
        <w:rPr>
          <w:sz w:val="20"/>
          <w:lang w:val="fr-CA"/>
        </w:rPr>
      </w:pPr>
      <w:r>
        <w:rPr>
          <w:sz w:val="20"/>
        </w:rPr>
        <w:pict>
          <v:rect id="_x0000_i1044" style="width:2in;height:1pt" o:hrpct="0" o:hralign="center" o:hrstd="t" o:hrnoshade="t" o:hr="t" fillcolor="black [3213]" stroked="f"/>
        </w:pict>
      </w:r>
    </w:p>
    <w:p w:rsidR="00C91655" w:rsidRPr="00197413" w:rsidRDefault="00C91655" w:rsidP="0019741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lang w:val="en-CA"/>
              </w:rPr>
            </w:pPr>
            <w:r w:rsidRPr="00197413">
              <w:rPr>
                <w:rStyle w:val="SCCFileNumberChar"/>
                <w:sz w:val="20"/>
                <w:szCs w:val="20"/>
              </w:rPr>
              <w:t>38321</w:t>
            </w:r>
          </w:p>
        </w:tc>
        <w:tc>
          <w:tcPr>
            <w:tcW w:w="4457" w:type="pct"/>
            <w:gridSpan w:val="3"/>
          </w:tcPr>
          <w:p w:rsidR="00C91655" w:rsidRPr="007E41BB" w:rsidRDefault="00C91655" w:rsidP="00197413">
            <w:pPr>
              <w:pStyle w:val="SCCLsocParty"/>
              <w:jc w:val="both"/>
              <w:rPr>
                <w:b/>
                <w:sz w:val="20"/>
                <w:szCs w:val="20"/>
                <w:lang w:val="en-CA"/>
              </w:rPr>
            </w:pPr>
            <w:r w:rsidRPr="007E41BB">
              <w:rPr>
                <w:b/>
                <w:sz w:val="20"/>
                <w:szCs w:val="20"/>
                <w:lang w:val="en-CA"/>
              </w:rPr>
              <w:t>Daniel Turp v. Minister of Foreign Affairs</w:t>
            </w:r>
          </w:p>
          <w:p w:rsidR="00C91655" w:rsidRPr="00197413" w:rsidRDefault="00C91655" w:rsidP="00197413">
            <w:pPr>
              <w:jc w:val="both"/>
              <w:rPr>
                <w:sz w:val="20"/>
                <w:lang w:val="en-CA"/>
              </w:rPr>
            </w:pPr>
            <w:r w:rsidRPr="00197413">
              <w:rPr>
                <w:sz w:val="20"/>
                <w:lang w:val="en-CA"/>
              </w:rPr>
              <w:t>(F</w:t>
            </w:r>
            <w:r w:rsidR="007E41BB">
              <w:rPr>
                <w:sz w:val="20"/>
                <w:lang w:val="en-CA"/>
              </w:rPr>
              <w:t>.</w:t>
            </w:r>
            <w:r w:rsidRPr="00197413">
              <w:rPr>
                <w:sz w:val="20"/>
                <w:lang w:val="en-CA"/>
              </w:rPr>
              <w:t>C</w:t>
            </w:r>
            <w:r w:rsidR="007E41BB">
              <w:rPr>
                <w:sz w:val="20"/>
                <w:lang w:val="en-CA"/>
              </w:rPr>
              <w:t>.</w:t>
            </w:r>
            <w:r w:rsidRPr="00197413">
              <w:rPr>
                <w:sz w:val="20"/>
                <w:lang w:val="en-CA"/>
              </w:rPr>
              <w:t>) (Civil) (By Leave)</w:t>
            </w:r>
          </w:p>
        </w:tc>
      </w:tr>
      <w:tr w:rsidR="00C91655" w:rsidRPr="00197413" w:rsidTr="00C91655">
        <w:tc>
          <w:tcPr>
            <w:tcW w:w="5000" w:type="pct"/>
            <w:gridSpan w:val="4"/>
          </w:tcPr>
          <w:p w:rsidR="00C91655" w:rsidRPr="00197413" w:rsidRDefault="00C91655" w:rsidP="00197413">
            <w:pPr>
              <w:jc w:val="both"/>
              <w:rPr>
                <w:sz w:val="20"/>
                <w:lang w:val="en-CA"/>
              </w:rPr>
            </w:pPr>
            <w:proofErr w:type="gramStart"/>
            <w:r w:rsidRPr="00197413">
              <w:rPr>
                <w:sz w:val="20"/>
                <w:lang w:val="en-CA"/>
              </w:rPr>
              <w:t xml:space="preserve">Public international law — Granting of export permits — Light armoured vehicles — Minister of Foreign Affairs granting export permits to company for export of light armoured vehicles to Saudi Arabia — Whether, in context of application for judicial review made in public interest, applicant has standing to raise violations of international treaties to which Canada is party, </w:t>
            </w:r>
            <w:r w:rsidRPr="00197413">
              <w:rPr>
                <w:i/>
                <w:sz w:val="20"/>
                <w:lang w:val="en-CA"/>
              </w:rPr>
              <w:t>a fortiori</w:t>
            </w:r>
            <w:r w:rsidRPr="00197413">
              <w:rPr>
                <w:sz w:val="20"/>
                <w:lang w:val="en-CA"/>
              </w:rPr>
              <w:t xml:space="preserve"> where Parliament has incorporated treaties in question into Canadian law by way of legislation — Whether discretion to authorize export of arms provided for in section 7 of </w:t>
            </w:r>
            <w:r w:rsidRPr="00197413">
              <w:rPr>
                <w:i/>
                <w:sz w:val="20"/>
                <w:lang w:val="en-CA"/>
              </w:rPr>
              <w:t>Export and Import Permits Act</w:t>
            </w:r>
            <w:r w:rsidRPr="00197413">
              <w:rPr>
                <w:sz w:val="20"/>
                <w:lang w:val="en-CA"/>
              </w:rPr>
              <w:t xml:space="preserve">, R.S.C. 1985, c. E-19, is limited in any way by obligations under international treaties ratified by Canada and by </w:t>
            </w:r>
            <w:r w:rsidRPr="00197413">
              <w:rPr>
                <w:i/>
                <w:sz w:val="20"/>
                <w:lang w:val="en-CA"/>
              </w:rPr>
              <w:t>Guidelines</w:t>
            </w:r>
            <w:r w:rsidRPr="00197413">
              <w:rPr>
                <w:sz w:val="20"/>
                <w:lang w:val="en-CA"/>
              </w:rPr>
              <w:t xml:space="preserve"> established by government to ensure their implementation — If so, in what way — Criteria Minister of Foreign Affairs must consider in assessing risk of use of arms against civilian populations and level of proof required in order to conclude that such risk exists.</w:t>
            </w:r>
            <w:proofErr w:type="gramEnd"/>
          </w:p>
        </w:tc>
      </w:tr>
      <w:tr w:rsidR="00C91655" w:rsidRPr="00197413" w:rsidTr="00C91655">
        <w:tc>
          <w:tcPr>
            <w:tcW w:w="5000" w:type="pct"/>
            <w:gridSpan w:val="4"/>
          </w:tcPr>
          <w:p w:rsidR="00C91655" w:rsidRPr="00197413" w:rsidRDefault="00C91655" w:rsidP="00197413">
            <w:pPr>
              <w:jc w:val="both"/>
              <w:rPr>
                <w:sz w:val="20"/>
                <w:lang w:val="en-CA"/>
              </w:rPr>
            </w:pPr>
          </w:p>
        </w:tc>
      </w:tr>
      <w:tr w:rsidR="00C91655" w:rsidRPr="00197413" w:rsidTr="00C91655">
        <w:tc>
          <w:tcPr>
            <w:tcW w:w="5000" w:type="pct"/>
            <w:gridSpan w:val="4"/>
          </w:tcPr>
          <w:p w:rsidR="00C91655" w:rsidRPr="00197413" w:rsidRDefault="00C91655" w:rsidP="00197413">
            <w:pPr>
              <w:jc w:val="both"/>
              <w:rPr>
                <w:sz w:val="20"/>
                <w:lang w:val="en-CA"/>
              </w:rPr>
            </w:pPr>
            <w:r w:rsidRPr="00197413">
              <w:rPr>
                <w:sz w:val="20"/>
                <w:lang w:val="en-CA"/>
              </w:rPr>
              <w:t xml:space="preserve">The respondent, the Minister of Foreign Affairs, granted export permits for light armoured vehicles (LAVs) to the Canadian Commercial Corporation (CCC). The CCC was actually serving as a link between General Dynamics Land Systems Canada (GDLS-C), a company that produces LAVs, and the United States, which had arms agreements with Saudi Arabia. In 2014, Saudi Arabia secured the agreement of the United States to deal directly with the CCC, which is why it was necessary to obtain export permits. This </w:t>
            </w:r>
            <w:proofErr w:type="gramStart"/>
            <w:r w:rsidRPr="00197413">
              <w:rPr>
                <w:sz w:val="20"/>
                <w:lang w:val="en-CA"/>
              </w:rPr>
              <w:t>is provided for</w:t>
            </w:r>
            <w:proofErr w:type="gramEnd"/>
            <w:r w:rsidRPr="00197413">
              <w:rPr>
                <w:sz w:val="20"/>
                <w:lang w:val="en-CA"/>
              </w:rPr>
              <w:t xml:space="preserve"> in the </w:t>
            </w:r>
            <w:r w:rsidRPr="00197413">
              <w:rPr>
                <w:i/>
                <w:sz w:val="20"/>
                <w:lang w:val="en-CA"/>
              </w:rPr>
              <w:t>Export and Import Permits Act</w:t>
            </w:r>
            <w:r w:rsidRPr="00197413">
              <w:rPr>
                <w:sz w:val="20"/>
                <w:lang w:val="en-CA"/>
              </w:rPr>
              <w:t xml:space="preserve">, R.S.C. 1985, c. E-19 (EIPA). The Federal Court dismissed an application for judicial review of the Minister’s decision to grant the export permits, applying the standard of reasonableness on the basis that the Minister had been exercising his discretion. It also stated that the applicant met the criteria for public interest standing in this regard. However, because the Minister’s decision did not directly affect the applicant, it was not open to him to raise issues of procedural fairness. The judge’s comments were therefore limited to the reasonableness of the Minister’s decision. The Federal Court of Appeal unanimously dismissed the appeal. </w:t>
            </w:r>
          </w:p>
          <w:p w:rsidR="00C91655" w:rsidRPr="00197413" w:rsidRDefault="00C91655" w:rsidP="00197413">
            <w:pPr>
              <w:jc w:val="both"/>
              <w:rPr>
                <w:sz w:val="20"/>
                <w:lang w:val="en-CA"/>
              </w:rPr>
            </w:pPr>
          </w:p>
        </w:tc>
      </w:tr>
      <w:tr w:rsidR="00C91655" w:rsidRPr="00197413" w:rsidTr="00C91655">
        <w:tc>
          <w:tcPr>
            <w:tcW w:w="2427" w:type="pct"/>
            <w:gridSpan w:val="2"/>
          </w:tcPr>
          <w:p w:rsidR="00C91655" w:rsidRPr="00197413" w:rsidRDefault="00C91655" w:rsidP="00197413">
            <w:pPr>
              <w:jc w:val="both"/>
              <w:rPr>
                <w:sz w:val="20"/>
                <w:lang w:val="en-CA"/>
              </w:rPr>
            </w:pPr>
            <w:r w:rsidRPr="00197413">
              <w:rPr>
                <w:sz w:val="20"/>
                <w:lang w:val="en-CA"/>
              </w:rPr>
              <w:t>January 24, 2017</w:t>
            </w:r>
          </w:p>
          <w:p w:rsidR="00C91655" w:rsidRPr="00197413" w:rsidRDefault="00C91655" w:rsidP="00197413">
            <w:pPr>
              <w:jc w:val="both"/>
              <w:rPr>
                <w:sz w:val="20"/>
                <w:lang w:val="en-CA"/>
              </w:rPr>
            </w:pPr>
            <w:r w:rsidRPr="00197413">
              <w:rPr>
                <w:sz w:val="20"/>
                <w:lang w:val="en-CA"/>
              </w:rPr>
              <w:t>Federal Court</w:t>
            </w:r>
          </w:p>
          <w:p w:rsidR="00C91655" w:rsidRPr="00197413" w:rsidRDefault="00C91655" w:rsidP="00197413">
            <w:pPr>
              <w:jc w:val="both"/>
              <w:rPr>
                <w:sz w:val="20"/>
                <w:lang w:val="en-CA"/>
              </w:rPr>
            </w:pPr>
            <w:r w:rsidRPr="00197413">
              <w:rPr>
                <w:sz w:val="20"/>
                <w:lang w:val="en-CA"/>
              </w:rPr>
              <w:t>(Tremblay-Lamer J.)</w:t>
            </w:r>
          </w:p>
          <w:p w:rsidR="00C91655" w:rsidRPr="00197413" w:rsidRDefault="00C91655" w:rsidP="00197413">
            <w:pPr>
              <w:jc w:val="both"/>
              <w:rPr>
                <w:sz w:val="20"/>
                <w:lang w:val="en-CA"/>
              </w:rPr>
            </w:pPr>
            <w:hyperlink r:id="rId43" w:history="1">
              <w:r w:rsidRPr="00197413">
                <w:rPr>
                  <w:rStyle w:val="Hyperlink"/>
                  <w:sz w:val="20"/>
                  <w:lang w:val="en-CA"/>
                </w:rPr>
                <w:t>2017 FC 84</w:t>
              </w:r>
            </w:hyperlink>
          </w:p>
        </w:tc>
        <w:tc>
          <w:tcPr>
            <w:tcW w:w="243" w:type="pct"/>
          </w:tcPr>
          <w:p w:rsidR="00C91655" w:rsidRPr="00197413" w:rsidRDefault="00C91655" w:rsidP="00197413">
            <w:pPr>
              <w:jc w:val="both"/>
              <w:rPr>
                <w:sz w:val="20"/>
                <w:lang w:val="en-CA"/>
              </w:rPr>
            </w:pPr>
          </w:p>
        </w:tc>
        <w:tc>
          <w:tcPr>
            <w:tcW w:w="2330" w:type="pct"/>
          </w:tcPr>
          <w:p w:rsidR="00C91655" w:rsidRPr="00197413" w:rsidRDefault="00C91655" w:rsidP="00197413">
            <w:pPr>
              <w:jc w:val="both"/>
              <w:rPr>
                <w:sz w:val="20"/>
                <w:lang w:val="en-CA"/>
              </w:rPr>
            </w:pPr>
            <w:r w:rsidRPr="00197413">
              <w:rPr>
                <w:sz w:val="20"/>
                <w:lang w:val="en-CA"/>
              </w:rPr>
              <w:t>Application for judicial review dismissed.</w:t>
            </w:r>
          </w:p>
          <w:p w:rsidR="00C91655" w:rsidRPr="00197413" w:rsidRDefault="00C91655" w:rsidP="00197413">
            <w:pPr>
              <w:jc w:val="both"/>
              <w:rPr>
                <w:sz w:val="20"/>
                <w:lang w:val="en-CA"/>
              </w:rPr>
            </w:pPr>
          </w:p>
        </w:tc>
      </w:tr>
      <w:tr w:rsidR="00C91655" w:rsidRPr="00197413" w:rsidTr="00C91655">
        <w:tc>
          <w:tcPr>
            <w:tcW w:w="2427" w:type="pct"/>
            <w:gridSpan w:val="2"/>
          </w:tcPr>
          <w:p w:rsidR="00C91655" w:rsidRPr="00197413" w:rsidRDefault="00C91655" w:rsidP="00197413">
            <w:pPr>
              <w:jc w:val="both"/>
              <w:rPr>
                <w:sz w:val="20"/>
                <w:lang w:val="en-CA"/>
              </w:rPr>
            </w:pPr>
          </w:p>
          <w:p w:rsidR="00C91655" w:rsidRPr="00197413" w:rsidRDefault="00C91655" w:rsidP="00197413">
            <w:pPr>
              <w:jc w:val="both"/>
              <w:rPr>
                <w:sz w:val="20"/>
                <w:lang w:val="en-CA"/>
              </w:rPr>
            </w:pPr>
            <w:r w:rsidRPr="00197413">
              <w:rPr>
                <w:sz w:val="20"/>
                <w:lang w:val="en-CA"/>
              </w:rPr>
              <w:t>July 6, 2018</w:t>
            </w:r>
          </w:p>
          <w:p w:rsidR="00C91655" w:rsidRPr="00197413" w:rsidRDefault="00C91655" w:rsidP="00197413">
            <w:pPr>
              <w:jc w:val="both"/>
              <w:rPr>
                <w:sz w:val="20"/>
                <w:lang w:val="en-CA"/>
              </w:rPr>
            </w:pPr>
            <w:r w:rsidRPr="00197413">
              <w:rPr>
                <w:sz w:val="20"/>
                <w:lang w:val="en-CA"/>
              </w:rPr>
              <w:t>Federal Court of Appeal</w:t>
            </w:r>
          </w:p>
          <w:p w:rsidR="00C91655" w:rsidRPr="00197413" w:rsidRDefault="00C91655" w:rsidP="00197413">
            <w:pPr>
              <w:jc w:val="both"/>
              <w:rPr>
                <w:sz w:val="20"/>
                <w:lang w:val="en-CA"/>
              </w:rPr>
            </w:pPr>
            <w:r w:rsidRPr="00197413">
              <w:rPr>
                <w:sz w:val="20"/>
                <w:lang w:val="en-CA"/>
              </w:rPr>
              <w:t>(Nadon, Boivin and Gleason JJ.A.)</w:t>
            </w:r>
          </w:p>
          <w:p w:rsidR="00C91655" w:rsidRPr="00197413" w:rsidRDefault="00C91655" w:rsidP="00197413">
            <w:pPr>
              <w:jc w:val="both"/>
              <w:rPr>
                <w:sz w:val="20"/>
                <w:lang w:val="en-CA"/>
              </w:rPr>
            </w:pPr>
            <w:hyperlink r:id="rId44" w:history="1">
              <w:r w:rsidRPr="00197413">
                <w:rPr>
                  <w:rStyle w:val="Hyperlink"/>
                  <w:sz w:val="20"/>
                  <w:lang w:val="en-CA"/>
                </w:rPr>
                <w:t>2018 FCA 133</w:t>
              </w:r>
            </w:hyperlink>
          </w:p>
          <w:p w:rsidR="00C91655" w:rsidRPr="00197413" w:rsidRDefault="00C91655" w:rsidP="00197413">
            <w:pPr>
              <w:jc w:val="both"/>
              <w:rPr>
                <w:sz w:val="20"/>
                <w:lang w:val="en-CA"/>
              </w:rPr>
            </w:pPr>
          </w:p>
        </w:tc>
        <w:tc>
          <w:tcPr>
            <w:tcW w:w="243" w:type="pct"/>
          </w:tcPr>
          <w:p w:rsidR="00C91655" w:rsidRPr="00197413" w:rsidRDefault="00C91655" w:rsidP="00197413">
            <w:pPr>
              <w:jc w:val="both"/>
              <w:rPr>
                <w:sz w:val="20"/>
                <w:lang w:val="en-CA"/>
              </w:rPr>
            </w:pPr>
          </w:p>
        </w:tc>
        <w:tc>
          <w:tcPr>
            <w:tcW w:w="2330" w:type="pct"/>
          </w:tcPr>
          <w:p w:rsidR="00C91655" w:rsidRPr="00197413" w:rsidRDefault="00C91655" w:rsidP="00197413">
            <w:pPr>
              <w:jc w:val="both"/>
              <w:rPr>
                <w:sz w:val="20"/>
                <w:lang w:val="en-CA"/>
              </w:rPr>
            </w:pPr>
          </w:p>
          <w:p w:rsidR="00C91655" w:rsidRPr="00197413" w:rsidRDefault="00C91655" w:rsidP="00197413">
            <w:pPr>
              <w:jc w:val="both"/>
              <w:rPr>
                <w:sz w:val="20"/>
                <w:lang w:val="en-CA"/>
              </w:rPr>
            </w:pPr>
            <w:r w:rsidRPr="00197413">
              <w:rPr>
                <w:sz w:val="20"/>
                <w:lang w:val="en-CA"/>
              </w:rPr>
              <w:t>Appeal dismissed unanimously.</w:t>
            </w:r>
          </w:p>
          <w:p w:rsidR="00C91655" w:rsidRPr="00197413" w:rsidRDefault="00C91655" w:rsidP="00197413">
            <w:pPr>
              <w:jc w:val="both"/>
              <w:rPr>
                <w:sz w:val="20"/>
                <w:lang w:val="en-CA"/>
              </w:rPr>
            </w:pPr>
          </w:p>
        </w:tc>
      </w:tr>
      <w:tr w:rsidR="00C91655" w:rsidRPr="00197413" w:rsidTr="00C91655">
        <w:tc>
          <w:tcPr>
            <w:tcW w:w="2427" w:type="pct"/>
            <w:gridSpan w:val="2"/>
          </w:tcPr>
          <w:p w:rsidR="00C91655" w:rsidRPr="00197413" w:rsidRDefault="00C91655" w:rsidP="00197413">
            <w:pPr>
              <w:jc w:val="both"/>
              <w:rPr>
                <w:sz w:val="20"/>
                <w:lang w:val="en-CA"/>
              </w:rPr>
            </w:pPr>
            <w:r w:rsidRPr="00197413">
              <w:rPr>
                <w:sz w:val="20"/>
                <w:lang w:val="en-CA"/>
              </w:rPr>
              <w:lastRenderedPageBreak/>
              <w:t>September 28, 2018</w:t>
            </w:r>
          </w:p>
          <w:p w:rsidR="00C91655" w:rsidRPr="00197413" w:rsidRDefault="00C91655" w:rsidP="00197413">
            <w:pPr>
              <w:jc w:val="both"/>
              <w:rPr>
                <w:sz w:val="20"/>
                <w:lang w:val="en-CA"/>
              </w:rPr>
            </w:pPr>
            <w:r w:rsidRPr="00197413">
              <w:rPr>
                <w:sz w:val="20"/>
                <w:lang w:val="en-CA"/>
              </w:rPr>
              <w:t>Supreme Court of Canada</w:t>
            </w:r>
          </w:p>
        </w:tc>
        <w:tc>
          <w:tcPr>
            <w:tcW w:w="243" w:type="pct"/>
          </w:tcPr>
          <w:p w:rsidR="00C91655" w:rsidRPr="00197413" w:rsidRDefault="00C91655" w:rsidP="00197413">
            <w:pPr>
              <w:jc w:val="both"/>
              <w:rPr>
                <w:sz w:val="20"/>
                <w:lang w:val="en-CA"/>
              </w:rPr>
            </w:pPr>
          </w:p>
        </w:tc>
        <w:tc>
          <w:tcPr>
            <w:tcW w:w="2330" w:type="pct"/>
          </w:tcPr>
          <w:p w:rsidR="00C91655" w:rsidRPr="00197413" w:rsidRDefault="00C91655" w:rsidP="00197413">
            <w:pPr>
              <w:jc w:val="both"/>
              <w:rPr>
                <w:sz w:val="20"/>
                <w:lang w:val="en-CA"/>
              </w:rPr>
            </w:pPr>
            <w:r w:rsidRPr="00197413">
              <w:rPr>
                <w:sz w:val="20"/>
                <w:lang w:val="en-CA"/>
              </w:rPr>
              <w:t>Application for leave to appeal filed.</w:t>
            </w:r>
          </w:p>
        </w:tc>
      </w:tr>
    </w:tbl>
    <w:p w:rsidR="00C91655" w:rsidRDefault="00C91655" w:rsidP="00197413">
      <w:pPr>
        <w:jc w:val="both"/>
        <w:rPr>
          <w:sz w:val="20"/>
          <w:lang w:val="en-CA"/>
        </w:rPr>
      </w:pPr>
    </w:p>
    <w:p w:rsidR="007E41BB" w:rsidRDefault="007E41BB" w:rsidP="00197413">
      <w:pPr>
        <w:jc w:val="both"/>
        <w:rPr>
          <w:sz w:val="20"/>
          <w:lang w:val="en-CA"/>
        </w:rPr>
      </w:pPr>
      <w:r>
        <w:rPr>
          <w:sz w:val="20"/>
        </w:rPr>
        <w:pict>
          <v:rect id="_x0000_i1045" style="width:2in;height:1pt" o:hrpct="0" o:hralign="center" o:hrstd="t" o:hrnoshade="t" o:hr="t" fillcolor="black [3213]" stroked="f"/>
        </w:pict>
      </w:r>
    </w:p>
    <w:p w:rsidR="007E41BB" w:rsidRPr="00197413" w:rsidRDefault="007E41BB" w:rsidP="0019741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7E41BB" w:rsidTr="00C91655">
        <w:tc>
          <w:tcPr>
            <w:tcW w:w="543" w:type="pct"/>
          </w:tcPr>
          <w:p w:rsidR="00C91655" w:rsidRPr="00197413" w:rsidRDefault="00C91655" w:rsidP="00197413">
            <w:pPr>
              <w:jc w:val="both"/>
              <w:rPr>
                <w:sz w:val="20"/>
              </w:rPr>
            </w:pPr>
            <w:r w:rsidRPr="00197413">
              <w:rPr>
                <w:rStyle w:val="SCCFileNumberChar"/>
                <w:sz w:val="20"/>
                <w:szCs w:val="20"/>
              </w:rPr>
              <w:t>38321</w:t>
            </w:r>
          </w:p>
        </w:tc>
        <w:tc>
          <w:tcPr>
            <w:tcW w:w="4457" w:type="pct"/>
            <w:gridSpan w:val="3"/>
          </w:tcPr>
          <w:p w:rsidR="00C91655" w:rsidRPr="007E41BB" w:rsidRDefault="00C91655" w:rsidP="00197413">
            <w:pPr>
              <w:pStyle w:val="SCCLsocParty"/>
              <w:jc w:val="both"/>
              <w:rPr>
                <w:b/>
                <w:sz w:val="20"/>
                <w:szCs w:val="20"/>
              </w:rPr>
            </w:pPr>
            <w:r w:rsidRPr="007E41BB">
              <w:rPr>
                <w:b/>
                <w:sz w:val="20"/>
                <w:szCs w:val="20"/>
              </w:rPr>
              <w:t>Daniel Turp c. Ministre des affaires étrangères</w:t>
            </w:r>
          </w:p>
          <w:p w:rsidR="00C91655" w:rsidRPr="007E41BB" w:rsidRDefault="00C91655" w:rsidP="00197413">
            <w:pPr>
              <w:jc w:val="both"/>
              <w:rPr>
                <w:sz w:val="20"/>
                <w:lang w:val="fr-CA"/>
              </w:rPr>
            </w:pPr>
            <w:r w:rsidRPr="007E41BB">
              <w:rPr>
                <w:sz w:val="20"/>
                <w:lang w:val="fr-CA"/>
              </w:rPr>
              <w:t>(C</w:t>
            </w:r>
            <w:r w:rsidR="007E41BB" w:rsidRPr="007E41BB">
              <w:rPr>
                <w:sz w:val="20"/>
                <w:lang w:val="fr-CA"/>
              </w:rPr>
              <w:t>.</w:t>
            </w:r>
            <w:r w:rsidRPr="007E41BB">
              <w:rPr>
                <w:sz w:val="20"/>
                <w:lang w:val="fr-CA"/>
              </w:rPr>
              <w:t>F</w:t>
            </w:r>
            <w:r w:rsidR="007E41BB" w:rsidRPr="007E41BB">
              <w:rPr>
                <w:sz w:val="20"/>
                <w:lang w:val="fr-CA"/>
              </w:rPr>
              <w:t>.</w:t>
            </w:r>
            <w:r w:rsidRPr="007E41BB">
              <w:rPr>
                <w:sz w:val="20"/>
                <w:lang w:val="fr-CA"/>
              </w:rPr>
              <w:t>) (Civile) (Autorisation)</w:t>
            </w:r>
          </w:p>
        </w:tc>
      </w:tr>
      <w:tr w:rsidR="00C91655" w:rsidRPr="00197413" w:rsidTr="00C91655">
        <w:tc>
          <w:tcPr>
            <w:tcW w:w="5000" w:type="pct"/>
            <w:gridSpan w:val="4"/>
          </w:tcPr>
          <w:p w:rsidR="00C91655" w:rsidRPr="00197413" w:rsidRDefault="00C91655" w:rsidP="00197413">
            <w:pPr>
              <w:jc w:val="both"/>
              <w:rPr>
                <w:sz w:val="20"/>
                <w:lang w:val="fr-CA"/>
              </w:rPr>
            </w:pPr>
            <w:r w:rsidRPr="00197413">
              <w:rPr>
                <w:sz w:val="20"/>
                <w:lang w:val="fr-CA"/>
              </w:rPr>
              <w:t xml:space="preserve">Droit international public — Octroi de licences d’exportation — Véhicules blindés légers — Le ministre des Affaires étrangères a octroyé des licences d’exportation à une compagnie pour l’exportation de véhicules blindés légers vers l’Arabie saoudite — Dans le cadre d’un contrôle judiciaire institué dans l’intérêt public, un demandeur a-t-il l’intérêt requis pour soulever des violations de traités internationaux auxquels le Canada est partie, </w:t>
            </w:r>
            <w:r w:rsidRPr="00197413">
              <w:rPr>
                <w:i/>
                <w:sz w:val="20"/>
                <w:lang w:val="fr-CA"/>
              </w:rPr>
              <w:t>a fortiori</w:t>
            </w:r>
            <w:r w:rsidRPr="00197413">
              <w:rPr>
                <w:sz w:val="20"/>
                <w:lang w:val="fr-CA"/>
              </w:rPr>
              <w:t xml:space="preserve"> lorsque le Parlement a incorporé ces traités en droit canadien par une loi? — Le pouvoir discrétionnaire d’autoriser l’exportation d’armement, prévu à l’article 7 de la </w:t>
            </w:r>
            <w:r w:rsidRPr="00197413">
              <w:rPr>
                <w:i/>
                <w:sz w:val="20"/>
                <w:lang w:val="fr-CA"/>
              </w:rPr>
              <w:t>Loi sur les licences d’exportation et d’importation</w:t>
            </w:r>
            <w:r w:rsidRPr="00197413">
              <w:rPr>
                <w:sz w:val="20"/>
                <w:lang w:val="fr-CA"/>
              </w:rPr>
              <w:t xml:space="preserve">, LRC 1985, </w:t>
            </w:r>
            <w:proofErr w:type="spellStart"/>
            <w:r w:rsidRPr="00197413">
              <w:rPr>
                <w:sz w:val="20"/>
                <w:lang w:val="fr-CA"/>
              </w:rPr>
              <w:t>ch</w:t>
            </w:r>
            <w:proofErr w:type="spellEnd"/>
            <w:r w:rsidRPr="00197413">
              <w:rPr>
                <w:sz w:val="20"/>
                <w:lang w:val="fr-CA"/>
              </w:rPr>
              <w:t xml:space="preserve"> E-19, est-il restreint d’une quelconque façon par les obligations découlant des traités internationaux ratifiés par le Canada et par les </w:t>
            </w:r>
            <w:r w:rsidRPr="00197413">
              <w:rPr>
                <w:i/>
                <w:sz w:val="20"/>
                <w:lang w:val="fr-CA"/>
              </w:rPr>
              <w:t>Lignes directrices</w:t>
            </w:r>
            <w:r w:rsidRPr="00197413">
              <w:rPr>
                <w:sz w:val="20"/>
                <w:lang w:val="fr-CA"/>
              </w:rPr>
              <w:t xml:space="preserve"> établies par le gouvernement pour en assurer la mise en œuvre? — Dans l’affirmative, de quelle façon? — Dans l’évaluation du risque que des armes soient utilisées contre les populations civiles, quels critères le ministre des Affaires étrangères doit-il considérer et quel est le niveau de preuve requis afin de conclure à l’existence de ce risque?</w:t>
            </w:r>
          </w:p>
        </w:tc>
      </w:tr>
      <w:tr w:rsidR="00C91655" w:rsidRPr="00197413" w:rsidTr="00C91655">
        <w:tc>
          <w:tcPr>
            <w:tcW w:w="5000" w:type="pct"/>
            <w:gridSpan w:val="4"/>
          </w:tcPr>
          <w:p w:rsidR="00C91655" w:rsidRPr="00197413" w:rsidRDefault="00C91655" w:rsidP="00197413">
            <w:pPr>
              <w:jc w:val="both"/>
              <w:rPr>
                <w:sz w:val="20"/>
                <w:lang w:val="fr-CA"/>
              </w:rPr>
            </w:pPr>
          </w:p>
        </w:tc>
      </w:tr>
      <w:tr w:rsidR="00C91655" w:rsidRPr="00197413" w:rsidTr="00C91655">
        <w:tc>
          <w:tcPr>
            <w:tcW w:w="5000" w:type="pct"/>
            <w:gridSpan w:val="4"/>
          </w:tcPr>
          <w:p w:rsidR="00C91655" w:rsidRPr="00197413" w:rsidRDefault="00C91655" w:rsidP="00197413">
            <w:pPr>
              <w:jc w:val="both"/>
              <w:rPr>
                <w:sz w:val="20"/>
                <w:lang w:val="fr-CA"/>
              </w:rPr>
            </w:pPr>
            <w:r w:rsidRPr="00197413">
              <w:rPr>
                <w:sz w:val="20"/>
                <w:lang w:val="fr-CA"/>
              </w:rPr>
              <w:t xml:space="preserve">L’intimé, le ministre des Affaires étrangères, a octroyé des licences d’exportation de véhicules blindés légers (VBL) à la Corporation commerciale canadienne (CCC). En effet, la CCC faisait le pont entre la compagnie General Dynamics Land </w:t>
            </w:r>
            <w:proofErr w:type="spellStart"/>
            <w:r w:rsidRPr="00197413">
              <w:rPr>
                <w:sz w:val="20"/>
                <w:lang w:val="fr-CA"/>
              </w:rPr>
              <w:t>Systems</w:t>
            </w:r>
            <w:proofErr w:type="spellEnd"/>
            <w:r w:rsidRPr="00197413">
              <w:rPr>
                <w:sz w:val="20"/>
                <w:lang w:val="fr-CA"/>
              </w:rPr>
              <w:t xml:space="preserve"> Canada (GDLS-C), une compagnie qui produit des VBL, et les États-Unis qui avaient des ententes d’armement avec l’Arabie Saoudite. En 2014, l’Arabie Saoudite a eu l’accord des États-Unis pour faire directement affaire avec la CCC, d’où l’importance d’obtenir les licences d’exportation. Ceci est effectivement prévu dans la </w:t>
            </w:r>
            <w:r w:rsidRPr="00197413">
              <w:rPr>
                <w:i/>
                <w:sz w:val="20"/>
                <w:lang w:val="fr-CA"/>
              </w:rPr>
              <w:t>Loi sur les licences d’exportation et d’importation</w:t>
            </w:r>
            <w:r w:rsidRPr="00197413">
              <w:rPr>
                <w:sz w:val="20"/>
                <w:lang w:val="fr-CA"/>
              </w:rPr>
              <w:t xml:space="preserve">, LRC 1985, </w:t>
            </w:r>
            <w:proofErr w:type="spellStart"/>
            <w:r w:rsidRPr="00197413">
              <w:rPr>
                <w:sz w:val="20"/>
                <w:lang w:val="fr-CA"/>
              </w:rPr>
              <w:t>ch</w:t>
            </w:r>
            <w:proofErr w:type="spellEnd"/>
            <w:r w:rsidRPr="00197413">
              <w:rPr>
                <w:sz w:val="20"/>
                <w:lang w:val="fr-CA"/>
              </w:rPr>
              <w:t xml:space="preserve"> E-19 (LLEI). La Cour fédérale a rejeté la demande de révision judiciaire de la décision du ministre d’octroyer des licences d’exportation. Elle a appliqué la norme de la décision raisonnable, étant donné que le ministre a fait l’exercice de son pouvoir discrétionnaire. Elle a aussi affirmé que le demandeur répondait aux critères lui donnant la qualité d’agir dans l’intérêt public pour cette question. Par contre, puisque la décision du ministre ne le touchait pas directement, il ne pouvait pas soulever des questions d’équité procédurale. La juge n’avait donc qu’à commenter sur la </w:t>
            </w:r>
            <w:proofErr w:type="spellStart"/>
            <w:r w:rsidRPr="00197413">
              <w:rPr>
                <w:sz w:val="20"/>
                <w:lang w:val="fr-CA"/>
              </w:rPr>
              <w:t>raisonnabilité</w:t>
            </w:r>
            <w:proofErr w:type="spellEnd"/>
            <w:r w:rsidRPr="00197413">
              <w:rPr>
                <w:sz w:val="20"/>
                <w:lang w:val="fr-CA"/>
              </w:rPr>
              <w:t xml:space="preserve"> de la décision du ministre. Les juges de la Cour d’appel fédérale ont rejeté l’appel à l’unanimité. </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Le 24 janvier 2017</w:t>
            </w:r>
          </w:p>
          <w:p w:rsidR="00C91655" w:rsidRPr="00197413" w:rsidRDefault="00C91655" w:rsidP="00197413">
            <w:pPr>
              <w:jc w:val="both"/>
              <w:rPr>
                <w:sz w:val="20"/>
                <w:lang w:val="fr-CA"/>
              </w:rPr>
            </w:pPr>
            <w:r w:rsidRPr="00197413">
              <w:rPr>
                <w:sz w:val="20"/>
                <w:lang w:val="fr-CA"/>
              </w:rPr>
              <w:t>Cour fédérale</w:t>
            </w:r>
          </w:p>
          <w:p w:rsidR="00C91655" w:rsidRPr="00197413" w:rsidRDefault="00C91655" w:rsidP="00197413">
            <w:pPr>
              <w:jc w:val="both"/>
              <w:rPr>
                <w:sz w:val="20"/>
                <w:lang w:val="fr-CA"/>
              </w:rPr>
            </w:pPr>
            <w:r w:rsidRPr="00197413">
              <w:rPr>
                <w:sz w:val="20"/>
                <w:lang w:val="fr-CA"/>
              </w:rPr>
              <w:t>(La juge Tremblay-Lamer)</w:t>
            </w:r>
          </w:p>
          <w:p w:rsidR="00C91655" w:rsidRPr="00197413" w:rsidRDefault="00C91655" w:rsidP="00197413">
            <w:pPr>
              <w:jc w:val="both"/>
              <w:rPr>
                <w:sz w:val="20"/>
              </w:rPr>
            </w:pPr>
            <w:hyperlink r:id="rId45" w:history="1">
              <w:r w:rsidRPr="00197413">
                <w:rPr>
                  <w:rStyle w:val="Hyperlink"/>
                  <w:sz w:val="20"/>
                </w:rPr>
                <w:t>2017 CF 84</w:t>
              </w:r>
            </w:hyperlink>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lang w:val="fr-CA"/>
              </w:rPr>
            </w:pPr>
            <w:r w:rsidRPr="00197413">
              <w:rPr>
                <w:sz w:val="20"/>
                <w:lang w:val="fr-CA"/>
              </w:rPr>
              <w:t>Demande de révision judiciaire rejetée.</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p>
          <w:p w:rsidR="00C91655" w:rsidRPr="00197413" w:rsidRDefault="00C91655" w:rsidP="00197413">
            <w:pPr>
              <w:jc w:val="both"/>
              <w:rPr>
                <w:sz w:val="20"/>
                <w:lang w:val="fr-CA"/>
              </w:rPr>
            </w:pPr>
            <w:r w:rsidRPr="00197413">
              <w:rPr>
                <w:sz w:val="20"/>
                <w:lang w:val="fr-CA"/>
              </w:rPr>
              <w:t>Le 6 juillet 2018</w:t>
            </w:r>
          </w:p>
          <w:p w:rsidR="00C91655" w:rsidRPr="00197413" w:rsidRDefault="00C91655" w:rsidP="00197413">
            <w:pPr>
              <w:jc w:val="both"/>
              <w:rPr>
                <w:sz w:val="20"/>
                <w:lang w:val="fr-CA"/>
              </w:rPr>
            </w:pPr>
            <w:r w:rsidRPr="00197413">
              <w:rPr>
                <w:sz w:val="20"/>
                <w:lang w:val="fr-CA"/>
              </w:rPr>
              <w:t>Cour d’appel fédérale</w:t>
            </w:r>
          </w:p>
          <w:p w:rsidR="00C91655" w:rsidRPr="00197413" w:rsidRDefault="00C91655" w:rsidP="00197413">
            <w:pPr>
              <w:jc w:val="both"/>
              <w:rPr>
                <w:sz w:val="20"/>
                <w:lang w:val="fr-CA"/>
              </w:rPr>
            </w:pPr>
            <w:r w:rsidRPr="00197413">
              <w:rPr>
                <w:sz w:val="20"/>
                <w:lang w:val="fr-CA"/>
              </w:rPr>
              <w:t xml:space="preserve">(Les juges Nadon, Boivin et </w:t>
            </w:r>
            <w:proofErr w:type="spellStart"/>
            <w:r w:rsidRPr="00197413">
              <w:rPr>
                <w:sz w:val="20"/>
                <w:lang w:val="fr-CA"/>
              </w:rPr>
              <w:t>Gleason</w:t>
            </w:r>
            <w:proofErr w:type="spellEnd"/>
            <w:r w:rsidRPr="00197413">
              <w:rPr>
                <w:sz w:val="20"/>
                <w:lang w:val="fr-CA"/>
              </w:rPr>
              <w:t>)</w:t>
            </w:r>
          </w:p>
          <w:p w:rsidR="00C91655" w:rsidRPr="00197413" w:rsidRDefault="00C91655" w:rsidP="00197413">
            <w:pPr>
              <w:jc w:val="both"/>
              <w:rPr>
                <w:sz w:val="20"/>
              </w:rPr>
            </w:pPr>
            <w:hyperlink r:id="rId46" w:history="1">
              <w:r w:rsidRPr="00197413">
                <w:rPr>
                  <w:rStyle w:val="Hyperlink"/>
                  <w:sz w:val="20"/>
                </w:rPr>
                <w:t>2018 CAF 133</w:t>
              </w:r>
            </w:hyperlink>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lang w:val="fr-CA"/>
              </w:rPr>
            </w:pPr>
          </w:p>
          <w:p w:rsidR="00C91655" w:rsidRPr="00197413" w:rsidRDefault="00C91655" w:rsidP="00197413">
            <w:pPr>
              <w:jc w:val="both"/>
              <w:rPr>
                <w:sz w:val="20"/>
                <w:lang w:val="fr-CA"/>
              </w:rPr>
            </w:pPr>
            <w:r w:rsidRPr="00197413">
              <w:rPr>
                <w:sz w:val="20"/>
                <w:lang w:val="fr-CA"/>
              </w:rPr>
              <w:t>L’appel a été rejeté à l’unanimité.</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Le 28 septembre 2018</w:t>
            </w:r>
          </w:p>
          <w:p w:rsidR="00C91655" w:rsidRPr="00197413" w:rsidRDefault="00C91655" w:rsidP="00197413">
            <w:pPr>
              <w:jc w:val="both"/>
              <w:rPr>
                <w:sz w:val="20"/>
                <w:lang w:val="fr-CA"/>
              </w:rPr>
            </w:pPr>
            <w:r w:rsidRPr="00197413">
              <w:rPr>
                <w:sz w:val="20"/>
                <w:lang w:val="fr-CA"/>
              </w:rPr>
              <w:t>Cour suprême du Canada</w:t>
            </w: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rPr>
            </w:pPr>
            <w:r w:rsidRPr="00197413">
              <w:rPr>
                <w:sz w:val="20"/>
              </w:rPr>
              <w:t xml:space="preserve">Demande d’autorisation d’appel </w:t>
            </w:r>
            <w:proofErr w:type="spellStart"/>
            <w:r w:rsidRPr="00197413">
              <w:rPr>
                <w:sz w:val="20"/>
              </w:rPr>
              <w:t>déposée</w:t>
            </w:r>
            <w:proofErr w:type="spellEnd"/>
            <w:r w:rsidRPr="00197413">
              <w:rPr>
                <w:sz w:val="20"/>
              </w:rPr>
              <w:t>.</w:t>
            </w:r>
          </w:p>
        </w:tc>
      </w:tr>
    </w:tbl>
    <w:p w:rsidR="00C91655" w:rsidRDefault="00C91655" w:rsidP="00197413">
      <w:pPr>
        <w:jc w:val="both"/>
        <w:rPr>
          <w:sz w:val="20"/>
        </w:rPr>
      </w:pPr>
    </w:p>
    <w:p w:rsidR="00730218" w:rsidRPr="00197413" w:rsidRDefault="00730218" w:rsidP="00197413">
      <w:pPr>
        <w:jc w:val="both"/>
        <w:rPr>
          <w:sz w:val="20"/>
        </w:rPr>
      </w:pPr>
      <w:r>
        <w:rPr>
          <w:sz w:val="20"/>
        </w:rPr>
        <w:pict>
          <v:rect id="_x0000_i1046" style="width:2in;height:1pt" o:hrpct="0" o:hralign="center" o:hrstd="t" o:hrnoshade="t" o:hr="t" fillcolor="black [3213]" stroked="f"/>
        </w:pict>
      </w:r>
    </w:p>
    <w:p w:rsidR="00C91655" w:rsidRPr="00197413" w:rsidRDefault="00C91655" w:rsidP="0019741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rPr>
            </w:pPr>
            <w:r w:rsidRPr="00197413">
              <w:rPr>
                <w:rStyle w:val="SCCFileNumberChar"/>
                <w:sz w:val="20"/>
                <w:szCs w:val="20"/>
              </w:rPr>
              <w:t>38448</w:t>
            </w:r>
          </w:p>
        </w:tc>
        <w:tc>
          <w:tcPr>
            <w:tcW w:w="4457" w:type="pct"/>
            <w:gridSpan w:val="3"/>
          </w:tcPr>
          <w:p w:rsidR="00C91655" w:rsidRPr="00730218" w:rsidRDefault="00C91655" w:rsidP="00197413">
            <w:pPr>
              <w:pStyle w:val="SCCLsocParty"/>
              <w:jc w:val="both"/>
              <w:rPr>
                <w:b/>
                <w:sz w:val="20"/>
                <w:szCs w:val="20"/>
                <w:lang w:val="en-US"/>
              </w:rPr>
            </w:pPr>
            <w:r w:rsidRPr="00730218">
              <w:rPr>
                <w:b/>
                <w:sz w:val="20"/>
                <w:szCs w:val="20"/>
                <w:lang w:val="en-US"/>
              </w:rPr>
              <w:t>Jennifer Cottrill v. Utopia Day Spas and Salons Ltd.</w:t>
            </w:r>
          </w:p>
          <w:p w:rsidR="00C91655" w:rsidRPr="00197413" w:rsidRDefault="00C91655" w:rsidP="00197413">
            <w:pPr>
              <w:jc w:val="both"/>
              <w:rPr>
                <w:sz w:val="20"/>
              </w:rPr>
            </w:pPr>
            <w:r w:rsidRPr="00197413">
              <w:rPr>
                <w:sz w:val="20"/>
              </w:rPr>
              <w:t>(B.C.) (Civil) (By Leave)</w:t>
            </w:r>
          </w:p>
        </w:tc>
      </w:tr>
      <w:tr w:rsidR="00C91655" w:rsidRPr="00197413" w:rsidTr="00C91655">
        <w:tc>
          <w:tcPr>
            <w:tcW w:w="5000" w:type="pct"/>
            <w:gridSpan w:val="4"/>
          </w:tcPr>
          <w:p w:rsidR="00C91655" w:rsidRPr="00197413" w:rsidRDefault="00C91655" w:rsidP="00197413">
            <w:pPr>
              <w:jc w:val="both"/>
              <w:rPr>
                <w:sz w:val="20"/>
              </w:rPr>
            </w:pPr>
            <w:r w:rsidRPr="00197413">
              <w:rPr>
                <w:sz w:val="20"/>
              </w:rPr>
              <w:lastRenderedPageBreak/>
              <w:t>Employment law — Wrongful dismissal — Aggravated damages — What are the evidentiary requirements for awarding aggravated and bad faith damages — Whether the conduct of an employer, in itself and without any assessment of the harm on the employee, is sufficient to award bad faith and/or aggravated damages — What is the availability and parameters for the various categories of additional damages arising in the employment law context including aggravated, bad faith and punitive damages.</w:t>
            </w:r>
          </w:p>
        </w:tc>
      </w:tr>
      <w:tr w:rsidR="00C91655" w:rsidRPr="00197413" w:rsidTr="00C91655">
        <w:tc>
          <w:tcPr>
            <w:tcW w:w="5000" w:type="pct"/>
            <w:gridSpan w:val="4"/>
          </w:tcPr>
          <w:p w:rsidR="00C91655" w:rsidRPr="00197413" w:rsidRDefault="00C91655" w:rsidP="00197413">
            <w:pPr>
              <w:jc w:val="both"/>
              <w:rPr>
                <w:sz w:val="20"/>
              </w:rPr>
            </w:pPr>
          </w:p>
          <w:p w:rsidR="00C91655" w:rsidRPr="00197413" w:rsidRDefault="00C91655" w:rsidP="00197413">
            <w:pPr>
              <w:jc w:val="both"/>
              <w:rPr>
                <w:sz w:val="20"/>
              </w:rPr>
            </w:pPr>
            <w:r w:rsidRPr="00197413">
              <w:rPr>
                <w:sz w:val="20"/>
              </w:rPr>
              <w:t>The applicant, Jennifer Cottrill was hired by the respondent, Utopia Day Spas and Salons Ltd., as a skincare therapist and commenced employment in May, 2004. She worked on a full time basis at the spa for approximately 11 years before she was dismissed. In January 2015, the employer became concerned with Ms. Cottrill’s job performance. On March 13, 2015, two members of senior management met with Ms. Cottrill to discuss their concerns. In the meeting, Ms. Cottrill was given a letter advising of her performance deficiencies. The letter stated that she had three months to improve or she would be terminated from employment on June 12, 2015. On June 12, 2015, representatives of the employer met with Ms. Cottrill and advised her that she was terminated from her employment. She was not paid any severance as she was terminated for cause for failure to meet performance standards. Ms. Cottrill commenced a claim against her employer for wrongful dismissal. The trial judge found that she had been wrongfully dismissed and pursuant to her employment contract was entitled to eight weeks’ severance pay. In addition, because of the manner of dismissal, Ms. Cottrill was awarded $15,000 in aggravated damages. On appeal by the employer, the appeal was allowed and the aggravated damage award was set aside.</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May 1, 2017</w:t>
            </w:r>
          </w:p>
          <w:p w:rsidR="00C91655" w:rsidRPr="00197413" w:rsidRDefault="00C91655" w:rsidP="00197413">
            <w:pPr>
              <w:jc w:val="both"/>
              <w:rPr>
                <w:sz w:val="20"/>
              </w:rPr>
            </w:pPr>
            <w:r w:rsidRPr="00197413">
              <w:rPr>
                <w:sz w:val="20"/>
              </w:rPr>
              <w:t>Supreme Court of British Columbia</w:t>
            </w:r>
          </w:p>
          <w:p w:rsidR="00C91655" w:rsidRPr="00197413" w:rsidRDefault="00C91655" w:rsidP="00197413">
            <w:pPr>
              <w:jc w:val="both"/>
              <w:rPr>
                <w:sz w:val="20"/>
              </w:rPr>
            </w:pPr>
            <w:r w:rsidRPr="00197413">
              <w:rPr>
                <w:sz w:val="20"/>
              </w:rPr>
              <w:t>(Harris)</w:t>
            </w:r>
          </w:p>
          <w:p w:rsidR="00C91655" w:rsidRPr="00197413" w:rsidRDefault="00C91655" w:rsidP="00197413">
            <w:pPr>
              <w:jc w:val="both"/>
              <w:rPr>
                <w:sz w:val="20"/>
              </w:rPr>
            </w:pPr>
            <w:hyperlink r:id="rId47" w:history="1">
              <w:r w:rsidRPr="00197413">
                <w:rPr>
                  <w:rStyle w:val="Hyperlink"/>
                  <w:sz w:val="20"/>
                </w:rPr>
                <w:t>2017 BCSC 704</w:t>
              </w:r>
            </w:hyperlink>
            <w:r w:rsidRPr="00197413">
              <w:rPr>
                <w:sz w:val="20"/>
              </w:rPr>
              <w:t>; S156415</w:t>
            </w: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Applicant’s action for wrongful dismissal allowed; applicant entitled to severance in amount of $4,795.78; applicant awarded aggravated damages in amount of $15,000</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October 17, 2018</w:t>
            </w:r>
          </w:p>
          <w:p w:rsidR="00C91655" w:rsidRPr="00197413" w:rsidRDefault="00C91655" w:rsidP="00197413">
            <w:pPr>
              <w:jc w:val="both"/>
              <w:rPr>
                <w:sz w:val="20"/>
              </w:rPr>
            </w:pPr>
            <w:r w:rsidRPr="00197413">
              <w:rPr>
                <w:sz w:val="20"/>
              </w:rPr>
              <w:t>Court of Appeal for British Columbia</w:t>
            </w:r>
          </w:p>
          <w:p w:rsidR="00C91655" w:rsidRPr="00197413" w:rsidRDefault="00C91655" w:rsidP="00197413">
            <w:pPr>
              <w:jc w:val="both"/>
              <w:rPr>
                <w:sz w:val="20"/>
              </w:rPr>
            </w:pPr>
            <w:r w:rsidRPr="00197413">
              <w:rPr>
                <w:sz w:val="20"/>
              </w:rPr>
              <w:t>(Vancouver)</w:t>
            </w:r>
          </w:p>
          <w:p w:rsidR="00C91655" w:rsidRPr="00197413" w:rsidRDefault="00C91655" w:rsidP="00197413">
            <w:pPr>
              <w:jc w:val="both"/>
              <w:rPr>
                <w:sz w:val="20"/>
              </w:rPr>
            </w:pPr>
            <w:r w:rsidRPr="00197413">
              <w:rPr>
                <w:sz w:val="20"/>
              </w:rPr>
              <w:t>(</w:t>
            </w:r>
            <w:proofErr w:type="spellStart"/>
            <w:r w:rsidRPr="00197413">
              <w:rPr>
                <w:sz w:val="20"/>
              </w:rPr>
              <w:t>Goepel</w:t>
            </w:r>
            <w:proofErr w:type="spellEnd"/>
            <w:r w:rsidRPr="00197413">
              <w:rPr>
                <w:sz w:val="20"/>
              </w:rPr>
              <w:t>, Savage and Fisher JJ.A.)</w:t>
            </w:r>
          </w:p>
          <w:p w:rsidR="00C91655" w:rsidRPr="00197413" w:rsidRDefault="00C91655" w:rsidP="00197413">
            <w:pPr>
              <w:jc w:val="both"/>
              <w:rPr>
                <w:sz w:val="20"/>
              </w:rPr>
            </w:pPr>
            <w:hyperlink r:id="rId48" w:history="1">
              <w:r w:rsidRPr="00197413">
                <w:rPr>
                  <w:rStyle w:val="Hyperlink"/>
                  <w:sz w:val="20"/>
                </w:rPr>
                <w:t>2018 BCCA 383</w:t>
              </w:r>
            </w:hyperlink>
            <w:r w:rsidRPr="00197413">
              <w:rPr>
                <w:sz w:val="20"/>
              </w:rPr>
              <w:t>; CA44471</w:t>
            </w:r>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Appeal allowed; aggravated damage award set aside</w:t>
            </w:r>
          </w:p>
        </w:tc>
      </w:tr>
      <w:tr w:rsidR="00C91655" w:rsidRPr="00197413" w:rsidTr="00C91655">
        <w:tc>
          <w:tcPr>
            <w:tcW w:w="2427" w:type="pct"/>
            <w:gridSpan w:val="2"/>
          </w:tcPr>
          <w:p w:rsidR="00C91655" w:rsidRPr="00197413" w:rsidRDefault="00C91655" w:rsidP="00197413">
            <w:pPr>
              <w:jc w:val="both"/>
              <w:rPr>
                <w:sz w:val="20"/>
              </w:rPr>
            </w:pPr>
            <w:r w:rsidRPr="00197413">
              <w:rPr>
                <w:sz w:val="20"/>
              </w:rPr>
              <w:t>December 17, 2018</w:t>
            </w:r>
          </w:p>
          <w:p w:rsidR="00C91655" w:rsidRPr="00197413" w:rsidRDefault="00C91655" w:rsidP="00730218">
            <w:pPr>
              <w:jc w:val="both"/>
              <w:rPr>
                <w:sz w:val="20"/>
              </w:rPr>
            </w:pPr>
            <w:r w:rsidRPr="00197413">
              <w:rPr>
                <w:sz w:val="20"/>
              </w:rPr>
              <w:t>Supreme Court of Canada</w:t>
            </w: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Application for leave to appeal filed</w:t>
            </w:r>
          </w:p>
          <w:p w:rsidR="00C91655" w:rsidRPr="00197413" w:rsidRDefault="00C91655" w:rsidP="00197413">
            <w:pPr>
              <w:jc w:val="both"/>
              <w:rPr>
                <w:sz w:val="20"/>
              </w:rPr>
            </w:pPr>
          </w:p>
        </w:tc>
      </w:tr>
    </w:tbl>
    <w:p w:rsidR="00C91655" w:rsidRDefault="00C91655" w:rsidP="00197413">
      <w:pPr>
        <w:jc w:val="both"/>
        <w:rPr>
          <w:sz w:val="20"/>
        </w:rPr>
      </w:pPr>
    </w:p>
    <w:p w:rsidR="00730218" w:rsidRPr="00197413" w:rsidRDefault="00730218" w:rsidP="00197413">
      <w:pPr>
        <w:jc w:val="both"/>
        <w:rPr>
          <w:sz w:val="20"/>
        </w:rPr>
      </w:pPr>
      <w:r>
        <w:rPr>
          <w:sz w:val="20"/>
        </w:rPr>
        <w:pict>
          <v:rect id="_x0000_i1047" style="width:2in;height:1pt" o:hrpct="0" o:hralign="center" o:hrstd="t" o:hrnoshade="t" o:hr="t" fillcolor="black [3213]" stroked="f"/>
        </w:pict>
      </w:r>
    </w:p>
    <w:p w:rsidR="00AE7EB1" w:rsidRPr="00197413" w:rsidRDefault="00AE7EB1" w:rsidP="00197413">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lang w:val="fr-CA"/>
              </w:rPr>
            </w:pPr>
            <w:r w:rsidRPr="00197413">
              <w:rPr>
                <w:rStyle w:val="SCCFileNumberChar"/>
                <w:sz w:val="20"/>
                <w:szCs w:val="20"/>
                <w:lang w:val="fr-CA"/>
              </w:rPr>
              <w:t>38448</w:t>
            </w:r>
          </w:p>
        </w:tc>
        <w:tc>
          <w:tcPr>
            <w:tcW w:w="4457" w:type="pct"/>
            <w:gridSpan w:val="3"/>
          </w:tcPr>
          <w:p w:rsidR="00C91655" w:rsidRPr="00730218" w:rsidRDefault="00C91655" w:rsidP="00197413">
            <w:pPr>
              <w:pStyle w:val="SCCLsocParty"/>
              <w:jc w:val="both"/>
              <w:rPr>
                <w:b/>
                <w:sz w:val="20"/>
                <w:szCs w:val="20"/>
                <w:lang w:val="en-US"/>
              </w:rPr>
            </w:pPr>
            <w:r w:rsidRPr="00730218">
              <w:rPr>
                <w:b/>
                <w:sz w:val="20"/>
                <w:szCs w:val="20"/>
                <w:lang w:val="en-US"/>
              </w:rPr>
              <w:t>Jennifer Cottrill c. Utopia Day Spas and Salons Ltd.</w:t>
            </w:r>
          </w:p>
          <w:p w:rsidR="00C91655" w:rsidRPr="00197413" w:rsidRDefault="00C91655" w:rsidP="00197413">
            <w:pPr>
              <w:jc w:val="both"/>
              <w:rPr>
                <w:sz w:val="20"/>
                <w:lang w:val="fr-CA"/>
              </w:rPr>
            </w:pPr>
            <w:r w:rsidRPr="00197413">
              <w:rPr>
                <w:sz w:val="20"/>
                <w:lang w:val="fr-CA"/>
              </w:rPr>
              <w:t>(C.-B.) (Civile) (Autorisation)</w:t>
            </w:r>
          </w:p>
        </w:tc>
      </w:tr>
      <w:tr w:rsidR="00C91655" w:rsidRPr="00197413" w:rsidTr="00C91655">
        <w:tc>
          <w:tcPr>
            <w:tcW w:w="5000" w:type="pct"/>
            <w:gridSpan w:val="4"/>
          </w:tcPr>
          <w:p w:rsidR="00C91655" w:rsidRPr="00197413" w:rsidRDefault="00C91655" w:rsidP="00197413">
            <w:pPr>
              <w:jc w:val="both"/>
              <w:rPr>
                <w:sz w:val="20"/>
                <w:lang w:val="fr-CA"/>
              </w:rPr>
            </w:pPr>
            <w:r w:rsidRPr="00197413">
              <w:rPr>
                <w:sz w:val="20"/>
                <w:lang w:val="fr-CA"/>
              </w:rPr>
              <w:t>Droit de l’emploi — Congédiement injustifié — Dommages-intérêts majorés — Quelles sont les exigences en matière de preuve pour accorder des dommages-intérêts majorés et des dommages-intérêts pour mauvaise foi? — La conduite de l’employeur, considérée indépendamment et sans évaluer le préjudice subi par l’employée, suffit-elle pour accorder des dommages-intérêts pour mauvaise foi ou des dommages-intérêts majorés? — Quelle est la disponibilité et quels sont les paramètres des diverses catégories de dommages-intérêts additionnels qui peuvent être accordés dans le contexte du droit de l’emploi, notamment les dommages-intérêts majorés, les dommages-intérêts pour mauvaise foi et les dommages-intérêts punitifs?</w:t>
            </w:r>
          </w:p>
        </w:tc>
      </w:tr>
      <w:tr w:rsidR="00C91655" w:rsidRPr="00197413" w:rsidTr="00C91655">
        <w:tc>
          <w:tcPr>
            <w:tcW w:w="5000" w:type="pct"/>
            <w:gridSpan w:val="4"/>
          </w:tcPr>
          <w:p w:rsidR="00C91655" w:rsidRPr="00197413" w:rsidRDefault="00C91655" w:rsidP="00197413">
            <w:pPr>
              <w:jc w:val="both"/>
              <w:rPr>
                <w:sz w:val="20"/>
                <w:lang w:val="fr-CA"/>
              </w:rPr>
            </w:pPr>
          </w:p>
          <w:p w:rsidR="00C91655" w:rsidRPr="00197413" w:rsidRDefault="00C91655" w:rsidP="00197413">
            <w:pPr>
              <w:jc w:val="both"/>
              <w:rPr>
                <w:sz w:val="20"/>
                <w:lang w:val="fr-CA"/>
              </w:rPr>
            </w:pPr>
            <w:r w:rsidRPr="00197413">
              <w:rPr>
                <w:sz w:val="20"/>
                <w:lang w:val="fr-CA"/>
              </w:rPr>
              <w:t xml:space="preserve">La demanderesse, Jennifer Cottrill, a été embauchée par l’intimée, Utopia Day Spas and Salons Ltd., à titre de thérapeute des soins de la peau et a commencé son emploi en mai 2004. Elle a travaillé à temps plein au spa pendant environ onze ans avant d’être congédiée. En janvier 2015, l’employeur a commencé à être préoccupé par le rendement au travail de Mme Cottrill. Le 13 mars 2015, deux membres de la haute direction ont rencontré Mme Cottrill pour discuter de leurs préoccupations. À la réunion, Mme Cottrill s’est vu remettre une lettre l’informant de ses déficiences de rendement. La lettre précisait qu’elle avait trois mois pour s’améliorer, à défaut de quoi elle serait congédiée le 12 juin 2015. Le 12 juin 2015, des représentants de l’employeur ont rencontré Mme Cottrill et l’ont informée qu’elle </w:t>
            </w:r>
            <w:r w:rsidRPr="00197413">
              <w:rPr>
                <w:sz w:val="20"/>
                <w:lang w:val="fr-CA"/>
              </w:rPr>
              <w:lastRenderedPageBreak/>
              <w:t>était congédiée. Elle n’a pas reçu d’indemnité de départ, car elle a été congédiée pour non-respect des normes de rendement. Madame Cottrill a intenté une action en congédiement injustifié contre son employeur. La juge de première instance a conclu qu’elle avait été injustement congédiée et qu’en vertu de son contrat d’emploi, elle avait droit à une indemnité de départ de huit semaines. En outre, vu la manière dont elle avait été congédiée, Mme Cottrill s’est vu accorder la somme de 15 000 $ à titre de dommages-intérêts majorés. L’appel de l’employeur a été accueilli et la condamnation à payer les dommages-intérêts majorés a été annulée.</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lastRenderedPageBreak/>
              <w:t>1</w:t>
            </w:r>
            <w:r w:rsidRPr="00197413">
              <w:rPr>
                <w:sz w:val="20"/>
                <w:vertAlign w:val="superscript"/>
                <w:lang w:val="fr-CA"/>
              </w:rPr>
              <w:t>er</w:t>
            </w:r>
            <w:r w:rsidRPr="00197413">
              <w:rPr>
                <w:sz w:val="20"/>
                <w:lang w:val="fr-CA"/>
              </w:rPr>
              <w:t xml:space="preserve"> mai 2017</w:t>
            </w:r>
          </w:p>
          <w:p w:rsidR="00C91655" w:rsidRPr="00197413" w:rsidRDefault="00C91655" w:rsidP="00197413">
            <w:pPr>
              <w:jc w:val="both"/>
              <w:rPr>
                <w:sz w:val="20"/>
                <w:lang w:val="fr-CA"/>
              </w:rPr>
            </w:pPr>
            <w:r w:rsidRPr="00197413">
              <w:rPr>
                <w:sz w:val="20"/>
                <w:lang w:val="fr-CA"/>
              </w:rPr>
              <w:t>Cour suprême de la Colombie-Britannique</w:t>
            </w:r>
          </w:p>
          <w:p w:rsidR="00C91655" w:rsidRPr="00197413" w:rsidRDefault="00C91655" w:rsidP="00197413">
            <w:pPr>
              <w:jc w:val="both"/>
              <w:rPr>
                <w:sz w:val="20"/>
                <w:lang w:val="fr-CA"/>
              </w:rPr>
            </w:pPr>
            <w:r w:rsidRPr="00197413">
              <w:rPr>
                <w:sz w:val="20"/>
                <w:lang w:val="fr-CA"/>
              </w:rPr>
              <w:t>(Juge Harris)</w:t>
            </w:r>
          </w:p>
          <w:p w:rsidR="00C91655" w:rsidRPr="00197413" w:rsidRDefault="00C91655" w:rsidP="00197413">
            <w:pPr>
              <w:jc w:val="both"/>
              <w:rPr>
                <w:sz w:val="20"/>
                <w:lang w:val="fr-CA"/>
              </w:rPr>
            </w:pPr>
            <w:hyperlink r:id="rId49" w:history="1">
              <w:r w:rsidRPr="00197413">
                <w:rPr>
                  <w:rStyle w:val="Hyperlink"/>
                  <w:sz w:val="20"/>
                  <w:lang w:val="fr-CA"/>
                </w:rPr>
                <w:t>2017 BCSC 704</w:t>
              </w:r>
            </w:hyperlink>
            <w:r w:rsidRPr="00197413">
              <w:rPr>
                <w:sz w:val="20"/>
                <w:lang w:val="fr-CA"/>
              </w:rPr>
              <w:t>; S156415</w:t>
            </w: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 xml:space="preserve">Jugement accueillant l’action en congédiement injustifié de la demanderesse, statuant qu’elle </w:t>
            </w:r>
            <w:proofErr w:type="gramStart"/>
            <w:r w:rsidRPr="00197413">
              <w:rPr>
                <w:sz w:val="20"/>
                <w:lang w:val="fr-CA"/>
              </w:rPr>
              <w:t>a</w:t>
            </w:r>
            <w:proofErr w:type="gramEnd"/>
            <w:r w:rsidRPr="00197413">
              <w:rPr>
                <w:sz w:val="20"/>
                <w:lang w:val="fr-CA"/>
              </w:rPr>
              <w:t xml:space="preserve"> droit à une indemnité de départ de 4 795,78 $ et lui accordant des dommages-intérêts majorés de 15 000 $</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17 octobre 2018</w:t>
            </w:r>
          </w:p>
          <w:p w:rsidR="00C91655" w:rsidRPr="00197413" w:rsidRDefault="00C91655" w:rsidP="00197413">
            <w:pPr>
              <w:jc w:val="both"/>
              <w:rPr>
                <w:sz w:val="20"/>
                <w:lang w:val="fr-CA"/>
              </w:rPr>
            </w:pPr>
            <w:r w:rsidRPr="00197413">
              <w:rPr>
                <w:sz w:val="20"/>
                <w:lang w:val="fr-CA"/>
              </w:rPr>
              <w:t>Cour d’appel de la Colombie-Britannique</w:t>
            </w:r>
          </w:p>
          <w:p w:rsidR="00C91655" w:rsidRPr="00197413" w:rsidRDefault="00C91655" w:rsidP="00197413">
            <w:pPr>
              <w:jc w:val="both"/>
              <w:rPr>
                <w:sz w:val="20"/>
                <w:lang w:val="fr-CA"/>
              </w:rPr>
            </w:pPr>
            <w:r w:rsidRPr="00197413">
              <w:rPr>
                <w:sz w:val="20"/>
                <w:lang w:val="fr-CA"/>
              </w:rPr>
              <w:t>(Vancouver)</w:t>
            </w:r>
          </w:p>
          <w:p w:rsidR="00C91655" w:rsidRPr="00197413" w:rsidRDefault="00C91655" w:rsidP="00197413">
            <w:pPr>
              <w:jc w:val="both"/>
              <w:rPr>
                <w:sz w:val="20"/>
                <w:lang w:val="fr-CA"/>
              </w:rPr>
            </w:pPr>
            <w:r w:rsidRPr="00197413">
              <w:rPr>
                <w:sz w:val="20"/>
                <w:lang w:val="fr-CA"/>
              </w:rPr>
              <w:t>(Juges Goepel, Savage et Fisher)</w:t>
            </w:r>
          </w:p>
          <w:p w:rsidR="00C91655" w:rsidRPr="00197413" w:rsidRDefault="00C91655" w:rsidP="00197413">
            <w:pPr>
              <w:jc w:val="both"/>
              <w:rPr>
                <w:sz w:val="20"/>
                <w:lang w:val="fr-CA"/>
              </w:rPr>
            </w:pPr>
            <w:hyperlink r:id="rId50" w:history="1">
              <w:r w:rsidRPr="00197413">
                <w:rPr>
                  <w:rStyle w:val="Hyperlink"/>
                  <w:sz w:val="20"/>
                  <w:lang w:val="fr-CA"/>
                </w:rPr>
                <w:t>2018 BCCA 383</w:t>
              </w:r>
            </w:hyperlink>
            <w:r w:rsidRPr="00197413">
              <w:rPr>
                <w:sz w:val="20"/>
                <w:lang w:val="fr-CA"/>
              </w:rPr>
              <w:t>; CA44471</w:t>
            </w:r>
          </w:p>
          <w:p w:rsidR="00C91655" w:rsidRPr="00197413" w:rsidRDefault="00C91655" w:rsidP="00197413">
            <w:pPr>
              <w:jc w:val="both"/>
              <w:rPr>
                <w:sz w:val="20"/>
                <w:lang w:val="fr-CA"/>
              </w:rPr>
            </w:pP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Arrêt accueillant l’appel et annulant la condamnation à payer des dommages-intérêts majorés</w:t>
            </w: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17 décembre 2018</w:t>
            </w:r>
          </w:p>
          <w:p w:rsidR="00C91655" w:rsidRPr="00197413" w:rsidRDefault="00C91655" w:rsidP="00197413">
            <w:pPr>
              <w:jc w:val="both"/>
              <w:rPr>
                <w:sz w:val="20"/>
                <w:lang w:val="fr-CA"/>
              </w:rPr>
            </w:pPr>
            <w:r w:rsidRPr="00197413">
              <w:rPr>
                <w:sz w:val="20"/>
                <w:lang w:val="fr-CA"/>
              </w:rPr>
              <w:t>Cour suprême du</w:t>
            </w:r>
            <w:r w:rsidR="00730218">
              <w:rPr>
                <w:sz w:val="20"/>
                <w:lang w:val="fr-CA"/>
              </w:rPr>
              <w:t xml:space="preserve"> Canada</w:t>
            </w: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Dépôt de la demande d’autorisation d’appel</w:t>
            </w:r>
          </w:p>
          <w:p w:rsidR="00C91655" w:rsidRPr="00197413" w:rsidRDefault="00C91655" w:rsidP="00197413">
            <w:pPr>
              <w:jc w:val="both"/>
              <w:rPr>
                <w:sz w:val="20"/>
                <w:lang w:val="fr-CA"/>
              </w:rPr>
            </w:pPr>
          </w:p>
        </w:tc>
      </w:tr>
    </w:tbl>
    <w:p w:rsidR="00C91655" w:rsidRDefault="00C91655" w:rsidP="00197413">
      <w:pPr>
        <w:jc w:val="both"/>
        <w:rPr>
          <w:sz w:val="20"/>
          <w:lang w:val="fr-CA"/>
        </w:rPr>
      </w:pPr>
    </w:p>
    <w:p w:rsidR="00730218" w:rsidRPr="00197413" w:rsidRDefault="00730218" w:rsidP="00197413">
      <w:pPr>
        <w:jc w:val="both"/>
        <w:rPr>
          <w:sz w:val="20"/>
          <w:lang w:val="fr-CA"/>
        </w:rPr>
      </w:pPr>
      <w:r>
        <w:rPr>
          <w:sz w:val="20"/>
        </w:rPr>
        <w:pict>
          <v:rect id="_x0000_i1048" style="width:2in;height:1pt" o:hrpct="0" o:hralign="center" o:hrstd="t" o:hrnoshade="t" o:hr="t" fillcolor="black [3213]" stroked="f"/>
        </w:pict>
      </w:r>
    </w:p>
    <w:p w:rsidR="00AE7EB1" w:rsidRPr="00197413" w:rsidRDefault="00AE7EB1" w:rsidP="0019741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rPr>
            </w:pPr>
            <w:r w:rsidRPr="00197413">
              <w:rPr>
                <w:rStyle w:val="SCCFileNumberChar"/>
                <w:sz w:val="20"/>
                <w:szCs w:val="20"/>
              </w:rPr>
              <w:t>38368</w:t>
            </w:r>
          </w:p>
        </w:tc>
        <w:tc>
          <w:tcPr>
            <w:tcW w:w="4457" w:type="pct"/>
            <w:gridSpan w:val="3"/>
          </w:tcPr>
          <w:p w:rsidR="00C91655" w:rsidRPr="00730218" w:rsidRDefault="00C91655" w:rsidP="00197413">
            <w:pPr>
              <w:pStyle w:val="SCCLsocParty"/>
              <w:jc w:val="both"/>
              <w:rPr>
                <w:b/>
                <w:sz w:val="20"/>
                <w:szCs w:val="20"/>
                <w:lang w:val="en-US"/>
              </w:rPr>
            </w:pPr>
            <w:r w:rsidRPr="00730218">
              <w:rPr>
                <w:b/>
                <w:sz w:val="20"/>
                <w:szCs w:val="20"/>
                <w:lang w:val="en-US"/>
              </w:rPr>
              <w:t>Esad Kokic, Behra Kokic v. Dale Clarke, Lorraine Clarke</w:t>
            </w:r>
          </w:p>
          <w:p w:rsidR="00C91655" w:rsidRPr="00197413" w:rsidRDefault="00730218" w:rsidP="00197413">
            <w:pPr>
              <w:jc w:val="both"/>
              <w:rPr>
                <w:sz w:val="20"/>
              </w:rPr>
            </w:pPr>
            <w:r>
              <w:rPr>
                <w:sz w:val="20"/>
              </w:rPr>
              <w:t>(Ont.) (Civil) (By Leave)</w:t>
            </w:r>
          </w:p>
        </w:tc>
      </w:tr>
      <w:tr w:rsidR="00C91655" w:rsidRPr="00197413" w:rsidTr="00C91655">
        <w:tc>
          <w:tcPr>
            <w:tcW w:w="5000" w:type="pct"/>
            <w:gridSpan w:val="4"/>
          </w:tcPr>
          <w:p w:rsidR="00C91655" w:rsidRPr="00197413" w:rsidRDefault="00C91655" w:rsidP="00197413">
            <w:pPr>
              <w:jc w:val="both"/>
              <w:rPr>
                <w:sz w:val="20"/>
              </w:rPr>
            </w:pPr>
            <w:r w:rsidRPr="00197413">
              <w:rPr>
                <w:sz w:val="20"/>
              </w:rPr>
              <w:t>Property — Real property — Easements — Application for declaratory relief granted — Principles applicable to easements and ancillary rights — Whether the case law is inconsistent and requires clarification.</w:t>
            </w:r>
          </w:p>
          <w:p w:rsidR="00C91655" w:rsidRPr="00197413" w:rsidRDefault="00C91655" w:rsidP="00197413">
            <w:pPr>
              <w:jc w:val="both"/>
              <w:rPr>
                <w:sz w:val="20"/>
              </w:rPr>
            </w:pPr>
          </w:p>
          <w:p w:rsidR="00C91655" w:rsidRDefault="00C91655" w:rsidP="00730218">
            <w:pPr>
              <w:pStyle w:val="aparanumbering1"/>
              <w:shd w:val="clear" w:color="auto" w:fill="FFFFFF"/>
              <w:spacing w:before="0" w:after="0"/>
              <w:rPr>
                <w:rFonts w:ascii="Times New Roman" w:hAnsi="Times New Roman" w:cs="Times New Roman"/>
                <w:color w:val="212529"/>
                <w:sz w:val="20"/>
                <w:szCs w:val="20"/>
                <w:lang w:val="en"/>
              </w:rPr>
            </w:pPr>
            <w:r w:rsidRPr="00197413">
              <w:rPr>
                <w:rFonts w:ascii="Times New Roman" w:hAnsi="Times New Roman" w:cs="Times New Roman"/>
                <w:color w:val="212529"/>
                <w:sz w:val="20"/>
                <w:szCs w:val="20"/>
                <w:lang w:val="en"/>
              </w:rPr>
              <w:t>The Clarkes own a building located at 101 St. Andrew St. W. It is attached to the adjacent building at 135 St. David St., which is owned by the Kokics. Under the title deeds, the Clarkes have an easement over part of the Kokics’ property, which provides interior access to the upper floors and roof of their own property. When the easement was first granted, the Clarkes’ predecessors in title had no other access to the third floor or roof of 101 St. Andrew St. W except through 135 St. David St., though this is no longer the case.</w:t>
            </w:r>
          </w:p>
          <w:p w:rsidR="00730218" w:rsidRPr="00197413" w:rsidRDefault="00730218" w:rsidP="00730218">
            <w:pPr>
              <w:pStyle w:val="aparanumbering1"/>
              <w:shd w:val="clear" w:color="auto" w:fill="FFFFFF"/>
              <w:spacing w:before="0" w:after="0"/>
              <w:rPr>
                <w:rFonts w:ascii="Times New Roman" w:hAnsi="Times New Roman" w:cs="Times New Roman"/>
                <w:color w:val="212529"/>
                <w:sz w:val="20"/>
                <w:szCs w:val="20"/>
                <w:lang w:val="en"/>
              </w:rPr>
            </w:pPr>
          </w:p>
          <w:p w:rsidR="00C91655" w:rsidRDefault="00C91655" w:rsidP="00730218">
            <w:pPr>
              <w:pStyle w:val="aparanumbering1"/>
              <w:shd w:val="clear" w:color="auto" w:fill="FFFFFF"/>
              <w:spacing w:before="0" w:after="0"/>
              <w:rPr>
                <w:rFonts w:ascii="Times New Roman" w:hAnsi="Times New Roman" w:cs="Times New Roman"/>
                <w:color w:val="212529"/>
                <w:sz w:val="20"/>
                <w:szCs w:val="20"/>
                <w:lang w:val="en"/>
              </w:rPr>
            </w:pPr>
            <w:r w:rsidRPr="00197413">
              <w:rPr>
                <w:rFonts w:ascii="Times New Roman" w:hAnsi="Times New Roman" w:cs="Times New Roman"/>
                <w:color w:val="212529"/>
                <w:sz w:val="20"/>
                <w:szCs w:val="20"/>
                <w:lang w:val="en"/>
              </w:rPr>
              <w:t>The Clarkes began renovations to adapt the property for commercial use on the first two floors and residential use on the third. The renovations include slightly widening the third floor door frame through which the easement passes to make it a fire exit, and replacing the doors on the second and third floor to comply with the relevant building and fire regulations. The Kokics interfered with the right of way, and the Clarkes applied for declaratory and injunctive relief. The application judge declared the easement valid and ordered the Kokics not to interfere with the Clarkes’ rights under the easement, including the right to make the renovations. The Court of Appeal dismissed the appeal.</w:t>
            </w:r>
          </w:p>
          <w:p w:rsidR="00730218" w:rsidRPr="00197413" w:rsidRDefault="00730218" w:rsidP="00730218">
            <w:pPr>
              <w:pStyle w:val="aparanumbering1"/>
              <w:shd w:val="clear" w:color="auto" w:fill="FFFFFF"/>
              <w:spacing w:before="0" w:after="0"/>
              <w:rPr>
                <w:rFonts w:ascii="Times New Roman" w:hAnsi="Times New Roman" w:cs="Times New Roman"/>
                <w:color w:val="212529"/>
                <w:sz w:val="20"/>
                <w:szCs w:val="20"/>
                <w:lang w:val="en"/>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October 30, 2017</w:t>
            </w:r>
          </w:p>
          <w:p w:rsidR="00C91655" w:rsidRPr="00197413" w:rsidRDefault="00C91655" w:rsidP="00197413">
            <w:pPr>
              <w:jc w:val="both"/>
              <w:rPr>
                <w:sz w:val="20"/>
              </w:rPr>
            </w:pPr>
            <w:r w:rsidRPr="00197413">
              <w:rPr>
                <w:sz w:val="20"/>
              </w:rPr>
              <w:t>Ontario Superior Court of Justice</w:t>
            </w:r>
          </w:p>
          <w:p w:rsidR="00C91655" w:rsidRPr="00197413" w:rsidRDefault="00C91655" w:rsidP="00197413">
            <w:pPr>
              <w:jc w:val="both"/>
              <w:rPr>
                <w:sz w:val="20"/>
              </w:rPr>
            </w:pPr>
            <w:r w:rsidRPr="00197413">
              <w:rPr>
                <w:sz w:val="20"/>
              </w:rPr>
              <w:t>(Bloom J.)</w:t>
            </w:r>
          </w:p>
          <w:p w:rsidR="00C91655" w:rsidRPr="00197413" w:rsidRDefault="00C91655" w:rsidP="00197413">
            <w:pPr>
              <w:jc w:val="both"/>
              <w:rPr>
                <w:sz w:val="20"/>
              </w:rPr>
            </w:pPr>
            <w:hyperlink r:id="rId51" w:history="1">
              <w:r w:rsidRPr="00197413">
                <w:rPr>
                  <w:rStyle w:val="Hyperlink"/>
                  <w:sz w:val="20"/>
                </w:rPr>
                <w:t>2017 ONSC 6485</w:t>
              </w:r>
            </w:hyperlink>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Application for declaratory relief granted with costs</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August 27, 2018</w:t>
            </w:r>
          </w:p>
          <w:p w:rsidR="00C91655" w:rsidRPr="00197413" w:rsidRDefault="00C91655" w:rsidP="00197413">
            <w:pPr>
              <w:jc w:val="both"/>
              <w:rPr>
                <w:sz w:val="20"/>
              </w:rPr>
            </w:pPr>
            <w:r w:rsidRPr="00197413">
              <w:rPr>
                <w:sz w:val="20"/>
              </w:rPr>
              <w:t>Court of Appeal for Ontario</w:t>
            </w:r>
          </w:p>
          <w:p w:rsidR="00C91655" w:rsidRPr="00197413" w:rsidRDefault="00C91655" w:rsidP="00197413">
            <w:pPr>
              <w:jc w:val="both"/>
              <w:rPr>
                <w:sz w:val="20"/>
                <w:lang w:val="fr-CA"/>
              </w:rPr>
            </w:pPr>
            <w:r w:rsidRPr="00197413">
              <w:rPr>
                <w:sz w:val="20"/>
                <w:lang w:val="fr-CA"/>
              </w:rPr>
              <w:t>(Lauwers, Miller, Nordheimer JJ.A.)</w:t>
            </w:r>
          </w:p>
          <w:p w:rsidR="00C91655" w:rsidRPr="00197413" w:rsidRDefault="00C91655" w:rsidP="00197413">
            <w:pPr>
              <w:jc w:val="both"/>
              <w:rPr>
                <w:sz w:val="20"/>
              </w:rPr>
            </w:pPr>
            <w:hyperlink r:id="rId52" w:history="1">
              <w:r w:rsidRPr="00197413">
                <w:rPr>
                  <w:rStyle w:val="Hyperlink"/>
                  <w:sz w:val="20"/>
                </w:rPr>
                <w:t>2018 ONCA 705</w:t>
              </w:r>
            </w:hyperlink>
            <w:r w:rsidRPr="00197413">
              <w:rPr>
                <w:sz w:val="20"/>
              </w:rPr>
              <w:t>; C64649</w:t>
            </w:r>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Appeal dismissed with costs</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October 25, 2018</w:t>
            </w:r>
          </w:p>
          <w:p w:rsidR="00C91655" w:rsidRPr="00197413" w:rsidRDefault="00C91655" w:rsidP="00197413">
            <w:pPr>
              <w:jc w:val="both"/>
              <w:rPr>
                <w:sz w:val="20"/>
              </w:rPr>
            </w:pPr>
            <w:r w:rsidRPr="00197413">
              <w:rPr>
                <w:sz w:val="20"/>
              </w:rPr>
              <w:lastRenderedPageBreak/>
              <w:t>Supreme Court of Canada</w:t>
            </w: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Application for leave to appeal filed</w:t>
            </w:r>
          </w:p>
          <w:p w:rsidR="00C91655" w:rsidRPr="00197413" w:rsidRDefault="00C91655" w:rsidP="00197413">
            <w:pPr>
              <w:jc w:val="both"/>
              <w:rPr>
                <w:sz w:val="20"/>
              </w:rPr>
            </w:pPr>
          </w:p>
        </w:tc>
      </w:tr>
    </w:tbl>
    <w:p w:rsidR="00C91655" w:rsidRDefault="00C91655" w:rsidP="00197413">
      <w:pPr>
        <w:jc w:val="both"/>
        <w:rPr>
          <w:sz w:val="20"/>
        </w:rPr>
      </w:pPr>
    </w:p>
    <w:p w:rsidR="00730218" w:rsidRPr="00197413" w:rsidRDefault="006D731B" w:rsidP="00197413">
      <w:pPr>
        <w:jc w:val="both"/>
        <w:rPr>
          <w:sz w:val="20"/>
        </w:rPr>
      </w:pPr>
      <w:r>
        <w:rPr>
          <w:sz w:val="20"/>
        </w:rPr>
        <w:pict>
          <v:rect id="_x0000_i1070" style="width:2in;height:1pt" o:hrpct="0" o:hralign="center" o:hrstd="t" o:hrnoshade="t" o:hr="t" fillcolor="black [3213]" stroked="f"/>
        </w:pict>
      </w:r>
    </w:p>
    <w:p w:rsidR="00AE7EB1" w:rsidRPr="00197413" w:rsidRDefault="00AE7EB1" w:rsidP="00197413">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lang w:val="fr-CA"/>
              </w:rPr>
            </w:pPr>
            <w:r w:rsidRPr="00197413">
              <w:rPr>
                <w:rStyle w:val="SCCFileNumberChar"/>
                <w:sz w:val="20"/>
                <w:szCs w:val="20"/>
                <w:lang w:val="fr-CA"/>
              </w:rPr>
              <w:t>38368</w:t>
            </w:r>
          </w:p>
        </w:tc>
        <w:tc>
          <w:tcPr>
            <w:tcW w:w="4457" w:type="pct"/>
            <w:gridSpan w:val="3"/>
          </w:tcPr>
          <w:p w:rsidR="00C91655" w:rsidRPr="00730218" w:rsidRDefault="00C91655" w:rsidP="00197413">
            <w:pPr>
              <w:pStyle w:val="SCCLsocParty"/>
              <w:jc w:val="both"/>
              <w:rPr>
                <w:b/>
                <w:sz w:val="20"/>
                <w:szCs w:val="20"/>
              </w:rPr>
            </w:pPr>
            <w:r w:rsidRPr="00730218">
              <w:rPr>
                <w:b/>
                <w:sz w:val="20"/>
                <w:szCs w:val="20"/>
              </w:rPr>
              <w:t>Esad Kokic, Behra Kokic c. Dale Clarke, Lorraine Clarke</w:t>
            </w:r>
          </w:p>
          <w:p w:rsidR="00C91655" w:rsidRPr="00197413" w:rsidRDefault="00C91655" w:rsidP="00197413">
            <w:pPr>
              <w:jc w:val="both"/>
              <w:rPr>
                <w:sz w:val="20"/>
                <w:lang w:val="fr-CA"/>
              </w:rPr>
            </w:pPr>
            <w:r w:rsidRPr="00197413">
              <w:rPr>
                <w:sz w:val="20"/>
                <w:lang w:val="fr-CA"/>
              </w:rPr>
              <w:t>(Ont.) (Civile) (Autorisation</w:t>
            </w:r>
            <w:r w:rsidR="00730218">
              <w:rPr>
                <w:sz w:val="20"/>
                <w:lang w:val="fr-CA"/>
              </w:rPr>
              <w:t>)</w:t>
            </w:r>
          </w:p>
        </w:tc>
      </w:tr>
      <w:tr w:rsidR="00C91655" w:rsidRPr="00197413" w:rsidTr="00C91655">
        <w:tc>
          <w:tcPr>
            <w:tcW w:w="5000" w:type="pct"/>
            <w:gridSpan w:val="4"/>
          </w:tcPr>
          <w:p w:rsidR="00C91655" w:rsidRPr="00197413" w:rsidRDefault="00C91655" w:rsidP="00197413">
            <w:pPr>
              <w:jc w:val="both"/>
              <w:rPr>
                <w:sz w:val="20"/>
                <w:lang w:val="fr-CA"/>
              </w:rPr>
            </w:pPr>
            <w:r w:rsidRPr="00197413">
              <w:rPr>
                <w:sz w:val="20"/>
                <w:lang w:val="fr-CA"/>
              </w:rPr>
              <w:t>Biens — Biens réels — Servitudes — Demande de jugement déclaratoire accueillie — Principes applicables aux servitudes et droits accessoires — La jurisprudence est-elle incertaine et doit-elle être clarifiée?</w:t>
            </w:r>
          </w:p>
          <w:p w:rsidR="00C91655" w:rsidRPr="00197413" w:rsidRDefault="00C91655" w:rsidP="00197413">
            <w:pPr>
              <w:jc w:val="both"/>
              <w:rPr>
                <w:sz w:val="20"/>
                <w:lang w:val="fr-CA"/>
              </w:rPr>
            </w:pPr>
          </w:p>
          <w:p w:rsidR="00C91655" w:rsidRDefault="00C91655" w:rsidP="00730218">
            <w:pPr>
              <w:pStyle w:val="aparanumbering1"/>
              <w:shd w:val="clear" w:color="auto" w:fill="FFFFFF"/>
              <w:spacing w:before="0" w:after="0"/>
              <w:rPr>
                <w:rFonts w:ascii="Times New Roman" w:hAnsi="Times New Roman" w:cs="Times New Roman"/>
                <w:color w:val="212529"/>
                <w:sz w:val="20"/>
                <w:szCs w:val="20"/>
                <w:lang w:val="fr-CA"/>
              </w:rPr>
            </w:pPr>
            <w:r w:rsidRPr="00197413">
              <w:rPr>
                <w:rFonts w:ascii="Times New Roman" w:hAnsi="Times New Roman" w:cs="Times New Roman"/>
                <w:color w:val="212529"/>
                <w:sz w:val="20"/>
                <w:szCs w:val="20"/>
                <w:lang w:val="fr-CA"/>
              </w:rPr>
              <w:t>Les Clarke sont propriétaires d’un édifice situé au 101, rue St. Andrew ouest. Cet édifice est attaché à l’édifice adjacent, situé au 135, rue St. David, qui appartient aux Kokic. En vertu des titres de propriété, les Clarke ont une servitude qui grève une partie de la propriété des Kokic, qui donne accès par l’intérieur aux étages supérieurs et au toit de leur propriété. Lorsque la servitude avait été établie à l’origine, les auteurs des Clarke n’avaient aucun autre accès au troisième étage ou au toit du 101, rue St. Andrew ouest, sauf en passant par le 135, rue St. David, ce qui n’est plus le cas.</w:t>
            </w:r>
          </w:p>
          <w:p w:rsidR="00730218" w:rsidRPr="00197413" w:rsidRDefault="00730218" w:rsidP="00730218">
            <w:pPr>
              <w:pStyle w:val="aparanumbering1"/>
              <w:shd w:val="clear" w:color="auto" w:fill="FFFFFF"/>
              <w:spacing w:before="0" w:after="0"/>
              <w:rPr>
                <w:rFonts w:ascii="Times New Roman" w:hAnsi="Times New Roman" w:cs="Times New Roman"/>
                <w:color w:val="212529"/>
                <w:sz w:val="20"/>
                <w:szCs w:val="20"/>
                <w:lang w:val="fr-CA"/>
              </w:rPr>
            </w:pPr>
          </w:p>
          <w:p w:rsidR="00C91655" w:rsidRPr="00197413" w:rsidRDefault="00C91655" w:rsidP="00730218">
            <w:pPr>
              <w:pStyle w:val="aparanumbering1"/>
              <w:shd w:val="clear" w:color="auto" w:fill="FFFFFF"/>
              <w:spacing w:before="0" w:after="0"/>
              <w:rPr>
                <w:rFonts w:ascii="Times New Roman" w:hAnsi="Times New Roman" w:cs="Times New Roman"/>
                <w:color w:val="212529"/>
                <w:sz w:val="20"/>
                <w:szCs w:val="20"/>
                <w:lang w:val="fr-CA"/>
              </w:rPr>
            </w:pPr>
            <w:r w:rsidRPr="00197413">
              <w:rPr>
                <w:rFonts w:ascii="Times New Roman" w:hAnsi="Times New Roman" w:cs="Times New Roman"/>
                <w:color w:val="212529"/>
                <w:sz w:val="20"/>
                <w:szCs w:val="20"/>
                <w:lang w:val="fr-CA"/>
              </w:rPr>
              <w:t>Les Clarke ont entrepris des rénovations pour adapter la propriété pour usage commercial aux deux premiers étages et pour usage résidentiel au troisième. Les rénovations consistent notamment à élargir un peu le cadre de la porte au troisième étage par laquelle la servitude passe pour en faire une issue de secours et à remplacer les portes aux deuxième et troisième étages pour se conformer aux règlements applicables de construction et de sécurité incendie. Les Kokic ont porté atteinte au droit de passage, et les Clarke ont demandé un jugement déclaratoire et une injonction. Le juge de première instance a déclaré la servitude valide et a ordonné aux Kokic de ne pas entraver l’exercice des droits des Clarke conférés par la servitude, y compris le droit de faire des rénovations. La Cour d’appel a rejeté l’appel.</w:t>
            </w:r>
          </w:p>
          <w:p w:rsidR="00C91655" w:rsidRPr="00197413" w:rsidRDefault="00C91655" w:rsidP="00730218">
            <w:pPr>
              <w:pStyle w:val="aparanumbering1"/>
              <w:shd w:val="clear" w:color="auto" w:fill="FFFFFF"/>
              <w:spacing w:before="0" w:after="0"/>
              <w:rPr>
                <w:rFonts w:ascii="Times New Roman" w:hAnsi="Times New Roman" w:cs="Times New Roman"/>
                <w:color w:val="212529"/>
                <w:sz w:val="20"/>
                <w:szCs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30 octobre 2017</w:t>
            </w:r>
          </w:p>
          <w:p w:rsidR="00C91655" w:rsidRPr="00197413" w:rsidRDefault="00C91655" w:rsidP="00197413">
            <w:pPr>
              <w:jc w:val="both"/>
              <w:rPr>
                <w:sz w:val="20"/>
                <w:lang w:val="fr-CA"/>
              </w:rPr>
            </w:pPr>
            <w:r w:rsidRPr="00197413">
              <w:rPr>
                <w:sz w:val="20"/>
                <w:lang w:val="fr-CA"/>
              </w:rPr>
              <w:t>Cour supérieure de justice de l’Ontario</w:t>
            </w:r>
          </w:p>
          <w:p w:rsidR="00C91655" w:rsidRPr="00197413" w:rsidRDefault="00C91655" w:rsidP="00197413">
            <w:pPr>
              <w:jc w:val="both"/>
              <w:rPr>
                <w:sz w:val="20"/>
                <w:lang w:val="fr-CA"/>
              </w:rPr>
            </w:pPr>
            <w:r w:rsidRPr="00197413">
              <w:rPr>
                <w:sz w:val="20"/>
                <w:lang w:val="fr-CA"/>
              </w:rPr>
              <w:t>(Juge Bloom)</w:t>
            </w:r>
          </w:p>
          <w:p w:rsidR="00C91655" w:rsidRPr="00197413" w:rsidRDefault="00C91655" w:rsidP="00197413">
            <w:pPr>
              <w:jc w:val="both"/>
              <w:rPr>
                <w:sz w:val="20"/>
                <w:lang w:val="fr-CA"/>
              </w:rPr>
            </w:pPr>
            <w:hyperlink r:id="rId53" w:history="1">
              <w:r w:rsidRPr="00197413">
                <w:rPr>
                  <w:rStyle w:val="Hyperlink"/>
                  <w:sz w:val="20"/>
                  <w:lang w:val="fr-CA"/>
                </w:rPr>
                <w:t>2017 ONSC 6485</w:t>
              </w:r>
            </w:hyperlink>
          </w:p>
          <w:p w:rsidR="00C91655" w:rsidRPr="00197413" w:rsidRDefault="00C91655" w:rsidP="00197413">
            <w:pPr>
              <w:jc w:val="both"/>
              <w:rPr>
                <w:sz w:val="20"/>
                <w:lang w:val="fr-CA"/>
              </w:rPr>
            </w:pP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Jugement accueillant la demande de jugement déclaratoire avec dépens</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27 août 2018</w:t>
            </w:r>
          </w:p>
          <w:p w:rsidR="00C91655" w:rsidRPr="00197413" w:rsidRDefault="00C91655" w:rsidP="00197413">
            <w:pPr>
              <w:jc w:val="both"/>
              <w:rPr>
                <w:sz w:val="20"/>
                <w:lang w:val="fr-CA"/>
              </w:rPr>
            </w:pPr>
            <w:r w:rsidRPr="00197413">
              <w:rPr>
                <w:sz w:val="20"/>
                <w:lang w:val="fr-CA"/>
              </w:rPr>
              <w:t>Cour d’appel de l’Ontario</w:t>
            </w:r>
          </w:p>
          <w:p w:rsidR="00C91655" w:rsidRPr="00197413" w:rsidRDefault="00C91655" w:rsidP="00197413">
            <w:pPr>
              <w:jc w:val="both"/>
              <w:rPr>
                <w:sz w:val="20"/>
                <w:lang w:val="fr-CA"/>
              </w:rPr>
            </w:pPr>
            <w:r w:rsidRPr="00197413">
              <w:rPr>
                <w:sz w:val="20"/>
                <w:lang w:val="fr-CA"/>
              </w:rPr>
              <w:t>(Juges Lauwers, Miller et Nordheimer)</w:t>
            </w:r>
          </w:p>
          <w:p w:rsidR="00C91655" w:rsidRPr="00197413" w:rsidRDefault="00C91655" w:rsidP="00197413">
            <w:pPr>
              <w:jc w:val="both"/>
              <w:rPr>
                <w:sz w:val="20"/>
                <w:lang w:val="fr-CA"/>
              </w:rPr>
            </w:pPr>
            <w:hyperlink r:id="rId54" w:history="1">
              <w:r w:rsidRPr="00197413">
                <w:rPr>
                  <w:rStyle w:val="Hyperlink"/>
                  <w:sz w:val="20"/>
                  <w:lang w:val="fr-CA"/>
                </w:rPr>
                <w:t>2018 ONCA 705</w:t>
              </w:r>
            </w:hyperlink>
            <w:r w:rsidRPr="00197413">
              <w:rPr>
                <w:sz w:val="20"/>
                <w:lang w:val="fr-CA"/>
              </w:rPr>
              <w:t>; C64649</w:t>
            </w:r>
          </w:p>
          <w:p w:rsidR="00C91655" w:rsidRPr="00197413" w:rsidRDefault="00C91655" w:rsidP="00197413">
            <w:pPr>
              <w:jc w:val="both"/>
              <w:rPr>
                <w:sz w:val="20"/>
                <w:lang w:val="fr-CA"/>
              </w:rPr>
            </w:pP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Rejet de l’appel avec dépens</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25 octobre 2018</w:t>
            </w:r>
          </w:p>
          <w:p w:rsidR="00C91655" w:rsidRPr="00197413" w:rsidRDefault="00C91655" w:rsidP="00197413">
            <w:pPr>
              <w:jc w:val="both"/>
              <w:rPr>
                <w:sz w:val="20"/>
                <w:lang w:val="fr-CA"/>
              </w:rPr>
            </w:pPr>
            <w:r w:rsidRPr="00197413">
              <w:rPr>
                <w:sz w:val="20"/>
                <w:lang w:val="fr-CA"/>
              </w:rPr>
              <w:t>Cour suprême du Canada</w:t>
            </w: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Dépôt de la demande d’autorisation d’appel</w:t>
            </w:r>
          </w:p>
          <w:p w:rsidR="00C91655" w:rsidRPr="00197413" w:rsidRDefault="00C91655" w:rsidP="00197413">
            <w:pPr>
              <w:jc w:val="both"/>
              <w:rPr>
                <w:sz w:val="20"/>
                <w:lang w:val="fr-CA"/>
              </w:rPr>
            </w:pPr>
          </w:p>
        </w:tc>
      </w:tr>
    </w:tbl>
    <w:p w:rsidR="00C91655" w:rsidRDefault="00C91655" w:rsidP="00197413">
      <w:pPr>
        <w:jc w:val="both"/>
        <w:rPr>
          <w:sz w:val="20"/>
          <w:lang w:val="fr-CA"/>
        </w:rPr>
      </w:pPr>
    </w:p>
    <w:p w:rsidR="00730218" w:rsidRPr="00197413" w:rsidRDefault="00730218" w:rsidP="00197413">
      <w:pPr>
        <w:jc w:val="both"/>
        <w:rPr>
          <w:sz w:val="20"/>
          <w:lang w:val="fr-CA"/>
        </w:rPr>
      </w:pPr>
      <w:r>
        <w:rPr>
          <w:sz w:val="20"/>
        </w:rPr>
        <w:pict>
          <v:rect id="_x0000_i1051" style="width:2in;height:1pt" o:hrpct="0" o:hralign="center" o:hrstd="t" o:hrnoshade="t" o:hr="t" fillcolor="black [3213]" stroked="f"/>
        </w:pict>
      </w:r>
    </w:p>
    <w:p w:rsidR="00AE7EB1" w:rsidRPr="00197413" w:rsidRDefault="00AE7EB1" w:rsidP="0019741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lang w:val="en-CA"/>
              </w:rPr>
            </w:pPr>
            <w:r w:rsidRPr="00197413">
              <w:rPr>
                <w:rStyle w:val="SCCFileNumberChar"/>
                <w:sz w:val="20"/>
                <w:szCs w:val="20"/>
              </w:rPr>
              <w:t>38332</w:t>
            </w:r>
          </w:p>
        </w:tc>
        <w:tc>
          <w:tcPr>
            <w:tcW w:w="4457" w:type="pct"/>
            <w:gridSpan w:val="3"/>
          </w:tcPr>
          <w:p w:rsidR="00C91655" w:rsidRPr="00163492" w:rsidRDefault="00C91655" w:rsidP="00197413">
            <w:pPr>
              <w:pStyle w:val="SCCLsocParty"/>
              <w:jc w:val="both"/>
              <w:rPr>
                <w:b/>
                <w:sz w:val="20"/>
                <w:szCs w:val="20"/>
                <w:lang w:val="en-CA"/>
              </w:rPr>
            </w:pPr>
            <w:r w:rsidRPr="00163492">
              <w:rPr>
                <w:b/>
                <w:sz w:val="20"/>
                <w:szCs w:val="20"/>
                <w:lang w:val="en-CA"/>
              </w:rPr>
              <w:t>Conseil scolaire francophone de la Colombie-Britannique, Fédération des parents francophones de la Colombie-Britannique, Annette Azar-Diehl, Stéphane Perron, Marie-Nicole Dubois v. Her Majesty the Queen in right of the Province of British Columbia, Minister of Education of British Columbia</w:t>
            </w:r>
          </w:p>
          <w:p w:rsidR="00C91655" w:rsidRPr="00197413" w:rsidRDefault="00C91655" w:rsidP="00197413">
            <w:pPr>
              <w:jc w:val="both"/>
              <w:rPr>
                <w:sz w:val="20"/>
                <w:lang w:val="en-CA"/>
              </w:rPr>
            </w:pPr>
            <w:r w:rsidRPr="00197413">
              <w:rPr>
                <w:sz w:val="20"/>
                <w:lang w:val="en-CA"/>
              </w:rPr>
              <w:t>(B.C.) (Civil) (By Leave)</w:t>
            </w:r>
          </w:p>
        </w:tc>
      </w:tr>
      <w:tr w:rsidR="00C91655" w:rsidRPr="00197413" w:rsidTr="00C91655">
        <w:tc>
          <w:tcPr>
            <w:tcW w:w="5000" w:type="pct"/>
            <w:gridSpan w:val="4"/>
          </w:tcPr>
          <w:p w:rsidR="00C91655" w:rsidRPr="00197413" w:rsidRDefault="00C91655" w:rsidP="00197413">
            <w:pPr>
              <w:jc w:val="both"/>
              <w:rPr>
                <w:sz w:val="20"/>
                <w:lang w:val="en-CA"/>
              </w:rPr>
            </w:pPr>
            <w:proofErr w:type="gramStart"/>
            <w:r w:rsidRPr="00197413">
              <w:rPr>
                <w:i/>
                <w:sz w:val="20"/>
                <w:lang w:val="en-CA"/>
              </w:rPr>
              <w:t xml:space="preserve">Canadian Charter </w:t>
            </w:r>
            <w:r w:rsidRPr="00197413">
              <w:rPr>
                <w:sz w:val="20"/>
                <w:lang w:val="en-CA"/>
              </w:rPr>
              <w:t xml:space="preserve">— </w:t>
            </w:r>
            <w:r w:rsidRPr="00197413">
              <w:rPr>
                <w:iCs/>
                <w:sz w:val="20"/>
                <w:lang w:val="en-CA"/>
              </w:rPr>
              <w:t>Minority language educational rights</w:t>
            </w:r>
            <w:r w:rsidRPr="00197413">
              <w:rPr>
                <w:sz w:val="20"/>
                <w:lang w:val="en-CA"/>
              </w:rPr>
              <w:t xml:space="preserve"> — Application of s. 23 of </w:t>
            </w:r>
            <w:r w:rsidRPr="00197413">
              <w:rPr>
                <w:i/>
                <w:sz w:val="20"/>
                <w:lang w:val="en-CA"/>
              </w:rPr>
              <w:t>Charter</w:t>
            </w:r>
            <w:r w:rsidRPr="00197413">
              <w:rPr>
                <w:sz w:val="20"/>
                <w:lang w:val="en-CA"/>
              </w:rPr>
              <w:t xml:space="preserve"> where number of eligible students is insufficient to offer full educational services — In analysis under s. 1 of </w:t>
            </w:r>
            <w:r w:rsidRPr="00197413">
              <w:rPr>
                <w:i/>
                <w:sz w:val="20"/>
                <w:lang w:val="en-CA"/>
              </w:rPr>
              <w:t>Charter</w:t>
            </w:r>
            <w:r w:rsidRPr="00197413">
              <w:rPr>
                <w:sz w:val="20"/>
                <w:lang w:val="en-CA"/>
              </w:rPr>
              <w:t xml:space="preserve">, whether it is appropriate to deny very basis of </w:t>
            </w:r>
            <w:r w:rsidRPr="00197413">
              <w:rPr>
                <w:i/>
                <w:sz w:val="20"/>
                <w:lang w:val="en-CA"/>
              </w:rPr>
              <w:t>Charter</w:t>
            </w:r>
            <w:r w:rsidRPr="00197413">
              <w:rPr>
                <w:sz w:val="20"/>
                <w:lang w:val="en-CA"/>
              </w:rPr>
              <w:t xml:space="preserve"> right in order to minimize harm caused by infringement — Whether it is appropriate to consider cost savings in s. 1 analysis and, if so, extent to which cost savings can be considered — Whether guiding principle of s. 23 is substantive equivalence or “proportionality” — Whether government policies are immune from </w:t>
            </w:r>
            <w:r w:rsidRPr="00197413">
              <w:rPr>
                <w:i/>
                <w:sz w:val="20"/>
                <w:lang w:val="en-CA"/>
              </w:rPr>
              <w:t>Charter</w:t>
            </w:r>
            <w:r w:rsidRPr="00197413">
              <w:rPr>
                <w:sz w:val="20"/>
                <w:lang w:val="en-CA"/>
              </w:rPr>
              <w:t xml:space="preserve"> damages.</w:t>
            </w:r>
            <w:proofErr w:type="gramEnd"/>
          </w:p>
        </w:tc>
      </w:tr>
      <w:tr w:rsidR="00C91655" w:rsidRPr="00197413" w:rsidTr="00C91655">
        <w:tc>
          <w:tcPr>
            <w:tcW w:w="5000" w:type="pct"/>
            <w:gridSpan w:val="4"/>
          </w:tcPr>
          <w:p w:rsidR="00C91655" w:rsidRPr="00197413" w:rsidRDefault="00C91655" w:rsidP="00197413">
            <w:pPr>
              <w:jc w:val="both"/>
              <w:rPr>
                <w:sz w:val="20"/>
                <w:lang w:val="en-CA"/>
              </w:rPr>
            </w:pPr>
          </w:p>
        </w:tc>
      </w:tr>
      <w:tr w:rsidR="00C91655" w:rsidRPr="00197413" w:rsidTr="00C91655">
        <w:tc>
          <w:tcPr>
            <w:tcW w:w="5000" w:type="pct"/>
            <w:gridSpan w:val="4"/>
          </w:tcPr>
          <w:p w:rsidR="00C91655" w:rsidRPr="00197413" w:rsidRDefault="00C91655" w:rsidP="00197413">
            <w:pPr>
              <w:jc w:val="both"/>
              <w:rPr>
                <w:sz w:val="20"/>
                <w:lang w:val="en-CA"/>
              </w:rPr>
            </w:pPr>
            <w:r w:rsidRPr="00197413">
              <w:rPr>
                <w:sz w:val="20"/>
                <w:lang w:val="en-CA"/>
              </w:rPr>
              <w:lastRenderedPageBreak/>
              <w:t xml:space="preserve">The applicants allege that the Province of British Columbia infringed the minority language educational rights guaranteed by s. 23 of the </w:t>
            </w:r>
            <w:r w:rsidRPr="00197413">
              <w:rPr>
                <w:i/>
                <w:sz w:val="20"/>
                <w:lang w:val="en-CA"/>
              </w:rPr>
              <w:t>Charter</w:t>
            </w:r>
            <w:r w:rsidRPr="00197413">
              <w:rPr>
                <w:sz w:val="20"/>
                <w:lang w:val="en-CA"/>
              </w:rPr>
              <w:t xml:space="preserve"> by underfunding the French</w:t>
            </w:r>
            <w:r w:rsidRPr="00197413">
              <w:rPr>
                <w:sz w:val="20"/>
                <w:lang w:val="en-CA"/>
              </w:rPr>
              <w:noBreakHyphen/>
              <w:t xml:space="preserve">language education system. They were partially successful at trial, and the judge awarded damages for a </w:t>
            </w:r>
            <w:r w:rsidRPr="00197413">
              <w:rPr>
                <w:i/>
                <w:sz w:val="20"/>
                <w:lang w:val="en-CA"/>
              </w:rPr>
              <w:t>Charter</w:t>
            </w:r>
            <w:r w:rsidRPr="00197413">
              <w:rPr>
                <w:sz w:val="20"/>
                <w:lang w:val="en-CA"/>
              </w:rPr>
              <w:t xml:space="preserve"> breach based on the Province’s failure </w:t>
            </w:r>
            <w:proofErr w:type="gramStart"/>
            <w:r w:rsidRPr="00197413">
              <w:rPr>
                <w:sz w:val="20"/>
                <w:lang w:val="en-CA"/>
              </w:rPr>
              <w:t>to adequately fund</w:t>
            </w:r>
            <w:proofErr w:type="gramEnd"/>
            <w:r w:rsidRPr="00197413">
              <w:rPr>
                <w:sz w:val="20"/>
                <w:lang w:val="en-CA"/>
              </w:rPr>
              <w:t xml:space="preserve"> the transportation program for a period of 10 years. The appeal filed by the Conseil scolaire </w:t>
            </w:r>
            <w:proofErr w:type="gramStart"/>
            <w:r w:rsidRPr="00197413">
              <w:rPr>
                <w:sz w:val="20"/>
                <w:lang w:val="en-CA"/>
              </w:rPr>
              <w:t>was dismissed</w:t>
            </w:r>
            <w:proofErr w:type="gramEnd"/>
            <w:r w:rsidRPr="00197413">
              <w:rPr>
                <w:sz w:val="20"/>
                <w:lang w:val="en-CA"/>
              </w:rPr>
              <w:t>, the Province’s cross appeal was allowed and the damages awarded for failure to fund the transportation program were set aside.</w:t>
            </w:r>
          </w:p>
          <w:p w:rsidR="00C91655" w:rsidRPr="00197413" w:rsidRDefault="00C91655" w:rsidP="00197413">
            <w:pPr>
              <w:jc w:val="both"/>
              <w:rPr>
                <w:sz w:val="20"/>
                <w:lang w:val="en-CA"/>
              </w:rPr>
            </w:pPr>
          </w:p>
        </w:tc>
      </w:tr>
      <w:tr w:rsidR="00C91655" w:rsidRPr="00197413" w:rsidTr="00C91655">
        <w:tc>
          <w:tcPr>
            <w:tcW w:w="2427" w:type="pct"/>
            <w:gridSpan w:val="2"/>
          </w:tcPr>
          <w:p w:rsidR="00C91655" w:rsidRPr="00197413" w:rsidRDefault="00C91655" w:rsidP="00197413">
            <w:pPr>
              <w:jc w:val="both"/>
              <w:rPr>
                <w:sz w:val="20"/>
                <w:lang w:val="en-CA"/>
              </w:rPr>
            </w:pPr>
            <w:r w:rsidRPr="00197413">
              <w:rPr>
                <w:sz w:val="20"/>
                <w:lang w:val="en-CA"/>
              </w:rPr>
              <w:t>September 26, 2016</w:t>
            </w:r>
          </w:p>
          <w:p w:rsidR="00C91655" w:rsidRPr="00197413" w:rsidRDefault="00C91655" w:rsidP="00197413">
            <w:pPr>
              <w:jc w:val="both"/>
              <w:rPr>
                <w:sz w:val="20"/>
                <w:lang w:val="en-CA"/>
              </w:rPr>
            </w:pPr>
            <w:r w:rsidRPr="00197413">
              <w:rPr>
                <w:sz w:val="20"/>
                <w:lang w:val="en-CA"/>
              </w:rPr>
              <w:t>British Columbia Supreme Court</w:t>
            </w:r>
          </w:p>
          <w:p w:rsidR="00C91655" w:rsidRPr="00197413" w:rsidRDefault="00C91655" w:rsidP="00197413">
            <w:pPr>
              <w:jc w:val="both"/>
              <w:rPr>
                <w:sz w:val="20"/>
                <w:lang w:val="en-CA"/>
              </w:rPr>
            </w:pPr>
            <w:r w:rsidRPr="00197413">
              <w:rPr>
                <w:sz w:val="20"/>
                <w:lang w:val="en-CA"/>
              </w:rPr>
              <w:t>(Russell J.)</w:t>
            </w:r>
          </w:p>
          <w:p w:rsidR="00C91655" w:rsidRPr="00197413" w:rsidRDefault="00C91655" w:rsidP="00197413">
            <w:pPr>
              <w:jc w:val="both"/>
              <w:rPr>
                <w:sz w:val="20"/>
                <w:lang w:val="en-CA"/>
              </w:rPr>
            </w:pPr>
            <w:hyperlink r:id="rId55" w:history="1">
              <w:r w:rsidRPr="00197413">
                <w:rPr>
                  <w:rStyle w:val="Hyperlink"/>
                  <w:sz w:val="20"/>
                  <w:lang w:val="en-CA"/>
                </w:rPr>
                <w:t>2016 BCSC 1764</w:t>
              </w:r>
            </w:hyperlink>
          </w:p>
          <w:p w:rsidR="00C91655" w:rsidRPr="00197413" w:rsidRDefault="00C91655" w:rsidP="00197413">
            <w:pPr>
              <w:jc w:val="both"/>
              <w:rPr>
                <w:sz w:val="20"/>
                <w:lang w:val="en-CA"/>
              </w:rPr>
            </w:pPr>
          </w:p>
        </w:tc>
        <w:tc>
          <w:tcPr>
            <w:tcW w:w="243" w:type="pct"/>
          </w:tcPr>
          <w:p w:rsidR="00C91655" w:rsidRPr="00197413" w:rsidRDefault="00C91655" w:rsidP="00197413">
            <w:pPr>
              <w:jc w:val="both"/>
              <w:rPr>
                <w:sz w:val="20"/>
                <w:lang w:val="en-CA"/>
              </w:rPr>
            </w:pPr>
          </w:p>
        </w:tc>
        <w:tc>
          <w:tcPr>
            <w:tcW w:w="2330" w:type="pct"/>
          </w:tcPr>
          <w:p w:rsidR="00C91655" w:rsidRPr="00197413" w:rsidRDefault="00C91655" w:rsidP="00197413">
            <w:pPr>
              <w:jc w:val="both"/>
              <w:rPr>
                <w:sz w:val="20"/>
                <w:lang w:val="en-CA"/>
              </w:rPr>
            </w:pPr>
            <w:r w:rsidRPr="00197413">
              <w:rPr>
                <w:sz w:val="20"/>
                <w:lang w:val="en-CA"/>
              </w:rPr>
              <w:t xml:space="preserve">Applicants partially successful; damages for </w:t>
            </w:r>
            <w:r w:rsidRPr="00197413">
              <w:rPr>
                <w:i/>
                <w:sz w:val="20"/>
                <w:lang w:val="en-CA"/>
              </w:rPr>
              <w:t>Charter</w:t>
            </w:r>
            <w:r w:rsidRPr="00197413">
              <w:rPr>
                <w:sz w:val="20"/>
                <w:lang w:val="en-CA"/>
              </w:rPr>
              <w:t xml:space="preserve"> breach awarded by trial judge based on Province’s failure to adequately fund transportation program for period of 10 years</w:t>
            </w:r>
          </w:p>
          <w:p w:rsidR="00C91655" w:rsidRPr="00197413" w:rsidRDefault="00C91655" w:rsidP="00197413">
            <w:pPr>
              <w:jc w:val="both"/>
              <w:rPr>
                <w:sz w:val="20"/>
                <w:lang w:val="en-CA"/>
              </w:rPr>
            </w:pPr>
          </w:p>
        </w:tc>
      </w:tr>
      <w:tr w:rsidR="00C91655" w:rsidRPr="00197413" w:rsidTr="00C91655">
        <w:tc>
          <w:tcPr>
            <w:tcW w:w="2427" w:type="pct"/>
            <w:gridSpan w:val="2"/>
          </w:tcPr>
          <w:p w:rsidR="00C91655" w:rsidRPr="00197413" w:rsidRDefault="00C91655" w:rsidP="00197413">
            <w:pPr>
              <w:jc w:val="both"/>
              <w:rPr>
                <w:sz w:val="20"/>
                <w:lang w:val="en-CA"/>
              </w:rPr>
            </w:pPr>
            <w:r w:rsidRPr="00197413">
              <w:rPr>
                <w:sz w:val="20"/>
                <w:lang w:val="en-CA"/>
              </w:rPr>
              <w:t>July 25, 2018</w:t>
            </w:r>
          </w:p>
          <w:p w:rsidR="00C91655" w:rsidRPr="00197413" w:rsidRDefault="00C91655" w:rsidP="00197413">
            <w:pPr>
              <w:jc w:val="both"/>
              <w:rPr>
                <w:sz w:val="20"/>
                <w:lang w:val="en-CA"/>
              </w:rPr>
            </w:pPr>
            <w:r w:rsidRPr="00197413">
              <w:rPr>
                <w:sz w:val="20"/>
                <w:lang w:val="en-CA"/>
              </w:rPr>
              <w:t xml:space="preserve">British Columbia Court of Appeal </w:t>
            </w:r>
          </w:p>
          <w:p w:rsidR="00C91655" w:rsidRPr="00197413" w:rsidRDefault="00C91655" w:rsidP="00197413">
            <w:pPr>
              <w:jc w:val="both"/>
              <w:rPr>
                <w:sz w:val="20"/>
                <w:lang w:val="en-CA"/>
              </w:rPr>
            </w:pPr>
            <w:r w:rsidRPr="00197413">
              <w:rPr>
                <w:sz w:val="20"/>
                <w:lang w:val="en-CA"/>
              </w:rPr>
              <w:t>(Vancouver)</w:t>
            </w:r>
          </w:p>
          <w:p w:rsidR="00C91655" w:rsidRPr="00197413" w:rsidRDefault="00C91655" w:rsidP="00197413">
            <w:pPr>
              <w:jc w:val="both"/>
              <w:rPr>
                <w:sz w:val="20"/>
                <w:lang w:val="en-CA"/>
              </w:rPr>
            </w:pPr>
            <w:r w:rsidRPr="00197413">
              <w:rPr>
                <w:sz w:val="20"/>
                <w:lang w:val="en-CA"/>
              </w:rPr>
              <w:t xml:space="preserve">(Bauman C.J.B.C. and Tysoe and Mackenzie </w:t>
            </w:r>
          </w:p>
          <w:p w:rsidR="00C91655" w:rsidRPr="00197413" w:rsidRDefault="00C91655" w:rsidP="00197413">
            <w:pPr>
              <w:jc w:val="both"/>
              <w:rPr>
                <w:sz w:val="20"/>
                <w:lang w:val="en-CA"/>
              </w:rPr>
            </w:pPr>
            <w:r w:rsidRPr="00197413">
              <w:rPr>
                <w:sz w:val="20"/>
                <w:lang w:val="en-CA"/>
              </w:rPr>
              <w:t>JJ.A.)</w:t>
            </w:r>
          </w:p>
          <w:p w:rsidR="00C91655" w:rsidRPr="00197413" w:rsidRDefault="00C91655" w:rsidP="00197413">
            <w:pPr>
              <w:jc w:val="both"/>
              <w:rPr>
                <w:sz w:val="20"/>
                <w:lang w:val="en-CA"/>
              </w:rPr>
            </w:pPr>
            <w:hyperlink r:id="rId56" w:history="1">
              <w:r w:rsidRPr="00197413">
                <w:rPr>
                  <w:rStyle w:val="Hyperlink"/>
                  <w:sz w:val="20"/>
                  <w:lang w:val="en-CA"/>
                </w:rPr>
                <w:t>2018 BCCA 305</w:t>
              </w:r>
            </w:hyperlink>
          </w:p>
          <w:p w:rsidR="00C91655" w:rsidRPr="00197413" w:rsidRDefault="00C91655" w:rsidP="00197413">
            <w:pPr>
              <w:jc w:val="both"/>
              <w:rPr>
                <w:sz w:val="20"/>
                <w:lang w:val="en-CA"/>
              </w:rPr>
            </w:pPr>
          </w:p>
        </w:tc>
        <w:tc>
          <w:tcPr>
            <w:tcW w:w="243" w:type="pct"/>
          </w:tcPr>
          <w:p w:rsidR="00C91655" w:rsidRPr="00197413" w:rsidRDefault="00C91655" w:rsidP="00197413">
            <w:pPr>
              <w:jc w:val="both"/>
              <w:rPr>
                <w:sz w:val="20"/>
                <w:lang w:val="en-CA"/>
              </w:rPr>
            </w:pPr>
          </w:p>
        </w:tc>
        <w:tc>
          <w:tcPr>
            <w:tcW w:w="2330" w:type="pct"/>
          </w:tcPr>
          <w:p w:rsidR="00C91655" w:rsidRPr="00197413" w:rsidRDefault="00C91655" w:rsidP="00197413">
            <w:pPr>
              <w:jc w:val="both"/>
              <w:rPr>
                <w:sz w:val="20"/>
                <w:lang w:val="en-CA"/>
              </w:rPr>
            </w:pPr>
            <w:r w:rsidRPr="00197413">
              <w:rPr>
                <w:sz w:val="20"/>
                <w:lang w:val="en-CA"/>
              </w:rPr>
              <w:t>Appeal filed by Conseil scolaire dismissed, Province’s cross appeal allowed and damages awarded for failure to fund transportation program set aside</w:t>
            </w:r>
          </w:p>
          <w:p w:rsidR="00C91655" w:rsidRPr="00197413" w:rsidRDefault="00C91655" w:rsidP="00197413">
            <w:pPr>
              <w:jc w:val="both"/>
              <w:rPr>
                <w:sz w:val="20"/>
                <w:lang w:val="en-CA"/>
              </w:rPr>
            </w:pPr>
          </w:p>
        </w:tc>
      </w:tr>
      <w:tr w:rsidR="00C91655" w:rsidRPr="00197413" w:rsidTr="00C91655">
        <w:tc>
          <w:tcPr>
            <w:tcW w:w="2427" w:type="pct"/>
            <w:gridSpan w:val="2"/>
          </w:tcPr>
          <w:p w:rsidR="00C91655" w:rsidRPr="00197413" w:rsidRDefault="00C91655" w:rsidP="00197413">
            <w:pPr>
              <w:jc w:val="both"/>
              <w:rPr>
                <w:sz w:val="20"/>
                <w:lang w:val="en-CA"/>
              </w:rPr>
            </w:pPr>
            <w:r w:rsidRPr="00197413">
              <w:rPr>
                <w:sz w:val="20"/>
                <w:lang w:val="en-CA"/>
              </w:rPr>
              <w:t>October 1, 2018</w:t>
            </w:r>
          </w:p>
          <w:p w:rsidR="00C91655" w:rsidRPr="00197413" w:rsidRDefault="00C91655" w:rsidP="00197413">
            <w:pPr>
              <w:jc w:val="both"/>
              <w:rPr>
                <w:sz w:val="20"/>
                <w:lang w:val="en-CA"/>
              </w:rPr>
            </w:pPr>
            <w:r w:rsidRPr="00197413">
              <w:rPr>
                <w:sz w:val="20"/>
                <w:lang w:val="en-CA"/>
              </w:rPr>
              <w:t>Supreme Court of Canada</w:t>
            </w:r>
          </w:p>
        </w:tc>
        <w:tc>
          <w:tcPr>
            <w:tcW w:w="243" w:type="pct"/>
          </w:tcPr>
          <w:p w:rsidR="00C91655" w:rsidRPr="00197413" w:rsidRDefault="00C91655" w:rsidP="00197413">
            <w:pPr>
              <w:jc w:val="both"/>
              <w:rPr>
                <w:sz w:val="20"/>
                <w:lang w:val="en-CA"/>
              </w:rPr>
            </w:pPr>
          </w:p>
        </w:tc>
        <w:tc>
          <w:tcPr>
            <w:tcW w:w="2330" w:type="pct"/>
          </w:tcPr>
          <w:p w:rsidR="00C91655" w:rsidRPr="00197413" w:rsidRDefault="00C91655" w:rsidP="00197413">
            <w:pPr>
              <w:jc w:val="both"/>
              <w:rPr>
                <w:sz w:val="20"/>
                <w:lang w:val="en-CA"/>
              </w:rPr>
            </w:pPr>
            <w:r w:rsidRPr="00197413">
              <w:rPr>
                <w:sz w:val="20"/>
                <w:lang w:val="en-CA"/>
              </w:rPr>
              <w:t>Application for leave to appeal filed</w:t>
            </w:r>
          </w:p>
          <w:p w:rsidR="00C91655" w:rsidRPr="00197413" w:rsidRDefault="00C91655" w:rsidP="00197413">
            <w:pPr>
              <w:jc w:val="both"/>
              <w:rPr>
                <w:sz w:val="20"/>
                <w:lang w:val="en-CA"/>
              </w:rPr>
            </w:pPr>
          </w:p>
        </w:tc>
      </w:tr>
    </w:tbl>
    <w:p w:rsidR="00C91655" w:rsidRDefault="00C91655" w:rsidP="00197413">
      <w:pPr>
        <w:jc w:val="both"/>
        <w:rPr>
          <w:sz w:val="20"/>
          <w:lang w:val="en-CA"/>
        </w:rPr>
      </w:pPr>
    </w:p>
    <w:p w:rsidR="00163492" w:rsidRDefault="00163492" w:rsidP="00197413">
      <w:pPr>
        <w:jc w:val="both"/>
        <w:rPr>
          <w:sz w:val="20"/>
          <w:lang w:val="en-CA"/>
        </w:rPr>
      </w:pPr>
      <w:r>
        <w:rPr>
          <w:sz w:val="20"/>
        </w:rPr>
        <w:pict>
          <v:rect id="_x0000_i1052" style="width:2in;height:1pt" o:hrpct="0" o:hralign="center" o:hrstd="t" o:hrnoshade="t" o:hr="t" fillcolor="black [3213]" stroked="f"/>
        </w:pict>
      </w:r>
    </w:p>
    <w:p w:rsidR="00163492" w:rsidRPr="00197413" w:rsidRDefault="00163492" w:rsidP="0019741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rPr>
            </w:pPr>
            <w:r w:rsidRPr="00197413">
              <w:rPr>
                <w:rStyle w:val="SCCFileNumberChar"/>
                <w:sz w:val="20"/>
                <w:szCs w:val="20"/>
              </w:rPr>
              <w:t>38332</w:t>
            </w:r>
          </w:p>
        </w:tc>
        <w:tc>
          <w:tcPr>
            <w:tcW w:w="4457" w:type="pct"/>
            <w:gridSpan w:val="3"/>
          </w:tcPr>
          <w:p w:rsidR="00C91655" w:rsidRPr="00163492" w:rsidRDefault="00C91655" w:rsidP="00197413">
            <w:pPr>
              <w:pStyle w:val="SCCLsocParty"/>
              <w:jc w:val="both"/>
              <w:rPr>
                <w:b/>
                <w:sz w:val="20"/>
                <w:szCs w:val="20"/>
              </w:rPr>
            </w:pPr>
            <w:r w:rsidRPr="00163492">
              <w:rPr>
                <w:b/>
                <w:sz w:val="20"/>
                <w:szCs w:val="20"/>
              </w:rPr>
              <w:t>Conseil Scolaire Francophone de la Colombie-Britannique, Fédération des parents francophones de la Colombie-Britannique, Annette Azar-Diehl, Stéphane Perron, Marie-Nicole Dubois c. Sa Maje</w:t>
            </w:r>
            <w:r w:rsidR="00B22FED">
              <w:rPr>
                <w:b/>
                <w:sz w:val="20"/>
                <w:szCs w:val="20"/>
              </w:rPr>
              <w:t>s</w:t>
            </w:r>
            <w:r w:rsidRPr="00163492">
              <w:rPr>
                <w:b/>
                <w:sz w:val="20"/>
                <w:szCs w:val="20"/>
              </w:rPr>
              <w:t xml:space="preserve">té </w:t>
            </w:r>
            <w:r w:rsidR="00192642">
              <w:rPr>
                <w:b/>
                <w:sz w:val="20"/>
                <w:szCs w:val="20"/>
              </w:rPr>
              <w:t>l</w:t>
            </w:r>
            <w:r w:rsidRPr="00163492">
              <w:rPr>
                <w:b/>
                <w:sz w:val="20"/>
                <w:szCs w:val="20"/>
              </w:rPr>
              <w:t>a Reine en chef de la province de Colombie-Britannique, Le ministre de l'éducation de la Colombie-Britannique</w:t>
            </w:r>
          </w:p>
          <w:p w:rsidR="00C91655" w:rsidRPr="00197413" w:rsidRDefault="00C91655" w:rsidP="00197413">
            <w:pPr>
              <w:jc w:val="both"/>
              <w:rPr>
                <w:sz w:val="20"/>
              </w:rPr>
            </w:pPr>
            <w:r w:rsidRPr="00197413">
              <w:rPr>
                <w:sz w:val="20"/>
              </w:rPr>
              <w:t>(C.-B.) (Civile) (Autorisation)</w:t>
            </w:r>
          </w:p>
        </w:tc>
      </w:tr>
      <w:tr w:rsidR="00C91655" w:rsidRPr="00197413" w:rsidTr="00C91655">
        <w:tc>
          <w:tcPr>
            <w:tcW w:w="5000" w:type="pct"/>
            <w:gridSpan w:val="4"/>
          </w:tcPr>
          <w:p w:rsidR="00C91655" w:rsidRPr="00197413" w:rsidRDefault="00C91655" w:rsidP="00197413">
            <w:pPr>
              <w:jc w:val="both"/>
              <w:rPr>
                <w:sz w:val="20"/>
                <w:lang w:val="fr-CA"/>
              </w:rPr>
            </w:pPr>
            <w:r w:rsidRPr="00197413">
              <w:rPr>
                <w:i/>
                <w:sz w:val="20"/>
                <w:lang w:val="fr-CA"/>
              </w:rPr>
              <w:t xml:space="preserve">Charte canadienne </w:t>
            </w:r>
            <w:r w:rsidRPr="00197413">
              <w:rPr>
                <w:sz w:val="20"/>
                <w:lang w:val="fr-CA"/>
              </w:rPr>
              <w:t xml:space="preserve">— Droit à l’instruction dans la langue de la minorité — Application de l’article 23 de la </w:t>
            </w:r>
            <w:r w:rsidRPr="00197413">
              <w:rPr>
                <w:i/>
                <w:sz w:val="20"/>
                <w:lang w:val="fr-CA"/>
              </w:rPr>
              <w:t>Charte</w:t>
            </w:r>
            <w:r w:rsidRPr="00197413">
              <w:rPr>
                <w:sz w:val="20"/>
                <w:lang w:val="fr-CA"/>
              </w:rPr>
              <w:t xml:space="preserve"> lorsque le nombre d’étudiants admissibles est insuffisant pour offrir des services éducationnels complets — Dans l’analyse fondée sur l’article premier de la </w:t>
            </w:r>
            <w:r w:rsidRPr="00197413">
              <w:rPr>
                <w:i/>
                <w:sz w:val="20"/>
                <w:lang w:val="fr-CA"/>
              </w:rPr>
              <w:t>Charte</w:t>
            </w:r>
            <w:r w:rsidRPr="00197413">
              <w:rPr>
                <w:sz w:val="20"/>
                <w:lang w:val="fr-CA"/>
              </w:rPr>
              <w:t>, est</w:t>
            </w:r>
            <w:r w:rsidRPr="00197413">
              <w:rPr>
                <w:sz w:val="20"/>
                <w:lang w:val="fr-CA"/>
              </w:rPr>
              <w:noBreakHyphen/>
              <w:t xml:space="preserve">il approprié de nier le principe même d’un droit garanti par la </w:t>
            </w:r>
            <w:r w:rsidRPr="00197413">
              <w:rPr>
                <w:i/>
                <w:sz w:val="20"/>
                <w:lang w:val="fr-CA"/>
              </w:rPr>
              <w:t>Charte</w:t>
            </w:r>
            <w:r w:rsidRPr="00197413">
              <w:rPr>
                <w:sz w:val="20"/>
                <w:lang w:val="fr-CA"/>
              </w:rPr>
              <w:t xml:space="preserve"> afin de minimiser le préjudice causé par l’atteinte? — Est-il approprié de prendre en compte les économies de coûts dans l’analyse fondée sur l’article premier, et si oui, dans quelle mesure? — Est-ce que le principe directeur de l’art. 23 est l’équivalence réelle ou la « proportionnalité »? — Est-ce que les politiques gouvernementales sont à l’abri des dommages</w:t>
            </w:r>
            <w:r w:rsidRPr="00197413">
              <w:rPr>
                <w:sz w:val="20"/>
                <w:lang w:val="fr-CA"/>
              </w:rPr>
              <w:noBreakHyphen/>
              <w:t xml:space="preserve">intérêts en vertu de la </w:t>
            </w:r>
            <w:r w:rsidRPr="00197413">
              <w:rPr>
                <w:i/>
                <w:sz w:val="20"/>
                <w:lang w:val="fr-CA"/>
              </w:rPr>
              <w:t>Charte</w:t>
            </w:r>
            <w:r w:rsidRPr="00197413">
              <w:rPr>
                <w:sz w:val="20"/>
                <w:lang w:val="fr-CA"/>
              </w:rPr>
              <w:t xml:space="preserve">? </w:t>
            </w:r>
          </w:p>
        </w:tc>
      </w:tr>
      <w:tr w:rsidR="00C91655" w:rsidRPr="00197413" w:rsidTr="00C91655">
        <w:tc>
          <w:tcPr>
            <w:tcW w:w="5000" w:type="pct"/>
            <w:gridSpan w:val="4"/>
          </w:tcPr>
          <w:p w:rsidR="00C91655" w:rsidRPr="00197413" w:rsidRDefault="00C91655" w:rsidP="00197413">
            <w:pPr>
              <w:jc w:val="both"/>
              <w:rPr>
                <w:sz w:val="20"/>
                <w:lang w:val="fr-CA"/>
              </w:rPr>
            </w:pPr>
          </w:p>
        </w:tc>
      </w:tr>
      <w:tr w:rsidR="00C91655" w:rsidRPr="00197413" w:rsidTr="00C91655">
        <w:tc>
          <w:tcPr>
            <w:tcW w:w="5000" w:type="pct"/>
            <w:gridSpan w:val="4"/>
          </w:tcPr>
          <w:p w:rsidR="00C91655" w:rsidRPr="00197413" w:rsidRDefault="00C91655" w:rsidP="00197413">
            <w:pPr>
              <w:jc w:val="both"/>
              <w:rPr>
                <w:sz w:val="20"/>
                <w:lang w:val="fr-CA"/>
              </w:rPr>
            </w:pPr>
            <w:r w:rsidRPr="00197413">
              <w:rPr>
                <w:sz w:val="20"/>
                <w:lang w:val="fr-CA"/>
              </w:rPr>
              <w:t xml:space="preserve">Les demandeurs allèguent que la Province de la Colombie-Britannique a violé le droit à l’instruction dans la langue de la minorité garanti par l’article 23 de la </w:t>
            </w:r>
            <w:r w:rsidRPr="00197413">
              <w:rPr>
                <w:i/>
                <w:sz w:val="20"/>
                <w:lang w:val="fr-CA"/>
              </w:rPr>
              <w:t>Charte</w:t>
            </w:r>
            <w:r w:rsidRPr="00197413">
              <w:rPr>
                <w:sz w:val="20"/>
                <w:lang w:val="fr-CA"/>
              </w:rPr>
              <w:t xml:space="preserve"> en sous</w:t>
            </w:r>
            <w:r w:rsidRPr="00197413">
              <w:rPr>
                <w:sz w:val="20"/>
                <w:lang w:val="fr-CA"/>
              </w:rPr>
              <w:noBreakHyphen/>
              <w:t>finançant le système éducatif francophone. En première instance, ils ont partiellement eu gain de cause et le juge a accordé des dommages</w:t>
            </w:r>
            <w:r w:rsidRPr="00197413">
              <w:rPr>
                <w:sz w:val="20"/>
                <w:lang w:val="fr-CA"/>
              </w:rPr>
              <w:noBreakHyphen/>
              <w:t xml:space="preserve">intérêts pour entrave à la </w:t>
            </w:r>
            <w:r w:rsidRPr="00197413">
              <w:rPr>
                <w:i/>
                <w:sz w:val="20"/>
                <w:lang w:val="fr-CA"/>
              </w:rPr>
              <w:t>Charte</w:t>
            </w:r>
            <w:r w:rsidRPr="00197413">
              <w:rPr>
                <w:sz w:val="20"/>
                <w:lang w:val="fr-CA"/>
              </w:rPr>
              <w:t xml:space="preserve"> dû au manquement de la Province de financer adéquatement le programme de transport lors d’une période de 10 ans. L’appel du Conseil scolaire a été rejeté tandis que l’appel incident de la Province a été accueilli et les dommages</w:t>
            </w:r>
            <w:r w:rsidRPr="00197413">
              <w:rPr>
                <w:sz w:val="20"/>
                <w:lang w:val="fr-CA"/>
              </w:rPr>
              <w:noBreakHyphen/>
              <w:t>intérêts accordés pour le manque de financement au programme de transport ont été mis de côté.</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Le 26 septembre 2016</w:t>
            </w:r>
          </w:p>
          <w:p w:rsidR="00C91655" w:rsidRPr="00197413" w:rsidRDefault="00C91655" w:rsidP="00197413">
            <w:pPr>
              <w:jc w:val="both"/>
              <w:rPr>
                <w:sz w:val="20"/>
                <w:lang w:val="fr-CA"/>
              </w:rPr>
            </w:pPr>
            <w:r w:rsidRPr="00197413">
              <w:rPr>
                <w:sz w:val="20"/>
                <w:lang w:val="fr-CA"/>
              </w:rPr>
              <w:t>Cour suprême de la Colombie</w:t>
            </w:r>
            <w:r w:rsidRPr="00197413">
              <w:rPr>
                <w:sz w:val="20"/>
                <w:lang w:val="fr-CA"/>
              </w:rPr>
              <w:noBreakHyphen/>
              <w:t>Britannique</w:t>
            </w:r>
          </w:p>
          <w:p w:rsidR="00C91655" w:rsidRPr="00197413" w:rsidRDefault="00C91655" w:rsidP="00197413">
            <w:pPr>
              <w:jc w:val="both"/>
              <w:rPr>
                <w:sz w:val="20"/>
              </w:rPr>
            </w:pPr>
            <w:r w:rsidRPr="00197413">
              <w:rPr>
                <w:sz w:val="20"/>
              </w:rPr>
              <w:t>(Russell J.)</w:t>
            </w:r>
          </w:p>
          <w:p w:rsidR="00C91655" w:rsidRPr="00197413" w:rsidRDefault="00C91655" w:rsidP="00197413">
            <w:pPr>
              <w:jc w:val="both"/>
              <w:rPr>
                <w:sz w:val="20"/>
              </w:rPr>
            </w:pPr>
            <w:hyperlink r:id="rId57" w:history="1">
              <w:r w:rsidRPr="00197413">
                <w:rPr>
                  <w:rStyle w:val="Hyperlink"/>
                  <w:sz w:val="20"/>
                </w:rPr>
                <w:t>2016 BCSC 1764</w:t>
              </w:r>
            </w:hyperlink>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lang w:val="fr-CA"/>
              </w:rPr>
            </w:pPr>
            <w:r w:rsidRPr="00197413">
              <w:rPr>
                <w:sz w:val="20"/>
                <w:lang w:val="fr-CA"/>
              </w:rPr>
              <w:t xml:space="preserve">Les demandeurs ont partiellement eu gain de cause et le juge de première instance a accordé des dommages-intérêts pour entrave à la </w:t>
            </w:r>
            <w:r w:rsidRPr="00197413">
              <w:rPr>
                <w:i/>
                <w:sz w:val="20"/>
                <w:lang w:val="fr-CA"/>
              </w:rPr>
              <w:t>Charte</w:t>
            </w:r>
            <w:r w:rsidRPr="00197413">
              <w:rPr>
                <w:sz w:val="20"/>
                <w:lang w:val="fr-CA"/>
              </w:rPr>
              <w:t xml:space="preserve"> dû au manquement de la Province de financer adéquatement le programme de transport lors d’une période de 10 ans.</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Le 25 juillet 2018</w:t>
            </w:r>
          </w:p>
          <w:p w:rsidR="00C91655" w:rsidRPr="00197413" w:rsidRDefault="00C91655" w:rsidP="00197413">
            <w:pPr>
              <w:jc w:val="both"/>
              <w:rPr>
                <w:sz w:val="20"/>
                <w:lang w:val="fr-CA"/>
              </w:rPr>
            </w:pPr>
            <w:r w:rsidRPr="00197413">
              <w:rPr>
                <w:sz w:val="20"/>
                <w:lang w:val="fr-CA"/>
              </w:rPr>
              <w:t>Cour d’appel de la Colombie</w:t>
            </w:r>
            <w:r w:rsidRPr="00197413">
              <w:rPr>
                <w:sz w:val="20"/>
                <w:lang w:val="fr-CA"/>
              </w:rPr>
              <w:noBreakHyphen/>
              <w:t xml:space="preserve">Britannique </w:t>
            </w:r>
          </w:p>
          <w:p w:rsidR="00C91655" w:rsidRPr="00197413" w:rsidRDefault="00C91655" w:rsidP="00197413">
            <w:pPr>
              <w:jc w:val="both"/>
              <w:rPr>
                <w:sz w:val="20"/>
              </w:rPr>
            </w:pPr>
            <w:r w:rsidRPr="00197413">
              <w:rPr>
                <w:sz w:val="20"/>
              </w:rPr>
              <w:lastRenderedPageBreak/>
              <w:t>(Vancouver)</w:t>
            </w:r>
          </w:p>
          <w:p w:rsidR="00C91655" w:rsidRPr="00197413" w:rsidRDefault="00C91655" w:rsidP="00197413">
            <w:pPr>
              <w:jc w:val="both"/>
              <w:rPr>
                <w:sz w:val="20"/>
              </w:rPr>
            </w:pPr>
            <w:r w:rsidRPr="00197413">
              <w:rPr>
                <w:sz w:val="20"/>
              </w:rPr>
              <w:t xml:space="preserve">(Bauman C.J.B.C., </w:t>
            </w:r>
            <w:proofErr w:type="spellStart"/>
            <w:r w:rsidRPr="00197413">
              <w:rPr>
                <w:sz w:val="20"/>
              </w:rPr>
              <w:t>Tysoe</w:t>
            </w:r>
            <w:proofErr w:type="spellEnd"/>
            <w:r w:rsidRPr="00197413">
              <w:rPr>
                <w:sz w:val="20"/>
              </w:rPr>
              <w:t xml:space="preserve"> and Mackenzie </w:t>
            </w:r>
          </w:p>
          <w:p w:rsidR="00C91655" w:rsidRPr="00197413" w:rsidRDefault="00C91655" w:rsidP="00197413">
            <w:pPr>
              <w:jc w:val="both"/>
              <w:rPr>
                <w:sz w:val="20"/>
              </w:rPr>
            </w:pPr>
            <w:r w:rsidRPr="00197413">
              <w:rPr>
                <w:sz w:val="20"/>
              </w:rPr>
              <w:t>JJ.A.)</w:t>
            </w:r>
          </w:p>
          <w:p w:rsidR="00C91655" w:rsidRPr="00197413" w:rsidRDefault="00C91655" w:rsidP="00197413">
            <w:pPr>
              <w:jc w:val="both"/>
              <w:rPr>
                <w:sz w:val="20"/>
              </w:rPr>
            </w:pPr>
            <w:hyperlink r:id="rId58" w:history="1">
              <w:r w:rsidRPr="00197413">
                <w:rPr>
                  <w:rStyle w:val="Hyperlink"/>
                  <w:sz w:val="20"/>
                </w:rPr>
                <w:t>2018 BCCA 305</w:t>
              </w:r>
            </w:hyperlink>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lang w:val="fr-CA"/>
              </w:rPr>
            </w:pPr>
            <w:r w:rsidRPr="00197413">
              <w:rPr>
                <w:sz w:val="20"/>
                <w:lang w:val="fr-CA"/>
              </w:rPr>
              <w:t xml:space="preserve">L’appel du Conseil scolaire a été rejeté tandis que l’appel incident de la Province a été accueilli et les </w:t>
            </w:r>
            <w:r w:rsidRPr="00197413">
              <w:rPr>
                <w:sz w:val="20"/>
                <w:lang w:val="fr-CA"/>
              </w:rPr>
              <w:lastRenderedPageBreak/>
              <w:t>dommages</w:t>
            </w:r>
            <w:r w:rsidRPr="00197413">
              <w:rPr>
                <w:sz w:val="20"/>
                <w:lang w:val="fr-CA"/>
              </w:rPr>
              <w:noBreakHyphen/>
              <w:t>intérêts accordés pour le manque de financement au programme de transport ont été mis de côté.</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lastRenderedPageBreak/>
              <w:t>Le 1 octobre 2018</w:t>
            </w:r>
          </w:p>
          <w:p w:rsidR="00C91655" w:rsidRPr="00197413" w:rsidRDefault="00C91655" w:rsidP="00197413">
            <w:pPr>
              <w:jc w:val="both"/>
              <w:rPr>
                <w:sz w:val="20"/>
                <w:lang w:val="fr-CA"/>
              </w:rPr>
            </w:pPr>
            <w:r w:rsidRPr="00197413">
              <w:rPr>
                <w:sz w:val="20"/>
                <w:lang w:val="fr-CA"/>
              </w:rPr>
              <w:t>Cour suprême du Canada</w:t>
            </w: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rPr>
            </w:pPr>
            <w:r w:rsidRPr="00197413">
              <w:rPr>
                <w:sz w:val="20"/>
              </w:rPr>
              <w:t xml:space="preserve">Demande d’autorisation d’appel </w:t>
            </w:r>
            <w:proofErr w:type="spellStart"/>
            <w:r w:rsidRPr="00197413">
              <w:rPr>
                <w:sz w:val="20"/>
              </w:rPr>
              <w:t>déposée</w:t>
            </w:r>
            <w:proofErr w:type="spellEnd"/>
          </w:p>
          <w:p w:rsidR="00C91655" w:rsidRPr="00197413" w:rsidRDefault="00C91655" w:rsidP="00197413">
            <w:pPr>
              <w:jc w:val="both"/>
              <w:rPr>
                <w:sz w:val="20"/>
              </w:rPr>
            </w:pPr>
          </w:p>
        </w:tc>
      </w:tr>
    </w:tbl>
    <w:p w:rsidR="00C91655" w:rsidRDefault="00C91655" w:rsidP="00197413">
      <w:pPr>
        <w:jc w:val="both"/>
        <w:rPr>
          <w:sz w:val="20"/>
        </w:rPr>
      </w:pPr>
    </w:p>
    <w:p w:rsidR="00163492" w:rsidRPr="00197413" w:rsidRDefault="00163492" w:rsidP="00197413">
      <w:pPr>
        <w:jc w:val="both"/>
        <w:rPr>
          <w:sz w:val="20"/>
        </w:rPr>
      </w:pPr>
      <w:r>
        <w:rPr>
          <w:sz w:val="20"/>
        </w:rPr>
        <w:pict>
          <v:rect id="_x0000_i1053" style="width:2in;height:1pt" o:hrpct="0" o:hralign="center" o:hrstd="t" o:hrnoshade="t" o:hr="t" fillcolor="black [3213]" stroked="f"/>
        </w:pict>
      </w:r>
    </w:p>
    <w:p w:rsidR="00AE7EB1" w:rsidRPr="00197413" w:rsidRDefault="00AE7EB1" w:rsidP="0019741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rPr>
            </w:pPr>
            <w:r w:rsidRPr="00197413">
              <w:rPr>
                <w:rStyle w:val="SCCFileNumberChar"/>
                <w:sz w:val="20"/>
                <w:szCs w:val="20"/>
              </w:rPr>
              <w:t>38418</w:t>
            </w:r>
          </w:p>
        </w:tc>
        <w:tc>
          <w:tcPr>
            <w:tcW w:w="4457" w:type="pct"/>
            <w:gridSpan w:val="3"/>
          </w:tcPr>
          <w:p w:rsidR="00C91655" w:rsidRPr="00163492" w:rsidRDefault="00C91655" w:rsidP="00197413">
            <w:pPr>
              <w:pStyle w:val="SCCLsocParty"/>
              <w:jc w:val="both"/>
              <w:rPr>
                <w:b/>
                <w:sz w:val="20"/>
                <w:szCs w:val="20"/>
                <w:lang w:val="en-US"/>
              </w:rPr>
            </w:pPr>
            <w:r w:rsidRPr="00163492">
              <w:rPr>
                <w:b/>
                <w:sz w:val="20"/>
                <w:szCs w:val="20"/>
                <w:lang w:val="en-US"/>
              </w:rPr>
              <w:t>Lina Maryanne Francis v. Her Majesty the Queen</w:t>
            </w:r>
          </w:p>
          <w:p w:rsidR="00C91655" w:rsidRPr="00197413" w:rsidRDefault="00C91655" w:rsidP="00197413">
            <w:pPr>
              <w:jc w:val="both"/>
              <w:rPr>
                <w:sz w:val="20"/>
              </w:rPr>
            </w:pPr>
            <w:r w:rsidRPr="00197413">
              <w:rPr>
                <w:sz w:val="20"/>
              </w:rPr>
              <w:t>(Que) (Criminal) (By Leave)</w:t>
            </w:r>
          </w:p>
        </w:tc>
      </w:tr>
      <w:tr w:rsidR="00C91655" w:rsidRPr="00197413" w:rsidTr="00C91655">
        <w:tc>
          <w:tcPr>
            <w:tcW w:w="5000" w:type="pct"/>
            <w:gridSpan w:val="4"/>
          </w:tcPr>
          <w:p w:rsidR="00C91655" w:rsidRPr="00197413" w:rsidRDefault="00C91655" w:rsidP="00197413">
            <w:pPr>
              <w:jc w:val="both"/>
              <w:rPr>
                <w:sz w:val="20"/>
              </w:rPr>
            </w:pPr>
            <w:r w:rsidRPr="00197413">
              <w:rPr>
                <w:sz w:val="20"/>
              </w:rPr>
              <w:t>Criminal law – Sexual assault causing bodily harm – Judgments and orders – Reasons – Whether the Court of Appeal erred in concluding that the trial judge’s reasons sufficiently explained why she concluded that the applicant had committed a sexual assault causing bodily harm – Whether there was enough evidence to support a conviction for sexual assault causing bodily harm.</w:t>
            </w:r>
          </w:p>
        </w:tc>
      </w:tr>
      <w:tr w:rsidR="00C91655" w:rsidRPr="00197413" w:rsidTr="00C91655">
        <w:tc>
          <w:tcPr>
            <w:tcW w:w="5000" w:type="pct"/>
            <w:gridSpan w:val="4"/>
          </w:tcPr>
          <w:p w:rsidR="00C91655" w:rsidRPr="00197413" w:rsidRDefault="00C91655" w:rsidP="00197413">
            <w:pPr>
              <w:jc w:val="both"/>
              <w:rPr>
                <w:sz w:val="20"/>
              </w:rPr>
            </w:pPr>
          </w:p>
        </w:tc>
      </w:tr>
      <w:tr w:rsidR="00C91655" w:rsidRPr="00197413" w:rsidTr="00C91655">
        <w:tc>
          <w:tcPr>
            <w:tcW w:w="5000" w:type="pct"/>
            <w:gridSpan w:val="4"/>
          </w:tcPr>
          <w:p w:rsidR="00C91655" w:rsidRPr="00197413" w:rsidRDefault="00C91655" w:rsidP="00197413">
            <w:pPr>
              <w:jc w:val="both"/>
              <w:rPr>
                <w:sz w:val="20"/>
              </w:rPr>
            </w:pPr>
            <w:r w:rsidRPr="00197413">
              <w:rPr>
                <w:sz w:val="20"/>
              </w:rPr>
              <w:t>Ms. Francis, applicant, was convicted of assault causing bodily harm and sexual assault causing bodily harm. It is alleged that she choked the complainant and pulled and squeezed his testicles in a fit of rage. Ms. Francis and the complainant were cohabitating at the time of the assaults, and there was evidence that the relationship was an unhappy one. A few days prior to the assaults, the complainant had told Ms. Francis that he was seeing someone else. At trial, Ms. Francis denied the assaults altogether. The trial judge did not believe Ms. Francis’ version of events. She found the complainant’s evidence to be credible and reliable. The Court of Appeal dismissed Ms. Francis’ appeal. It rejected Ms. Francis’ argument that the assault was not sexual in nature because no pleasure or sexual gratification was sought. A sexual assault, explained the court, is above all an act of violence and physical dominance – a violation of the sexual integrity of the victim. The court also rejected Ms. Francis’ argument that the trial judge erred in inferring that she was jealous. The court noted that while the trial judge’s reasons were brief, they were intelligible and allowed for meaningful appellate review.</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October 19, 2016</w:t>
            </w:r>
          </w:p>
          <w:p w:rsidR="00C91655" w:rsidRPr="00197413" w:rsidRDefault="00C91655" w:rsidP="00197413">
            <w:pPr>
              <w:jc w:val="both"/>
              <w:rPr>
                <w:sz w:val="20"/>
              </w:rPr>
            </w:pPr>
            <w:r w:rsidRPr="00197413">
              <w:rPr>
                <w:sz w:val="20"/>
              </w:rPr>
              <w:t>Court of Quebec</w:t>
            </w:r>
          </w:p>
          <w:p w:rsidR="00C91655" w:rsidRPr="00197413" w:rsidRDefault="00C91655" w:rsidP="00197413">
            <w:pPr>
              <w:jc w:val="both"/>
              <w:rPr>
                <w:sz w:val="20"/>
              </w:rPr>
            </w:pPr>
            <w:r w:rsidRPr="00197413">
              <w:rPr>
                <w:sz w:val="20"/>
              </w:rPr>
              <w:t xml:space="preserve">(Di </w:t>
            </w:r>
            <w:proofErr w:type="spellStart"/>
            <w:r w:rsidRPr="00197413">
              <w:rPr>
                <w:sz w:val="20"/>
              </w:rPr>
              <w:t>Lallo</w:t>
            </w:r>
            <w:proofErr w:type="spellEnd"/>
            <w:r w:rsidRPr="00197413">
              <w:rPr>
                <w:sz w:val="20"/>
              </w:rPr>
              <w:t xml:space="preserve"> J.)</w:t>
            </w:r>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Applicant convicted of assault causing bodily harm and sexual assault causing bodily harm</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June 7, 2018</w:t>
            </w:r>
          </w:p>
          <w:p w:rsidR="00C91655" w:rsidRPr="00197413" w:rsidRDefault="00C91655" w:rsidP="00197413">
            <w:pPr>
              <w:jc w:val="both"/>
              <w:rPr>
                <w:sz w:val="20"/>
              </w:rPr>
            </w:pPr>
            <w:r w:rsidRPr="00197413">
              <w:rPr>
                <w:sz w:val="20"/>
              </w:rPr>
              <w:t>Court of Appeal of Quebec (Montréal)</w:t>
            </w:r>
          </w:p>
          <w:p w:rsidR="00C91655" w:rsidRPr="00197413" w:rsidRDefault="00C91655" w:rsidP="00197413">
            <w:pPr>
              <w:jc w:val="both"/>
              <w:rPr>
                <w:sz w:val="20"/>
              </w:rPr>
            </w:pPr>
            <w:r w:rsidRPr="00197413">
              <w:rPr>
                <w:sz w:val="20"/>
              </w:rPr>
              <w:t>(</w:t>
            </w:r>
            <w:proofErr w:type="spellStart"/>
            <w:r w:rsidRPr="00197413">
              <w:rPr>
                <w:sz w:val="20"/>
              </w:rPr>
              <w:t>Vauclair</w:t>
            </w:r>
            <w:proofErr w:type="spellEnd"/>
            <w:r w:rsidRPr="00197413">
              <w:rPr>
                <w:sz w:val="20"/>
              </w:rPr>
              <w:t>, Roy and Gagné JJ.A.)</w:t>
            </w:r>
          </w:p>
          <w:p w:rsidR="00C91655" w:rsidRPr="00197413" w:rsidRDefault="00C91655" w:rsidP="00197413">
            <w:pPr>
              <w:jc w:val="both"/>
              <w:rPr>
                <w:sz w:val="20"/>
              </w:rPr>
            </w:pPr>
            <w:hyperlink r:id="rId59" w:history="1">
              <w:r w:rsidRPr="00197413">
                <w:rPr>
                  <w:rStyle w:val="Hyperlink"/>
                  <w:sz w:val="20"/>
                </w:rPr>
                <w:t>2018 QCCA 1043</w:t>
              </w:r>
            </w:hyperlink>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Appeal dismissed</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November 26, 2018</w:t>
            </w:r>
          </w:p>
          <w:p w:rsidR="00C91655" w:rsidRPr="00197413" w:rsidRDefault="00C91655" w:rsidP="00197413">
            <w:pPr>
              <w:jc w:val="both"/>
              <w:rPr>
                <w:sz w:val="20"/>
              </w:rPr>
            </w:pPr>
            <w:r w:rsidRPr="00197413">
              <w:rPr>
                <w:sz w:val="20"/>
              </w:rPr>
              <w:t>Supreme Court of Canada</w:t>
            </w:r>
          </w:p>
        </w:tc>
        <w:tc>
          <w:tcPr>
            <w:tcW w:w="243" w:type="pct"/>
          </w:tcPr>
          <w:p w:rsidR="00C91655" w:rsidRPr="00197413" w:rsidRDefault="00C91655" w:rsidP="00197413">
            <w:pPr>
              <w:jc w:val="both"/>
              <w:rPr>
                <w:sz w:val="20"/>
              </w:rPr>
            </w:pPr>
          </w:p>
        </w:tc>
        <w:tc>
          <w:tcPr>
            <w:tcW w:w="2330" w:type="pct"/>
          </w:tcPr>
          <w:p w:rsidR="00C91655" w:rsidRPr="00197413" w:rsidRDefault="00C91655" w:rsidP="00163492">
            <w:pPr>
              <w:jc w:val="both"/>
              <w:rPr>
                <w:sz w:val="20"/>
              </w:rPr>
            </w:pPr>
            <w:r w:rsidRPr="00197413">
              <w:rPr>
                <w:sz w:val="20"/>
              </w:rPr>
              <w:t>Motion for extension of time and application for leave to appeal filed</w:t>
            </w:r>
          </w:p>
        </w:tc>
      </w:tr>
    </w:tbl>
    <w:p w:rsidR="00C91655" w:rsidRDefault="00C91655" w:rsidP="00197413">
      <w:pPr>
        <w:jc w:val="both"/>
        <w:rPr>
          <w:sz w:val="20"/>
        </w:rPr>
      </w:pPr>
    </w:p>
    <w:p w:rsidR="00163492" w:rsidRPr="00197413" w:rsidRDefault="00163492" w:rsidP="00197413">
      <w:pPr>
        <w:jc w:val="both"/>
        <w:rPr>
          <w:sz w:val="20"/>
        </w:rPr>
      </w:pPr>
      <w:r>
        <w:rPr>
          <w:sz w:val="20"/>
        </w:rPr>
        <w:pict>
          <v:rect id="_x0000_i1054" style="width:2in;height:1pt" o:hrpct="0" o:hralign="center" o:hrstd="t" o:hrnoshade="t" o:hr="t" fillcolor="black [3213]" stroked="f"/>
        </w:pict>
      </w:r>
    </w:p>
    <w:p w:rsidR="00AE7EB1" w:rsidRPr="00197413" w:rsidRDefault="00AE7EB1" w:rsidP="00197413">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rPr>
            </w:pPr>
            <w:r w:rsidRPr="00197413">
              <w:rPr>
                <w:rStyle w:val="SCCFileNumberChar"/>
                <w:sz w:val="20"/>
                <w:szCs w:val="20"/>
                <w:lang w:val="fr-CA"/>
              </w:rPr>
              <w:t>38418</w:t>
            </w:r>
          </w:p>
        </w:tc>
        <w:tc>
          <w:tcPr>
            <w:tcW w:w="4457" w:type="pct"/>
            <w:gridSpan w:val="3"/>
          </w:tcPr>
          <w:p w:rsidR="00C91655" w:rsidRPr="00163492" w:rsidRDefault="00C91655" w:rsidP="00197413">
            <w:pPr>
              <w:pStyle w:val="SCCLsocParty"/>
              <w:jc w:val="both"/>
              <w:rPr>
                <w:b/>
                <w:sz w:val="20"/>
                <w:szCs w:val="20"/>
              </w:rPr>
            </w:pPr>
            <w:r w:rsidRPr="00163492">
              <w:rPr>
                <w:b/>
                <w:sz w:val="20"/>
                <w:szCs w:val="20"/>
              </w:rPr>
              <w:t>Lina Maryanne Francis c. Sa Majesté la Reine</w:t>
            </w:r>
          </w:p>
          <w:p w:rsidR="00C91655" w:rsidRPr="00197413" w:rsidRDefault="00C91655" w:rsidP="00163492">
            <w:pPr>
              <w:jc w:val="both"/>
              <w:rPr>
                <w:sz w:val="20"/>
              </w:rPr>
            </w:pPr>
            <w:r w:rsidRPr="00197413">
              <w:rPr>
                <w:sz w:val="20"/>
              </w:rPr>
              <w:t>(Q</w:t>
            </w:r>
            <w:r w:rsidR="00163492">
              <w:rPr>
                <w:sz w:val="20"/>
              </w:rPr>
              <w:t>c</w:t>
            </w:r>
            <w:r w:rsidRPr="00197413">
              <w:rPr>
                <w:sz w:val="20"/>
              </w:rPr>
              <w:t>) (Criminelle) (Autorisation)</w:t>
            </w:r>
          </w:p>
        </w:tc>
      </w:tr>
      <w:tr w:rsidR="00C91655" w:rsidRPr="00197413" w:rsidTr="00C91655">
        <w:tc>
          <w:tcPr>
            <w:tcW w:w="5000" w:type="pct"/>
            <w:gridSpan w:val="4"/>
          </w:tcPr>
          <w:p w:rsidR="00C91655" w:rsidRPr="00197413" w:rsidRDefault="00C91655" w:rsidP="00197413">
            <w:pPr>
              <w:jc w:val="both"/>
              <w:rPr>
                <w:sz w:val="20"/>
                <w:lang w:val="fr-CA"/>
              </w:rPr>
            </w:pPr>
            <w:r w:rsidRPr="00197413">
              <w:rPr>
                <w:sz w:val="20"/>
                <w:lang w:val="fr-CA"/>
              </w:rPr>
              <w:t>Droit criminel — Agression sexuelle causant des lésions corporelles — Jugements et ordonnances — Motifs — La Cour d’appel a-t-elle eu tort de conclure que les motifs de la juge du procès expliquaient suffisamment pourquoi elle avait conclu que la demanderesse avait commis une agression sexuelle causant des lésions corporelles? — Y avait</w:t>
            </w:r>
            <w:r w:rsidRPr="00197413">
              <w:rPr>
                <w:sz w:val="20"/>
                <w:lang w:val="fr-CA"/>
              </w:rPr>
              <w:noBreakHyphen/>
              <w:t>il suffisamment d’éléments de preuve pour étayer une déclaration de culpabilité d’agression sexuelle causant des lésions corporelles?</w:t>
            </w:r>
          </w:p>
        </w:tc>
      </w:tr>
      <w:tr w:rsidR="00C91655" w:rsidRPr="00197413" w:rsidTr="00C91655">
        <w:tc>
          <w:tcPr>
            <w:tcW w:w="5000" w:type="pct"/>
            <w:gridSpan w:val="4"/>
          </w:tcPr>
          <w:p w:rsidR="00C91655" w:rsidRPr="00197413" w:rsidRDefault="00C91655" w:rsidP="00197413">
            <w:pPr>
              <w:jc w:val="both"/>
              <w:rPr>
                <w:sz w:val="20"/>
                <w:lang w:val="fr-CA"/>
              </w:rPr>
            </w:pPr>
          </w:p>
        </w:tc>
      </w:tr>
      <w:tr w:rsidR="00C91655" w:rsidRPr="00197413" w:rsidTr="00C91655">
        <w:tc>
          <w:tcPr>
            <w:tcW w:w="5000" w:type="pct"/>
            <w:gridSpan w:val="4"/>
          </w:tcPr>
          <w:p w:rsidR="00C91655" w:rsidRPr="00197413" w:rsidRDefault="00C91655" w:rsidP="00197413">
            <w:pPr>
              <w:jc w:val="both"/>
              <w:rPr>
                <w:sz w:val="20"/>
                <w:lang w:val="fr-CA"/>
              </w:rPr>
            </w:pPr>
            <w:r w:rsidRPr="00197413">
              <w:rPr>
                <w:sz w:val="20"/>
                <w:lang w:val="fr-CA"/>
              </w:rPr>
              <w:lastRenderedPageBreak/>
              <w:t>Madame Francis, la demanderesse, a été déclarée coupable de voies de fait causant des lésions corporelles et d’agression sexuelle causant des lésions corporelles. On lui reproche d’avoir étranglé le plaignant et de lui avoir tiré et écrasé les testicules. Madame Francis et le plaignant cohabitaient à l’époque des agressions et il ressort de la preuve que la relation était malheureuse. Quelques jours avant les agressions, le plaignant avait dit à Mme Francis qu’il voyait quelqu’un d’autre. Au procès, Mme Francis a nié toute agression. La juge du procès n’a pas cru la version des événements de Mme Francis. Elle a jugé que le témoignage du plaignant été crédible et fiable. La Cour d’appel a rejeté l’appel de Mme Francis. Elle a rejeté l’argument de Mme Francis selon lequel l’agression n’avait aucun caractère sexuel parce qu’elle n’avait pas cherché le plaisir ou la gratification sexuelle. Selon la cour, une agression sexuelle est avant tout un acte de violence et de domination physique — une violation de l’intégrité sexuelle de la victime. La cour a en outre rejeté l’argument de Mme Francis selon lequel la juge du procès avait eu tort de conclure qu’elle était jalouse. La cour a souligné que même si les motifs de la juge du procès étaient brefs, ils étaient intelligibles et permettaient un examen valable en appel.</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19 octobre 2016</w:t>
            </w:r>
          </w:p>
          <w:p w:rsidR="00C91655" w:rsidRPr="00197413" w:rsidRDefault="00C91655" w:rsidP="00197413">
            <w:pPr>
              <w:jc w:val="both"/>
              <w:rPr>
                <w:sz w:val="20"/>
                <w:lang w:val="fr-CA"/>
              </w:rPr>
            </w:pPr>
            <w:r w:rsidRPr="00197413">
              <w:rPr>
                <w:sz w:val="20"/>
                <w:lang w:val="fr-CA"/>
              </w:rPr>
              <w:t>Cour du Québec</w:t>
            </w:r>
          </w:p>
          <w:p w:rsidR="00C91655" w:rsidRPr="00197413" w:rsidRDefault="00C91655" w:rsidP="00197413">
            <w:pPr>
              <w:jc w:val="both"/>
              <w:rPr>
                <w:sz w:val="20"/>
                <w:lang w:val="fr-CA"/>
              </w:rPr>
            </w:pPr>
            <w:r w:rsidRPr="00197413">
              <w:rPr>
                <w:sz w:val="20"/>
                <w:lang w:val="fr-CA"/>
              </w:rPr>
              <w:t xml:space="preserve">(Juge Di </w:t>
            </w:r>
            <w:proofErr w:type="spellStart"/>
            <w:r w:rsidRPr="00197413">
              <w:rPr>
                <w:sz w:val="20"/>
                <w:lang w:val="fr-CA"/>
              </w:rPr>
              <w:t>Lallo</w:t>
            </w:r>
            <w:proofErr w:type="spellEnd"/>
            <w:r w:rsidRPr="00197413">
              <w:rPr>
                <w:sz w:val="20"/>
                <w:lang w:val="fr-CA"/>
              </w:rPr>
              <w:t>)</w:t>
            </w:r>
          </w:p>
          <w:p w:rsidR="00C91655" w:rsidRPr="00197413" w:rsidRDefault="00C91655" w:rsidP="00197413">
            <w:pPr>
              <w:jc w:val="both"/>
              <w:rPr>
                <w:sz w:val="20"/>
                <w:lang w:val="fr-CA"/>
              </w:rPr>
            </w:pP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Jugement déclarant la demanderesse coupable de voies de fait causant des lésions corporelles et d’agression sexuelle causant des lésions corporelles</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7 juin 2018</w:t>
            </w:r>
          </w:p>
          <w:p w:rsidR="00C91655" w:rsidRPr="00197413" w:rsidRDefault="00C91655" w:rsidP="00197413">
            <w:pPr>
              <w:jc w:val="both"/>
              <w:rPr>
                <w:sz w:val="20"/>
                <w:lang w:val="fr-CA"/>
              </w:rPr>
            </w:pPr>
            <w:r w:rsidRPr="00197413">
              <w:rPr>
                <w:sz w:val="20"/>
                <w:lang w:val="fr-CA"/>
              </w:rPr>
              <w:t>Cour d’appel du Québec (Montréal)</w:t>
            </w:r>
          </w:p>
          <w:p w:rsidR="00C91655" w:rsidRPr="00197413" w:rsidRDefault="00C91655" w:rsidP="00197413">
            <w:pPr>
              <w:jc w:val="both"/>
              <w:rPr>
                <w:sz w:val="20"/>
                <w:lang w:val="fr-CA"/>
              </w:rPr>
            </w:pPr>
            <w:r w:rsidRPr="00197413">
              <w:rPr>
                <w:sz w:val="20"/>
                <w:lang w:val="fr-CA"/>
              </w:rPr>
              <w:t xml:space="preserve">(Juges </w:t>
            </w:r>
            <w:proofErr w:type="spellStart"/>
            <w:r w:rsidRPr="00197413">
              <w:rPr>
                <w:sz w:val="20"/>
                <w:lang w:val="fr-CA"/>
              </w:rPr>
              <w:t>Vauclair</w:t>
            </w:r>
            <w:proofErr w:type="spellEnd"/>
            <w:r w:rsidRPr="00197413">
              <w:rPr>
                <w:sz w:val="20"/>
                <w:lang w:val="fr-CA"/>
              </w:rPr>
              <w:t>, Roy et Gagné)</w:t>
            </w:r>
          </w:p>
          <w:p w:rsidR="00C91655" w:rsidRPr="00197413" w:rsidRDefault="00C91655" w:rsidP="00197413">
            <w:pPr>
              <w:jc w:val="both"/>
              <w:rPr>
                <w:sz w:val="20"/>
              </w:rPr>
            </w:pPr>
            <w:hyperlink r:id="rId60" w:history="1">
              <w:r w:rsidRPr="00197413">
                <w:rPr>
                  <w:rStyle w:val="Hyperlink"/>
                  <w:sz w:val="20"/>
                </w:rPr>
                <w:t>2018 QCCA 1043</w:t>
              </w:r>
            </w:hyperlink>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Rejet de l’appel</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26 novembre 2018</w:t>
            </w:r>
          </w:p>
          <w:p w:rsidR="00C91655" w:rsidRPr="00197413" w:rsidRDefault="00C91655" w:rsidP="00197413">
            <w:pPr>
              <w:jc w:val="both"/>
              <w:rPr>
                <w:sz w:val="20"/>
                <w:lang w:val="fr-CA"/>
              </w:rPr>
            </w:pPr>
            <w:r w:rsidRPr="00197413">
              <w:rPr>
                <w:sz w:val="20"/>
                <w:lang w:val="fr-CA"/>
              </w:rPr>
              <w:t>Cour suprême du Canada</w:t>
            </w: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4F1B79">
            <w:pPr>
              <w:jc w:val="both"/>
              <w:rPr>
                <w:sz w:val="20"/>
                <w:lang w:val="fr-CA"/>
              </w:rPr>
            </w:pPr>
            <w:r w:rsidRPr="00197413">
              <w:rPr>
                <w:sz w:val="20"/>
                <w:lang w:val="fr-CA"/>
              </w:rPr>
              <w:t>Dépôt de la requête en prorogation de délai et de la demande d’autorisation d’appel</w:t>
            </w:r>
          </w:p>
        </w:tc>
      </w:tr>
    </w:tbl>
    <w:p w:rsidR="00C91655" w:rsidRDefault="00C91655" w:rsidP="00197413">
      <w:pPr>
        <w:jc w:val="both"/>
        <w:rPr>
          <w:sz w:val="20"/>
          <w:lang w:val="fr-CA"/>
        </w:rPr>
      </w:pPr>
    </w:p>
    <w:p w:rsidR="004F1B79" w:rsidRPr="00197413" w:rsidRDefault="004F1B79" w:rsidP="00197413">
      <w:pPr>
        <w:jc w:val="both"/>
        <w:rPr>
          <w:sz w:val="20"/>
          <w:lang w:val="fr-CA"/>
        </w:rPr>
      </w:pPr>
      <w:r>
        <w:rPr>
          <w:sz w:val="20"/>
        </w:rPr>
        <w:pict>
          <v:rect id="_x0000_i1055" style="width:2in;height:1pt" o:hrpct="0" o:hralign="center" o:hrstd="t" o:hrnoshade="t" o:hr="t" fillcolor="black [3213]" stroked="f"/>
        </w:pict>
      </w:r>
    </w:p>
    <w:p w:rsidR="00AE7EB1" w:rsidRPr="00197413" w:rsidRDefault="00AE7EB1" w:rsidP="0019741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rPr>
            </w:pPr>
            <w:r w:rsidRPr="00197413">
              <w:rPr>
                <w:rStyle w:val="SCCFileNumberChar"/>
                <w:sz w:val="20"/>
                <w:szCs w:val="20"/>
              </w:rPr>
              <w:t>38458</w:t>
            </w:r>
          </w:p>
        </w:tc>
        <w:tc>
          <w:tcPr>
            <w:tcW w:w="4457" w:type="pct"/>
            <w:gridSpan w:val="3"/>
          </w:tcPr>
          <w:p w:rsidR="00C91655" w:rsidRPr="004F1B79" w:rsidRDefault="00C91655" w:rsidP="00197413">
            <w:pPr>
              <w:pStyle w:val="SCCLsocParty"/>
              <w:jc w:val="both"/>
              <w:rPr>
                <w:b/>
                <w:sz w:val="20"/>
                <w:szCs w:val="20"/>
                <w:lang w:val="en-US"/>
              </w:rPr>
            </w:pPr>
            <w:r w:rsidRPr="004F1B79">
              <w:rPr>
                <w:b/>
                <w:sz w:val="20"/>
                <w:szCs w:val="20"/>
                <w:lang w:val="en-US"/>
              </w:rPr>
              <w:t xml:space="preserve">Schuyler Francis Van </w:t>
            </w:r>
            <w:proofErr w:type="spellStart"/>
            <w:r w:rsidRPr="004F1B79">
              <w:rPr>
                <w:b/>
                <w:sz w:val="20"/>
                <w:szCs w:val="20"/>
                <w:lang w:val="en-US"/>
              </w:rPr>
              <w:t>Wissen</w:t>
            </w:r>
            <w:proofErr w:type="spellEnd"/>
            <w:r w:rsidRPr="004F1B79">
              <w:rPr>
                <w:b/>
                <w:sz w:val="20"/>
                <w:szCs w:val="20"/>
                <w:lang w:val="en-US"/>
              </w:rPr>
              <w:t xml:space="preserve"> v. Her Majesty the Queen</w:t>
            </w:r>
          </w:p>
          <w:p w:rsidR="00C91655" w:rsidRPr="00197413" w:rsidRDefault="00C91655" w:rsidP="00197413">
            <w:pPr>
              <w:jc w:val="both"/>
              <w:rPr>
                <w:sz w:val="20"/>
              </w:rPr>
            </w:pPr>
            <w:r w:rsidRPr="00197413">
              <w:rPr>
                <w:sz w:val="20"/>
              </w:rPr>
              <w:t>(Man.) (Criminal) (By Leave)</w:t>
            </w:r>
          </w:p>
        </w:tc>
      </w:tr>
      <w:tr w:rsidR="00C91655" w:rsidRPr="00197413" w:rsidTr="00C91655">
        <w:tc>
          <w:tcPr>
            <w:tcW w:w="5000" w:type="pct"/>
            <w:gridSpan w:val="4"/>
          </w:tcPr>
          <w:p w:rsidR="00C91655" w:rsidRDefault="00C91655" w:rsidP="00197413">
            <w:pPr>
              <w:jc w:val="both"/>
              <w:rPr>
                <w:sz w:val="20"/>
              </w:rPr>
            </w:pPr>
            <w:r w:rsidRPr="00197413">
              <w:rPr>
                <w:sz w:val="20"/>
              </w:rPr>
              <w:t xml:space="preserve">Criminal law — Trial — Trial fairness — Jury charge — Evidence — Admissibility — Whether the applicant was denied a fair trial and appeal due to judicial incivility and interference and the failure of the appellate judge to rescue himself — What is a proper jury charge in cases where the sole evidence is DNA — Whether the Court of Appeal erred by not finding that the trial judge erred in law when he failed to instruct the jury on the defence of alibi and when he failed to provide a </w:t>
            </w:r>
            <w:r w:rsidRPr="00197413">
              <w:rPr>
                <w:i/>
                <w:sz w:val="20"/>
              </w:rPr>
              <w:t>W.D.</w:t>
            </w:r>
            <w:r w:rsidRPr="00197413">
              <w:rPr>
                <w:sz w:val="20"/>
              </w:rPr>
              <w:t xml:space="preserve"> instruction — What is the impact on the absence of police notes and the police failure to videotape evidence gathering interactions with accused persons in respect of police credibility, reliability and/or the ultimate admissibility of evidence obtained — Is opinion evidence by a pathologist to the effect that the absence of genital injury does not disprove the commission of a sexual assault admissible and whether a jury limiting instruction is required.</w:t>
            </w:r>
          </w:p>
          <w:p w:rsidR="004F1B79" w:rsidRPr="00197413" w:rsidRDefault="004F1B79" w:rsidP="00197413">
            <w:pPr>
              <w:jc w:val="both"/>
              <w:rPr>
                <w:sz w:val="20"/>
              </w:rPr>
            </w:pPr>
          </w:p>
        </w:tc>
      </w:tr>
      <w:tr w:rsidR="00C91655" w:rsidRPr="00197413" w:rsidTr="00C91655">
        <w:tc>
          <w:tcPr>
            <w:tcW w:w="5000" w:type="pct"/>
            <w:gridSpan w:val="4"/>
          </w:tcPr>
          <w:p w:rsidR="00C91655" w:rsidRPr="00197413" w:rsidRDefault="00C91655" w:rsidP="004F1B79">
            <w:pPr>
              <w:pStyle w:val="mauer2"/>
              <w:shd w:val="clear" w:color="auto" w:fill="FFFFFF"/>
              <w:spacing w:before="0"/>
              <w:rPr>
                <w:sz w:val="20"/>
                <w:szCs w:val="20"/>
                <w:lang w:val="en"/>
              </w:rPr>
            </w:pPr>
            <w:r w:rsidRPr="00197413">
              <w:rPr>
                <w:sz w:val="20"/>
                <w:szCs w:val="20"/>
                <w:lang w:val="en"/>
              </w:rPr>
              <w:t>When the victim failed to show up for work, her father went to her home and found her dead in her living room. The victim had numerous contusions, and five stab wounds, three of which were fatal.  Male DNA was identified on swabs taken from the victim’s vagina and gluteal cleft. Having no suspects for the murder and anticipating that the DNA might identify the killer, the police canvassed men who knew or lived near the victim for information and DNA samples. The police received information that the applicant’s father lived near the victim’s home and that he had lived with him “off and on”. The police spoke with the applicant and requested a sample of his DNA, which he provided. The applicant’s DNA matched the DNA found on the victim’s body that was tested, as well as the wrist bindings. A DNA expert testified at the trial that the applicant’s DNA profile matched the DNA found on the swabs taken from the interior of the victim’s vagina and her gluteal cleft and from the three locations on the wrist bindings. After a trial by judge and jury, the applicant was convicted of first degree murder. The applicant’s motion for recusal was dismissed. The Court of Appeal dismissed the conviction appeal.</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March 23, 2016</w:t>
            </w:r>
          </w:p>
          <w:p w:rsidR="00C91655" w:rsidRPr="00197413" w:rsidRDefault="00C91655" w:rsidP="00197413">
            <w:pPr>
              <w:jc w:val="both"/>
              <w:rPr>
                <w:sz w:val="20"/>
              </w:rPr>
            </w:pPr>
            <w:r w:rsidRPr="00197413">
              <w:rPr>
                <w:sz w:val="20"/>
              </w:rPr>
              <w:lastRenderedPageBreak/>
              <w:t>Court of Queen’s Bench of Manitoba</w:t>
            </w:r>
          </w:p>
          <w:p w:rsidR="00C91655" w:rsidRPr="00197413" w:rsidRDefault="00C91655" w:rsidP="00197413">
            <w:pPr>
              <w:jc w:val="both"/>
              <w:rPr>
                <w:sz w:val="20"/>
              </w:rPr>
            </w:pPr>
            <w:r w:rsidRPr="00197413">
              <w:rPr>
                <w:sz w:val="20"/>
              </w:rPr>
              <w:t>(Saull J.)</w:t>
            </w:r>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Conviction: first degree murder</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lastRenderedPageBreak/>
              <w:t>October 4, 2018</w:t>
            </w:r>
          </w:p>
          <w:p w:rsidR="00C91655" w:rsidRPr="00197413" w:rsidRDefault="00C91655" w:rsidP="00197413">
            <w:pPr>
              <w:jc w:val="both"/>
              <w:rPr>
                <w:sz w:val="20"/>
              </w:rPr>
            </w:pPr>
            <w:r w:rsidRPr="00197413">
              <w:rPr>
                <w:sz w:val="20"/>
              </w:rPr>
              <w:t>Court of Appeal of Manitoba</w:t>
            </w:r>
          </w:p>
          <w:p w:rsidR="00C91655" w:rsidRPr="00197413" w:rsidRDefault="00C91655" w:rsidP="00197413">
            <w:pPr>
              <w:jc w:val="both"/>
              <w:rPr>
                <w:sz w:val="20"/>
              </w:rPr>
            </w:pPr>
            <w:r w:rsidRPr="00197413">
              <w:rPr>
                <w:sz w:val="20"/>
              </w:rPr>
              <w:t>(Monnin J.A.)</w:t>
            </w:r>
          </w:p>
          <w:p w:rsidR="00C91655" w:rsidRPr="00197413" w:rsidRDefault="00C91655" w:rsidP="00197413">
            <w:pPr>
              <w:jc w:val="both"/>
              <w:rPr>
                <w:sz w:val="20"/>
              </w:rPr>
            </w:pPr>
            <w:hyperlink r:id="rId61" w:history="1">
              <w:r w:rsidRPr="00197413">
                <w:rPr>
                  <w:rStyle w:val="Hyperlink"/>
                  <w:sz w:val="20"/>
                </w:rPr>
                <w:t>2018 MBCA 100</w:t>
              </w:r>
            </w:hyperlink>
            <w:r w:rsidRPr="00197413">
              <w:rPr>
                <w:sz w:val="20"/>
              </w:rPr>
              <w:t>; AR16-30-08579</w:t>
            </w:r>
          </w:p>
          <w:p w:rsidR="00C91655" w:rsidRPr="00197413" w:rsidRDefault="00C91655" w:rsidP="00197413">
            <w:pPr>
              <w:jc w:val="both"/>
              <w:rPr>
                <w:sz w:val="20"/>
              </w:rPr>
            </w:pPr>
          </w:p>
          <w:p w:rsidR="00C91655" w:rsidRPr="00197413" w:rsidRDefault="00C91655" w:rsidP="00197413">
            <w:pPr>
              <w:jc w:val="both"/>
              <w:rPr>
                <w:sz w:val="20"/>
              </w:rPr>
            </w:pPr>
            <w:r w:rsidRPr="00197413">
              <w:rPr>
                <w:sz w:val="20"/>
              </w:rPr>
              <w:t>October 24, 2018</w:t>
            </w:r>
          </w:p>
          <w:p w:rsidR="00C91655" w:rsidRPr="00197413" w:rsidRDefault="00C91655" w:rsidP="00197413">
            <w:pPr>
              <w:jc w:val="both"/>
              <w:rPr>
                <w:sz w:val="20"/>
              </w:rPr>
            </w:pPr>
            <w:r w:rsidRPr="00197413">
              <w:rPr>
                <w:sz w:val="20"/>
              </w:rPr>
              <w:t>Court of Appeal of Manitoba</w:t>
            </w:r>
          </w:p>
          <w:p w:rsidR="00C91655" w:rsidRPr="00197413" w:rsidRDefault="00C91655" w:rsidP="00197413">
            <w:pPr>
              <w:jc w:val="both"/>
              <w:rPr>
                <w:sz w:val="20"/>
              </w:rPr>
            </w:pPr>
            <w:r w:rsidRPr="00197413">
              <w:rPr>
                <w:sz w:val="20"/>
              </w:rPr>
              <w:t>(Monnin, Steel, leMaistre JJ.A.)</w:t>
            </w:r>
          </w:p>
          <w:p w:rsidR="00C91655" w:rsidRPr="00197413" w:rsidRDefault="00C91655" w:rsidP="00197413">
            <w:pPr>
              <w:jc w:val="both"/>
              <w:rPr>
                <w:sz w:val="20"/>
              </w:rPr>
            </w:pPr>
            <w:hyperlink r:id="rId62" w:history="1">
              <w:r w:rsidRPr="00197413">
                <w:rPr>
                  <w:rStyle w:val="Hyperlink"/>
                  <w:sz w:val="20"/>
                </w:rPr>
                <w:t>2018 MBCA 110</w:t>
              </w:r>
            </w:hyperlink>
            <w:r w:rsidRPr="00197413">
              <w:rPr>
                <w:sz w:val="20"/>
              </w:rPr>
              <w:t>; AR16-30-08579</w:t>
            </w:r>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Applicant’s motion for recusal dismissed</w:t>
            </w:r>
          </w:p>
          <w:p w:rsidR="00C91655" w:rsidRPr="00197413" w:rsidRDefault="00C91655" w:rsidP="00197413">
            <w:pPr>
              <w:jc w:val="both"/>
              <w:rPr>
                <w:sz w:val="20"/>
              </w:rPr>
            </w:pPr>
          </w:p>
          <w:p w:rsidR="00C91655" w:rsidRPr="00197413" w:rsidRDefault="00C91655" w:rsidP="00197413">
            <w:pPr>
              <w:jc w:val="both"/>
              <w:rPr>
                <w:sz w:val="20"/>
              </w:rPr>
            </w:pPr>
          </w:p>
          <w:p w:rsidR="00C91655" w:rsidRPr="00197413" w:rsidRDefault="00C91655" w:rsidP="00197413">
            <w:pPr>
              <w:jc w:val="both"/>
              <w:rPr>
                <w:sz w:val="20"/>
              </w:rPr>
            </w:pPr>
          </w:p>
          <w:p w:rsidR="00C91655" w:rsidRPr="00197413" w:rsidRDefault="00C91655" w:rsidP="00197413">
            <w:pPr>
              <w:jc w:val="both"/>
              <w:rPr>
                <w:sz w:val="20"/>
              </w:rPr>
            </w:pPr>
          </w:p>
          <w:p w:rsidR="00C91655" w:rsidRPr="00197413" w:rsidRDefault="00C91655" w:rsidP="00197413">
            <w:pPr>
              <w:jc w:val="both"/>
              <w:rPr>
                <w:sz w:val="20"/>
              </w:rPr>
            </w:pPr>
            <w:r w:rsidRPr="00197413">
              <w:rPr>
                <w:sz w:val="20"/>
              </w:rPr>
              <w:t>Conviction appeal dismissed</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December 20, 2018</w:t>
            </w:r>
          </w:p>
          <w:p w:rsidR="00C91655" w:rsidRPr="00197413" w:rsidRDefault="00C91655" w:rsidP="00197413">
            <w:pPr>
              <w:jc w:val="both"/>
              <w:rPr>
                <w:sz w:val="20"/>
              </w:rPr>
            </w:pPr>
            <w:r w:rsidRPr="00197413">
              <w:rPr>
                <w:sz w:val="20"/>
              </w:rPr>
              <w:t>Supreme Court of Canada</w:t>
            </w:r>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Motion for an extension of time to serve and file the application for leave to appeal and motion to join and application for leave to appeal filed</w:t>
            </w:r>
          </w:p>
        </w:tc>
      </w:tr>
    </w:tbl>
    <w:p w:rsidR="00C91655" w:rsidRDefault="00C91655" w:rsidP="00197413">
      <w:pPr>
        <w:jc w:val="both"/>
        <w:rPr>
          <w:sz w:val="20"/>
        </w:rPr>
      </w:pPr>
    </w:p>
    <w:p w:rsidR="004F1B79" w:rsidRPr="00197413" w:rsidRDefault="004F1B79" w:rsidP="00197413">
      <w:pPr>
        <w:jc w:val="both"/>
        <w:rPr>
          <w:sz w:val="20"/>
        </w:rPr>
      </w:pPr>
      <w:r>
        <w:rPr>
          <w:sz w:val="20"/>
        </w:rPr>
        <w:pict>
          <v:rect id="_x0000_i1056" style="width:2in;height:1pt" o:hrpct="0" o:hralign="center" o:hrstd="t" o:hrnoshade="t" o:hr="t" fillcolor="black [3213]" stroked="f"/>
        </w:pict>
      </w:r>
    </w:p>
    <w:p w:rsidR="00AE7EB1" w:rsidRPr="00197413" w:rsidRDefault="00AE7EB1" w:rsidP="00197413">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lang w:val="fr-CA"/>
              </w:rPr>
            </w:pPr>
            <w:r w:rsidRPr="00197413">
              <w:rPr>
                <w:rStyle w:val="SCCFileNumberChar"/>
                <w:sz w:val="20"/>
                <w:szCs w:val="20"/>
                <w:lang w:val="fr-CA"/>
              </w:rPr>
              <w:t>38458</w:t>
            </w:r>
          </w:p>
        </w:tc>
        <w:tc>
          <w:tcPr>
            <w:tcW w:w="4457" w:type="pct"/>
            <w:gridSpan w:val="3"/>
          </w:tcPr>
          <w:p w:rsidR="00C91655" w:rsidRPr="004F1B79" w:rsidRDefault="00C91655" w:rsidP="00197413">
            <w:pPr>
              <w:pStyle w:val="SCCLsocParty"/>
              <w:jc w:val="both"/>
              <w:rPr>
                <w:b/>
                <w:sz w:val="20"/>
                <w:szCs w:val="20"/>
              </w:rPr>
            </w:pPr>
            <w:proofErr w:type="spellStart"/>
            <w:r w:rsidRPr="004F1B79">
              <w:rPr>
                <w:b/>
                <w:sz w:val="20"/>
                <w:szCs w:val="20"/>
              </w:rPr>
              <w:t>Schuyler</w:t>
            </w:r>
            <w:proofErr w:type="spellEnd"/>
            <w:r w:rsidRPr="004F1B79">
              <w:rPr>
                <w:b/>
                <w:sz w:val="20"/>
                <w:szCs w:val="20"/>
              </w:rPr>
              <w:t xml:space="preserve"> Francis Van </w:t>
            </w:r>
            <w:proofErr w:type="spellStart"/>
            <w:r w:rsidRPr="004F1B79">
              <w:rPr>
                <w:b/>
                <w:sz w:val="20"/>
                <w:szCs w:val="20"/>
              </w:rPr>
              <w:t>Wissen</w:t>
            </w:r>
            <w:proofErr w:type="spellEnd"/>
            <w:r w:rsidRPr="004F1B79">
              <w:rPr>
                <w:b/>
                <w:sz w:val="20"/>
                <w:szCs w:val="20"/>
              </w:rPr>
              <w:t xml:space="preserve"> c. Sa Majesté la Reine</w:t>
            </w:r>
          </w:p>
          <w:p w:rsidR="00C91655" w:rsidRPr="00197413" w:rsidRDefault="00C91655" w:rsidP="00197413">
            <w:pPr>
              <w:jc w:val="both"/>
              <w:rPr>
                <w:sz w:val="20"/>
                <w:lang w:val="fr-CA"/>
              </w:rPr>
            </w:pPr>
            <w:r w:rsidRPr="00197413">
              <w:rPr>
                <w:sz w:val="20"/>
                <w:lang w:val="fr-CA"/>
              </w:rPr>
              <w:t>(Man.) (Criminelle) (Autorisation)</w:t>
            </w:r>
          </w:p>
        </w:tc>
      </w:tr>
      <w:tr w:rsidR="00C91655" w:rsidRPr="00197413" w:rsidTr="00C91655">
        <w:tc>
          <w:tcPr>
            <w:tcW w:w="5000" w:type="pct"/>
            <w:gridSpan w:val="4"/>
          </w:tcPr>
          <w:p w:rsidR="00C91655" w:rsidRPr="00197413" w:rsidRDefault="00C91655" w:rsidP="00197413">
            <w:pPr>
              <w:jc w:val="both"/>
              <w:rPr>
                <w:sz w:val="20"/>
                <w:lang w:val="fr-CA"/>
              </w:rPr>
            </w:pPr>
            <w:r w:rsidRPr="00197413">
              <w:rPr>
                <w:sz w:val="20"/>
                <w:lang w:val="fr-CA"/>
              </w:rPr>
              <w:t>Droit criminel — Procès — Équité du procès — Exposé au jury — Preuve — Admissibilité — Le demandeur a</w:t>
            </w:r>
            <w:r w:rsidRPr="00197413">
              <w:rPr>
                <w:sz w:val="20"/>
                <w:lang w:val="fr-CA"/>
              </w:rPr>
              <w:noBreakHyphen/>
              <w:t>t</w:t>
            </w:r>
            <w:r w:rsidRPr="00197413">
              <w:rPr>
                <w:sz w:val="20"/>
                <w:lang w:val="fr-CA"/>
              </w:rPr>
              <w:noBreakHyphen/>
              <w:t>il été privé d’un procès et d’un appel équitables pour cause d’incivilité et d’entrave judiciaires et parce que le juge d’appel ne s’est pas récusé? — Quel exposé convient-il de donner au jury dans des affaires où la seule preuve est une preuve génétique? — La Cour d’appel a</w:t>
            </w:r>
            <w:r w:rsidRPr="00197413">
              <w:rPr>
                <w:sz w:val="20"/>
                <w:lang w:val="fr-CA"/>
              </w:rPr>
              <w:noBreakHyphen/>
              <w:t>t</w:t>
            </w:r>
            <w:r w:rsidRPr="00197413">
              <w:rPr>
                <w:sz w:val="20"/>
                <w:lang w:val="fr-CA"/>
              </w:rPr>
              <w:noBreakHyphen/>
              <w:t xml:space="preserve">elle eu tort de ne pas conclure que le juge du procès avait commis une erreur de droit en omettant de donner au jury des directives sur la défense d’alibi et en omettant de donner une directive conforme à l’arrêt </w:t>
            </w:r>
            <w:r w:rsidRPr="00197413">
              <w:rPr>
                <w:i/>
                <w:sz w:val="20"/>
                <w:lang w:val="fr-CA"/>
              </w:rPr>
              <w:t>W.D.</w:t>
            </w:r>
            <w:r w:rsidRPr="00197413">
              <w:rPr>
                <w:sz w:val="20"/>
                <w:lang w:val="fr-CA"/>
              </w:rPr>
              <w:t>? — Quelle incidence ont l’absence de notes prises par les policiers et l’omission par les policiers d’avoir enregistré sur bande vidéo les échanges de cueillette des éléments de preuve d’accusés en ce qui concerne la crédibilité des policiers, la fiabilité et l’admissibilité en définitive des éléments de preuve recueillis? — La preuve d’opinion d’un pathologiste selon laquelle l’absence de lésions génitales ne dément pas la perpétration d’une agression sexuelle est-elle admissible et y avait-il lieu de donner des directives limitatives au jury?</w:t>
            </w:r>
          </w:p>
          <w:p w:rsidR="00C91655" w:rsidRPr="00197413" w:rsidRDefault="00C91655" w:rsidP="00197413">
            <w:pPr>
              <w:jc w:val="both"/>
              <w:rPr>
                <w:sz w:val="20"/>
                <w:lang w:val="fr-CA"/>
              </w:rPr>
            </w:pPr>
          </w:p>
        </w:tc>
      </w:tr>
      <w:tr w:rsidR="00C91655" w:rsidRPr="00197413" w:rsidTr="00C91655">
        <w:tc>
          <w:tcPr>
            <w:tcW w:w="5000" w:type="pct"/>
            <w:gridSpan w:val="4"/>
          </w:tcPr>
          <w:p w:rsidR="00C91655" w:rsidRPr="00197413" w:rsidRDefault="00C91655" w:rsidP="004F1B79">
            <w:pPr>
              <w:pStyle w:val="mauer2"/>
              <w:shd w:val="clear" w:color="auto" w:fill="FFFFFF"/>
              <w:spacing w:before="0"/>
              <w:rPr>
                <w:sz w:val="20"/>
                <w:szCs w:val="20"/>
                <w:lang w:val="fr-CA"/>
              </w:rPr>
            </w:pPr>
            <w:r w:rsidRPr="00197413">
              <w:rPr>
                <w:sz w:val="20"/>
                <w:szCs w:val="20"/>
                <w:lang w:val="fr-CA"/>
              </w:rPr>
              <w:t xml:space="preserve">Lorsque la victime ne s’est pas présentée au travail, son père s’est rendu chez elle et l’a retrouvée morte dans sa salle de séjour. La victime avait subi plusieurs contusions et cinq coups de couteau, dont trois mortels. De l’ADN masculin a été identifié sur des échantillons prélevés par écouvillonnage du vagin et du sillon </w:t>
            </w:r>
            <w:proofErr w:type="spellStart"/>
            <w:r w:rsidRPr="00197413">
              <w:rPr>
                <w:sz w:val="20"/>
                <w:szCs w:val="20"/>
                <w:lang w:val="fr-CA"/>
              </w:rPr>
              <w:t>interfessier</w:t>
            </w:r>
            <w:proofErr w:type="spellEnd"/>
            <w:r w:rsidRPr="00197413">
              <w:rPr>
                <w:sz w:val="20"/>
                <w:szCs w:val="20"/>
                <w:lang w:val="fr-CA"/>
              </w:rPr>
              <w:t xml:space="preserve"> de la victime. Ne disposant d’aucun suspect pour le meurtre et prévoyant que l’ADN pourrait identifier le tueur, les policiers ont rencontré les hommes qui connaissaient la victime ou qui vivaient près de chez elle pour obtenir des renseignements et des échantillons d’ADN. Les policiers ont été informés que le père du demandeur vivait près de chez la victime et qu’il avait habité avec lui de façon intermittente. Les policiers ont parlé au demandeur et lui ont demandé un échantillon de son ADN, qu’il a fourni. L’ADN du demandeur correspondait à l’ADN trouvé sur le corps de la victime qui avait été analysé, de même que les attaches autour de ses poignets. Un expert en ADN a affirmé dans son témoignage au procès que le profil d’ADN du demandeur correspondait à l’ADN trouvé sur les échantillons prélevés par écouvillonnage à l’intérieur du vagin et du sillon </w:t>
            </w:r>
            <w:proofErr w:type="spellStart"/>
            <w:r w:rsidRPr="00197413">
              <w:rPr>
                <w:sz w:val="20"/>
                <w:szCs w:val="20"/>
                <w:lang w:val="fr-CA"/>
              </w:rPr>
              <w:t>interfessier</w:t>
            </w:r>
            <w:proofErr w:type="spellEnd"/>
            <w:r w:rsidRPr="00197413">
              <w:rPr>
                <w:sz w:val="20"/>
                <w:szCs w:val="20"/>
                <w:lang w:val="fr-CA"/>
              </w:rPr>
              <w:t xml:space="preserve"> de la victime et de trois emplacements sur les attaches autour de ses poignets. Au terme d’un procès devant juge et jury, le demandeur a été déclaré coupable de meurtre au premier degré. La motion en récusation du demandeur a été rejetée. La Cour d’appel a rejeté l’appel de la déclaration de culpabilité.</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23 mars 2016</w:t>
            </w:r>
          </w:p>
          <w:p w:rsidR="00C91655" w:rsidRPr="00197413" w:rsidRDefault="00C91655" w:rsidP="00197413">
            <w:pPr>
              <w:jc w:val="both"/>
              <w:rPr>
                <w:sz w:val="20"/>
                <w:lang w:val="fr-CA"/>
              </w:rPr>
            </w:pPr>
            <w:r w:rsidRPr="00197413">
              <w:rPr>
                <w:sz w:val="20"/>
                <w:lang w:val="fr-CA"/>
              </w:rPr>
              <w:t>Cour du Banc de la Reine du Manitoba</w:t>
            </w:r>
          </w:p>
          <w:p w:rsidR="00C91655" w:rsidRPr="00197413" w:rsidRDefault="00C91655" w:rsidP="00197413">
            <w:pPr>
              <w:jc w:val="both"/>
              <w:rPr>
                <w:sz w:val="20"/>
                <w:lang w:val="fr-CA"/>
              </w:rPr>
            </w:pPr>
            <w:r w:rsidRPr="00197413">
              <w:rPr>
                <w:sz w:val="20"/>
                <w:lang w:val="fr-CA"/>
              </w:rPr>
              <w:t xml:space="preserve">(Juge </w:t>
            </w:r>
            <w:proofErr w:type="spellStart"/>
            <w:r w:rsidRPr="00197413">
              <w:rPr>
                <w:sz w:val="20"/>
                <w:lang w:val="fr-CA"/>
              </w:rPr>
              <w:t>Saull</w:t>
            </w:r>
            <w:proofErr w:type="spellEnd"/>
            <w:r w:rsidRPr="00197413">
              <w:rPr>
                <w:sz w:val="20"/>
                <w:lang w:val="fr-CA"/>
              </w:rPr>
              <w:t>)</w:t>
            </w:r>
          </w:p>
          <w:p w:rsidR="00C91655" w:rsidRPr="00197413" w:rsidRDefault="00C91655" w:rsidP="00197413">
            <w:pPr>
              <w:jc w:val="both"/>
              <w:rPr>
                <w:sz w:val="20"/>
                <w:lang w:val="fr-CA"/>
              </w:rPr>
            </w:pP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Déclaration de culpabilité : meurtre au premier degré</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4 octobre 2018</w:t>
            </w:r>
          </w:p>
          <w:p w:rsidR="00C91655" w:rsidRPr="00197413" w:rsidRDefault="00C91655" w:rsidP="00197413">
            <w:pPr>
              <w:jc w:val="both"/>
              <w:rPr>
                <w:sz w:val="20"/>
                <w:lang w:val="fr-CA"/>
              </w:rPr>
            </w:pPr>
            <w:r w:rsidRPr="00197413">
              <w:rPr>
                <w:sz w:val="20"/>
                <w:lang w:val="fr-CA"/>
              </w:rPr>
              <w:lastRenderedPageBreak/>
              <w:t>Cour d’appel du Manitoba</w:t>
            </w:r>
          </w:p>
          <w:p w:rsidR="00C91655" w:rsidRPr="00197413" w:rsidRDefault="00C91655" w:rsidP="00197413">
            <w:pPr>
              <w:jc w:val="both"/>
              <w:rPr>
                <w:sz w:val="20"/>
                <w:lang w:val="fr-CA"/>
              </w:rPr>
            </w:pPr>
            <w:r w:rsidRPr="00197413">
              <w:rPr>
                <w:sz w:val="20"/>
                <w:lang w:val="fr-CA"/>
              </w:rPr>
              <w:t xml:space="preserve">(Juge </w:t>
            </w:r>
            <w:proofErr w:type="spellStart"/>
            <w:r w:rsidRPr="00197413">
              <w:rPr>
                <w:sz w:val="20"/>
                <w:lang w:val="fr-CA"/>
              </w:rPr>
              <w:t>Monnin</w:t>
            </w:r>
            <w:proofErr w:type="spellEnd"/>
            <w:r w:rsidRPr="00197413">
              <w:rPr>
                <w:sz w:val="20"/>
                <w:lang w:val="fr-CA"/>
              </w:rPr>
              <w:t>)</w:t>
            </w:r>
          </w:p>
          <w:p w:rsidR="00C91655" w:rsidRPr="00197413" w:rsidRDefault="00C91655" w:rsidP="00197413">
            <w:pPr>
              <w:jc w:val="both"/>
              <w:rPr>
                <w:sz w:val="20"/>
                <w:lang w:val="fr-CA"/>
              </w:rPr>
            </w:pPr>
            <w:hyperlink r:id="rId63" w:history="1">
              <w:r w:rsidRPr="00197413">
                <w:rPr>
                  <w:rStyle w:val="Hyperlink"/>
                  <w:sz w:val="20"/>
                  <w:lang w:val="fr-CA"/>
                </w:rPr>
                <w:t>2018 MBCA 100</w:t>
              </w:r>
            </w:hyperlink>
            <w:r w:rsidRPr="00197413">
              <w:rPr>
                <w:sz w:val="20"/>
                <w:lang w:val="fr-CA"/>
              </w:rPr>
              <w:t>; AR16</w:t>
            </w:r>
            <w:r w:rsidRPr="00197413">
              <w:rPr>
                <w:sz w:val="20"/>
                <w:lang w:val="fr-CA"/>
              </w:rPr>
              <w:noBreakHyphen/>
              <w:t>30</w:t>
            </w:r>
            <w:r w:rsidRPr="00197413">
              <w:rPr>
                <w:sz w:val="20"/>
                <w:lang w:val="fr-CA"/>
              </w:rPr>
              <w:noBreakHyphen/>
              <w:t>08579</w:t>
            </w:r>
          </w:p>
          <w:p w:rsidR="00C91655" w:rsidRPr="00197413" w:rsidRDefault="00C91655" w:rsidP="00197413">
            <w:pPr>
              <w:jc w:val="both"/>
              <w:rPr>
                <w:sz w:val="20"/>
                <w:lang w:val="fr-CA"/>
              </w:rPr>
            </w:pPr>
          </w:p>
          <w:p w:rsidR="00C91655" w:rsidRPr="00197413" w:rsidRDefault="00C91655" w:rsidP="00197413">
            <w:pPr>
              <w:jc w:val="both"/>
              <w:rPr>
                <w:sz w:val="20"/>
                <w:lang w:val="fr-CA"/>
              </w:rPr>
            </w:pPr>
            <w:r w:rsidRPr="00197413">
              <w:rPr>
                <w:sz w:val="20"/>
                <w:lang w:val="fr-CA"/>
              </w:rPr>
              <w:t>24 octobre 2018</w:t>
            </w:r>
          </w:p>
          <w:p w:rsidR="00C91655" w:rsidRPr="00197413" w:rsidRDefault="00C91655" w:rsidP="00197413">
            <w:pPr>
              <w:jc w:val="both"/>
              <w:rPr>
                <w:sz w:val="20"/>
                <w:lang w:val="fr-CA"/>
              </w:rPr>
            </w:pPr>
            <w:r w:rsidRPr="00197413">
              <w:rPr>
                <w:sz w:val="20"/>
                <w:lang w:val="fr-CA"/>
              </w:rPr>
              <w:t>Cour d’appel du Manitoba</w:t>
            </w:r>
          </w:p>
          <w:p w:rsidR="00C91655" w:rsidRPr="00197413" w:rsidRDefault="00C91655" w:rsidP="00197413">
            <w:pPr>
              <w:jc w:val="both"/>
              <w:rPr>
                <w:sz w:val="20"/>
                <w:lang w:val="fr-CA"/>
              </w:rPr>
            </w:pPr>
            <w:r w:rsidRPr="00197413">
              <w:rPr>
                <w:sz w:val="20"/>
                <w:lang w:val="fr-CA"/>
              </w:rPr>
              <w:t xml:space="preserve">(Juges </w:t>
            </w:r>
            <w:proofErr w:type="spellStart"/>
            <w:r w:rsidRPr="00197413">
              <w:rPr>
                <w:sz w:val="20"/>
                <w:lang w:val="fr-CA"/>
              </w:rPr>
              <w:t>Monnin</w:t>
            </w:r>
            <w:proofErr w:type="spellEnd"/>
            <w:r w:rsidRPr="00197413">
              <w:rPr>
                <w:sz w:val="20"/>
                <w:lang w:val="fr-CA"/>
              </w:rPr>
              <w:t xml:space="preserve">, Steel et </w:t>
            </w:r>
            <w:proofErr w:type="spellStart"/>
            <w:r w:rsidRPr="00197413">
              <w:rPr>
                <w:sz w:val="20"/>
                <w:lang w:val="fr-CA"/>
              </w:rPr>
              <w:t>leMaistre</w:t>
            </w:r>
            <w:proofErr w:type="spellEnd"/>
            <w:r w:rsidRPr="00197413">
              <w:rPr>
                <w:sz w:val="20"/>
                <w:lang w:val="fr-CA"/>
              </w:rPr>
              <w:t>)</w:t>
            </w:r>
          </w:p>
          <w:p w:rsidR="00C91655" w:rsidRPr="00197413" w:rsidRDefault="00C91655" w:rsidP="00197413">
            <w:pPr>
              <w:jc w:val="both"/>
              <w:rPr>
                <w:sz w:val="20"/>
                <w:lang w:val="fr-CA"/>
              </w:rPr>
            </w:pPr>
            <w:hyperlink r:id="rId64" w:history="1">
              <w:r w:rsidRPr="00197413">
                <w:rPr>
                  <w:rStyle w:val="Hyperlink"/>
                  <w:sz w:val="20"/>
                  <w:lang w:val="fr-CA"/>
                </w:rPr>
                <w:t>2018 MBCA 110</w:t>
              </w:r>
            </w:hyperlink>
            <w:r w:rsidRPr="00197413">
              <w:rPr>
                <w:sz w:val="20"/>
                <w:lang w:val="fr-CA"/>
              </w:rPr>
              <w:t>; AR16</w:t>
            </w:r>
            <w:r w:rsidRPr="00197413">
              <w:rPr>
                <w:sz w:val="20"/>
                <w:lang w:val="fr-CA"/>
              </w:rPr>
              <w:noBreakHyphen/>
              <w:t>30</w:t>
            </w:r>
            <w:r w:rsidRPr="00197413">
              <w:rPr>
                <w:sz w:val="20"/>
                <w:lang w:val="fr-CA"/>
              </w:rPr>
              <w:noBreakHyphen/>
              <w:t>08579</w:t>
            </w:r>
          </w:p>
          <w:p w:rsidR="00C91655" w:rsidRPr="00197413" w:rsidRDefault="00C91655" w:rsidP="00197413">
            <w:pPr>
              <w:jc w:val="both"/>
              <w:rPr>
                <w:sz w:val="20"/>
                <w:lang w:val="fr-CA"/>
              </w:rPr>
            </w:pP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Rejet de la motion du demandeur en récusation</w:t>
            </w:r>
          </w:p>
          <w:p w:rsidR="00C91655" w:rsidRPr="00197413" w:rsidRDefault="00C91655" w:rsidP="00197413">
            <w:pPr>
              <w:jc w:val="both"/>
              <w:rPr>
                <w:sz w:val="20"/>
                <w:lang w:val="fr-CA"/>
              </w:rPr>
            </w:pPr>
          </w:p>
          <w:p w:rsidR="00C91655" w:rsidRPr="00197413" w:rsidRDefault="00C91655" w:rsidP="00197413">
            <w:pPr>
              <w:jc w:val="both"/>
              <w:rPr>
                <w:sz w:val="20"/>
                <w:lang w:val="fr-CA"/>
              </w:rPr>
            </w:pPr>
          </w:p>
          <w:p w:rsidR="00C91655" w:rsidRPr="00197413" w:rsidRDefault="00C91655" w:rsidP="00197413">
            <w:pPr>
              <w:jc w:val="both"/>
              <w:rPr>
                <w:sz w:val="20"/>
                <w:lang w:val="fr-CA"/>
              </w:rPr>
            </w:pPr>
          </w:p>
          <w:p w:rsidR="00C91655" w:rsidRPr="00197413" w:rsidRDefault="00C91655" w:rsidP="00197413">
            <w:pPr>
              <w:jc w:val="both"/>
              <w:rPr>
                <w:sz w:val="20"/>
                <w:lang w:val="fr-CA"/>
              </w:rPr>
            </w:pPr>
          </w:p>
          <w:p w:rsidR="00C91655" w:rsidRPr="00197413" w:rsidRDefault="00C91655" w:rsidP="00197413">
            <w:pPr>
              <w:jc w:val="both"/>
              <w:rPr>
                <w:sz w:val="20"/>
                <w:lang w:val="fr-CA"/>
              </w:rPr>
            </w:pPr>
            <w:r w:rsidRPr="00197413">
              <w:rPr>
                <w:sz w:val="20"/>
                <w:lang w:val="fr-CA"/>
              </w:rPr>
              <w:t>Rejet de l’appel de la déclaration de culpabilité</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lastRenderedPageBreak/>
              <w:t>20 décembre 2018</w:t>
            </w:r>
          </w:p>
          <w:p w:rsidR="00C91655" w:rsidRPr="00197413" w:rsidRDefault="00C91655" w:rsidP="00197413">
            <w:pPr>
              <w:jc w:val="both"/>
              <w:rPr>
                <w:sz w:val="20"/>
                <w:lang w:val="fr-CA"/>
              </w:rPr>
            </w:pPr>
            <w:r w:rsidRPr="00197413">
              <w:rPr>
                <w:sz w:val="20"/>
                <w:lang w:val="fr-CA"/>
              </w:rPr>
              <w:t>Cour suprême du Canada</w:t>
            </w:r>
          </w:p>
          <w:p w:rsidR="00C91655" w:rsidRPr="00197413" w:rsidRDefault="00C91655" w:rsidP="00197413">
            <w:pPr>
              <w:jc w:val="both"/>
              <w:rPr>
                <w:sz w:val="20"/>
                <w:lang w:val="fr-CA"/>
              </w:rPr>
            </w:pP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Dépôt de la requête en prorogation du délai de signification et de dépôt de la demande d’autorisation d’appel et de la requête en réunion et de la demande d’autorisation d’appel</w:t>
            </w:r>
          </w:p>
        </w:tc>
      </w:tr>
    </w:tbl>
    <w:p w:rsidR="00C91655" w:rsidRPr="00197413" w:rsidRDefault="00C91655" w:rsidP="00197413">
      <w:pPr>
        <w:jc w:val="both"/>
        <w:rPr>
          <w:sz w:val="20"/>
          <w:lang w:val="fr-CA"/>
        </w:rPr>
      </w:pPr>
    </w:p>
    <w:p w:rsidR="00AE7EB1" w:rsidRDefault="004F1B79" w:rsidP="00197413">
      <w:pPr>
        <w:ind w:left="142" w:hanging="142"/>
        <w:jc w:val="both"/>
        <w:rPr>
          <w:sz w:val="20"/>
          <w:lang w:val="fr-CA"/>
        </w:rPr>
      </w:pPr>
      <w:r>
        <w:rPr>
          <w:sz w:val="20"/>
        </w:rPr>
        <w:pict>
          <v:rect id="_x0000_i1057" style="width:2in;height:1pt" o:hrpct="0" o:hralign="center" o:hrstd="t" o:hrnoshade="t" o:hr="t" fillcolor="black [3213]" stroked="f"/>
        </w:pict>
      </w:r>
    </w:p>
    <w:p w:rsidR="004F1B79" w:rsidRPr="00197413" w:rsidRDefault="004F1B79" w:rsidP="0019741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rPr>
            </w:pPr>
            <w:r w:rsidRPr="00197413">
              <w:rPr>
                <w:rStyle w:val="SCCFileNumberChar"/>
                <w:sz w:val="20"/>
                <w:szCs w:val="20"/>
              </w:rPr>
              <w:t>38452</w:t>
            </w:r>
          </w:p>
        </w:tc>
        <w:tc>
          <w:tcPr>
            <w:tcW w:w="4457" w:type="pct"/>
            <w:gridSpan w:val="3"/>
          </w:tcPr>
          <w:p w:rsidR="00C91655" w:rsidRPr="004F1B79" w:rsidRDefault="00C91655" w:rsidP="00197413">
            <w:pPr>
              <w:pStyle w:val="SCCLsocParty"/>
              <w:jc w:val="both"/>
              <w:rPr>
                <w:b/>
                <w:sz w:val="20"/>
                <w:szCs w:val="20"/>
                <w:lang w:val="en-US"/>
              </w:rPr>
            </w:pPr>
            <w:r w:rsidRPr="004F1B79">
              <w:rPr>
                <w:b/>
                <w:sz w:val="20"/>
                <w:szCs w:val="20"/>
                <w:lang w:val="en-US"/>
              </w:rPr>
              <w:t xml:space="preserve">Douglas Beattie, George </w:t>
            </w:r>
            <w:proofErr w:type="spellStart"/>
            <w:r w:rsidRPr="004F1B79">
              <w:rPr>
                <w:b/>
                <w:sz w:val="20"/>
                <w:szCs w:val="20"/>
                <w:lang w:val="en-US"/>
              </w:rPr>
              <w:t>Luczkiw</w:t>
            </w:r>
            <w:proofErr w:type="spellEnd"/>
            <w:r w:rsidRPr="004F1B79">
              <w:rPr>
                <w:b/>
                <w:sz w:val="20"/>
                <w:szCs w:val="20"/>
                <w:lang w:val="en-US"/>
              </w:rPr>
              <w:t xml:space="preserve"> v. Women's College Hospital</w:t>
            </w:r>
          </w:p>
          <w:p w:rsidR="00C91655" w:rsidRPr="00197413" w:rsidRDefault="00C91655" w:rsidP="00197413">
            <w:pPr>
              <w:jc w:val="both"/>
              <w:rPr>
                <w:sz w:val="20"/>
              </w:rPr>
            </w:pPr>
            <w:r w:rsidRPr="00197413">
              <w:rPr>
                <w:sz w:val="20"/>
              </w:rPr>
              <w:t>(Ont.) (Civil) (By Leave)</w:t>
            </w:r>
          </w:p>
        </w:tc>
      </w:tr>
      <w:tr w:rsidR="00C91655" w:rsidRPr="00197413" w:rsidTr="00C91655">
        <w:tc>
          <w:tcPr>
            <w:tcW w:w="5000" w:type="pct"/>
            <w:gridSpan w:val="4"/>
          </w:tcPr>
          <w:p w:rsidR="00C91655" w:rsidRPr="00197413" w:rsidRDefault="00C91655" w:rsidP="004F1B79">
            <w:pPr>
              <w:jc w:val="both"/>
              <w:rPr>
                <w:sz w:val="20"/>
              </w:rPr>
            </w:pPr>
            <w:r w:rsidRPr="00197413">
              <w:rPr>
                <w:sz w:val="20"/>
              </w:rPr>
              <w:t xml:space="preserve">Employment law — Unjust dismissal — Hospital Board closing urgent care centre in hospital and terminating privileges of two doctors who worked there — What are the common law rights and entitlements of a dependent contractor upon termination? — Is it fair or just to apply s. 44(5) of the </w:t>
            </w:r>
            <w:r w:rsidRPr="00197413">
              <w:rPr>
                <w:i/>
                <w:iCs/>
                <w:sz w:val="20"/>
                <w:lang w:val="en"/>
              </w:rPr>
              <w:t>Public Hospitals Act</w:t>
            </w:r>
            <w:r w:rsidRPr="00197413">
              <w:rPr>
                <w:sz w:val="20"/>
                <w:lang w:val="en"/>
              </w:rPr>
              <w:t>, R.S.O. 1990, c. P.40</w:t>
            </w:r>
            <w:r w:rsidRPr="00197413">
              <w:rPr>
                <w:sz w:val="20"/>
              </w:rPr>
              <w:t xml:space="preserve"> to bar dependent physicians’ reasonable notice claims? — Should statutory provisions exclude newly bestowed common law rights where such rights were not considered in drafting?</w:t>
            </w:r>
          </w:p>
        </w:tc>
      </w:tr>
      <w:tr w:rsidR="00C91655" w:rsidRPr="00197413" w:rsidTr="00C91655">
        <w:tc>
          <w:tcPr>
            <w:tcW w:w="5000" w:type="pct"/>
            <w:gridSpan w:val="4"/>
          </w:tcPr>
          <w:p w:rsidR="00C91655" w:rsidRPr="00197413" w:rsidRDefault="00C91655" w:rsidP="00197413">
            <w:pPr>
              <w:jc w:val="both"/>
              <w:rPr>
                <w:sz w:val="20"/>
              </w:rPr>
            </w:pPr>
          </w:p>
        </w:tc>
      </w:tr>
      <w:tr w:rsidR="00C91655" w:rsidRPr="00197413" w:rsidTr="00C91655">
        <w:tc>
          <w:tcPr>
            <w:tcW w:w="5000" w:type="pct"/>
            <w:gridSpan w:val="4"/>
          </w:tcPr>
          <w:p w:rsidR="00C91655" w:rsidRPr="00197413" w:rsidRDefault="00C91655" w:rsidP="00197413">
            <w:pPr>
              <w:jc w:val="both"/>
              <w:rPr>
                <w:sz w:val="20"/>
              </w:rPr>
            </w:pPr>
            <w:r w:rsidRPr="00197413">
              <w:rPr>
                <w:sz w:val="20"/>
              </w:rPr>
              <w:t>The applicants are doctors who practiced for several years in the respondent hospital’s urgent care centre (“UCC”). Dr. Beattie had worked primarily in the UCC for about 21 years at the time of trial. Dr. </w:t>
            </w:r>
            <w:proofErr w:type="spellStart"/>
            <w:r w:rsidRPr="00197413">
              <w:rPr>
                <w:sz w:val="20"/>
              </w:rPr>
              <w:t>Luczkiw</w:t>
            </w:r>
            <w:proofErr w:type="spellEnd"/>
            <w:r w:rsidRPr="00197413">
              <w:rPr>
                <w:sz w:val="20"/>
              </w:rPr>
              <w:t xml:space="preserve"> had been </w:t>
            </w:r>
            <w:proofErr w:type="spellStart"/>
            <w:r w:rsidRPr="00197413">
              <w:rPr>
                <w:sz w:val="20"/>
              </w:rPr>
              <w:t>practising</w:t>
            </w:r>
            <w:proofErr w:type="spellEnd"/>
            <w:r w:rsidRPr="00197413">
              <w:rPr>
                <w:sz w:val="20"/>
              </w:rPr>
              <w:t xml:space="preserve"> at the UCC for 30 years when it was closed and the privileges of both doctors were terminated. The doctors brought an action for damages for wrongful dismissal against the hospital. Their action was dismissed and that decision was upheld on appeal.</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March 1, 2018</w:t>
            </w:r>
          </w:p>
          <w:p w:rsidR="00C91655" w:rsidRPr="00197413" w:rsidRDefault="00C91655" w:rsidP="00197413">
            <w:pPr>
              <w:jc w:val="both"/>
              <w:rPr>
                <w:sz w:val="20"/>
              </w:rPr>
            </w:pPr>
            <w:r w:rsidRPr="00197413">
              <w:rPr>
                <w:sz w:val="20"/>
              </w:rPr>
              <w:t>Ontario Superior Court of Justice</w:t>
            </w:r>
          </w:p>
          <w:p w:rsidR="00C91655" w:rsidRPr="00197413" w:rsidRDefault="00C91655" w:rsidP="00197413">
            <w:pPr>
              <w:jc w:val="both"/>
              <w:rPr>
                <w:sz w:val="20"/>
              </w:rPr>
            </w:pPr>
            <w:r w:rsidRPr="00197413">
              <w:rPr>
                <w:sz w:val="20"/>
              </w:rPr>
              <w:t>(Ferguson J.)</w:t>
            </w:r>
          </w:p>
          <w:p w:rsidR="00C91655" w:rsidRPr="00197413" w:rsidRDefault="00C91655" w:rsidP="00197413">
            <w:pPr>
              <w:jc w:val="both"/>
              <w:rPr>
                <w:sz w:val="20"/>
              </w:rPr>
            </w:pPr>
            <w:hyperlink r:id="rId65" w:history="1">
              <w:r w:rsidRPr="00197413">
                <w:rPr>
                  <w:rStyle w:val="Hyperlink"/>
                  <w:sz w:val="20"/>
                </w:rPr>
                <w:t>2018 ONSC1852</w:t>
              </w:r>
            </w:hyperlink>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Applicants’ action for damages for wrongful dismissal dismissed as statute-barred</w:t>
            </w:r>
          </w:p>
          <w:p w:rsidR="00C91655" w:rsidRPr="00197413" w:rsidRDefault="00C91655" w:rsidP="00197413">
            <w:pPr>
              <w:jc w:val="both"/>
              <w:rPr>
                <w:sz w:val="20"/>
              </w:rPr>
            </w:pP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October 31, 2018</w:t>
            </w:r>
          </w:p>
          <w:p w:rsidR="00C91655" w:rsidRPr="00197413" w:rsidRDefault="00C91655" w:rsidP="00197413">
            <w:pPr>
              <w:jc w:val="both"/>
              <w:rPr>
                <w:sz w:val="20"/>
              </w:rPr>
            </w:pPr>
            <w:r w:rsidRPr="00197413">
              <w:rPr>
                <w:sz w:val="20"/>
              </w:rPr>
              <w:t>Court of Appeal for Ontario</w:t>
            </w:r>
          </w:p>
          <w:p w:rsidR="00C91655" w:rsidRPr="00197413" w:rsidRDefault="00C91655" w:rsidP="00197413">
            <w:pPr>
              <w:jc w:val="both"/>
              <w:rPr>
                <w:sz w:val="20"/>
              </w:rPr>
            </w:pPr>
            <w:r w:rsidRPr="00197413">
              <w:rPr>
                <w:sz w:val="20"/>
              </w:rPr>
              <w:t>(Hoy, Sharpe and Fairburn JJ.A.)</w:t>
            </w:r>
          </w:p>
          <w:p w:rsidR="00C91655" w:rsidRPr="00197413" w:rsidRDefault="00C91655" w:rsidP="00197413">
            <w:pPr>
              <w:jc w:val="both"/>
              <w:rPr>
                <w:sz w:val="20"/>
              </w:rPr>
            </w:pPr>
            <w:hyperlink r:id="rId66" w:history="1">
              <w:r w:rsidRPr="00197413">
                <w:rPr>
                  <w:rStyle w:val="Hyperlink"/>
                  <w:sz w:val="20"/>
                </w:rPr>
                <w:t>2018 ONCA 872</w:t>
              </w:r>
            </w:hyperlink>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Applicants’ appeal dismissed</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December 21, 2018</w:t>
            </w:r>
          </w:p>
          <w:p w:rsidR="00C91655" w:rsidRPr="00197413" w:rsidRDefault="00C91655" w:rsidP="004F1B79">
            <w:pPr>
              <w:jc w:val="both"/>
              <w:rPr>
                <w:sz w:val="20"/>
              </w:rPr>
            </w:pPr>
            <w:r w:rsidRPr="00197413">
              <w:rPr>
                <w:sz w:val="20"/>
              </w:rPr>
              <w:t>Supreme Court of Canada</w:t>
            </w: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Application for leave to appeal filed</w:t>
            </w:r>
          </w:p>
          <w:p w:rsidR="00C91655" w:rsidRPr="00197413" w:rsidRDefault="00C91655" w:rsidP="00197413">
            <w:pPr>
              <w:jc w:val="both"/>
              <w:rPr>
                <w:sz w:val="20"/>
              </w:rPr>
            </w:pPr>
          </w:p>
        </w:tc>
      </w:tr>
    </w:tbl>
    <w:p w:rsidR="00C91655" w:rsidRPr="00197413" w:rsidRDefault="00C91655" w:rsidP="00197413">
      <w:pPr>
        <w:jc w:val="both"/>
        <w:rPr>
          <w:sz w:val="20"/>
        </w:rPr>
      </w:pPr>
    </w:p>
    <w:p w:rsidR="00AE7EB1" w:rsidRDefault="004F1B79" w:rsidP="00197413">
      <w:pPr>
        <w:ind w:left="142" w:hanging="142"/>
        <w:jc w:val="both"/>
        <w:rPr>
          <w:sz w:val="20"/>
        </w:rPr>
      </w:pPr>
      <w:r>
        <w:rPr>
          <w:sz w:val="20"/>
        </w:rPr>
        <w:pict>
          <v:rect id="_x0000_i1058" style="width:2in;height:1pt" o:hrpct="0" o:hralign="center" o:hrstd="t" o:hrnoshade="t" o:hr="t" fillcolor="black [3213]" stroked="f"/>
        </w:pict>
      </w:r>
    </w:p>
    <w:p w:rsidR="004F1B79" w:rsidRPr="00197413" w:rsidRDefault="004F1B79" w:rsidP="00197413">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lang w:val="fr-CA"/>
              </w:rPr>
            </w:pPr>
            <w:r w:rsidRPr="00197413">
              <w:rPr>
                <w:rStyle w:val="SCCFileNumberChar"/>
                <w:sz w:val="20"/>
                <w:szCs w:val="20"/>
                <w:lang w:val="fr-CA"/>
              </w:rPr>
              <w:t>38452</w:t>
            </w:r>
          </w:p>
        </w:tc>
        <w:tc>
          <w:tcPr>
            <w:tcW w:w="4457" w:type="pct"/>
            <w:gridSpan w:val="3"/>
          </w:tcPr>
          <w:p w:rsidR="00C91655" w:rsidRPr="004F1B79" w:rsidRDefault="00C91655" w:rsidP="00197413">
            <w:pPr>
              <w:pStyle w:val="SCCLsocParty"/>
              <w:jc w:val="both"/>
              <w:rPr>
                <w:b/>
                <w:sz w:val="20"/>
                <w:szCs w:val="20"/>
                <w:lang w:val="en-US"/>
              </w:rPr>
            </w:pPr>
            <w:r w:rsidRPr="004F1B79">
              <w:rPr>
                <w:b/>
                <w:sz w:val="20"/>
                <w:szCs w:val="20"/>
                <w:lang w:val="en-US"/>
              </w:rPr>
              <w:t xml:space="preserve">Douglas Beattie, George </w:t>
            </w:r>
            <w:proofErr w:type="spellStart"/>
            <w:r w:rsidRPr="004F1B79">
              <w:rPr>
                <w:b/>
                <w:sz w:val="20"/>
                <w:szCs w:val="20"/>
                <w:lang w:val="en-US"/>
              </w:rPr>
              <w:t>Luczkiw</w:t>
            </w:r>
            <w:proofErr w:type="spellEnd"/>
            <w:r w:rsidRPr="004F1B79">
              <w:rPr>
                <w:b/>
                <w:sz w:val="20"/>
                <w:szCs w:val="20"/>
                <w:lang w:val="en-US"/>
              </w:rPr>
              <w:t xml:space="preserve"> c. Women's College Hospital</w:t>
            </w:r>
          </w:p>
          <w:p w:rsidR="00C91655" w:rsidRPr="00197413" w:rsidRDefault="00C91655" w:rsidP="00197413">
            <w:pPr>
              <w:jc w:val="both"/>
              <w:rPr>
                <w:sz w:val="20"/>
                <w:lang w:val="fr-CA"/>
              </w:rPr>
            </w:pPr>
            <w:r w:rsidRPr="00197413">
              <w:rPr>
                <w:sz w:val="20"/>
                <w:lang w:val="fr-CA"/>
              </w:rPr>
              <w:t>(Ont.) (Civile) (Autorisation)</w:t>
            </w:r>
          </w:p>
        </w:tc>
      </w:tr>
      <w:tr w:rsidR="00C91655" w:rsidRPr="00197413" w:rsidTr="00C91655">
        <w:tc>
          <w:tcPr>
            <w:tcW w:w="5000" w:type="pct"/>
            <w:gridSpan w:val="4"/>
          </w:tcPr>
          <w:p w:rsidR="00C91655" w:rsidRPr="00197413" w:rsidRDefault="00C91655" w:rsidP="00197413">
            <w:pPr>
              <w:jc w:val="both"/>
              <w:rPr>
                <w:sz w:val="20"/>
                <w:lang w:val="fr-CA"/>
              </w:rPr>
            </w:pPr>
            <w:r w:rsidRPr="00197413">
              <w:rPr>
                <w:sz w:val="20"/>
                <w:lang w:val="fr-CA"/>
              </w:rPr>
              <w:t xml:space="preserve">Droit de l’emploi — Congédiement injustifié — Le conseil d’un hôpital a fermé le centre de soins d’urgence de l’établissement et a mis fin aux droits hospitaliers de deux médecins qui y travaillaient — Quels sont les droits que confère la common law à l’entrepreneur dépendant en cas de congédiement? — Est-il équitable ou juste d’appliquer le par. 44(5) de la </w:t>
            </w:r>
            <w:r w:rsidRPr="00197413">
              <w:rPr>
                <w:i/>
                <w:iCs/>
                <w:sz w:val="20"/>
                <w:lang w:val="fr-CA"/>
              </w:rPr>
              <w:t>Loi sur les hôpitaux publics</w:t>
            </w:r>
            <w:r w:rsidRPr="00197413">
              <w:rPr>
                <w:sz w:val="20"/>
                <w:lang w:val="fr-CA"/>
              </w:rPr>
              <w:t xml:space="preserve">, L.R.O. 1990, ch. P.40 pour rendre irrecevables les demandes de </w:t>
            </w:r>
            <w:r w:rsidRPr="00197413">
              <w:rPr>
                <w:sz w:val="20"/>
                <w:lang w:val="fr-CA"/>
              </w:rPr>
              <w:lastRenderedPageBreak/>
              <w:t>préavis raisonnable de médecins dépendants? — Les dispositions de la loi devraient-elles exclure des droits de common law nouvellement conférés lorsque ces droits n’ont pas été pris en compte dans la rédaction?</w:t>
            </w:r>
          </w:p>
        </w:tc>
      </w:tr>
      <w:tr w:rsidR="00C91655" w:rsidRPr="00197413" w:rsidTr="00C91655">
        <w:tc>
          <w:tcPr>
            <w:tcW w:w="5000" w:type="pct"/>
            <w:gridSpan w:val="4"/>
          </w:tcPr>
          <w:p w:rsidR="00C91655" w:rsidRPr="00197413" w:rsidRDefault="00C91655" w:rsidP="00197413">
            <w:pPr>
              <w:jc w:val="both"/>
              <w:rPr>
                <w:sz w:val="20"/>
                <w:lang w:val="fr-CA"/>
              </w:rPr>
            </w:pPr>
          </w:p>
        </w:tc>
      </w:tr>
      <w:tr w:rsidR="00C91655" w:rsidRPr="00197413" w:rsidTr="00C91655">
        <w:tc>
          <w:tcPr>
            <w:tcW w:w="5000" w:type="pct"/>
            <w:gridSpan w:val="4"/>
          </w:tcPr>
          <w:p w:rsidR="00C91655" w:rsidRPr="00197413" w:rsidRDefault="00C91655" w:rsidP="00197413">
            <w:pPr>
              <w:jc w:val="both"/>
              <w:rPr>
                <w:sz w:val="20"/>
                <w:lang w:val="fr-CA"/>
              </w:rPr>
            </w:pPr>
            <w:r w:rsidRPr="00197413">
              <w:rPr>
                <w:sz w:val="20"/>
                <w:lang w:val="fr-CA"/>
              </w:rPr>
              <w:t>Les demandeurs, qui sont médecins, ont exercé leur profession pendant plusieurs années dans le centre de soins d’urgence (« CSU ») de l’hôpital intimé. Le Dr Beattie avait travaillé principalement au CSU pendant environ vingt-et-un ans au moment du procès. Le Dr Luczkiw avait exercé sa profession au CSU pendant trente ans lorsque celui-ci a été fermé et les droits hospitaliers des deux médecins ont été résiliés. Les médecins ont intenté contre l’hôpital une action en dommages</w:t>
            </w:r>
            <w:r w:rsidRPr="00197413">
              <w:rPr>
                <w:sz w:val="20"/>
                <w:lang w:val="fr-CA"/>
              </w:rPr>
              <w:noBreakHyphen/>
              <w:t>intérêts pour congédiement injustifié. Leur action a été rejetée et cette décision a été confirmée en appel.</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1</w:t>
            </w:r>
            <w:r w:rsidRPr="00197413">
              <w:rPr>
                <w:sz w:val="20"/>
                <w:vertAlign w:val="superscript"/>
                <w:lang w:val="fr-CA"/>
              </w:rPr>
              <w:t>er</w:t>
            </w:r>
            <w:r w:rsidRPr="00197413">
              <w:rPr>
                <w:sz w:val="20"/>
                <w:lang w:val="fr-CA"/>
              </w:rPr>
              <w:t> mars 2018</w:t>
            </w:r>
          </w:p>
          <w:p w:rsidR="00C91655" w:rsidRPr="00197413" w:rsidRDefault="00C91655" w:rsidP="00197413">
            <w:pPr>
              <w:jc w:val="both"/>
              <w:rPr>
                <w:sz w:val="20"/>
                <w:lang w:val="fr-CA"/>
              </w:rPr>
            </w:pPr>
            <w:r w:rsidRPr="00197413">
              <w:rPr>
                <w:sz w:val="20"/>
                <w:lang w:val="fr-CA"/>
              </w:rPr>
              <w:t>Cour supérieure de justice de l’Ontario</w:t>
            </w:r>
          </w:p>
          <w:p w:rsidR="00C91655" w:rsidRPr="00197413" w:rsidRDefault="00C91655" w:rsidP="00197413">
            <w:pPr>
              <w:jc w:val="both"/>
              <w:rPr>
                <w:sz w:val="20"/>
                <w:lang w:val="fr-CA"/>
              </w:rPr>
            </w:pPr>
            <w:r w:rsidRPr="00197413">
              <w:rPr>
                <w:sz w:val="20"/>
                <w:lang w:val="fr-CA"/>
              </w:rPr>
              <w:t>(Juge Ferguson)</w:t>
            </w:r>
          </w:p>
          <w:p w:rsidR="00C91655" w:rsidRPr="00197413" w:rsidRDefault="00C91655" w:rsidP="00197413">
            <w:pPr>
              <w:jc w:val="both"/>
              <w:rPr>
                <w:sz w:val="20"/>
                <w:lang w:val="fr-CA"/>
              </w:rPr>
            </w:pPr>
            <w:hyperlink r:id="rId67" w:history="1">
              <w:r w:rsidRPr="00197413">
                <w:rPr>
                  <w:rStyle w:val="Hyperlink"/>
                  <w:sz w:val="20"/>
                  <w:lang w:val="fr-CA"/>
                </w:rPr>
                <w:t>2018 ONSC1852</w:t>
              </w:r>
            </w:hyperlink>
          </w:p>
          <w:p w:rsidR="00C91655" w:rsidRPr="00197413" w:rsidRDefault="00C91655" w:rsidP="00197413">
            <w:pPr>
              <w:jc w:val="both"/>
              <w:rPr>
                <w:sz w:val="20"/>
                <w:lang w:val="fr-CA"/>
              </w:rPr>
            </w:pP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Rejet pour cause d’irrecevabilité de l’action en dommages</w:t>
            </w:r>
            <w:r w:rsidRPr="00197413">
              <w:rPr>
                <w:sz w:val="20"/>
                <w:lang w:val="fr-CA"/>
              </w:rPr>
              <w:noBreakHyphen/>
              <w:t>intérêts pour congédiement injustifié</w:t>
            </w:r>
          </w:p>
          <w:p w:rsidR="00C91655" w:rsidRPr="00197413" w:rsidRDefault="00C91655" w:rsidP="00197413">
            <w:pPr>
              <w:jc w:val="both"/>
              <w:rPr>
                <w:sz w:val="20"/>
                <w:lang w:val="fr-CA"/>
              </w:rPr>
            </w:pP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31 octobre 2018</w:t>
            </w:r>
          </w:p>
          <w:p w:rsidR="00C91655" w:rsidRPr="00197413" w:rsidRDefault="00C91655" w:rsidP="00197413">
            <w:pPr>
              <w:jc w:val="both"/>
              <w:rPr>
                <w:sz w:val="20"/>
                <w:lang w:val="fr-CA"/>
              </w:rPr>
            </w:pPr>
            <w:r w:rsidRPr="00197413">
              <w:rPr>
                <w:sz w:val="20"/>
                <w:lang w:val="fr-CA"/>
              </w:rPr>
              <w:t>Cour d’appel de l’Ontario</w:t>
            </w:r>
          </w:p>
          <w:p w:rsidR="00C91655" w:rsidRPr="00197413" w:rsidRDefault="00C91655" w:rsidP="00197413">
            <w:pPr>
              <w:jc w:val="both"/>
              <w:rPr>
                <w:sz w:val="20"/>
                <w:lang w:val="fr-CA"/>
              </w:rPr>
            </w:pPr>
            <w:r w:rsidRPr="00197413">
              <w:rPr>
                <w:sz w:val="20"/>
                <w:lang w:val="fr-CA"/>
              </w:rPr>
              <w:t>(Juges Hoy, Sharpe et Fairburn)</w:t>
            </w:r>
          </w:p>
          <w:p w:rsidR="00C91655" w:rsidRPr="00197413" w:rsidRDefault="00C91655" w:rsidP="00197413">
            <w:pPr>
              <w:jc w:val="both"/>
              <w:rPr>
                <w:sz w:val="20"/>
                <w:lang w:val="fr-CA"/>
              </w:rPr>
            </w:pPr>
            <w:hyperlink r:id="rId68" w:history="1">
              <w:r w:rsidRPr="00197413">
                <w:rPr>
                  <w:rStyle w:val="Hyperlink"/>
                  <w:sz w:val="20"/>
                  <w:lang w:val="fr-CA"/>
                </w:rPr>
                <w:t>2018 ONCA 872</w:t>
              </w:r>
            </w:hyperlink>
          </w:p>
          <w:p w:rsidR="00C91655" w:rsidRPr="00197413" w:rsidRDefault="00C91655" w:rsidP="00197413">
            <w:pPr>
              <w:jc w:val="both"/>
              <w:rPr>
                <w:sz w:val="20"/>
                <w:lang w:val="fr-CA"/>
              </w:rPr>
            </w:pP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Rejet de l’appel des demandeurs</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21 décembre 2018</w:t>
            </w:r>
          </w:p>
          <w:p w:rsidR="00C91655" w:rsidRPr="00197413" w:rsidRDefault="00C91655" w:rsidP="004F1B79">
            <w:pPr>
              <w:jc w:val="both"/>
              <w:rPr>
                <w:sz w:val="20"/>
                <w:lang w:val="fr-CA"/>
              </w:rPr>
            </w:pPr>
            <w:r w:rsidRPr="00197413">
              <w:rPr>
                <w:sz w:val="20"/>
                <w:lang w:val="fr-CA"/>
              </w:rPr>
              <w:t>Cour suprême du Canada</w:t>
            </w: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Dépôt de la demande d’autorisation d’appel</w:t>
            </w:r>
          </w:p>
          <w:p w:rsidR="00C91655" w:rsidRPr="00197413" w:rsidRDefault="00C91655" w:rsidP="00197413">
            <w:pPr>
              <w:jc w:val="both"/>
              <w:rPr>
                <w:sz w:val="20"/>
                <w:lang w:val="fr-CA"/>
              </w:rPr>
            </w:pPr>
          </w:p>
        </w:tc>
      </w:tr>
    </w:tbl>
    <w:p w:rsidR="00C91655" w:rsidRDefault="00C91655" w:rsidP="00197413">
      <w:pPr>
        <w:jc w:val="both"/>
        <w:rPr>
          <w:sz w:val="20"/>
          <w:lang w:val="fr-CA"/>
        </w:rPr>
      </w:pPr>
    </w:p>
    <w:p w:rsidR="004F1B79" w:rsidRPr="00197413" w:rsidRDefault="004F1B79" w:rsidP="00197413">
      <w:pPr>
        <w:jc w:val="both"/>
        <w:rPr>
          <w:sz w:val="20"/>
          <w:lang w:val="fr-CA"/>
        </w:rPr>
      </w:pPr>
      <w:r>
        <w:rPr>
          <w:sz w:val="20"/>
        </w:rPr>
        <w:pict>
          <v:rect id="_x0000_i1059" style="width:2in;height:1pt" o:hrpct="0" o:hralign="center" o:hrstd="t" o:hrnoshade="t" o:hr="t" fillcolor="black [3213]" stroked="f"/>
        </w:pict>
      </w:r>
    </w:p>
    <w:p w:rsidR="00AE7EB1" w:rsidRPr="00197413" w:rsidRDefault="00AE7EB1" w:rsidP="0019741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rPr>
            </w:pPr>
            <w:r w:rsidRPr="00197413">
              <w:rPr>
                <w:rStyle w:val="SCCFileNumberChar"/>
                <w:sz w:val="20"/>
                <w:szCs w:val="20"/>
              </w:rPr>
              <w:t>38400</w:t>
            </w:r>
          </w:p>
        </w:tc>
        <w:tc>
          <w:tcPr>
            <w:tcW w:w="4457" w:type="pct"/>
            <w:gridSpan w:val="3"/>
          </w:tcPr>
          <w:p w:rsidR="00C91655" w:rsidRPr="004F1B79" w:rsidRDefault="00C91655" w:rsidP="00197413">
            <w:pPr>
              <w:pStyle w:val="SCCLsocParty"/>
              <w:jc w:val="both"/>
              <w:rPr>
                <w:b/>
                <w:sz w:val="20"/>
                <w:szCs w:val="20"/>
                <w:lang w:val="en-US"/>
              </w:rPr>
            </w:pPr>
            <w:r w:rsidRPr="004F1B79">
              <w:rPr>
                <w:b/>
                <w:sz w:val="20"/>
                <w:szCs w:val="20"/>
                <w:lang w:val="en-US"/>
              </w:rPr>
              <w:t>Newfoundland and Labrador Teachers' Association, as representative of its members who are Third Parties to a request as defined under the Access to Information and Protection Act, 2015 v. Her Majesty the Queen in Right of Newfoundland and Labrador, School Board for Newfoundland and Labrador, Information and Privacy Commissioner of Newfoundland and Labrador</w:t>
            </w:r>
          </w:p>
          <w:p w:rsidR="00C91655" w:rsidRPr="00197413" w:rsidRDefault="00C91655" w:rsidP="00197413">
            <w:pPr>
              <w:jc w:val="both"/>
              <w:rPr>
                <w:sz w:val="20"/>
              </w:rPr>
            </w:pPr>
            <w:r w:rsidRPr="00197413">
              <w:rPr>
                <w:sz w:val="20"/>
              </w:rPr>
              <w:t>(N.L.) (Civil) (By Leave)</w:t>
            </w:r>
          </w:p>
        </w:tc>
      </w:tr>
      <w:tr w:rsidR="00C91655" w:rsidRPr="00197413" w:rsidTr="00C91655">
        <w:tc>
          <w:tcPr>
            <w:tcW w:w="5000" w:type="pct"/>
            <w:gridSpan w:val="4"/>
          </w:tcPr>
          <w:p w:rsidR="00C91655" w:rsidRDefault="00C91655" w:rsidP="004F1B79">
            <w:pPr>
              <w:pStyle w:val="level11"/>
              <w:shd w:val="clear" w:color="auto" w:fill="FFFFFF"/>
              <w:spacing w:before="0" w:after="0"/>
              <w:jc w:val="both"/>
              <w:rPr>
                <w:sz w:val="20"/>
                <w:szCs w:val="20"/>
              </w:rPr>
            </w:pPr>
            <w:r w:rsidRPr="00197413">
              <w:rPr>
                <w:sz w:val="20"/>
                <w:szCs w:val="20"/>
              </w:rPr>
              <w:t>Access to Information —</w:t>
            </w:r>
            <w:r w:rsidRPr="00197413">
              <w:rPr>
                <w:sz w:val="20"/>
                <w:szCs w:val="20"/>
                <w:lang w:val="en"/>
              </w:rPr>
              <w:t xml:space="preserve"> Request for disclosure of information under the </w:t>
            </w:r>
            <w:r w:rsidRPr="00197413">
              <w:rPr>
                <w:i/>
                <w:sz w:val="20"/>
                <w:szCs w:val="20"/>
              </w:rPr>
              <w:t>Access to Information and Protection of Privacy Act</w:t>
            </w:r>
            <w:r w:rsidRPr="00197413">
              <w:rPr>
                <w:sz w:val="20"/>
                <w:szCs w:val="20"/>
              </w:rPr>
              <w:t xml:space="preserve"> — Principles applicable — Whether the public has a legitimate and significant interest in the identities of people who receive public money — How should courts balance contrasting elements of the dual purposes of the </w:t>
            </w:r>
            <w:r w:rsidRPr="00197413">
              <w:rPr>
                <w:i/>
                <w:sz w:val="20"/>
                <w:szCs w:val="20"/>
              </w:rPr>
              <w:t xml:space="preserve">Act </w:t>
            </w:r>
            <w:r w:rsidRPr="00197413">
              <w:rPr>
                <w:sz w:val="20"/>
                <w:szCs w:val="20"/>
              </w:rPr>
              <w:t>namely ‘public access’, and ‘protection of privacy’ — How should courts protect personal information and what constitutes an unreasonable invasion of personal privacy in Canada.</w:t>
            </w:r>
          </w:p>
          <w:p w:rsidR="004F1B79" w:rsidRPr="00197413" w:rsidRDefault="004F1B79" w:rsidP="004F1B79">
            <w:pPr>
              <w:pStyle w:val="level11"/>
              <w:shd w:val="clear" w:color="auto" w:fill="FFFFFF"/>
              <w:spacing w:before="0" w:after="0"/>
              <w:jc w:val="both"/>
              <w:rPr>
                <w:sz w:val="20"/>
                <w:szCs w:val="20"/>
              </w:rPr>
            </w:pPr>
          </w:p>
        </w:tc>
      </w:tr>
      <w:tr w:rsidR="00C91655" w:rsidRPr="00197413" w:rsidTr="00C91655">
        <w:tc>
          <w:tcPr>
            <w:tcW w:w="5000" w:type="pct"/>
            <w:gridSpan w:val="4"/>
          </w:tcPr>
          <w:p w:rsidR="00C91655" w:rsidRPr="00197413" w:rsidRDefault="00C91655" w:rsidP="00197413">
            <w:pPr>
              <w:jc w:val="both"/>
              <w:rPr>
                <w:sz w:val="20"/>
                <w:lang w:val="en"/>
              </w:rPr>
            </w:pPr>
            <w:r w:rsidRPr="00197413">
              <w:rPr>
                <w:sz w:val="20"/>
              </w:rPr>
              <w:t xml:space="preserve">A </w:t>
            </w:r>
            <w:r w:rsidRPr="00197413">
              <w:rPr>
                <w:sz w:val="20"/>
                <w:lang w:val="en"/>
              </w:rPr>
              <w:t xml:space="preserve">local journalist requested the “name, job title and corresponding taxable income for the 2015 tax year for all English School District employees earning more than $100,000”. After evaluating the request, the English School District notified the affected employees that, subject to any appeal, it would disclose the information under the </w:t>
            </w:r>
            <w:r w:rsidRPr="00197413">
              <w:rPr>
                <w:i/>
                <w:sz w:val="20"/>
              </w:rPr>
              <w:t>Access to Information and Protection of Privacy Act</w:t>
            </w:r>
            <w:r w:rsidRPr="00197413">
              <w:rPr>
                <w:sz w:val="20"/>
              </w:rPr>
              <w:t>, 2015, SNL 2015, c. A</w:t>
            </w:r>
            <w:r w:rsidRPr="00197413">
              <w:rPr>
                <w:sz w:val="20"/>
              </w:rPr>
              <w:noBreakHyphen/>
              <w:t xml:space="preserve">1.2. </w:t>
            </w:r>
            <w:r w:rsidRPr="00197413">
              <w:rPr>
                <w:sz w:val="20"/>
                <w:lang w:val="en"/>
              </w:rPr>
              <w:t xml:space="preserve">The applicant appealed the decision. Butler J. allowed the appeal, and denied the </w:t>
            </w:r>
            <w:r w:rsidRPr="00197413">
              <w:rPr>
                <w:sz w:val="20"/>
              </w:rPr>
              <w:t xml:space="preserve">request for disclosure pursuant to the </w:t>
            </w:r>
            <w:r w:rsidRPr="00197413">
              <w:rPr>
                <w:i/>
                <w:sz w:val="20"/>
              </w:rPr>
              <w:t>Act</w:t>
            </w:r>
            <w:r w:rsidRPr="00197413">
              <w:rPr>
                <w:sz w:val="20"/>
              </w:rPr>
              <w:t xml:space="preserve">. A majority of the Court of Appeal </w:t>
            </w:r>
            <w:r w:rsidRPr="00197413">
              <w:rPr>
                <w:sz w:val="20"/>
                <w:lang w:val="en"/>
              </w:rPr>
              <w:t>set aside the decision of Butler J. and restored the decision of the English School Board requiring disclosure of the names.</w:t>
            </w:r>
            <w:r w:rsidRPr="00197413">
              <w:rPr>
                <w:sz w:val="20"/>
              </w:rPr>
              <w:t xml:space="preserve"> Welsh J.A., dissenting, would have held</w:t>
            </w:r>
            <w:r w:rsidRPr="00197413">
              <w:rPr>
                <w:sz w:val="20"/>
                <w:lang w:val="en"/>
              </w:rPr>
              <w:t xml:space="preserve"> the </w:t>
            </w:r>
            <w:r w:rsidRPr="00197413">
              <w:rPr>
                <w:i/>
                <w:iCs/>
                <w:sz w:val="20"/>
                <w:lang w:val="en"/>
              </w:rPr>
              <w:t>Act</w:t>
            </w:r>
            <w:r w:rsidRPr="00197413">
              <w:rPr>
                <w:sz w:val="20"/>
                <w:lang w:val="en"/>
              </w:rPr>
              <w:t xml:space="preserve"> precluded disclosure of the names.</w:t>
            </w:r>
          </w:p>
        </w:tc>
      </w:tr>
      <w:tr w:rsidR="00C91655" w:rsidRPr="00197413" w:rsidTr="00C91655">
        <w:tc>
          <w:tcPr>
            <w:tcW w:w="5000" w:type="pct"/>
            <w:gridSpan w:val="4"/>
          </w:tcPr>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December 22, 2016</w:t>
            </w:r>
          </w:p>
          <w:p w:rsidR="00C91655" w:rsidRPr="00197413" w:rsidRDefault="00C91655" w:rsidP="00197413">
            <w:pPr>
              <w:jc w:val="both"/>
              <w:rPr>
                <w:sz w:val="20"/>
              </w:rPr>
            </w:pPr>
            <w:r w:rsidRPr="00197413">
              <w:rPr>
                <w:sz w:val="20"/>
              </w:rPr>
              <w:t>Supreme Court of Newfoundland &amp; Labrador, Trial Division</w:t>
            </w:r>
          </w:p>
          <w:p w:rsidR="00C91655" w:rsidRPr="00197413" w:rsidRDefault="00C91655" w:rsidP="00197413">
            <w:pPr>
              <w:jc w:val="both"/>
              <w:rPr>
                <w:sz w:val="20"/>
              </w:rPr>
            </w:pPr>
            <w:r w:rsidRPr="00197413">
              <w:rPr>
                <w:sz w:val="20"/>
              </w:rPr>
              <w:t>(Butler J.)</w:t>
            </w:r>
          </w:p>
          <w:p w:rsidR="00C91655" w:rsidRPr="00197413" w:rsidRDefault="00C91655" w:rsidP="00197413">
            <w:pPr>
              <w:jc w:val="both"/>
              <w:rPr>
                <w:sz w:val="20"/>
              </w:rPr>
            </w:pPr>
            <w:hyperlink r:id="rId69" w:history="1">
              <w:r w:rsidRPr="00197413">
                <w:rPr>
                  <w:rStyle w:val="Hyperlink"/>
                  <w:sz w:val="20"/>
                </w:rPr>
                <w:t>2016 NLTD(G) 211</w:t>
              </w:r>
            </w:hyperlink>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 xml:space="preserve">Ruling: request for disclosure pursuant to </w:t>
            </w:r>
            <w:r w:rsidRPr="00197413">
              <w:rPr>
                <w:i/>
                <w:sz w:val="20"/>
              </w:rPr>
              <w:t>Access to Information and Protection of Privacy Act</w:t>
            </w:r>
            <w:r w:rsidRPr="00197413">
              <w:rPr>
                <w:sz w:val="20"/>
              </w:rPr>
              <w:t xml:space="preserve"> denied</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lastRenderedPageBreak/>
              <w:t>September 17, 2018</w:t>
            </w:r>
          </w:p>
          <w:p w:rsidR="00C91655" w:rsidRPr="00197413" w:rsidRDefault="00C91655" w:rsidP="00197413">
            <w:pPr>
              <w:jc w:val="both"/>
              <w:rPr>
                <w:sz w:val="20"/>
              </w:rPr>
            </w:pPr>
            <w:r w:rsidRPr="00197413">
              <w:rPr>
                <w:sz w:val="20"/>
              </w:rPr>
              <w:t>Court of Appeal of Newfoundland and Labrador</w:t>
            </w:r>
          </w:p>
          <w:p w:rsidR="00C91655" w:rsidRPr="00197413" w:rsidRDefault="00C91655" w:rsidP="00197413">
            <w:pPr>
              <w:jc w:val="both"/>
              <w:rPr>
                <w:sz w:val="20"/>
              </w:rPr>
            </w:pPr>
            <w:r w:rsidRPr="00197413">
              <w:rPr>
                <w:sz w:val="20"/>
              </w:rPr>
              <w:t>(White and Hoegg JJ.A., and Welsh J.A.(dissenting))</w:t>
            </w:r>
          </w:p>
          <w:p w:rsidR="00C91655" w:rsidRPr="00197413" w:rsidRDefault="00C91655" w:rsidP="00197413">
            <w:pPr>
              <w:jc w:val="both"/>
              <w:rPr>
                <w:sz w:val="20"/>
              </w:rPr>
            </w:pPr>
            <w:hyperlink r:id="rId70" w:history="1">
              <w:r w:rsidRPr="00197413">
                <w:rPr>
                  <w:rStyle w:val="Hyperlink"/>
                  <w:sz w:val="20"/>
                </w:rPr>
                <w:t>2018 NLCA 54</w:t>
              </w:r>
            </w:hyperlink>
            <w:r w:rsidRPr="00197413">
              <w:rPr>
                <w:rStyle w:val="Hyperlink"/>
                <w:sz w:val="20"/>
              </w:rPr>
              <w:t xml:space="preserve">; </w:t>
            </w:r>
            <w:r w:rsidRPr="00197413">
              <w:rPr>
                <w:sz w:val="20"/>
              </w:rPr>
              <w:t>201701H0010</w:t>
            </w:r>
          </w:p>
          <w:p w:rsidR="00C91655" w:rsidRPr="00197413" w:rsidRDefault="00C91655" w:rsidP="00197413">
            <w:pPr>
              <w:jc w:val="both"/>
              <w:rPr>
                <w:sz w:val="20"/>
              </w:rPr>
            </w:pP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 xml:space="preserve">Appeal allowed: request for disclosure pursuant to </w:t>
            </w:r>
            <w:r w:rsidRPr="00197413">
              <w:rPr>
                <w:i/>
                <w:sz w:val="20"/>
              </w:rPr>
              <w:t>Access to Information and Protection of Privacy Act</w:t>
            </w:r>
            <w:r w:rsidRPr="00197413">
              <w:rPr>
                <w:sz w:val="20"/>
              </w:rPr>
              <w:t xml:space="preserve"> granted</w:t>
            </w:r>
          </w:p>
          <w:p w:rsidR="00C91655" w:rsidRPr="00197413" w:rsidRDefault="00C91655" w:rsidP="00197413">
            <w:pPr>
              <w:jc w:val="both"/>
              <w:rPr>
                <w:sz w:val="20"/>
              </w:rPr>
            </w:pPr>
          </w:p>
        </w:tc>
      </w:tr>
      <w:tr w:rsidR="00C91655" w:rsidRPr="00197413" w:rsidTr="00C91655">
        <w:tc>
          <w:tcPr>
            <w:tcW w:w="2427" w:type="pct"/>
            <w:gridSpan w:val="2"/>
          </w:tcPr>
          <w:p w:rsidR="00C91655" w:rsidRPr="00197413" w:rsidRDefault="00C91655" w:rsidP="00197413">
            <w:pPr>
              <w:jc w:val="both"/>
              <w:rPr>
                <w:sz w:val="20"/>
              </w:rPr>
            </w:pPr>
            <w:r w:rsidRPr="00197413">
              <w:rPr>
                <w:sz w:val="20"/>
              </w:rPr>
              <w:t>November 16, 2018</w:t>
            </w:r>
          </w:p>
          <w:p w:rsidR="00C91655" w:rsidRPr="00197413" w:rsidRDefault="00C91655" w:rsidP="00197413">
            <w:pPr>
              <w:jc w:val="both"/>
              <w:rPr>
                <w:sz w:val="20"/>
              </w:rPr>
            </w:pPr>
            <w:r w:rsidRPr="00197413">
              <w:rPr>
                <w:sz w:val="20"/>
              </w:rPr>
              <w:t>Supreme Court of Canada</w:t>
            </w:r>
          </w:p>
        </w:tc>
        <w:tc>
          <w:tcPr>
            <w:tcW w:w="243" w:type="pct"/>
          </w:tcPr>
          <w:p w:rsidR="00C91655" w:rsidRPr="00197413" w:rsidRDefault="00C91655" w:rsidP="00197413">
            <w:pPr>
              <w:jc w:val="both"/>
              <w:rPr>
                <w:sz w:val="20"/>
              </w:rPr>
            </w:pPr>
          </w:p>
        </w:tc>
        <w:tc>
          <w:tcPr>
            <w:tcW w:w="2330" w:type="pct"/>
          </w:tcPr>
          <w:p w:rsidR="00C91655" w:rsidRPr="00197413" w:rsidRDefault="00C91655" w:rsidP="00197413">
            <w:pPr>
              <w:jc w:val="both"/>
              <w:rPr>
                <w:sz w:val="20"/>
              </w:rPr>
            </w:pPr>
            <w:r w:rsidRPr="00197413">
              <w:rPr>
                <w:sz w:val="20"/>
              </w:rPr>
              <w:t>Application for leave to appeal filed</w:t>
            </w:r>
          </w:p>
          <w:p w:rsidR="00C91655" w:rsidRPr="00197413" w:rsidRDefault="00C91655" w:rsidP="00197413">
            <w:pPr>
              <w:jc w:val="both"/>
              <w:rPr>
                <w:sz w:val="20"/>
              </w:rPr>
            </w:pPr>
          </w:p>
        </w:tc>
      </w:tr>
    </w:tbl>
    <w:p w:rsidR="00C91655" w:rsidRDefault="00C91655" w:rsidP="00197413">
      <w:pPr>
        <w:jc w:val="both"/>
        <w:rPr>
          <w:sz w:val="20"/>
        </w:rPr>
      </w:pPr>
    </w:p>
    <w:p w:rsidR="004F1B79" w:rsidRPr="00197413" w:rsidRDefault="004F1B79" w:rsidP="00197413">
      <w:pPr>
        <w:jc w:val="both"/>
        <w:rPr>
          <w:sz w:val="20"/>
        </w:rPr>
      </w:pPr>
      <w:r>
        <w:rPr>
          <w:sz w:val="20"/>
        </w:rPr>
        <w:pict>
          <v:rect id="_x0000_i1062" style="width:2in;height:1pt" o:hrpct="0" o:hralign="center" o:hrstd="t" o:hrnoshade="t" o:hr="t" fillcolor="black [3213]" stroked="f"/>
        </w:pict>
      </w:r>
    </w:p>
    <w:p w:rsidR="00AE7EB1" w:rsidRPr="00197413" w:rsidRDefault="00AE7EB1" w:rsidP="00197413">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655" w:rsidRPr="00197413" w:rsidTr="00C91655">
        <w:tc>
          <w:tcPr>
            <w:tcW w:w="543" w:type="pct"/>
          </w:tcPr>
          <w:p w:rsidR="00C91655" w:rsidRPr="00197413" w:rsidRDefault="00C91655" w:rsidP="00197413">
            <w:pPr>
              <w:jc w:val="both"/>
              <w:rPr>
                <w:sz w:val="20"/>
                <w:lang w:val="fr-CA"/>
              </w:rPr>
            </w:pPr>
            <w:r w:rsidRPr="00197413">
              <w:rPr>
                <w:rStyle w:val="SCCFileNumberChar"/>
                <w:sz w:val="20"/>
                <w:szCs w:val="20"/>
                <w:lang w:val="fr-CA"/>
              </w:rPr>
              <w:t>38400</w:t>
            </w:r>
          </w:p>
        </w:tc>
        <w:tc>
          <w:tcPr>
            <w:tcW w:w="4457" w:type="pct"/>
            <w:gridSpan w:val="3"/>
          </w:tcPr>
          <w:p w:rsidR="00C91655" w:rsidRPr="009E274F" w:rsidRDefault="00C91655" w:rsidP="00197413">
            <w:pPr>
              <w:pStyle w:val="SCCLsocParty"/>
              <w:jc w:val="both"/>
              <w:rPr>
                <w:b/>
                <w:sz w:val="20"/>
                <w:szCs w:val="20"/>
              </w:rPr>
            </w:pPr>
            <w:r w:rsidRPr="009E274F">
              <w:rPr>
                <w:b/>
                <w:sz w:val="20"/>
                <w:szCs w:val="20"/>
              </w:rPr>
              <w:t xml:space="preserve">Newfoundland and Labrador </w:t>
            </w:r>
            <w:proofErr w:type="spellStart"/>
            <w:r w:rsidRPr="009E274F">
              <w:rPr>
                <w:b/>
                <w:sz w:val="20"/>
                <w:szCs w:val="20"/>
              </w:rPr>
              <w:t>Teachers</w:t>
            </w:r>
            <w:proofErr w:type="spellEnd"/>
            <w:r w:rsidRPr="009E274F">
              <w:rPr>
                <w:b/>
                <w:sz w:val="20"/>
                <w:szCs w:val="20"/>
              </w:rPr>
              <w:t>' Association, à titre de représentante de ses membres qui sont des tiers à une demande au sens de l’Access to Information and Protection Act, 2015 c. Sa Majesté la Reine du chef de Terre-Neuve-et-Labrador, School Board for Newfoundland and Labrador, Information and Privacy Commissioner of Newfoundland and Labrador</w:t>
            </w:r>
          </w:p>
          <w:p w:rsidR="00C91655" w:rsidRPr="00197413" w:rsidRDefault="00C91655" w:rsidP="009E274F">
            <w:pPr>
              <w:jc w:val="both"/>
              <w:rPr>
                <w:sz w:val="20"/>
                <w:lang w:val="fr-CA"/>
              </w:rPr>
            </w:pPr>
            <w:r w:rsidRPr="00197413">
              <w:rPr>
                <w:sz w:val="20"/>
                <w:lang w:val="fr-CA"/>
              </w:rPr>
              <w:t>(T.</w:t>
            </w:r>
            <w:r w:rsidRPr="00197413">
              <w:rPr>
                <w:sz w:val="20"/>
                <w:lang w:val="fr-CA"/>
              </w:rPr>
              <w:noBreakHyphen/>
              <w:t>N.</w:t>
            </w:r>
            <w:r w:rsidRPr="00197413">
              <w:rPr>
                <w:sz w:val="20"/>
                <w:lang w:val="fr-CA"/>
              </w:rPr>
              <w:noBreakHyphen/>
              <w:t>L.) (Civile) (Autorisation)</w:t>
            </w:r>
          </w:p>
        </w:tc>
      </w:tr>
      <w:tr w:rsidR="00C91655" w:rsidRPr="00197413" w:rsidTr="00C91655">
        <w:tc>
          <w:tcPr>
            <w:tcW w:w="5000" w:type="pct"/>
            <w:gridSpan w:val="4"/>
          </w:tcPr>
          <w:p w:rsidR="00C91655" w:rsidRPr="00197413" w:rsidRDefault="00C91655" w:rsidP="00197413">
            <w:pPr>
              <w:pStyle w:val="level11"/>
              <w:shd w:val="clear" w:color="auto" w:fill="FFFFFF"/>
              <w:spacing w:before="0" w:after="0"/>
              <w:jc w:val="both"/>
              <w:rPr>
                <w:sz w:val="20"/>
                <w:szCs w:val="20"/>
                <w:lang w:val="fr-CA"/>
              </w:rPr>
            </w:pPr>
            <w:r w:rsidRPr="00197413">
              <w:rPr>
                <w:sz w:val="20"/>
                <w:szCs w:val="20"/>
                <w:lang w:val="fr-CA"/>
              </w:rPr>
              <w:t>Accès à l’information — Demande de communication de renseignements en vertu de l’</w:t>
            </w:r>
            <w:r w:rsidRPr="00197413">
              <w:rPr>
                <w:i/>
                <w:sz w:val="20"/>
                <w:szCs w:val="20"/>
                <w:lang w:val="fr-CA"/>
              </w:rPr>
              <w:t>Access to Information and Protection of Privacy Act</w:t>
            </w:r>
            <w:r w:rsidRPr="00197413">
              <w:rPr>
                <w:sz w:val="20"/>
                <w:szCs w:val="20"/>
                <w:lang w:val="fr-CA"/>
              </w:rPr>
              <w:t xml:space="preserve"> — Principes applicables — Le public a</w:t>
            </w:r>
            <w:r w:rsidRPr="00197413">
              <w:rPr>
                <w:sz w:val="20"/>
                <w:szCs w:val="20"/>
                <w:lang w:val="fr-CA"/>
              </w:rPr>
              <w:noBreakHyphen/>
              <w:t>t</w:t>
            </w:r>
            <w:r w:rsidRPr="00197413">
              <w:rPr>
                <w:sz w:val="20"/>
                <w:szCs w:val="20"/>
                <w:lang w:val="fr-CA"/>
              </w:rPr>
              <w:noBreakHyphen/>
              <w:t>il un intérêt légitime et important à connaître les identités de personnes qui reçoivent des deniers publics? — Comment les tribunaux doivent</w:t>
            </w:r>
            <w:r w:rsidRPr="00197413">
              <w:rPr>
                <w:sz w:val="20"/>
                <w:szCs w:val="20"/>
                <w:lang w:val="fr-CA"/>
              </w:rPr>
              <w:noBreakHyphen/>
              <w:t xml:space="preserve">ils mettre en balance les éléments divergents du double objet de la </w:t>
            </w:r>
            <w:r w:rsidRPr="00197413">
              <w:rPr>
                <w:i/>
                <w:sz w:val="20"/>
                <w:szCs w:val="20"/>
                <w:lang w:val="fr-CA"/>
              </w:rPr>
              <w:t>Loi</w:t>
            </w:r>
            <w:r w:rsidRPr="00197413">
              <w:rPr>
                <w:sz w:val="20"/>
                <w:szCs w:val="20"/>
                <w:lang w:val="fr-CA"/>
              </w:rPr>
              <w:t>, à savoir l’ « accès public » et la « protection de la vie privée »? — Comment les tribunaux doivent</w:t>
            </w:r>
            <w:r w:rsidRPr="00197413">
              <w:rPr>
                <w:sz w:val="20"/>
                <w:szCs w:val="20"/>
                <w:lang w:val="fr-CA"/>
              </w:rPr>
              <w:noBreakHyphen/>
              <w:t>ils protéger les renseignements personnels et ce qui constitue une atteinte déraisonnable à la vie privée au Canada?</w:t>
            </w:r>
          </w:p>
          <w:p w:rsidR="00C91655" w:rsidRPr="00197413" w:rsidRDefault="00C91655" w:rsidP="00197413">
            <w:pPr>
              <w:pStyle w:val="level11"/>
              <w:shd w:val="clear" w:color="auto" w:fill="FFFFFF"/>
              <w:spacing w:before="0" w:after="0"/>
              <w:jc w:val="both"/>
              <w:rPr>
                <w:sz w:val="20"/>
                <w:szCs w:val="20"/>
                <w:lang w:val="fr-CA"/>
              </w:rPr>
            </w:pPr>
          </w:p>
        </w:tc>
      </w:tr>
      <w:tr w:rsidR="00C91655" w:rsidRPr="00197413" w:rsidTr="00C91655">
        <w:tc>
          <w:tcPr>
            <w:tcW w:w="5000" w:type="pct"/>
            <w:gridSpan w:val="4"/>
          </w:tcPr>
          <w:p w:rsidR="00C91655" w:rsidRPr="00197413" w:rsidRDefault="00C91655" w:rsidP="00197413">
            <w:pPr>
              <w:jc w:val="both"/>
              <w:rPr>
                <w:sz w:val="20"/>
                <w:lang w:val="fr-CA"/>
              </w:rPr>
            </w:pPr>
            <w:r w:rsidRPr="00197413">
              <w:rPr>
                <w:sz w:val="20"/>
                <w:lang w:val="fr-CA"/>
              </w:rPr>
              <w:t>Un journaliste local a demandé les [</w:t>
            </w:r>
            <w:r w:rsidRPr="00197413">
              <w:rPr>
                <w:smallCaps/>
                <w:sz w:val="20"/>
                <w:lang w:val="fr-CA"/>
              </w:rPr>
              <w:t>traduction</w:t>
            </w:r>
            <w:r w:rsidRPr="00197413">
              <w:rPr>
                <w:sz w:val="20"/>
                <w:lang w:val="fr-CA"/>
              </w:rPr>
              <w:t>] « noms, titres de postes et revenus imposables correspondants de tous les employés de l’English School District touchant plus de 100 000 $ ». Après avoir évalué la demande, l’English School District a avisé les employés touchés que, sous réserve d’un appel éventuel, il communiquerait les renseignements en vertu de l’</w:t>
            </w:r>
            <w:r w:rsidRPr="00197413">
              <w:rPr>
                <w:i/>
                <w:sz w:val="20"/>
                <w:lang w:val="fr-CA"/>
              </w:rPr>
              <w:t xml:space="preserve">Access to Information and Protection of </w:t>
            </w:r>
            <w:proofErr w:type="spellStart"/>
            <w:r w:rsidRPr="00197413">
              <w:rPr>
                <w:i/>
                <w:sz w:val="20"/>
                <w:lang w:val="fr-CA"/>
              </w:rPr>
              <w:t>Privacy</w:t>
            </w:r>
            <w:proofErr w:type="spellEnd"/>
            <w:r w:rsidRPr="00197413">
              <w:rPr>
                <w:i/>
                <w:sz w:val="20"/>
                <w:lang w:val="fr-CA"/>
              </w:rPr>
              <w:t xml:space="preserve"> Act</w:t>
            </w:r>
            <w:r w:rsidRPr="00197413">
              <w:rPr>
                <w:sz w:val="20"/>
                <w:lang w:val="fr-CA"/>
              </w:rPr>
              <w:t>, 2015, SNL 2015, ch. A</w:t>
            </w:r>
            <w:r w:rsidRPr="00197413">
              <w:rPr>
                <w:sz w:val="20"/>
                <w:lang w:val="fr-CA"/>
              </w:rPr>
              <w:noBreakHyphen/>
              <w:t xml:space="preserve">1.2. La demanderesse a interjeté appel de la décision. La juge Butler a accueilli l’appel et a refusé la demande de communication en vertu de la </w:t>
            </w:r>
            <w:r w:rsidRPr="00197413">
              <w:rPr>
                <w:i/>
                <w:sz w:val="20"/>
                <w:lang w:val="fr-CA"/>
              </w:rPr>
              <w:t>Loi</w:t>
            </w:r>
            <w:r w:rsidRPr="00197413">
              <w:rPr>
                <w:sz w:val="20"/>
                <w:lang w:val="fr-CA"/>
              </w:rPr>
              <w:t xml:space="preserve">. Les juges majoritaires de la Cour d’appel ont annulé la décision de la juge Butler et ont rétabli la décision de l’English School Board obligeant la communication des noms. La juge Welsh, dissidente, aurait statué que la </w:t>
            </w:r>
            <w:r w:rsidRPr="00197413">
              <w:rPr>
                <w:i/>
                <w:iCs/>
                <w:sz w:val="20"/>
                <w:lang w:val="fr-CA"/>
              </w:rPr>
              <w:t>Loi</w:t>
            </w:r>
            <w:r w:rsidRPr="00197413">
              <w:rPr>
                <w:sz w:val="20"/>
                <w:lang w:val="fr-CA"/>
              </w:rPr>
              <w:t xml:space="preserve"> empêchait la communication des noms.</w:t>
            </w:r>
          </w:p>
        </w:tc>
      </w:tr>
      <w:tr w:rsidR="00C91655" w:rsidRPr="00197413" w:rsidTr="009E274F">
        <w:trPr>
          <w:trHeight w:val="119"/>
        </w:trPr>
        <w:tc>
          <w:tcPr>
            <w:tcW w:w="5000" w:type="pct"/>
            <w:gridSpan w:val="4"/>
          </w:tcPr>
          <w:p w:rsidR="00C91655" w:rsidRPr="00197413" w:rsidRDefault="00C91655" w:rsidP="009E274F">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22 décembre 2016</w:t>
            </w:r>
          </w:p>
          <w:p w:rsidR="00C91655" w:rsidRPr="00197413" w:rsidRDefault="00C91655" w:rsidP="00197413">
            <w:pPr>
              <w:jc w:val="both"/>
              <w:rPr>
                <w:sz w:val="20"/>
                <w:lang w:val="fr-CA"/>
              </w:rPr>
            </w:pPr>
            <w:r w:rsidRPr="00197413">
              <w:rPr>
                <w:sz w:val="20"/>
                <w:lang w:val="fr-CA"/>
              </w:rPr>
              <w:t>Cour suprême de Terre-Neuve-et-Labrador, Section de première instance</w:t>
            </w:r>
          </w:p>
          <w:p w:rsidR="00C91655" w:rsidRPr="00197413" w:rsidRDefault="00C91655" w:rsidP="00197413">
            <w:pPr>
              <w:jc w:val="both"/>
              <w:rPr>
                <w:sz w:val="20"/>
                <w:lang w:val="fr-CA"/>
              </w:rPr>
            </w:pPr>
            <w:r w:rsidRPr="00197413">
              <w:rPr>
                <w:sz w:val="20"/>
                <w:lang w:val="fr-CA"/>
              </w:rPr>
              <w:t>(Juge Butler)</w:t>
            </w:r>
          </w:p>
          <w:p w:rsidR="00C91655" w:rsidRPr="00197413" w:rsidRDefault="00C91655" w:rsidP="00197413">
            <w:pPr>
              <w:jc w:val="both"/>
              <w:rPr>
                <w:rStyle w:val="Hyperlink"/>
                <w:sz w:val="20"/>
                <w:lang w:val="fr-CA"/>
              </w:rPr>
            </w:pPr>
            <w:hyperlink r:id="rId71" w:history="1">
              <w:r w:rsidRPr="00197413">
                <w:rPr>
                  <w:rStyle w:val="Hyperlink"/>
                  <w:sz w:val="20"/>
                  <w:lang w:val="fr-CA"/>
                </w:rPr>
                <w:t>2016 NLTD(G) 211</w:t>
              </w:r>
            </w:hyperlink>
          </w:p>
          <w:p w:rsidR="00C91655" w:rsidRPr="00197413" w:rsidRDefault="00C91655" w:rsidP="00197413">
            <w:pPr>
              <w:jc w:val="both"/>
              <w:rPr>
                <w:sz w:val="20"/>
                <w:lang w:val="fr-CA"/>
              </w:rPr>
            </w:pP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Rejet de la demande de communication en vertu de l’</w:t>
            </w:r>
            <w:r w:rsidRPr="00197413">
              <w:rPr>
                <w:i/>
                <w:sz w:val="20"/>
                <w:lang w:val="fr-CA"/>
              </w:rPr>
              <w:t>Access to Information and Protection of Privacy Act</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17 septembre 2018</w:t>
            </w:r>
          </w:p>
          <w:p w:rsidR="00C91655" w:rsidRPr="00197413" w:rsidRDefault="00C91655" w:rsidP="00197413">
            <w:pPr>
              <w:jc w:val="both"/>
              <w:rPr>
                <w:sz w:val="20"/>
                <w:lang w:val="fr-CA"/>
              </w:rPr>
            </w:pPr>
            <w:r w:rsidRPr="00197413">
              <w:rPr>
                <w:sz w:val="20"/>
                <w:lang w:val="fr-CA"/>
              </w:rPr>
              <w:t>Cour d’appel de Terre-Neuve</w:t>
            </w:r>
            <w:r w:rsidRPr="00197413">
              <w:rPr>
                <w:sz w:val="20"/>
                <w:lang w:val="fr-CA"/>
              </w:rPr>
              <w:noBreakHyphen/>
              <w:t>et</w:t>
            </w:r>
            <w:r w:rsidRPr="00197413">
              <w:rPr>
                <w:sz w:val="20"/>
                <w:lang w:val="fr-CA"/>
              </w:rPr>
              <w:noBreakHyphen/>
              <w:t>Labrador</w:t>
            </w:r>
          </w:p>
          <w:p w:rsidR="00C91655" w:rsidRPr="00197413" w:rsidRDefault="00C91655" w:rsidP="00197413">
            <w:pPr>
              <w:jc w:val="both"/>
              <w:rPr>
                <w:sz w:val="20"/>
              </w:rPr>
            </w:pPr>
            <w:r w:rsidRPr="00197413">
              <w:rPr>
                <w:sz w:val="20"/>
              </w:rPr>
              <w:t xml:space="preserve">(Juges White, </w:t>
            </w:r>
            <w:proofErr w:type="spellStart"/>
            <w:r w:rsidRPr="00197413">
              <w:rPr>
                <w:sz w:val="20"/>
              </w:rPr>
              <w:t>Hoegg</w:t>
            </w:r>
            <w:proofErr w:type="spellEnd"/>
            <w:r w:rsidRPr="00197413">
              <w:rPr>
                <w:sz w:val="20"/>
              </w:rPr>
              <w:t xml:space="preserve"> et Welsh (</w:t>
            </w:r>
            <w:proofErr w:type="spellStart"/>
            <w:r w:rsidRPr="00197413">
              <w:rPr>
                <w:sz w:val="20"/>
              </w:rPr>
              <w:t>dissidente</w:t>
            </w:r>
            <w:proofErr w:type="spellEnd"/>
            <w:r w:rsidRPr="00197413">
              <w:rPr>
                <w:sz w:val="20"/>
              </w:rPr>
              <w:t>))</w:t>
            </w:r>
          </w:p>
          <w:p w:rsidR="00C91655" w:rsidRPr="00197413" w:rsidRDefault="00C91655" w:rsidP="00197413">
            <w:pPr>
              <w:jc w:val="both"/>
              <w:rPr>
                <w:sz w:val="20"/>
                <w:lang w:val="fr-CA"/>
              </w:rPr>
            </w:pPr>
            <w:hyperlink r:id="rId72" w:history="1">
              <w:r w:rsidRPr="00197413">
                <w:rPr>
                  <w:rStyle w:val="Hyperlink"/>
                  <w:sz w:val="20"/>
                  <w:lang w:val="fr-CA"/>
                </w:rPr>
                <w:t>2018 NLCA 54</w:t>
              </w:r>
            </w:hyperlink>
            <w:r w:rsidRPr="00197413">
              <w:rPr>
                <w:rStyle w:val="Hyperlink"/>
                <w:sz w:val="20"/>
                <w:lang w:val="fr-CA"/>
              </w:rPr>
              <w:t xml:space="preserve">; </w:t>
            </w:r>
            <w:r w:rsidRPr="00197413">
              <w:rPr>
                <w:sz w:val="20"/>
                <w:lang w:val="fr-CA"/>
              </w:rPr>
              <w:t>201701H0010</w:t>
            </w: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Arrêt accueillant l’appel et accueillant la demande de communication en vertu de l’</w:t>
            </w:r>
            <w:r w:rsidRPr="00197413">
              <w:rPr>
                <w:i/>
                <w:sz w:val="20"/>
                <w:lang w:val="fr-CA"/>
              </w:rPr>
              <w:t>Access to Information and Protection of Privacy Act</w:t>
            </w:r>
          </w:p>
          <w:p w:rsidR="00C91655" w:rsidRPr="00197413" w:rsidRDefault="00C91655" w:rsidP="00197413">
            <w:pPr>
              <w:jc w:val="both"/>
              <w:rPr>
                <w:sz w:val="20"/>
                <w:lang w:val="fr-CA"/>
              </w:rPr>
            </w:pPr>
          </w:p>
        </w:tc>
      </w:tr>
      <w:tr w:rsidR="00C91655" w:rsidRPr="00197413" w:rsidTr="00C91655">
        <w:tc>
          <w:tcPr>
            <w:tcW w:w="2427" w:type="pct"/>
            <w:gridSpan w:val="2"/>
          </w:tcPr>
          <w:p w:rsidR="00C91655" w:rsidRPr="00197413" w:rsidRDefault="00C91655" w:rsidP="00197413">
            <w:pPr>
              <w:jc w:val="both"/>
              <w:rPr>
                <w:sz w:val="20"/>
                <w:lang w:val="fr-CA"/>
              </w:rPr>
            </w:pPr>
            <w:r w:rsidRPr="00197413">
              <w:rPr>
                <w:sz w:val="20"/>
                <w:lang w:val="fr-CA"/>
              </w:rPr>
              <w:t>16 novembre 2018</w:t>
            </w:r>
          </w:p>
          <w:p w:rsidR="00C91655" w:rsidRPr="00197413" w:rsidRDefault="00C91655" w:rsidP="001B5B03">
            <w:pPr>
              <w:jc w:val="both"/>
              <w:rPr>
                <w:sz w:val="20"/>
                <w:lang w:val="fr-CA"/>
              </w:rPr>
            </w:pPr>
            <w:r w:rsidRPr="00197413">
              <w:rPr>
                <w:sz w:val="20"/>
                <w:lang w:val="fr-CA"/>
              </w:rPr>
              <w:t>Cour suprême du Canada</w:t>
            </w:r>
          </w:p>
        </w:tc>
        <w:tc>
          <w:tcPr>
            <w:tcW w:w="243" w:type="pct"/>
          </w:tcPr>
          <w:p w:rsidR="00C91655" w:rsidRPr="00197413" w:rsidRDefault="00C91655" w:rsidP="00197413">
            <w:pPr>
              <w:jc w:val="both"/>
              <w:rPr>
                <w:sz w:val="20"/>
                <w:lang w:val="fr-CA"/>
              </w:rPr>
            </w:pPr>
          </w:p>
        </w:tc>
        <w:tc>
          <w:tcPr>
            <w:tcW w:w="2330" w:type="pct"/>
          </w:tcPr>
          <w:p w:rsidR="00C91655" w:rsidRPr="00197413" w:rsidRDefault="00C91655" w:rsidP="00197413">
            <w:pPr>
              <w:jc w:val="both"/>
              <w:rPr>
                <w:sz w:val="20"/>
                <w:lang w:val="fr-CA"/>
              </w:rPr>
            </w:pPr>
            <w:r w:rsidRPr="00197413">
              <w:rPr>
                <w:sz w:val="20"/>
                <w:lang w:val="fr-CA"/>
              </w:rPr>
              <w:t>Dépôt de la demande d’autorisation d’appel</w:t>
            </w:r>
          </w:p>
          <w:p w:rsidR="00C91655" w:rsidRPr="00197413" w:rsidRDefault="00C91655" w:rsidP="00197413">
            <w:pPr>
              <w:jc w:val="both"/>
              <w:rPr>
                <w:sz w:val="20"/>
                <w:lang w:val="fr-CA"/>
              </w:rPr>
            </w:pPr>
          </w:p>
        </w:tc>
      </w:tr>
    </w:tbl>
    <w:p w:rsidR="00AE7EB1" w:rsidRDefault="00AE7EB1" w:rsidP="00197413">
      <w:pPr>
        <w:ind w:left="142" w:hanging="142"/>
        <w:jc w:val="both"/>
        <w:rPr>
          <w:sz w:val="20"/>
          <w:lang w:val="fr-CA"/>
        </w:rPr>
      </w:pPr>
    </w:p>
    <w:p w:rsidR="001B5B03" w:rsidRPr="00197413" w:rsidRDefault="001B5B03" w:rsidP="00197413">
      <w:pPr>
        <w:ind w:left="142" w:hanging="142"/>
        <w:jc w:val="both"/>
        <w:rPr>
          <w:sz w:val="20"/>
          <w:lang w:val="fr-CA"/>
        </w:rPr>
      </w:pPr>
      <w:r>
        <w:rPr>
          <w:sz w:val="20"/>
        </w:rPr>
        <w:pict>
          <v:rect id="_x0000_i1063" style="width:2in;height:1pt" o:hrpct="0" o:hralign="center" o:hrstd="t" o:hrnoshade="t" o:hr="t" fillcolor="black [3213]" stroked="f"/>
        </w:pict>
      </w:r>
    </w:p>
    <w:p w:rsidR="00AE7EB1" w:rsidRPr="00197413" w:rsidRDefault="00AE7EB1" w:rsidP="0019741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97413" w:rsidRPr="00197413" w:rsidTr="00E95A6A">
        <w:tc>
          <w:tcPr>
            <w:tcW w:w="543" w:type="pct"/>
          </w:tcPr>
          <w:p w:rsidR="00197413" w:rsidRPr="00197413" w:rsidRDefault="00197413" w:rsidP="00197413">
            <w:pPr>
              <w:jc w:val="both"/>
              <w:rPr>
                <w:sz w:val="20"/>
              </w:rPr>
            </w:pPr>
            <w:r w:rsidRPr="00197413">
              <w:rPr>
                <w:rStyle w:val="SCCFileNumberChar"/>
                <w:sz w:val="20"/>
                <w:szCs w:val="20"/>
              </w:rPr>
              <w:t>38445</w:t>
            </w:r>
          </w:p>
        </w:tc>
        <w:tc>
          <w:tcPr>
            <w:tcW w:w="4457" w:type="pct"/>
            <w:gridSpan w:val="3"/>
          </w:tcPr>
          <w:p w:rsidR="00197413" w:rsidRPr="001B5B03" w:rsidRDefault="00197413" w:rsidP="00197413">
            <w:pPr>
              <w:pStyle w:val="SCCLsocParty"/>
              <w:jc w:val="both"/>
              <w:rPr>
                <w:b/>
                <w:sz w:val="20"/>
                <w:szCs w:val="20"/>
                <w:lang w:val="en-US"/>
              </w:rPr>
            </w:pPr>
            <w:proofErr w:type="spellStart"/>
            <w:r w:rsidRPr="001B5B03">
              <w:rPr>
                <w:b/>
                <w:sz w:val="20"/>
                <w:szCs w:val="20"/>
                <w:lang w:val="en-US"/>
              </w:rPr>
              <w:t>Xiaoli</w:t>
            </w:r>
            <w:proofErr w:type="spellEnd"/>
            <w:r w:rsidRPr="001B5B03">
              <w:rPr>
                <w:b/>
                <w:sz w:val="20"/>
                <w:szCs w:val="20"/>
                <w:lang w:val="en-US"/>
              </w:rPr>
              <w:t xml:space="preserve"> Lily Wang, </w:t>
            </w:r>
            <w:proofErr w:type="spellStart"/>
            <w:r w:rsidRPr="001B5B03">
              <w:rPr>
                <w:b/>
                <w:sz w:val="20"/>
                <w:szCs w:val="20"/>
                <w:lang w:val="en-US"/>
              </w:rPr>
              <w:t>Daiming</w:t>
            </w:r>
            <w:proofErr w:type="spellEnd"/>
            <w:r w:rsidRPr="001B5B03">
              <w:rPr>
                <w:b/>
                <w:sz w:val="20"/>
                <w:szCs w:val="20"/>
                <w:lang w:val="en-US"/>
              </w:rPr>
              <w:t xml:space="preserve"> Robert Li v. Alberta Health Services</w:t>
            </w:r>
          </w:p>
          <w:p w:rsidR="00197413" w:rsidRPr="00197413" w:rsidRDefault="00197413" w:rsidP="001B5B03">
            <w:pPr>
              <w:jc w:val="both"/>
              <w:rPr>
                <w:sz w:val="20"/>
              </w:rPr>
            </w:pPr>
            <w:r w:rsidRPr="00197413">
              <w:rPr>
                <w:sz w:val="20"/>
              </w:rPr>
              <w:t>(Alta.) (Civil) (By Leave)</w:t>
            </w:r>
          </w:p>
        </w:tc>
      </w:tr>
      <w:tr w:rsidR="00197413" w:rsidRPr="00197413" w:rsidTr="00E95A6A">
        <w:tc>
          <w:tcPr>
            <w:tcW w:w="5000" w:type="pct"/>
            <w:gridSpan w:val="4"/>
          </w:tcPr>
          <w:p w:rsidR="00197413" w:rsidRPr="00197413" w:rsidRDefault="00197413" w:rsidP="00197413">
            <w:pPr>
              <w:jc w:val="both"/>
              <w:rPr>
                <w:sz w:val="20"/>
              </w:rPr>
            </w:pPr>
            <w:r w:rsidRPr="00197413">
              <w:rPr>
                <w:sz w:val="20"/>
              </w:rPr>
              <w:t>Health law — Public health — Privacy — Access to rental properties for health inspections —Should a privately</w:t>
            </w:r>
            <w:r w:rsidRPr="00197413">
              <w:rPr>
                <w:sz w:val="20"/>
              </w:rPr>
              <w:noBreakHyphen/>
              <w:t xml:space="preserve">owned single residential dwelling be considered a “public place” or a “private place” in the context of a </w:t>
            </w:r>
            <w:r w:rsidRPr="00197413">
              <w:rPr>
                <w:sz w:val="20"/>
              </w:rPr>
              <w:lastRenderedPageBreak/>
              <w:t xml:space="preserve">government agency’s inspection powers? — Does access to rental properties without reasonable and probable grounds violate section 8 of the </w:t>
            </w:r>
            <w:r w:rsidRPr="00197413">
              <w:rPr>
                <w:i/>
                <w:sz w:val="20"/>
              </w:rPr>
              <w:t>Charter</w:t>
            </w:r>
            <w:r w:rsidRPr="00197413">
              <w:rPr>
                <w:sz w:val="20"/>
              </w:rPr>
              <w:t xml:space="preserve">? — </w:t>
            </w:r>
            <w:r w:rsidRPr="00197413">
              <w:rPr>
                <w:i/>
                <w:sz w:val="20"/>
              </w:rPr>
              <w:t>Public Health Act</w:t>
            </w:r>
            <w:r w:rsidRPr="00197413">
              <w:rPr>
                <w:sz w:val="20"/>
              </w:rPr>
              <w:t>, RSA 2000, c. P-37</w:t>
            </w:r>
          </w:p>
        </w:tc>
      </w:tr>
      <w:tr w:rsidR="00197413" w:rsidRPr="00197413" w:rsidTr="00E95A6A">
        <w:tc>
          <w:tcPr>
            <w:tcW w:w="5000" w:type="pct"/>
            <w:gridSpan w:val="4"/>
          </w:tcPr>
          <w:p w:rsidR="00197413" w:rsidRPr="00197413" w:rsidRDefault="00197413" w:rsidP="00197413">
            <w:pPr>
              <w:jc w:val="both"/>
              <w:rPr>
                <w:sz w:val="20"/>
              </w:rPr>
            </w:pPr>
          </w:p>
        </w:tc>
      </w:tr>
      <w:tr w:rsidR="00197413" w:rsidRPr="00197413" w:rsidTr="00E95A6A">
        <w:tc>
          <w:tcPr>
            <w:tcW w:w="5000" w:type="pct"/>
            <w:gridSpan w:val="4"/>
          </w:tcPr>
          <w:p w:rsidR="00197413" w:rsidRPr="00197413" w:rsidRDefault="00197413" w:rsidP="00197413">
            <w:pPr>
              <w:jc w:val="both"/>
              <w:rPr>
                <w:sz w:val="20"/>
              </w:rPr>
            </w:pPr>
            <w:proofErr w:type="spellStart"/>
            <w:r w:rsidRPr="00197413">
              <w:rPr>
                <w:sz w:val="20"/>
              </w:rPr>
              <w:t>Xiaoli</w:t>
            </w:r>
            <w:proofErr w:type="spellEnd"/>
            <w:r w:rsidRPr="00197413">
              <w:rPr>
                <w:sz w:val="20"/>
              </w:rPr>
              <w:t xml:space="preserve"> Lily Wang and </w:t>
            </w:r>
            <w:proofErr w:type="spellStart"/>
            <w:r w:rsidRPr="00197413">
              <w:rPr>
                <w:sz w:val="20"/>
              </w:rPr>
              <w:t>Daiming</w:t>
            </w:r>
            <w:proofErr w:type="spellEnd"/>
            <w:r w:rsidRPr="00197413">
              <w:rPr>
                <w:sz w:val="20"/>
              </w:rPr>
              <w:t xml:space="preserve"> Li own several residential properties in Calgary, Alberta which they rent out. In 2014, Alberta Health Services [“AHS”] sent notices to Ms. Wang and Mr. Li that it intended to conduct health and safety inspections of some of their properties. The notices were met with resistance. As a result, AHS filed an application with the Alberta Court of Queen’s Bench seeking court-ordered access. In October of 2014 the Court of Queen’s Bench of Alberta ordered Ms. Wang and Mr. Li to grant access to AHS pursuant to the </w:t>
            </w:r>
            <w:r w:rsidRPr="00197413">
              <w:rPr>
                <w:i/>
                <w:sz w:val="20"/>
              </w:rPr>
              <w:t>Public Health Act</w:t>
            </w:r>
            <w:r w:rsidRPr="00197413">
              <w:rPr>
                <w:sz w:val="20"/>
              </w:rPr>
              <w:t xml:space="preserve">, RSA 2000, </w:t>
            </w:r>
            <w:proofErr w:type="gramStart"/>
            <w:r w:rsidRPr="00197413">
              <w:rPr>
                <w:sz w:val="20"/>
              </w:rPr>
              <w:t>c</w:t>
            </w:r>
            <w:proofErr w:type="gramEnd"/>
            <w:r w:rsidRPr="00197413">
              <w:rPr>
                <w:sz w:val="20"/>
              </w:rPr>
              <w:t>. P-37. In March of 2015 the Court of Queen’s Bench of Alberta denied an application to set aside or vary the order. The Court of Appeal of Alberta dismissed the appeal in October of 2018.</w:t>
            </w:r>
          </w:p>
          <w:p w:rsidR="00197413" w:rsidRPr="00197413" w:rsidRDefault="00197413" w:rsidP="00197413">
            <w:pPr>
              <w:jc w:val="both"/>
              <w:rPr>
                <w:sz w:val="20"/>
              </w:rPr>
            </w:pPr>
          </w:p>
        </w:tc>
      </w:tr>
      <w:tr w:rsidR="00197413" w:rsidRPr="00197413" w:rsidTr="00E95A6A">
        <w:tc>
          <w:tcPr>
            <w:tcW w:w="2427" w:type="pct"/>
            <w:gridSpan w:val="2"/>
          </w:tcPr>
          <w:p w:rsidR="00197413" w:rsidRPr="00197413" w:rsidRDefault="00197413" w:rsidP="00197413">
            <w:pPr>
              <w:jc w:val="both"/>
              <w:rPr>
                <w:sz w:val="20"/>
              </w:rPr>
            </w:pPr>
            <w:r w:rsidRPr="00197413">
              <w:rPr>
                <w:sz w:val="20"/>
              </w:rPr>
              <w:t>October 23, 2014</w:t>
            </w:r>
          </w:p>
          <w:p w:rsidR="00197413" w:rsidRPr="00197413" w:rsidRDefault="00197413" w:rsidP="00197413">
            <w:pPr>
              <w:jc w:val="both"/>
              <w:rPr>
                <w:sz w:val="20"/>
              </w:rPr>
            </w:pPr>
            <w:r w:rsidRPr="00197413">
              <w:rPr>
                <w:sz w:val="20"/>
              </w:rPr>
              <w:t>Court of Queen’s Bench of Alberta</w:t>
            </w:r>
          </w:p>
          <w:p w:rsidR="00197413" w:rsidRPr="00197413" w:rsidRDefault="00197413" w:rsidP="00197413">
            <w:pPr>
              <w:jc w:val="both"/>
              <w:rPr>
                <w:sz w:val="20"/>
              </w:rPr>
            </w:pPr>
            <w:r w:rsidRPr="00197413">
              <w:rPr>
                <w:sz w:val="20"/>
              </w:rPr>
              <w:t>(</w:t>
            </w:r>
            <w:proofErr w:type="spellStart"/>
            <w:r w:rsidRPr="00197413">
              <w:rPr>
                <w:sz w:val="20"/>
              </w:rPr>
              <w:t>Erb</w:t>
            </w:r>
            <w:proofErr w:type="spellEnd"/>
            <w:r w:rsidRPr="00197413">
              <w:rPr>
                <w:sz w:val="20"/>
              </w:rPr>
              <w:t xml:space="preserve"> J.)</w:t>
            </w:r>
          </w:p>
          <w:p w:rsidR="00197413" w:rsidRPr="00197413" w:rsidRDefault="00197413" w:rsidP="00197413">
            <w:pPr>
              <w:jc w:val="both"/>
              <w:rPr>
                <w:sz w:val="20"/>
              </w:rPr>
            </w:pPr>
            <w:r w:rsidRPr="00197413">
              <w:rPr>
                <w:sz w:val="20"/>
              </w:rPr>
              <w:t>1401-10235 (Unreported)</w:t>
            </w:r>
          </w:p>
          <w:p w:rsidR="00197413" w:rsidRPr="00197413" w:rsidRDefault="00197413" w:rsidP="00197413">
            <w:pPr>
              <w:jc w:val="both"/>
              <w:rPr>
                <w:sz w:val="20"/>
              </w:rPr>
            </w:pPr>
          </w:p>
        </w:tc>
        <w:tc>
          <w:tcPr>
            <w:tcW w:w="243" w:type="pct"/>
          </w:tcPr>
          <w:p w:rsidR="00197413" w:rsidRPr="00197413" w:rsidRDefault="00197413" w:rsidP="00197413">
            <w:pPr>
              <w:jc w:val="both"/>
              <w:rPr>
                <w:sz w:val="20"/>
              </w:rPr>
            </w:pPr>
          </w:p>
        </w:tc>
        <w:tc>
          <w:tcPr>
            <w:tcW w:w="2330" w:type="pct"/>
          </w:tcPr>
          <w:p w:rsidR="00197413" w:rsidRPr="00197413" w:rsidRDefault="00197413" w:rsidP="00197413">
            <w:pPr>
              <w:jc w:val="both"/>
              <w:rPr>
                <w:sz w:val="20"/>
              </w:rPr>
            </w:pPr>
            <w:r w:rsidRPr="00197413">
              <w:rPr>
                <w:sz w:val="20"/>
              </w:rPr>
              <w:t xml:space="preserve">Order granting Alberta Health Services access to properties owned by </w:t>
            </w:r>
            <w:proofErr w:type="spellStart"/>
            <w:r w:rsidRPr="00197413">
              <w:rPr>
                <w:sz w:val="20"/>
              </w:rPr>
              <w:t>Xiaoli</w:t>
            </w:r>
            <w:proofErr w:type="spellEnd"/>
            <w:r w:rsidRPr="00197413">
              <w:rPr>
                <w:sz w:val="20"/>
              </w:rPr>
              <w:t xml:space="preserve"> Lily Wang and </w:t>
            </w:r>
            <w:proofErr w:type="spellStart"/>
            <w:r w:rsidRPr="00197413">
              <w:rPr>
                <w:sz w:val="20"/>
              </w:rPr>
              <w:t>Daiming</w:t>
            </w:r>
            <w:proofErr w:type="spellEnd"/>
            <w:r w:rsidRPr="00197413">
              <w:rPr>
                <w:sz w:val="20"/>
              </w:rPr>
              <w:t xml:space="preserve"> Li.</w:t>
            </w:r>
          </w:p>
        </w:tc>
      </w:tr>
      <w:tr w:rsidR="00197413" w:rsidRPr="00197413" w:rsidTr="00E95A6A">
        <w:tc>
          <w:tcPr>
            <w:tcW w:w="2427" w:type="pct"/>
            <w:gridSpan w:val="2"/>
          </w:tcPr>
          <w:p w:rsidR="00197413" w:rsidRPr="00197413" w:rsidRDefault="00197413" w:rsidP="00197413">
            <w:pPr>
              <w:jc w:val="both"/>
              <w:rPr>
                <w:sz w:val="20"/>
              </w:rPr>
            </w:pPr>
            <w:r w:rsidRPr="00197413">
              <w:rPr>
                <w:sz w:val="20"/>
              </w:rPr>
              <w:t>March 13, 2015</w:t>
            </w:r>
          </w:p>
          <w:p w:rsidR="00197413" w:rsidRPr="00197413" w:rsidRDefault="00197413" w:rsidP="00197413">
            <w:pPr>
              <w:jc w:val="both"/>
              <w:rPr>
                <w:sz w:val="20"/>
              </w:rPr>
            </w:pPr>
            <w:r w:rsidRPr="00197413">
              <w:rPr>
                <w:sz w:val="20"/>
              </w:rPr>
              <w:t>Court of Queen’s Bench of Alberta</w:t>
            </w:r>
          </w:p>
          <w:p w:rsidR="00197413" w:rsidRPr="00197413" w:rsidRDefault="00197413" w:rsidP="00197413">
            <w:pPr>
              <w:jc w:val="both"/>
              <w:rPr>
                <w:sz w:val="20"/>
              </w:rPr>
            </w:pPr>
            <w:r w:rsidRPr="00197413">
              <w:rPr>
                <w:sz w:val="20"/>
              </w:rPr>
              <w:t>(Jeffrey J.)</w:t>
            </w:r>
          </w:p>
          <w:p w:rsidR="00197413" w:rsidRPr="00197413" w:rsidRDefault="00197413" w:rsidP="00197413">
            <w:pPr>
              <w:jc w:val="both"/>
              <w:rPr>
                <w:sz w:val="20"/>
              </w:rPr>
            </w:pPr>
            <w:r w:rsidRPr="00197413">
              <w:rPr>
                <w:sz w:val="20"/>
              </w:rPr>
              <w:t>1401-10235 (Unreported)</w:t>
            </w:r>
          </w:p>
          <w:p w:rsidR="00197413" w:rsidRPr="00197413" w:rsidRDefault="00197413" w:rsidP="00197413">
            <w:pPr>
              <w:jc w:val="both"/>
              <w:rPr>
                <w:sz w:val="20"/>
              </w:rPr>
            </w:pPr>
          </w:p>
        </w:tc>
        <w:tc>
          <w:tcPr>
            <w:tcW w:w="243" w:type="pct"/>
          </w:tcPr>
          <w:p w:rsidR="00197413" w:rsidRPr="00197413" w:rsidRDefault="00197413" w:rsidP="00197413">
            <w:pPr>
              <w:jc w:val="both"/>
              <w:rPr>
                <w:sz w:val="20"/>
              </w:rPr>
            </w:pPr>
          </w:p>
        </w:tc>
        <w:tc>
          <w:tcPr>
            <w:tcW w:w="2330" w:type="pct"/>
          </w:tcPr>
          <w:p w:rsidR="00197413" w:rsidRPr="00197413" w:rsidRDefault="00197413" w:rsidP="00197413">
            <w:pPr>
              <w:jc w:val="both"/>
              <w:rPr>
                <w:sz w:val="20"/>
              </w:rPr>
            </w:pPr>
            <w:r w:rsidRPr="00197413">
              <w:rPr>
                <w:sz w:val="20"/>
              </w:rPr>
              <w:t>Application to set aside or vary order denied.</w:t>
            </w:r>
          </w:p>
          <w:p w:rsidR="00197413" w:rsidRPr="00197413" w:rsidRDefault="00197413" w:rsidP="00197413">
            <w:pPr>
              <w:jc w:val="both"/>
              <w:rPr>
                <w:sz w:val="20"/>
              </w:rPr>
            </w:pPr>
          </w:p>
        </w:tc>
      </w:tr>
      <w:tr w:rsidR="00197413" w:rsidRPr="00197413" w:rsidTr="00E95A6A">
        <w:tc>
          <w:tcPr>
            <w:tcW w:w="2427" w:type="pct"/>
            <w:gridSpan w:val="2"/>
          </w:tcPr>
          <w:p w:rsidR="00197413" w:rsidRPr="00197413" w:rsidRDefault="00197413" w:rsidP="00197413">
            <w:pPr>
              <w:jc w:val="both"/>
              <w:rPr>
                <w:sz w:val="20"/>
              </w:rPr>
            </w:pPr>
            <w:r w:rsidRPr="00197413">
              <w:rPr>
                <w:sz w:val="20"/>
              </w:rPr>
              <w:t>October 16, 2018</w:t>
            </w:r>
          </w:p>
          <w:p w:rsidR="00197413" w:rsidRPr="00197413" w:rsidRDefault="00197413" w:rsidP="00197413">
            <w:pPr>
              <w:jc w:val="both"/>
              <w:rPr>
                <w:sz w:val="20"/>
              </w:rPr>
            </w:pPr>
            <w:r w:rsidRPr="00197413">
              <w:rPr>
                <w:sz w:val="20"/>
              </w:rPr>
              <w:t>Court of Appeal of Alberta (Calgary)</w:t>
            </w:r>
          </w:p>
          <w:p w:rsidR="00197413" w:rsidRPr="00197413" w:rsidRDefault="00197413" w:rsidP="00197413">
            <w:pPr>
              <w:jc w:val="both"/>
              <w:rPr>
                <w:sz w:val="20"/>
              </w:rPr>
            </w:pPr>
            <w:r w:rsidRPr="00197413">
              <w:rPr>
                <w:sz w:val="20"/>
              </w:rPr>
              <w:t>(</w:t>
            </w:r>
            <w:proofErr w:type="spellStart"/>
            <w:r w:rsidRPr="00197413">
              <w:rPr>
                <w:sz w:val="20"/>
              </w:rPr>
              <w:t>O'Ferrall</w:t>
            </w:r>
            <w:proofErr w:type="spellEnd"/>
            <w:r w:rsidRPr="00197413">
              <w:rPr>
                <w:sz w:val="20"/>
              </w:rPr>
              <w:t xml:space="preserve">, </w:t>
            </w:r>
            <w:proofErr w:type="spellStart"/>
            <w:r w:rsidRPr="00197413">
              <w:rPr>
                <w:sz w:val="20"/>
              </w:rPr>
              <w:t>Khullar</w:t>
            </w:r>
            <w:proofErr w:type="spellEnd"/>
            <w:r w:rsidRPr="00197413">
              <w:rPr>
                <w:sz w:val="20"/>
              </w:rPr>
              <w:t xml:space="preserve">, and </w:t>
            </w:r>
            <w:proofErr w:type="spellStart"/>
            <w:r w:rsidRPr="00197413">
              <w:rPr>
                <w:sz w:val="20"/>
              </w:rPr>
              <w:t>Crighton</w:t>
            </w:r>
            <w:proofErr w:type="spellEnd"/>
            <w:r w:rsidRPr="00197413">
              <w:rPr>
                <w:sz w:val="20"/>
              </w:rPr>
              <w:t xml:space="preserve"> JJ.A.)</w:t>
            </w:r>
          </w:p>
          <w:p w:rsidR="00197413" w:rsidRPr="00197413" w:rsidRDefault="00197413" w:rsidP="00197413">
            <w:pPr>
              <w:jc w:val="both"/>
              <w:rPr>
                <w:sz w:val="20"/>
              </w:rPr>
            </w:pPr>
            <w:hyperlink r:id="rId73" w:history="1">
              <w:r w:rsidRPr="00197413">
                <w:rPr>
                  <w:rStyle w:val="Hyperlink"/>
                  <w:sz w:val="20"/>
                </w:rPr>
                <w:t>2018 ABCA 339</w:t>
              </w:r>
            </w:hyperlink>
          </w:p>
          <w:p w:rsidR="00197413" w:rsidRPr="00197413" w:rsidRDefault="00197413" w:rsidP="00197413">
            <w:pPr>
              <w:jc w:val="both"/>
              <w:rPr>
                <w:sz w:val="20"/>
              </w:rPr>
            </w:pPr>
          </w:p>
        </w:tc>
        <w:tc>
          <w:tcPr>
            <w:tcW w:w="243" w:type="pct"/>
          </w:tcPr>
          <w:p w:rsidR="00197413" w:rsidRPr="00197413" w:rsidRDefault="00197413" w:rsidP="00197413">
            <w:pPr>
              <w:jc w:val="both"/>
              <w:rPr>
                <w:sz w:val="20"/>
              </w:rPr>
            </w:pPr>
          </w:p>
        </w:tc>
        <w:tc>
          <w:tcPr>
            <w:tcW w:w="2330" w:type="pct"/>
          </w:tcPr>
          <w:p w:rsidR="00197413" w:rsidRPr="00197413" w:rsidRDefault="00197413" w:rsidP="00197413">
            <w:pPr>
              <w:jc w:val="both"/>
              <w:rPr>
                <w:sz w:val="20"/>
              </w:rPr>
            </w:pPr>
            <w:r w:rsidRPr="00197413">
              <w:rPr>
                <w:sz w:val="20"/>
              </w:rPr>
              <w:t>Appeal dismissed.</w:t>
            </w:r>
          </w:p>
          <w:p w:rsidR="00197413" w:rsidRPr="00197413" w:rsidRDefault="00197413" w:rsidP="00197413">
            <w:pPr>
              <w:jc w:val="both"/>
              <w:rPr>
                <w:sz w:val="20"/>
              </w:rPr>
            </w:pPr>
          </w:p>
        </w:tc>
      </w:tr>
      <w:tr w:rsidR="00197413" w:rsidRPr="00197413" w:rsidTr="00E95A6A">
        <w:tc>
          <w:tcPr>
            <w:tcW w:w="2427" w:type="pct"/>
            <w:gridSpan w:val="2"/>
          </w:tcPr>
          <w:p w:rsidR="00197413" w:rsidRPr="00197413" w:rsidRDefault="00197413" w:rsidP="00197413">
            <w:pPr>
              <w:jc w:val="both"/>
              <w:rPr>
                <w:sz w:val="20"/>
              </w:rPr>
            </w:pPr>
            <w:r w:rsidRPr="00197413">
              <w:rPr>
                <w:sz w:val="20"/>
              </w:rPr>
              <w:t>December 14, 2018</w:t>
            </w:r>
          </w:p>
          <w:p w:rsidR="00197413" w:rsidRPr="00197413" w:rsidRDefault="00197413" w:rsidP="00197413">
            <w:pPr>
              <w:jc w:val="both"/>
              <w:rPr>
                <w:sz w:val="20"/>
              </w:rPr>
            </w:pPr>
            <w:r w:rsidRPr="00197413">
              <w:rPr>
                <w:sz w:val="20"/>
              </w:rPr>
              <w:t>Supreme Court of Canada</w:t>
            </w:r>
          </w:p>
        </w:tc>
        <w:tc>
          <w:tcPr>
            <w:tcW w:w="243" w:type="pct"/>
          </w:tcPr>
          <w:p w:rsidR="00197413" w:rsidRPr="00197413" w:rsidRDefault="00197413" w:rsidP="00197413">
            <w:pPr>
              <w:jc w:val="both"/>
              <w:rPr>
                <w:sz w:val="20"/>
              </w:rPr>
            </w:pPr>
          </w:p>
        </w:tc>
        <w:tc>
          <w:tcPr>
            <w:tcW w:w="2330" w:type="pct"/>
          </w:tcPr>
          <w:p w:rsidR="00197413" w:rsidRPr="00197413" w:rsidRDefault="00197413" w:rsidP="00197413">
            <w:pPr>
              <w:jc w:val="both"/>
              <w:rPr>
                <w:sz w:val="20"/>
              </w:rPr>
            </w:pPr>
            <w:r w:rsidRPr="00197413">
              <w:rPr>
                <w:sz w:val="20"/>
              </w:rPr>
              <w:t>Application for leave to appeal filed</w:t>
            </w:r>
          </w:p>
          <w:p w:rsidR="00197413" w:rsidRPr="00197413" w:rsidRDefault="00197413" w:rsidP="00197413">
            <w:pPr>
              <w:jc w:val="both"/>
              <w:rPr>
                <w:sz w:val="20"/>
              </w:rPr>
            </w:pPr>
          </w:p>
        </w:tc>
      </w:tr>
    </w:tbl>
    <w:p w:rsidR="00197413" w:rsidRDefault="00197413" w:rsidP="00197413">
      <w:pPr>
        <w:jc w:val="both"/>
        <w:rPr>
          <w:sz w:val="20"/>
        </w:rPr>
      </w:pPr>
    </w:p>
    <w:p w:rsidR="001B5B03" w:rsidRPr="00197413" w:rsidRDefault="001B5B03" w:rsidP="00197413">
      <w:pPr>
        <w:jc w:val="both"/>
        <w:rPr>
          <w:sz w:val="20"/>
        </w:rPr>
      </w:pPr>
      <w:r>
        <w:rPr>
          <w:sz w:val="20"/>
        </w:rPr>
        <w:pict>
          <v:rect id="_x0000_i1064" style="width:2in;height:1pt" o:hrpct="0" o:hralign="center" o:hrstd="t" o:hrnoshade="t" o:hr="t" fillcolor="black [3213]" stroked="f"/>
        </w:pict>
      </w:r>
    </w:p>
    <w:p w:rsidR="00AE7EB1" w:rsidRPr="00197413" w:rsidRDefault="00AE7EB1" w:rsidP="00197413">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97413" w:rsidRPr="00197413" w:rsidTr="00E95A6A">
        <w:tc>
          <w:tcPr>
            <w:tcW w:w="543" w:type="pct"/>
          </w:tcPr>
          <w:p w:rsidR="00197413" w:rsidRPr="00197413" w:rsidRDefault="00197413" w:rsidP="00197413">
            <w:pPr>
              <w:jc w:val="both"/>
              <w:rPr>
                <w:sz w:val="20"/>
                <w:lang w:val="fr-CA"/>
              </w:rPr>
            </w:pPr>
            <w:r w:rsidRPr="00197413">
              <w:rPr>
                <w:rStyle w:val="SCCFileNumberChar"/>
                <w:sz w:val="20"/>
                <w:szCs w:val="20"/>
                <w:lang w:val="fr-CA"/>
              </w:rPr>
              <w:t>38445</w:t>
            </w:r>
          </w:p>
        </w:tc>
        <w:tc>
          <w:tcPr>
            <w:tcW w:w="4457" w:type="pct"/>
            <w:gridSpan w:val="3"/>
          </w:tcPr>
          <w:p w:rsidR="00197413" w:rsidRPr="001B5B03" w:rsidRDefault="00197413" w:rsidP="00197413">
            <w:pPr>
              <w:pStyle w:val="SCCLsocParty"/>
              <w:jc w:val="both"/>
              <w:rPr>
                <w:b/>
                <w:sz w:val="20"/>
                <w:szCs w:val="20"/>
                <w:lang w:val="en-US"/>
              </w:rPr>
            </w:pPr>
            <w:proofErr w:type="spellStart"/>
            <w:r w:rsidRPr="001B5B03">
              <w:rPr>
                <w:b/>
                <w:sz w:val="20"/>
                <w:szCs w:val="20"/>
                <w:lang w:val="en-US"/>
              </w:rPr>
              <w:t>Xiaoli</w:t>
            </w:r>
            <w:proofErr w:type="spellEnd"/>
            <w:r w:rsidRPr="001B5B03">
              <w:rPr>
                <w:b/>
                <w:sz w:val="20"/>
                <w:szCs w:val="20"/>
                <w:lang w:val="en-US"/>
              </w:rPr>
              <w:t xml:space="preserve"> Lily Wang, </w:t>
            </w:r>
            <w:proofErr w:type="spellStart"/>
            <w:r w:rsidRPr="001B5B03">
              <w:rPr>
                <w:b/>
                <w:sz w:val="20"/>
                <w:szCs w:val="20"/>
                <w:lang w:val="en-US"/>
              </w:rPr>
              <w:t>Daiming</w:t>
            </w:r>
            <w:proofErr w:type="spellEnd"/>
            <w:r w:rsidRPr="001B5B03">
              <w:rPr>
                <w:b/>
                <w:sz w:val="20"/>
                <w:szCs w:val="20"/>
                <w:lang w:val="en-US"/>
              </w:rPr>
              <w:t xml:space="preserve"> Robert Li c. Alberta Health Services</w:t>
            </w:r>
          </w:p>
          <w:p w:rsidR="00197413" w:rsidRPr="00197413" w:rsidRDefault="00197413" w:rsidP="00197413">
            <w:pPr>
              <w:jc w:val="both"/>
              <w:rPr>
                <w:sz w:val="20"/>
                <w:lang w:val="fr-CA"/>
              </w:rPr>
            </w:pPr>
            <w:r w:rsidRPr="00197413">
              <w:rPr>
                <w:sz w:val="20"/>
                <w:lang w:val="fr-CA"/>
              </w:rPr>
              <w:t>(Alb.) (Civile) (Autorisation)</w:t>
            </w:r>
          </w:p>
        </w:tc>
      </w:tr>
      <w:tr w:rsidR="00197413" w:rsidRPr="00197413" w:rsidTr="00E95A6A">
        <w:tc>
          <w:tcPr>
            <w:tcW w:w="5000" w:type="pct"/>
            <w:gridSpan w:val="4"/>
          </w:tcPr>
          <w:p w:rsidR="00197413" w:rsidRPr="00197413" w:rsidRDefault="00197413" w:rsidP="00197413">
            <w:pPr>
              <w:jc w:val="both"/>
              <w:rPr>
                <w:sz w:val="20"/>
                <w:lang w:val="fr-CA"/>
              </w:rPr>
            </w:pPr>
            <w:r w:rsidRPr="00197413">
              <w:rPr>
                <w:sz w:val="20"/>
                <w:lang w:val="fr-CA"/>
              </w:rPr>
              <w:t>Droit de la santé — Santé publique — Vie privée — Accès à des immeubles locatifs pour des inspections sanitaires — Une habitation individuelle de propriété privée doit-elle être considérée comme un « lieu public » ou un « lieu privé » dans le contexte de pouvoirs d’inspection d’un organisme gouvernemental? — L’accès à des immeubles locatifs sans motif raisonnable et probable viole</w:t>
            </w:r>
            <w:r w:rsidRPr="00197413">
              <w:rPr>
                <w:sz w:val="20"/>
                <w:lang w:val="fr-CA"/>
              </w:rPr>
              <w:noBreakHyphen/>
              <w:t>t</w:t>
            </w:r>
            <w:r w:rsidRPr="00197413">
              <w:rPr>
                <w:sz w:val="20"/>
                <w:lang w:val="fr-CA"/>
              </w:rPr>
              <w:noBreakHyphen/>
              <w:t xml:space="preserve">elle l’article 8 de la </w:t>
            </w:r>
            <w:r w:rsidRPr="00197413">
              <w:rPr>
                <w:i/>
                <w:sz w:val="20"/>
                <w:lang w:val="fr-CA"/>
              </w:rPr>
              <w:t>Charte</w:t>
            </w:r>
            <w:r w:rsidRPr="00197413">
              <w:rPr>
                <w:sz w:val="20"/>
                <w:lang w:val="fr-CA"/>
              </w:rPr>
              <w:t xml:space="preserve">? — </w:t>
            </w:r>
            <w:r w:rsidRPr="00197413">
              <w:rPr>
                <w:i/>
                <w:sz w:val="20"/>
                <w:lang w:val="fr-CA"/>
              </w:rPr>
              <w:t>Public Health Act</w:t>
            </w:r>
            <w:r w:rsidRPr="00197413">
              <w:rPr>
                <w:sz w:val="20"/>
                <w:lang w:val="fr-CA"/>
              </w:rPr>
              <w:t>, RSA 2000, ch. P</w:t>
            </w:r>
            <w:r w:rsidRPr="00197413">
              <w:rPr>
                <w:sz w:val="20"/>
                <w:lang w:val="fr-CA"/>
              </w:rPr>
              <w:noBreakHyphen/>
              <w:t>37</w:t>
            </w:r>
          </w:p>
        </w:tc>
      </w:tr>
      <w:tr w:rsidR="00197413" w:rsidRPr="00197413" w:rsidTr="00E95A6A">
        <w:tc>
          <w:tcPr>
            <w:tcW w:w="5000" w:type="pct"/>
            <w:gridSpan w:val="4"/>
          </w:tcPr>
          <w:p w:rsidR="00197413" w:rsidRPr="00197413" w:rsidRDefault="00197413" w:rsidP="00197413">
            <w:pPr>
              <w:jc w:val="both"/>
              <w:rPr>
                <w:sz w:val="20"/>
                <w:lang w:val="fr-CA"/>
              </w:rPr>
            </w:pPr>
          </w:p>
        </w:tc>
      </w:tr>
      <w:tr w:rsidR="00197413" w:rsidRPr="00197413" w:rsidTr="00E95A6A">
        <w:tc>
          <w:tcPr>
            <w:tcW w:w="5000" w:type="pct"/>
            <w:gridSpan w:val="4"/>
          </w:tcPr>
          <w:p w:rsidR="00197413" w:rsidRPr="00197413" w:rsidRDefault="00197413" w:rsidP="00197413">
            <w:pPr>
              <w:jc w:val="both"/>
              <w:rPr>
                <w:sz w:val="20"/>
                <w:lang w:val="fr-CA"/>
              </w:rPr>
            </w:pPr>
            <w:r w:rsidRPr="00197413">
              <w:rPr>
                <w:sz w:val="20"/>
                <w:lang w:val="fr-CA"/>
              </w:rPr>
              <w:t xml:space="preserve">Xiaoli Lily Wang et Daiming Li sont propriétaires de plusieurs immeubles locatifs à Calgary (Alberta). En 2014, Alberta Health Services [« AHS »] a envoyé des avis à Mme Wang et à M. Li, les informant qu’il entendait faire des inspections de santé et de sécurité de certains de leurs immeubles. Les destinataires n’ont pas obtempéré aux avis. En conséquence, AHS a déposé une demande à la Cour du Banc de la Reine de l’Alberta pour obtenir l’accès par ordonnance judiciaire. En octobre 2014, la Cour du Banc de la Reine de l’Alberta a ordonné à Mme Wang et à M. Li de donner accès à AHS en vertu de la </w:t>
            </w:r>
            <w:r w:rsidRPr="00197413">
              <w:rPr>
                <w:i/>
                <w:sz w:val="20"/>
                <w:lang w:val="fr-CA"/>
              </w:rPr>
              <w:t>Public Health Act</w:t>
            </w:r>
            <w:r w:rsidRPr="00197413">
              <w:rPr>
                <w:sz w:val="20"/>
                <w:lang w:val="fr-CA"/>
              </w:rPr>
              <w:t>, RSA 2000, ch. P</w:t>
            </w:r>
            <w:r w:rsidRPr="00197413">
              <w:rPr>
                <w:sz w:val="20"/>
                <w:lang w:val="fr-CA"/>
              </w:rPr>
              <w:noBreakHyphen/>
              <w:t>37. En mars 2015, la Cour du Banc de la Reine de l’Alberta a rejeté une demande d’annulation ou de modification de l’ordonnance. La Cour d’appel de l’Alberta a rejeté l’appel en octobre 2018.</w:t>
            </w:r>
          </w:p>
          <w:p w:rsidR="00197413" w:rsidRPr="00197413" w:rsidRDefault="00197413" w:rsidP="00197413">
            <w:pPr>
              <w:jc w:val="both"/>
              <w:rPr>
                <w:sz w:val="20"/>
                <w:lang w:val="fr-CA"/>
              </w:rPr>
            </w:pPr>
          </w:p>
        </w:tc>
      </w:tr>
      <w:tr w:rsidR="00197413" w:rsidRPr="00197413" w:rsidTr="00E95A6A">
        <w:tc>
          <w:tcPr>
            <w:tcW w:w="2427" w:type="pct"/>
            <w:gridSpan w:val="2"/>
          </w:tcPr>
          <w:p w:rsidR="00197413" w:rsidRPr="00197413" w:rsidRDefault="00197413" w:rsidP="00197413">
            <w:pPr>
              <w:jc w:val="both"/>
              <w:rPr>
                <w:sz w:val="20"/>
                <w:lang w:val="fr-CA"/>
              </w:rPr>
            </w:pPr>
            <w:r w:rsidRPr="00197413">
              <w:rPr>
                <w:sz w:val="20"/>
                <w:lang w:val="fr-CA"/>
              </w:rPr>
              <w:t>23 octobre 2014</w:t>
            </w:r>
          </w:p>
          <w:p w:rsidR="00197413" w:rsidRPr="00197413" w:rsidRDefault="00197413" w:rsidP="00197413">
            <w:pPr>
              <w:jc w:val="both"/>
              <w:rPr>
                <w:sz w:val="20"/>
                <w:lang w:val="fr-CA"/>
              </w:rPr>
            </w:pPr>
            <w:r w:rsidRPr="00197413">
              <w:rPr>
                <w:sz w:val="20"/>
                <w:lang w:val="fr-CA"/>
              </w:rPr>
              <w:t>Cour du Banc de la Reine de l’Alberta</w:t>
            </w:r>
          </w:p>
          <w:p w:rsidR="00197413" w:rsidRPr="00197413" w:rsidRDefault="00197413" w:rsidP="00197413">
            <w:pPr>
              <w:jc w:val="both"/>
              <w:rPr>
                <w:sz w:val="20"/>
                <w:lang w:val="fr-CA"/>
              </w:rPr>
            </w:pPr>
            <w:r w:rsidRPr="00197413">
              <w:rPr>
                <w:sz w:val="20"/>
                <w:lang w:val="fr-CA"/>
              </w:rPr>
              <w:t>(Juge Erb)</w:t>
            </w:r>
          </w:p>
          <w:p w:rsidR="00197413" w:rsidRPr="00197413" w:rsidRDefault="00197413" w:rsidP="00197413">
            <w:pPr>
              <w:jc w:val="both"/>
              <w:rPr>
                <w:sz w:val="20"/>
                <w:lang w:val="fr-CA"/>
              </w:rPr>
            </w:pPr>
            <w:r w:rsidRPr="00197413">
              <w:rPr>
                <w:sz w:val="20"/>
                <w:lang w:val="fr-CA"/>
              </w:rPr>
              <w:lastRenderedPageBreak/>
              <w:t>1401-10235 (non publié)</w:t>
            </w:r>
          </w:p>
          <w:p w:rsidR="00197413" w:rsidRPr="00197413" w:rsidRDefault="00197413" w:rsidP="00197413">
            <w:pPr>
              <w:jc w:val="both"/>
              <w:rPr>
                <w:sz w:val="20"/>
                <w:lang w:val="fr-CA"/>
              </w:rPr>
            </w:pPr>
          </w:p>
        </w:tc>
        <w:tc>
          <w:tcPr>
            <w:tcW w:w="243" w:type="pct"/>
          </w:tcPr>
          <w:p w:rsidR="00197413" w:rsidRPr="00197413" w:rsidRDefault="00197413" w:rsidP="00197413">
            <w:pPr>
              <w:jc w:val="both"/>
              <w:rPr>
                <w:sz w:val="20"/>
                <w:lang w:val="fr-CA"/>
              </w:rPr>
            </w:pPr>
          </w:p>
        </w:tc>
        <w:tc>
          <w:tcPr>
            <w:tcW w:w="2330" w:type="pct"/>
          </w:tcPr>
          <w:p w:rsidR="00197413" w:rsidRPr="00197413" w:rsidRDefault="00197413" w:rsidP="00197413">
            <w:pPr>
              <w:jc w:val="both"/>
              <w:rPr>
                <w:sz w:val="20"/>
                <w:lang w:val="fr-CA"/>
              </w:rPr>
            </w:pPr>
            <w:r w:rsidRPr="00197413">
              <w:rPr>
                <w:sz w:val="20"/>
                <w:lang w:val="fr-CA"/>
              </w:rPr>
              <w:t>Ordonnance donnant à Alberta Health Services accès aux immeubles appartenant à Xiaoli Lily Wang et à Daiming Li.</w:t>
            </w:r>
          </w:p>
        </w:tc>
      </w:tr>
      <w:tr w:rsidR="00197413" w:rsidRPr="00197413" w:rsidTr="00E95A6A">
        <w:tc>
          <w:tcPr>
            <w:tcW w:w="2427" w:type="pct"/>
            <w:gridSpan w:val="2"/>
          </w:tcPr>
          <w:p w:rsidR="00197413" w:rsidRPr="00197413" w:rsidRDefault="00197413" w:rsidP="00197413">
            <w:pPr>
              <w:jc w:val="both"/>
              <w:rPr>
                <w:sz w:val="20"/>
                <w:lang w:val="fr-CA"/>
              </w:rPr>
            </w:pPr>
            <w:r w:rsidRPr="00197413">
              <w:rPr>
                <w:sz w:val="20"/>
                <w:lang w:val="fr-CA"/>
              </w:rPr>
              <w:t>13 mars 2015</w:t>
            </w:r>
          </w:p>
          <w:p w:rsidR="00197413" w:rsidRPr="00197413" w:rsidRDefault="00197413" w:rsidP="00197413">
            <w:pPr>
              <w:jc w:val="both"/>
              <w:rPr>
                <w:sz w:val="20"/>
                <w:lang w:val="fr-CA"/>
              </w:rPr>
            </w:pPr>
            <w:r w:rsidRPr="00197413">
              <w:rPr>
                <w:sz w:val="20"/>
                <w:lang w:val="fr-CA"/>
              </w:rPr>
              <w:t>Cour du Banc de la Reine de l’Alberta</w:t>
            </w:r>
          </w:p>
          <w:p w:rsidR="00197413" w:rsidRPr="00197413" w:rsidRDefault="00197413" w:rsidP="00197413">
            <w:pPr>
              <w:jc w:val="both"/>
              <w:rPr>
                <w:sz w:val="20"/>
                <w:lang w:val="fr-CA"/>
              </w:rPr>
            </w:pPr>
            <w:r w:rsidRPr="00197413">
              <w:rPr>
                <w:sz w:val="20"/>
                <w:lang w:val="fr-CA"/>
              </w:rPr>
              <w:t>(Juge Jeffrey)</w:t>
            </w:r>
          </w:p>
          <w:p w:rsidR="00197413" w:rsidRPr="00197413" w:rsidRDefault="00197413" w:rsidP="00197413">
            <w:pPr>
              <w:jc w:val="both"/>
              <w:rPr>
                <w:sz w:val="20"/>
                <w:lang w:val="fr-CA"/>
              </w:rPr>
            </w:pPr>
            <w:r w:rsidRPr="00197413">
              <w:rPr>
                <w:sz w:val="20"/>
                <w:lang w:val="fr-CA"/>
              </w:rPr>
              <w:t>1401</w:t>
            </w:r>
            <w:r w:rsidRPr="00197413">
              <w:rPr>
                <w:sz w:val="20"/>
                <w:lang w:val="fr-CA"/>
              </w:rPr>
              <w:noBreakHyphen/>
              <w:t>10235 (non publié)</w:t>
            </w:r>
          </w:p>
          <w:p w:rsidR="00197413" w:rsidRPr="00197413" w:rsidRDefault="00197413" w:rsidP="00197413">
            <w:pPr>
              <w:jc w:val="both"/>
              <w:rPr>
                <w:sz w:val="20"/>
                <w:lang w:val="fr-CA"/>
              </w:rPr>
            </w:pPr>
          </w:p>
        </w:tc>
        <w:tc>
          <w:tcPr>
            <w:tcW w:w="243" w:type="pct"/>
          </w:tcPr>
          <w:p w:rsidR="00197413" w:rsidRPr="00197413" w:rsidRDefault="00197413" w:rsidP="00197413">
            <w:pPr>
              <w:jc w:val="both"/>
              <w:rPr>
                <w:sz w:val="20"/>
                <w:lang w:val="fr-CA"/>
              </w:rPr>
            </w:pPr>
          </w:p>
        </w:tc>
        <w:tc>
          <w:tcPr>
            <w:tcW w:w="2330" w:type="pct"/>
          </w:tcPr>
          <w:p w:rsidR="00197413" w:rsidRPr="00197413" w:rsidRDefault="00197413" w:rsidP="00197413">
            <w:pPr>
              <w:jc w:val="both"/>
              <w:rPr>
                <w:sz w:val="20"/>
                <w:lang w:val="fr-CA"/>
              </w:rPr>
            </w:pPr>
            <w:r w:rsidRPr="00197413">
              <w:rPr>
                <w:sz w:val="20"/>
                <w:lang w:val="fr-CA"/>
              </w:rPr>
              <w:t>Rejet de la demande d’annulation ou de modification de l’ordonnance.</w:t>
            </w:r>
          </w:p>
          <w:p w:rsidR="00197413" w:rsidRPr="00197413" w:rsidRDefault="00197413" w:rsidP="00197413">
            <w:pPr>
              <w:jc w:val="both"/>
              <w:rPr>
                <w:sz w:val="20"/>
                <w:lang w:val="fr-CA"/>
              </w:rPr>
            </w:pPr>
          </w:p>
        </w:tc>
      </w:tr>
      <w:tr w:rsidR="00197413" w:rsidRPr="00197413" w:rsidTr="00E95A6A">
        <w:tc>
          <w:tcPr>
            <w:tcW w:w="2427" w:type="pct"/>
            <w:gridSpan w:val="2"/>
          </w:tcPr>
          <w:p w:rsidR="00197413" w:rsidRPr="00197413" w:rsidRDefault="00197413" w:rsidP="00197413">
            <w:pPr>
              <w:jc w:val="both"/>
              <w:rPr>
                <w:sz w:val="20"/>
                <w:lang w:val="fr-CA"/>
              </w:rPr>
            </w:pPr>
            <w:r w:rsidRPr="00197413">
              <w:rPr>
                <w:sz w:val="20"/>
                <w:lang w:val="fr-CA"/>
              </w:rPr>
              <w:t>16 octobre 2018</w:t>
            </w:r>
          </w:p>
          <w:p w:rsidR="00197413" w:rsidRPr="00197413" w:rsidRDefault="00197413" w:rsidP="00197413">
            <w:pPr>
              <w:jc w:val="both"/>
              <w:rPr>
                <w:sz w:val="20"/>
                <w:lang w:val="fr-CA"/>
              </w:rPr>
            </w:pPr>
            <w:r w:rsidRPr="00197413">
              <w:rPr>
                <w:sz w:val="20"/>
                <w:lang w:val="fr-CA"/>
              </w:rPr>
              <w:t>Cour d’appel de l’Alberta (Calgary)</w:t>
            </w:r>
          </w:p>
          <w:p w:rsidR="00197413" w:rsidRPr="00197413" w:rsidRDefault="00197413" w:rsidP="00197413">
            <w:pPr>
              <w:jc w:val="both"/>
              <w:rPr>
                <w:sz w:val="20"/>
                <w:lang w:val="fr-CA"/>
              </w:rPr>
            </w:pPr>
            <w:r w:rsidRPr="00197413">
              <w:rPr>
                <w:sz w:val="20"/>
                <w:lang w:val="fr-CA"/>
              </w:rPr>
              <w:t>(Juges O'Ferrall, Khullar et Crighton)</w:t>
            </w:r>
          </w:p>
          <w:p w:rsidR="00197413" w:rsidRPr="00197413" w:rsidRDefault="00197413" w:rsidP="00197413">
            <w:pPr>
              <w:jc w:val="both"/>
              <w:rPr>
                <w:sz w:val="20"/>
                <w:lang w:val="fr-CA"/>
              </w:rPr>
            </w:pPr>
            <w:hyperlink r:id="rId74" w:history="1">
              <w:r w:rsidRPr="00197413">
                <w:rPr>
                  <w:rStyle w:val="Hyperlink"/>
                  <w:sz w:val="20"/>
                  <w:lang w:val="fr-CA"/>
                </w:rPr>
                <w:t>2018 ABCA 339</w:t>
              </w:r>
            </w:hyperlink>
          </w:p>
          <w:p w:rsidR="00197413" w:rsidRPr="00197413" w:rsidRDefault="00197413" w:rsidP="00197413">
            <w:pPr>
              <w:jc w:val="both"/>
              <w:rPr>
                <w:sz w:val="20"/>
                <w:lang w:val="fr-CA"/>
              </w:rPr>
            </w:pPr>
          </w:p>
        </w:tc>
        <w:tc>
          <w:tcPr>
            <w:tcW w:w="243" w:type="pct"/>
          </w:tcPr>
          <w:p w:rsidR="00197413" w:rsidRPr="00197413" w:rsidRDefault="00197413" w:rsidP="00197413">
            <w:pPr>
              <w:jc w:val="both"/>
              <w:rPr>
                <w:sz w:val="20"/>
                <w:lang w:val="fr-CA"/>
              </w:rPr>
            </w:pPr>
          </w:p>
        </w:tc>
        <w:tc>
          <w:tcPr>
            <w:tcW w:w="2330" w:type="pct"/>
          </w:tcPr>
          <w:p w:rsidR="00197413" w:rsidRPr="00197413" w:rsidRDefault="00197413" w:rsidP="00197413">
            <w:pPr>
              <w:jc w:val="both"/>
              <w:rPr>
                <w:sz w:val="20"/>
                <w:lang w:val="fr-CA"/>
              </w:rPr>
            </w:pPr>
            <w:r w:rsidRPr="00197413">
              <w:rPr>
                <w:sz w:val="20"/>
                <w:lang w:val="fr-CA"/>
              </w:rPr>
              <w:t>Rejet de l’appel.</w:t>
            </w:r>
          </w:p>
          <w:p w:rsidR="00197413" w:rsidRPr="00197413" w:rsidRDefault="00197413" w:rsidP="00197413">
            <w:pPr>
              <w:jc w:val="both"/>
              <w:rPr>
                <w:sz w:val="20"/>
                <w:lang w:val="fr-CA"/>
              </w:rPr>
            </w:pPr>
          </w:p>
        </w:tc>
      </w:tr>
      <w:tr w:rsidR="00197413" w:rsidRPr="00197413" w:rsidTr="00E95A6A">
        <w:tc>
          <w:tcPr>
            <w:tcW w:w="2427" w:type="pct"/>
            <w:gridSpan w:val="2"/>
          </w:tcPr>
          <w:p w:rsidR="00197413" w:rsidRPr="00197413" w:rsidRDefault="00197413" w:rsidP="00197413">
            <w:pPr>
              <w:jc w:val="both"/>
              <w:rPr>
                <w:sz w:val="20"/>
                <w:lang w:val="fr-CA"/>
              </w:rPr>
            </w:pPr>
            <w:r w:rsidRPr="00197413">
              <w:rPr>
                <w:sz w:val="20"/>
                <w:lang w:val="fr-CA"/>
              </w:rPr>
              <w:t>14 décembre 2018</w:t>
            </w:r>
          </w:p>
          <w:p w:rsidR="00197413" w:rsidRPr="00197413" w:rsidRDefault="00197413" w:rsidP="00197413">
            <w:pPr>
              <w:jc w:val="both"/>
              <w:rPr>
                <w:sz w:val="20"/>
                <w:lang w:val="fr-CA"/>
              </w:rPr>
            </w:pPr>
            <w:r w:rsidRPr="00197413">
              <w:rPr>
                <w:sz w:val="20"/>
                <w:lang w:val="fr-CA"/>
              </w:rPr>
              <w:t>Cour suprême du Canada</w:t>
            </w:r>
          </w:p>
        </w:tc>
        <w:tc>
          <w:tcPr>
            <w:tcW w:w="243" w:type="pct"/>
          </w:tcPr>
          <w:p w:rsidR="00197413" w:rsidRPr="00197413" w:rsidRDefault="00197413" w:rsidP="00197413">
            <w:pPr>
              <w:jc w:val="both"/>
              <w:rPr>
                <w:sz w:val="20"/>
                <w:lang w:val="fr-CA"/>
              </w:rPr>
            </w:pPr>
          </w:p>
        </w:tc>
        <w:tc>
          <w:tcPr>
            <w:tcW w:w="2330" w:type="pct"/>
          </w:tcPr>
          <w:p w:rsidR="00197413" w:rsidRPr="00197413" w:rsidRDefault="00197413" w:rsidP="00197413">
            <w:pPr>
              <w:jc w:val="both"/>
              <w:rPr>
                <w:sz w:val="20"/>
                <w:lang w:val="fr-CA"/>
              </w:rPr>
            </w:pPr>
            <w:r w:rsidRPr="00197413">
              <w:rPr>
                <w:sz w:val="20"/>
                <w:lang w:val="fr-CA"/>
              </w:rPr>
              <w:t>Dépôt de la demande d’autorisation d’appel</w:t>
            </w:r>
          </w:p>
          <w:p w:rsidR="00197413" w:rsidRPr="00197413" w:rsidRDefault="00197413" w:rsidP="00197413">
            <w:pPr>
              <w:jc w:val="both"/>
              <w:rPr>
                <w:sz w:val="20"/>
                <w:lang w:val="fr-CA"/>
              </w:rPr>
            </w:pPr>
          </w:p>
        </w:tc>
      </w:tr>
    </w:tbl>
    <w:p w:rsidR="00197413" w:rsidRDefault="00197413" w:rsidP="00197413">
      <w:pPr>
        <w:jc w:val="both"/>
        <w:rPr>
          <w:sz w:val="20"/>
          <w:lang w:val="fr-CA"/>
        </w:rPr>
      </w:pPr>
    </w:p>
    <w:p w:rsidR="001B5B03" w:rsidRPr="00197413" w:rsidRDefault="001B5B03" w:rsidP="00197413">
      <w:pPr>
        <w:jc w:val="both"/>
        <w:rPr>
          <w:sz w:val="20"/>
          <w:lang w:val="fr-CA"/>
        </w:rPr>
      </w:pPr>
      <w:r>
        <w:rPr>
          <w:sz w:val="20"/>
        </w:rPr>
        <w:pict>
          <v:rect id="_x0000_i1065" style="width:2in;height:1pt" o:hrpct="0" o:hralign="center" o:hrstd="t" o:hrnoshade="t" o:hr="t" fillcolor="black [3213]" stroked="f"/>
        </w:pict>
      </w:r>
    </w:p>
    <w:p w:rsidR="00C91655" w:rsidRPr="00197413" w:rsidRDefault="00C91655" w:rsidP="0019741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97413" w:rsidRPr="00197413" w:rsidTr="00E95A6A">
        <w:tc>
          <w:tcPr>
            <w:tcW w:w="543" w:type="pct"/>
          </w:tcPr>
          <w:p w:rsidR="00197413" w:rsidRPr="00197413" w:rsidRDefault="00197413" w:rsidP="00197413">
            <w:pPr>
              <w:jc w:val="both"/>
              <w:rPr>
                <w:sz w:val="20"/>
              </w:rPr>
            </w:pPr>
            <w:r w:rsidRPr="00197413">
              <w:rPr>
                <w:rStyle w:val="SCCFileNumberChar"/>
                <w:sz w:val="20"/>
                <w:szCs w:val="20"/>
              </w:rPr>
              <w:t>38359</w:t>
            </w:r>
          </w:p>
        </w:tc>
        <w:tc>
          <w:tcPr>
            <w:tcW w:w="4457" w:type="pct"/>
            <w:gridSpan w:val="3"/>
          </w:tcPr>
          <w:p w:rsidR="00197413" w:rsidRPr="001B5B03" w:rsidRDefault="00197413" w:rsidP="00197413">
            <w:pPr>
              <w:pStyle w:val="SCCLsocParty"/>
              <w:jc w:val="both"/>
              <w:rPr>
                <w:b/>
                <w:sz w:val="20"/>
                <w:szCs w:val="20"/>
                <w:lang w:val="en-US"/>
              </w:rPr>
            </w:pPr>
            <w:r w:rsidRPr="001B5B03">
              <w:rPr>
                <w:b/>
                <w:sz w:val="20"/>
                <w:szCs w:val="20"/>
                <w:lang w:val="en-US"/>
              </w:rPr>
              <w:t xml:space="preserve">Michael </w:t>
            </w:r>
            <w:proofErr w:type="spellStart"/>
            <w:r w:rsidRPr="001B5B03">
              <w:rPr>
                <w:b/>
                <w:sz w:val="20"/>
                <w:szCs w:val="20"/>
                <w:lang w:val="en-US"/>
              </w:rPr>
              <w:t>Yar</w:t>
            </w:r>
            <w:proofErr w:type="spellEnd"/>
            <w:r w:rsidRPr="001B5B03">
              <w:rPr>
                <w:b/>
                <w:sz w:val="20"/>
                <w:szCs w:val="20"/>
                <w:lang w:val="en-US"/>
              </w:rPr>
              <w:t xml:space="preserve"> </w:t>
            </w:r>
            <w:proofErr w:type="spellStart"/>
            <w:r w:rsidRPr="001B5B03">
              <w:rPr>
                <w:b/>
                <w:sz w:val="20"/>
                <w:szCs w:val="20"/>
                <w:lang w:val="en-US"/>
              </w:rPr>
              <w:t>Zuk</w:t>
            </w:r>
            <w:proofErr w:type="spellEnd"/>
            <w:r w:rsidRPr="001B5B03">
              <w:rPr>
                <w:b/>
                <w:sz w:val="20"/>
                <w:szCs w:val="20"/>
                <w:lang w:val="en-US"/>
              </w:rPr>
              <w:t xml:space="preserve"> v. Alberta Dental Association and College, The Appeal Panel of the Council of the Alberta Dental Association and College</w:t>
            </w:r>
          </w:p>
          <w:p w:rsidR="00197413" w:rsidRPr="00197413" w:rsidRDefault="00197413" w:rsidP="00197413">
            <w:pPr>
              <w:jc w:val="both"/>
              <w:rPr>
                <w:sz w:val="20"/>
              </w:rPr>
            </w:pPr>
            <w:r w:rsidRPr="00197413">
              <w:rPr>
                <w:sz w:val="20"/>
              </w:rPr>
              <w:t>(Alta.) (Civil) (By Leave)</w:t>
            </w:r>
          </w:p>
        </w:tc>
      </w:tr>
      <w:tr w:rsidR="00197413" w:rsidRPr="00197413" w:rsidTr="00E95A6A">
        <w:tc>
          <w:tcPr>
            <w:tcW w:w="5000" w:type="pct"/>
            <w:gridSpan w:val="4"/>
          </w:tcPr>
          <w:p w:rsidR="00197413" w:rsidRPr="00197413" w:rsidRDefault="00197413" w:rsidP="00197413">
            <w:pPr>
              <w:jc w:val="both"/>
              <w:rPr>
                <w:sz w:val="20"/>
              </w:rPr>
            </w:pPr>
            <w:r w:rsidRPr="00197413">
              <w:rPr>
                <w:i/>
                <w:sz w:val="20"/>
              </w:rPr>
              <w:t>Charter of Rights</w:t>
            </w:r>
            <w:r w:rsidRPr="00197413">
              <w:rPr>
                <w:sz w:val="20"/>
              </w:rPr>
              <w:t xml:space="preserve"> — Freedom of expression — Whether the Court of Appeal erred in failing to apply a robust approach to the balancing and reasonableness process in the regulation of speech by a professional regulatory body — The College is a statutory body that exercises governmental authority and the Court of Appeal should have scrutinized the decisions below that resulted in the punishment of Dr. Zuk for his expression — Whether the Court of Appeal erred in finding that Dr. </w:t>
            </w:r>
            <w:proofErr w:type="spellStart"/>
            <w:r w:rsidRPr="00197413">
              <w:rPr>
                <w:sz w:val="20"/>
              </w:rPr>
              <w:t>Zuk’s</w:t>
            </w:r>
            <w:proofErr w:type="spellEnd"/>
            <w:r w:rsidRPr="00197413">
              <w:rPr>
                <w:sz w:val="20"/>
              </w:rPr>
              <w:t xml:space="preserve"> public communications should be labeled as advertising — Whether the Court of Appeal erred in finding that the value of protecting the dignity and integrity of the dental profession was sufficient to overcome Dr. </w:t>
            </w:r>
            <w:proofErr w:type="spellStart"/>
            <w:r w:rsidRPr="00197413">
              <w:rPr>
                <w:sz w:val="20"/>
              </w:rPr>
              <w:t>Zuk’s</w:t>
            </w:r>
            <w:proofErr w:type="spellEnd"/>
            <w:r w:rsidRPr="00197413">
              <w:rPr>
                <w:sz w:val="20"/>
              </w:rPr>
              <w:t xml:space="preserve"> expressive rights – </w:t>
            </w:r>
            <w:r w:rsidRPr="00197413">
              <w:rPr>
                <w:i/>
                <w:sz w:val="20"/>
              </w:rPr>
              <w:t>Charter of Rights and Freedoms</w:t>
            </w:r>
            <w:r w:rsidRPr="00197413">
              <w:rPr>
                <w:sz w:val="20"/>
              </w:rPr>
              <w:t>, s. 2(b).</w:t>
            </w:r>
          </w:p>
          <w:p w:rsidR="00197413" w:rsidRPr="00197413" w:rsidRDefault="00197413" w:rsidP="00197413">
            <w:pPr>
              <w:jc w:val="both"/>
              <w:rPr>
                <w:sz w:val="20"/>
              </w:rPr>
            </w:pPr>
          </w:p>
        </w:tc>
      </w:tr>
      <w:tr w:rsidR="00197413" w:rsidRPr="00197413" w:rsidTr="00E95A6A">
        <w:tc>
          <w:tcPr>
            <w:tcW w:w="5000" w:type="pct"/>
            <w:gridSpan w:val="4"/>
          </w:tcPr>
          <w:p w:rsidR="00197413" w:rsidRPr="00197413" w:rsidRDefault="00197413" w:rsidP="00197413">
            <w:pPr>
              <w:jc w:val="both"/>
              <w:rPr>
                <w:sz w:val="20"/>
              </w:rPr>
            </w:pPr>
            <w:r w:rsidRPr="00197413">
              <w:rPr>
                <w:sz w:val="20"/>
                <w:lang w:val="en"/>
              </w:rPr>
              <w:t>Dr. </w:t>
            </w:r>
            <w:proofErr w:type="spellStart"/>
            <w:r w:rsidRPr="00197413">
              <w:rPr>
                <w:sz w:val="20"/>
                <w:lang w:val="en"/>
              </w:rPr>
              <w:t>Zuk</w:t>
            </w:r>
            <w:proofErr w:type="spellEnd"/>
            <w:r w:rsidRPr="00197413">
              <w:rPr>
                <w:sz w:val="20"/>
                <w:lang w:val="en"/>
              </w:rPr>
              <w:t xml:space="preserve"> is a dentist. The </w:t>
            </w:r>
            <w:r w:rsidRPr="00197413">
              <w:rPr>
                <w:sz w:val="20"/>
              </w:rPr>
              <w:t>Alberta Dental Association and College (</w:t>
            </w:r>
            <w:r w:rsidRPr="00197413">
              <w:rPr>
                <w:sz w:val="20"/>
                <w:lang w:val="en"/>
              </w:rPr>
              <w:t xml:space="preserve">“ADA+C”), is the governing body of the dentistry profession. The practice of dentistry is a regulated profession under the auspices of the </w:t>
            </w:r>
            <w:hyperlink r:id="rId75" w:history="1">
              <w:r w:rsidRPr="00197413">
                <w:rPr>
                  <w:bCs/>
                  <w:i/>
                  <w:iCs/>
                  <w:color w:val="000000"/>
                  <w:sz w:val="20"/>
                  <w:lang w:val="en"/>
                </w:rPr>
                <w:t>Health Professions Act</w:t>
              </w:r>
              <w:r w:rsidRPr="00197413">
                <w:rPr>
                  <w:color w:val="000000"/>
                  <w:sz w:val="20"/>
                  <w:lang w:val="en"/>
                </w:rPr>
                <w:t>, RSA 2000, c. H-7</w:t>
              </w:r>
            </w:hyperlink>
            <w:r w:rsidRPr="00197413">
              <w:rPr>
                <w:sz w:val="20"/>
                <w:lang w:val="en"/>
              </w:rPr>
              <w:t xml:space="preserve"> (</w:t>
            </w:r>
            <w:hyperlink r:id="rId76" w:history="1">
              <w:r w:rsidRPr="00197413">
                <w:rPr>
                  <w:bCs/>
                  <w:i/>
                  <w:iCs/>
                  <w:color w:val="000000"/>
                  <w:sz w:val="20"/>
                  <w:lang w:val="en"/>
                </w:rPr>
                <w:t>HPA</w:t>
              </w:r>
            </w:hyperlink>
            <w:r w:rsidRPr="00197413">
              <w:rPr>
                <w:sz w:val="20"/>
                <w:lang w:val="en"/>
              </w:rPr>
              <w:t>), which grants ADA+C certain powers to regulate the professionalism and ethics of its members. Beginning in late 2007, Dr. </w:t>
            </w:r>
            <w:proofErr w:type="spellStart"/>
            <w:r w:rsidRPr="00197413">
              <w:rPr>
                <w:sz w:val="20"/>
                <w:lang w:val="en"/>
              </w:rPr>
              <w:t>Zuk</w:t>
            </w:r>
            <w:proofErr w:type="spellEnd"/>
            <w:r w:rsidRPr="00197413">
              <w:rPr>
                <w:sz w:val="20"/>
                <w:lang w:val="en"/>
              </w:rPr>
              <w:t xml:space="preserve"> took to speaking out, through written, online, and interview publications about his practice, the profession, and the ADA+C. The ADA+C issued a Notice of Hearing to Dr. </w:t>
            </w:r>
            <w:proofErr w:type="spellStart"/>
            <w:r w:rsidRPr="00197413">
              <w:rPr>
                <w:sz w:val="20"/>
                <w:lang w:val="en"/>
              </w:rPr>
              <w:t>Zuk</w:t>
            </w:r>
            <w:proofErr w:type="spellEnd"/>
            <w:r w:rsidRPr="00197413">
              <w:rPr>
                <w:sz w:val="20"/>
                <w:lang w:val="en"/>
              </w:rPr>
              <w:t xml:space="preserve"> and commenced an investigation and referred all complaints to a discipline hearing. The Hearing Tribunal of the ADA+C held a hearing and found that Dr.  </w:t>
            </w:r>
            <w:proofErr w:type="spellStart"/>
            <w:r w:rsidRPr="00197413">
              <w:rPr>
                <w:sz w:val="20"/>
                <w:lang w:val="en"/>
              </w:rPr>
              <w:t>Zuk’s</w:t>
            </w:r>
            <w:proofErr w:type="spellEnd"/>
            <w:r w:rsidRPr="00197413">
              <w:rPr>
                <w:sz w:val="20"/>
                <w:lang w:val="en"/>
              </w:rPr>
              <w:t xml:space="preserve"> conduct constituted unprofessional conduct within the meaning of the </w:t>
            </w:r>
            <w:hyperlink r:id="rId77" w:history="1">
              <w:r w:rsidRPr="00197413">
                <w:rPr>
                  <w:bCs/>
                  <w:i/>
                  <w:iCs/>
                  <w:color w:val="000000"/>
                  <w:sz w:val="20"/>
                  <w:lang w:val="en"/>
                </w:rPr>
                <w:t>HPA</w:t>
              </w:r>
            </w:hyperlink>
            <w:r w:rsidRPr="00197413">
              <w:rPr>
                <w:i/>
                <w:iCs/>
                <w:sz w:val="20"/>
                <w:lang w:val="en"/>
              </w:rPr>
              <w:t xml:space="preserve"> </w:t>
            </w:r>
            <w:r w:rsidRPr="00197413">
              <w:rPr>
                <w:sz w:val="20"/>
                <w:lang w:val="en"/>
              </w:rPr>
              <w:t>and imposed sanctions. Dr. </w:t>
            </w:r>
            <w:proofErr w:type="spellStart"/>
            <w:r w:rsidRPr="00197413">
              <w:rPr>
                <w:sz w:val="20"/>
                <w:lang w:val="en"/>
              </w:rPr>
              <w:t>Zuk</w:t>
            </w:r>
            <w:proofErr w:type="spellEnd"/>
            <w:r w:rsidRPr="00197413">
              <w:rPr>
                <w:sz w:val="20"/>
                <w:lang w:val="en"/>
              </w:rPr>
              <w:t xml:space="preserve"> appealed to the Appeal Panel of the Council of the ADA+C (the “Council”). The Council dismissed Dr. </w:t>
            </w:r>
            <w:proofErr w:type="spellStart"/>
            <w:r w:rsidRPr="00197413">
              <w:rPr>
                <w:sz w:val="20"/>
                <w:lang w:val="en"/>
              </w:rPr>
              <w:t>Zuk’s</w:t>
            </w:r>
            <w:proofErr w:type="spellEnd"/>
            <w:r w:rsidRPr="00197413">
              <w:rPr>
                <w:sz w:val="20"/>
                <w:lang w:val="en"/>
              </w:rPr>
              <w:t xml:space="preserve"> appeal. </w:t>
            </w:r>
            <w:r w:rsidRPr="00197413">
              <w:rPr>
                <w:sz w:val="20"/>
              </w:rPr>
              <w:t xml:space="preserve">The Court of Appeal concluded: that </w:t>
            </w:r>
            <w:r w:rsidRPr="00197413">
              <w:rPr>
                <w:sz w:val="20"/>
                <w:lang w:val="en"/>
              </w:rPr>
              <w:t>though many of the Tribunal’s conclusions were affirmed, the appeal was allowed in part. The finding of unprofessional conduct for the breach of an undertaking (First Notice of Hearing, allegations 21 and 22) was unreasonable, as was the Hearing Tribunal’s assessment of the gravity of Dr. </w:t>
            </w:r>
            <w:proofErr w:type="spellStart"/>
            <w:r w:rsidRPr="00197413">
              <w:rPr>
                <w:sz w:val="20"/>
                <w:lang w:val="en"/>
              </w:rPr>
              <w:t>Zuk’s</w:t>
            </w:r>
            <w:proofErr w:type="spellEnd"/>
            <w:r w:rsidRPr="00197413">
              <w:rPr>
                <w:sz w:val="20"/>
                <w:lang w:val="en"/>
              </w:rPr>
              <w:t xml:space="preserve"> failure to cooperate with the investigator. The matter was referred back to the Council for consideration of sanction and costs.</w:t>
            </w:r>
          </w:p>
        </w:tc>
      </w:tr>
      <w:tr w:rsidR="00197413" w:rsidRPr="00197413" w:rsidTr="00E95A6A">
        <w:tc>
          <w:tcPr>
            <w:tcW w:w="5000" w:type="pct"/>
            <w:gridSpan w:val="4"/>
          </w:tcPr>
          <w:p w:rsidR="00197413" w:rsidRPr="00197413" w:rsidRDefault="00197413" w:rsidP="00197413">
            <w:pPr>
              <w:jc w:val="both"/>
              <w:rPr>
                <w:sz w:val="20"/>
                <w:lang w:val="en"/>
              </w:rPr>
            </w:pPr>
          </w:p>
        </w:tc>
      </w:tr>
      <w:tr w:rsidR="00197413" w:rsidRPr="00197413" w:rsidTr="00E95A6A">
        <w:tc>
          <w:tcPr>
            <w:tcW w:w="2427" w:type="pct"/>
            <w:gridSpan w:val="2"/>
          </w:tcPr>
          <w:p w:rsidR="00197413" w:rsidRPr="00197413" w:rsidRDefault="00197413" w:rsidP="00197413">
            <w:pPr>
              <w:jc w:val="both"/>
              <w:rPr>
                <w:sz w:val="20"/>
              </w:rPr>
            </w:pPr>
            <w:r w:rsidRPr="00197413">
              <w:rPr>
                <w:sz w:val="20"/>
              </w:rPr>
              <w:t>November 23, 2015</w:t>
            </w:r>
          </w:p>
          <w:p w:rsidR="00197413" w:rsidRPr="00197413" w:rsidRDefault="00197413" w:rsidP="00197413">
            <w:pPr>
              <w:jc w:val="both"/>
              <w:rPr>
                <w:sz w:val="20"/>
              </w:rPr>
            </w:pPr>
            <w:r w:rsidRPr="00197413">
              <w:rPr>
                <w:sz w:val="20"/>
              </w:rPr>
              <w:t>Council of the Alberta Dental Association and College</w:t>
            </w:r>
          </w:p>
          <w:p w:rsidR="00197413" w:rsidRPr="00197413" w:rsidRDefault="00197413" w:rsidP="00197413">
            <w:pPr>
              <w:jc w:val="both"/>
              <w:rPr>
                <w:sz w:val="20"/>
              </w:rPr>
            </w:pPr>
          </w:p>
        </w:tc>
        <w:tc>
          <w:tcPr>
            <w:tcW w:w="243" w:type="pct"/>
          </w:tcPr>
          <w:p w:rsidR="00197413" w:rsidRPr="00197413" w:rsidRDefault="00197413" w:rsidP="00197413">
            <w:pPr>
              <w:jc w:val="both"/>
              <w:rPr>
                <w:sz w:val="20"/>
              </w:rPr>
            </w:pPr>
          </w:p>
        </w:tc>
        <w:tc>
          <w:tcPr>
            <w:tcW w:w="2330" w:type="pct"/>
          </w:tcPr>
          <w:p w:rsidR="00197413" w:rsidRPr="00197413" w:rsidRDefault="00197413" w:rsidP="00197413">
            <w:pPr>
              <w:jc w:val="both"/>
              <w:rPr>
                <w:sz w:val="20"/>
              </w:rPr>
            </w:pPr>
            <w:r w:rsidRPr="00197413">
              <w:rPr>
                <w:sz w:val="20"/>
              </w:rPr>
              <w:t>Applicant found guilty of numerous counts of professional misconduct</w:t>
            </w:r>
          </w:p>
        </w:tc>
      </w:tr>
      <w:tr w:rsidR="00197413" w:rsidRPr="00197413" w:rsidTr="00E95A6A">
        <w:tc>
          <w:tcPr>
            <w:tcW w:w="2427" w:type="pct"/>
            <w:gridSpan w:val="2"/>
          </w:tcPr>
          <w:p w:rsidR="00197413" w:rsidRPr="00197413" w:rsidRDefault="00197413" w:rsidP="00197413">
            <w:pPr>
              <w:jc w:val="both"/>
              <w:rPr>
                <w:sz w:val="20"/>
              </w:rPr>
            </w:pPr>
            <w:r w:rsidRPr="00197413">
              <w:rPr>
                <w:sz w:val="20"/>
              </w:rPr>
              <w:t>June 14, 2016</w:t>
            </w:r>
          </w:p>
          <w:p w:rsidR="00197413" w:rsidRPr="00197413" w:rsidRDefault="00197413" w:rsidP="00197413">
            <w:pPr>
              <w:jc w:val="both"/>
              <w:rPr>
                <w:sz w:val="20"/>
              </w:rPr>
            </w:pPr>
            <w:r w:rsidRPr="00197413">
              <w:rPr>
                <w:sz w:val="20"/>
              </w:rPr>
              <w:t>Council of the Alberta Dental Association and College</w:t>
            </w:r>
          </w:p>
          <w:p w:rsidR="00197413" w:rsidRPr="00197413" w:rsidRDefault="00197413" w:rsidP="00197413">
            <w:pPr>
              <w:jc w:val="both"/>
              <w:rPr>
                <w:sz w:val="20"/>
              </w:rPr>
            </w:pPr>
          </w:p>
        </w:tc>
        <w:tc>
          <w:tcPr>
            <w:tcW w:w="243" w:type="pct"/>
          </w:tcPr>
          <w:p w:rsidR="00197413" w:rsidRPr="00197413" w:rsidRDefault="00197413" w:rsidP="00197413">
            <w:pPr>
              <w:jc w:val="both"/>
              <w:rPr>
                <w:sz w:val="20"/>
              </w:rPr>
            </w:pPr>
          </w:p>
        </w:tc>
        <w:tc>
          <w:tcPr>
            <w:tcW w:w="2330" w:type="pct"/>
          </w:tcPr>
          <w:p w:rsidR="00197413" w:rsidRPr="00197413" w:rsidRDefault="00197413" w:rsidP="00197413">
            <w:pPr>
              <w:jc w:val="both"/>
              <w:rPr>
                <w:sz w:val="20"/>
              </w:rPr>
            </w:pPr>
            <w:r w:rsidRPr="00197413">
              <w:rPr>
                <w:sz w:val="20"/>
                <w:lang w:val="en"/>
              </w:rPr>
              <w:t>Sanctions imposed: one-year suspension of Dr. Zuk’s registration and $175,000 in costs</w:t>
            </w:r>
          </w:p>
        </w:tc>
      </w:tr>
      <w:tr w:rsidR="00197413" w:rsidRPr="00197413" w:rsidTr="00E95A6A">
        <w:tc>
          <w:tcPr>
            <w:tcW w:w="2427" w:type="pct"/>
            <w:gridSpan w:val="2"/>
          </w:tcPr>
          <w:p w:rsidR="00197413" w:rsidRPr="00197413" w:rsidRDefault="00197413" w:rsidP="00197413">
            <w:pPr>
              <w:jc w:val="both"/>
              <w:rPr>
                <w:sz w:val="20"/>
              </w:rPr>
            </w:pPr>
            <w:r w:rsidRPr="00197413">
              <w:rPr>
                <w:sz w:val="20"/>
              </w:rPr>
              <w:t>February 14, 2017</w:t>
            </w:r>
          </w:p>
          <w:p w:rsidR="00197413" w:rsidRPr="00197413" w:rsidRDefault="00197413" w:rsidP="00197413">
            <w:pPr>
              <w:jc w:val="both"/>
              <w:rPr>
                <w:sz w:val="20"/>
              </w:rPr>
            </w:pPr>
            <w:r w:rsidRPr="00197413">
              <w:rPr>
                <w:sz w:val="20"/>
              </w:rPr>
              <w:t xml:space="preserve">Appeal Panel of the Council of the Alberta </w:t>
            </w:r>
          </w:p>
          <w:p w:rsidR="00197413" w:rsidRPr="00197413" w:rsidRDefault="00197413" w:rsidP="00197413">
            <w:pPr>
              <w:jc w:val="both"/>
              <w:rPr>
                <w:sz w:val="20"/>
              </w:rPr>
            </w:pPr>
            <w:r w:rsidRPr="00197413">
              <w:rPr>
                <w:sz w:val="20"/>
              </w:rPr>
              <w:t>Dental Association and College</w:t>
            </w:r>
          </w:p>
          <w:p w:rsidR="00197413" w:rsidRPr="00197413" w:rsidRDefault="00197413" w:rsidP="00197413">
            <w:pPr>
              <w:jc w:val="both"/>
              <w:rPr>
                <w:sz w:val="20"/>
              </w:rPr>
            </w:pPr>
          </w:p>
        </w:tc>
        <w:tc>
          <w:tcPr>
            <w:tcW w:w="243" w:type="pct"/>
          </w:tcPr>
          <w:p w:rsidR="00197413" w:rsidRPr="00197413" w:rsidRDefault="00197413" w:rsidP="00197413">
            <w:pPr>
              <w:jc w:val="both"/>
              <w:rPr>
                <w:sz w:val="20"/>
              </w:rPr>
            </w:pPr>
          </w:p>
        </w:tc>
        <w:tc>
          <w:tcPr>
            <w:tcW w:w="2330" w:type="pct"/>
          </w:tcPr>
          <w:p w:rsidR="00197413" w:rsidRPr="00197413" w:rsidRDefault="00197413" w:rsidP="00197413">
            <w:pPr>
              <w:jc w:val="both"/>
              <w:rPr>
                <w:sz w:val="20"/>
              </w:rPr>
            </w:pPr>
            <w:r w:rsidRPr="00197413">
              <w:rPr>
                <w:sz w:val="20"/>
              </w:rPr>
              <w:t>Applicant’s appeal dismissed with $51,761.31 in costs</w:t>
            </w:r>
          </w:p>
          <w:p w:rsidR="00197413" w:rsidRPr="00197413" w:rsidRDefault="00197413" w:rsidP="00197413">
            <w:pPr>
              <w:jc w:val="both"/>
              <w:rPr>
                <w:sz w:val="20"/>
              </w:rPr>
            </w:pPr>
          </w:p>
          <w:p w:rsidR="00197413" w:rsidRPr="00197413" w:rsidRDefault="00197413" w:rsidP="00197413">
            <w:pPr>
              <w:jc w:val="both"/>
              <w:rPr>
                <w:sz w:val="20"/>
              </w:rPr>
            </w:pPr>
          </w:p>
        </w:tc>
      </w:tr>
      <w:tr w:rsidR="00197413" w:rsidRPr="00197413" w:rsidTr="00E95A6A">
        <w:tc>
          <w:tcPr>
            <w:tcW w:w="2427" w:type="pct"/>
            <w:gridSpan w:val="2"/>
          </w:tcPr>
          <w:p w:rsidR="00197413" w:rsidRPr="00197413" w:rsidRDefault="00197413" w:rsidP="00197413">
            <w:pPr>
              <w:jc w:val="both"/>
              <w:rPr>
                <w:sz w:val="20"/>
              </w:rPr>
            </w:pPr>
            <w:r w:rsidRPr="00197413">
              <w:rPr>
                <w:sz w:val="20"/>
              </w:rPr>
              <w:lastRenderedPageBreak/>
              <w:t>August 21, 2018</w:t>
            </w:r>
          </w:p>
          <w:p w:rsidR="00197413" w:rsidRPr="00197413" w:rsidRDefault="00197413" w:rsidP="00197413">
            <w:pPr>
              <w:jc w:val="both"/>
              <w:rPr>
                <w:sz w:val="20"/>
              </w:rPr>
            </w:pPr>
            <w:r w:rsidRPr="00197413">
              <w:rPr>
                <w:sz w:val="20"/>
              </w:rPr>
              <w:t>Court of Appeal of Alberta (Edmonton)</w:t>
            </w:r>
          </w:p>
          <w:p w:rsidR="00197413" w:rsidRPr="00197413" w:rsidRDefault="00197413" w:rsidP="00197413">
            <w:pPr>
              <w:jc w:val="both"/>
              <w:rPr>
                <w:sz w:val="20"/>
              </w:rPr>
            </w:pPr>
            <w:r w:rsidRPr="00197413">
              <w:rPr>
                <w:sz w:val="20"/>
              </w:rPr>
              <w:t>(Veldhuis, Wakeling, Greckol JJ.A.)</w:t>
            </w:r>
          </w:p>
          <w:p w:rsidR="00197413" w:rsidRPr="00197413" w:rsidRDefault="00197413" w:rsidP="00197413">
            <w:pPr>
              <w:jc w:val="both"/>
              <w:rPr>
                <w:sz w:val="20"/>
              </w:rPr>
            </w:pPr>
            <w:hyperlink r:id="rId78" w:history="1">
              <w:r w:rsidRPr="00197413">
                <w:rPr>
                  <w:rStyle w:val="Hyperlink"/>
                  <w:sz w:val="20"/>
                </w:rPr>
                <w:t>2018 ABCA 270</w:t>
              </w:r>
            </w:hyperlink>
            <w:r w:rsidRPr="00197413">
              <w:rPr>
                <w:sz w:val="20"/>
              </w:rPr>
              <w:t>;1703-0068-AC</w:t>
            </w:r>
          </w:p>
          <w:p w:rsidR="00197413" w:rsidRPr="00197413" w:rsidRDefault="00197413" w:rsidP="00197413">
            <w:pPr>
              <w:jc w:val="both"/>
              <w:rPr>
                <w:sz w:val="20"/>
              </w:rPr>
            </w:pPr>
          </w:p>
        </w:tc>
        <w:tc>
          <w:tcPr>
            <w:tcW w:w="243" w:type="pct"/>
          </w:tcPr>
          <w:p w:rsidR="00197413" w:rsidRPr="00197413" w:rsidRDefault="00197413" w:rsidP="00197413">
            <w:pPr>
              <w:jc w:val="both"/>
              <w:rPr>
                <w:sz w:val="20"/>
              </w:rPr>
            </w:pPr>
          </w:p>
        </w:tc>
        <w:tc>
          <w:tcPr>
            <w:tcW w:w="2330" w:type="pct"/>
          </w:tcPr>
          <w:p w:rsidR="00197413" w:rsidRPr="00197413" w:rsidRDefault="00197413" w:rsidP="00197413">
            <w:pPr>
              <w:jc w:val="both"/>
              <w:rPr>
                <w:sz w:val="20"/>
              </w:rPr>
            </w:pPr>
            <w:r w:rsidRPr="00197413">
              <w:rPr>
                <w:sz w:val="20"/>
              </w:rPr>
              <w:t>Applicant’s appeal allowed in part</w:t>
            </w:r>
          </w:p>
          <w:p w:rsidR="00197413" w:rsidRPr="00197413" w:rsidRDefault="00197413" w:rsidP="00197413">
            <w:pPr>
              <w:jc w:val="both"/>
              <w:rPr>
                <w:sz w:val="20"/>
              </w:rPr>
            </w:pPr>
          </w:p>
        </w:tc>
      </w:tr>
      <w:tr w:rsidR="00197413" w:rsidRPr="00197413" w:rsidTr="00E95A6A">
        <w:tc>
          <w:tcPr>
            <w:tcW w:w="2427" w:type="pct"/>
            <w:gridSpan w:val="2"/>
          </w:tcPr>
          <w:p w:rsidR="00197413" w:rsidRPr="00197413" w:rsidRDefault="00197413" w:rsidP="00197413">
            <w:pPr>
              <w:jc w:val="both"/>
              <w:rPr>
                <w:sz w:val="20"/>
              </w:rPr>
            </w:pPr>
            <w:r w:rsidRPr="00197413">
              <w:rPr>
                <w:sz w:val="20"/>
              </w:rPr>
              <w:t>October 19, 2018</w:t>
            </w:r>
          </w:p>
          <w:p w:rsidR="00197413" w:rsidRPr="00197413" w:rsidRDefault="00197413" w:rsidP="00197413">
            <w:pPr>
              <w:jc w:val="both"/>
              <w:rPr>
                <w:sz w:val="20"/>
              </w:rPr>
            </w:pPr>
            <w:r w:rsidRPr="00197413">
              <w:rPr>
                <w:sz w:val="20"/>
              </w:rPr>
              <w:t>Supreme Court of Canada</w:t>
            </w:r>
          </w:p>
        </w:tc>
        <w:tc>
          <w:tcPr>
            <w:tcW w:w="243" w:type="pct"/>
          </w:tcPr>
          <w:p w:rsidR="00197413" w:rsidRPr="00197413" w:rsidRDefault="00197413" w:rsidP="00197413">
            <w:pPr>
              <w:jc w:val="both"/>
              <w:rPr>
                <w:sz w:val="20"/>
              </w:rPr>
            </w:pPr>
          </w:p>
        </w:tc>
        <w:tc>
          <w:tcPr>
            <w:tcW w:w="2330" w:type="pct"/>
          </w:tcPr>
          <w:p w:rsidR="00197413" w:rsidRPr="00197413" w:rsidRDefault="00197413" w:rsidP="00197413">
            <w:pPr>
              <w:jc w:val="both"/>
              <w:rPr>
                <w:sz w:val="20"/>
              </w:rPr>
            </w:pPr>
            <w:r w:rsidRPr="00197413">
              <w:rPr>
                <w:sz w:val="20"/>
              </w:rPr>
              <w:t>Application for leave to appeal filed</w:t>
            </w:r>
          </w:p>
          <w:p w:rsidR="00197413" w:rsidRPr="00197413" w:rsidRDefault="00197413" w:rsidP="00197413">
            <w:pPr>
              <w:jc w:val="both"/>
              <w:rPr>
                <w:sz w:val="20"/>
              </w:rPr>
            </w:pPr>
          </w:p>
        </w:tc>
      </w:tr>
    </w:tbl>
    <w:p w:rsidR="00197413" w:rsidRDefault="00197413" w:rsidP="00197413">
      <w:pPr>
        <w:jc w:val="both"/>
        <w:rPr>
          <w:sz w:val="20"/>
        </w:rPr>
      </w:pPr>
    </w:p>
    <w:p w:rsidR="001B5B03" w:rsidRDefault="001B5B03" w:rsidP="00197413">
      <w:pPr>
        <w:jc w:val="both"/>
        <w:rPr>
          <w:sz w:val="20"/>
        </w:rPr>
      </w:pPr>
      <w:r>
        <w:rPr>
          <w:sz w:val="20"/>
        </w:rPr>
        <w:pict>
          <v:rect id="_x0000_i1066" style="width:2in;height:1pt" o:hrpct="0" o:hralign="center" o:hrstd="t" o:hrnoshade="t" o:hr="t" fillcolor="black [3213]" stroked="f"/>
        </w:pict>
      </w:r>
    </w:p>
    <w:p w:rsidR="001B5B03" w:rsidRPr="00197413" w:rsidRDefault="001B5B03" w:rsidP="0019741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97413" w:rsidRPr="00197413" w:rsidTr="00E95A6A">
        <w:tc>
          <w:tcPr>
            <w:tcW w:w="543" w:type="pct"/>
          </w:tcPr>
          <w:p w:rsidR="00197413" w:rsidRPr="00197413" w:rsidRDefault="00197413" w:rsidP="00197413">
            <w:pPr>
              <w:jc w:val="both"/>
              <w:rPr>
                <w:sz w:val="20"/>
                <w:lang w:val="fr-CA"/>
              </w:rPr>
            </w:pPr>
            <w:r w:rsidRPr="00197413">
              <w:rPr>
                <w:rStyle w:val="SCCFileNumberChar"/>
                <w:sz w:val="20"/>
                <w:szCs w:val="20"/>
                <w:lang w:val="fr-CA"/>
              </w:rPr>
              <w:t>38359</w:t>
            </w:r>
          </w:p>
        </w:tc>
        <w:tc>
          <w:tcPr>
            <w:tcW w:w="4457" w:type="pct"/>
            <w:gridSpan w:val="3"/>
          </w:tcPr>
          <w:p w:rsidR="00197413" w:rsidRPr="001B5B03" w:rsidRDefault="00197413" w:rsidP="00197413">
            <w:pPr>
              <w:pStyle w:val="SCCLsocParty"/>
              <w:jc w:val="both"/>
              <w:rPr>
                <w:b/>
                <w:sz w:val="20"/>
                <w:szCs w:val="20"/>
                <w:lang w:val="en-US"/>
              </w:rPr>
            </w:pPr>
            <w:r w:rsidRPr="001B5B03">
              <w:rPr>
                <w:b/>
                <w:sz w:val="20"/>
                <w:szCs w:val="20"/>
                <w:lang w:val="en-US"/>
              </w:rPr>
              <w:t xml:space="preserve">Michael </w:t>
            </w:r>
            <w:proofErr w:type="spellStart"/>
            <w:r w:rsidRPr="001B5B03">
              <w:rPr>
                <w:b/>
                <w:sz w:val="20"/>
                <w:szCs w:val="20"/>
                <w:lang w:val="en-US"/>
              </w:rPr>
              <w:t>Yar</w:t>
            </w:r>
            <w:proofErr w:type="spellEnd"/>
            <w:r w:rsidRPr="001B5B03">
              <w:rPr>
                <w:b/>
                <w:sz w:val="20"/>
                <w:szCs w:val="20"/>
                <w:lang w:val="en-US"/>
              </w:rPr>
              <w:t xml:space="preserve"> </w:t>
            </w:r>
            <w:proofErr w:type="spellStart"/>
            <w:r w:rsidRPr="001B5B03">
              <w:rPr>
                <w:b/>
                <w:sz w:val="20"/>
                <w:szCs w:val="20"/>
                <w:lang w:val="en-US"/>
              </w:rPr>
              <w:t>Zuk</w:t>
            </w:r>
            <w:proofErr w:type="spellEnd"/>
            <w:r w:rsidRPr="001B5B03">
              <w:rPr>
                <w:b/>
                <w:sz w:val="20"/>
                <w:szCs w:val="20"/>
                <w:lang w:val="en-US"/>
              </w:rPr>
              <w:t xml:space="preserve"> c. Alberta Dental Association and College, The Appeal Panel of the Council of the Alberta Dental Association and College</w:t>
            </w:r>
          </w:p>
          <w:p w:rsidR="00197413" w:rsidRPr="00197413" w:rsidRDefault="00197413" w:rsidP="00197413">
            <w:pPr>
              <w:jc w:val="both"/>
              <w:rPr>
                <w:sz w:val="20"/>
                <w:lang w:val="fr-CA"/>
              </w:rPr>
            </w:pPr>
            <w:r w:rsidRPr="00197413">
              <w:rPr>
                <w:sz w:val="20"/>
                <w:lang w:val="fr-CA"/>
              </w:rPr>
              <w:t>(Alb.) (Civile) (Autorisation)</w:t>
            </w:r>
          </w:p>
        </w:tc>
      </w:tr>
      <w:tr w:rsidR="00197413" w:rsidRPr="00197413" w:rsidTr="00E95A6A">
        <w:tc>
          <w:tcPr>
            <w:tcW w:w="5000" w:type="pct"/>
            <w:gridSpan w:val="4"/>
          </w:tcPr>
          <w:p w:rsidR="00197413" w:rsidRPr="00197413" w:rsidRDefault="00197413" w:rsidP="00197413">
            <w:pPr>
              <w:jc w:val="both"/>
              <w:rPr>
                <w:sz w:val="20"/>
                <w:lang w:val="fr-CA"/>
              </w:rPr>
            </w:pPr>
            <w:r w:rsidRPr="00197413">
              <w:rPr>
                <w:i/>
                <w:sz w:val="20"/>
                <w:lang w:val="fr-CA"/>
              </w:rPr>
              <w:t>Charte des droits</w:t>
            </w:r>
            <w:r w:rsidRPr="00197413">
              <w:rPr>
                <w:sz w:val="20"/>
                <w:lang w:val="fr-CA"/>
              </w:rPr>
              <w:t xml:space="preserve"> — Liberté d’expression — La Cour d’appel a-t-elle eu tort de ne pas avoir appliqué une démarche rigoureuse au processus de mise en balance et d’appréciation du caractère raisonnable dans la règlementation de l’expression par un organisme de règlementation professionnelle? — Le </w:t>
            </w:r>
            <w:proofErr w:type="spellStart"/>
            <w:r w:rsidRPr="00197413">
              <w:rPr>
                <w:sz w:val="20"/>
                <w:lang w:val="fr-CA"/>
              </w:rPr>
              <w:t>College</w:t>
            </w:r>
            <w:proofErr w:type="spellEnd"/>
            <w:r w:rsidRPr="00197413">
              <w:rPr>
                <w:sz w:val="20"/>
                <w:lang w:val="fr-CA"/>
              </w:rPr>
              <w:t xml:space="preserve"> est un organisme créé par la loi qui exerce un pouvoir gouvernemental et la Cour d’appel aurait dû examiner les décisions des juridictions inférieures qui ont mené à la punition du Dr </w:t>
            </w:r>
            <w:proofErr w:type="spellStart"/>
            <w:r w:rsidRPr="00197413">
              <w:rPr>
                <w:sz w:val="20"/>
                <w:lang w:val="fr-CA"/>
              </w:rPr>
              <w:t>Zuk</w:t>
            </w:r>
            <w:proofErr w:type="spellEnd"/>
            <w:r w:rsidRPr="00197413">
              <w:rPr>
                <w:sz w:val="20"/>
                <w:lang w:val="fr-CA"/>
              </w:rPr>
              <w:t xml:space="preserve"> pour son expression — La Cour d’appel a-t-elle eu tort de conclure que les communications publiques du Dr </w:t>
            </w:r>
            <w:proofErr w:type="spellStart"/>
            <w:r w:rsidRPr="00197413">
              <w:rPr>
                <w:sz w:val="20"/>
                <w:lang w:val="fr-CA"/>
              </w:rPr>
              <w:t>Zuk</w:t>
            </w:r>
            <w:proofErr w:type="spellEnd"/>
            <w:r w:rsidRPr="00197413">
              <w:rPr>
                <w:sz w:val="20"/>
                <w:lang w:val="fr-CA"/>
              </w:rPr>
              <w:t xml:space="preserve"> auraient dû être qualifiées de publicités? — La Cour d’appel a-t-elle eu tort de conclure que la valeur de protection de la dignité et de l’intégrité de la profession de dentiste était suffisante pour l’emporter sur les droits d’expression du Dr </w:t>
            </w:r>
            <w:proofErr w:type="spellStart"/>
            <w:r w:rsidRPr="00197413">
              <w:rPr>
                <w:sz w:val="20"/>
                <w:lang w:val="fr-CA"/>
              </w:rPr>
              <w:t>Zuk</w:t>
            </w:r>
            <w:proofErr w:type="spellEnd"/>
            <w:r w:rsidRPr="00197413">
              <w:rPr>
                <w:sz w:val="20"/>
                <w:lang w:val="fr-CA"/>
              </w:rPr>
              <w:t xml:space="preserve">? — </w:t>
            </w:r>
            <w:r w:rsidRPr="00197413">
              <w:rPr>
                <w:i/>
                <w:sz w:val="20"/>
                <w:lang w:val="fr-CA"/>
              </w:rPr>
              <w:t>Charte des droits et liberté</w:t>
            </w:r>
            <w:r w:rsidRPr="00197413">
              <w:rPr>
                <w:sz w:val="20"/>
                <w:lang w:val="fr-CA"/>
              </w:rPr>
              <w:t>, al. 2b).</w:t>
            </w:r>
          </w:p>
          <w:p w:rsidR="00197413" w:rsidRPr="00197413" w:rsidRDefault="00197413" w:rsidP="00197413">
            <w:pPr>
              <w:jc w:val="both"/>
              <w:rPr>
                <w:sz w:val="20"/>
                <w:lang w:val="fr-CA"/>
              </w:rPr>
            </w:pPr>
          </w:p>
        </w:tc>
      </w:tr>
      <w:tr w:rsidR="00197413" w:rsidRPr="00197413" w:rsidTr="00E95A6A">
        <w:tc>
          <w:tcPr>
            <w:tcW w:w="5000" w:type="pct"/>
            <w:gridSpan w:val="4"/>
          </w:tcPr>
          <w:p w:rsidR="00197413" w:rsidRPr="00197413" w:rsidRDefault="00197413" w:rsidP="00197413">
            <w:pPr>
              <w:jc w:val="both"/>
              <w:rPr>
                <w:sz w:val="20"/>
                <w:lang w:val="fr-CA"/>
              </w:rPr>
            </w:pPr>
            <w:r w:rsidRPr="00197413">
              <w:rPr>
                <w:sz w:val="20"/>
                <w:lang w:val="fr-CA"/>
              </w:rPr>
              <w:t>Le Dr </w:t>
            </w:r>
            <w:proofErr w:type="spellStart"/>
            <w:r w:rsidRPr="00197413">
              <w:rPr>
                <w:sz w:val="20"/>
                <w:lang w:val="fr-CA"/>
              </w:rPr>
              <w:t>Zuk</w:t>
            </w:r>
            <w:proofErr w:type="spellEnd"/>
            <w:r w:rsidRPr="00197413">
              <w:rPr>
                <w:sz w:val="20"/>
                <w:lang w:val="fr-CA"/>
              </w:rPr>
              <w:t xml:space="preserve"> est dentiste. L’Alberta Dental Association and </w:t>
            </w:r>
            <w:proofErr w:type="spellStart"/>
            <w:r w:rsidRPr="00197413">
              <w:rPr>
                <w:sz w:val="20"/>
                <w:lang w:val="fr-CA"/>
              </w:rPr>
              <w:t>College</w:t>
            </w:r>
            <w:proofErr w:type="spellEnd"/>
            <w:r w:rsidRPr="00197413">
              <w:rPr>
                <w:sz w:val="20"/>
                <w:lang w:val="fr-CA"/>
              </w:rPr>
              <w:t xml:space="preserve"> (l’« Ordre »), est l’organisme dirigeant de la profession de dentiste. L’exercice de la dentisterie est une profession règlementée sous le régime de la  </w:t>
            </w:r>
            <w:hyperlink r:id="rId79" w:history="1">
              <w:r w:rsidRPr="00197413">
                <w:rPr>
                  <w:bCs/>
                  <w:i/>
                  <w:iCs/>
                  <w:color w:val="000000"/>
                  <w:sz w:val="20"/>
                  <w:lang w:val="fr-CA"/>
                </w:rPr>
                <w:t>Health Professions Act</w:t>
              </w:r>
              <w:r w:rsidRPr="00197413">
                <w:rPr>
                  <w:color w:val="000000"/>
                  <w:sz w:val="20"/>
                  <w:lang w:val="fr-CA"/>
                </w:rPr>
                <w:t>, RSA 2000, ch. H-7</w:t>
              </w:r>
            </w:hyperlink>
            <w:r w:rsidRPr="00197413">
              <w:rPr>
                <w:sz w:val="20"/>
                <w:lang w:val="fr-CA"/>
              </w:rPr>
              <w:t xml:space="preserve"> (</w:t>
            </w:r>
            <w:hyperlink r:id="rId80" w:history="1">
              <w:r w:rsidRPr="00197413">
                <w:rPr>
                  <w:bCs/>
                  <w:i/>
                  <w:iCs/>
                  <w:color w:val="000000"/>
                  <w:sz w:val="20"/>
                  <w:lang w:val="fr-CA"/>
                </w:rPr>
                <w:t>HPA</w:t>
              </w:r>
            </w:hyperlink>
            <w:r w:rsidRPr="00197413">
              <w:rPr>
                <w:sz w:val="20"/>
                <w:lang w:val="fr-CA"/>
              </w:rPr>
              <w:t>), qui confère à l’Ordre certains pouvoirs de règlementation du professionnalisme et de la déontologie de ses membres. Vers la fin de 2007, le Dr </w:t>
            </w:r>
            <w:proofErr w:type="spellStart"/>
            <w:r w:rsidRPr="00197413">
              <w:rPr>
                <w:sz w:val="20"/>
                <w:lang w:val="fr-CA"/>
              </w:rPr>
              <w:t>Zuk</w:t>
            </w:r>
            <w:proofErr w:type="spellEnd"/>
            <w:r w:rsidRPr="00197413">
              <w:rPr>
                <w:sz w:val="20"/>
                <w:lang w:val="fr-CA"/>
              </w:rPr>
              <w:t xml:space="preserve"> a commencé à s’exprimer, par la voie de publications écrites et en ligne et d’entrevues, sur sa pratique, la profession et l’Ordre. L’Ordre a délivré un avis d’audience au Dr </w:t>
            </w:r>
            <w:proofErr w:type="spellStart"/>
            <w:r w:rsidRPr="00197413">
              <w:rPr>
                <w:sz w:val="20"/>
                <w:lang w:val="fr-CA"/>
              </w:rPr>
              <w:t>Zuk</w:t>
            </w:r>
            <w:proofErr w:type="spellEnd"/>
            <w:r w:rsidRPr="00197413">
              <w:rPr>
                <w:sz w:val="20"/>
                <w:lang w:val="fr-CA"/>
              </w:rPr>
              <w:t xml:space="preserve">, il a entrepris une enquête et il a renvoyé toutes les plaintes à une audience disciplinaire. Le Hearing Tribunal (le « Tribunal ») de l’Ordre a tenu une audience et a conclu que la conduite du Dr </w:t>
            </w:r>
            <w:proofErr w:type="spellStart"/>
            <w:r w:rsidRPr="00197413">
              <w:rPr>
                <w:sz w:val="20"/>
                <w:lang w:val="fr-CA"/>
              </w:rPr>
              <w:t>Zuk</w:t>
            </w:r>
            <w:proofErr w:type="spellEnd"/>
            <w:r w:rsidRPr="00197413">
              <w:rPr>
                <w:sz w:val="20"/>
                <w:lang w:val="fr-CA"/>
              </w:rPr>
              <w:t xml:space="preserve"> constituait une conduite non professionnelle au sens de la </w:t>
            </w:r>
            <w:hyperlink r:id="rId81" w:history="1">
              <w:r w:rsidRPr="00197413">
                <w:rPr>
                  <w:bCs/>
                  <w:i/>
                  <w:iCs/>
                  <w:color w:val="000000"/>
                  <w:sz w:val="20"/>
                  <w:lang w:val="fr-CA"/>
                </w:rPr>
                <w:t>HPA</w:t>
              </w:r>
            </w:hyperlink>
            <w:r w:rsidRPr="00197413">
              <w:rPr>
                <w:i/>
                <w:iCs/>
                <w:sz w:val="20"/>
                <w:lang w:val="fr-CA"/>
              </w:rPr>
              <w:t xml:space="preserve"> </w:t>
            </w:r>
            <w:r w:rsidRPr="00197413">
              <w:rPr>
                <w:sz w:val="20"/>
                <w:lang w:val="fr-CA"/>
              </w:rPr>
              <w:t>et a imposé des sanctions. Le Dr </w:t>
            </w:r>
            <w:proofErr w:type="spellStart"/>
            <w:r w:rsidRPr="00197413">
              <w:rPr>
                <w:sz w:val="20"/>
                <w:lang w:val="fr-CA"/>
              </w:rPr>
              <w:t>Zuk</w:t>
            </w:r>
            <w:proofErr w:type="spellEnd"/>
            <w:r w:rsidRPr="00197413">
              <w:rPr>
                <w:sz w:val="20"/>
                <w:lang w:val="fr-CA"/>
              </w:rPr>
              <w:t xml:space="preserve"> a interjeté appel au Council de l’Ordre (le « Conseil »). Le Conseil a rejeté l’appel du Dr </w:t>
            </w:r>
            <w:proofErr w:type="spellStart"/>
            <w:r w:rsidRPr="00197413">
              <w:rPr>
                <w:sz w:val="20"/>
                <w:lang w:val="fr-CA"/>
              </w:rPr>
              <w:t>Zuk</w:t>
            </w:r>
            <w:proofErr w:type="spellEnd"/>
            <w:r w:rsidRPr="00197413">
              <w:rPr>
                <w:sz w:val="20"/>
                <w:lang w:val="fr-CA"/>
              </w:rPr>
              <w:t>. Même si la Cour d’appel a confirmé plusieurs conclusions du Tribunal, l’appel a été accueilli en partie. La conclusion de conduite non professionnelle pour le manquement à un engagement (premier avis d’audience, allégations 21 et 22) était déraisonnable, tout comme l’évaluation par le Tribunal de la gravité de la non-collaboration Dr </w:t>
            </w:r>
            <w:proofErr w:type="spellStart"/>
            <w:r w:rsidRPr="00197413">
              <w:rPr>
                <w:sz w:val="20"/>
                <w:lang w:val="fr-CA"/>
              </w:rPr>
              <w:t>Zuk</w:t>
            </w:r>
            <w:proofErr w:type="spellEnd"/>
            <w:r w:rsidRPr="00197413">
              <w:rPr>
                <w:sz w:val="20"/>
                <w:lang w:val="fr-CA"/>
              </w:rPr>
              <w:t xml:space="preserve"> avec l’enquêteur. L’affaire a été renvoyée au Conseil pour examen de la sanction et des dépens.</w:t>
            </w:r>
          </w:p>
        </w:tc>
      </w:tr>
      <w:tr w:rsidR="00197413" w:rsidRPr="00197413" w:rsidTr="00E95A6A">
        <w:tc>
          <w:tcPr>
            <w:tcW w:w="5000" w:type="pct"/>
            <w:gridSpan w:val="4"/>
          </w:tcPr>
          <w:p w:rsidR="00197413" w:rsidRPr="00197413" w:rsidRDefault="00197413" w:rsidP="00197413">
            <w:pPr>
              <w:jc w:val="both"/>
              <w:rPr>
                <w:sz w:val="20"/>
                <w:lang w:val="fr-CA"/>
              </w:rPr>
            </w:pPr>
          </w:p>
        </w:tc>
      </w:tr>
      <w:tr w:rsidR="00197413" w:rsidRPr="00197413" w:rsidTr="00E95A6A">
        <w:tc>
          <w:tcPr>
            <w:tcW w:w="2427" w:type="pct"/>
            <w:gridSpan w:val="2"/>
          </w:tcPr>
          <w:p w:rsidR="00197413" w:rsidRPr="00197413" w:rsidRDefault="00197413" w:rsidP="00197413">
            <w:pPr>
              <w:jc w:val="both"/>
              <w:rPr>
                <w:sz w:val="20"/>
              </w:rPr>
            </w:pPr>
            <w:r w:rsidRPr="00197413">
              <w:rPr>
                <w:sz w:val="20"/>
              </w:rPr>
              <w:t>23 novembre 2015</w:t>
            </w:r>
          </w:p>
          <w:p w:rsidR="00197413" w:rsidRPr="00197413" w:rsidRDefault="00197413" w:rsidP="00197413">
            <w:pPr>
              <w:jc w:val="both"/>
              <w:rPr>
                <w:sz w:val="20"/>
              </w:rPr>
            </w:pPr>
            <w:r w:rsidRPr="00197413">
              <w:rPr>
                <w:sz w:val="20"/>
              </w:rPr>
              <w:t>Council of the Alberta Dental Association and College</w:t>
            </w:r>
          </w:p>
          <w:p w:rsidR="00197413" w:rsidRPr="00197413" w:rsidRDefault="00197413" w:rsidP="00197413">
            <w:pPr>
              <w:jc w:val="both"/>
              <w:rPr>
                <w:sz w:val="20"/>
              </w:rPr>
            </w:pPr>
          </w:p>
        </w:tc>
        <w:tc>
          <w:tcPr>
            <w:tcW w:w="243" w:type="pct"/>
          </w:tcPr>
          <w:p w:rsidR="00197413" w:rsidRPr="00197413" w:rsidRDefault="00197413" w:rsidP="00197413">
            <w:pPr>
              <w:jc w:val="both"/>
              <w:rPr>
                <w:sz w:val="20"/>
              </w:rPr>
            </w:pPr>
          </w:p>
        </w:tc>
        <w:tc>
          <w:tcPr>
            <w:tcW w:w="2330" w:type="pct"/>
          </w:tcPr>
          <w:p w:rsidR="00197413" w:rsidRPr="00197413" w:rsidRDefault="00197413" w:rsidP="00197413">
            <w:pPr>
              <w:jc w:val="both"/>
              <w:rPr>
                <w:sz w:val="20"/>
                <w:lang w:val="fr-CA"/>
              </w:rPr>
            </w:pPr>
            <w:r w:rsidRPr="00197413">
              <w:rPr>
                <w:sz w:val="20"/>
                <w:lang w:val="fr-CA"/>
              </w:rPr>
              <w:t>Déclaration de culpabilité du demandeur sur plusieurs chefs d’accusation de conduite non professionnelle</w:t>
            </w:r>
          </w:p>
        </w:tc>
      </w:tr>
      <w:tr w:rsidR="00197413" w:rsidRPr="00197413" w:rsidTr="00E95A6A">
        <w:tc>
          <w:tcPr>
            <w:tcW w:w="2427" w:type="pct"/>
            <w:gridSpan w:val="2"/>
          </w:tcPr>
          <w:p w:rsidR="00197413" w:rsidRPr="00197413" w:rsidRDefault="00197413" w:rsidP="00197413">
            <w:pPr>
              <w:jc w:val="both"/>
              <w:rPr>
                <w:sz w:val="20"/>
              </w:rPr>
            </w:pPr>
            <w:r w:rsidRPr="00197413">
              <w:rPr>
                <w:sz w:val="20"/>
              </w:rPr>
              <w:t>14 juin 2016</w:t>
            </w:r>
          </w:p>
          <w:p w:rsidR="00197413" w:rsidRPr="00197413" w:rsidRDefault="00197413" w:rsidP="00197413">
            <w:pPr>
              <w:jc w:val="both"/>
              <w:rPr>
                <w:sz w:val="20"/>
              </w:rPr>
            </w:pPr>
            <w:r w:rsidRPr="00197413">
              <w:rPr>
                <w:sz w:val="20"/>
              </w:rPr>
              <w:t>Council of the Alberta Dental Association and College</w:t>
            </w:r>
          </w:p>
          <w:p w:rsidR="00197413" w:rsidRPr="00197413" w:rsidRDefault="00197413" w:rsidP="00197413">
            <w:pPr>
              <w:jc w:val="both"/>
              <w:rPr>
                <w:sz w:val="20"/>
              </w:rPr>
            </w:pPr>
          </w:p>
        </w:tc>
        <w:tc>
          <w:tcPr>
            <w:tcW w:w="243" w:type="pct"/>
          </w:tcPr>
          <w:p w:rsidR="00197413" w:rsidRPr="00197413" w:rsidRDefault="00197413" w:rsidP="00197413">
            <w:pPr>
              <w:jc w:val="both"/>
              <w:rPr>
                <w:sz w:val="20"/>
              </w:rPr>
            </w:pPr>
          </w:p>
        </w:tc>
        <w:tc>
          <w:tcPr>
            <w:tcW w:w="2330" w:type="pct"/>
          </w:tcPr>
          <w:p w:rsidR="00197413" w:rsidRPr="00197413" w:rsidRDefault="00197413" w:rsidP="00197413">
            <w:pPr>
              <w:jc w:val="both"/>
              <w:rPr>
                <w:sz w:val="20"/>
                <w:lang w:val="fr-CA"/>
              </w:rPr>
            </w:pPr>
            <w:r w:rsidRPr="00197413">
              <w:rPr>
                <w:sz w:val="20"/>
                <w:lang w:val="fr-CA"/>
              </w:rPr>
              <w:t>Sanctions imposées : suspension d’un an de l’inscription du Dr </w:t>
            </w:r>
            <w:proofErr w:type="spellStart"/>
            <w:r w:rsidRPr="00197413">
              <w:rPr>
                <w:sz w:val="20"/>
                <w:lang w:val="fr-CA"/>
              </w:rPr>
              <w:t>Zuk</w:t>
            </w:r>
            <w:proofErr w:type="spellEnd"/>
            <w:r w:rsidRPr="00197413">
              <w:rPr>
                <w:sz w:val="20"/>
                <w:lang w:val="fr-CA"/>
              </w:rPr>
              <w:t xml:space="preserve"> et condamnation aux dépens de 175 000 $ </w:t>
            </w:r>
          </w:p>
        </w:tc>
      </w:tr>
      <w:tr w:rsidR="00197413" w:rsidRPr="00197413" w:rsidTr="00E95A6A">
        <w:tc>
          <w:tcPr>
            <w:tcW w:w="2427" w:type="pct"/>
            <w:gridSpan w:val="2"/>
          </w:tcPr>
          <w:p w:rsidR="00197413" w:rsidRPr="00197413" w:rsidRDefault="00197413" w:rsidP="00197413">
            <w:pPr>
              <w:jc w:val="both"/>
              <w:rPr>
                <w:sz w:val="20"/>
              </w:rPr>
            </w:pPr>
            <w:r w:rsidRPr="00197413">
              <w:rPr>
                <w:sz w:val="20"/>
              </w:rPr>
              <w:t>14 février 2017</w:t>
            </w:r>
          </w:p>
          <w:p w:rsidR="00197413" w:rsidRPr="00197413" w:rsidRDefault="00197413" w:rsidP="00197413">
            <w:pPr>
              <w:jc w:val="both"/>
              <w:rPr>
                <w:sz w:val="20"/>
              </w:rPr>
            </w:pPr>
            <w:r w:rsidRPr="00197413">
              <w:rPr>
                <w:sz w:val="20"/>
              </w:rPr>
              <w:t xml:space="preserve">Appeal Panel of the Council of the Alberta </w:t>
            </w:r>
          </w:p>
          <w:p w:rsidR="00197413" w:rsidRPr="00197413" w:rsidRDefault="00197413" w:rsidP="00197413">
            <w:pPr>
              <w:jc w:val="both"/>
              <w:rPr>
                <w:sz w:val="20"/>
                <w:lang w:val="fr-CA"/>
              </w:rPr>
            </w:pPr>
            <w:r w:rsidRPr="00197413">
              <w:rPr>
                <w:sz w:val="20"/>
                <w:lang w:val="fr-CA"/>
              </w:rPr>
              <w:t xml:space="preserve">Dental Association and </w:t>
            </w:r>
            <w:proofErr w:type="spellStart"/>
            <w:r w:rsidRPr="00197413">
              <w:rPr>
                <w:sz w:val="20"/>
                <w:lang w:val="fr-CA"/>
              </w:rPr>
              <w:t>College</w:t>
            </w:r>
            <w:proofErr w:type="spellEnd"/>
          </w:p>
          <w:p w:rsidR="00197413" w:rsidRPr="00197413" w:rsidRDefault="00197413" w:rsidP="00197413">
            <w:pPr>
              <w:jc w:val="both"/>
              <w:rPr>
                <w:sz w:val="20"/>
                <w:lang w:val="fr-CA"/>
              </w:rPr>
            </w:pPr>
          </w:p>
        </w:tc>
        <w:tc>
          <w:tcPr>
            <w:tcW w:w="243" w:type="pct"/>
          </w:tcPr>
          <w:p w:rsidR="00197413" w:rsidRPr="00197413" w:rsidRDefault="00197413" w:rsidP="00197413">
            <w:pPr>
              <w:jc w:val="both"/>
              <w:rPr>
                <w:sz w:val="20"/>
                <w:lang w:val="fr-CA"/>
              </w:rPr>
            </w:pPr>
          </w:p>
        </w:tc>
        <w:tc>
          <w:tcPr>
            <w:tcW w:w="2330" w:type="pct"/>
          </w:tcPr>
          <w:p w:rsidR="00197413" w:rsidRPr="00197413" w:rsidRDefault="00197413" w:rsidP="00197413">
            <w:pPr>
              <w:jc w:val="both"/>
              <w:rPr>
                <w:sz w:val="20"/>
                <w:lang w:val="fr-CA"/>
              </w:rPr>
            </w:pPr>
            <w:r w:rsidRPr="00197413">
              <w:rPr>
                <w:sz w:val="20"/>
                <w:lang w:val="fr-CA"/>
              </w:rPr>
              <w:t>Rejet de l’appel du demandeur avec dépens fixés à 51 761,31 $</w:t>
            </w:r>
          </w:p>
          <w:p w:rsidR="00197413" w:rsidRPr="00197413" w:rsidRDefault="00197413" w:rsidP="00197413">
            <w:pPr>
              <w:jc w:val="both"/>
              <w:rPr>
                <w:sz w:val="20"/>
                <w:lang w:val="fr-CA"/>
              </w:rPr>
            </w:pPr>
          </w:p>
          <w:p w:rsidR="00197413" w:rsidRPr="00197413" w:rsidRDefault="00197413" w:rsidP="00197413">
            <w:pPr>
              <w:jc w:val="both"/>
              <w:rPr>
                <w:sz w:val="20"/>
                <w:lang w:val="fr-CA"/>
              </w:rPr>
            </w:pPr>
          </w:p>
        </w:tc>
      </w:tr>
      <w:tr w:rsidR="00197413" w:rsidRPr="00197413" w:rsidTr="00E95A6A">
        <w:tc>
          <w:tcPr>
            <w:tcW w:w="2427" w:type="pct"/>
            <w:gridSpan w:val="2"/>
          </w:tcPr>
          <w:p w:rsidR="00197413" w:rsidRPr="00197413" w:rsidRDefault="00197413" w:rsidP="00197413">
            <w:pPr>
              <w:jc w:val="both"/>
              <w:rPr>
                <w:sz w:val="20"/>
                <w:lang w:val="fr-CA"/>
              </w:rPr>
            </w:pPr>
            <w:r w:rsidRPr="00197413">
              <w:rPr>
                <w:sz w:val="20"/>
                <w:lang w:val="fr-CA"/>
              </w:rPr>
              <w:t>21 août 2018</w:t>
            </w:r>
          </w:p>
          <w:p w:rsidR="00197413" w:rsidRPr="00197413" w:rsidRDefault="00197413" w:rsidP="00197413">
            <w:pPr>
              <w:jc w:val="both"/>
              <w:rPr>
                <w:sz w:val="20"/>
                <w:lang w:val="fr-CA"/>
              </w:rPr>
            </w:pPr>
            <w:r w:rsidRPr="00197413">
              <w:rPr>
                <w:sz w:val="20"/>
                <w:lang w:val="fr-CA"/>
              </w:rPr>
              <w:t>Cour d’appel de l’Alberta (Edmonton)</w:t>
            </w:r>
          </w:p>
          <w:p w:rsidR="00197413" w:rsidRPr="00197413" w:rsidRDefault="00197413" w:rsidP="00197413">
            <w:pPr>
              <w:jc w:val="both"/>
              <w:rPr>
                <w:sz w:val="20"/>
                <w:lang w:val="fr-CA"/>
              </w:rPr>
            </w:pPr>
            <w:r w:rsidRPr="00197413">
              <w:rPr>
                <w:sz w:val="20"/>
                <w:lang w:val="fr-CA"/>
              </w:rPr>
              <w:t xml:space="preserve">(Juges Veldhuis, </w:t>
            </w:r>
            <w:proofErr w:type="spellStart"/>
            <w:r w:rsidRPr="00197413">
              <w:rPr>
                <w:sz w:val="20"/>
                <w:lang w:val="fr-CA"/>
              </w:rPr>
              <w:t>Wakeling</w:t>
            </w:r>
            <w:proofErr w:type="spellEnd"/>
            <w:r w:rsidRPr="00197413">
              <w:rPr>
                <w:sz w:val="20"/>
                <w:lang w:val="fr-CA"/>
              </w:rPr>
              <w:t xml:space="preserve"> et </w:t>
            </w:r>
            <w:proofErr w:type="spellStart"/>
            <w:r w:rsidRPr="00197413">
              <w:rPr>
                <w:sz w:val="20"/>
                <w:lang w:val="fr-CA"/>
              </w:rPr>
              <w:t>Greckol</w:t>
            </w:r>
            <w:proofErr w:type="spellEnd"/>
            <w:r w:rsidRPr="00197413">
              <w:rPr>
                <w:sz w:val="20"/>
                <w:lang w:val="fr-CA"/>
              </w:rPr>
              <w:t>)</w:t>
            </w:r>
          </w:p>
          <w:p w:rsidR="00197413" w:rsidRPr="00197413" w:rsidRDefault="00197413" w:rsidP="00197413">
            <w:pPr>
              <w:jc w:val="both"/>
              <w:rPr>
                <w:sz w:val="20"/>
                <w:lang w:val="fr-CA"/>
              </w:rPr>
            </w:pPr>
            <w:hyperlink r:id="rId82" w:history="1">
              <w:r w:rsidRPr="00197413">
                <w:rPr>
                  <w:rStyle w:val="Hyperlink"/>
                  <w:sz w:val="20"/>
                  <w:lang w:val="fr-CA"/>
                </w:rPr>
                <w:t>2018 ABCA 270</w:t>
              </w:r>
            </w:hyperlink>
            <w:r w:rsidRPr="00197413">
              <w:rPr>
                <w:sz w:val="20"/>
                <w:lang w:val="fr-CA"/>
              </w:rPr>
              <w:t>;1703-0068-AC</w:t>
            </w:r>
          </w:p>
          <w:p w:rsidR="00197413" w:rsidRPr="00197413" w:rsidRDefault="00197413" w:rsidP="00197413">
            <w:pPr>
              <w:jc w:val="both"/>
              <w:rPr>
                <w:sz w:val="20"/>
                <w:lang w:val="fr-CA"/>
              </w:rPr>
            </w:pPr>
          </w:p>
        </w:tc>
        <w:tc>
          <w:tcPr>
            <w:tcW w:w="243" w:type="pct"/>
          </w:tcPr>
          <w:p w:rsidR="00197413" w:rsidRPr="00197413" w:rsidRDefault="00197413" w:rsidP="00197413">
            <w:pPr>
              <w:jc w:val="both"/>
              <w:rPr>
                <w:sz w:val="20"/>
                <w:lang w:val="fr-CA"/>
              </w:rPr>
            </w:pPr>
          </w:p>
        </w:tc>
        <w:tc>
          <w:tcPr>
            <w:tcW w:w="2330" w:type="pct"/>
          </w:tcPr>
          <w:p w:rsidR="00197413" w:rsidRPr="00197413" w:rsidRDefault="00197413" w:rsidP="00197413">
            <w:pPr>
              <w:jc w:val="both"/>
              <w:rPr>
                <w:sz w:val="20"/>
                <w:lang w:val="fr-CA"/>
              </w:rPr>
            </w:pPr>
            <w:r w:rsidRPr="00197413">
              <w:rPr>
                <w:sz w:val="20"/>
                <w:lang w:val="fr-CA"/>
              </w:rPr>
              <w:t>Arrêt accueillant en partie l’appel du demandeur</w:t>
            </w:r>
          </w:p>
          <w:p w:rsidR="00197413" w:rsidRPr="00197413" w:rsidRDefault="00197413" w:rsidP="00197413">
            <w:pPr>
              <w:jc w:val="both"/>
              <w:rPr>
                <w:sz w:val="20"/>
                <w:lang w:val="fr-CA"/>
              </w:rPr>
            </w:pPr>
          </w:p>
        </w:tc>
      </w:tr>
      <w:tr w:rsidR="00197413" w:rsidRPr="00197413" w:rsidTr="00E95A6A">
        <w:tc>
          <w:tcPr>
            <w:tcW w:w="2427" w:type="pct"/>
            <w:gridSpan w:val="2"/>
          </w:tcPr>
          <w:p w:rsidR="00197413" w:rsidRPr="00197413" w:rsidRDefault="00197413" w:rsidP="00197413">
            <w:pPr>
              <w:jc w:val="both"/>
              <w:rPr>
                <w:sz w:val="20"/>
                <w:lang w:val="fr-CA"/>
              </w:rPr>
            </w:pPr>
            <w:r w:rsidRPr="00197413">
              <w:rPr>
                <w:sz w:val="20"/>
                <w:lang w:val="fr-CA"/>
              </w:rPr>
              <w:lastRenderedPageBreak/>
              <w:t>19 octobre 2018</w:t>
            </w:r>
          </w:p>
          <w:p w:rsidR="00197413" w:rsidRPr="00197413" w:rsidRDefault="00197413" w:rsidP="001B5B03">
            <w:pPr>
              <w:jc w:val="both"/>
              <w:rPr>
                <w:sz w:val="20"/>
                <w:lang w:val="fr-CA"/>
              </w:rPr>
            </w:pPr>
            <w:r w:rsidRPr="00197413">
              <w:rPr>
                <w:sz w:val="20"/>
                <w:lang w:val="fr-CA"/>
              </w:rPr>
              <w:t>Cour suprême du Canada</w:t>
            </w:r>
          </w:p>
        </w:tc>
        <w:tc>
          <w:tcPr>
            <w:tcW w:w="243" w:type="pct"/>
          </w:tcPr>
          <w:p w:rsidR="00197413" w:rsidRPr="00197413" w:rsidRDefault="00197413" w:rsidP="00197413">
            <w:pPr>
              <w:jc w:val="both"/>
              <w:rPr>
                <w:sz w:val="20"/>
                <w:lang w:val="fr-CA"/>
              </w:rPr>
            </w:pPr>
          </w:p>
        </w:tc>
        <w:tc>
          <w:tcPr>
            <w:tcW w:w="2330" w:type="pct"/>
          </w:tcPr>
          <w:p w:rsidR="00197413" w:rsidRPr="00197413" w:rsidRDefault="00197413" w:rsidP="00197413">
            <w:pPr>
              <w:jc w:val="both"/>
              <w:rPr>
                <w:sz w:val="20"/>
                <w:lang w:val="fr-CA"/>
              </w:rPr>
            </w:pPr>
            <w:r w:rsidRPr="00197413">
              <w:rPr>
                <w:sz w:val="20"/>
                <w:lang w:val="fr-CA"/>
              </w:rPr>
              <w:t>Dépôt de la demande d’autorisation d’appel</w:t>
            </w:r>
          </w:p>
          <w:p w:rsidR="00197413" w:rsidRPr="00197413" w:rsidRDefault="00197413" w:rsidP="00197413">
            <w:pPr>
              <w:jc w:val="both"/>
              <w:rPr>
                <w:sz w:val="20"/>
                <w:lang w:val="fr-CA"/>
              </w:rPr>
            </w:pPr>
          </w:p>
        </w:tc>
      </w:tr>
    </w:tbl>
    <w:p w:rsidR="00197413" w:rsidRDefault="00197413" w:rsidP="00197413">
      <w:pPr>
        <w:jc w:val="both"/>
        <w:rPr>
          <w:sz w:val="20"/>
          <w:lang w:val="fr-CA"/>
        </w:rPr>
      </w:pPr>
    </w:p>
    <w:p w:rsidR="001B5B03" w:rsidRPr="00197413" w:rsidRDefault="001B5B03" w:rsidP="00197413">
      <w:pPr>
        <w:jc w:val="both"/>
        <w:rPr>
          <w:sz w:val="20"/>
          <w:lang w:val="fr-CA"/>
        </w:rPr>
      </w:pPr>
      <w:r>
        <w:rPr>
          <w:sz w:val="20"/>
        </w:rPr>
        <w:pict>
          <v:rect id="_x0000_i1067" style="width:2in;height:1pt" o:hrpct="0" o:hralign="center" o:hrstd="t" o:hrnoshade="t" o:hr="t" fillcolor="black [3213]" stroked="f"/>
        </w:pict>
      </w:r>
    </w:p>
    <w:p w:rsidR="00C91655" w:rsidRPr="00197413" w:rsidRDefault="00C91655" w:rsidP="0019741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97413" w:rsidRPr="00197413" w:rsidTr="00E95A6A">
        <w:tc>
          <w:tcPr>
            <w:tcW w:w="543" w:type="pct"/>
          </w:tcPr>
          <w:p w:rsidR="00197413" w:rsidRPr="00197413" w:rsidRDefault="00197413" w:rsidP="00197413">
            <w:pPr>
              <w:jc w:val="both"/>
              <w:rPr>
                <w:sz w:val="20"/>
              </w:rPr>
            </w:pPr>
            <w:r w:rsidRPr="00197413">
              <w:rPr>
                <w:rStyle w:val="SCCFileNumberChar"/>
                <w:sz w:val="20"/>
                <w:szCs w:val="20"/>
              </w:rPr>
              <w:t>38324</w:t>
            </w:r>
          </w:p>
        </w:tc>
        <w:tc>
          <w:tcPr>
            <w:tcW w:w="4457" w:type="pct"/>
            <w:gridSpan w:val="3"/>
          </w:tcPr>
          <w:p w:rsidR="00197413" w:rsidRPr="001B5B03" w:rsidRDefault="00197413" w:rsidP="00197413">
            <w:pPr>
              <w:pStyle w:val="SCCLsocParty"/>
              <w:jc w:val="both"/>
              <w:rPr>
                <w:b/>
                <w:sz w:val="20"/>
                <w:szCs w:val="20"/>
                <w:lang w:val="en-US"/>
              </w:rPr>
            </w:pPr>
            <w:r w:rsidRPr="001B5B03">
              <w:rPr>
                <w:b/>
                <w:sz w:val="20"/>
                <w:szCs w:val="20"/>
                <w:lang w:val="en-US"/>
              </w:rPr>
              <w:t xml:space="preserve">Penguin Properties Inc. v. </w:t>
            </w:r>
            <w:proofErr w:type="spellStart"/>
            <w:r w:rsidRPr="001B5B03">
              <w:rPr>
                <w:b/>
                <w:sz w:val="20"/>
                <w:szCs w:val="20"/>
                <w:lang w:val="en-US"/>
              </w:rPr>
              <w:t>Parc</w:t>
            </w:r>
            <w:proofErr w:type="spellEnd"/>
            <w:r w:rsidRPr="001B5B03">
              <w:rPr>
                <w:b/>
                <w:sz w:val="20"/>
                <w:szCs w:val="20"/>
                <w:lang w:val="en-US"/>
              </w:rPr>
              <w:t xml:space="preserve"> </w:t>
            </w:r>
            <w:proofErr w:type="spellStart"/>
            <w:r w:rsidRPr="001B5B03">
              <w:rPr>
                <w:b/>
                <w:sz w:val="20"/>
                <w:szCs w:val="20"/>
                <w:lang w:val="en-US"/>
              </w:rPr>
              <w:t>Downsview</w:t>
            </w:r>
            <w:proofErr w:type="spellEnd"/>
            <w:r w:rsidRPr="001B5B03">
              <w:rPr>
                <w:b/>
                <w:sz w:val="20"/>
                <w:szCs w:val="20"/>
                <w:lang w:val="en-US"/>
              </w:rPr>
              <w:t xml:space="preserve"> Park Inc.</w:t>
            </w:r>
          </w:p>
          <w:p w:rsidR="00197413" w:rsidRPr="00197413" w:rsidRDefault="00197413" w:rsidP="00197413">
            <w:pPr>
              <w:jc w:val="both"/>
              <w:rPr>
                <w:sz w:val="20"/>
              </w:rPr>
            </w:pPr>
            <w:r w:rsidRPr="00197413">
              <w:rPr>
                <w:sz w:val="20"/>
              </w:rPr>
              <w:t>(Ont.) (Civil) (By Leave)</w:t>
            </w:r>
          </w:p>
        </w:tc>
      </w:tr>
      <w:tr w:rsidR="00197413" w:rsidRPr="00197413" w:rsidTr="00E95A6A">
        <w:tc>
          <w:tcPr>
            <w:tcW w:w="5000" w:type="pct"/>
            <w:gridSpan w:val="4"/>
          </w:tcPr>
          <w:p w:rsidR="00197413" w:rsidRPr="00197413" w:rsidRDefault="00197413" w:rsidP="00197413">
            <w:pPr>
              <w:jc w:val="both"/>
              <w:rPr>
                <w:sz w:val="20"/>
              </w:rPr>
            </w:pPr>
            <w:r w:rsidRPr="00197413">
              <w:rPr>
                <w:sz w:val="20"/>
              </w:rPr>
              <w:t>Contracts — Commercial leases — Remedies for breach of indemnity agreement — Quantum of damages — Applicant agreeing to act as indemnifier for commercial lease, and entering into indemnity agreement with landlord — Tenant defaulting on rent and declaring bankruptcy — Landlord seeking to recover damages for lost rent and other costs and losses from applicant as indemnifier — Whether commercial indemnities are to be treated as independent commercial contracts, subject to basic rule that defendant should not be responsible for avoidable losses which increase damages payable to plaintiff — Whether obligations of third party voluntary indemnitor ought to be strictly enforced in accordance with terms of indemnity, distinct from rights and obligations of tenant under lease — Whether amounts owed under indemnity should be recalculated in accordance with landlord’s duty to mitigate and strict reading of indemnity</w:t>
            </w:r>
          </w:p>
          <w:p w:rsidR="00197413" w:rsidRPr="00197413" w:rsidRDefault="00197413" w:rsidP="00197413">
            <w:pPr>
              <w:jc w:val="both"/>
              <w:rPr>
                <w:sz w:val="20"/>
              </w:rPr>
            </w:pPr>
          </w:p>
        </w:tc>
      </w:tr>
      <w:tr w:rsidR="00197413" w:rsidRPr="00197413" w:rsidTr="00E95A6A">
        <w:tc>
          <w:tcPr>
            <w:tcW w:w="5000" w:type="pct"/>
            <w:gridSpan w:val="4"/>
          </w:tcPr>
          <w:p w:rsidR="00197413" w:rsidRPr="00197413" w:rsidRDefault="00197413" w:rsidP="00197413">
            <w:pPr>
              <w:jc w:val="both"/>
              <w:rPr>
                <w:sz w:val="20"/>
              </w:rPr>
            </w:pPr>
            <w:proofErr w:type="spellStart"/>
            <w:r w:rsidRPr="00197413">
              <w:rPr>
                <w:sz w:val="20"/>
              </w:rPr>
              <w:t>Downsview</w:t>
            </w:r>
            <w:proofErr w:type="spellEnd"/>
            <w:r w:rsidRPr="00197413">
              <w:rPr>
                <w:sz w:val="20"/>
              </w:rPr>
              <w:t xml:space="preserve"> leased property to a third party tenant, for commercial purposes. Penguin acted as indemnifier, and agreed to pay a certain portion of rent, should the tenant default, as well as compensating </w:t>
            </w:r>
            <w:proofErr w:type="spellStart"/>
            <w:r w:rsidRPr="00197413">
              <w:rPr>
                <w:sz w:val="20"/>
              </w:rPr>
              <w:t>Downsview</w:t>
            </w:r>
            <w:proofErr w:type="spellEnd"/>
            <w:r w:rsidRPr="00197413">
              <w:rPr>
                <w:sz w:val="20"/>
              </w:rPr>
              <w:t xml:space="preserve"> for other losses and costs. When the tenant defaulted, </w:t>
            </w:r>
            <w:proofErr w:type="spellStart"/>
            <w:r w:rsidRPr="00197413">
              <w:rPr>
                <w:sz w:val="20"/>
              </w:rPr>
              <w:t>Downsview</w:t>
            </w:r>
            <w:proofErr w:type="spellEnd"/>
            <w:r w:rsidRPr="00197413">
              <w:rPr>
                <w:sz w:val="20"/>
              </w:rPr>
              <w:t xml:space="preserve"> sought to enforce the indemnity agreement against Penguin and recover its lost rental income. Penguin argued that </w:t>
            </w:r>
            <w:proofErr w:type="spellStart"/>
            <w:r w:rsidRPr="00197413">
              <w:rPr>
                <w:sz w:val="20"/>
              </w:rPr>
              <w:t>Downsview</w:t>
            </w:r>
            <w:proofErr w:type="spellEnd"/>
            <w:r w:rsidRPr="00197413">
              <w:rPr>
                <w:sz w:val="20"/>
              </w:rPr>
              <w:t xml:space="preserve"> had made oral, pre-contractual representations about the site, which it then breached; Penguin would not have entered into the agreement were it not for these negligent misrepresentations, and should be absolved of its obligations.</w:t>
            </w:r>
          </w:p>
          <w:p w:rsidR="00197413" w:rsidRPr="00197413" w:rsidRDefault="00197413" w:rsidP="00197413">
            <w:pPr>
              <w:jc w:val="both"/>
              <w:rPr>
                <w:sz w:val="20"/>
              </w:rPr>
            </w:pPr>
          </w:p>
          <w:p w:rsidR="00197413" w:rsidRPr="00197413" w:rsidRDefault="00197413" w:rsidP="001B5B03">
            <w:pPr>
              <w:jc w:val="both"/>
              <w:rPr>
                <w:sz w:val="20"/>
              </w:rPr>
            </w:pPr>
            <w:r w:rsidRPr="00197413">
              <w:rPr>
                <w:sz w:val="20"/>
              </w:rPr>
              <w:t xml:space="preserve">The application judge granted </w:t>
            </w:r>
            <w:proofErr w:type="spellStart"/>
            <w:r w:rsidRPr="00197413">
              <w:rPr>
                <w:sz w:val="20"/>
              </w:rPr>
              <w:t>Downsview’s</w:t>
            </w:r>
            <w:proofErr w:type="spellEnd"/>
            <w:r w:rsidRPr="00197413">
              <w:rPr>
                <w:sz w:val="20"/>
              </w:rPr>
              <w:t xml:space="preserve"> application, finding that there was no evidence of negligent misrepresentation; as such, Penguin was obligated to pay damages to </w:t>
            </w:r>
            <w:proofErr w:type="spellStart"/>
            <w:r w:rsidRPr="00197413">
              <w:rPr>
                <w:sz w:val="20"/>
              </w:rPr>
              <w:t>Downsview</w:t>
            </w:r>
            <w:proofErr w:type="spellEnd"/>
            <w:r w:rsidRPr="00197413">
              <w:rPr>
                <w:sz w:val="20"/>
              </w:rPr>
              <w:t xml:space="preserve"> for its losses in the amount of $788,603.45, representing unpaid rent up to June 12, 2017 (the date of the hearing), as well as restoration costs, legal fees, and other costs. In a supplementary judgment, the judge refused to grant </w:t>
            </w:r>
            <w:proofErr w:type="spellStart"/>
            <w:r w:rsidRPr="00197413">
              <w:rPr>
                <w:sz w:val="20"/>
              </w:rPr>
              <w:t>Downsview</w:t>
            </w:r>
            <w:proofErr w:type="spellEnd"/>
            <w:r w:rsidRPr="00197413">
              <w:rPr>
                <w:sz w:val="20"/>
              </w:rPr>
              <w:t xml:space="preserve"> additional relief — i.e., damages for loss of future rent until the end of the rental term (August 2020) — as </w:t>
            </w:r>
            <w:proofErr w:type="spellStart"/>
            <w:r w:rsidRPr="00197413">
              <w:rPr>
                <w:sz w:val="20"/>
              </w:rPr>
              <w:t>Downsview</w:t>
            </w:r>
            <w:proofErr w:type="spellEnd"/>
            <w:r w:rsidRPr="00197413">
              <w:rPr>
                <w:sz w:val="20"/>
              </w:rPr>
              <w:t xml:space="preserve"> had a duty to mitigate its losses. The Ontario Court of Appeal unanimously dismissed Penguin’s appeal, finding that the application judge committed no error in establishing Penguin’s liability. However, the court split on the outcome of </w:t>
            </w:r>
            <w:proofErr w:type="spellStart"/>
            <w:r w:rsidRPr="00197413">
              <w:rPr>
                <w:sz w:val="20"/>
              </w:rPr>
              <w:t>Downsview’s</w:t>
            </w:r>
            <w:proofErr w:type="spellEnd"/>
            <w:r w:rsidRPr="00197413">
              <w:rPr>
                <w:sz w:val="20"/>
              </w:rPr>
              <w:t xml:space="preserve"> cross-appeal. The majority allowed </w:t>
            </w:r>
            <w:proofErr w:type="spellStart"/>
            <w:r w:rsidRPr="00197413">
              <w:rPr>
                <w:sz w:val="20"/>
              </w:rPr>
              <w:t>Downsview’s</w:t>
            </w:r>
            <w:proofErr w:type="spellEnd"/>
            <w:r w:rsidRPr="00197413">
              <w:rPr>
                <w:sz w:val="20"/>
              </w:rPr>
              <w:t xml:space="preserve"> cross appeal, finding that it was in fact entitled to damages for loss of future rent until the end of the lease term (subject to any credit for rent received from another tenant, should it re-let the property). The dissent would have dismissed </w:t>
            </w:r>
            <w:proofErr w:type="spellStart"/>
            <w:r w:rsidRPr="00197413">
              <w:rPr>
                <w:sz w:val="20"/>
              </w:rPr>
              <w:t>Downsview’s</w:t>
            </w:r>
            <w:proofErr w:type="spellEnd"/>
            <w:r w:rsidRPr="00197413">
              <w:rPr>
                <w:sz w:val="20"/>
              </w:rPr>
              <w:t xml:space="preserve"> cross-appeal, agreeing with the application judge.</w:t>
            </w:r>
          </w:p>
        </w:tc>
      </w:tr>
      <w:tr w:rsidR="00197413" w:rsidRPr="00197413" w:rsidTr="00E95A6A">
        <w:tc>
          <w:tcPr>
            <w:tcW w:w="5000" w:type="pct"/>
            <w:gridSpan w:val="4"/>
          </w:tcPr>
          <w:p w:rsidR="00197413" w:rsidRPr="00197413" w:rsidRDefault="00197413" w:rsidP="00197413">
            <w:pPr>
              <w:jc w:val="both"/>
              <w:rPr>
                <w:sz w:val="20"/>
              </w:rPr>
            </w:pPr>
          </w:p>
        </w:tc>
      </w:tr>
      <w:tr w:rsidR="00197413" w:rsidRPr="00197413" w:rsidTr="00E95A6A">
        <w:tc>
          <w:tcPr>
            <w:tcW w:w="2427" w:type="pct"/>
            <w:gridSpan w:val="2"/>
          </w:tcPr>
          <w:p w:rsidR="00197413" w:rsidRPr="00197413" w:rsidRDefault="00197413" w:rsidP="00197413">
            <w:pPr>
              <w:jc w:val="both"/>
              <w:rPr>
                <w:sz w:val="20"/>
              </w:rPr>
            </w:pPr>
            <w:r w:rsidRPr="00197413">
              <w:rPr>
                <w:sz w:val="20"/>
              </w:rPr>
              <w:t>July 28, 2017</w:t>
            </w:r>
          </w:p>
          <w:p w:rsidR="00197413" w:rsidRPr="00197413" w:rsidRDefault="00197413" w:rsidP="00197413">
            <w:pPr>
              <w:jc w:val="both"/>
              <w:rPr>
                <w:sz w:val="20"/>
              </w:rPr>
            </w:pPr>
            <w:r w:rsidRPr="00197413">
              <w:rPr>
                <w:sz w:val="20"/>
              </w:rPr>
              <w:t>Ontario Superior Court of Justice</w:t>
            </w:r>
          </w:p>
          <w:p w:rsidR="00197413" w:rsidRPr="00197413" w:rsidRDefault="00197413" w:rsidP="00197413">
            <w:pPr>
              <w:jc w:val="both"/>
              <w:rPr>
                <w:sz w:val="20"/>
              </w:rPr>
            </w:pPr>
            <w:r w:rsidRPr="00197413">
              <w:rPr>
                <w:sz w:val="20"/>
              </w:rPr>
              <w:t>(</w:t>
            </w:r>
            <w:proofErr w:type="spellStart"/>
            <w:r w:rsidRPr="00197413">
              <w:rPr>
                <w:sz w:val="20"/>
              </w:rPr>
              <w:t>Lederer</w:t>
            </w:r>
            <w:proofErr w:type="spellEnd"/>
            <w:r w:rsidRPr="00197413">
              <w:rPr>
                <w:sz w:val="20"/>
              </w:rPr>
              <w:t xml:space="preserve"> J.)</w:t>
            </w:r>
          </w:p>
          <w:p w:rsidR="00197413" w:rsidRPr="00197413" w:rsidRDefault="00197413" w:rsidP="00197413">
            <w:pPr>
              <w:jc w:val="both"/>
              <w:rPr>
                <w:sz w:val="20"/>
              </w:rPr>
            </w:pPr>
            <w:hyperlink r:id="rId83" w:history="1">
              <w:r w:rsidRPr="00197413">
                <w:rPr>
                  <w:rStyle w:val="Hyperlink"/>
                  <w:sz w:val="20"/>
                </w:rPr>
                <w:t>2017 ONSC 4533</w:t>
              </w:r>
            </w:hyperlink>
          </w:p>
          <w:p w:rsidR="00197413" w:rsidRPr="00197413" w:rsidRDefault="00197413" w:rsidP="00197413">
            <w:pPr>
              <w:jc w:val="both"/>
              <w:rPr>
                <w:sz w:val="20"/>
              </w:rPr>
            </w:pPr>
          </w:p>
        </w:tc>
        <w:tc>
          <w:tcPr>
            <w:tcW w:w="243" w:type="pct"/>
          </w:tcPr>
          <w:p w:rsidR="00197413" w:rsidRPr="00197413" w:rsidRDefault="00197413" w:rsidP="00197413">
            <w:pPr>
              <w:jc w:val="both"/>
              <w:rPr>
                <w:sz w:val="20"/>
              </w:rPr>
            </w:pPr>
          </w:p>
        </w:tc>
        <w:tc>
          <w:tcPr>
            <w:tcW w:w="2330" w:type="pct"/>
          </w:tcPr>
          <w:p w:rsidR="00197413" w:rsidRPr="00197413" w:rsidRDefault="00197413" w:rsidP="00197413">
            <w:pPr>
              <w:jc w:val="both"/>
              <w:rPr>
                <w:sz w:val="20"/>
              </w:rPr>
            </w:pPr>
            <w:r w:rsidRPr="00197413">
              <w:rPr>
                <w:sz w:val="20"/>
              </w:rPr>
              <w:t xml:space="preserve">Application by </w:t>
            </w:r>
            <w:proofErr w:type="spellStart"/>
            <w:r w:rsidRPr="00197413">
              <w:rPr>
                <w:sz w:val="20"/>
              </w:rPr>
              <w:t>Downsview</w:t>
            </w:r>
            <w:proofErr w:type="spellEnd"/>
            <w:r w:rsidRPr="00197413">
              <w:rPr>
                <w:sz w:val="20"/>
              </w:rPr>
              <w:t xml:space="preserve"> — granted; judgment for award of damages in the amount of $788,603.45, including loss of rent up to June 12, 2017</w:t>
            </w:r>
          </w:p>
          <w:p w:rsidR="00197413" w:rsidRPr="00197413" w:rsidRDefault="00197413" w:rsidP="00197413">
            <w:pPr>
              <w:jc w:val="both"/>
              <w:rPr>
                <w:sz w:val="20"/>
              </w:rPr>
            </w:pPr>
          </w:p>
        </w:tc>
      </w:tr>
      <w:tr w:rsidR="00197413" w:rsidRPr="00197413" w:rsidTr="00E95A6A">
        <w:tc>
          <w:tcPr>
            <w:tcW w:w="2427" w:type="pct"/>
            <w:gridSpan w:val="2"/>
          </w:tcPr>
          <w:p w:rsidR="00197413" w:rsidRPr="00197413" w:rsidRDefault="00197413" w:rsidP="00197413">
            <w:pPr>
              <w:jc w:val="both"/>
              <w:rPr>
                <w:sz w:val="20"/>
              </w:rPr>
            </w:pPr>
            <w:r w:rsidRPr="00197413">
              <w:rPr>
                <w:sz w:val="20"/>
              </w:rPr>
              <w:t>November 29, 2017</w:t>
            </w:r>
          </w:p>
          <w:p w:rsidR="00197413" w:rsidRPr="00197413" w:rsidRDefault="00197413" w:rsidP="00197413">
            <w:pPr>
              <w:jc w:val="both"/>
              <w:rPr>
                <w:sz w:val="20"/>
              </w:rPr>
            </w:pPr>
            <w:r w:rsidRPr="00197413">
              <w:rPr>
                <w:sz w:val="20"/>
              </w:rPr>
              <w:t>Ontario Superior Court of Justice</w:t>
            </w:r>
          </w:p>
          <w:p w:rsidR="00197413" w:rsidRPr="00197413" w:rsidRDefault="00197413" w:rsidP="00197413">
            <w:pPr>
              <w:jc w:val="both"/>
              <w:rPr>
                <w:sz w:val="20"/>
              </w:rPr>
            </w:pPr>
            <w:r w:rsidRPr="00197413">
              <w:rPr>
                <w:sz w:val="20"/>
              </w:rPr>
              <w:t>(Lederer J.)</w:t>
            </w:r>
          </w:p>
          <w:p w:rsidR="00197413" w:rsidRPr="00197413" w:rsidRDefault="00197413" w:rsidP="00197413">
            <w:pPr>
              <w:jc w:val="both"/>
              <w:rPr>
                <w:sz w:val="20"/>
              </w:rPr>
            </w:pPr>
            <w:hyperlink r:id="rId84" w:history="1">
              <w:r w:rsidRPr="00197413">
                <w:rPr>
                  <w:rStyle w:val="Hyperlink"/>
                  <w:sz w:val="20"/>
                </w:rPr>
                <w:t>2017 ONSC 7079</w:t>
              </w:r>
            </w:hyperlink>
            <w:r w:rsidRPr="00197413">
              <w:rPr>
                <w:sz w:val="20"/>
              </w:rPr>
              <w:t xml:space="preserve"> </w:t>
            </w:r>
          </w:p>
          <w:p w:rsidR="00197413" w:rsidRPr="00197413" w:rsidRDefault="00197413" w:rsidP="00197413">
            <w:pPr>
              <w:jc w:val="both"/>
              <w:rPr>
                <w:sz w:val="20"/>
              </w:rPr>
            </w:pPr>
          </w:p>
        </w:tc>
        <w:tc>
          <w:tcPr>
            <w:tcW w:w="243" w:type="pct"/>
          </w:tcPr>
          <w:p w:rsidR="00197413" w:rsidRPr="00197413" w:rsidRDefault="00197413" w:rsidP="00197413">
            <w:pPr>
              <w:jc w:val="both"/>
              <w:rPr>
                <w:sz w:val="20"/>
              </w:rPr>
            </w:pPr>
          </w:p>
        </w:tc>
        <w:tc>
          <w:tcPr>
            <w:tcW w:w="2330" w:type="pct"/>
          </w:tcPr>
          <w:p w:rsidR="00197413" w:rsidRPr="00197413" w:rsidRDefault="00197413" w:rsidP="00197413">
            <w:pPr>
              <w:jc w:val="both"/>
              <w:rPr>
                <w:sz w:val="20"/>
              </w:rPr>
            </w:pPr>
            <w:r w:rsidRPr="00197413">
              <w:rPr>
                <w:sz w:val="20"/>
              </w:rPr>
              <w:t>Supplementary reasons for judgment; refusal to award additional damages for loss of future rent past June 12, 2017</w:t>
            </w:r>
          </w:p>
        </w:tc>
      </w:tr>
      <w:tr w:rsidR="00197413" w:rsidRPr="00197413" w:rsidTr="00E95A6A">
        <w:tc>
          <w:tcPr>
            <w:tcW w:w="2427" w:type="pct"/>
            <w:gridSpan w:val="2"/>
          </w:tcPr>
          <w:p w:rsidR="00197413" w:rsidRPr="00197413" w:rsidRDefault="00197413" w:rsidP="00197413">
            <w:pPr>
              <w:jc w:val="both"/>
              <w:rPr>
                <w:sz w:val="20"/>
              </w:rPr>
            </w:pPr>
            <w:r w:rsidRPr="00197413">
              <w:rPr>
                <w:sz w:val="20"/>
              </w:rPr>
              <w:t>July 26, 2018</w:t>
            </w:r>
          </w:p>
          <w:p w:rsidR="00197413" w:rsidRPr="00197413" w:rsidRDefault="00197413" w:rsidP="00197413">
            <w:pPr>
              <w:jc w:val="both"/>
              <w:rPr>
                <w:sz w:val="20"/>
              </w:rPr>
            </w:pPr>
            <w:r w:rsidRPr="00197413">
              <w:rPr>
                <w:sz w:val="20"/>
              </w:rPr>
              <w:t>Court of Appeal for Ontario</w:t>
            </w:r>
          </w:p>
          <w:p w:rsidR="00197413" w:rsidRPr="00197413" w:rsidRDefault="00197413" w:rsidP="00197413">
            <w:pPr>
              <w:jc w:val="both"/>
              <w:rPr>
                <w:sz w:val="20"/>
              </w:rPr>
            </w:pPr>
            <w:r w:rsidRPr="00197413">
              <w:rPr>
                <w:sz w:val="20"/>
              </w:rPr>
              <w:t>(Brown and Miller JJ.A., and van Rensburg J.A., dissenting in part on cross-appeal)</w:t>
            </w:r>
          </w:p>
          <w:p w:rsidR="00197413" w:rsidRPr="00197413" w:rsidRDefault="00197413" w:rsidP="00197413">
            <w:pPr>
              <w:jc w:val="both"/>
              <w:rPr>
                <w:sz w:val="20"/>
              </w:rPr>
            </w:pPr>
            <w:hyperlink r:id="rId85" w:history="1">
              <w:r w:rsidRPr="00197413">
                <w:rPr>
                  <w:rStyle w:val="Hyperlink"/>
                  <w:sz w:val="20"/>
                </w:rPr>
                <w:t>2018 ONCA 666</w:t>
              </w:r>
            </w:hyperlink>
            <w:r w:rsidRPr="00197413">
              <w:rPr>
                <w:sz w:val="20"/>
              </w:rPr>
              <w:t xml:space="preserve"> </w:t>
            </w:r>
          </w:p>
          <w:p w:rsidR="00197413" w:rsidRPr="00197413" w:rsidRDefault="00197413" w:rsidP="00197413">
            <w:pPr>
              <w:jc w:val="both"/>
              <w:rPr>
                <w:sz w:val="20"/>
              </w:rPr>
            </w:pPr>
          </w:p>
        </w:tc>
        <w:tc>
          <w:tcPr>
            <w:tcW w:w="243" w:type="pct"/>
          </w:tcPr>
          <w:p w:rsidR="00197413" w:rsidRPr="00197413" w:rsidRDefault="00197413" w:rsidP="00197413">
            <w:pPr>
              <w:jc w:val="both"/>
              <w:rPr>
                <w:sz w:val="20"/>
              </w:rPr>
            </w:pPr>
          </w:p>
        </w:tc>
        <w:tc>
          <w:tcPr>
            <w:tcW w:w="2330" w:type="pct"/>
          </w:tcPr>
          <w:p w:rsidR="00197413" w:rsidRPr="00197413" w:rsidRDefault="00197413" w:rsidP="00197413">
            <w:pPr>
              <w:jc w:val="both"/>
              <w:rPr>
                <w:sz w:val="20"/>
              </w:rPr>
            </w:pPr>
            <w:r w:rsidRPr="00197413">
              <w:rPr>
                <w:sz w:val="20"/>
              </w:rPr>
              <w:t xml:space="preserve">Appeal by Penguin dismissed; </w:t>
            </w:r>
          </w:p>
          <w:p w:rsidR="00197413" w:rsidRPr="00197413" w:rsidRDefault="00197413" w:rsidP="00197413">
            <w:pPr>
              <w:jc w:val="both"/>
              <w:rPr>
                <w:sz w:val="20"/>
              </w:rPr>
            </w:pPr>
            <w:r w:rsidRPr="00197413">
              <w:rPr>
                <w:sz w:val="20"/>
              </w:rPr>
              <w:t>Cross-appeal by Downsview allowed in part;  Lederer J.’s judgment varied to award damages for loss of future rent, subject to any credit for rent received from any other person</w:t>
            </w:r>
          </w:p>
          <w:p w:rsidR="00197413" w:rsidRPr="00197413" w:rsidRDefault="00197413" w:rsidP="00197413">
            <w:pPr>
              <w:jc w:val="both"/>
              <w:rPr>
                <w:sz w:val="20"/>
              </w:rPr>
            </w:pPr>
          </w:p>
        </w:tc>
      </w:tr>
      <w:tr w:rsidR="00197413" w:rsidRPr="00197413" w:rsidTr="00E95A6A">
        <w:tc>
          <w:tcPr>
            <w:tcW w:w="2427" w:type="pct"/>
            <w:gridSpan w:val="2"/>
          </w:tcPr>
          <w:p w:rsidR="00197413" w:rsidRPr="00197413" w:rsidRDefault="00197413" w:rsidP="00197413">
            <w:pPr>
              <w:jc w:val="both"/>
              <w:rPr>
                <w:sz w:val="20"/>
              </w:rPr>
            </w:pPr>
            <w:r w:rsidRPr="00197413">
              <w:rPr>
                <w:sz w:val="20"/>
              </w:rPr>
              <w:lastRenderedPageBreak/>
              <w:t>September 28, 2018</w:t>
            </w:r>
          </w:p>
          <w:p w:rsidR="00197413" w:rsidRPr="00197413" w:rsidRDefault="00197413" w:rsidP="00197413">
            <w:pPr>
              <w:jc w:val="both"/>
              <w:rPr>
                <w:sz w:val="20"/>
              </w:rPr>
            </w:pPr>
            <w:r w:rsidRPr="00197413">
              <w:rPr>
                <w:sz w:val="20"/>
              </w:rPr>
              <w:t>Supreme Court of Canada</w:t>
            </w:r>
          </w:p>
        </w:tc>
        <w:tc>
          <w:tcPr>
            <w:tcW w:w="243" w:type="pct"/>
          </w:tcPr>
          <w:p w:rsidR="00197413" w:rsidRPr="00197413" w:rsidRDefault="00197413" w:rsidP="00197413">
            <w:pPr>
              <w:jc w:val="both"/>
              <w:rPr>
                <w:sz w:val="20"/>
              </w:rPr>
            </w:pPr>
          </w:p>
        </w:tc>
        <w:tc>
          <w:tcPr>
            <w:tcW w:w="2330" w:type="pct"/>
          </w:tcPr>
          <w:p w:rsidR="00197413" w:rsidRPr="00197413" w:rsidRDefault="00197413" w:rsidP="00197413">
            <w:pPr>
              <w:jc w:val="both"/>
              <w:rPr>
                <w:sz w:val="20"/>
              </w:rPr>
            </w:pPr>
            <w:r w:rsidRPr="00197413">
              <w:rPr>
                <w:sz w:val="20"/>
              </w:rPr>
              <w:t xml:space="preserve">Application for leave to appeal filed by Penguin </w:t>
            </w:r>
          </w:p>
          <w:p w:rsidR="00197413" w:rsidRPr="00197413" w:rsidRDefault="00197413" w:rsidP="00197413">
            <w:pPr>
              <w:jc w:val="both"/>
              <w:rPr>
                <w:sz w:val="20"/>
              </w:rPr>
            </w:pPr>
          </w:p>
        </w:tc>
      </w:tr>
    </w:tbl>
    <w:p w:rsidR="00197413" w:rsidRDefault="00197413" w:rsidP="00197413">
      <w:pPr>
        <w:jc w:val="both"/>
        <w:rPr>
          <w:sz w:val="20"/>
        </w:rPr>
      </w:pPr>
    </w:p>
    <w:p w:rsidR="001B5B03" w:rsidRDefault="001B5B03" w:rsidP="00197413">
      <w:pPr>
        <w:jc w:val="both"/>
        <w:rPr>
          <w:sz w:val="20"/>
        </w:rPr>
      </w:pPr>
      <w:r>
        <w:rPr>
          <w:sz w:val="20"/>
        </w:rPr>
        <w:pict>
          <v:rect id="_x0000_i1068" style="width:2in;height:1pt" o:hrpct="0" o:hralign="center" o:hrstd="t" o:hrnoshade="t" o:hr="t" fillcolor="black [3213]" stroked="f"/>
        </w:pict>
      </w:r>
    </w:p>
    <w:p w:rsidR="001B5B03" w:rsidRPr="00197413" w:rsidRDefault="001B5B03" w:rsidP="0019741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97413" w:rsidRPr="00197413" w:rsidTr="00E95A6A">
        <w:tc>
          <w:tcPr>
            <w:tcW w:w="543" w:type="pct"/>
          </w:tcPr>
          <w:p w:rsidR="00197413" w:rsidRPr="00197413" w:rsidRDefault="00197413" w:rsidP="00197413">
            <w:pPr>
              <w:jc w:val="both"/>
              <w:rPr>
                <w:sz w:val="20"/>
                <w:lang w:val="fr-CA"/>
              </w:rPr>
            </w:pPr>
            <w:r w:rsidRPr="00197413">
              <w:rPr>
                <w:rStyle w:val="SCCFileNumberChar"/>
                <w:sz w:val="20"/>
                <w:szCs w:val="20"/>
                <w:lang w:val="fr-CA"/>
              </w:rPr>
              <w:t>38324</w:t>
            </w:r>
          </w:p>
        </w:tc>
        <w:tc>
          <w:tcPr>
            <w:tcW w:w="4457" w:type="pct"/>
            <w:gridSpan w:val="3"/>
          </w:tcPr>
          <w:p w:rsidR="00197413" w:rsidRPr="001B5B03" w:rsidRDefault="00197413" w:rsidP="00197413">
            <w:pPr>
              <w:pStyle w:val="SCCLsocParty"/>
              <w:jc w:val="both"/>
              <w:rPr>
                <w:b/>
                <w:sz w:val="20"/>
                <w:szCs w:val="20"/>
                <w:lang w:val="en-US"/>
              </w:rPr>
            </w:pPr>
            <w:r w:rsidRPr="001B5B03">
              <w:rPr>
                <w:b/>
                <w:sz w:val="20"/>
                <w:szCs w:val="20"/>
                <w:lang w:val="en-US"/>
              </w:rPr>
              <w:t xml:space="preserve">Penguin Properties Inc. c. </w:t>
            </w:r>
            <w:proofErr w:type="spellStart"/>
            <w:r w:rsidRPr="001B5B03">
              <w:rPr>
                <w:b/>
                <w:sz w:val="20"/>
                <w:szCs w:val="20"/>
                <w:lang w:val="en-US"/>
              </w:rPr>
              <w:t>Parc</w:t>
            </w:r>
            <w:proofErr w:type="spellEnd"/>
            <w:r w:rsidRPr="001B5B03">
              <w:rPr>
                <w:b/>
                <w:sz w:val="20"/>
                <w:szCs w:val="20"/>
                <w:lang w:val="en-US"/>
              </w:rPr>
              <w:t xml:space="preserve"> </w:t>
            </w:r>
            <w:proofErr w:type="spellStart"/>
            <w:r w:rsidRPr="001B5B03">
              <w:rPr>
                <w:b/>
                <w:sz w:val="20"/>
                <w:szCs w:val="20"/>
                <w:lang w:val="en-US"/>
              </w:rPr>
              <w:t>Downsview</w:t>
            </w:r>
            <w:proofErr w:type="spellEnd"/>
            <w:r w:rsidRPr="001B5B03">
              <w:rPr>
                <w:b/>
                <w:sz w:val="20"/>
                <w:szCs w:val="20"/>
                <w:lang w:val="en-US"/>
              </w:rPr>
              <w:t xml:space="preserve"> Park Inc.</w:t>
            </w:r>
          </w:p>
          <w:p w:rsidR="00197413" w:rsidRPr="00197413" w:rsidRDefault="00197413" w:rsidP="00197413">
            <w:pPr>
              <w:jc w:val="both"/>
              <w:rPr>
                <w:sz w:val="20"/>
                <w:lang w:val="fr-CA"/>
              </w:rPr>
            </w:pPr>
            <w:r w:rsidRPr="00197413">
              <w:rPr>
                <w:sz w:val="20"/>
                <w:lang w:val="fr-CA"/>
              </w:rPr>
              <w:t>(Ont.) (Civile) (Autorisation)</w:t>
            </w:r>
          </w:p>
        </w:tc>
      </w:tr>
      <w:tr w:rsidR="00197413" w:rsidRPr="00197413" w:rsidTr="00E95A6A">
        <w:tc>
          <w:tcPr>
            <w:tcW w:w="5000" w:type="pct"/>
            <w:gridSpan w:val="4"/>
          </w:tcPr>
          <w:p w:rsidR="00197413" w:rsidRPr="00197413" w:rsidRDefault="00197413" w:rsidP="00197413">
            <w:pPr>
              <w:jc w:val="both"/>
              <w:rPr>
                <w:sz w:val="20"/>
                <w:lang w:val="fr-CA"/>
              </w:rPr>
            </w:pPr>
            <w:r w:rsidRPr="00197413">
              <w:rPr>
                <w:sz w:val="20"/>
                <w:lang w:val="fr-CA"/>
              </w:rPr>
              <w:t>Contrats — Baux commerciaux — Recours pour violation d’une convention d’indemnisation — Montant des dommages-intérêts — La demanderesse a accepté d’agir comme débitrice d’une obligation d’indemnisation relativement à un bail commercial et a conclu une convention d’indemnisation avec le locateur — Le locataire n’a pas payé son loyer et a déclaré faillite — Le locateur veut obtenir de la demanderesse, à titre de débitrice d’une obligation d’indemnisation, des dommages-intérêts pour la perte de loyer et d’autres pertes — Les conventions d’indemnisation commerciales doivent-elles être traitées comme des contrats commerciaux indépendants, soumis à la règle fondamentale selon laquelle un défendeur ne devrait pas être responsable des pertes évitables qui augmentent le montant des dommages-intérêts payables au demandeur? — Les obligations d’un tiers qui a volontairement accepté d’être débiteur d’une obligation d’indemnisation devraient-elles être strictement exécutées conformément aux conditions de la convention d’indemnisation, de façon distincte des droits et obligations du locataire en vertu du bail? — Les montants dus en vertu de la convention d’indemnisation devraient-ils être recalculés conformément à l’obligation du locateur de limiter les pertes et selon une interprétation stricte de la convention d’indemnisation?</w:t>
            </w:r>
          </w:p>
          <w:p w:rsidR="00197413" w:rsidRPr="00197413" w:rsidRDefault="00197413" w:rsidP="00197413">
            <w:pPr>
              <w:jc w:val="both"/>
              <w:rPr>
                <w:sz w:val="20"/>
                <w:lang w:val="fr-CA"/>
              </w:rPr>
            </w:pPr>
          </w:p>
        </w:tc>
      </w:tr>
      <w:tr w:rsidR="00197413" w:rsidRPr="00197413" w:rsidTr="00E95A6A">
        <w:tc>
          <w:tcPr>
            <w:tcW w:w="5000" w:type="pct"/>
            <w:gridSpan w:val="4"/>
          </w:tcPr>
          <w:p w:rsidR="00197413" w:rsidRPr="00197413" w:rsidRDefault="00197413" w:rsidP="00197413">
            <w:pPr>
              <w:jc w:val="both"/>
              <w:rPr>
                <w:sz w:val="20"/>
                <w:lang w:val="fr-CA"/>
              </w:rPr>
            </w:pPr>
            <w:proofErr w:type="spellStart"/>
            <w:r w:rsidRPr="00197413">
              <w:rPr>
                <w:sz w:val="20"/>
                <w:lang w:val="fr-CA"/>
              </w:rPr>
              <w:t>Downsview</w:t>
            </w:r>
            <w:proofErr w:type="spellEnd"/>
            <w:r w:rsidRPr="00197413">
              <w:rPr>
                <w:sz w:val="20"/>
                <w:lang w:val="fr-CA"/>
              </w:rPr>
              <w:t xml:space="preserve"> a loué une propriété à un locataire tiers à des fins commerciales. Penguin a agi comme débitrice d’une obligation d’indemnisation et a accepté de payer une certaine partie du loyer si le locataire ne payait pas et d’indemniser </w:t>
            </w:r>
            <w:proofErr w:type="spellStart"/>
            <w:r w:rsidRPr="00197413">
              <w:rPr>
                <w:sz w:val="20"/>
                <w:lang w:val="fr-CA"/>
              </w:rPr>
              <w:t>Downsview</w:t>
            </w:r>
            <w:proofErr w:type="spellEnd"/>
            <w:r w:rsidRPr="00197413">
              <w:rPr>
                <w:sz w:val="20"/>
                <w:lang w:val="fr-CA"/>
              </w:rPr>
              <w:t xml:space="preserve"> d’autres pertes et frais. Lorsque le locataire a omis de payer le loyer, </w:t>
            </w:r>
            <w:proofErr w:type="spellStart"/>
            <w:r w:rsidRPr="00197413">
              <w:rPr>
                <w:sz w:val="20"/>
                <w:lang w:val="fr-CA"/>
              </w:rPr>
              <w:t>Downsview</w:t>
            </w:r>
            <w:proofErr w:type="spellEnd"/>
            <w:r w:rsidRPr="00197413">
              <w:rPr>
                <w:sz w:val="20"/>
                <w:lang w:val="fr-CA"/>
              </w:rPr>
              <w:t xml:space="preserve"> a voulu exécuter la convention d’indemnisation contre Penguin et recouvrer son revenu de location perdu. Penguin a plaidé que </w:t>
            </w:r>
            <w:proofErr w:type="spellStart"/>
            <w:r w:rsidRPr="00197413">
              <w:rPr>
                <w:sz w:val="20"/>
                <w:lang w:val="fr-CA"/>
              </w:rPr>
              <w:t>Downsview</w:t>
            </w:r>
            <w:proofErr w:type="spellEnd"/>
            <w:r w:rsidRPr="00197413">
              <w:rPr>
                <w:sz w:val="20"/>
                <w:lang w:val="fr-CA"/>
              </w:rPr>
              <w:t xml:space="preserve"> avait fait des déclarations orales précontractuelles au sujet de l’emplacement, déclarations que </w:t>
            </w:r>
            <w:proofErr w:type="spellStart"/>
            <w:r w:rsidRPr="00197413">
              <w:rPr>
                <w:sz w:val="20"/>
                <w:lang w:val="fr-CA"/>
              </w:rPr>
              <w:t>Downsview</w:t>
            </w:r>
            <w:proofErr w:type="spellEnd"/>
            <w:r w:rsidRPr="00197413">
              <w:rPr>
                <w:sz w:val="20"/>
                <w:lang w:val="fr-CA"/>
              </w:rPr>
              <w:t xml:space="preserve"> a ensuite omis de respecter; Penguin n’aurait pas conclu la convention, n’eût été ces déclarations inexactes faites par négligence, et devrait être déchargée de ses obligations.</w:t>
            </w:r>
          </w:p>
          <w:p w:rsidR="00197413" w:rsidRPr="00197413" w:rsidRDefault="00197413" w:rsidP="00197413">
            <w:pPr>
              <w:jc w:val="both"/>
              <w:rPr>
                <w:sz w:val="20"/>
                <w:lang w:val="fr-CA"/>
              </w:rPr>
            </w:pPr>
          </w:p>
          <w:p w:rsidR="00197413" w:rsidRPr="00197413" w:rsidRDefault="00197413" w:rsidP="00197413">
            <w:pPr>
              <w:jc w:val="both"/>
              <w:rPr>
                <w:sz w:val="20"/>
                <w:lang w:val="fr-CA"/>
              </w:rPr>
            </w:pPr>
            <w:r w:rsidRPr="00197413">
              <w:rPr>
                <w:sz w:val="20"/>
                <w:lang w:val="fr-CA"/>
              </w:rPr>
              <w:t xml:space="preserve">Le juge de première instance a accueilli la demande de </w:t>
            </w:r>
            <w:proofErr w:type="spellStart"/>
            <w:r w:rsidRPr="00197413">
              <w:rPr>
                <w:sz w:val="20"/>
                <w:lang w:val="fr-CA"/>
              </w:rPr>
              <w:t>Downsview</w:t>
            </w:r>
            <w:proofErr w:type="spellEnd"/>
            <w:r w:rsidRPr="00197413">
              <w:rPr>
                <w:sz w:val="20"/>
                <w:lang w:val="fr-CA"/>
              </w:rPr>
              <w:t xml:space="preserve">, concluant qu’il n’y avait aucune preuve de déclaration inexacte faite par négligence; en conséquence, Penguin était obligée de verser des dommages-intérêts à </w:t>
            </w:r>
            <w:proofErr w:type="spellStart"/>
            <w:r w:rsidRPr="00197413">
              <w:rPr>
                <w:sz w:val="20"/>
                <w:lang w:val="fr-CA"/>
              </w:rPr>
              <w:t>Downsview</w:t>
            </w:r>
            <w:proofErr w:type="spellEnd"/>
            <w:r w:rsidRPr="00197413">
              <w:rPr>
                <w:sz w:val="20"/>
                <w:lang w:val="fr-CA"/>
              </w:rPr>
              <w:t xml:space="preserve"> pour ses pertes de 788 603,45 $, représentant le loyer impayé jusqu’au 12 juin 2017 (la date de l’audience), ainsi que les frais de restauration, les honoraires d’avocat et d’autres coûts. Dans un jugement supplémentaire, le juge a refusé d’accorder à </w:t>
            </w:r>
            <w:proofErr w:type="spellStart"/>
            <w:r w:rsidRPr="00197413">
              <w:rPr>
                <w:sz w:val="20"/>
                <w:lang w:val="fr-CA"/>
              </w:rPr>
              <w:t>Downsview</w:t>
            </w:r>
            <w:proofErr w:type="spellEnd"/>
            <w:r w:rsidRPr="00197413">
              <w:rPr>
                <w:sz w:val="20"/>
                <w:lang w:val="fr-CA"/>
              </w:rPr>
              <w:t xml:space="preserve"> un redressement additionnel — c.-à-d. des dommages-intérêts pour perte de loyer futur jusqu’à la fin de la durée du bail (août 2020) — puisque </w:t>
            </w:r>
            <w:proofErr w:type="spellStart"/>
            <w:r w:rsidRPr="00197413">
              <w:rPr>
                <w:sz w:val="20"/>
                <w:lang w:val="fr-CA"/>
              </w:rPr>
              <w:t>Downsview</w:t>
            </w:r>
            <w:proofErr w:type="spellEnd"/>
            <w:r w:rsidRPr="00197413">
              <w:rPr>
                <w:sz w:val="20"/>
                <w:lang w:val="fr-CA"/>
              </w:rPr>
              <w:t xml:space="preserve"> avait l’obligation de limiter ses pertes. La Cour d’appel de l’Ontario a rejeté à l’unanimité l’appel de Penguin, concluant que le juge de première instance n’avait commis aucune erreur en établissant la responsabilité de Penguin. Toutefois, la cour était partagée quant au résultat de l’appel incident de </w:t>
            </w:r>
            <w:proofErr w:type="spellStart"/>
            <w:r w:rsidRPr="00197413">
              <w:rPr>
                <w:sz w:val="20"/>
                <w:lang w:val="fr-CA"/>
              </w:rPr>
              <w:t>Downsview</w:t>
            </w:r>
            <w:proofErr w:type="spellEnd"/>
            <w:r w:rsidRPr="00197413">
              <w:rPr>
                <w:sz w:val="20"/>
                <w:lang w:val="fr-CA"/>
              </w:rPr>
              <w:t xml:space="preserve">. Les juges majoritaires ont accueilli l’appel incident de </w:t>
            </w:r>
            <w:proofErr w:type="spellStart"/>
            <w:r w:rsidRPr="00197413">
              <w:rPr>
                <w:sz w:val="20"/>
                <w:lang w:val="fr-CA"/>
              </w:rPr>
              <w:t>Downsview</w:t>
            </w:r>
            <w:proofErr w:type="spellEnd"/>
            <w:r w:rsidRPr="00197413">
              <w:rPr>
                <w:sz w:val="20"/>
                <w:lang w:val="fr-CA"/>
              </w:rPr>
              <w:t xml:space="preserve">, concluant qu’elle avait effectivement droit à des dommages-intérêts pour perte de loyer futur jusqu’à la fin du bail (sous réserve de tout crédit pour le loyer reçu d’un autre locataire, si </w:t>
            </w:r>
            <w:proofErr w:type="spellStart"/>
            <w:r w:rsidRPr="00197413">
              <w:rPr>
                <w:sz w:val="20"/>
                <w:lang w:val="fr-CA"/>
              </w:rPr>
              <w:t>Downsview</w:t>
            </w:r>
            <w:proofErr w:type="spellEnd"/>
            <w:r w:rsidRPr="00197413">
              <w:rPr>
                <w:sz w:val="20"/>
                <w:lang w:val="fr-CA"/>
              </w:rPr>
              <w:t xml:space="preserve"> relouait la propriété). La juge dissidente aurait rejeté l’appel incident de </w:t>
            </w:r>
            <w:proofErr w:type="spellStart"/>
            <w:r w:rsidRPr="00197413">
              <w:rPr>
                <w:sz w:val="20"/>
                <w:lang w:val="fr-CA"/>
              </w:rPr>
              <w:t>Downsview</w:t>
            </w:r>
            <w:proofErr w:type="spellEnd"/>
            <w:r w:rsidRPr="00197413">
              <w:rPr>
                <w:sz w:val="20"/>
                <w:lang w:val="fr-CA"/>
              </w:rPr>
              <w:t>, partageant l’avis du juge de première instance.</w:t>
            </w:r>
          </w:p>
          <w:p w:rsidR="00197413" w:rsidRPr="00197413" w:rsidRDefault="00197413" w:rsidP="00197413">
            <w:pPr>
              <w:jc w:val="both"/>
              <w:rPr>
                <w:sz w:val="20"/>
                <w:lang w:val="fr-CA"/>
              </w:rPr>
            </w:pPr>
          </w:p>
        </w:tc>
      </w:tr>
      <w:tr w:rsidR="00197413" w:rsidRPr="00197413" w:rsidTr="00E95A6A">
        <w:tc>
          <w:tcPr>
            <w:tcW w:w="2427" w:type="pct"/>
            <w:gridSpan w:val="2"/>
          </w:tcPr>
          <w:p w:rsidR="00197413" w:rsidRPr="00197413" w:rsidRDefault="00197413" w:rsidP="00197413">
            <w:pPr>
              <w:jc w:val="both"/>
              <w:rPr>
                <w:sz w:val="20"/>
                <w:lang w:val="fr-CA"/>
              </w:rPr>
            </w:pPr>
            <w:r w:rsidRPr="00197413">
              <w:rPr>
                <w:sz w:val="20"/>
                <w:lang w:val="fr-CA"/>
              </w:rPr>
              <w:t>28 juillet 2017</w:t>
            </w:r>
          </w:p>
          <w:p w:rsidR="00197413" w:rsidRPr="00197413" w:rsidRDefault="00197413" w:rsidP="00197413">
            <w:pPr>
              <w:jc w:val="both"/>
              <w:rPr>
                <w:sz w:val="20"/>
                <w:lang w:val="fr-CA"/>
              </w:rPr>
            </w:pPr>
            <w:r w:rsidRPr="00197413">
              <w:rPr>
                <w:sz w:val="20"/>
                <w:lang w:val="fr-CA"/>
              </w:rPr>
              <w:t>Cour supérieure de justice de l’Ontario</w:t>
            </w:r>
          </w:p>
          <w:p w:rsidR="00197413" w:rsidRPr="00197413" w:rsidRDefault="00197413" w:rsidP="00197413">
            <w:pPr>
              <w:jc w:val="both"/>
              <w:rPr>
                <w:sz w:val="20"/>
                <w:lang w:val="fr-CA"/>
              </w:rPr>
            </w:pPr>
            <w:r w:rsidRPr="00197413">
              <w:rPr>
                <w:sz w:val="20"/>
                <w:lang w:val="fr-CA"/>
              </w:rPr>
              <w:t xml:space="preserve">(Juge </w:t>
            </w:r>
            <w:proofErr w:type="spellStart"/>
            <w:r w:rsidRPr="00197413">
              <w:rPr>
                <w:sz w:val="20"/>
                <w:lang w:val="fr-CA"/>
              </w:rPr>
              <w:t>Lederer</w:t>
            </w:r>
            <w:proofErr w:type="spellEnd"/>
            <w:r w:rsidRPr="00197413">
              <w:rPr>
                <w:sz w:val="20"/>
                <w:lang w:val="fr-CA"/>
              </w:rPr>
              <w:t>)</w:t>
            </w:r>
          </w:p>
          <w:p w:rsidR="00197413" w:rsidRPr="00197413" w:rsidRDefault="00197413" w:rsidP="00197413">
            <w:pPr>
              <w:jc w:val="both"/>
              <w:rPr>
                <w:sz w:val="20"/>
                <w:lang w:val="fr-CA"/>
              </w:rPr>
            </w:pPr>
            <w:hyperlink r:id="rId86" w:history="1">
              <w:r w:rsidRPr="00197413">
                <w:rPr>
                  <w:rStyle w:val="Hyperlink"/>
                  <w:sz w:val="20"/>
                  <w:lang w:val="fr-CA"/>
                </w:rPr>
                <w:t>2017 ONSC 4533</w:t>
              </w:r>
            </w:hyperlink>
          </w:p>
          <w:p w:rsidR="00197413" w:rsidRPr="00197413" w:rsidRDefault="00197413" w:rsidP="00197413">
            <w:pPr>
              <w:jc w:val="both"/>
              <w:rPr>
                <w:sz w:val="20"/>
                <w:lang w:val="fr-CA"/>
              </w:rPr>
            </w:pPr>
          </w:p>
        </w:tc>
        <w:tc>
          <w:tcPr>
            <w:tcW w:w="243" w:type="pct"/>
          </w:tcPr>
          <w:p w:rsidR="00197413" w:rsidRPr="00197413" w:rsidRDefault="00197413" w:rsidP="00197413">
            <w:pPr>
              <w:jc w:val="both"/>
              <w:rPr>
                <w:sz w:val="20"/>
                <w:lang w:val="fr-CA"/>
              </w:rPr>
            </w:pPr>
          </w:p>
        </w:tc>
        <w:tc>
          <w:tcPr>
            <w:tcW w:w="2330" w:type="pct"/>
          </w:tcPr>
          <w:p w:rsidR="00197413" w:rsidRPr="00197413" w:rsidRDefault="00197413" w:rsidP="00197413">
            <w:pPr>
              <w:jc w:val="both"/>
              <w:rPr>
                <w:sz w:val="20"/>
                <w:lang w:val="fr-CA"/>
              </w:rPr>
            </w:pPr>
            <w:r w:rsidRPr="00197413">
              <w:rPr>
                <w:sz w:val="20"/>
                <w:lang w:val="fr-CA"/>
              </w:rPr>
              <w:t xml:space="preserve">Jugement accueillant la demande de </w:t>
            </w:r>
            <w:proofErr w:type="spellStart"/>
            <w:r w:rsidRPr="00197413">
              <w:rPr>
                <w:sz w:val="20"/>
                <w:lang w:val="fr-CA"/>
              </w:rPr>
              <w:t>Downsview</w:t>
            </w:r>
            <w:proofErr w:type="spellEnd"/>
            <w:r w:rsidRPr="00197413">
              <w:rPr>
                <w:sz w:val="20"/>
                <w:lang w:val="fr-CA"/>
              </w:rPr>
              <w:t>, lui accordant des dommages-intérêts 788 603,45 $, y compris la perte de loyer jusqu’au 12 juin 2017</w:t>
            </w:r>
          </w:p>
          <w:p w:rsidR="00197413" w:rsidRPr="00197413" w:rsidRDefault="00197413" w:rsidP="00197413">
            <w:pPr>
              <w:jc w:val="both"/>
              <w:rPr>
                <w:sz w:val="20"/>
                <w:lang w:val="fr-CA"/>
              </w:rPr>
            </w:pPr>
          </w:p>
        </w:tc>
      </w:tr>
      <w:tr w:rsidR="00197413" w:rsidRPr="00197413" w:rsidTr="00E95A6A">
        <w:tc>
          <w:tcPr>
            <w:tcW w:w="2427" w:type="pct"/>
            <w:gridSpan w:val="2"/>
          </w:tcPr>
          <w:p w:rsidR="00197413" w:rsidRPr="00197413" w:rsidRDefault="00197413" w:rsidP="00197413">
            <w:pPr>
              <w:jc w:val="both"/>
              <w:rPr>
                <w:sz w:val="20"/>
                <w:lang w:val="fr-CA"/>
              </w:rPr>
            </w:pPr>
            <w:r w:rsidRPr="00197413">
              <w:rPr>
                <w:sz w:val="20"/>
                <w:lang w:val="fr-CA"/>
              </w:rPr>
              <w:t>29 novembre 2017</w:t>
            </w:r>
          </w:p>
          <w:p w:rsidR="00197413" w:rsidRPr="00197413" w:rsidRDefault="00197413" w:rsidP="00197413">
            <w:pPr>
              <w:jc w:val="both"/>
              <w:rPr>
                <w:sz w:val="20"/>
                <w:lang w:val="fr-CA"/>
              </w:rPr>
            </w:pPr>
            <w:r w:rsidRPr="00197413">
              <w:rPr>
                <w:sz w:val="20"/>
                <w:lang w:val="fr-CA"/>
              </w:rPr>
              <w:t>Cour supérieure de justice de l’Ontario</w:t>
            </w:r>
          </w:p>
          <w:p w:rsidR="00197413" w:rsidRPr="00197413" w:rsidRDefault="00197413" w:rsidP="00197413">
            <w:pPr>
              <w:jc w:val="both"/>
              <w:rPr>
                <w:sz w:val="20"/>
                <w:lang w:val="fr-CA"/>
              </w:rPr>
            </w:pPr>
            <w:r w:rsidRPr="00197413">
              <w:rPr>
                <w:sz w:val="20"/>
                <w:lang w:val="fr-CA"/>
              </w:rPr>
              <w:t xml:space="preserve">(Juge </w:t>
            </w:r>
            <w:proofErr w:type="spellStart"/>
            <w:r w:rsidRPr="00197413">
              <w:rPr>
                <w:sz w:val="20"/>
                <w:lang w:val="fr-CA"/>
              </w:rPr>
              <w:t>Lederer</w:t>
            </w:r>
            <w:proofErr w:type="spellEnd"/>
            <w:r w:rsidRPr="00197413">
              <w:rPr>
                <w:sz w:val="20"/>
                <w:lang w:val="fr-CA"/>
              </w:rPr>
              <w:t>)</w:t>
            </w:r>
          </w:p>
          <w:p w:rsidR="00197413" w:rsidRPr="00197413" w:rsidRDefault="00197413" w:rsidP="00197413">
            <w:pPr>
              <w:jc w:val="both"/>
              <w:rPr>
                <w:sz w:val="20"/>
                <w:lang w:val="fr-CA"/>
              </w:rPr>
            </w:pPr>
            <w:hyperlink r:id="rId87" w:history="1">
              <w:r w:rsidRPr="00197413">
                <w:rPr>
                  <w:rStyle w:val="Hyperlink"/>
                  <w:sz w:val="20"/>
                  <w:lang w:val="fr-CA"/>
                </w:rPr>
                <w:t>2017 ONSC 7079</w:t>
              </w:r>
            </w:hyperlink>
            <w:r w:rsidRPr="00197413">
              <w:rPr>
                <w:sz w:val="20"/>
                <w:lang w:val="fr-CA"/>
              </w:rPr>
              <w:t xml:space="preserve"> </w:t>
            </w:r>
          </w:p>
          <w:p w:rsidR="00197413" w:rsidRPr="00197413" w:rsidRDefault="00197413" w:rsidP="00197413">
            <w:pPr>
              <w:jc w:val="both"/>
              <w:rPr>
                <w:sz w:val="20"/>
                <w:lang w:val="fr-CA"/>
              </w:rPr>
            </w:pPr>
          </w:p>
        </w:tc>
        <w:tc>
          <w:tcPr>
            <w:tcW w:w="243" w:type="pct"/>
          </w:tcPr>
          <w:p w:rsidR="00197413" w:rsidRPr="00197413" w:rsidRDefault="00197413" w:rsidP="00197413">
            <w:pPr>
              <w:jc w:val="both"/>
              <w:rPr>
                <w:sz w:val="20"/>
                <w:lang w:val="fr-CA"/>
              </w:rPr>
            </w:pPr>
          </w:p>
        </w:tc>
        <w:tc>
          <w:tcPr>
            <w:tcW w:w="2330" w:type="pct"/>
          </w:tcPr>
          <w:p w:rsidR="00197413" w:rsidRPr="00197413" w:rsidRDefault="00197413" w:rsidP="00197413">
            <w:pPr>
              <w:jc w:val="both"/>
              <w:rPr>
                <w:sz w:val="20"/>
                <w:lang w:val="fr-CA"/>
              </w:rPr>
            </w:pPr>
            <w:r w:rsidRPr="00197413">
              <w:rPr>
                <w:sz w:val="20"/>
                <w:lang w:val="fr-CA"/>
              </w:rPr>
              <w:t>Motifs de jugement supplémentaires refusant d’accorder des dommages-intérêts additionnels pour perte de loyer futur après le 12 juin 2017</w:t>
            </w:r>
          </w:p>
        </w:tc>
      </w:tr>
      <w:tr w:rsidR="00197413" w:rsidRPr="00197413" w:rsidTr="00E95A6A">
        <w:tc>
          <w:tcPr>
            <w:tcW w:w="2427" w:type="pct"/>
            <w:gridSpan w:val="2"/>
          </w:tcPr>
          <w:p w:rsidR="00197413" w:rsidRPr="00197413" w:rsidRDefault="00197413" w:rsidP="00197413">
            <w:pPr>
              <w:jc w:val="both"/>
              <w:rPr>
                <w:sz w:val="20"/>
                <w:lang w:val="fr-CA"/>
              </w:rPr>
            </w:pPr>
            <w:r w:rsidRPr="00197413">
              <w:rPr>
                <w:sz w:val="20"/>
                <w:lang w:val="fr-CA"/>
              </w:rPr>
              <w:lastRenderedPageBreak/>
              <w:t>26 juillet 2018</w:t>
            </w:r>
          </w:p>
          <w:p w:rsidR="00197413" w:rsidRPr="00197413" w:rsidRDefault="00197413" w:rsidP="00197413">
            <w:pPr>
              <w:jc w:val="both"/>
              <w:rPr>
                <w:sz w:val="20"/>
                <w:lang w:val="fr-CA"/>
              </w:rPr>
            </w:pPr>
            <w:r w:rsidRPr="00197413">
              <w:rPr>
                <w:sz w:val="20"/>
                <w:lang w:val="fr-CA"/>
              </w:rPr>
              <w:t>Cour d’appel de l’Ontario</w:t>
            </w:r>
          </w:p>
          <w:p w:rsidR="00197413" w:rsidRPr="00197413" w:rsidRDefault="00197413" w:rsidP="00197413">
            <w:pPr>
              <w:jc w:val="both"/>
              <w:rPr>
                <w:sz w:val="20"/>
                <w:lang w:val="fr-CA"/>
              </w:rPr>
            </w:pPr>
            <w:r w:rsidRPr="00197413">
              <w:rPr>
                <w:sz w:val="20"/>
                <w:lang w:val="fr-CA"/>
              </w:rPr>
              <w:t xml:space="preserve">(Juges Brown, Miller et van </w:t>
            </w:r>
            <w:proofErr w:type="spellStart"/>
            <w:r w:rsidRPr="00197413">
              <w:rPr>
                <w:sz w:val="20"/>
                <w:lang w:val="fr-CA"/>
              </w:rPr>
              <w:t>Rensburg</w:t>
            </w:r>
            <w:proofErr w:type="spellEnd"/>
            <w:r w:rsidRPr="00197413">
              <w:rPr>
                <w:sz w:val="20"/>
                <w:lang w:val="fr-CA"/>
              </w:rPr>
              <w:t xml:space="preserve"> (dissidente en partie quant à l’appel incident)</w:t>
            </w:r>
          </w:p>
          <w:p w:rsidR="00197413" w:rsidRPr="00197413" w:rsidRDefault="00197413" w:rsidP="00197413">
            <w:pPr>
              <w:jc w:val="both"/>
              <w:rPr>
                <w:sz w:val="20"/>
                <w:lang w:val="fr-CA"/>
              </w:rPr>
            </w:pPr>
            <w:hyperlink r:id="rId88" w:history="1">
              <w:r w:rsidRPr="00197413">
                <w:rPr>
                  <w:rStyle w:val="Hyperlink"/>
                  <w:sz w:val="20"/>
                  <w:lang w:val="fr-CA"/>
                </w:rPr>
                <w:t>2018 ONCA 666</w:t>
              </w:r>
            </w:hyperlink>
            <w:r w:rsidRPr="00197413">
              <w:rPr>
                <w:sz w:val="20"/>
                <w:lang w:val="fr-CA"/>
              </w:rPr>
              <w:t xml:space="preserve"> </w:t>
            </w:r>
          </w:p>
          <w:p w:rsidR="00197413" w:rsidRPr="00197413" w:rsidRDefault="00197413" w:rsidP="00197413">
            <w:pPr>
              <w:jc w:val="both"/>
              <w:rPr>
                <w:sz w:val="20"/>
                <w:lang w:val="fr-CA"/>
              </w:rPr>
            </w:pPr>
          </w:p>
        </w:tc>
        <w:tc>
          <w:tcPr>
            <w:tcW w:w="243" w:type="pct"/>
          </w:tcPr>
          <w:p w:rsidR="00197413" w:rsidRPr="00197413" w:rsidRDefault="00197413" w:rsidP="00197413">
            <w:pPr>
              <w:jc w:val="both"/>
              <w:rPr>
                <w:sz w:val="20"/>
                <w:lang w:val="fr-CA"/>
              </w:rPr>
            </w:pPr>
          </w:p>
        </w:tc>
        <w:tc>
          <w:tcPr>
            <w:tcW w:w="2330" w:type="pct"/>
          </w:tcPr>
          <w:p w:rsidR="00197413" w:rsidRPr="00197413" w:rsidRDefault="00197413" w:rsidP="00197413">
            <w:pPr>
              <w:jc w:val="both"/>
              <w:rPr>
                <w:sz w:val="20"/>
                <w:lang w:val="fr-CA"/>
              </w:rPr>
            </w:pPr>
            <w:r w:rsidRPr="00197413">
              <w:rPr>
                <w:sz w:val="20"/>
                <w:lang w:val="fr-CA"/>
              </w:rPr>
              <w:t xml:space="preserve">Arrêt rejetant l’appel de Penguin, accueillant en partie l’appel incident de </w:t>
            </w:r>
            <w:proofErr w:type="spellStart"/>
            <w:r w:rsidRPr="00197413">
              <w:rPr>
                <w:sz w:val="20"/>
                <w:lang w:val="fr-CA"/>
              </w:rPr>
              <w:t>Downsview</w:t>
            </w:r>
            <w:proofErr w:type="spellEnd"/>
            <w:r w:rsidRPr="00197413">
              <w:rPr>
                <w:sz w:val="20"/>
                <w:lang w:val="fr-CA"/>
              </w:rPr>
              <w:t xml:space="preserve"> et modifiant le jugement du juge </w:t>
            </w:r>
            <w:proofErr w:type="spellStart"/>
            <w:r w:rsidRPr="00197413">
              <w:rPr>
                <w:sz w:val="20"/>
                <w:lang w:val="fr-CA"/>
              </w:rPr>
              <w:t>Lederer</w:t>
            </w:r>
            <w:proofErr w:type="spellEnd"/>
            <w:r w:rsidRPr="00197413">
              <w:rPr>
                <w:sz w:val="20"/>
                <w:lang w:val="fr-CA"/>
              </w:rPr>
              <w:t xml:space="preserve"> pour accorder des dommages-intérêts pour perte de loyer futur, sous réserve de tout crédit pour le loyer reçu de toute autre personne</w:t>
            </w:r>
          </w:p>
          <w:p w:rsidR="00197413" w:rsidRPr="00197413" w:rsidRDefault="00197413" w:rsidP="00197413">
            <w:pPr>
              <w:jc w:val="both"/>
              <w:rPr>
                <w:sz w:val="20"/>
                <w:lang w:val="fr-CA"/>
              </w:rPr>
            </w:pPr>
          </w:p>
        </w:tc>
      </w:tr>
      <w:tr w:rsidR="00197413" w:rsidRPr="00197413" w:rsidTr="00E95A6A">
        <w:tc>
          <w:tcPr>
            <w:tcW w:w="2427" w:type="pct"/>
            <w:gridSpan w:val="2"/>
          </w:tcPr>
          <w:p w:rsidR="00197413" w:rsidRPr="00197413" w:rsidRDefault="00197413" w:rsidP="00197413">
            <w:pPr>
              <w:jc w:val="both"/>
              <w:rPr>
                <w:sz w:val="20"/>
                <w:lang w:val="fr-CA"/>
              </w:rPr>
            </w:pPr>
            <w:r w:rsidRPr="00197413">
              <w:rPr>
                <w:sz w:val="20"/>
                <w:lang w:val="fr-CA"/>
              </w:rPr>
              <w:t>28 septembre 2018</w:t>
            </w:r>
          </w:p>
          <w:p w:rsidR="00197413" w:rsidRPr="00197413" w:rsidRDefault="00197413" w:rsidP="00197413">
            <w:pPr>
              <w:jc w:val="both"/>
              <w:rPr>
                <w:sz w:val="20"/>
                <w:lang w:val="fr-CA"/>
              </w:rPr>
            </w:pPr>
            <w:r w:rsidRPr="00197413">
              <w:rPr>
                <w:sz w:val="20"/>
                <w:lang w:val="fr-CA"/>
              </w:rPr>
              <w:t>Cour suprême du Canada</w:t>
            </w:r>
          </w:p>
        </w:tc>
        <w:tc>
          <w:tcPr>
            <w:tcW w:w="243" w:type="pct"/>
          </w:tcPr>
          <w:p w:rsidR="00197413" w:rsidRPr="00197413" w:rsidRDefault="00197413" w:rsidP="00197413">
            <w:pPr>
              <w:jc w:val="both"/>
              <w:rPr>
                <w:sz w:val="20"/>
                <w:lang w:val="fr-CA"/>
              </w:rPr>
            </w:pPr>
          </w:p>
        </w:tc>
        <w:tc>
          <w:tcPr>
            <w:tcW w:w="2330" w:type="pct"/>
          </w:tcPr>
          <w:p w:rsidR="00197413" w:rsidRPr="00197413" w:rsidRDefault="00197413" w:rsidP="001B5B03">
            <w:pPr>
              <w:jc w:val="both"/>
              <w:rPr>
                <w:sz w:val="20"/>
                <w:lang w:val="fr-CA"/>
              </w:rPr>
            </w:pPr>
            <w:r w:rsidRPr="00197413">
              <w:rPr>
                <w:sz w:val="20"/>
                <w:lang w:val="fr-CA"/>
              </w:rPr>
              <w:t>Dépôt par Penguin de la demande d’autorisation d’appel</w:t>
            </w:r>
          </w:p>
        </w:tc>
      </w:tr>
    </w:tbl>
    <w:p w:rsidR="00AE7EB1" w:rsidRDefault="00AE7EB1" w:rsidP="006A22CA">
      <w:pPr>
        <w:ind w:left="142" w:hanging="142"/>
        <w:jc w:val="both"/>
        <w:rPr>
          <w:sz w:val="20"/>
          <w:lang w:val="fr-CA"/>
        </w:rPr>
      </w:pPr>
    </w:p>
    <w:p w:rsidR="001B5B03" w:rsidRDefault="001B5B03" w:rsidP="006A22CA">
      <w:pPr>
        <w:ind w:left="142" w:hanging="142"/>
        <w:jc w:val="both"/>
        <w:rPr>
          <w:sz w:val="20"/>
          <w:lang w:val="fr-CA"/>
        </w:rPr>
      </w:pPr>
      <w:r>
        <w:rPr>
          <w:sz w:val="20"/>
        </w:rPr>
        <w:pict>
          <v:rect id="_x0000_i1069" style="width:2in;height:1pt" o:hrpct="0" o:hralign="center" o:hrstd="t" o:hrnoshade="t" o:hr="t" fillcolor="black [3213]" stroked="f"/>
        </w:pict>
      </w:r>
    </w:p>
    <w:p w:rsidR="001B5B03" w:rsidRPr="00197413" w:rsidRDefault="001B5B03" w:rsidP="006A22CA">
      <w:pPr>
        <w:ind w:left="142" w:hanging="142"/>
        <w:jc w:val="both"/>
        <w:rPr>
          <w:sz w:val="20"/>
          <w:lang w:val="fr-CA"/>
        </w:rPr>
      </w:pPr>
    </w:p>
    <w:p w:rsidR="00E677B3" w:rsidRPr="00197413" w:rsidRDefault="00E677B3" w:rsidP="006A22CA">
      <w:pPr>
        <w:ind w:left="142" w:hanging="142"/>
        <w:jc w:val="both"/>
        <w:rPr>
          <w:sz w:val="20"/>
          <w:lang w:val="fr-CA"/>
        </w:rPr>
      </w:pPr>
    </w:p>
    <w:p w:rsidR="00FD3FA0" w:rsidRPr="00197413" w:rsidRDefault="00FD3FA0" w:rsidP="006A22CA">
      <w:pPr>
        <w:ind w:left="142" w:hanging="142"/>
        <w:jc w:val="both"/>
        <w:rPr>
          <w:sz w:val="20"/>
          <w:lang w:val="fr-CA"/>
        </w:rPr>
      </w:pPr>
    </w:p>
    <w:p w:rsidR="00D3344A" w:rsidRPr="005132D5" w:rsidRDefault="00D3344A" w:rsidP="00D3344A">
      <w:pPr>
        <w:widowControl w:val="0"/>
        <w:outlineLvl w:val="0"/>
      </w:pPr>
      <w:r w:rsidRPr="005132D5">
        <w:t xml:space="preserve">Supreme Court of Canada / Cour suprême du </w:t>
      </w:r>
      <w:proofErr w:type="gramStart"/>
      <w:r w:rsidRPr="005132D5">
        <w:t>Canad</w:t>
      </w:r>
      <w:r w:rsidR="00EE289F" w:rsidRPr="005132D5">
        <w:t>a</w:t>
      </w:r>
      <w:r w:rsidRPr="005132D5">
        <w:t xml:space="preserve"> :</w:t>
      </w:r>
      <w:proofErr w:type="gramEnd"/>
    </w:p>
    <w:p w:rsidR="00D3344A" w:rsidRPr="005132D5" w:rsidRDefault="00C91655" w:rsidP="00D3344A">
      <w:pPr>
        <w:widowControl w:val="0"/>
        <w:outlineLvl w:val="0"/>
        <w:rPr>
          <w:u w:val="single"/>
        </w:rPr>
      </w:pPr>
      <w:hyperlink r:id="rId89" w:history="1">
        <w:r w:rsidR="009B7391" w:rsidRPr="005132D5">
          <w:rPr>
            <w:rStyle w:val="Hyperlink"/>
          </w:rPr>
          <w:t>comments-commentaires@scc-csc.ca</w:t>
        </w:r>
      </w:hyperlink>
    </w:p>
    <w:p w:rsidR="00D3344A" w:rsidRPr="005132D5" w:rsidRDefault="0065588C" w:rsidP="00D3344A">
      <w:pPr>
        <w:widowControl w:val="0"/>
        <w:outlineLvl w:val="0"/>
      </w:pPr>
      <w:r w:rsidRPr="005132D5">
        <w:t>613-</w:t>
      </w:r>
      <w:r w:rsidR="00D3344A" w:rsidRPr="005132D5">
        <w:t>995-4330</w:t>
      </w:r>
    </w:p>
    <w:p w:rsidR="00497B5E" w:rsidRPr="005132D5" w:rsidRDefault="00497B5E" w:rsidP="00497B5E">
      <w:pPr>
        <w:widowControl w:val="0"/>
        <w:rPr>
          <w:sz w:val="20"/>
        </w:rPr>
      </w:pPr>
    </w:p>
    <w:p w:rsidR="00F6251B" w:rsidRPr="006E558B" w:rsidRDefault="003F43E6" w:rsidP="00F6251B">
      <w:pPr>
        <w:pStyle w:val="Footer"/>
        <w:jc w:val="center"/>
      </w:pPr>
      <w:r w:rsidRPr="005132D5">
        <w:t>- 30 -</w:t>
      </w:r>
    </w:p>
    <w:sectPr w:rsidR="00F6251B" w:rsidRPr="006E558B" w:rsidSect="00524822">
      <w:headerReference w:type="even" r:id="rId90"/>
      <w:headerReference w:type="default" r:id="rId91"/>
      <w:footerReference w:type="even" r:id="rId92"/>
      <w:footerReference w:type="default" r:id="rId93"/>
      <w:headerReference w:type="first" r:id="rId94"/>
      <w:footerReference w:type="first" r:id="rId9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655" w:rsidRDefault="00C91655" w:rsidP="0034178A">
      <w:r>
        <w:separator/>
      </w:r>
    </w:p>
  </w:endnote>
  <w:endnote w:type="continuationSeparator" w:id="0">
    <w:p w:rsidR="00C91655" w:rsidRDefault="00C9165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55" w:rsidRDefault="00C91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55" w:rsidRPr="009F77F0" w:rsidRDefault="00C9165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55" w:rsidRDefault="00C91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655" w:rsidRDefault="00C91655" w:rsidP="0034178A">
      <w:r>
        <w:separator/>
      </w:r>
    </w:p>
  </w:footnote>
  <w:footnote w:type="continuationSeparator" w:id="0">
    <w:p w:rsidR="00C91655" w:rsidRDefault="00C9165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55" w:rsidRDefault="00C91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55" w:rsidRDefault="00C916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55" w:rsidRDefault="00C91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06C85"/>
    <w:multiLevelType w:val="hybridMultilevel"/>
    <w:tmpl w:val="91E6900A"/>
    <w:lvl w:ilvl="0" w:tplc="AFF61A1E">
      <w:start w:val="4"/>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8"/>
  </w:num>
  <w:num w:numId="4">
    <w:abstractNumId w:val="14"/>
  </w:num>
  <w:num w:numId="5">
    <w:abstractNumId w:val="1"/>
  </w:num>
  <w:num w:numId="6">
    <w:abstractNumId w:val="15"/>
  </w:num>
  <w:num w:numId="7">
    <w:abstractNumId w:val="10"/>
  </w:num>
  <w:num w:numId="8">
    <w:abstractNumId w:val="7"/>
  </w:num>
  <w:num w:numId="9">
    <w:abstractNumId w:val="6"/>
  </w:num>
  <w:num w:numId="10">
    <w:abstractNumId w:val="5"/>
  </w:num>
  <w:num w:numId="11">
    <w:abstractNumId w:val="19"/>
  </w:num>
  <w:num w:numId="12">
    <w:abstractNumId w:val="4"/>
  </w:num>
  <w:num w:numId="13">
    <w:abstractNumId w:val="12"/>
  </w:num>
  <w:num w:numId="14">
    <w:abstractNumId w:val="16"/>
  </w:num>
  <w:num w:numId="15">
    <w:abstractNumId w:val="17"/>
  </w:num>
  <w:num w:numId="16">
    <w:abstractNumId w:val="8"/>
  </w:num>
  <w:num w:numId="17">
    <w:abstractNumId w:val="13"/>
  </w:num>
  <w:num w:numId="1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084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50F9"/>
    <w:rsid w:val="000A6C60"/>
    <w:rsid w:val="000A6F64"/>
    <w:rsid w:val="000A76D7"/>
    <w:rsid w:val="000A7798"/>
    <w:rsid w:val="000A78FC"/>
    <w:rsid w:val="000A7978"/>
    <w:rsid w:val="000A7C00"/>
    <w:rsid w:val="000A7E1F"/>
    <w:rsid w:val="000B07FB"/>
    <w:rsid w:val="000B10DF"/>
    <w:rsid w:val="000B163F"/>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A0"/>
    <w:rsid w:val="00121008"/>
    <w:rsid w:val="0012101A"/>
    <w:rsid w:val="001215D6"/>
    <w:rsid w:val="0012202C"/>
    <w:rsid w:val="00122CE1"/>
    <w:rsid w:val="00122E2B"/>
    <w:rsid w:val="00123976"/>
    <w:rsid w:val="00124629"/>
    <w:rsid w:val="00124CA3"/>
    <w:rsid w:val="00124DEC"/>
    <w:rsid w:val="00124EFD"/>
    <w:rsid w:val="0012577E"/>
    <w:rsid w:val="0012582B"/>
    <w:rsid w:val="0012596E"/>
    <w:rsid w:val="001260C8"/>
    <w:rsid w:val="001262EF"/>
    <w:rsid w:val="0012655D"/>
    <w:rsid w:val="00126583"/>
    <w:rsid w:val="0012732F"/>
    <w:rsid w:val="00127732"/>
    <w:rsid w:val="001307C5"/>
    <w:rsid w:val="00131433"/>
    <w:rsid w:val="0013159F"/>
    <w:rsid w:val="00131EB1"/>
    <w:rsid w:val="00132635"/>
    <w:rsid w:val="0013283A"/>
    <w:rsid w:val="00134190"/>
    <w:rsid w:val="00134A11"/>
    <w:rsid w:val="00134F05"/>
    <w:rsid w:val="001354E7"/>
    <w:rsid w:val="00135A54"/>
    <w:rsid w:val="00136710"/>
    <w:rsid w:val="0013672B"/>
    <w:rsid w:val="00136C09"/>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92"/>
    <w:rsid w:val="00163837"/>
    <w:rsid w:val="00163A54"/>
    <w:rsid w:val="00164791"/>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42"/>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413"/>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03"/>
    <w:rsid w:val="001B5B2D"/>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96"/>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7A81"/>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F35"/>
    <w:rsid w:val="00292F9A"/>
    <w:rsid w:val="0029396A"/>
    <w:rsid w:val="00293DE2"/>
    <w:rsid w:val="00295E8C"/>
    <w:rsid w:val="00296148"/>
    <w:rsid w:val="0029649C"/>
    <w:rsid w:val="0029771E"/>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6DE"/>
    <w:rsid w:val="00311663"/>
    <w:rsid w:val="0031171D"/>
    <w:rsid w:val="00311B59"/>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3C3"/>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AF0"/>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19E7"/>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5DD0"/>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FB"/>
    <w:rsid w:val="004511AB"/>
    <w:rsid w:val="004511FA"/>
    <w:rsid w:val="004514DB"/>
    <w:rsid w:val="0045235F"/>
    <w:rsid w:val="004533F1"/>
    <w:rsid w:val="00453477"/>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291"/>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52E"/>
    <w:rsid w:val="00481888"/>
    <w:rsid w:val="00482BE4"/>
    <w:rsid w:val="004831E5"/>
    <w:rsid w:val="0048370B"/>
    <w:rsid w:val="00483C2E"/>
    <w:rsid w:val="00483E9A"/>
    <w:rsid w:val="004848D1"/>
    <w:rsid w:val="00486750"/>
    <w:rsid w:val="00486C7F"/>
    <w:rsid w:val="00487EBC"/>
    <w:rsid w:val="00490DDC"/>
    <w:rsid w:val="00490E33"/>
    <w:rsid w:val="00491D56"/>
    <w:rsid w:val="00491D60"/>
    <w:rsid w:val="004947D5"/>
    <w:rsid w:val="0049492A"/>
    <w:rsid w:val="00494CD1"/>
    <w:rsid w:val="00494CDA"/>
    <w:rsid w:val="00495713"/>
    <w:rsid w:val="004957BA"/>
    <w:rsid w:val="0049590A"/>
    <w:rsid w:val="00495CE9"/>
    <w:rsid w:val="00495E5A"/>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47B9"/>
    <w:rsid w:val="004D489C"/>
    <w:rsid w:val="004D49C8"/>
    <w:rsid w:val="004D5428"/>
    <w:rsid w:val="004D5D5C"/>
    <w:rsid w:val="004D5FBA"/>
    <w:rsid w:val="004D6E67"/>
    <w:rsid w:val="004D6FCC"/>
    <w:rsid w:val="004D752E"/>
    <w:rsid w:val="004E00B4"/>
    <w:rsid w:val="004E0745"/>
    <w:rsid w:val="004E0963"/>
    <w:rsid w:val="004E0B2F"/>
    <w:rsid w:val="004E0CCF"/>
    <w:rsid w:val="004E1B3F"/>
    <w:rsid w:val="004E21ED"/>
    <w:rsid w:val="004E2A8E"/>
    <w:rsid w:val="004E4559"/>
    <w:rsid w:val="004E458C"/>
    <w:rsid w:val="004E70F1"/>
    <w:rsid w:val="004E714B"/>
    <w:rsid w:val="004F000D"/>
    <w:rsid w:val="004F0EC9"/>
    <w:rsid w:val="004F0F77"/>
    <w:rsid w:val="004F1B79"/>
    <w:rsid w:val="004F27DD"/>
    <w:rsid w:val="004F3935"/>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4481"/>
    <w:rsid w:val="005444FD"/>
    <w:rsid w:val="00544C2E"/>
    <w:rsid w:val="0054689F"/>
    <w:rsid w:val="00546DAD"/>
    <w:rsid w:val="0054701C"/>
    <w:rsid w:val="0055024A"/>
    <w:rsid w:val="0055040D"/>
    <w:rsid w:val="00550D90"/>
    <w:rsid w:val="00551176"/>
    <w:rsid w:val="0055248D"/>
    <w:rsid w:val="00552EC6"/>
    <w:rsid w:val="005538CF"/>
    <w:rsid w:val="005542A1"/>
    <w:rsid w:val="00554850"/>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4F57"/>
    <w:rsid w:val="00595265"/>
    <w:rsid w:val="0059611F"/>
    <w:rsid w:val="005964F5"/>
    <w:rsid w:val="00597224"/>
    <w:rsid w:val="005A0727"/>
    <w:rsid w:val="005A1B7D"/>
    <w:rsid w:val="005A1FB5"/>
    <w:rsid w:val="005A21F0"/>
    <w:rsid w:val="005A3592"/>
    <w:rsid w:val="005A4082"/>
    <w:rsid w:val="005A46DD"/>
    <w:rsid w:val="005A64FE"/>
    <w:rsid w:val="005A6C46"/>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651"/>
    <w:rsid w:val="005C725E"/>
    <w:rsid w:val="005C7653"/>
    <w:rsid w:val="005C7BBF"/>
    <w:rsid w:val="005D0057"/>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1E5"/>
    <w:rsid w:val="005F6596"/>
    <w:rsid w:val="005F6751"/>
    <w:rsid w:val="005F7D76"/>
    <w:rsid w:val="00601639"/>
    <w:rsid w:val="006024F3"/>
    <w:rsid w:val="006028B7"/>
    <w:rsid w:val="00603543"/>
    <w:rsid w:val="00603572"/>
    <w:rsid w:val="00604ACB"/>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07"/>
    <w:rsid w:val="00626190"/>
    <w:rsid w:val="00627517"/>
    <w:rsid w:val="00630B1A"/>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31B"/>
    <w:rsid w:val="006D7DA7"/>
    <w:rsid w:val="006E08F5"/>
    <w:rsid w:val="006E0EE2"/>
    <w:rsid w:val="006E0FAD"/>
    <w:rsid w:val="006E2715"/>
    <w:rsid w:val="006E27D1"/>
    <w:rsid w:val="006E2953"/>
    <w:rsid w:val="006E2CD8"/>
    <w:rsid w:val="006E2EB2"/>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0218"/>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0EA6"/>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892"/>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202"/>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22"/>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1BB"/>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4F6"/>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277"/>
    <w:rsid w:val="008424BB"/>
    <w:rsid w:val="00842B3A"/>
    <w:rsid w:val="0084383C"/>
    <w:rsid w:val="0084456D"/>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72D7"/>
    <w:rsid w:val="00887E8C"/>
    <w:rsid w:val="00887F03"/>
    <w:rsid w:val="0089055E"/>
    <w:rsid w:val="008914A2"/>
    <w:rsid w:val="008923EA"/>
    <w:rsid w:val="00893B95"/>
    <w:rsid w:val="008941B2"/>
    <w:rsid w:val="0089486E"/>
    <w:rsid w:val="00894DEA"/>
    <w:rsid w:val="00896875"/>
    <w:rsid w:val="008A0D44"/>
    <w:rsid w:val="008A1084"/>
    <w:rsid w:val="008A1C2F"/>
    <w:rsid w:val="008A1DA7"/>
    <w:rsid w:val="008A29BC"/>
    <w:rsid w:val="008A3884"/>
    <w:rsid w:val="008A3A4B"/>
    <w:rsid w:val="008A41DE"/>
    <w:rsid w:val="008A48F2"/>
    <w:rsid w:val="008A49EA"/>
    <w:rsid w:val="008A4ABF"/>
    <w:rsid w:val="008A4B88"/>
    <w:rsid w:val="008A6614"/>
    <w:rsid w:val="008A6B96"/>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17B5F"/>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795A"/>
    <w:rsid w:val="00987F32"/>
    <w:rsid w:val="0099011B"/>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274F"/>
    <w:rsid w:val="009E38AF"/>
    <w:rsid w:val="009E52A8"/>
    <w:rsid w:val="009E673E"/>
    <w:rsid w:val="009E68BE"/>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B09"/>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5E"/>
    <w:rsid w:val="00A7047F"/>
    <w:rsid w:val="00A70585"/>
    <w:rsid w:val="00A70728"/>
    <w:rsid w:val="00A70C52"/>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9C4"/>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0E71"/>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E7EB1"/>
    <w:rsid w:val="00AF03C7"/>
    <w:rsid w:val="00AF03E3"/>
    <w:rsid w:val="00AF12DE"/>
    <w:rsid w:val="00AF1653"/>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4BB4"/>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2FED"/>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11A8"/>
    <w:rsid w:val="00B33676"/>
    <w:rsid w:val="00B33FC9"/>
    <w:rsid w:val="00B343CF"/>
    <w:rsid w:val="00B34A70"/>
    <w:rsid w:val="00B34D05"/>
    <w:rsid w:val="00B34E1F"/>
    <w:rsid w:val="00B35194"/>
    <w:rsid w:val="00B36C97"/>
    <w:rsid w:val="00B37179"/>
    <w:rsid w:val="00B37AAA"/>
    <w:rsid w:val="00B37AE6"/>
    <w:rsid w:val="00B37C41"/>
    <w:rsid w:val="00B4078C"/>
    <w:rsid w:val="00B40976"/>
    <w:rsid w:val="00B40A92"/>
    <w:rsid w:val="00B40D0C"/>
    <w:rsid w:val="00B4191E"/>
    <w:rsid w:val="00B42C19"/>
    <w:rsid w:val="00B42C6D"/>
    <w:rsid w:val="00B43418"/>
    <w:rsid w:val="00B437D7"/>
    <w:rsid w:val="00B43B49"/>
    <w:rsid w:val="00B43E43"/>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423"/>
    <w:rsid w:val="00B6070A"/>
    <w:rsid w:val="00B60A02"/>
    <w:rsid w:val="00B6183E"/>
    <w:rsid w:val="00B61D05"/>
    <w:rsid w:val="00B62043"/>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FD"/>
    <w:rsid w:val="00B829D3"/>
    <w:rsid w:val="00B82D29"/>
    <w:rsid w:val="00B83703"/>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74A4"/>
    <w:rsid w:val="00B9752D"/>
    <w:rsid w:val="00B97762"/>
    <w:rsid w:val="00B979F7"/>
    <w:rsid w:val="00BA01C1"/>
    <w:rsid w:val="00BA0438"/>
    <w:rsid w:val="00BA06FA"/>
    <w:rsid w:val="00BA0A23"/>
    <w:rsid w:val="00BA33A9"/>
    <w:rsid w:val="00BA3460"/>
    <w:rsid w:val="00BA39C2"/>
    <w:rsid w:val="00BA441A"/>
    <w:rsid w:val="00BA49AF"/>
    <w:rsid w:val="00BA4B61"/>
    <w:rsid w:val="00BA5BDA"/>
    <w:rsid w:val="00BA5DC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B686D"/>
    <w:rsid w:val="00BC0A42"/>
    <w:rsid w:val="00BC0D15"/>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159A"/>
    <w:rsid w:val="00BF1A2A"/>
    <w:rsid w:val="00BF1A6B"/>
    <w:rsid w:val="00BF1EEF"/>
    <w:rsid w:val="00BF1FCA"/>
    <w:rsid w:val="00BF44FB"/>
    <w:rsid w:val="00BF5160"/>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064"/>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3365"/>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1655"/>
    <w:rsid w:val="00C9209C"/>
    <w:rsid w:val="00C9319C"/>
    <w:rsid w:val="00C935F6"/>
    <w:rsid w:val="00C93ED0"/>
    <w:rsid w:val="00C9420E"/>
    <w:rsid w:val="00C95234"/>
    <w:rsid w:val="00C971B3"/>
    <w:rsid w:val="00C9788C"/>
    <w:rsid w:val="00C97C59"/>
    <w:rsid w:val="00CA047B"/>
    <w:rsid w:val="00CA06A9"/>
    <w:rsid w:val="00CA08E3"/>
    <w:rsid w:val="00CA0C2B"/>
    <w:rsid w:val="00CA12D5"/>
    <w:rsid w:val="00CA2734"/>
    <w:rsid w:val="00CA37CC"/>
    <w:rsid w:val="00CA418B"/>
    <w:rsid w:val="00CA42DE"/>
    <w:rsid w:val="00CA52C0"/>
    <w:rsid w:val="00CA5922"/>
    <w:rsid w:val="00CA5C69"/>
    <w:rsid w:val="00CA7A1E"/>
    <w:rsid w:val="00CB12E9"/>
    <w:rsid w:val="00CB16E0"/>
    <w:rsid w:val="00CB1766"/>
    <w:rsid w:val="00CB1E90"/>
    <w:rsid w:val="00CB1EB4"/>
    <w:rsid w:val="00CB21D8"/>
    <w:rsid w:val="00CB328F"/>
    <w:rsid w:val="00CB3573"/>
    <w:rsid w:val="00CB364D"/>
    <w:rsid w:val="00CB3A38"/>
    <w:rsid w:val="00CB3B10"/>
    <w:rsid w:val="00CB425D"/>
    <w:rsid w:val="00CB4831"/>
    <w:rsid w:val="00CB58D5"/>
    <w:rsid w:val="00CB5C51"/>
    <w:rsid w:val="00CB5DBA"/>
    <w:rsid w:val="00CB5FBD"/>
    <w:rsid w:val="00CB65DC"/>
    <w:rsid w:val="00CB6DC9"/>
    <w:rsid w:val="00CB7F2D"/>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109"/>
    <w:rsid w:val="00CE6260"/>
    <w:rsid w:val="00CE633C"/>
    <w:rsid w:val="00CE6C1C"/>
    <w:rsid w:val="00CE7B3F"/>
    <w:rsid w:val="00CE7C81"/>
    <w:rsid w:val="00CF0386"/>
    <w:rsid w:val="00CF0D83"/>
    <w:rsid w:val="00CF0EF2"/>
    <w:rsid w:val="00CF234B"/>
    <w:rsid w:val="00CF33AC"/>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E3B"/>
    <w:rsid w:val="00D10705"/>
    <w:rsid w:val="00D11276"/>
    <w:rsid w:val="00D1233D"/>
    <w:rsid w:val="00D123CF"/>
    <w:rsid w:val="00D127DF"/>
    <w:rsid w:val="00D1308F"/>
    <w:rsid w:val="00D13678"/>
    <w:rsid w:val="00D1460D"/>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2C38"/>
    <w:rsid w:val="00D3344A"/>
    <w:rsid w:val="00D3355A"/>
    <w:rsid w:val="00D33AB7"/>
    <w:rsid w:val="00D340D5"/>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AD1"/>
    <w:rsid w:val="00D542A9"/>
    <w:rsid w:val="00D54305"/>
    <w:rsid w:val="00D54789"/>
    <w:rsid w:val="00D54F6A"/>
    <w:rsid w:val="00D5501F"/>
    <w:rsid w:val="00D5530F"/>
    <w:rsid w:val="00D55807"/>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69D"/>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EE6"/>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677B3"/>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301"/>
    <w:rsid w:val="00EC340D"/>
    <w:rsid w:val="00EC348F"/>
    <w:rsid w:val="00EC391D"/>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612"/>
    <w:rsid w:val="00EE173D"/>
    <w:rsid w:val="00EE1BE8"/>
    <w:rsid w:val="00EE231A"/>
    <w:rsid w:val="00EE24D6"/>
    <w:rsid w:val="00EE289F"/>
    <w:rsid w:val="00EE2B04"/>
    <w:rsid w:val="00EE3B13"/>
    <w:rsid w:val="00EE59C6"/>
    <w:rsid w:val="00EE69B9"/>
    <w:rsid w:val="00EE75E5"/>
    <w:rsid w:val="00EE76C8"/>
    <w:rsid w:val="00EE7CFC"/>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2D1C"/>
    <w:rsid w:val="00F33889"/>
    <w:rsid w:val="00F347C0"/>
    <w:rsid w:val="00F351D3"/>
    <w:rsid w:val="00F357FA"/>
    <w:rsid w:val="00F35C22"/>
    <w:rsid w:val="00F37121"/>
    <w:rsid w:val="00F377FB"/>
    <w:rsid w:val="00F37FE3"/>
    <w:rsid w:val="00F40306"/>
    <w:rsid w:val="00F40663"/>
    <w:rsid w:val="00F41337"/>
    <w:rsid w:val="00F4140B"/>
    <w:rsid w:val="00F41940"/>
    <w:rsid w:val="00F4276C"/>
    <w:rsid w:val="00F43AF6"/>
    <w:rsid w:val="00F43E13"/>
    <w:rsid w:val="00F44405"/>
    <w:rsid w:val="00F44796"/>
    <w:rsid w:val="00F44C14"/>
    <w:rsid w:val="00F44D8E"/>
    <w:rsid w:val="00F46255"/>
    <w:rsid w:val="00F478ED"/>
    <w:rsid w:val="00F47DC5"/>
    <w:rsid w:val="00F50665"/>
    <w:rsid w:val="00F50A23"/>
    <w:rsid w:val="00F50E9F"/>
    <w:rsid w:val="00F51174"/>
    <w:rsid w:val="00F518F3"/>
    <w:rsid w:val="00F51B7C"/>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DE7"/>
    <w:rsid w:val="00F74E5A"/>
    <w:rsid w:val="00F751B6"/>
    <w:rsid w:val="00F76A83"/>
    <w:rsid w:val="00F77105"/>
    <w:rsid w:val="00F774C8"/>
    <w:rsid w:val="00F802C8"/>
    <w:rsid w:val="00F80A40"/>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08D8"/>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6EE"/>
    <w:rsid w:val="00FE4721"/>
    <w:rsid w:val="00FE4D2A"/>
    <w:rsid w:val="00FE4FA0"/>
    <w:rsid w:val="00FE4FD0"/>
    <w:rsid w:val="00FE5051"/>
    <w:rsid w:val="00FE53DC"/>
    <w:rsid w:val="00FE566B"/>
    <w:rsid w:val="00FE5839"/>
    <w:rsid w:val="00FE5B58"/>
    <w:rsid w:val="00FE6E80"/>
    <w:rsid w:val="00FE761B"/>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C91655"/>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C91655"/>
    <w:rPr>
      <w:rFonts w:ascii="Times New Roman" w:eastAsiaTheme="minorHAnsi" w:hAnsi="Times New Roman" w:cstheme="minorBidi"/>
      <w:b/>
      <w:sz w:val="24"/>
      <w:szCs w:val="22"/>
      <w:lang w:val="fr-CA"/>
    </w:rPr>
  </w:style>
  <w:style w:type="paragraph" w:customStyle="1" w:styleId="SCCLsocSubfileSeparator">
    <w:name w:val="SCC.Lsoc.SubfileSeparator"/>
    <w:basedOn w:val="Normal"/>
    <w:next w:val="Normal"/>
    <w:link w:val="SCCLsocSubfileSeparatorChar"/>
    <w:rsid w:val="00C91655"/>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C91655"/>
    <w:rPr>
      <w:rFonts w:ascii="Times New Roman" w:eastAsiaTheme="minorHAnsi" w:hAnsi="Times New Roman"/>
      <w:b/>
      <w:sz w:val="24"/>
      <w:szCs w:val="24"/>
      <w:lang w:val="en-CA"/>
    </w:rPr>
  </w:style>
  <w:style w:type="paragraph" w:customStyle="1" w:styleId="aparanumbering1">
    <w:name w:val="aparanumbering1"/>
    <w:basedOn w:val="Normal"/>
    <w:rsid w:val="00C91655"/>
    <w:pPr>
      <w:spacing w:before="120" w:after="120"/>
      <w:jc w:val="both"/>
    </w:pPr>
    <w:rPr>
      <w:rFonts w:ascii="Arial" w:hAnsi="Arial" w:cs="Arial"/>
      <w:sz w:val="26"/>
      <w:szCs w:val="26"/>
    </w:rPr>
  </w:style>
  <w:style w:type="paragraph" w:customStyle="1" w:styleId="mauer2">
    <w:name w:val="mauer2"/>
    <w:basedOn w:val="Normal"/>
    <w:rsid w:val="00C91655"/>
    <w:pPr>
      <w:spacing w:before="260"/>
      <w:jc w:val="both"/>
    </w:pPr>
    <w:rPr>
      <w:sz w:val="28"/>
      <w:szCs w:val="28"/>
    </w:rPr>
  </w:style>
  <w:style w:type="paragraph" w:customStyle="1" w:styleId="level11">
    <w:name w:val="level11"/>
    <w:basedOn w:val="Normal"/>
    <w:rsid w:val="00C91655"/>
    <w:pPr>
      <w:spacing w:before="120" w:after="12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s/doc/2016/2016qccs5160/2016qccs5160.pdf" TargetMode="External"/><Relationship Id="rId21" Type="http://schemas.openxmlformats.org/officeDocument/2006/relationships/hyperlink" Target="https://www.scc-csc.ca/case-dossier/info/sum-som-eng.aspx?cas=38400" TargetMode="External"/><Relationship Id="rId34" Type="http://schemas.openxmlformats.org/officeDocument/2006/relationships/hyperlink" Target="https://www.canlii.org/en/on/onsc/doc/2017/2017onsc1500/2017onsc1500.html?resultIndex=1" TargetMode="External"/><Relationship Id="rId42" Type="http://schemas.openxmlformats.org/officeDocument/2006/relationships/hyperlink" Target="https://www.canlii.org/en/on/onca/doc/2017/2017onca926/2017onca926.html?searchUrlHash=AAAAAQANMjAxNyBPTkNBIDkyNgAAAAAB&amp;resultIndex=1" TargetMode="External"/><Relationship Id="rId47" Type="http://schemas.openxmlformats.org/officeDocument/2006/relationships/hyperlink" Target="https://www.canlii.org/en/bc/bcsc/doc/2017/2017bcsc704/2017bcsc704.html?autocompleteStr=2017%20BCSC%20704&amp;autocompletePos=1" TargetMode="External"/><Relationship Id="rId50" Type="http://schemas.openxmlformats.org/officeDocument/2006/relationships/hyperlink" Target="https://www.canlii.org/en/bc/bcca/doc/2018/2018bcca383/2018bcca383.html?autocompleteStr=2018%20BCCA%20383&amp;autocompletePos=1" TargetMode="External"/><Relationship Id="rId55" Type="http://schemas.openxmlformats.org/officeDocument/2006/relationships/hyperlink" Target="https://www.canlii.org/en/bc/bcsc/doc/2016/2016bcsc1764/2016bcsc1764.html?autocompleteStr=2016%20BCSC%201764&amp;autocompletePos=1" TargetMode="External"/><Relationship Id="rId63" Type="http://schemas.openxmlformats.org/officeDocument/2006/relationships/hyperlink" Target="https://www.canlii.org/en/mb/mbca/doc/2018/2018mbca100/2018mbca100.html" TargetMode="External"/><Relationship Id="rId68" Type="http://schemas.openxmlformats.org/officeDocument/2006/relationships/hyperlink" Target="http://canlii.ca/t/hvzz6" TargetMode="External"/><Relationship Id="rId76" Type="http://schemas.openxmlformats.org/officeDocument/2006/relationships/hyperlink" Target="https://www.canlii.org/en/ab/laws/stat/rsa-2000-c-h-7/latest/rsa-2000-c-h-7.html" TargetMode="External"/><Relationship Id="rId84" Type="http://schemas.openxmlformats.org/officeDocument/2006/relationships/hyperlink" Target="https://www.canlii.org/en/on/onsc/doc/2017/2017onsc7079/2017onsc7079.html" TargetMode="External"/><Relationship Id="rId89" Type="http://schemas.openxmlformats.org/officeDocument/2006/relationships/hyperlink" Target="mailto:comments-commentaires@scc-csc.ca"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anlii.org/en/nl/nlsctd/doc/2016/2016canlii89960/2016canlii89960.html"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c-csc.ca/case-dossier/info/sum-som-eng.aspx?cas=38368" TargetMode="External"/><Relationship Id="rId29" Type="http://schemas.openxmlformats.org/officeDocument/2006/relationships/hyperlink" Target="https://www.canlii.org/fr/qc/qccs/doc/2016/2016qccs5160/2016qccs5160.pdf" TargetMode="External"/><Relationship Id="rId11" Type="http://schemas.openxmlformats.org/officeDocument/2006/relationships/hyperlink" Target="https://www.scc-csc.ca/case-dossier/info/sum-som-eng.aspx?cas=38282" TargetMode="External"/><Relationship Id="rId24" Type="http://schemas.openxmlformats.org/officeDocument/2006/relationships/hyperlink" Target="https://www.scc-csc.ca/case-dossier/info/sum-som-eng.aspx?cas=38324" TargetMode="External"/><Relationship Id="rId32" Type="http://schemas.openxmlformats.org/officeDocument/2006/relationships/hyperlink" Target="https://www.canlii.org/en/qc/qcca/doc/2018/2018qcca606/2018qcca606.html?searchUrlHash=AAAAAQAPImNsYXVkZSByYXZhcnkiAAAAAAE&amp;resultIndex=3" TargetMode="External"/><Relationship Id="rId37" Type="http://schemas.openxmlformats.org/officeDocument/2006/relationships/hyperlink" Target="http://canlii.ca/t/ht9jd" TargetMode="External"/><Relationship Id="rId40" Type="http://schemas.openxmlformats.org/officeDocument/2006/relationships/hyperlink" Target="http://canlii.ca/t/ht9jd" TargetMode="External"/><Relationship Id="rId45" Type="http://schemas.openxmlformats.org/officeDocument/2006/relationships/hyperlink" Target="https://www.canlii.org/fr/ca/cfpi/doc/2017/2017cf84/2017cf84.html?resultIndex=1" TargetMode="External"/><Relationship Id="rId53" Type="http://schemas.openxmlformats.org/officeDocument/2006/relationships/hyperlink" Target="https://www.canlii.org/en/on/onsc/doc/2017/2017onsc6485/2017onsc6485.html" TargetMode="External"/><Relationship Id="rId58" Type="http://schemas.openxmlformats.org/officeDocument/2006/relationships/hyperlink" Target="https://www.canlii.org/en/bc/bcca/doc/2018/2018bcca305/2018bcca305.html?autocompleteStr=2018%20BCCA%20305&amp;autocompletePos=1" TargetMode="External"/><Relationship Id="rId66" Type="http://schemas.openxmlformats.org/officeDocument/2006/relationships/hyperlink" Target="http://canlii.ca/t/hvzz6" TargetMode="External"/><Relationship Id="rId74" Type="http://schemas.openxmlformats.org/officeDocument/2006/relationships/hyperlink" Target="https://www.canlii.org/en/ab/abca/doc/2018/2018abca339/2018abca339.html?autocompleteStr=2018%20abca%20339&amp;autocompletePos=1" TargetMode="External"/><Relationship Id="rId79" Type="http://schemas.openxmlformats.org/officeDocument/2006/relationships/hyperlink" Target="https://www.canlii.org/en/ab/laws/stat/rsa-2000-c-h-7/latest/rsa-2000-c-h-7.html" TargetMode="External"/><Relationship Id="rId87" Type="http://schemas.openxmlformats.org/officeDocument/2006/relationships/hyperlink" Target="https://www.canlii.org/en/on/onsc/doc/2017/2017onsc7079/2017onsc7079.html" TargetMode="External"/><Relationship Id="rId5" Type="http://schemas.openxmlformats.org/officeDocument/2006/relationships/webSettings" Target="webSettings.xml"/><Relationship Id="rId61" Type="http://schemas.openxmlformats.org/officeDocument/2006/relationships/hyperlink" Target="https://www.canlii.org/en/mb/mbca/doc/2018/2018mbca100/2018mbca100.html" TargetMode="External"/><Relationship Id="rId82" Type="http://schemas.openxmlformats.org/officeDocument/2006/relationships/hyperlink" Target="https://www.canlii.org/en/ab/abca/doc/2018/2018abca270/2018abca270.html?searchUrlHash=AAAAAQANMjAxNyBhYmNhIDI3MAAAAAAB&amp;resultIndex=2"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https://www.scc-csc.ca/case-dossier/info/sum-som-eng.aspx?cas=38458" TargetMode="External"/><Relationship Id="rId14" Type="http://schemas.openxmlformats.org/officeDocument/2006/relationships/hyperlink" Target="https://www.scc-csc.ca/case-dossier/info/sum-som-fra.aspx?cas=38321" TargetMode="External"/><Relationship Id="rId22" Type="http://schemas.openxmlformats.org/officeDocument/2006/relationships/hyperlink" Target="https://www.scc-csc.ca/case-dossier/info/sum-som-eng.aspx?cas=38445" TargetMode="External"/><Relationship Id="rId27" Type="http://schemas.openxmlformats.org/officeDocument/2006/relationships/hyperlink" Target="https://www.canlii.org/fr/qc/qcca/doc/2018/2018qcca593/2018qcca593.pdf" TargetMode="External"/><Relationship Id="rId30" Type="http://schemas.openxmlformats.org/officeDocument/2006/relationships/hyperlink" Target="https://www.canlii.org/fr/qc/qcca/doc/2018/2018qcca593/2018qcca593.pdf" TargetMode="External"/><Relationship Id="rId35" Type="http://schemas.openxmlformats.org/officeDocument/2006/relationships/hyperlink" Target="http://canlii.ca/t/grx9q" TargetMode="External"/><Relationship Id="rId43" Type="http://schemas.openxmlformats.org/officeDocument/2006/relationships/hyperlink" Target="https://www.canlii.org/en/ca/fct/doc/2017/2017fc84/2017fc84.html" TargetMode="External"/><Relationship Id="rId48" Type="http://schemas.openxmlformats.org/officeDocument/2006/relationships/hyperlink" Target="https://www.canlii.org/en/bc/bcca/doc/2018/2018bcca383/2018bcca383.html?autocompleteStr=2018%20BCCA%20383&amp;autocompletePos=1" TargetMode="External"/><Relationship Id="rId56" Type="http://schemas.openxmlformats.org/officeDocument/2006/relationships/hyperlink" Target="https://www.canlii.org/en/bc/bcca/doc/2018/2018bcca305/2018bcca305.html?autocompleteStr=2018%20BCCA%20305&amp;autocompletePos=1" TargetMode="External"/><Relationship Id="rId64" Type="http://schemas.openxmlformats.org/officeDocument/2006/relationships/hyperlink" Target="https://www.canlii.org/en/mb/mbca/doc/2018/2018mbca110/2018mbca110.html?searchUrlHash=AAAAAQANMjAxOCBtYmNhIDExMAAAAAAB&amp;resultIndex=19" TargetMode="External"/><Relationship Id="rId69" Type="http://schemas.openxmlformats.org/officeDocument/2006/relationships/hyperlink" Target="https://www.canlii.org/en/nl/nlsctd/doc/2016/2016canlii89960/2016canlii89960.html" TargetMode="External"/><Relationship Id="rId77" Type="http://schemas.openxmlformats.org/officeDocument/2006/relationships/hyperlink" Target="https://www.canlii.org/en/ab/laws/stat/rsa-2000-c-h-7/latest/rsa-2000-c-h-7.html" TargetMode="External"/><Relationship Id="rId8" Type="http://schemas.openxmlformats.org/officeDocument/2006/relationships/hyperlink" Target="https://www.scc-csc.ca/case-dossier/info/sum-som-eng.aspx?cas=38435" TargetMode="External"/><Relationship Id="rId51" Type="http://schemas.openxmlformats.org/officeDocument/2006/relationships/hyperlink" Target="https://www.canlii.org/en/on/onsc/doc/2017/2017onsc6485/2017onsc6485.html" TargetMode="External"/><Relationship Id="rId72" Type="http://schemas.openxmlformats.org/officeDocument/2006/relationships/hyperlink" Target="https://www.canlii.org/en/nl/nlca/doc/2018/2018nlca54/2018nlca54.html?searchUrlHash=AAAAAQAMMjAxOCBOTENBIDU0AAAAAAE&amp;resultIndex=1" TargetMode="External"/><Relationship Id="rId80" Type="http://schemas.openxmlformats.org/officeDocument/2006/relationships/hyperlink" Target="https://www.canlii.org/en/ab/laws/stat/rsa-2000-c-h-7/latest/rsa-2000-c-h-7.html" TargetMode="External"/><Relationship Id="rId85" Type="http://schemas.openxmlformats.org/officeDocument/2006/relationships/hyperlink" Target="https://www.canlii.org/en/on/onca/doc/2018/2018onca666/2018onca666.html?autocompleteStr=2018%20ONCA%20666&amp;autocompletePos=1"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scc-csc.ca/case-dossier/info/sum-som-eng.aspx?cas=38343" TargetMode="External"/><Relationship Id="rId17" Type="http://schemas.openxmlformats.org/officeDocument/2006/relationships/hyperlink" Target="https://www.scc-csc.ca/case-dossier/info/sum-som-fra.aspx?cas=38332" TargetMode="External"/><Relationship Id="rId25" Type="http://schemas.openxmlformats.org/officeDocument/2006/relationships/hyperlink" Target="https://www.canlii.org/fr/qc/qccrt/doc/2015/2015qccrt641/2015qccrt641.pdf" TargetMode="External"/><Relationship Id="rId33" Type="http://schemas.openxmlformats.org/officeDocument/2006/relationships/hyperlink" Target="https://www.canlii.org/en/on/onsc/doc/2017/2017onsc1500/2017onsc1500.html?resultIndex=1" TargetMode="External"/><Relationship Id="rId38" Type="http://schemas.openxmlformats.org/officeDocument/2006/relationships/hyperlink" Target="http://canlii.ca/t/grx9q" TargetMode="External"/><Relationship Id="rId46" Type="http://schemas.openxmlformats.org/officeDocument/2006/relationships/hyperlink" Target="https://www.canlii.org/fr/ca/caf/doc/2018/2018caf133/2018caf133.html?autocompleteStr=2018%20caf%20133&amp;autocompletePos=1" TargetMode="External"/><Relationship Id="rId59" Type="http://schemas.openxmlformats.org/officeDocument/2006/relationships/hyperlink" Target="https://www.canlii.org/en/qc/qcca/doc/2018/2018qcca1043/2018qcca1043.html?autocompleteStr=2018%20QCCA%201043&amp;autocompletePos=1" TargetMode="External"/><Relationship Id="rId67" Type="http://schemas.openxmlformats.org/officeDocument/2006/relationships/hyperlink" Target="http://canlii.ca/t/hqwt9" TargetMode="External"/><Relationship Id="rId20" Type="http://schemas.openxmlformats.org/officeDocument/2006/relationships/hyperlink" Target="https://www.scc-csc.ca/case-dossier/info/sum-som-eng.aspx?cas=38452" TargetMode="External"/><Relationship Id="rId41" Type="http://schemas.openxmlformats.org/officeDocument/2006/relationships/hyperlink" Target="https://www.canlii.org/en/on/onca/doc/2017/2017onca926/2017onca926.html?searchUrlHash=AAAAAQANMjAxNyBPTkNBIDkyNgAAAAAB&amp;resultIndex=1" TargetMode="External"/><Relationship Id="rId54" Type="http://schemas.openxmlformats.org/officeDocument/2006/relationships/hyperlink" Target="https://www.canlii.org/en/on/onca/doc/2018/2018onca705/2018onca705.html?autocompleteStr=kokic&amp;autocompletePos=3" TargetMode="External"/><Relationship Id="rId62" Type="http://schemas.openxmlformats.org/officeDocument/2006/relationships/hyperlink" Target="https://www.canlii.org/en/mb/mbca/doc/2018/2018mbca110/2018mbca110.html?searchUrlHash=AAAAAQANMjAxOCBtYmNhIDExMAAAAAAB&amp;resultIndex=19" TargetMode="External"/><Relationship Id="rId70" Type="http://schemas.openxmlformats.org/officeDocument/2006/relationships/hyperlink" Target="https://www.canlii.org/en/nl/nlca/doc/2018/2018nlca54/2018nlca54.html?searchUrlHash=AAAAAQAMMjAxOCBOTENBIDU0AAAAAAE&amp;resultIndex=1" TargetMode="External"/><Relationship Id="rId75" Type="http://schemas.openxmlformats.org/officeDocument/2006/relationships/hyperlink" Target="https://www.canlii.org/en/ab/laws/stat/rsa-2000-c-h-7/latest/rsa-2000-c-h-7.html" TargetMode="External"/><Relationship Id="rId83" Type="http://schemas.openxmlformats.org/officeDocument/2006/relationships/hyperlink" Target="https://www.canlii.org/en/on/onsc/doc/2017/2017onsc4533/2017onsc4533.html" TargetMode="External"/><Relationship Id="rId88" Type="http://schemas.openxmlformats.org/officeDocument/2006/relationships/hyperlink" Target="https://www.canlii.org/en/on/onca/doc/2018/2018onca666/2018onca666.html?autocompleteStr=2018%20ONCA%20666&amp;autocompletePos=1"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448" TargetMode="External"/><Relationship Id="rId23" Type="http://schemas.openxmlformats.org/officeDocument/2006/relationships/hyperlink" Target="https://www.scc-csc.ca/case-dossier/info/sum-som-eng.aspx?cas=38359" TargetMode="External"/><Relationship Id="rId28" Type="http://schemas.openxmlformats.org/officeDocument/2006/relationships/hyperlink" Target="https://www.canlii.org/fr/qc/qccrt/doc/2015/2015qccrt641/2015qccrt641.pdf" TargetMode="External"/><Relationship Id="rId36" Type="http://schemas.openxmlformats.org/officeDocument/2006/relationships/hyperlink" Target="http://canlii.ca/t/h4l24" TargetMode="External"/><Relationship Id="rId49" Type="http://schemas.openxmlformats.org/officeDocument/2006/relationships/hyperlink" Target="https://www.canlii.org/en/bc/bcsc/doc/2017/2017bcsc704/2017bcsc704.html?autocompleteStr=2017%20BCSC%20704&amp;autocompletePos=1" TargetMode="External"/><Relationship Id="rId57" Type="http://schemas.openxmlformats.org/officeDocument/2006/relationships/hyperlink" Target="https://www.canlii.org/en/bc/bcsc/doc/2016/2016bcsc1764/2016bcsc1764.html?autocompleteStr=2016%20BCSC%201764&amp;autocompletePos=1" TargetMode="External"/><Relationship Id="rId10" Type="http://schemas.openxmlformats.org/officeDocument/2006/relationships/hyperlink" Target="https://www.scc-csc.ca/case-dossier/info/sum-som-eng.aspx?cas=38171" TargetMode="External"/><Relationship Id="rId31" Type="http://schemas.openxmlformats.org/officeDocument/2006/relationships/hyperlink" Target="https://www.canlii.org/en/qc/qcca/doc/2018/2018qcca606/2018qcca606.html?searchUrlHash=AAAAAQAPImNsYXVkZSByYXZhcnkiAAAAAAE&amp;resultIndex=3" TargetMode="External"/><Relationship Id="rId44" Type="http://schemas.openxmlformats.org/officeDocument/2006/relationships/hyperlink" Target="https://www.canlii.org/en/ca/fca/doc/2018/2018fca133/2018fca133.html" TargetMode="External"/><Relationship Id="rId52" Type="http://schemas.openxmlformats.org/officeDocument/2006/relationships/hyperlink" Target="https://www.canlii.org/en/on/onca/doc/2018/2018onca705/2018onca705.html?autocompleteStr=kokic&amp;autocompletePos=3" TargetMode="External"/><Relationship Id="rId60" Type="http://schemas.openxmlformats.org/officeDocument/2006/relationships/hyperlink" Target="https://www.canlii.org/en/qc/qcca/doc/2018/2018qcca1043/2018qcca1043.html?autocompleteStr=2018%20QCCA%201043&amp;autocompletePos=1" TargetMode="External"/><Relationship Id="rId65" Type="http://schemas.openxmlformats.org/officeDocument/2006/relationships/hyperlink" Target="http://canlii.ca/t/hqwt9" TargetMode="External"/><Relationship Id="rId73" Type="http://schemas.openxmlformats.org/officeDocument/2006/relationships/hyperlink" Target="https://www.canlii.org/en/ab/abca/doc/2018/2018abca339/2018abca339.html?autocompleteStr=2018%20abca%20339&amp;autocompletePos=1" TargetMode="External"/><Relationship Id="rId78" Type="http://schemas.openxmlformats.org/officeDocument/2006/relationships/hyperlink" Target="https://www.canlii.org/en/ab/abca/doc/2018/2018abca270/2018abca270.html?searchUrlHash=AAAAAQANMjAxNyBhYmNhIDI3MAAAAAAB&amp;resultIndex=2" TargetMode="External"/><Relationship Id="rId81" Type="http://schemas.openxmlformats.org/officeDocument/2006/relationships/hyperlink" Target="https://www.canlii.org/en/ab/laws/stat/rsa-2000-c-h-7/latest/rsa-2000-c-h-7.html" TargetMode="External"/><Relationship Id="rId86" Type="http://schemas.openxmlformats.org/officeDocument/2006/relationships/hyperlink" Target="https://www.canlii.org/en/on/onsc/doc/2017/2017onsc4533/2017onsc4533.html" TargetMode="External"/><Relationship Id="rId9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fra.aspx?cas=38147" TargetMode="External"/><Relationship Id="rId13" Type="http://schemas.openxmlformats.org/officeDocument/2006/relationships/hyperlink" Target="https://www.scc-csc.ca/case-dossier/info/sum-som-eng.aspx?cas=38442" TargetMode="External"/><Relationship Id="rId18" Type="http://schemas.openxmlformats.org/officeDocument/2006/relationships/hyperlink" Target="https://www.scc-csc.ca/case-dossier/info/sum-som-fra.aspx?cas=38418" TargetMode="External"/><Relationship Id="rId39" Type="http://schemas.openxmlformats.org/officeDocument/2006/relationships/hyperlink" Target="http://canlii.ca/t/h4l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31F99-201E-4E73-AE4B-1936AE9D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14229</Words>
  <Characters>81107</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95146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2019-04-05T18:54:00Z</dcterms:created>
  <dcterms:modified xsi:type="dcterms:W3CDTF">2019-04-05T19:25:00Z</dcterms:modified>
</cp:coreProperties>
</file>