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FE4977" w:rsidRDefault="00F61846" w:rsidP="00122CE1">
      <w:pPr>
        <w:pStyle w:val="Header"/>
        <w:tabs>
          <w:tab w:val="left" w:pos="1620"/>
          <w:tab w:val="left" w:pos="1710"/>
        </w:tabs>
        <w:jc w:val="center"/>
        <w:rPr>
          <w:b/>
          <w:sz w:val="32"/>
        </w:rPr>
      </w:pPr>
      <w:r w:rsidRPr="00FE4977">
        <w:rPr>
          <w:b/>
          <w:sz w:val="32"/>
        </w:rPr>
        <w:t>S</w:t>
      </w:r>
      <w:r w:rsidR="003F43E6" w:rsidRPr="00FE4977">
        <w:rPr>
          <w:b/>
          <w:sz w:val="32"/>
        </w:rPr>
        <w:t>upreme Court of Canada / Cour suprême du Canada</w:t>
      </w:r>
    </w:p>
    <w:p w:rsidR="003F43E6" w:rsidRPr="00FE4977" w:rsidRDefault="003F43E6" w:rsidP="006F2579">
      <w:pPr>
        <w:widowControl w:val="0"/>
        <w:rPr>
          <w:i/>
        </w:rPr>
      </w:pPr>
    </w:p>
    <w:p w:rsidR="006F2579" w:rsidRPr="00FE4977" w:rsidRDefault="006F2579" w:rsidP="006F2579">
      <w:pPr>
        <w:widowControl w:val="0"/>
        <w:rPr>
          <w:i/>
        </w:rPr>
      </w:pPr>
      <w:r w:rsidRPr="00FE4977">
        <w:rPr>
          <w:i/>
        </w:rPr>
        <w:t>(le français suit)</w:t>
      </w:r>
    </w:p>
    <w:p w:rsidR="006F2579" w:rsidRPr="00FE4977" w:rsidRDefault="006F2579" w:rsidP="006F2579">
      <w:pPr>
        <w:widowControl w:val="0"/>
      </w:pPr>
    </w:p>
    <w:p w:rsidR="006F2579" w:rsidRPr="00FE4977" w:rsidRDefault="00B07908" w:rsidP="006F2579">
      <w:pPr>
        <w:widowControl w:val="0"/>
        <w:jc w:val="center"/>
        <w:rPr>
          <w:b/>
        </w:rPr>
      </w:pPr>
      <w:r w:rsidRPr="00FE4977">
        <w:fldChar w:fldCharType="begin"/>
      </w:r>
      <w:r w:rsidR="006F2579" w:rsidRPr="00FE4977">
        <w:instrText xml:space="preserve"> SEQ CHAPTER \h \r 1</w:instrText>
      </w:r>
      <w:r w:rsidRPr="00FE4977">
        <w:fldChar w:fldCharType="end"/>
      </w:r>
      <w:r w:rsidR="006F2579" w:rsidRPr="00FE4977">
        <w:rPr>
          <w:b/>
        </w:rPr>
        <w:t>JUDGMENT</w:t>
      </w:r>
      <w:r w:rsidR="00B17AAC" w:rsidRPr="00FE4977">
        <w:rPr>
          <w:b/>
        </w:rPr>
        <w:t>S</w:t>
      </w:r>
      <w:r w:rsidR="006F2579" w:rsidRPr="00FE4977">
        <w:rPr>
          <w:b/>
        </w:rPr>
        <w:t xml:space="preserve"> TO B</w:t>
      </w:r>
      <w:r w:rsidR="00001846" w:rsidRPr="00FE4977">
        <w:rPr>
          <w:b/>
        </w:rPr>
        <w:t>E RENDERED IN LE</w:t>
      </w:r>
      <w:r w:rsidR="00A0288A" w:rsidRPr="00FE4977">
        <w:rPr>
          <w:b/>
        </w:rPr>
        <w:t>A</w:t>
      </w:r>
      <w:r w:rsidR="00001846" w:rsidRPr="00FE4977">
        <w:rPr>
          <w:b/>
        </w:rPr>
        <w:t>VE APPLICATION</w:t>
      </w:r>
      <w:r w:rsidR="00E94FDF" w:rsidRPr="00FE4977">
        <w:rPr>
          <w:b/>
        </w:rPr>
        <w:t>S</w:t>
      </w:r>
    </w:p>
    <w:p w:rsidR="006F2579" w:rsidRPr="00FE4977" w:rsidRDefault="006F2579" w:rsidP="006F2579">
      <w:pPr>
        <w:widowControl w:val="0"/>
      </w:pPr>
    </w:p>
    <w:p w:rsidR="006F2579" w:rsidRPr="00FE4977" w:rsidRDefault="0087269F" w:rsidP="006F2579">
      <w:pPr>
        <w:widowControl w:val="0"/>
        <w:rPr>
          <w:b/>
        </w:rPr>
      </w:pPr>
      <w:r>
        <w:rPr>
          <w:b/>
        </w:rPr>
        <w:t>Ju</w:t>
      </w:r>
      <w:r w:rsidR="0069685F">
        <w:rPr>
          <w:b/>
        </w:rPr>
        <w:t>ly</w:t>
      </w:r>
      <w:r w:rsidR="00A15B66" w:rsidRPr="00FE4977">
        <w:rPr>
          <w:b/>
        </w:rPr>
        <w:t xml:space="preserve"> </w:t>
      </w:r>
      <w:r w:rsidR="00D97696">
        <w:rPr>
          <w:b/>
        </w:rPr>
        <w:t>8</w:t>
      </w:r>
      <w:r w:rsidR="004441C7" w:rsidRPr="00FE4977">
        <w:rPr>
          <w:b/>
        </w:rPr>
        <w:t>,</w:t>
      </w:r>
      <w:r w:rsidR="006F2579" w:rsidRPr="00FE4977">
        <w:rPr>
          <w:b/>
        </w:rPr>
        <w:t xml:space="preserve"> </w:t>
      </w:r>
      <w:r w:rsidR="0054689F" w:rsidRPr="00FE4977">
        <w:rPr>
          <w:b/>
        </w:rPr>
        <w:t>201</w:t>
      </w:r>
      <w:r w:rsidR="00313D36" w:rsidRPr="00FE4977">
        <w:rPr>
          <w:b/>
        </w:rPr>
        <w:t>9</w:t>
      </w:r>
    </w:p>
    <w:p w:rsidR="006F2579" w:rsidRPr="00FE4977" w:rsidRDefault="00674F39" w:rsidP="006F2579">
      <w:pPr>
        <w:widowControl w:val="0"/>
        <w:rPr>
          <w:b/>
        </w:rPr>
      </w:pPr>
      <w:r w:rsidRPr="00FE4977">
        <w:rPr>
          <w:b/>
        </w:rPr>
        <w:t>For immediate release</w:t>
      </w:r>
    </w:p>
    <w:p w:rsidR="006F2579" w:rsidRPr="00FE4977" w:rsidRDefault="006F2579" w:rsidP="006F2579">
      <w:pPr>
        <w:widowControl w:val="0"/>
      </w:pPr>
    </w:p>
    <w:p w:rsidR="006F2579" w:rsidRPr="0040531A" w:rsidRDefault="006F2579" w:rsidP="006F2579">
      <w:pPr>
        <w:widowControl w:val="0"/>
        <w:rPr>
          <w:lang w:val="fr-CA"/>
        </w:rPr>
      </w:pPr>
      <w:r w:rsidRPr="00FE4977">
        <w:rPr>
          <w:b/>
        </w:rPr>
        <w:t>OTTAWA</w:t>
      </w:r>
      <w:r w:rsidRPr="00FE4977">
        <w:t xml:space="preserve"> – The Supreme Court of Canad</w:t>
      </w:r>
      <w:r w:rsidR="006246E4" w:rsidRPr="00FE4977">
        <w:t>a</w:t>
      </w:r>
      <w:r w:rsidRPr="00FE4977">
        <w:t xml:space="preserve"> announced today that judgment in the following </w:t>
      </w:r>
      <w:r w:rsidRPr="002E0C45">
        <w:t>application</w:t>
      </w:r>
      <w:r w:rsidR="008600ED" w:rsidRPr="002E0C45">
        <w:t>s</w:t>
      </w:r>
      <w:r w:rsidRPr="002E0C45">
        <w:t xml:space="preserve"> for leave to appeal will be delivered at 9:45 a.m. </w:t>
      </w:r>
      <w:r w:rsidR="00E05816" w:rsidRPr="002E0C45">
        <w:t>E</w:t>
      </w:r>
      <w:r w:rsidR="005B48B5" w:rsidRPr="002E0C45">
        <w:t>D</w:t>
      </w:r>
      <w:r w:rsidR="00E05816" w:rsidRPr="002E0C45">
        <w:t>T</w:t>
      </w:r>
      <w:r w:rsidRPr="002E0C45">
        <w:t xml:space="preserve"> on Thursday, </w:t>
      </w:r>
      <w:r w:rsidR="0087269F">
        <w:t>Ju</w:t>
      </w:r>
      <w:r w:rsidR="0069685F">
        <w:t>ly</w:t>
      </w:r>
      <w:r w:rsidR="00455912" w:rsidRPr="002E0C45">
        <w:t xml:space="preserve"> </w:t>
      </w:r>
      <w:r w:rsidR="00D97696">
        <w:t>11</w:t>
      </w:r>
      <w:r w:rsidR="007E112F" w:rsidRPr="002E0C45">
        <w:t>,</w:t>
      </w:r>
      <w:r w:rsidR="002F38D7" w:rsidRPr="002E0C45">
        <w:t xml:space="preserve"> </w:t>
      </w:r>
      <w:r w:rsidR="006648D1" w:rsidRPr="002E0C45">
        <w:t>201</w:t>
      </w:r>
      <w:r w:rsidR="00313D36" w:rsidRPr="002E0C45">
        <w:t>9</w:t>
      </w:r>
      <w:r w:rsidRPr="002E0C45">
        <w:t xml:space="preserve">. </w:t>
      </w:r>
      <w:r w:rsidRPr="0040531A">
        <w:rPr>
          <w:lang w:val="fr-CA"/>
        </w:rPr>
        <w:t>This list is subject to chang</w:t>
      </w:r>
      <w:r w:rsidR="00192F7F" w:rsidRPr="0040531A">
        <w:rPr>
          <w:lang w:val="fr-CA"/>
        </w:rPr>
        <w:t>e</w:t>
      </w:r>
      <w:r w:rsidRPr="0040531A">
        <w:rPr>
          <w:lang w:val="fr-CA"/>
        </w:rPr>
        <w:t>.</w:t>
      </w:r>
    </w:p>
    <w:p w:rsidR="00EF2A9D" w:rsidRPr="0040531A" w:rsidRDefault="00EF2A9D" w:rsidP="006F2579">
      <w:pPr>
        <w:widowControl w:val="0"/>
        <w:rPr>
          <w:sz w:val="20"/>
          <w:lang w:val="fr-CA"/>
        </w:rPr>
      </w:pPr>
    </w:p>
    <w:p w:rsidR="00B43418" w:rsidRPr="0040531A" w:rsidRDefault="00B43418" w:rsidP="006F2579">
      <w:pPr>
        <w:widowControl w:val="0"/>
        <w:rPr>
          <w:sz w:val="20"/>
          <w:lang w:val="fr-CA"/>
        </w:rPr>
      </w:pPr>
    </w:p>
    <w:p w:rsidR="006F2579" w:rsidRPr="00AB63C3" w:rsidRDefault="006F2579" w:rsidP="006F2579">
      <w:pPr>
        <w:widowControl w:val="0"/>
        <w:jc w:val="center"/>
        <w:rPr>
          <w:lang w:val="fr-CA"/>
        </w:rPr>
      </w:pPr>
      <w:r w:rsidRPr="00AB63C3">
        <w:rPr>
          <w:b/>
          <w:lang w:val="fr-CA"/>
        </w:rPr>
        <w:t>PROCHAIN</w:t>
      </w:r>
      <w:r w:rsidR="00B17AAC" w:rsidRPr="00AB63C3">
        <w:rPr>
          <w:b/>
          <w:lang w:val="fr-CA"/>
        </w:rPr>
        <w:t>S</w:t>
      </w:r>
      <w:r w:rsidRPr="00AB63C3">
        <w:rPr>
          <w:b/>
          <w:lang w:val="fr-CA"/>
        </w:rPr>
        <w:t xml:space="preserve"> JUGEMENT</w:t>
      </w:r>
      <w:r w:rsidR="00B17AAC" w:rsidRPr="00AB63C3">
        <w:rPr>
          <w:b/>
          <w:lang w:val="fr-CA"/>
        </w:rPr>
        <w:t>S</w:t>
      </w:r>
      <w:r w:rsidR="00001846" w:rsidRPr="00AB63C3">
        <w:rPr>
          <w:b/>
          <w:lang w:val="fr-CA"/>
        </w:rPr>
        <w:t xml:space="preserve"> SUR DEMANDE</w:t>
      </w:r>
      <w:r w:rsidR="00B17AAC" w:rsidRPr="00AB63C3">
        <w:rPr>
          <w:b/>
          <w:lang w:val="fr-CA"/>
        </w:rPr>
        <w:t>S</w:t>
      </w:r>
      <w:r w:rsidRPr="00AB63C3">
        <w:rPr>
          <w:b/>
          <w:lang w:val="fr-CA"/>
        </w:rPr>
        <w:t xml:space="preserve"> D’AUTORISATION</w:t>
      </w:r>
    </w:p>
    <w:p w:rsidR="006F2579" w:rsidRPr="00AB63C3" w:rsidRDefault="006F2579" w:rsidP="006F2579">
      <w:pPr>
        <w:widowControl w:val="0"/>
        <w:rPr>
          <w:lang w:val="fr-CA"/>
        </w:rPr>
      </w:pPr>
    </w:p>
    <w:p w:rsidR="006F2579" w:rsidRPr="00AB63C3" w:rsidRDefault="006F2579" w:rsidP="006F2579">
      <w:pPr>
        <w:widowControl w:val="0"/>
        <w:rPr>
          <w:b/>
          <w:lang w:val="fr-CA"/>
        </w:rPr>
      </w:pPr>
      <w:r w:rsidRPr="00AB63C3">
        <w:rPr>
          <w:b/>
          <w:lang w:val="fr-CA"/>
        </w:rPr>
        <w:t>Le</w:t>
      </w:r>
      <w:r w:rsidR="00957A76" w:rsidRPr="00AB63C3">
        <w:rPr>
          <w:b/>
          <w:lang w:val="fr-CA"/>
        </w:rPr>
        <w:t xml:space="preserve"> </w:t>
      </w:r>
      <w:r w:rsidR="00D97696">
        <w:rPr>
          <w:b/>
          <w:lang w:val="fr-CA"/>
        </w:rPr>
        <w:t>8</w:t>
      </w:r>
      <w:r w:rsidR="00136C09" w:rsidRPr="00AB63C3">
        <w:rPr>
          <w:b/>
          <w:lang w:val="fr-CA"/>
        </w:rPr>
        <w:t xml:space="preserve"> </w:t>
      </w:r>
      <w:r w:rsidR="0087269F" w:rsidRPr="00AB63C3">
        <w:rPr>
          <w:b/>
          <w:lang w:val="fr-CA"/>
        </w:rPr>
        <w:t>jui</w:t>
      </w:r>
      <w:r w:rsidR="0069685F">
        <w:rPr>
          <w:b/>
          <w:lang w:val="fr-CA"/>
        </w:rPr>
        <w:t>llet</w:t>
      </w:r>
      <w:r w:rsidR="00A151D1" w:rsidRPr="00AB63C3">
        <w:rPr>
          <w:b/>
          <w:lang w:val="fr-CA"/>
        </w:rPr>
        <w:t xml:space="preserve"> 201</w:t>
      </w:r>
      <w:r w:rsidR="00313D36" w:rsidRPr="00AB63C3">
        <w:rPr>
          <w:b/>
          <w:lang w:val="fr-CA"/>
        </w:rPr>
        <w:t>9</w:t>
      </w:r>
    </w:p>
    <w:p w:rsidR="006F2579" w:rsidRPr="00AB63C3" w:rsidRDefault="006F2579" w:rsidP="006F2579">
      <w:pPr>
        <w:widowControl w:val="0"/>
        <w:rPr>
          <w:b/>
          <w:lang w:val="fr-CA"/>
        </w:rPr>
      </w:pPr>
      <w:r w:rsidRPr="00AB63C3">
        <w:rPr>
          <w:b/>
          <w:lang w:val="fr-CA"/>
        </w:rPr>
        <w:t>Pour diffusion immédiate</w:t>
      </w:r>
    </w:p>
    <w:p w:rsidR="006F2579" w:rsidRPr="00AB63C3" w:rsidRDefault="006F2579" w:rsidP="006F2579">
      <w:pPr>
        <w:widowControl w:val="0"/>
        <w:rPr>
          <w:lang w:val="fr-CA"/>
        </w:rPr>
      </w:pPr>
    </w:p>
    <w:p w:rsidR="006F2579" w:rsidRPr="0016553C" w:rsidRDefault="006F2579" w:rsidP="006F2579">
      <w:pPr>
        <w:widowControl w:val="0"/>
        <w:rPr>
          <w:lang w:val="fr-CA"/>
        </w:rPr>
      </w:pPr>
      <w:r w:rsidRPr="00AB63C3">
        <w:rPr>
          <w:b/>
          <w:lang w:val="fr-CA"/>
        </w:rPr>
        <w:t>OTTAWA</w:t>
      </w:r>
      <w:r w:rsidRPr="00AB63C3">
        <w:rPr>
          <w:lang w:val="fr-CA"/>
        </w:rPr>
        <w:t xml:space="preserve"> – La Cour suprême du Canada annonce que jugement ser</w:t>
      </w:r>
      <w:r w:rsidR="004259F9" w:rsidRPr="00AB63C3">
        <w:rPr>
          <w:lang w:val="fr-CA"/>
        </w:rPr>
        <w:t>a</w:t>
      </w:r>
      <w:r w:rsidRPr="00AB63C3">
        <w:rPr>
          <w:lang w:val="fr-CA"/>
        </w:rPr>
        <w:t xml:space="preserve"> rendu dans l</w:t>
      </w:r>
      <w:r w:rsidR="008600ED" w:rsidRPr="00AB63C3">
        <w:rPr>
          <w:lang w:val="fr-CA"/>
        </w:rPr>
        <w:t>es</w:t>
      </w:r>
      <w:r w:rsidRPr="00AB63C3">
        <w:rPr>
          <w:lang w:val="fr-CA"/>
        </w:rPr>
        <w:t xml:space="preserve"> demande</w:t>
      </w:r>
      <w:r w:rsidR="008600ED" w:rsidRPr="00AB63C3">
        <w:rPr>
          <w:lang w:val="fr-CA"/>
        </w:rPr>
        <w:t>s</w:t>
      </w:r>
      <w:r w:rsidRPr="00AB63C3">
        <w:rPr>
          <w:lang w:val="fr-CA"/>
        </w:rPr>
        <w:t xml:space="preserve"> d</w:t>
      </w:r>
      <w:r w:rsidR="00001846" w:rsidRPr="00AB63C3">
        <w:rPr>
          <w:lang w:val="fr-CA"/>
        </w:rPr>
        <w:t>’autorisation d’appel suivant</w:t>
      </w:r>
      <w:r w:rsidR="00B27839" w:rsidRPr="00AB63C3">
        <w:rPr>
          <w:lang w:val="fr-CA"/>
        </w:rPr>
        <w:t>e</w:t>
      </w:r>
      <w:r w:rsidR="008600ED" w:rsidRPr="00AB63C3">
        <w:rPr>
          <w:lang w:val="fr-CA"/>
        </w:rPr>
        <w:t>s</w:t>
      </w:r>
      <w:r w:rsidRPr="00AB63C3">
        <w:rPr>
          <w:lang w:val="fr-CA"/>
        </w:rPr>
        <w:t xml:space="preserve"> le jeudi </w:t>
      </w:r>
      <w:r w:rsidR="00D97696">
        <w:rPr>
          <w:lang w:val="fr-CA"/>
        </w:rPr>
        <w:t>11</w:t>
      </w:r>
      <w:r w:rsidR="00780317" w:rsidRPr="00AB63C3">
        <w:rPr>
          <w:lang w:val="fr-CA"/>
        </w:rPr>
        <w:t xml:space="preserve"> </w:t>
      </w:r>
      <w:r w:rsidR="0087269F" w:rsidRPr="00AB63C3">
        <w:rPr>
          <w:lang w:val="fr-CA"/>
        </w:rPr>
        <w:t>jui</w:t>
      </w:r>
      <w:r w:rsidR="0069685F">
        <w:rPr>
          <w:lang w:val="fr-CA"/>
        </w:rPr>
        <w:t>llet</w:t>
      </w:r>
      <w:r w:rsidR="00694391" w:rsidRPr="00AB63C3">
        <w:rPr>
          <w:lang w:val="fr-CA"/>
        </w:rPr>
        <w:t xml:space="preserve"> 2</w:t>
      </w:r>
      <w:r w:rsidR="006648D1" w:rsidRPr="00AB63C3">
        <w:rPr>
          <w:lang w:val="fr-CA"/>
        </w:rPr>
        <w:t>01</w:t>
      </w:r>
      <w:r w:rsidR="00313D36" w:rsidRPr="00AB63C3">
        <w:rPr>
          <w:lang w:val="fr-CA"/>
        </w:rPr>
        <w:t>9</w:t>
      </w:r>
      <w:r w:rsidRPr="00AB63C3">
        <w:rPr>
          <w:lang w:val="fr-CA"/>
        </w:rPr>
        <w:t xml:space="preserve">, à 9 h 45 </w:t>
      </w:r>
      <w:r w:rsidR="000627A2" w:rsidRPr="00AB63C3">
        <w:rPr>
          <w:lang w:val="fr-CA"/>
        </w:rPr>
        <w:t>H</w:t>
      </w:r>
      <w:r w:rsidR="005B48B5" w:rsidRPr="00AB63C3">
        <w:rPr>
          <w:lang w:val="fr-CA"/>
        </w:rPr>
        <w:t>A</w:t>
      </w:r>
      <w:r w:rsidRPr="00AB63C3">
        <w:rPr>
          <w:lang w:val="fr-CA"/>
        </w:rPr>
        <w:t xml:space="preserve">E. Cette liste est sujette à </w:t>
      </w:r>
      <w:r w:rsidRPr="0016553C">
        <w:rPr>
          <w:lang w:val="fr-CA"/>
        </w:rPr>
        <w:t>modifications.</w:t>
      </w:r>
    </w:p>
    <w:p w:rsidR="00EF2A9D" w:rsidRPr="0016553C" w:rsidRDefault="00EF2A9D" w:rsidP="009B14F4">
      <w:pPr>
        <w:widowControl w:val="0"/>
        <w:jc w:val="both"/>
        <w:rPr>
          <w:sz w:val="20"/>
          <w:lang w:val="fr-CA"/>
        </w:rPr>
      </w:pPr>
    </w:p>
    <w:p w:rsidR="001838E0" w:rsidRPr="00D42FB7" w:rsidRDefault="007E7AA7" w:rsidP="009B14F4">
      <w:pPr>
        <w:widowControl w:val="0"/>
        <w:jc w:val="both"/>
        <w:rPr>
          <w:sz w:val="20"/>
          <w:lang w:val="fr-CA"/>
        </w:rPr>
      </w:pPr>
      <w:r>
        <w:rPr>
          <w:sz w:val="20"/>
        </w:rPr>
        <w:pict>
          <v:rect id="_x0000_i1025" style="width:2in;height:1pt" o:hrpct="0" o:hralign="center" o:hrstd="t" o:hrnoshade="t" o:hr="t" fillcolor="black [3213]" stroked="f"/>
        </w:pict>
      </w:r>
    </w:p>
    <w:p w:rsidR="009F5EC1" w:rsidRDefault="009F5EC1" w:rsidP="009F5EC1">
      <w:pPr>
        <w:jc w:val="both"/>
        <w:rPr>
          <w:sz w:val="20"/>
        </w:rPr>
      </w:pPr>
    </w:p>
    <w:p w:rsidR="00D07D7D" w:rsidRPr="0048221A" w:rsidRDefault="00D07D7D" w:rsidP="0048221A">
      <w:pPr>
        <w:pStyle w:val="ListParagraph"/>
        <w:numPr>
          <w:ilvl w:val="0"/>
          <w:numId w:val="5"/>
        </w:numPr>
        <w:ind w:left="357" w:hanging="357"/>
        <w:rPr>
          <w:sz w:val="20"/>
        </w:rPr>
      </w:pPr>
      <w:r w:rsidRPr="0048221A">
        <w:rPr>
          <w:i/>
          <w:sz w:val="20"/>
        </w:rPr>
        <w:t>Kevin David Patterson</w:t>
      </w:r>
      <w:r w:rsidR="004E727A">
        <w:rPr>
          <w:i/>
          <w:sz w:val="20"/>
        </w:rPr>
        <w:t>, et al.</w:t>
      </w:r>
      <w:r w:rsidRPr="0048221A">
        <w:rPr>
          <w:i/>
          <w:sz w:val="20"/>
        </w:rPr>
        <w:t xml:space="preserve"> v. Canada (Minister of Justice), et al. </w:t>
      </w:r>
      <w:r w:rsidRPr="0048221A">
        <w:rPr>
          <w:sz w:val="20"/>
        </w:rPr>
        <w:t>(B.C.) (Criminal)</w:t>
      </w:r>
      <w:r w:rsidR="00F50CDB">
        <w:rPr>
          <w:sz w:val="20"/>
        </w:rPr>
        <w:t xml:space="preserve"> </w:t>
      </w:r>
      <w:r w:rsidR="00F50CDB" w:rsidRPr="0048221A">
        <w:rPr>
          <w:sz w:val="20"/>
        </w:rPr>
        <w:t>(By Leave)</w:t>
      </w:r>
      <w:r w:rsidR="00D3435B" w:rsidRPr="0048221A">
        <w:rPr>
          <w:sz w:val="20"/>
        </w:rPr>
        <w:t xml:space="preserve"> (</w:t>
      </w:r>
      <w:hyperlink r:id="rId8" w:history="1">
        <w:r w:rsidR="00D3435B" w:rsidRPr="0048221A">
          <w:rPr>
            <w:rStyle w:val="Hyperlink"/>
            <w:sz w:val="20"/>
            <w:szCs w:val="20"/>
          </w:rPr>
          <w:t>3</w:t>
        </w:r>
        <w:r w:rsidR="008D5CAE" w:rsidRPr="0048221A">
          <w:rPr>
            <w:rStyle w:val="Hyperlink"/>
            <w:sz w:val="20"/>
          </w:rPr>
          <w:t>7469</w:t>
        </w:r>
      </w:hyperlink>
      <w:r w:rsidR="00D3435B" w:rsidRPr="0048221A">
        <w:rPr>
          <w:sz w:val="20"/>
        </w:rPr>
        <w:t>)</w:t>
      </w:r>
    </w:p>
    <w:p w:rsidR="00D07D7D" w:rsidRPr="00D3435B" w:rsidRDefault="00D07D7D" w:rsidP="0048221A">
      <w:pPr>
        <w:ind w:left="357" w:hanging="357"/>
        <w:rPr>
          <w:sz w:val="20"/>
        </w:rPr>
      </w:pPr>
    </w:p>
    <w:p w:rsidR="00D07D7D" w:rsidRPr="0048221A" w:rsidRDefault="00D07D7D" w:rsidP="0048221A">
      <w:pPr>
        <w:pStyle w:val="ListParagraph"/>
        <w:numPr>
          <w:ilvl w:val="0"/>
          <w:numId w:val="5"/>
        </w:numPr>
        <w:ind w:left="357" w:hanging="357"/>
        <w:rPr>
          <w:sz w:val="20"/>
          <w:szCs w:val="20"/>
        </w:rPr>
      </w:pPr>
      <w:r w:rsidRPr="0048221A">
        <w:rPr>
          <w:i/>
          <w:sz w:val="20"/>
          <w:szCs w:val="20"/>
        </w:rPr>
        <w:t xml:space="preserve">Madison Pacific Properties Inc., et al. v. Her Majesty the Queen </w:t>
      </w:r>
      <w:r w:rsidRPr="0048221A">
        <w:rPr>
          <w:sz w:val="20"/>
          <w:szCs w:val="20"/>
        </w:rPr>
        <w:t>(F.C.</w:t>
      </w:r>
      <w:r w:rsidR="005658E4" w:rsidRPr="0048221A">
        <w:rPr>
          <w:sz w:val="20"/>
        </w:rPr>
        <w:t>) (Civil) (By Leave)</w:t>
      </w:r>
      <w:r w:rsidR="00D3435B" w:rsidRPr="0048221A">
        <w:rPr>
          <w:sz w:val="20"/>
        </w:rPr>
        <w:t xml:space="preserve"> (</w:t>
      </w:r>
      <w:hyperlink r:id="rId9" w:history="1">
        <w:r w:rsidR="00D3435B" w:rsidRPr="0048221A">
          <w:rPr>
            <w:rStyle w:val="Hyperlink"/>
            <w:sz w:val="20"/>
            <w:szCs w:val="20"/>
          </w:rPr>
          <w:t>3857</w:t>
        </w:r>
        <w:r w:rsidR="005658E4" w:rsidRPr="0048221A">
          <w:rPr>
            <w:rStyle w:val="Hyperlink"/>
            <w:sz w:val="20"/>
          </w:rPr>
          <w:t>8</w:t>
        </w:r>
      </w:hyperlink>
      <w:r w:rsidR="00D3435B" w:rsidRPr="0048221A">
        <w:rPr>
          <w:sz w:val="20"/>
        </w:rPr>
        <w:t>)</w:t>
      </w:r>
    </w:p>
    <w:p w:rsidR="00D07D7D" w:rsidRPr="00D3435B" w:rsidRDefault="00D07D7D" w:rsidP="0048221A">
      <w:pPr>
        <w:ind w:left="357" w:hanging="357"/>
        <w:rPr>
          <w:sz w:val="20"/>
        </w:rPr>
      </w:pPr>
    </w:p>
    <w:p w:rsidR="00D07D7D" w:rsidRPr="0048221A" w:rsidRDefault="00D07D7D" w:rsidP="0048221A">
      <w:pPr>
        <w:pStyle w:val="ListParagraph"/>
        <w:numPr>
          <w:ilvl w:val="0"/>
          <w:numId w:val="5"/>
        </w:numPr>
        <w:ind w:left="357" w:hanging="357"/>
        <w:rPr>
          <w:sz w:val="20"/>
        </w:rPr>
      </w:pPr>
      <w:r w:rsidRPr="0048221A">
        <w:rPr>
          <w:i/>
          <w:sz w:val="20"/>
          <w:lang w:val="en-CA"/>
        </w:rPr>
        <w:t xml:space="preserve">Stensia Tapambwa, et al. v. Minister of Citizenship and Immigration </w:t>
      </w:r>
      <w:r w:rsidRPr="0048221A">
        <w:rPr>
          <w:sz w:val="20"/>
          <w:lang w:val="en-CA"/>
        </w:rPr>
        <w:t>(F.C.) (Civil) (By Leave)</w:t>
      </w:r>
      <w:r w:rsidR="00D3435B" w:rsidRPr="0048221A">
        <w:rPr>
          <w:sz w:val="20"/>
          <w:lang w:val="en-CA"/>
        </w:rPr>
        <w:t xml:space="preserve"> </w:t>
      </w:r>
      <w:r w:rsidR="00D3435B" w:rsidRPr="0048221A">
        <w:rPr>
          <w:sz w:val="20"/>
        </w:rPr>
        <w:t>(</w:t>
      </w:r>
      <w:hyperlink r:id="rId10" w:history="1">
        <w:r w:rsidR="00D3435B" w:rsidRPr="0048221A">
          <w:rPr>
            <w:rStyle w:val="Hyperlink"/>
            <w:sz w:val="20"/>
            <w:szCs w:val="20"/>
          </w:rPr>
          <w:t>385</w:t>
        </w:r>
        <w:r w:rsidR="00FA5070" w:rsidRPr="0048221A">
          <w:rPr>
            <w:rStyle w:val="Hyperlink"/>
            <w:sz w:val="20"/>
          </w:rPr>
          <w:t>89</w:t>
        </w:r>
      </w:hyperlink>
      <w:r w:rsidR="00D3435B" w:rsidRPr="0048221A">
        <w:rPr>
          <w:sz w:val="20"/>
        </w:rPr>
        <w:t>)</w:t>
      </w:r>
    </w:p>
    <w:p w:rsidR="00D07D7D" w:rsidRPr="00D3435B" w:rsidRDefault="00D07D7D" w:rsidP="0048221A">
      <w:pPr>
        <w:ind w:left="357" w:hanging="357"/>
        <w:rPr>
          <w:sz w:val="20"/>
        </w:rPr>
      </w:pPr>
    </w:p>
    <w:p w:rsidR="00D07D7D" w:rsidRPr="0048221A" w:rsidRDefault="00D07D7D" w:rsidP="0048221A">
      <w:pPr>
        <w:pStyle w:val="ListParagraph"/>
        <w:numPr>
          <w:ilvl w:val="0"/>
          <w:numId w:val="5"/>
        </w:numPr>
        <w:ind w:left="357" w:hanging="357"/>
        <w:rPr>
          <w:sz w:val="20"/>
          <w:szCs w:val="20"/>
        </w:rPr>
      </w:pPr>
      <w:r w:rsidRPr="0048221A">
        <w:rPr>
          <w:i/>
          <w:sz w:val="20"/>
          <w:szCs w:val="20"/>
        </w:rPr>
        <w:t xml:space="preserve">Sadhu Singh Hamdard Trust v. Navsun Holdings Ltd. </w:t>
      </w:r>
      <w:r w:rsidRPr="0048221A">
        <w:rPr>
          <w:sz w:val="20"/>
          <w:szCs w:val="20"/>
        </w:rPr>
        <w:t>(F.C.) (Civil) (By Leave)</w:t>
      </w:r>
      <w:r w:rsidR="00D3435B" w:rsidRPr="0048221A">
        <w:rPr>
          <w:sz w:val="20"/>
        </w:rPr>
        <w:t xml:space="preserve"> (</w:t>
      </w:r>
      <w:hyperlink r:id="rId11" w:history="1">
        <w:r w:rsidR="00D3435B" w:rsidRPr="0048221A">
          <w:rPr>
            <w:rStyle w:val="Hyperlink"/>
            <w:sz w:val="20"/>
            <w:szCs w:val="20"/>
          </w:rPr>
          <w:t>385</w:t>
        </w:r>
        <w:r w:rsidR="00F350E8" w:rsidRPr="0048221A">
          <w:rPr>
            <w:rStyle w:val="Hyperlink"/>
            <w:sz w:val="20"/>
          </w:rPr>
          <w:t>50</w:t>
        </w:r>
      </w:hyperlink>
      <w:r w:rsidR="00D3435B" w:rsidRPr="0048221A">
        <w:rPr>
          <w:sz w:val="20"/>
        </w:rPr>
        <w:t>)</w:t>
      </w:r>
    </w:p>
    <w:p w:rsidR="00D07D7D" w:rsidRPr="00D3435B" w:rsidRDefault="00D07D7D" w:rsidP="0048221A">
      <w:pPr>
        <w:ind w:left="357" w:hanging="357"/>
        <w:rPr>
          <w:sz w:val="20"/>
        </w:rPr>
      </w:pPr>
    </w:p>
    <w:p w:rsidR="00D07D7D" w:rsidRPr="0048221A" w:rsidRDefault="00D07D7D" w:rsidP="0048221A">
      <w:pPr>
        <w:pStyle w:val="ListParagraph"/>
        <w:numPr>
          <w:ilvl w:val="0"/>
          <w:numId w:val="5"/>
        </w:numPr>
        <w:ind w:left="357" w:hanging="357"/>
        <w:rPr>
          <w:sz w:val="20"/>
        </w:rPr>
      </w:pPr>
      <w:r w:rsidRPr="0048221A">
        <w:rPr>
          <w:i/>
          <w:sz w:val="20"/>
        </w:rPr>
        <w:t>Chad Cadieux, by his Litigation Guardian Michael Cadieux, et al. v. Eric Saywell</w:t>
      </w:r>
      <w:r w:rsidRPr="0048221A">
        <w:rPr>
          <w:sz w:val="20"/>
        </w:rPr>
        <w:t xml:space="preserve"> (Ont.)</w:t>
      </w:r>
      <w:r w:rsidR="00583491" w:rsidRPr="0048221A">
        <w:rPr>
          <w:sz w:val="20"/>
        </w:rPr>
        <w:t xml:space="preserve"> (Civil) (By Leave)</w:t>
      </w:r>
      <w:r w:rsidR="00D3435B" w:rsidRPr="0048221A">
        <w:rPr>
          <w:sz w:val="20"/>
        </w:rPr>
        <w:t xml:space="preserve"> (</w:t>
      </w:r>
      <w:hyperlink r:id="rId12" w:history="1">
        <w:r w:rsidR="00D3435B" w:rsidRPr="0048221A">
          <w:rPr>
            <w:rStyle w:val="Hyperlink"/>
            <w:sz w:val="20"/>
            <w:szCs w:val="20"/>
          </w:rPr>
          <w:t>385</w:t>
        </w:r>
        <w:r w:rsidR="00E33562" w:rsidRPr="0048221A">
          <w:rPr>
            <w:rStyle w:val="Hyperlink"/>
            <w:sz w:val="20"/>
          </w:rPr>
          <w:t>09</w:t>
        </w:r>
      </w:hyperlink>
      <w:r w:rsidR="00D3435B" w:rsidRPr="0048221A">
        <w:rPr>
          <w:sz w:val="20"/>
        </w:rPr>
        <w:t>)</w:t>
      </w:r>
    </w:p>
    <w:p w:rsidR="00D07D7D" w:rsidRDefault="00D07D7D" w:rsidP="0048221A">
      <w:pPr>
        <w:ind w:left="357" w:hanging="357"/>
        <w:rPr>
          <w:sz w:val="20"/>
        </w:rPr>
      </w:pPr>
    </w:p>
    <w:p w:rsidR="00D97696" w:rsidRPr="00D97696" w:rsidRDefault="00D97696" w:rsidP="0048221A">
      <w:pPr>
        <w:pStyle w:val="SCCAppellantInfoAppellantInfo"/>
        <w:numPr>
          <w:ilvl w:val="0"/>
          <w:numId w:val="5"/>
        </w:numPr>
        <w:ind w:left="357" w:hanging="357"/>
        <w:rPr>
          <w:sz w:val="20"/>
          <w:szCs w:val="20"/>
        </w:rPr>
      </w:pPr>
      <w:r w:rsidRPr="00D97696">
        <w:rPr>
          <w:i/>
          <w:sz w:val="20"/>
          <w:szCs w:val="20"/>
        </w:rPr>
        <w:t xml:space="preserve">Chandos Construction Ltd. v. Deloitte Restructuring Inc. in its </w:t>
      </w:r>
      <w:r w:rsidR="00D27B21">
        <w:rPr>
          <w:i/>
          <w:sz w:val="20"/>
          <w:szCs w:val="20"/>
        </w:rPr>
        <w:t>c</w:t>
      </w:r>
      <w:r w:rsidRPr="00D97696">
        <w:rPr>
          <w:i/>
          <w:sz w:val="20"/>
          <w:szCs w:val="20"/>
        </w:rPr>
        <w:t xml:space="preserve">apacity as Trustee in Bankruptcy of Capital Steel Inc., a </w:t>
      </w:r>
      <w:r w:rsidR="00D27B21">
        <w:rPr>
          <w:i/>
          <w:sz w:val="20"/>
          <w:szCs w:val="20"/>
        </w:rPr>
        <w:t>b</w:t>
      </w:r>
      <w:r w:rsidRPr="00D97696">
        <w:rPr>
          <w:i/>
          <w:sz w:val="20"/>
          <w:szCs w:val="20"/>
        </w:rPr>
        <w:t>ankrupt</w:t>
      </w:r>
      <w:r w:rsidRPr="00D97696">
        <w:rPr>
          <w:sz w:val="20"/>
          <w:szCs w:val="20"/>
        </w:rPr>
        <w:t xml:space="preserve"> (Alta.) (Civil) (By Leave)</w:t>
      </w:r>
      <w:r>
        <w:rPr>
          <w:sz w:val="20"/>
          <w:szCs w:val="20"/>
        </w:rPr>
        <w:t xml:space="preserve"> </w:t>
      </w:r>
      <w:r w:rsidRPr="001E1D29">
        <w:rPr>
          <w:sz w:val="20"/>
        </w:rPr>
        <w:t>(</w:t>
      </w:r>
      <w:hyperlink r:id="rId13" w:history="1">
        <w:r w:rsidRPr="001E1D29">
          <w:rPr>
            <w:rStyle w:val="Hyperlink"/>
            <w:sz w:val="20"/>
            <w:szCs w:val="20"/>
          </w:rPr>
          <w:t>38</w:t>
        </w:r>
        <w:r>
          <w:rPr>
            <w:rStyle w:val="Hyperlink"/>
            <w:sz w:val="20"/>
            <w:szCs w:val="20"/>
          </w:rPr>
          <w:t>571</w:t>
        </w:r>
      </w:hyperlink>
      <w:r w:rsidRPr="001E1D29">
        <w:rPr>
          <w:sz w:val="20"/>
        </w:rPr>
        <w:t>)</w:t>
      </w:r>
    </w:p>
    <w:p w:rsidR="00FE547D" w:rsidRDefault="00FE547D" w:rsidP="009F5EC1">
      <w:pPr>
        <w:jc w:val="both"/>
        <w:rPr>
          <w:sz w:val="20"/>
        </w:rPr>
      </w:pPr>
    </w:p>
    <w:p w:rsidR="00D97696" w:rsidRDefault="007E7AA7" w:rsidP="009F5EC1">
      <w:pPr>
        <w:jc w:val="both"/>
        <w:rPr>
          <w:sz w:val="20"/>
        </w:rPr>
      </w:pPr>
      <w:r>
        <w:rPr>
          <w:sz w:val="20"/>
        </w:rPr>
        <w:pict>
          <v:rect id="_x0000_i1026" style="width:2in;height:1pt" o:hrpct="0" o:hralign="center" o:hrstd="t" o:hrnoshade="t" o:hr="t" fillcolor="black [3213]" stroked="f"/>
        </w:pict>
      </w:r>
    </w:p>
    <w:p w:rsidR="00602309" w:rsidRDefault="00602309" w:rsidP="00542899">
      <w:pPr>
        <w:ind w:left="142" w:hanging="142"/>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84899" w:rsidRPr="00696588" w:rsidTr="00E95A6A">
        <w:tc>
          <w:tcPr>
            <w:tcW w:w="543" w:type="pct"/>
          </w:tcPr>
          <w:p w:rsidR="00184899" w:rsidRPr="00696588" w:rsidRDefault="00184899" w:rsidP="00184899">
            <w:pPr>
              <w:jc w:val="both"/>
              <w:rPr>
                <w:sz w:val="20"/>
              </w:rPr>
            </w:pPr>
            <w:r w:rsidRPr="00696588">
              <w:rPr>
                <w:rStyle w:val="SCCFileNumberChar"/>
                <w:sz w:val="20"/>
                <w:szCs w:val="20"/>
              </w:rPr>
              <w:t>37469</w:t>
            </w:r>
          </w:p>
        </w:tc>
        <w:tc>
          <w:tcPr>
            <w:tcW w:w="4457" w:type="pct"/>
            <w:gridSpan w:val="3"/>
          </w:tcPr>
          <w:p w:rsidR="00184899" w:rsidRPr="00696588" w:rsidRDefault="00184899" w:rsidP="00184899">
            <w:pPr>
              <w:pStyle w:val="SCCLsocParty"/>
              <w:jc w:val="both"/>
              <w:rPr>
                <w:b/>
                <w:sz w:val="20"/>
                <w:szCs w:val="20"/>
                <w:lang w:val="en-US"/>
              </w:rPr>
            </w:pPr>
            <w:r w:rsidRPr="00696588">
              <w:rPr>
                <w:b/>
                <w:sz w:val="20"/>
                <w:szCs w:val="20"/>
                <w:lang w:val="en-US"/>
              </w:rPr>
              <w:t>Kevin David Patterson v. Canada (Minister of Justice), Attorney General of Canada (</w:t>
            </w:r>
            <w:r w:rsidR="00964349">
              <w:rPr>
                <w:b/>
                <w:sz w:val="20"/>
                <w:szCs w:val="20"/>
                <w:lang w:val="en-US"/>
              </w:rPr>
              <w:t>o</w:t>
            </w:r>
            <w:r w:rsidRPr="00696588">
              <w:rPr>
                <w:b/>
                <w:sz w:val="20"/>
                <w:szCs w:val="20"/>
                <w:lang w:val="en-US"/>
              </w:rPr>
              <w:t xml:space="preserve">n </w:t>
            </w:r>
            <w:r w:rsidR="00964349">
              <w:rPr>
                <w:b/>
                <w:sz w:val="20"/>
                <w:szCs w:val="20"/>
                <w:lang w:val="en-US"/>
              </w:rPr>
              <w:t>b</w:t>
            </w:r>
            <w:r w:rsidRPr="00696588">
              <w:rPr>
                <w:b/>
                <w:sz w:val="20"/>
                <w:szCs w:val="20"/>
                <w:lang w:val="en-US"/>
              </w:rPr>
              <w:t xml:space="preserve">ehalf of </w:t>
            </w:r>
            <w:r w:rsidR="00964349">
              <w:rPr>
                <w:b/>
                <w:sz w:val="20"/>
                <w:szCs w:val="20"/>
                <w:lang w:val="en-US"/>
              </w:rPr>
              <w:t>t</w:t>
            </w:r>
            <w:r w:rsidRPr="00696588">
              <w:rPr>
                <w:b/>
                <w:sz w:val="20"/>
                <w:szCs w:val="20"/>
                <w:lang w:val="en-US"/>
              </w:rPr>
              <w:t>he United States of America)</w:t>
            </w:r>
          </w:p>
          <w:p w:rsidR="00184899" w:rsidRPr="00696588" w:rsidRDefault="00184899" w:rsidP="00184899">
            <w:pPr>
              <w:jc w:val="both"/>
              <w:rPr>
                <w:sz w:val="20"/>
              </w:rPr>
            </w:pPr>
            <w:r w:rsidRPr="00696588">
              <w:rPr>
                <w:sz w:val="20"/>
              </w:rPr>
              <w:t>(B.C.) (Criminal) (By Leave)</w:t>
            </w:r>
          </w:p>
        </w:tc>
      </w:tr>
      <w:tr w:rsidR="00184899" w:rsidRPr="00696588" w:rsidTr="00E95A6A">
        <w:tc>
          <w:tcPr>
            <w:tcW w:w="5000" w:type="pct"/>
            <w:gridSpan w:val="4"/>
          </w:tcPr>
          <w:p w:rsidR="00184899" w:rsidRPr="00696588" w:rsidRDefault="00184899" w:rsidP="00184899">
            <w:pPr>
              <w:jc w:val="both"/>
              <w:rPr>
                <w:sz w:val="20"/>
              </w:rPr>
            </w:pPr>
            <w:r w:rsidRPr="00696588">
              <w:rPr>
                <w:sz w:val="20"/>
              </w:rPr>
              <w:t>Extradition – Committal – Surrender – Whether applicant raises a legal issue – Whether issue is of public importance?</w:t>
            </w:r>
          </w:p>
          <w:p w:rsidR="00184899" w:rsidRPr="00696588" w:rsidRDefault="00184899" w:rsidP="00184899">
            <w:pPr>
              <w:jc w:val="both"/>
              <w:rPr>
                <w:sz w:val="20"/>
              </w:rPr>
            </w:pPr>
          </w:p>
        </w:tc>
      </w:tr>
      <w:tr w:rsidR="00184899" w:rsidRPr="00696588" w:rsidTr="00E95A6A">
        <w:tc>
          <w:tcPr>
            <w:tcW w:w="5000" w:type="pct"/>
            <w:gridSpan w:val="4"/>
          </w:tcPr>
          <w:p w:rsidR="00184899" w:rsidRPr="00696588" w:rsidRDefault="00184899" w:rsidP="00184899">
            <w:pPr>
              <w:jc w:val="both"/>
              <w:rPr>
                <w:sz w:val="20"/>
              </w:rPr>
            </w:pPr>
            <w:r w:rsidRPr="00696588">
              <w:rPr>
                <w:sz w:val="20"/>
              </w:rPr>
              <w:t>The United States of America requests extradition of Mr. Patterson to stand trial in the State of Washington on charges of murder in the first degree with a deadly weapon sentence enhancement, robbery in the first degree with a deadly weapon sentence enhancement, and theft of a motor vehicle, in respect of the murder of Mr. Bergeson and the theft of Mr. Bergeson’s motor vehicle, identification documents and credit cards.</w:t>
            </w:r>
          </w:p>
          <w:p w:rsidR="00184899" w:rsidRPr="00696588" w:rsidRDefault="00184899" w:rsidP="00184899">
            <w:pPr>
              <w:jc w:val="both"/>
              <w:rPr>
                <w:sz w:val="20"/>
              </w:rPr>
            </w:pPr>
          </w:p>
        </w:tc>
      </w:tr>
      <w:tr w:rsidR="00184899" w:rsidRPr="00696588" w:rsidTr="00E95A6A">
        <w:tc>
          <w:tcPr>
            <w:tcW w:w="2427" w:type="pct"/>
            <w:gridSpan w:val="2"/>
          </w:tcPr>
          <w:p w:rsidR="00184899" w:rsidRPr="00696588" w:rsidRDefault="00184899" w:rsidP="00184899">
            <w:pPr>
              <w:jc w:val="both"/>
              <w:rPr>
                <w:sz w:val="20"/>
              </w:rPr>
            </w:pPr>
            <w:r w:rsidRPr="00696588">
              <w:rPr>
                <w:sz w:val="20"/>
              </w:rPr>
              <w:t>May 4, 2015</w:t>
            </w:r>
          </w:p>
          <w:p w:rsidR="00184899" w:rsidRPr="00696588" w:rsidRDefault="00184899" w:rsidP="00184899">
            <w:pPr>
              <w:jc w:val="both"/>
              <w:rPr>
                <w:sz w:val="20"/>
              </w:rPr>
            </w:pPr>
            <w:r w:rsidRPr="00696588">
              <w:rPr>
                <w:sz w:val="20"/>
              </w:rPr>
              <w:t>Supreme Court of British Columbia</w:t>
            </w:r>
          </w:p>
          <w:p w:rsidR="00184899" w:rsidRPr="00696588" w:rsidRDefault="00184899" w:rsidP="00184899">
            <w:pPr>
              <w:jc w:val="both"/>
              <w:rPr>
                <w:sz w:val="20"/>
              </w:rPr>
            </w:pPr>
            <w:r w:rsidRPr="00696588">
              <w:rPr>
                <w:sz w:val="20"/>
              </w:rPr>
              <w:t>(</w:t>
            </w:r>
            <w:proofErr w:type="spellStart"/>
            <w:r w:rsidRPr="00696588">
              <w:rPr>
                <w:sz w:val="20"/>
              </w:rPr>
              <w:t>Gerow</w:t>
            </w:r>
            <w:proofErr w:type="spellEnd"/>
            <w:r w:rsidRPr="00696588">
              <w:rPr>
                <w:sz w:val="20"/>
              </w:rPr>
              <w:t xml:space="preserve"> J.)</w:t>
            </w:r>
          </w:p>
          <w:p w:rsidR="00184899" w:rsidRPr="00696588" w:rsidRDefault="00184899" w:rsidP="00184899">
            <w:pPr>
              <w:jc w:val="both"/>
              <w:rPr>
                <w:sz w:val="20"/>
              </w:rPr>
            </w:pPr>
            <w:r w:rsidRPr="00696588">
              <w:rPr>
                <w:sz w:val="20"/>
              </w:rPr>
              <w:t>2015 BCSC 1018 (Unreported)</w:t>
            </w:r>
          </w:p>
          <w:p w:rsidR="00184899" w:rsidRPr="00696588" w:rsidRDefault="00184899" w:rsidP="00184899">
            <w:pPr>
              <w:jc w:val="both"/>
              <w:rPr>
                <w:sz w:val="20"/>
              </w:rPr>
            </w:pPr>
          </w:p>
        </w:tc>
        <w:tc>
          <w:tcPr>
            <w:tcW w:w="243" w:type="pct"/>
          </w:tcPr>
          <w:p w:rsidR="00184899" w:rsidRPr="00696588" w:rsidRDefault="00184899" w:rsidP="00184899">
            <w:pPr>
              <w:jc w:val="both"/>
              <w:rPr>
                <w:sz w:val="20"/>
              </w:rPr>
            </w:pPr>
          </w:p>
        </w:tc>
        <w:tc>
          <w:tcPr>
            <w:tcW w:w="2330" w:type="pct"/>
          </w:tcPr>
          <w:p w:rsidR="00184899" w:rsidRPr="00696588" w:rsidRDefault="00184899" w:rsidP="00184899">
            <w:pPr>
              <w:jc w:val="both"/>
              <w:rPr>
                <w:sz w:val="20"/>
              </w:rPr>
            </w:pPr>
            <w:r w:rsidRPr="00696588">
              <w:rPr>
                <w:sz w:val="20"/>
              </w:rPr>
              <w:t xml:space="preserve">Order for committal into custody to await surrender for extradition </w:t>
            </w:r>
          </w:p>
        </w:tc>
      </w:tr>
      <w:tr w:rsidR="00184899" w:rsidRPr="00696588" w:rsidTr="00E95A6A">
        <w:tc>
          <w:tcPr>
            <w:tcW w:w="2427" w:type="pct"/>
            <w:gridSpan w:val="2"/>
          </w:tcPr>
          <w:p w:rsidR="00184899" w:rsidRPr="00696588" w:rsidRDefault="00184899" w:rsidP="00184899">
            <w:pPr>
              <w:jc w:val="both"/>
              <w:rPr>
                <w:sz w:val="20"/>
              </w:rPr>
            </w:pPr>
            <w:r w:rsidRPr="00696588">
              <w:rPr>
                <w:sz w:val="20"/>
              </w:rPr>
              <w:t>October 17, 2015</w:t>
            </w:r>
          </w:p>
          <w:p w:rsidR="00184899" w:rsidRPr="00696588" w:rsidRDefault="00184899" w:rsidP="00184899">
            <w:pPr>
              <w:jc w:val="both"/>
              <w:rPr>
                <w:sz w:val="20"/>
              </w:rPr>
            </w:pPr>
            <w:r w:rsidRPr="00696588">
              <w:rPr>
                <w:sz w:val="20"/>
              </w:rPr>
              <w:t xml:space="preserve">Minister of Justice  </w:t>
            </w:r>
          </w:p>
          <w:p w:rsidR="00184899" w:rsidRPr="00696588" w:rsidRDefault="00184899" w:rsidP="00184899">
            <w:pPr>
              <w:jc w:val="both"/>
              <w:rPr>
                <w:sz w:val="20"/>
              </w:rPr>
            </w:pPr>
            <w:r w:rsidRPr="00696588">
              <w:rPr>
                <w:sz w:val="20"/>
              </w:rPr>
              <w:t>(Hon. P. McKay)</w:t>
            </w:r>
          </w:p>
          <w:p w:rsidR="00184899" w:rsidRPr="00696588" w:rsidRDefault="00184899" w:rsidP="00184899">
            <w:pPr>
              <w:jc w:val="both"/>
              <w:rPr>
                <w:sz w:val="20"/>
              </w:rPr>
            </w:pPr>
          </w:p>
        </w:tc>
        <w:tc>
          <w:tcPr>
            <w:tcW w:w="243" w:type="pct"/>
          </w:tcPr>
          <w:p w:rsidR="00184899" w:rsidRPr="00696588" w:rsidRDefault="00184899" w:rsidP="00184899">
            <w:pPr>
              <w:jc w:val="both"/>
              <w:rPr>
                <w:sz w:val="20"/>
              </w:rPr>
            </w:pPr>
          </w:p>
        </w:tc>
        <w:tc>
          <w:tcPr>
            <w:tcW w:w="2330" w:type="pct"/>
          </w:tcPr>
          <w:p w:rsidR="00184899" w:rsidRPr="00696588" w:rsidRDefault="00184899" w:rsidP="00184899">
            <w:pPr>
              <w:jc w:val="both"/>
              <w:rPr>
                <w:sz w:val="20"/>
              </w:rPr>
            </w:pPr>
            <w:r w:rsidRPr="00696588">
              <w:rPr>
                <w:sz w:val="20"/>
              </w:rPr>
              <w:t xml:space="preserve">Order to surrender </w:t>
            </w:r>
          </w:p>
        </w:tc>
      </w:tr>
      <w:tr w:rsidR="00184899" w:rsidRPr="00696588" w:rsidTr="00E95A6A">
        <w:tc>
          <w:tcPr>
            <w:tcW w:w="2427" w:type="pct"/>
            <w:gridSpan w:val="2"/>
          </w:tcPr>
          <w:p w:rsidR="00184899" w:rsidRPr="00696588" w:rsidRDefault="00184899" w:rsidP="00184899">
            <w:pPr>
              <w:jc w:val="both"/>
              <w:rPr>
                <w:sz w:val="20"/>
              </w:rPr>
            </w:pPr>
            <w:r w:rsidRPr="00696588">
              <w:rPr>
                <w:sz w:val="20"/>
              </w:rPr>
              <w:t>June 2, 2016</w:t>
            </w:r>
          </w:p>
          <w:p w:rsidR="00184899" w:rsidRPr="00696588" w:rsidRDefault="00184899" w:rsidP="00184899">
            <w:pPr>
              <w:jc w:val="both"/>
              <w:rPr>
                <w:sz w:val="20"/>
              </w:rPr>
            </w:pPr>
            <w:r w:rsidRPr="00696588">
              <w:rPr>
                <w:sz w:val="20"/>
              </w:rPr>
              <w:t xml:space="preserve">Minister of Justice  </w:t>
            </w:r>
          </w:p>
          <w:p w:rsidR="00184899" w:rsidRPr="00696588" w:rsidRDefault="00184899" w:rsidP="00184899">
            <w:pPr>
              <w:jc w:val="both"/>
              <w:rPr>
                <w:sz w:val="20"/>
              </w:rPr>
            </w:pPr>
            <w:r w:rsidRPr="00696588">
              <w:rPr>
                <w:sz w:val="20"/>
              </w:rPr>
              <w:t>(Hon. J. Wilson-</w:t>
            </w:r>
            <w:proofErr w:type="spellStart"/>
            <w:r w:rsidRPr="00696588">
              <w:rPr>
                <w:sz w:val="20"/>
              </w:rPr>
              <w:t>Raybould</w:t>
            </w:r>
            <w:proofErr w:type="spellEnd"/>
            <w:r w:rsidRPr="00696588">
              <w:rPr>
                <w:sz w:val="20"/>
              </w:rPr>
              <w:t>)</w:t>
            </w:r>
          </w:p>
          <w:p w:rsidR="00184899" w:rsidRPr="00696588" w:rsidRDefault="00184899" w:rsidP="00184899">
            <w:pPr>
              <w:jc w:val="both"/>
              <w:rPr>
                <w:sz w:val="20"/>
              </w:rPr>
            </w:pPr>
          </w:p>
        </w:tc>
        <w:tc>
          <w:tcPr>
            <w:tcW w:w="243" w:type="pct"/>
          </w:tcPr>
          <w:p w:rsidR="00184899" w:rsidRPr="00696588" w:rsidRDefault="00184899" w:rsidP="00184899">
            <w:pPr>
              <w:jc w:val="both"/>
              <w:rPr>
                <w:sz w:val="20"/>
              </w:rPr>
            </w:pPr>
          </w:p>
        </w:tc>
        <w:tc>
          <w:tcPr>
            <w:tcW w:w="2330" w:type="pct"/>
          </w:tcPr>
          <w:p w:rsidR="00184899" w:rsidRPr="00696588" w:rsidRDefault="00184899" w:rsidP="00184899">
            <w:pPr>
              <w:jc w:val="both"/>
              <w:rPr>
                <w:sz w:val="20"/>
              </w:rPr>
            </w:pPr>
            <w:r w:rsidRPr="00696588">
              <w:rPr>
                <w:sz w:val="20"/>
              </w:rPr>
              <w:t>Reconsideration of surrender order dismissed</w:t>
            </w:r>
          </w:p>
        </w:tc>
      </w:tr>
      <w:tr w:rsidR="00184899" w:rsidRPr="00696588" w:rsidTr="00E95A6A">
        <w:tc>
          <w:tcPr>
            <w:tcW w:w="2427" w:type="pct"/>
            <w:gridSpan w:val="2"/>
          </w:tcPr>
          <w:p w:rsidR="00184899" w:rsidRPr="00696588" w:rsidRDefault="00184899" w:rsidP="00184899">
            <w:pPr>
              <w:jc w:val="both"/>
              <w:rPr>
                <w:sz w:val="20"/>
              </w:rPr>
            </w:pPr>
            <w:r w:rsidRPr="00696588">
              <w:rPr>
                <w:sz w:val="20"/>
              </w:rPr>
              <w:t>February 3, 2017</w:t>
            </w:r>
          </w:p>
          <w:p w:rsidR="00184899" w:rsidRPr="00696588" w:rsidRDefault="00184899" w:rsidP="00184899">
            <w:pPr>
              <w:jc w:val="both"/>
              <w:rPr>
                <w:sz w:val="20"/>
              </w:rPr>
            </w:pPr>
            <w:r w:rsidRPr="00696588">
              <w:rPr>
                <w:sz w:val="20"/>
              </w:rPr>
              <w:t xml:space="preserve">Court of Appeal for British Columbia </w:t>
            </w:r>
          </w:p>
          <w:p w:rsidR="00184899" w:rsidRPr="00696588" w:rsidRDefault="00184899" w:rsidP="00184899">
            <w:pPr>
              <w:jc w:val="both"/>
              <w:rPr>
                <w:sz w:val="20"/>
              </w:rPr>
            </w:pPr>
            <w:r w:rsidRPr="00696588">
              <w:rPr>
                <w:sz w:val="20"/>
              </w:rPr>
              <w:t>(Vancouver)</w:t>
            </w:r>
          </w:p>
          <w:p w:rsidR="00184899" w:rsidRPr="00696588" w:rsidRDefault="00184899" w:rsidP="00184899">
            <w:pPr>
              <w:jc w:val="both"/>
              <w:rPr>
                <w:sz w:val="20"/>
              </w:rPr>
            </w:pPr>
            <w:r w:rsidRPr="00696588">
              <w:rPr>
                <w:sz w:val="20"/>
              </w:rPr>
              <w:t>(</w:t>
            </w:r>
            <w:proofErr w:type="spellStart"/>
            <w:r w:rsidRPr="00696588">
              <w:rPr>
                <w:sz w:val="20"/>
              </w:rPr>
              <w:t>Groberman</w:t>
            </w:r>
            <w:proofErr w:type="spellEnd"/>
            <w:r w:rsidRPr="00696588">
              <w:rPr>
                <w:sz w:val="20"/>
              </w:rPr>
              <w:t>, Mackenzie, Dickson JJ.A.)</w:t>
            </w:r>
          </w:p>
          <w:p w:rsidR="00184899" w:rsidRPr="00696588" w:rsidRDefault="00184899" w:rsidP="00184899">
            <w:pPr>
              <w:jc w:val="both"/>
              <w:rPr>
                <w:sz w:val="20"/>
              </w:rPr>
            </w:pPr>
            <w:r w:rsidRPr="00696588">
              <w:rPr>
                <w:sz w:val="20"/>
              </w:rPr>
              <w:t xml:space="preserve">CA42903; </w:t>
            </w:r>
            <w:hyperlink r:id="rId14" w:history="1">
              <w:r w:rsidRPr="00696588">
                <w:rPr>
                  <w:rStyle w:val="Hyperlink"/>
                  <w:sz w:val="20"/>
                </w:rPr>
                <w:t>2017 BCCA 52</w:t>
              </w:r>
            </w:hyperlink>
          </w:p>
          <w:p w:rsidR="00184899" w:rsidRPr="00696588" w:rsidRDefault="00184899" w:rsidP="00184899">
            <w:pPr>
              <w:jc w:val="both"/>
              <w:rPr>
                <w:sz w:val="20"/>
              </w:rPr>
            </w:pPr>
          </w:p>
        </w:tc>
        <w:tc>
          <w:tcPr>
            <w:tcW w:w="243" w:type="pct"/>
          </w:tcPr>
          <w:p w:rsidR="00184899" w:rsidRPr="00696588" w:rsidRDefault="00184899" w:rsidP="00184899">
            <w:pPr>
              <w:jc w:val="both"/>
              <w:rPr>
                <w:sz w:val="20"/>
              </w:rPr>
            </w:pPr>
          </w:p>
        </w:tc>
        <w:tc>
          <w:tcPr>
            <w:tcW w:w="2330" w:type="pct"/>
          </w:tcPr>
          <w:p w:rsidR="00184899" w:rsidRPr="00696588" w:rsidRDefault="00184899" w:rsidP="00184899">
            <w:pPr>
              <w:jc w:val="both"/>
              <w:rPr>
                <w:sz w:val="20"/>
              </w:rPr>
            </w:pPr>
            <w:r w:rsidRPr="00696588">
              <w:rPr>
                <w:sz w:val="20"/>
              </w:rPr>
              <w:t>Motion to adduce fresh evidence dismissed, Appeal from committal order and Application for judicial review dismissed</w:t>
            </w:r>
          </w:p>
        </w:tc>
      </w:tr>
      <w:tr w:rsidR="00184899" w:rsidRPr="00696588" w:rsidTr="00E95A6A">
        <w:tc>
          <w:tcPr>
            <w:tcW w:w="2427" w:type="pct"/>
            <w:gridSpan w:val="2"/>
          </w:tcPr>
          <w:p w:rsidR="00184899" w:rsidRPr="00696588" w:rsidRDefault="00184899" w:rsidP="00184899">
            <w:pPr>
              <w:jc w:val="both"/>
              <w:rPr>
                <w:sz w:val="20"/>
              </w:rPr>
            </w:pPr>
            <w:r w:rsidRPr="00696588">
              <w:rPr>
                <w:sz w:val="20"/>
              </w:rPr>
              <w:t>September 27, 2017</w:t>
            </w:r>
          </w:p>
          <w:p w:rsidR="00184899" w:rsidRPr="00696588" w:rsidRDefault="00184899" w:rsidP="00184899">
            <w:pPr>
              <w:jc w:val="both"/>
              <w:rPr>
                <w:sz w:val="20"/>
              </w:rPr>
            </w:pPr>
            <w:r w:rsidRPr="00696588">
              <w:rPr>
                <w:sz w:val="20"/>
              </w:rPr>
              <w:t>Supreme Court of Canada</w:t>
            </w:r>
          </w:p>
        </w:tc>
        <w:tc>
          <w:tcPr>
            <w:tcW w:w="243" w:type="pct"/>
          </w:tcPr>
          <w:p w:rsidR="00184899" w:rsidRPr="00696588" w:rsidRDefault="00184899" w:rsidP="00184899">
            <w:pPr>
              <w:jc w:val="both"/>
              <w:rPr>
                <w:sz w:val="20"/>
              </w:rPr>
            </w:pPr>
          </w:p>
        </w:tc>
        <w:tc>
          <w:tcPr>
            <w:tcW w:w="2330" w:type="pct"/>
          </w:tcPr>
          <w:p w:rsidR="00184899" w:rsidRPr="00696588" w:rsidRDefault="00184899" w:rsidP="00184899">
            <w:pPr>
              <w:jc w:val="both"/>
              <w:rPr>
                <w:sz w:val="20"/>
              </w:rPr>
            </w:pPr>
            <w:r w:rsidRPr="00696588">
              <w:rPr>
                <w:sz w:val="20"/>
              </w:rPr>
              <w:t>Motion for extension of time to serve and file application for leave to appeal and Application for leave to appeal filed</w:t>
            </w:r>
          </w:p>
        </w:tc>
      </w:tr>
    </w:tbl>
    <w:p w:rsidR="00184899" w:rsidRPr="00696588" w:rsidRDefault="00184899" w:rsidP="00184899">
      <w:pPr>
        <w:jc w:val="both"/>
        <w:rPr>
          <w:sz w:val="20"/>
        </w:rPr>
      </w:pPr>
    </w:p>
    <w:p w:rsidR="007B4013" w:rsidRPr="00696588" w:rsidRDefault="007B4013" w:rsidP="00184899">
      <w:pPr>
        <w:jc w:val="both"/>
        <w:rPr>
          <w:sz w:val="20"/>
        </w:rPr>
      </w:pPr>
      <w:r w:rsidRPr="00696588">
        <w:rPr>
          <w:sz w:val="20"/>
        </w:rPr>
        <w:pict>
          <v:rect id="_x0000_i1027" style="width:2in;height:1pt" o:hrpct="0" o:hralign="center" o:hrstd="t" o:hrnoshade="t" o:hr="t" fillcolor="black [3213]" stroked="f"/>
        </w:pict>
      </w:r>
    </w:p>
    <w:p w:rsidR="007B4013" w:rsidRPr="00696588" w:rsidRDefault="007B4013" w:rsidP="0018489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84899" w:rsidRPr="00696588" w:rsidTr="00E95A6A">
        <w:tc>
          <w:tcPr>
            <w:tcW w:w="543" w:type="pct"/>
          </w:tcPr>
          <w:p w:rsidR="00184899" w:rsidRPr="00696588" w:rsidRDefault="00184899" w:rsidP="00184899">
            <w:pPr>
              <w:jc w:val="both"/>
              <w:rPr>
                <w:sz w:val="20"/>
                <w:lang w:val="fr-CA"/>
              </w:rPr>
            </w:pPr>
            <w:r w:rsidRPr="00696588">
              <w:rPr>
                <w:rStyle w:val="SCCFileNumberChar"/>
                <w:sz w:val="20"/>
                <w:szCs w:val="20"/>
                <w:lang w:val="fr-CA"/>
              </w:rPr>
              <w:t>37469</w:t>
            </w:r>
          </w:p>
        </w:tc>
        <w:tc>
          <w:tcPr>
            <w:tcW w:w="4457" w:type="pct"/>
            <w:gridSpan w:val="3"/>
          </w:tcPr>
          <w:p w:rsidR="00184899" w:rsidRPr="00696588" w:rsidRDefault="00184899" w:rsidP="00184899">
            <w:pPr>
              <w:pStyle w:val="SCCLsocParty"/>
              <w:jc w:val="both"/>
              <w:rPr>
                <w:b/>
                <w:sz w:val="20"/>
                <w:szCs w:val="20"/>
              </w:rPr>
            </w:pPr>
            <w:r w:rsidRPr="00696588">
              <w:rPr>
                <w:b/>
                <w:sz w:val="20"/>
                <w:szCs w:val="20"/>
              </w:rPr>
              <w:t xml:space="preserve">Kevin David Patterson c. Canada (ministre de la </w:t>
            </w:r>
            <w:r w:rsidR="00C04A06">
              <w:rPr>
                <w:b/>
                <w:sz w:val="20"/>
                <w:szCs w:val="20"/>
              </w:rPr>
              <w:t>j</w:t>
            </w:r>
            <w:r w:rsidRPr="00696588">
              <w:rPr>
                <w:b/>
                <w:sz w:val="20"/>
                <w:szCs w:val="20"/>
              </w:rPr>
              <w:t>ustice), procureur général du Canada (au nom des États-Unis d’Amérique)</w:t>
            </w:r>
          </w:p>
          <w:p w:rsidR="00184899" w:rsidRPr="00696588" w:rsidRDefault="00184899" w:rsidP="00184899">
            <w:pPr>
              <w:jc w:val="both"/>
              <w:rPr>
                <w:sz w:val="20"/>
                <w:lang w:val="fr-CA"/>
              </w:rPr>
            </w:pPr>
            <w:r w:rsidRPr="00696588">
              <w:rPr>
                <w:sz w:val="20"/>
                <w:lang w:val="fr-CA"/>
              </w:rPr>
              <w:t>(C.-B.) (Criminelle) (Sur autorisation)</w:t>
            </w:r>
          </w:p>
        </w:tc>
      </w:tr>
      <w:tr w:rsidR="00184899" w:rsidRPr="00696588" w:rsidTr="00E95A6A">
        <w:tc>
          <w:tcPr>
            <w:tcW w:w="5000" w:type="pct"/>
            <w:gridSpan w:val="4"/>
          </w:tcPr>
          <w:p w:rsidR="00184899" w:rsidRPr="00696588" w:rsidRDefault="00184899" w:rsidP="00184899">
            <w:pPr>
              <w:jc w:val="both"/>
              <w:rPr>
                <w:sz w:val="20"/>
                <w:lang w:val="fr-CA"/>
              </w:rPr>
            </w:pPr>
            <w:r w:rsidRPr="00696588">
              <w:rPr>
                <w:sz w:val="20"/>
                <w:lang w:val="fr-CA"/>
              </w:rPr>
              <w:t>Extradition – Incarcération – Remise – Le demandeur soulève-t-il une question de droit? – La question revêt-elle de l’importance pour le public?</w:t>
            </w:r>
          </w:p>
          <w:p w:rsidR="00184899" w:rsidRPr="00696588" w:rsidRDefault="00184899" w:rsidP="00184899">
            <w:pPr>
              <w:jc w:val="both"/>
              <w:rPr>
                <w:sz w:val="20"/>
                <w:lang w:val="fr-CA"/>
              </w:rPr>
            </w:pPr>
          </w:p>
        </w:tc>
      </w:tr>
      <w:tr w:rsidR="00184899" w:rsidRPr="00696588" w:rsidTr="00E95A6A">
        <w:tc>
          <w:tcPr>
            <w:tcW w:w="5000" w:type="pct"/>
            <w:gridSpan w:val="4"/>
          </w:tcPr>
          <w:p w:rsidR="00184899" w:rsidRPr="00696588" w:rsidRDefault="00184899" w:rsidP="00184899">
            <w:pPr>
              <w:jc w:val="both"/>
              <w:rPr>
                <w:sz w:val="20"/>
                <w:lang w:val="fr-CA"/>
              </w:rPr>
            </w:pPr>
            <w:r w:rsidRPr="00696588">
              <w:rPr>
                <w:sz w:val="20"/>
                <w:lang w:val="fr-CA"/>
              </w:rPr>
              <w:t>Les États-Unis d’Amérique demandent l’extradition de M. Patterson afin qu’il subisse son procès dans l’État de Washington pour répondre à des accusations de meurtre au premier degré avec une peine plus lourde parce que commis avec une arme meurtrière, de vol qualifié au premier degré avec une peine plus lourde parce que commis avec une arme meurtrière et de vol d’un véhicule automobile en rapport avec le meurtre de M. Bergson et le vol du véhicule automobile, des pièces d’identité et des cartes de crédit de ce dernier.</w:t>
            </w:r>
          </w:p>
          <w:p w:rsidR="00184899" w:rsidRPr="00696588" w:rsidRDefault="00184899" w:rsidP="00184899">
            <w:pPr>
              <w:jc w:val="both"/>
              <w:rPr>
                <w:sz w:val="20"/>
                <w:lang w:val="fr-CA"/>
              </w:rPr>
            </w:pPr>
          </w:p>
        </w:tc>
      </w:tr>
      <w:tr w:rsidR="00184899" w:rsidRPr="00696588" w:rsidTr="00E95A6A">
        <w:tc>
          <w:tcPr>
            <w:tcW w:w="2427" w:type="pct"/>
            <w:gridSpan w:val="2"/>
          </w:tcPr>
          <w:p w:rsidR="00184899" w:rsidRPr="00696588" w:rsidRDefault="00184899" w:rsidP="00184899">
            <w:pPr>
              <w:jc w:val="both"/>
              <w:rPr>
                <w:sz w:val="20"/>
                <w:lang w:val="fr-CA"/>
              </w:rPr>
            </w:pPr>
            <w:r w:rsidRPr="00696588">
              <w:rPr>
                <w:sz w:val="20"/>
                <w:lang w:val="fr-CA"/>
              </w:rPr>
              <w:t>4 mai 2015</w:t>
            </w:r>
          </w:p>
          <w:p w:rsidR="00184899" w:rsidRPr="00696588" w:rsidRDefault="00184899" w:rsidP="00184899">
            <w:pPr>
              <w:jc w:val="both"/>
              <w:rPr>
                <w:sz w:val="20"/>
                <w:lang w:val="fr-CA"/>
              </w:rPr>
            </w:pPr>
            <w:r w:rsidRPr="00696588">
              <w:rPr>
                <w:sz w:val="20"/>
                <w:lang w:val="fr-CA"/>
              </w:rPr>
              <w:t>Cour suprême de la Colombie-Britannique</w:t>
            </w:r>
          </w:p>
          <w:p w:rsidR="00184899" w:rsidRPr="00696588" w:rsidRDefault="00184899" w:rsidP="00184899">
            <w:pPr>
              <w:jc w:val="both"/>
              <w:rPr>
                <w:sz w:val="20"/>
                <w:lang w:val="fr-CA"/>
              </w:rPr>
            </w:pPr>
            <w:r w:rsidRPr="00696588">
              <w:rPr>
                <w:sz w:val="20"/>
                <w:lang w:val="fr-CA"/>
              </w:rPr>
              <w:t>(Juge Gerow)</w:t>
            </w:r>
          </w:p>
          <w:p w:rsidR="00184899" w:rsidRPr="00696588" w:rsidRDefault="00184899" w:rsidP="00184899">
            <w:pPr>
              <w:jc w:val="both"/>
              <w:rPr>
                <w:sz w:val="20"/>
                <w:lang w:val="fr-CA"/>
              </w:rPr>
            </w:pPr>
            <w:r w:rsidRPr="00696588">
              <w:rPr>
                <w:sz w:val="20"/>
                <w:lang w:val="fr-CA"/>
              </w:rPr>
              <w:t>2015 BCSC 1018 (non publié)</w:t>
            </w:r>
          </w:p>
          <w:p w:rsidR="00184899" w:rsidRPr="00696588" w:rsidRDefault="00184899" w:rsidP="00184899">
            <w:pPr>
              <w:jc w:val="both"/>
              <w:rPr>
                <w:sz w:val="20"/>
                <w:lang w:val="fr-CA"/>
              </w:rPr>
            </w:pPr>
          </w:p>
        </w:tc>
        <w:tc>
          <w:tcPr>
            <w:tcW w:w="243" w:type="pct"/>
          </w:tcPr>
          <w:p w:rsidR="00184899" w:rsidRPr="00696588" w:rsidRDefault="00184899" w:rsidP="00184899">
            <w:pPr>
              <w:jc w:val="both"/>
              <w:rPr>
                <w:sz w:val="20"/>
                <w:lang w:val="fr-CA"/>
              </w:rPr>
            </w:pPr>
          </w:p>
        </w:tc>
        <w:tc>
          <w:tcPr>
            <w:tcW w:w="2330" w:type="pct"/>
          </w:tcPr>
          <w:p w:rsidR="00184899" w:rsidRPr="00696588" w:rsidRDefault="00184899" w:rsidP="00184899">
            <w:pPr>
              <w:jc w:val="both"/>
              <w:rPr>
                <w:sz w:val="20"/>
                <w:lang w:val="fr-CA"/>
              </w:rPr>
            </w:pPr>
            <w:r w:rsidRPr="00696588">
              <w:rPr>
                <w:sz w:val="20"/>
                <w:lang w:val="fr-CA"/>
              </w:rPr>
              <w:t xml:space="preserve">Ordonnance d’incarcération en attendant l’extradition </w:t>
            </w:r>
          </w:p>
        </w:tc>
      </w:tr>
      <w:tr w:rsidR="00184899" w:rsidRPr="00696588" w:rsidTr="00E95A6A">
        <w:tc>
          <w:tcPr>
            <w:tcW w:w="2427" w:type="pct"/>
            <w:gridSpan w:val="2"/>
          </w:tcPr>
          <w:p w:rsidR="00184899" w:rsidRPr="00696588" w:rsidRDefault="00184899" w:rsidP="00184899">
            <w:pPr>
              <w:jc w:val="both"/>
              <w:rPr>
                <w:sz w:val="20"/>
                <w:lang w:val="fr-CA"/>
              </w:rPr>
            </w:pPr>
            <w:r w:rsidRPr="00696588">
              <w:rPr>
                <w:sz w:val="20"/>
                <w:lang w:val="fr-CA"/>
              </w:rPr>
              <w:t>17 octobre 2015</w:t>
            </w:r>
          </w:p>
          <w:p w:rsidR="00184899" w:rsidRPr="00696588" w:rsidRDefault="00184899" w:rsidP="00184899">
            <w:pPr>
              <w:jc w:val="both"/>
              <w:rPr>
                <w:sz w:val="20"/>
                <w:lang w:val="fr-CA"/>
              </w:rPr>
            </w:pPr>
            <w:r w:rsidRPr="00696588">
              <w:rPr>
                <w:sz w:val="20"/>
                <w:lang w:val="fr-CA"/>
              </w:rPr>
              <w:t xml:space="preserve">Ministre de la Justice  </w:t>
            </w:r>
          </w:p>
          <w:p w:rsidR="00184899" w:rsidRPr="00696588" w:rsidRDefault="00184899" w:rsidP="00184899">
            <w:pPr>
              <w:jc w:val="both"/>
              <w:rPr>
                <w:sz w:val="20"/>
                <w:lang w:val="fr-CA"/>
              </w:rPr>
            </w:pPr>
            <w:r w:rsidRPr="00696588">
              <w:rPr>
                <w:sz w:val="20"/>
                <w:lang w:val="fr-CA"/>
              </w:rPr>
              <w:t>(L’hon. P. McKay)</w:t>
            </w:r>
          </w:p>
          <w:p w:rsidR="00184899" w:rsidRPr="00696588" w:rsidRDefault="00184899" w:rsidP="00184899">
            <w:pPr>
              <w:jc w:val="both"/>
              <w:rPr>
                <w:sz w:val="20"/>
                <w:lang w:val="fr-CA"/>
              </w:rPr>
            </w:pPr>
          </w:p>
        </w:tc>
        <w:tc>
          <w:tcPr>
            <w:tcW w:w="243" w:type="pct"/>
          </w:tcPr>
          <w:p w:rsidR="00184899" w:rsidRPr="00696588" w:rsidRDefault="00184899" w:rsidP="00184899">
            <w:pPr>
              <w:jc w:val="both"/>
              <w:rPr>
                <w:sz w:val="20"/>
                <w:lang w:val="fr-CA"/>
              </w:rPr>
            </w:pPr>
          </w:p>
        </w:tc>
        <w:tc>
          <w:tcPr>
            <w:tcW w:w="2330" w:type="pct"/>
          </w:tcPr>
          <w:p w:rsidR="00184899" w:rsidRPr="00696588" w:rsidRDefault="00184899" w:rsidP="00184899">
            <w:pPr>
              <w:jc w:val="both"/>
              <w:rPr>
                <w:sz w:val="20"/>
                <w:lang w:val="fr-CA"/>
              </w:rPr>
            </w:pPr>
            <w:r w:rsidRPr="00696588">
              <w:rPr>
                <w:sz w:val="20"/>
                <w:lang w:val="fr-CA"/>
              </w:rPr>
              <w:t xml:space="preserve">Arrêté d’extradition </w:t>
            </w:r>
          </w:p>
        </w:tc>
      </w:tr>
      <w:tr w:rsidR="00184899" w:rsidRPr="00696588" w:rsidTr="00E95A6A">
        <w:tc>
          <w:tcPr>
            <w:tcW w:w="2427" w:type="pct"/>
            <w:gridSpan w:val="2"/>
          </w:tcPr>
          <w:p w:rsidR="00184899" w:rsidRPr="00696588" w:rsidRDefault="00184899" w:rsidP="00184899">
            <w:pPr>
              <w:jc w:val="both"/>
              <w:rPr>
                <w:sz w:val="20"/>
                <w:lang w:val="fr-CA"/>
              </w:rPr>
            </w:pPr>
            <w:r w:rsidRPr="00696588">
              <w:rPr>
                <w:sz w:val="20"/>
                <w:lang w:val="fr-CA"/>
              </w:rPr>
              <w:t>2 juin 2016</w:t>
            </w:r>
          </w:p>
          <w:p w:rsidR="00184899" w:rsidRPr="00696588" w:rsidRDefault="00184899" w:rsidP="00184899">
            <w:pPr>
              <w:jc w:val="both"/>
              <w:rPr>
                <w:sz w:val="20"/>
                <w:lang w:val="fr-CA"/>
              </w:rPr>
            </w:pPr>
            <w:r w:rsidRPr="00696588">
              <w:rPr>
                <w:sz w:val="20"/>
                <w:lang w:val="fr-CA"/>
              </w:rPr>
              <w:t xml:space="preserve">Ministre Justice  </w:t>
            </w:r>
          </w:p>
          <w:p w:rsidR="00184899" w:rsidRPr="00696588" w:rsidRDefault="00184899" w:rsidP="00184899">
            <w:pPr>
              <w:jc w:val="both"/>
              <w:rPr>
                <w:sz w:val="20"/>
                <w:lang w:val="fr-CA"/>
              </w:rPr>
            </w:pPr>
            <w:r w:rsidRPr="00696588">
              <w:rPr>
                <w:sz w:val="20"/>
                <w:lang w:val="fr-CA"/>
              </w:rPr>
              <w:t>(L’hon. J. Wilson-Raybould)</w:t>
            </w:r>
          </w:p>
          <w:p w:rsidR="00184899" w:rsidRPr="00696588" w:rsidRDefault="00184899" w:rsidP="00184899">
            <w:pPr>
              <w:jc w:val="both"/>
              <w:rPr>
                <w:sz w:val="20"/>
                <w:lang w:val="fr-CA"/>
              </w:rPr>
            </w:pPr>
          </w:p>
        </w:tc>
        <w:tc>
          <w:tcPr>
            <w:tcW w:w="243" w:type="pct"/>
          </w:tcPr>
          <w:p w:rsidR="00184899" w:rsidRPr="00696588" w:rsidRDefault="00184899" w:rsidP="00184899">
            <w:pPr>
              <w:jc w:val="both"/>
              <w:rPr>
                <w:sz w:val="20"/>
                <w:lang w:val="fr-CA"/>
              </w:rPr>
            </w:pPr>
          </w:p>
        </w:tc>
        <w:tc>
          <w:tcPr>
            <w:tcW w:w="2330" w:type="pct"/>
          </w:tcPr>
          <w:p w:rsidR="00184899" w:rsidRPr="00696588" w:rsidRDefault="00184899" w:rsidP="00184899">
            <w:pPr>
              <w:jc w:val="both"/>
              <w:rPr>
                <w:sz w:val="20"/>
                <w:lang w:val="fr-CA"/>
              </w:rPr>
            </w:pPr>
            <w:r w:rsidRPr="00696588">
              <w:rPr>
                <w:sz w:val="20"/>
                <w:lang w:val="fr-CA"/>
              </w:rPr>
              <w:t>Rejet de la demande de réexamen de l’arrêté d’extradition</w:t>
            </w:r>
          </w:p>
        </w:tc>
      </w:tr>
      <w:tr w:rsidR="00184899" w:rsidRPr="00696588" w:rsidTr="00E95A6A">
        <w:tc>
          <w:tcPr>
            <w:tcW w:w="2427" w:type="pct"/>
            <w:gridSpan w:val="2"/>
          </w:tcPr>
          <w:p w:rsidR="00184899" w:rsidRPr="00696588" w:rsidRDefault="00184899" w:rsidP="00184899">
            <w:pPr>
              <w:jc w:val="both"/>
              <w:rPr>
                <w:sz w:val="20"/>
                <w:lang w:val="fr-CA"/>
              </w:rPr>
            </w:pPr>
            <w:r w:rsidRPr="00696588">
              <w:rPr>
                <w:sz w:val="20"/>
                <w:lang w:val="fr-CA"/>
              </w:rPr>
              <w:t>3 février 2017</w:t>
            </w:r>
          </w:p>
          <w:p w:rsidR="00184899" w:rsidRPr="00696588" w:rsidRDefault="00184899" w:rsidP="00184899">
            <w:pPr>
              <w:jc w:val="both"/>
              <w:rPr>
                <w:sz w:val="20"/>
                <w:lang w:val="fr-CA"/>
              </w:rPr>
            </w:pPr>
            <w:r w:rsidRPr="00696588">
              <w:rPr>
                <w:sz w:val="20"/>
                <w:lang w:val="fr-CA"/>
              </w:rPr>
              <w:t>Cour d’appel de la Colombie-Britannique</w:t>
            </w:r>
          </w:p>
          <w:p w:rsidR="00184899" w:rsidRPr="00696588" w:rsidRDefault="00184899" w:rsidP="00184899">
            <w:pPr>
              <w:jc w:val="both"/>
              <w:rPr>
                <w:sz w:val="20"/>
                <w:lang w:val="fr-CA"/>
              </w:rPr>
            </w:pPr>
            <w:r w:rsidRPr="00696588">
              <w:rPr>
                <w:sz w:val="20"/>
                <w:lang w:val="fr-CA"/>
              </w:rPr>
              <w:t>(Vancouver)</w:t>
            </w:r>
          </w:p>
          <w:p w:rsidR="00184899" w:rsidRPr="00696588" w:rsidRDefault="00184899" w:rsidP="00184899">
            <w:pPr>
              <w:jc w:val="both"/>
              <w:rPr>
                <w:sz w:val="20"/>
                <w:lang w:val="fr-CA"/>
              </w:rPr>
            </w:pPr>
            <w:r w:rsidRPr="00696588">
              <w:rPr>
                <w:sz w:val="20"/>
                <w:lang w:val="fr-CA"/>
              </w:rPr>
              <w:t>(Juges Groberman, Mackenzie et Dickson)</w:t>
            </w:r>
          </w:p>
          <w:p w:rsidR="00184899" w:rsidRPr="00696588" w:rsidRDefault="00184899" w:rsidP="00184899">
            <w:pPr>
              <w:jc w:val="both"/>
              <w:rPr>
                <w:sz w:val="20"/>
                <w:lang w:val="fr-CA"/>
              </w:rPr>
            </w:pPr>
            <w:r w:rsidRPr="00696588">
              <w:rPr>
                <w:sz w:val="20"/>
                <w:lang w:val="fr-CA"/>
              </w:rPr>
              <w:t xml:space="preserve">CA42903; </w:t>
            </w:r>
            <w:hyperlink r:id="rId15" w:history="1">
              <w:r w:rsidRPr="00696588">
                <w:rPr>
                  <w:rStyle w:val="Hyperlink"/>
                  <w:sz w:val="20"/>
                  <w:lang w:val="fr-CA"/>
                </w:rPr>
                <w:t>2017 BCCA 52</w:t>
              </w:r>
            </w:hyperlink>
          </w:p>
          <w:p w:rsidR="00184899" w:rsidRPr="00696588" w:rsidRDefault="00184899" w:rsidP="00184899">
            <w:pPr>
              <w:jc w:val="both"/>
              <w:rPr>
                <w:sz w:val="20"/>
                <w:lang w:val="fr-CA"/>
              </w:rPr>
            </w:pPr>
          </w:p>
        </w:tc>
        <w:tc>
          <w:tcPr>
            <w:tcW w:w="243" w:type="pct"/>
          </w:tcPr>
          <w:p w:rsidR="00184899" w:rsidRPr="00696588" w:rsidRDefault="00184899" w:rsidP="00184899">
            <w:pPr>
              <w:jc w:val="both"/>
              <w:rPr>
                <w:sz w:val="20"/>
                <w:lang w:val="fr-CA"/>
              </w:rPr>
            </w:pPr>
          </w:p>
        </w:tc>
        <w:tc>
          <w:tcPr>
            <w:tcW w:w="2330" w:type="pct"/>
          </w:tcPr>
          <w:p w:rsidR="00184899" w:rsidRPr="00696588" w:rsidRDefault="00184899" w:rsidP="00184899">
            <w:pPr>
              <w:jc w:val="both"/>
              <w:rPr>
                <w:sz w:val="20"/>
                <w:lang w:val="fr-CA"/>
              </w:rPr>
            </w:pPr>
            <w:r w:rsidRPr="00696588">
              <w:rPr>
                <w:sz w:val="20"/>
                <w:lang w:val="fr-CA"/>
              </w:rPr>
              <w:t>Rejet de la requête en vue de produire de nouveaux éléments de preuve; rejet de l’appel de l’ordonnance d’incarcération et de la demande de contrôle judiciaire</w:t>
            </w:r>
          </w:p>
        </w:tc>
      </w:tr>
      <w:tr w:rsidR="00184899" w:rsidRPr="00696588" w:rsidTr="00E95A6A">
        <w:tc>
          <w:tcPr>
            <w:tcW w:w="2427" w:type="pct"/>
            <w:gridSpan w:val="2"/>
          </w:tcPr>
          <w:p w:rsidR="00184899" w:rsidRPr="00696588" w:rsidRDefault="00184899" w:rsidP="00184899">
            <w:pPr>
              <w:jc w:val="both"/>
              <w:rPr>
                <w:sz w:val="20"/>
                <w:lang w:val="fr-CA"/>
              </w:rPr>
            </w:pPr>
            <w:r w:rsidRPr="00696588">
              <w:rPr>
                <w:sz w:val="20"/>
                <w:lang w:val="fr-CA"/>
              </w:rPr>
              <w:t>27 septembre 2017</w:t>
            </w:r>
          </w:p>
          <w:p w:rsidR="00184899" w:rsidRPr="00696588" w:rsidRDefault="00184899" w:rsidP="00184899">
            <w:pPr>
              <w:jc w:val="both"/>
              <w:rPr>
                <w:sz w:val="20"/>
                <w:lang w:val="fr-CA"/>
              </w:rPr>
            </w:pPr>
            <w:r w:rsidRPr="00696588">
              <w:rPr>
                <w:sz w:val="20"/>
                <w:lang w:val="fr-CA"/>
              </w:rPr>
              <w:t>Cour suprême du Canada</w:t>
            </w:r>
          </w:p>
        </w:tc>
        <w:tc>
          <w:tcPr>
            <w:tcW w:w="243" w:type="pct"/>
          </w:tcPr>
          <w:p w:rsidR="00184899" w:rsidRPr="00696588" w:rsidRDefault="00184899" w:rsidP="00184899">
            <w:pPr>
              <w:jc w:val="both"/>
              <w:rPr>
                <w:sz w:val="20"/>
                <w:lang w:val="fr-CA"/>
              </w:rPr>
            </w:pPr>
          </w:p>
        </w:tc>
        <w:tc>
          <w:tcPr>
            <w:tcW w:w="2330" w:type="pct"/>
          </w:tcPr>
          <w:p w:rsidR="00184899" w:rsidRPr="00696588" w:rsidRDefault="00184899" w:rsidP="00184899">
            <w:pPr>
              <w:jc w:val="both"/>
              <w:rPr>
                <w:sz w:val="20"/>
                <w:lang w:val="fr-CA"/>
              </w:rPr>
            </w:pPr>
            <w:r w:rsidRPr="00696588">
              <w:rPr>
                <w:sz w:val="20"/>
                <w:lang w:val="fr-CA"/>
              </w:rPr>
              <w:t>Dépôt de la requête en prorogation du délai de signification et de dépôt de la demande d’autorisation d’appel et de la demande d’autorisation d’appel</w:t>
            </w:r>
          </w:p>
        </w:tc>
      </w:tr>
    </w:tbl>
    <w:p w:rsidR="00184899" w:rsidRPr="00696588" w:rsidRDefault="00184899" w:rsidP="00184899">
      <w:pPr>
        <w:jc w:val="both"/>
        <w:rPr>
          <w:sz w:val="20"/>
          <w:lang w:val="fr-CA"/>
        </w:rPr>
      </w:pPr>
    </w:p>
    <w:p w:rsidR="00602309" w:rsidRPr="00696588" w:rsidRDefault="007B4013" w:rsidP="00184899">
      <w:pPr>
        <w:ind w:left="142" w:hanging="142"/>
        <w:jc w:val="both"/>
        <w:rPr>
          <w:sz w:val="20"/>
          <w:lang w:val="fr-CA"/>
        </w:rPr>
      </w:pPr>
      <w:r w:rsidRPr="00696588">
        <w:rPr>
          <w:sz w:val="20"/>
        </w:rPr>
        <w:pict>
          <v:rect id="_x0000_i1028" style="width:2in;height:1pt" o:hrpct="0" o:hralign="center" o:hrstd="t" o:hrnoshade="t" o:hr="t" fillcolor="black [3213]" stroked="f"/>
        </w:pict>
      </w:r>
    </w:p>
    <w:p w:rsidR="007B4013" w:rsidRPr="00696588" w:rsidRDefault="007B4013" w:rsidP="00184899">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84899" w:rsidRPr="00696588" w:rsidTr="00E95A6A">
        <w:tc>
          <w:tcPr>
            <w:tcW w:w="543" w:type="pct"/>
          </w:tcPr>
          <w:p w:rsidR="00184899" w:rsidRPr="00696588" w:rsidRDefault="00184899" w:rsidP="00184899">
            <w:pPr>
              <w:jc w:val="both"/>
              <w:rPr>
                <w:sz w:val="20"/>
              </w:rPr>
            </w:pPr>
            <w:r w:rsidRPr="00696588">
              <w:rPr>
                <w:rStyle w:val="SCCFileNumberChar"/>
                <w:sz w:val="20"/>
                <w:szCs w:val="20"/>
              </w:rPr>
              <w:t>38578</w:t>
            </w:r>
          </w:p>
        </w:tc>
        <w:tc>
          <w:tcPr>
            <w:tcW w:w="4457" w:type="pct"/>
            <w:gridSpan w:val="3"/>
          </w:tcPr>
          <w:p w:rsidR="00184899" w:rsidRPr="00696588" w:rsidRDefault="00184899" w:rsidP="00184899">
            <w:pPr>
              <w:pStyle w:val="SCCLsocParty"/>
              <w:jc w:val="both"/>
              <w:rPr>
                <w:b/>
                <w:sz w:val="20"/>
                <w:szCs w:val="20"/>
                <w:lang w:val="en-US"/>
              </w:rPr>
            </w:pPr>
            <w:r w:rsidRPr="00696588">
              <w:rPr>
                <w:b/>
                <w:sz w:val="20"/>
                <w:szCs w:val="20"/>
                <w:lang w:val="en-US"/>
              </w:rPr>
              <w:t>Madison Pacific Properties Inc., MP Western Properties Inc., 1073774 Properties Inc. v. Her Majesty the Queen</w:t>
            </w:r>
          </w:p>
          <w:p w:rsidR="00184899" w:rsidRPr="00696588" w:rsidRDefault="00184899" w:rsidP="00184899">
            <w:pPr>
              <w:jc w:val="both"/>
              <w:rPr>
                <w:sz w:val="20"/>
              </w:rPr>
            </w:pPr>
            <w:r w:rsidRPr="00696588">
              <w:rPr>
                <w:sz w:val="20"/>
              </w:rPr>
              <w:t>(F</w:t>
            </w:r>
            <w:r w:rsidR="007B4013" w:rsidRPr="00696588">
              <w:rPr>
                <w:sz w:val="20"/>
              </w:rPr>
              <w:t>.</w:t>
            </w:r>
            <w:r w:rsidRPr="00696588">
              <w:rPr>
                <w:sz w:val="20"/>
              </w:rPr>
              <w:t>C</w:t>
            </w:r>
            <w:r w:rsidR="007B4013" w:rsidRPr="00696588">
              <w:rPr>
                <w:sz w:val="20"/>
              </w:rPr>
              <w:t>.</w:t>
            </w:r>
            <w:r w:rsidRPr="00696588">
              <w:rPr>
                <w:sz w:val="20"/>
              </w:rPr>
              <w:t>) (Civil) (By Leave)</w:t>
            </w:r>
          </w:p>
        </w:tc>
      </w:tr>
      <w:tr w:rsidR="00184899" w:rsidRPr="00696588" w:rsidTr="00E95A6A">
        <w:tc>
          <w:tcPr>
            <w:tcW w:w="5000" w:type="pct"/>
            <w:gridSpan w:val="4"/>
          </w:tcPr>
          <w:p w:rsidR="00184899" w:rsidRPr="00696588" w:rsidRDefault="00184899" w:rsidP="00184899">
            <w:pPr>
              <w:jc w:val="both"/>
              <w:rPr>
                <w:sz w:val="20"/>
              </w:rPr>
            </w:pPr>
            <w:r w:rsidRPr="00696588">
              <w:rPr>
                <w:sz w:val="20"/>
              </w:rPr>
              <w:t>Taxation — Income tax — Assessment — Appeals — Production of documents — Extrinsic aids or authorities — Internal interdepartmental correspondence — Whether taxpayers are entitled, in litigation, to compel production of a tax authority’s documented and expressed views as to the proper interpretation and underlying legislative policy of legislative provisions (other than documents that are solicitor</w:t>
            </w:r>
            <w:r w:rsidRPr="00696588">
              <w:rPr>
                <w:sz w:val="20"/>
              </w:rPr>
              <w:noBreakHyphen/>
              <w:t>client privileged).</w:t>
            </w:r>
          </w:p>
        </w:tc>
      </w:tr>
      <w:tr w:rsidR="00184899" w:rsidRPr="00696588" w:rsidTr="00E95A6A">
        <w:tc>
          <w:tcPr>
            <w:tcW w:w="5000" w:type="pct"/>
            <w:gridSpan w:val="4"/>
          </w:tcPr>
          <w:p w:rsidR="00184899" w:rsidRPr="00696588" w:rsidRDefault="00184899" w:rsidP="00184899">
            <w:pPr>
              <w:jc w:val="both"/>
              <w:rPr>
                <w:sz w:val="20"/>
              </w:rPr>
            </w:pPr>
          </w:p>
        </w:tc>
      </w:tr>
      <w:tr w:rsidR="00184899" w:rsidRPr="00696588" w:rsidTr="00E95A6A">
        <w:tc>
          <w:tcPr>
            <w:tcW w:w="5000" w:type="pct"/>
            <w:gridSpan w:val="4"/>
          </w:tcPr>
          <w:p w:rsidR="00184899" w:rsidRPr="00696588" w:rsidRDefault="00184899" w:rsidP="00184899">
            <w:pPr>
              <w:jc w:val="both"/>
              <w:rPr>
                <w:sz w:val="20"/>
              </w:rPr>
            </w:pPr>
            <w:r w:rsidRPr="00696588">
              <w:rPr>
                <w:sz w:val="20"/>
              </w:rPr>
              <w:t>The applicants are part of the same corporate group. In filing their income tax returns for certain years, they applied the non</w:t>
            </w:r>
            <w:r w:rsidRPr="00696588">
              <w:rPr>
                <w:sz w:val="20"/>
              </w:rPr>
              <w:noBreakHyphen/>
              <w:t>capital losses, net capital losses, scientific research and experimental development expenses and or/investment tax credits (“tax attributes”) they had acquired from two insolvent, publicly</w:t>
            </w:r>
            <w:r w:rsidRPr="00696588">
              <w:rPr>
                <w:sz w:val="20"/>
              </w:rPr>
              <w:noBreakHyphen/>
              <w:t>traded corporations, to shelter income derived from their profitable real estate businesses. The Minister reassessed each of the applicants and denied them the credits and losses they claimed in respect of the tax attributes. The Minister also prevented them from claiming them for future years. In the course of their appeals of the reassessments to the Tax Court, the applicants brought motions before the Tax Court to compel production of, among other things, certain correspondence between the CRA and the Department of Finance from years 2001 through 2012 relating to the legislative scheme dealing with tax losses. The Tax Court refused the applicants’ request. In its view, the documents were not relevant and the request was a fishing expedition “of vague and far</w:t>
            </w:r>
            <w:r w:rsidRPr="00696588">
              <w:rPr>
                <w:sz w:val="20"/>
              </w:rPr>
              <w:noBreakHyphen/>
              <w:t>reaching scope”, “overly broad” and an “onerous task to satisfy”. The Federal Court of Appeal dismissed the appeal.</w:t>
            </w:r>
          </w:p>
          <w:p w:rsidR="00184899" w:rsidRPr="00696588" w:rsidRDefault="00184899" w:rsidP="00184899">
            <w:pPr>
              <w:jc w:val="both"/>
              <w:rPr>
                <w:sz w:val="20"/>
              </w:rPr>
            </w:pPr>
          </w:p>
        </w:tc>
      </w:tr>
      <w:tr w:rsidR="00184899" w:rsidRPr="00696588" w:rsidTr="00E95A6A">
        <w:tc>
          <w:tcPr>
            <w:tcW w:w="2427" w:type="pct"/>
            <w:gridSpan w:val="2"/>
          </w:tcPr>
          <w:p w:rsidR="00184899" w:rsidRPr="00696588" w:rsidRDefault="00184899" w:rsidP="00184899">
            <w:pPr>
              <w:jc w:val="both"/>
              <w:rPr>
                <w:sz w:val="20"/>
              </w:rPr>
            </w:pPr>
            <w:r w:rsidRPr="00696588">
              <w:rPr>
                <w:sz w:val="20"/>
              </w:rPr>
              <w:t>May 18, 2017</w:t>
            </w:r>
          </w:p>
          <w:p w:rsidR="00184899" w:rsidRPr="00696588" w:rsidRDefault="00184899" w:rsidP="00184899">
            <w:pPr>
              <w:jc w:val="both"/>
              <w:rPr>
                <w:sz w:val="20"/>
              </w:rPr>
            </w:pPr>
            <w:r w:rsidRPr="00696588">
              <w:rPr>
                <w:sz w:val="20"/>
              </w:rPr>
              <w:t>Tax Court of Canada</w:t>
            </w:r>
          </w:p>
          <w:p w:rsidR="00184899" w:rsidRPr="00696588" w:rsidRDefault="00184899" w:rsidP="00184899">
            <w:pPr>
              <w:jc w:val="both"/>
              <w:rPr>
                <w:sz w:val="20"/>
              </w:rPr>
            </w:pPr>
            <w:r w:rsidRPr="00696588">
              <w:rPr>
                <w:sz w:val="20"/>
              </w:rPr>
              <w:t>(Miller J.)</w:t>
            </w:r>
          </w:p>
          <w:p w:rsidR="00184899" w:rsidRPr="00696588" w:rsidRDefault="00184899" w:rsidP="00184899">
            <w:pPr>
              <w:jc w:val="both"/>
              <w:rPr>
                <w:sz w:val="20"/>
              </w:rPr>
            </w:pPr>
            <w:hyperlink r:id="rId16" w:history="1">
              <w:r w:rsidRPr="00696588">
                <w:rPr>
                  <w:rStyle w:val="Hyperlink"/>
                  <w:sz w:val="20"/>
                </w:rPr>
                <w:t>2017 TCC 82</w:t>
              </w:r>
            </w:hyperlink>
          </w:p>
          <w:p w:rsidR="00184899" w:rsidRPr="00696588" w:rsidRDefault="00184899" w:rsidP="00184899">
            <w:pPr>
              <w:jc w:val="both"/>
              <w:rPr>
                <w:sz w:val="20"/>
              </w:rPr>
            </w:pPr>
          </w:p>
        </w:tc>
        <w:tc>
          <w:tcPr>
            <w:tcW w:w="243" w:type="pct"/>
          </w:tcPr>
          <w:p w:rsidR="00184899" w:rsidRPr="00696588" w:rsidRDefault="00184899" w:rsidP="00184899">
            <w:pPr>
              <w:jc w:val="both"/>
              <w:rPr>
                <w:sz w:val="20"/>
              </w:rPr>
            </w:pPr>
          </w:p>
        </w:tc>
        <w:tc>
          <w:tcPr>
            <w:tcW w:w="2330" w:type="pct"/>
          </w:tcPr>
          <w:p w:rsidR="00184899" w:rsidRPr="00696588" w:rsidRDefault="00184899" w:rsidP="00184899">
            <w:pPr>
              <w:jc w:val="both"/>
              <w:rPr>
                <w:sz w:val="20"/>
              </w:rPr>
            </w:pPr>
            <w:r w:rsidRPr="00696588">
              <w:rPr>
                <w:sz w:val="20"/>
              </w:rPr>
              <w:t xml:space="preserve">Motion to compel production of documents allowed in part </w:t>
            </w:r>
          </w:p>
        </w:tc>
      </w:tr>
      <w:tr w:rsidR="00184899" w:rsidRPr="00696588" w:rsidTr="00E95A6A">
        <w:tc>
          <w:tcPr>
            <w:tcW w:w="2427" w:type="pct"/>
            <w:gridSpan w:val="2"/>
          </w:tcPr>
          <w:p w:rsidR="00184899" w:rsidRPr="00696588" w:rsidRDefault="00184899" w:rsidP="00184899">
            <w:pPr>
              <w:jc w:val="both"/>
              <w:rPr>
                <w:sz w:val="20"/>
              </w:rPr>
            </w:pPr>
            <w:r w:rsidRPr="00696588">
              <w:rPr>
                <w:sz w:val="20"/>
              </w:rPr>
              <w:t>January 30, 2019</w:t>
            </w:r>
          </w:p>
          <w:p w:rsidR="00184899" w:rsidRPr="00696588" w:rsidRDefault="00184899" w:rsidP="00184899">
            <w:pPr>
              <w:jc w:val="both"/>
              <w:rPr>
                <w:sz w:val="20"/>
              </w:rPr>
            </w:pPr>
            <w:r w:rsidRPr="00696588">
              <w:rPr>
                <w:sz w:val="20"/>
              </w:rPr>
              <w:t>Federal Court of Appeal</w:t>
            </w:r>
          </w:p>
          <w:p w:rsidR="00184899" w:rsidRPr="00696588" w:rsidRDefault="00184899" w:rsidP="00184899">
            <w:pPr>
              <w:jc w:val="both"/>
              <w:rPr>
                <w:sz w:val="20"/>
              </w:rPr>
            </w:pPr>
            <w:r w:rsidRPr="00696588">
              <w:rPr>
                <w:sz w:val="20"/>
              </w:rPr>
              <w:t>(Pelletier, de Montigny and Gleason JJ.A.)</w:t>
            </w:r>
          </w:p>
          <w:p w:rsidR="00184899" w:rsidRPr="00696588" w:rsidRDefault="00184899" w:rsidP="00184899">
            <w:pPr>
              <w:jc w:val="both"/>
              <w:rPr>
                <w:sz w:val="20"/>
              </w:rPr>
            </w:pPr>
            <w:hyperlink r:id="rId17" w:history="1">
              <w:r w:rsidRPr="00696588">
                <w:rPr>
                  <w:rStyle w:val="Hyperlink"/>
                  <w:sz w:val="20"/>
                </w:rPr>
                <w:t>2019 FCA 19</w:t>
              </w:r>
            </w:hyperlink>
          </w:p>
          <w:p w:rsidR="00184899" w:rsidRPr="00696588" w:rsidRDefault="00184899" w:rsidP="00184899">
            <w:pPr>
              <w:jc w:val="both"/>
              <w:rPr>
                <w:sz w:val="20"/>
              </w:rPr>
            </w:pPr>
          </w:p>
        </w:tc>
        <w:tc>
          <w:tcPr>
            <w:tcW w:w="243" w:type="pct"/>
          </w:tcPr>
          <w:p w:rsidR="00184899" w:rsidRPr="00696588" w:rsidRDefault="00184899" w:rsidP="00184899">
            <w:pPr>
              <w:jc w:val="both"/>
              <w:rPr>
                <w:sz w:val="20"/>
              </w:rPr>
            </w:pPr>
          </w:p>
        </w:tc>
        <w:tc>
          <w:tcPr>
            <w:tcW w:w="2330" w:type="pct"/>
          </w:tcPr>
          <w:p w:rsidR="00184899" w:rsidRPr="00696588" w:rsidRDefault="00184899" w:rsidP="00184899">
            <w:pPr>
              <w:jc w:val="both"/>
              <w:rPr>
                <w:sz w:val="20"/>
              </w:rPr>
            </w:pPr>
            <w:r w:rsidRPr="00696588">
              <w:rPr>
                <w:sz w:val="20"/>
              </w:rPr>
              <w:t>Appeals dismissed</w:t>
            </w:r>
          </w:p>
          <w:p w:rsidR="00184899" w:rsidRPr="00696588" w:rsidRDefault="00184899" w:rsidP="00184899">
            <w:pPr>
              <w:jc w:val="both"/>
              <w:rPr>
                <w:sz w:val="20"/>
              </w:rPr>
            </w:pPr>
          </w:p>
        </w:tc>
      </w:tr>
      <w:tr w:rsidR="00184899" w:rsidRPr="00696588" w:rsidTr="00E95A6A">
        <w:tc>
          <w:tcPr>
            <w:tcW w:w="2427" w:type="pct"/>
            <w:gridSpan w:val="2"/>
          </w:tcPr>
          <w:p w:rsidR="00184899" w:rsidRPr="00696588" w:rsidRDefault="00184899" w:rsidP="00184899">
            <w:pPr>
              <w:jc w:val="both"/>
              <w:rPr>
                <w:sz w:val="20"/>
              </w:rPr>
            </w:pPr>
            <w:r w:rsidRPr="00696588">
              <w:rPr>
                <w:sz w:val="20"/>
              </w:rPr>
              <w:t>March 29, 2019</w:t>
            </w:r>
          </w:p>
          <w:p w:rsidR="00184899" w:rsidRPr="00696588" w:rsidRDefault="00184899" w:rsidP="00184899">
            <w:pPr>
              <w:jc w:val="both"/>
              <w:rPr>
                <w:sz w:val="20"/>
              </w:rPr>
            </w:pPr>
            <w:r w:rsidRPr="00696588">
              <w:rPr>
                <w:sz w:val="20"/>
              </w:rPr>
              <w:t>Supreme Court of Canada</w:t>
            </w:r>
          </w:p>
        </w:tc>
        <w:tc>
          <w:tcPr>
            <w:tcW w:w="243" w:type="pct"/>
          </w:tcPr>
          <w:p w:rsidR="00184899" w:rsidRPr="00696588" w:rsidRDefault="00184899" w:rsidP="00184899">
            <w:pPr>
              <w:jc w:val="both"/>
              <w:rPr>
                <w:sz w:val="20"/>
              </w:rPr>
            </w:pPr>
          </w:p>
        </w:tc>
        <w:tc>
          <w:tcPr>
            <w:tcW w:w="2330" w:type="pct"/>
          </w:tcPr>
          <w:p w:rsidR="00184899" w:rsidRPr="00696588" w:rsidRDefault="00184899" w:rsidP="00184899">
            <w:pPr>
              <w:jc w:val="both"/>
              <w:rPr>
                <w:sz w:val="20"/>
              </w:rPr>
            </w:pPr>
            <w:r w:rsidRPr="00696588">
              <w:rPr>
                <w:sz w:val="20"/>
              </w:rPr>
              <w:t>Motion to join and application for leave to appeal filed</w:t>
            </w:r>
          </w:p>
        </w:tc>
      </w:tr>
    </w:tbl>
    <w:p w:rsidR="00184899" w:rsidRPr="00696588" w:rsidRDefault="00184899" w:rsidP="00184899">
      <w:pPr>
        <w:jc w:val="both"/>
        <w:rPr>
          <w:sz w:val="20"/>
        </w:rPr>
      </w:pPr>
    </w:p>
    <w:p w:rsidR="007B4013" w:rsidRPr="00696588" w:rsidRDefault="007B4013" w:rsidP="00184899">
      <w:pPr>
        <w:jc w:val="both"/>
        <w:rPr>
          <w:sz w:val="20"/>
        </w:rPr>
      </w:pPr>
      <w:r w:rsidRPr="00696588">
        <w:rPr>
          <w:sz w:val="20"/>
        </w:rPr>
        <w:pict>
          <v:rect id="_x0000_i1029" style="width:2in;height:1pt" o:hrpct="0" o:hralign="center" o:hrstd="t" o:hrnoshade="t" o:hr="t" fillcolor="black [3213]" stroked="f"/>
        </w:pict>
      </w:r>
    </w:p>
    <w:p w:rsidR="007B4013" w:rsidRPr="00696588" w:rsidRDefault="007B4013" w:rsidP="0018489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84899" w:rsidRPr="00696588" w:rsidTr="00E95A6A">
        <w:tc>
          <w:tcPr>
            <w:tcW w:w="543" w:type="pct"/>
          </w:tcPr>
          <w:p w:rsidR="00184899" w:rsidRPr="00696588" w:rsidRDefault="00184899" w:rsidP="00184899">
            <w:pPr>
              <w:jc w:val="both"/>
              <w:rPr>
                <w:sz w:val="20"/>
                <w:lang w:val="fr-CA"/>
              </w:rPr>
            </w:pPr>
            <w:r w:rsidRPr="00696588">
              <w:rPr>
                <w:rStyle w:val="SCCFileNumberChar"/>
                <w:sz w:val="20"/>
                <w:szCs w:val="20"/>
                <w:lang w:val="fr-CA"/>
              </w:rPr>
              <w:t>38578</w:t>
            </w:r>
          </w:p>
        </w:tc>
        <w:tc>
          <w:tcPr>
            <w:tcW w:w="4457" w:type="pct"/>
            <w:gridSpan w:val="3"/>
          </w:tcPr>
          <w:p w:rsidR="00184899" w:rsidRPr="00696588" w:rsidRDefault="00184899" w:rsidP="00184899">
            <w:pPr>
              <w:pStyle w:val="SCCLsocParty"/>
              <w:jc w:val="both"/>
              <w:rPr>
                <w:b/>
                <w:sz w:val="20"/>
                <w:szCs w:val="20"/>
              </w:rPr>
            </w:pPr>
            <w:r w:rsidRPr="00696588">
              <w:rPr>
                <w:b/>
                <w:sz w:val="20"/>
                <w:szCs w:val="20"/>
              </w:rPr>
              <w:t>Madison Pacific Properties Inc., MP Western Properties Inc., 1073774 Properties Inc. c. Sa Majesté la Reine</w:t>
            </w:r>
          </w:p>
          <w:p w:rsidR="00184899" w:rsidRPr="00696588" w:rsidRDefault="00184899" w:rsidP="00184899">
            <w:pPr>
              <w:jc w:val="both"/>
              <w:rPr>
                <w:sz w:val="20"/>
                <w:lang w:val="fr-CA"/>
              </w:rPr>
            </w:pPr>
            <w:r w:rsidRPr="00696588">
              <w:rPr>
                <w:sz w:val="20"/>
                <w:lang w:val="fr-CA"/>
              </w:rPr>
              <w:t>(C</w:t>
            </w:r>
            <w:r w:rsidR="007B4013" w:rsidRPr="00696588">
              <w:rPr>
                <w:sz w:val="20"/>
                <w:lang w:val="fr-CA"/>
              </w:rPr>
              <w:t>.</w:t>
            </w:r>
            <w:r w:rsidRPr="00696588">
              <w:rPr>
                <w:sz w:val="20"/>
                <w:lang w:val="fr-CA"/>
              </w:rPr>
              <w:t>F</w:t>
            </w:r>
            <w:r w:rsidR="007B4013" w:rsidRPr="00696588">
              <w:rPr>
                <w:sz w:val="20"/>
                <w:lang w:val="fr-CA"/>
              </w:rPr>
              <w:t>.</w:t>
            </w:r>
            <w:r w:rsidRPr="00696588">
              <w:rPr>
                <w:sz w:val="20"/>
                <w:lang w:val="fr-CA"/>
              </w:rPr>
              <w:t>) (Civile) (Autorisation)</w:t>
            </w:r>
          </w:p>
        </w:tc>
      </w:tr>
      <w:tr w:rsidR="00184899" w:rsidRPr="00696588" w:rsidTr="00E95A6A">
        <w:tc>
          <w:tcPr>
            <w:tcW w:w="5000" w:type="pct"/>
            <w:gridSpan w:val="4"/>
          </w:tcPr>
          <w:p w:rsidR="00184899" w:rsidRPr="00696588" w:rsidRDefault="00184899" w:rsidP="00184899">
            <w:pPr>
              <w:jc w:val="both"/>
              <w:rPr>
                <w:sz w:val="20"/>
                <w:lang w:val="fr-CA"/>
              </w:rPr>
            </w:pPr>
            <w:r w:rsidRPr="00696588">
              <w:rPr>
                <w:sz w:val="20"/>
                <w:lang w:val="fr-CA"/>
              </w:rPr>
              <w:t>Droit fiscal — Impôt sur le revenu — Cotisation — Appels — Production de documents — Aides ou autorités extrinsèques — Correspondance interne interministérielle — Les contribuables ont</w:t>
            </w:r>
            <w:r w:rsidRPr="00696588">
              <w:rPr>
                <w:sz w:val="20"/>
                <w:lang w:val="fr-CA"/>
              </w:rPr>
              <w:noBreakHyphen/>
              <w:t>ils le droit, dans un litige, d’enjoindre la production des opinions documentées et exprimées de l’autorité fiscale quant à la bonne interprétation de dispositions législatives et la politique législative qui les sous</w:t>
            </w:r>
            <w:r w:rsidRPr="00696588">
              <w:rPr>
                <w:sz w:val="20"/>
                <w:lang w:val="fr-CA"/>
              </w:rPr>
              <w:noBreakHyphen/>
              <w:t>tend (autres que documents protégés par le secret professionnel de l’avocat)?</w:t>
            </w:r>
          </w:p>
        </w:tc>
      </w:tr>
      <w:tr w:rsidR="00184899" w:rsidRPr="00696588" w:rsidTr="00E95A6A">
        <w:tc>
          <w:tcPr>
            <w:tcW w:w="5000" w:type="pct"/>
            <w:gridSpan w:val="4"/>
          </w:tcPr>
          <w:p w:rsidR="00184899" w:rsidRPr="00696588" w:rsidRDefault="00184899" w:rsidP="00184899">
            <w:pPr>
              <w:jc w:val="both"/>
              <w:rPr>
                <w:sz w:val="20"/>
                <w:lang w:val="fr-CA"/>
              </w:rPr>
            </w:pPr>
          </w:p>
        </w:tc>
      </w:tr>
      <w:tr w:rsidR="00184899" w:rsidRPr="00696588" w:rsidTr="00E95A6A">
        <w:tc>
          <w:tcPr>
            <w:tcW w:w="5000" w:type="pct"/>
            <w:gridSpan w:val="4"/>
          </w:tcPr>
          <w:p w:rsidR="00184899" w:rsidRPr="00696588" w:rsidRDefault="00184899" w:rsidP="00184899">
            <w:pPr>
              <w:jc w:val="both"/>
              <w:rPr>
                <w:sz w:val="20"/>
                <w:lang w:val="fr-CA"/>
              </w:rPr>
            </w:pPr>
            <w:r w:rsidRPr="00696588">
              <w:rPr>
                <w:sz w:val="20"/>
                <w:lang w:val="fr-CA"/>
              </w:rPr>
              <w:t xml:space="preserve">Les demanderesses font partie du même groupe de sociétés. En produisant leurs déclarations de revenus pour certaines années, elles ont imputé les pertes autres qu’en capital, les pertes en capital nettes, les dépenses de recherche scientifique et de développement expérimental ou les crédits d’impôt à l’investissement (les « attributs fiscaux ») qu’elles avaient acquis de deux sociétés par actions insolvables cotées en bourse afin de protéger les revenus tirés de leurs entreprises immobilières rentables. Le ministre a établi une nouvelle cotisation à l’encontre de chacune des demanderesses et leur a refusé les crédits et les pertes qu’elles avaient réclamés à l’égard des attributs fiscaux. Le ministre les a en outre empêchées de réclamer ces crédits et pertes pour les années futures. Dans le cadre de leurs appels des nouvelles cotisations à la Cour de l’impôt, les demanderesses ont présenté des requêtes à la Cour de l’impôt en vue d’enjoindre la production, entre autres, d’une correspondance entre l’ARC et le ministère des Finances des années 2001 à 2012 relativement au régime législatif portant sur les pertes fiscales. La Cour de l’impôt a rejeté la demande des demanderesses. À son avis, les documents n’étaient pas pertinents et la demande était une </w:t>
            </w:r>
            <w:r w:rsidRPr="00696588">
              <w:rPr>
                <w:bCs/>
                <w:sz w:val="20"/>
                <w:lang w:val="fr-CA"/>
              </w:rPr>
              <w:t>recherche à l’aveuglette [</w:t>
            </w:r>
            <w:r w:rsidRPr="00696588">
              <w:rPr>
                <w:bCs/>
                <w:smallCaps/>
                <w:sz w:val="20"/>
                <w:lang w:val="fr-CA"/>
              </w:rPr>
              <w:t>traduction</w:t>
            </w:r>
            <w:r w:rsidRPr="00696588">
              <w:rPr>
                <w:bCs/>
                <w:sz w:val="20"/>
                <w:lang w:val="fr-CA"/>
              </w:rPr>
              <w:t>] « de portée vague et étendue », « d’une portée excessive » et y répondre serait « une tâche difficile »</w:t>
            </w:r>
            <w:r w:rsidRPr="00696588">
              <w:rPr>
                <w:sz w:val="20"/>
                <w:lang w:val="fr-CA"/>
              </w:rPr>
              <w:t>. La Cour d’appel fédérale a rejeté l’appel.</w:t>
            </w:r>
          </w:p>
          <w:p w:rsidR="00184899" w:rsidRPr="00696588" w:rsidRDefault="00184899" w:rsidP="00184899">
            <w:pPr>
              <w:jc w:val="both"/>
              <w:rPr>
                <w:sz w:val="20"/>
                <w:lang w:val="fr-CA"/>
              </w:rPr>
            </w:pPr>
          </w:p>
        </w:tc>
      </w:tr>
      <w:tr w:rsidR="00184899" w:rsidRPr="00696588" w:rsidTr="00E95A6A">
        <w:tc>
          <w:tcPr>
            <w:tcW w:w="2427" w:type="pct"/>
            <w:gridSpan w:val="2"/>
          </w:tcPr>
          <w:p w:rsidR="00184899" w:rsidRPr="00696588" w:rsidRDefault="00184899" w:rsidP="00184899">
            <w:pPr>
              <w:jc w:val="both"/>
              <w:rPr>
                <w:sz w:val="20"/>
                <w:lang w:val="fr-CA"/>
              </w:rPr>
            </w:pPr>
            <w:r w:rsidRPr="00696588">
              <w:rPr>
                <w:sz w:val="20"/>
                <w:lang w:val="fr-CA"/>
              </w:rPr>
              <w:t>18 mai 2017</w:t>
            </w:r>
          </w:p>
          <w:p w:rsidR="00184899" w:rsidRPr="00696588" w:rsidRDefault="00184899" w:rsidP="00184899">
            <w:pPr>
              <w:jc w:val="both"/>
              <w:rPr>
                <w:sz w:val="20"/>
                <w:lang w:val="fr-CA"/>
              </w:rPr>
            </w:pPr>
            <w:r w:rsidRPr="00696588">
              <w:rPr>
                <w:sz w:val="20"/>
                <w:lang w:val="fr-CA"/>
              </w:rPr>
              <w:t>Cour canadienne de l’impôt</w:t>
            </w:r>
          </w:p>
          <w:p w:rsidR="00184899" w:rsidRPr="00696588" w:rsidRDefault="00184899" w:rsidP="00184899">
            <w:pPr>
              <w:jc w:val="both"/>
              <w:rPr>
                <w:sz w:val="20"/>
                <w:lang w:val="fr-CA"/>
              </w:rPr>
            </w:pPr>
            <w:r w:rsidRPr="00696588">
              <w:rPr>
                <w:sz w:val="20"/>
                <w:lang w:val="fr-CA"/>
              </w:rPr>
              <w:t>(Juge Miller)</w:t>
            </w:r>
          </w:p>
          <w:p w:rsidR="00184899" w:rsidRPr="00696588" w:rsidRDefault="00184899" w:rsidP="00184899">
            <w:pPr>
              <w:jc w:val="both"/>
              <w:rPr>
                <w:sz w:val="20"/>
                <w:lang w:val="fr-CA"/>
              </w:rPr>
            </w:pPr>
            <w:hyperlink r:id="rId18" w:history="1">
              <w:r w:rsidRPr="00696588">
                <w:rPr>
                  <w:rStyle w:val="Hyperlink"/>
                  <w:sz w:val="20"/>
                  <w:lang w:val="fr-CA"/>
                </w:rPr>
                <w:t>2017 CCI 82</w:t>
              </w:r>
            </w:hyperlink>
          </w:p>
          <w:p w:rsidR="00184899" w:rsidRPr="00696588" w:rsidRDefault="00184899" w:rsidP="00184899">
            <w:pPr>
              <w:jc w:val="both"/>
              <w:rPr>
                <w:sz w:val="20"/>
                <w:lang w:val="fr-CA"/>
              </w:rPr>
            </w:pPr>
          </w:p>
        </w:tc>
        <w:tc>
          <w:tcPr>
            <w:tcW w:w="243" w:type="pct"/>
          </w:tcPr>
          <w:p w:rsidR="00184899" w:rsidRPr="00696588" w:rsidRDefault="00184899" w:rsidP="00184899">
            <w:pPr>
              <w:jc w:val="both"/>
              <w:rPr>
                <w:sz w:val="20"/>
                <w:lang w:val="fr-CA"/>
              </w:rPr>
            </w:pPr>
          </w:p>
        </w:tc>
        <w:tc>
          <w:tcPr>
            <w:tcW w:w="2330" w:type="pct"/>
          </w:tcPr>
          <w:p w:rsidR="00184899" w:rsidRPr="00696588" w:rsidRDefault="00184899" w:rsidP="00184899">
            <w:pPr>
              <w:jc w:val="both"/>
              <w:rPr>
                <w:sz w:val="20"/>
                <w:lang w:val="fr-CA"/>
              </w:rPr>
            </w:pPr>
            <w:r w:rsidRPr="00696588">
              <w:rPr>
                <w:sz w:val="20"/>
                <w:lang w:val="fr-CA"/>
              </w:rPr>
              <w:t xml:space="preserve">Jugement accueillant en partie de requête en vue d’enjoindre la production de documents </w:t>
            </w:r>
          </w:p>
        </w:tc>
      </w:tr>
      <w:tr w:rsidR="00184899" w:rsidRPr="00696588" w:rsidTr="00E95A6A">
        <w:tc>
          <w:tcPr>
            <w:tcW w:w="2427" w:type="pct"/>
            <w:gridSpan w:val="2"/>
          </w:tcPr>
          <w:p w:rsidR="00184899" w:rsidRPr="00696588" w:rsidRDefault="00184899" w:rsidP="00184899">
            <w:pPr>
              <w:jc w:val="both"/>
              <w:rPr>
                <w:sz w:val="20"/>
                <w:lang w:val="fr-CA"/>
              </w:rPr>
            </w:pPr>
            <w:r w:rsidRPr="00696588">
              <w:rPr>
                <w:sz w:val="20"/>
                <w:lang w:val="fr-CA"/>
              </w:rPr>
              <w:t>30 janvier 2019</w:t>
            </w:r>
          </w:p>
          <w:p w:rsidR="00184899" w:rsidRPr="00696588" w:rsidRDefault="00184899" w:rsidP="00184899">
            <w:pPr>
              <w:jc w:val="both"/>
              <w:rPr>
                <w:sz w:val="20"/>
                <w:lang w:val="fr-CA"/>
              </w:rPr>
            </w:pPr>
            <w:r w:rsidRPr="00696588">
              <w:rPr>
                <w:sz w:val="20"/>
                <w:lang w:val="fr-CA"/>
              </w:rPr>
              <w:t>Cour d’appel fédérale</w:t>
            </w:r>
          </w:p>
          <w:p w:rsidR="00184899" w:rsidRPr="00696588" w:rsidRDefault="00184899" w:rsidP="00184899">
            <w:pPr>
              <w:jc w:val="both"/>
              <w:rPr>
                <w:sz w:val="20"/>
                <w:lang w:val="fr-CA"/>
              </w:rPr>
            </w:pPr>
            <w:r w:rsidRPr="00696588">
              <w:rPr>
                <w:sz w:val="20"/>
                <w:lang w:val="fr-CA"/>
              </w:rPr>
              <w:t>(Juges Pelletier, de Montigny et Gleason)</w:t>
            </w:r>
          </w:p>
          <w:p w:rsidR="00184899" w:rsidRPr="00696588" w:rsidRDefault="00184899" w:rsidP="00184899">
            <w:pPr>
              <w:jc w:val="both"/>
              <w:rPr>
                <w:sz w:val="20"/>
                <w:lang w:val="fr-CA"/>
              </w:rPr>
            </w:pPr>
            <w:hyperlink r:id="rId19" w:history="1">
              <w:r w:rsidRPr="00696588">
                <w:rPr>
                  <w:rStyle w:val="Hyperlink"/>
                  <w:sz w:val="20"/>
                  <w:lang w:val="fr-CA"/>
                </w:rPr>
                <w:t>2019 FCA 19</w:t>
              </w:r>
            </w:hyperlink>
          </w:p>
          <w:p w:rsidR="00184899" w:rsidRPr="00696588" w:rsidRDefault="00184899" w:rsidP="00184899">
            <w:pPr>
              <w:jc w:val="both"/>
              <w:rPr>
                <w:sz w:val="20"/>
                <w:lang w:val="fr-CA"/>
              </w:rPr>
            </w:pPr>
          </w:p>
        </w:tc>
        <w:tc>
          <w:tcPr>
            <w:tcW w:w="243" w:type="pct"/>
          </w:tcPr>
          <w:p w:rsidR="00184899" w:rsidRPr="00696588" w:rsidRDefault="00184899" w:rsidP="00184899">
            <w:pPr>
              <w:jc w:val="both"/>
              <w:rPr>
                <w:sz w:val="20"/>
                <w:lang w:val="fr-CA"/>
              </w:rPr>
            </w:pPr>
          </w:p>
        </w:tc>
        <w:tc>
          <w:tcPr>
            <w:tcW w:w="2330" w:type="pct"/>
          </w:tcPr>
          <w:p w:rsidR="00184899" w:rsidRPr="00696588" w:rsidRDefault="00184899" w:rsidP="00184899">
            <w:pPr>
              <w:jc w:val="both"/>
              <w:rPr>
                <w:sz w:val="20"/>
                <w:lang w:val="fr-CA"/>
              </w:rPr>
            </w:pPr>
            <w:r w:rsidRPr="00696588">
              <w:rPr>
                <w:sz w:val="20"/>
                <w:lang w:val="fr-CA"/>
              </w:rPr>
              <w:t>Rejet des appels</w:t>
            </w:r>
          </w:p>
          <w:p w:rsidR="00184899" w:rsidRPr="00696588" w:rsidRDefault="00184899" w:rsidP="00184899">
            <w:pPr>
              <w:jc w:val="both"/>
              <w:rPr>
                <w:sz w:val="20"/>
                <w:lang w:val="fr-CA"/>
              </w:rPr>
            </w:pPr>
          </w:p>
        </w:tc>
      </w:tr>
      <w:tr w:rsidR="00184899" w:rsidRPr="00696588" w:rsidTr="00E95A6A">
        <w:tc>
          <w:tcPr>
            <w:tcW w:w="2427" w:type="pct"/>
            <w:gridSpan w:val="2"/>
          </w:tcPr>
          <w:p w:rsidR="00184899" w:rsidRPr="00696588" w:rsidRDefault="00184899" w:rsidP="00184899">
            <w:pPr>
              <w:jc w:val="both"/>
              <w:rPr>
                <w:sz w:val="20"/>
                <w:lang w:val="fr-CA"/>
              </w:rPr>
            </w:pPr>
            <w:r w:rsidRPr="00696588">
              <w:rPr>
                <w:sz w:val="20"/>
                <w:lang w:val="fr-CA"/>
              </w:rPr>
              <w:t>29 mars 2019</w:t>
            </w:r>
          </w:p>
          <w:p w:rsidR="00184899" w:rsidRPr="00696588" w:rsidRDefault="00184899" w:rsidP="00184899">
            <w:pPr>
              <w:jc w:val="both"/>
              <w:rPr>
                <w:sz w:val="20"/>
                <w:lang w:val="fr-CA"/>
              </w:rPr>
            </w:pPr>
            <w:r w:rsidRPr="00696588">
              <w:rPr>
                <w:sz w:val="20"/>
                <w:lang w:val="fr-CA"/>
              </w:rPr>
              <w:t>Cour suprême du Canada</w:t>
            </w:r>
          </w:p>
        </w:tc>
        <w:tc>
          <w:tcPr>
            <w:tcW w:w="243" w:type="pct"/>
          </w:tcPr>
          <w:p w:rsidR="00184899" w:rsidRPr="00696588" w:rsidRDefault="00184899" w:rsidP="00184899">
            <w:pPr>
              <w:jc w:val="both"/>
              <w:rPr>
                <w:sz w:val="20"/>
                <w:lang w:val="fr-CA"/>
              </w:rPr>
            </w:pPr>
          </w:p>
        </w:tc>
        <w:tc>
          <w:tcPr>
            <w:tcW w:w="2330" w:type="pct"/>
          </w:tcPr>
          <w:p w:rsidR="00184899" w:rsidRPr="00696588" w:rsidRDefault="00184899" w:rsidP="00184899">
            <w:pPr>
              <w:jc w:val="both"/>
              <w:rPr>
                <w:sz w:val="20"/>
                <w:lang w:val="fr-CA"/>
              </w:rPr>
            </w:pPr>
            <w:r w:rsidRPr="00696588">
              <w:rPr>
                <w:sz w:val="20"/>
                <w:lang w:val="fr-CA"/>
              </w:rPr>
              <w:t>Dépôt de la requête pour joindre et de la demande d’autorisation d’appel</w:t>
            </w:r>
          </w:p>
        </w:tc>
      </w:tr>
    </w:tbl>
    <w:p w:rsidR="00184899" w:rsidRPr="00696588" w:rsidRDefault="00184899" w:rsidP="00184899">
      <w:pPr>
        <w:jc w:val="both"/>
        <w:rPr>
          <w:sz w:val="20"/>
          <w:lang w:val="fr-CA"/>
        </w:rPr>
      </w:pPr>
    </w:p>
    <w:p w:rsidR="00D8326C" w:rsidRPr="00696588" w:rsidRDefault="00D8326C" w:rsidP="00184899">
      <w:pPr>
        <w:jc w:val="both"/>
        <w:rPr>
          <w:sz w:val="20"/>
          <w:lang w:val="fr-CA"/>
        </w:rPr>
      </w:pPr>
      <w:r w:rsidRPr="00696588">
        <w:rPr>
          <w:sz w:val="20"/>
        </w:rPr>
        <w:pict>
          <v:rect id="_x0000_i1030" style="width:2in;height:1pt" o:hrpct="0" o:hralign="center" o:hrstd="t" o:hrnoshade="t" o:hr="t" fillcolor="black [3213]" stroked="f"/>
        </w:pict>
      </w:r>
    </w:p>
    <w:p w:rsidR="0040531A" w:rsidRPr="00696588" w:rsidRDefault="0040531A" w:rsidP="00184899">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84899" w:rsidRPr="00696588" w:rsidTr="00E95A6A">
        <w:tc>
          <w:tcPr>
            <w:tcW w:w="543" w:type="pct"/>
          </w:tcPr>
          <w:p w:rsidR="00184899" w:rsidRPr="00696588" w:rsidRDefault="00184899" w:rsidP="00184899">
            <w:pPr>
              <w:jc w:val="both"/>
              <w:rPr>
                <w:sz w:val="20"/>
              </w:rPr>
            </w:pPr>
            <w:r w:rsidRPr="00696588">
              <w:rPr>
                <w:rStyle w:val="SCCFileNumberChar"/>
                <w:sz w:val="20"/>
                <w:szCs w:val="20"/>
              </w:rPr>
              <w:t>38589</w:t>
            </w:r>
          </w:p>
        </w:tc>
        <w:tc>
          <w:tcPr>
            <w:tcW w:w="4457" w:type="pct"/>
            <w:gridSpan w:val="3"/>
          </w:tcPr>
          <w:p w:rsidR="00184899" w:rsidRPr="00696588" w:rsidRDefault="00184899" w:rsidP="00184899">
            <w:pPr>
              <w:pStyle w:val="SCCLsocParty"/>
              <w:jc w:val="both"/>
              <w:rPr>
                <w:b/>
                <w:sz w:val="20"/>
                <w:szCs w:val="20"/>
                <w:lang w:val="en-US"/>
              </w:rPr>
            </w:pPr>
            <w:r w:rsidRPr="00696588">
              <w:rPr>
                <w:b/>
                <w:sz w:val="20"/>
                <w:szCs w:val="20"/>
                <w:lang w:val="en-US"/>
              </w:rPr>
              <w:t>Stensia Tapambwa, Richard Tapambwa v. Minister of Citizenship and Immigration</w:t>
            </w:r>
          </w:p>
          <w:p w:rsidR="00184899" w:rsidRPr="00696588" w:rsidRDefault="00184899" w:rsidP="00184899">
            <w:pPr>
              <w:jc w:val="both"/>
              <w:rPr>
                <w:sz w:val="20"/>
              </w:rPr>
            </w:pPr>
            <w:r w:rsidRPr="00696588">
              <w:rPr>
                <w:sz w:val="20"/>
              </w:rPr>
              <w:t>(F</w:t>
            </w:r>
            <w:r w:rsidR="00D8326C" w:rsidRPr="00696588">
              <w:rPr>
                <w:sz w:val="20"/>
              </w:rPr>
              <w:t>.</w:t>
            </w:r>
            <w:r w:rsidRPr="00696588">
              <w:rPr>
                <w:sz w:val="20"/>
              </w:rPr>
              <w:t>C</w:t>
            </w:r>
            <w:r w:rsidR="00D8326C" w:rsidRPr="00696588">
              <w:rPr>
                <w:sz w:val="20"/>
              </w:rPr>
              <w:t>.</w:t>
            </w:r>
            <w:r w:rsidRPr="00696588">
              <w:rPr>
                <w:sz w:val="20"/>
              </w:rPr>
              <w:t>) (Civil) (By Leave)</w:t>
            </w:r>
          </w:p>
        </w:tc>
      </w:tr>
      <w:tr w:rsidR="00184899" w:rsidRPr="00696588" w:rsidTr="00E95A6A">
        <w:tc>
          <w:tcPr>
            <w:tcW w:w="5000" w:type="pct"/>
            <w:gridSpan w:val="4"/>
          </w:tcPr>
          <w:p w:rsidR="00184899" w:rsidRPr="00696588" w:rsidRDefault="00184899" w:rsidP="00184899">
            <w:pPr>
              <w:jc w:val="both"/>
              <w:rPr>
                <w:sz w:val="20"/>
              </w:rPr>
            </w:pPr>
            <w:r w:rsidRPr="00696588">
              <w:rPr>
                <w:i/>
                <w:sz w:val="20"/>
              </w:rPr>
              <w:t>Charter of Rights</w:t>
            </w:r>
            <w:r w:rsidRPr="00696588">
              <w:rPr>
                <w:sz w:val="20"/>
              </w:rPr>
              <w:t xml:space="preserve"> — Right to life, liberty and security of the person — Immigration —Inadmissibility — Removal order — What is the role of international obligations in interpreting domestic legislation and under what conditions, if any, can those obligations be excluded from the interpretive process — Does the denial of protection against </w:t>
            </w:r>
            <w:proofErr w:type="spellStart"/>
            <w:r w:rsidRPr="00696588">
              <w:rPr>
                <w:i/>
                <w:sz w:val="20"/>
              </w:rPr>
              <w:t>refoulement</w:t>
            </w:r>
            <w:proofErr w:type="spellEnd"/>
            <w:r w:rsidRPr="00696588">
              <w:rPr>
                <w:sz w:val="20"/>
              </w:rPr>
              <w:t xml:space="preserve"> engage s. 7 of the </w:t>
            </w:r>
            <w:r w:rsidRPr="00696588">
              <w:rPr>
                <w:i/>
                <w:sz w:val="20"/>
              </w:rPr>
              <w:t>Charter</w:t>
            </w:r>
            <w:r w:rsidRPr="00696588">
              <w:rPr>
                <w:sz w:val="20"/>
              </w:rPr>
              <w:t xml:space="preserve"> — Whether the Federal Court of Appeal erred — s. 7 of the </w:t>
            </w:r>
            <w:r w:rsidRPr="00696588">
              <w:rPr>
                <w:i/>
                <w:sz w:val="20"/>
              </w:rPr>
              <w:t>Charter of Rights and Freedoms</w:t>
            </w:r>
            <w:r w:rsidRPr="00696588">
              <w:rPr>
                <w:sz w:val="20"/>
              </w:rPr>
              <w:t>.</w:t>
            </w:r>
          </w:p>
        </w:tc>
      </w:tr>
      <w:tr w:rsidR="00184899" w:rsidRPr="00696588" w:rsidTr="00E95A6A">
        <w:tc>
          <w:tcPr>
            <w:tcW w:w="5000" w:type="pct"/>
            <w:gridSpan w:val="4"/>
          </w:tcPr>
          <w:p w:rsidR="00184899" w:rsidRPr="00696588" w:rsidRDefault="00184899" w:rsidP="00184899">
            <w:pPr>
              <w:jc w:val="both"/>
              <w:rPr>
                <w:sz w:val="20"/>
              </w:rPr>
            </w:pPr>
          </w:p>
        </w:tc>
      </w:tr>
      <w:tr w:rsidR="00184899" w:rsidRPr="00696588" w:rsidTr="00E95A6A">
        <w:tc>
          <w:tcPr>
            <w:tcW w:w="5000" w:type="pct"/>
            <w:gridSpan w:val="4"/>
          </w:tcPr>
          <w:p w:rsidR="00184899" w:rsidRPr="00696588" w:rsidRDefault="00184899" w:rsidP="00184899">
            <w:pPr>
              <w:jc w:val="both"/>
              <w:rPr>
                <w:sz w:val="20"/>
              </w:rPr>
            </w:pPr>
            <w:r w:rsidRPr="00696588">
              <w:rPr>
                <w:sz w:val="20"/>
              </w:rPr>
              <w:t>The applicants are spouses and citizens of Zimbabwe. Both served in the Zimbabwe National Army. They left Zimbabwe in 2001 for the United States. They made no claim for protection while in the United States, but did so when they came to Canada in 2011. The applicants were found by the Refugee Protection Division to have committed crimes against humanity and were therefore excluded from claiming protection. Following a risk assessment under s. 97</w:t>
            </w:r>
            <w:r w:rsidRPr="00696588">
              <w:rPr>
                <w:i/>
                <w:sz w:val="20"/>
              </w:rPr>
              <w:t xml:space="preserve"> </w:t>
            </w:r>
            <w:r w:rsidRPr="00696588">
              <w:rPr>
                <w:sz w:val="20"/>
              </w:rPr>
              <w:t>of the</w:t>
            </w:r>
            <w:r w:rsidRPr="00696588">
              <w:rPr>
                <w:i/>
                <w:sz w:val="20"/>
              </w:rPr>
              <w:t xml:space="preserve"> Immigration and Refugee Protection Act</w:t>
            </w:r>
            <w:r w:rsidRPr="00696588">
              <w:rPr>
                <w:sz w:val="20"/>
              </w:rPr>
              <w:t>, SC 2001, c. 27, the officer determined that the applicants did not meet the threshold required to stay their removal orders. The applicants’ judicial review application was dismissed. The appeal was also dismissed.</w:t>
            </w:r>
          </w:p>
          <w:p w:rsidR="00184899" w:rsidRPr="00696588" w:rsidRDefault="00184899" w:rsidP="00184899">
            <w:pPr>
              <w:jc w:val="both"/>
              <w:rPr>
                <w:sz w:val="20"/>
              </w:rPr>
            </w:pPr>
          </w:p>
        </w:tc>
      </w:tr>
      <w:tr w:rsidR="00184899" w:rsidRPr="00696588" w:rsidTr="00E95A6A">
        <w:tc>
          <w:tcPr>
            <w:tcW w:w="2427" w:type="pct"/>
            <w:gridSpan w:val="2"/>
          </w:tcPr>
          <w:p w:rsidR="00184899" w:rsidRPr="00696588" w:rsidRDefault="00184899" w:rsidP="00184899">
            <w:pPr>
              <w:jc w:val="both"/>
              <w:rPr>
                <w:sz w:val="20"/>
              </w:rPr>
            </w:pPr>
            <w:r w:rsidRPr="00696588">
              <w:rPr>
                <w:sz w:val="20"/>
              </w:rPr>
              <w:t>May 26, 2017</w:t>
            </w:r>
          </w:p>
          <w:p w:rsidR="00184899" w:rsidRPr="00696588" w:rsidRDefault="00184899" w:rsidP="00184899">
            <w:pPr>
              <w:jc w:val="both"/>
              <w:rPr>
                <w:sz w:val="20"/>
              </w:rPr>
            </w:pPr>
            <w:r w:rsidRPr="00696588">
              <w:rPr>
                <w:sz w:val="20"/>
              </w:rPr>
              <w:t>Federal Court</w:t>
            </w:r>
          </w:p>
          <w:p w:rsidR="00184899" w:rsidRPr="00696588" w:rsidRDefault="00184899" w:rsidP="00184899">
            <w:pPr>
              <w:jc w:val="both"/>
              <w:rPr>
                <w:sz w:val="20"/>
              </w:rPr>
            </w:pPr>
            <w:r w:rsidRPr="00696588">
              <w:rPr>
                <w:sz w:val="20"/>
              </w:rPr>
              <w:t>(Southcott J.)</w:t>
            </w:r>
          </w:p>
          <w:p w:rsidR="00184899" w:rsidRPr="00696588" w:rsidRDefault="00184899" w:rsidP="00184899">
            <w:pPr>
              <w:jc w:val="both"/>
              <w:rPr>
                <w:sz w:val="20"/>
              </w:rPr>
            </w:pPr>
            <w:hyperlink r:id="rId20" w:history="1">
              <w:r w:rsidRPr="00696588">
                <w:rPr>
                  <w:rStyle w:val="Hyperlink"/>
                  <w:sz w:val="20"/>
                </w:rPr>
                <w:t>2017 FC 522</w:t>
              </w:r>
            </w:hyperlink>
          </w:p>
          <w:p w:rsidR="00184899" w:rsidRPr="00696588" w:rsidRDefault="00184899" w:rsidP="00184899">
            <w:pPr>
              <w:jc w:val="both"/>
              <w:rPr>
                <w:sz w:val="20"/>
              </w:rPr>
            </w:pPr>
          </w:p>
        </w:tc>
        <w:tc>
          <w:tcPr>
            <w:tcW w:w="243" w:type="pct"/>
          </w:tcPr>
          <w:p w:rsidR="00184899" w:rsidRPr="00696588" w:rsidRDefault="00184899" w:rsidP="00184899">
            <w:pPr>
              <w:jc w:val="both"/>
              <w:rPr>
                <w:sz w:val="20"/>
              </w:rPr>
            </w:pPr>
          </w:p>
        </w:tc>
        <w:tc>
          <w:tcPr>
            <w:tcW w:w="2330" w:type="pct"/>
          </w:tcPr>
          <w:p w:rsidR="00184899" w:rsidRPr="00696588" w:rsidRDefault="00184899" w:rsidP="00184899">
            <w:pPr>
              <w:jc w:val="both"/>
              <w:rPr>
                <w:sz w:val="20"/>
              </w:rPr>
            </w:pPr>
            <w:r w:rsidRPr="00696588">
              <w:rPr>
                <w:sz w:val="20"/>
              </w:rPr>
              <w:t>Application for judicial review dismissed</w:t>
            </w:r>
          </w:p>
          <w:p w:rsidR="00184899" w:rsidRPr="00696588" w:rsidRDefault="00184899" w:rsidP="00184899">
            <w:pPr>
              <w:jc w:val="both"/>
              <w:rPr>
                <w:sz w:val="20"/>
              </w:rPr>
            </w:pPr>
          </w:p>
        </w:tc>
      </w:tr>
      <w:tr w:rsidR="00184899" w:rsidRPr="00696588" w:rsidTr="00E95A6A">
        <w:tc>
          <w:tcPr>
            <w:tcW w:w="2427" w:type="pct"/>
            <w:gridSpan w:val="2"/>
          </w:tcPr>
          <w:p w:rsidR="00184899" w:rsidRPr="00696588" w:rsidRDefault="00184899" w:rsidP="00184899">
            <w:pPr>
              <w:jc w:val="both"/>
              <w:rPr>
                <w:sz w:val="20"/>
              </w:rPr>
            </w:pPr>
            <w:r w:rsidRPr="00696588">
              <w:rPr>
                <w:sz w:val="20"/>
              </w:rPr>
              <w:t>February 21, 2019</w:t>
            </w:r>
          </w:p>
          <w:p w:rsidR="00184899" w:rsidRPr="00696588" w:rsidRDefault="00184899" w:rsidP="00184899">
            <w:pPr>
              <w:jc w:val="both"/>
              <w:rPr>
                <w:sz w:val="20"/>
              </w:rPr>
            </w:pPr>
            <w:r w:rsidRPr="00696588">
              <w:rPr>
                <w:sz w:val="20"/>
              </w:rPr>
              <w:t>Federal Court of Appeal</w:t>
            </w:r>
          </w:p>
          <w:p w:rsidR="00184899" w:rsidRPr="00696588" w:rsidRDefault="00184899" w:rsidP="00184899">
            <w:pPr>
              <w:jc w:val="both"/>
              <w:rPr>
                <w:sz w:val="20"/>
              </w:rPr>
            </w:pPr>
            <w:r w:rsidRPr="00696588">
              <w:rPr>
                <w:sz w:val="20"/>
              </w:rPr>
              <w:t>(Stratas, Rennie, Woods JJ.A.)</w:t>
            </w:r>
          </w:p>
          <w:p w:rsidR="00184899" w:rsidRPr="00696588" w:rsidRDefault="00184899" w:rsidP="00184899">
            <w:pPr>
              <w:jc w:val="both"/>
              <w:rPr>
                <w:sz w:val="20"/>
              </w:rPr>
            </w:pPr>
            <w:hyperlink r:id="rId21" w:history="1">
              <w:r w:rsidRPr="00696588">
                <w:rPr>
                  <w:rStyle w:val="Hyperlink"/>
                  <w:sz w:val="20"/>
                </w:rPr>
                <w:t>2019 FCA 34</w:t>
              </w:r>
            </w:hyperlink>
            <w:r w:rsidRPr="00696588">
              <w:rPr>
                <w:sz w:val="20"/>
              </w:rPr>
              <w:t>; A</w:t>
            </w:r>
            <w:r w:rsidRPr="00696588">
              <w:rPr>
                <w:sz w:val="20"/>
              </w:rPr>
              <w:noBreakHyphen/>
              <w:t>191</w:t>
            </w:r>
            <w:r w:rsidRPr="00696588">
              <w:rPr>
                <w:sz w:val="20"/>
              </w:rPr>
              <w:noBreakHyphen/>
              <w:t>17</w:t>
            </w:r>
          </w:p>
          <w:p w:rsidR="00184899" w:rsidRPr="00696588" w:rsidRDefault="00184899" w:rsidP="00184899">
            <w:pPr>
              <w:jc w:val="both"/>
              <w:rPr>
                <w:sz w:val="20"/>
              </w:rPr>
            </w:pPr>
          </w:p>
        </w:tc>
        <w:tc>
          <w:tcPr>
            <w:tcW w:w="243" w:type="pct"/>
          </w:tcPr>
          <w:p w:rsidR="00184899" w:rsidRPr="00696588" w:rsidRDefault="00184899" w:rsidP="00184899">
            <w:pPr>
              <w:jc w:val="both"/>
              <w:rPr>
                <w:sz w:val="20"/>
              </w:rPr>
            </w:pPr>
          </w:p>
        </w:tc>
        <w:tc>
          <w:tcPr>
            <w:tcW w:w="2330" w:type="pct"/>
          </w:tcPr>
          <w:p w:rsidR="00184899" w:rsidRPr="00696588" w:rsidRDefault="00184899" w:rsidP="00184899">
            <w:pPr>
              <w:jc w:val="both"/>
              <w:rPr>
                <w:sz w:val="20"/>
              </w:rPr>
            </w:pPr>
            <w:r w:rsidRPr="00696588">
              <w:rPr>
                <w:sz w:val="20"/>
              </w:rPr>
              <w:t>Appeal dismissed</w:t>
            </w:r>
          </w:p>
          <w:p w:rsidR="00184899" w:rsidRPr="00696588" w:rsidRDefault="00184899" w:rsidP="00184899">
            <w:pPr>
              <w:jc w:val="both"/>
              <w:rPr>
                <w:sz w:val="20"/>
              </w:rPr>
            </w:pPr>
          </w:p>
        </w:tc>
      </w:tr>
      <w:tr w:rsidR="00184899" w:rsidRPr="00696588" w:rsidTr="00E95A6A">
        <w:tc>
          <w:tcPr>
            <w:tcW w:w="2427" w:type="pct"/>
            <w:gridSpan w:val="2"/>
          </w:tcPr>
          <w:p w:rsidR="00184899" w:rsidRPr="00696588" w:rsidRDefault="00184899" w:rsidP="00184899">
            <w:pPr>
              <w:jc w:val="both"/>
              <w:rPr>
                <w:sz w:val="20"/>
              </w:rPr>
            </w:pPr>
            <w:r w:rsidRPr="00696588">
              <w:rPr>
                <w:sz w:val="20"/>
              </w:rPr>
              <w:t>April 16, 2019</w:t>
            </w:r>
          </w:p>
          <w:p w:rsidR="00184899" w:rsidRPr="00696588" w:rsidRDefault="00184899" w:rsidP="00184899">
            <w:pPr>
              <w:jc w:val="both"/>
              <w:rPr>
                <w:sz w:val="20"/>
              </w:rPr>
            </w:pPr>
            <w:r w:rsidRPr="00696588">
              <w:rPr>
                <w:sz w:val="20"/>
              </w:rPr>
              <w:t>Supreme Court of Canada</w:t>
            </w:r>
          </w:p>
        </w:tc>
        <w:tc>
          <w:tcPr>
            <w:tcW w:w="243" w:type="pct"/>
          </w:tcPr>
          <w:p w:rsidR="00184899" w:rsidRPr="00696588" w:rsidRDefault="00184899" w:rsidP="00184899">
            <w:pPr>
              <w:jc w:val="both"/>
              <w:rPr>
                <w:sz w:val="20"/>
              </w:rPr>
            </w:pPr>
          </w:p>
        </w:tc>
        <w:tc>
          <w:tcPr>
            <w:tcW w:w="2330" w:type="pct"/>
          </w:tcPr>
          <w:p w:rsidR="00184899" w:rsidRPr="00696588" w:rsidRDefault="00184899" w:rsidP="00184899">
            <w:pPr>
              <w:jc w:val="both"/>
              <w:rPr>
                <w:sz w:val="20"/>
              </w:rPr>
            </w:pPr>
            <w:r w:rsidRPr="00696588">
              <w:rPr>
                <w:sz w:val="20"/>
              </w:rPr>
              <w:t>Application for leave to appeal filed</w:t>
            </w:r>
          </w:p>
          <w:p w:rsidR="00184899" w:rsidRPr="00696588" w:rsidRDefault="00184899" w:rsidP="00184899">
            <w:pPr>
              <w:jc w:val="both"/>
              <w:rPr>
                <w:sz w:val="20"/>
              </w:rPr>
            </w:pPr>
          </w:p>
        </w:tc>
      </w:tr>
    </w:tbl>
    <w:p w:rsidR="00184899" w:rsidRPr="00696588" w:rsidRDefault="00184899" w:rsidP="00184899">
      <w:pPr>
        <w:jc w:val="both"/>
        <w:rPr>
          <w:sz w:val="20"/>
        </w:rPr>
      </w:pPr>
    </w:p>
    <w:p w:rsidR="00EB78FD" w:rsidRPr="00696588" w:rsidRDefault="00EB78FD" w:rsidP="00184899">
      <w:pPr>
        <w:jc w:val="both"/>
        <w:rPr>
          <w:sz w:val="20"/>
        </w:rPr>
      </w:pPr>
      <w:r w:rsidRPr="00696588">
        <w:rPr>
          <w:sz w:val="20"/>
        </w:rPr>
        <w:pict>
          <v:rect id="_x0000_i1031" style="width:2in;height:1pt" o:hrpct="0" o:hralign="center" o:hrstd="t" o:hrnoshade="t" o:hr="t" fillcolor="black [3213]" stroked="f"/>
        </w:pict>
      </w:r>
    </w:p>
    <w:p w:rsidR="00EB78FD" w:rsidRPr="00696588" w:rsidRDefault="00EB78FD" w:rsidP="0018489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84899" w:rsidRPr="00696588" w:rsidTr="00E95A6A">
        <w:tc>
          <w:tcPr>
            <w:tcW w:w="543" w:type="pct"/>
          </w:tcPr>
          <w:p w:rsidR="00184899" w:rsidRPr="00696588" w:rsidRDefault="00184899" w:rsidP="00184899">
            <w:pPr>
              <w:jc w:val="both"/>
              <w:rPr>
                <w:sz w:val="20"/>
                <w:lang w:val="fr-CA"/>
              </w:rPr>
            </w:pPr>
            <w:r w:rsidRPr="00696588">
              <w:rPr>
                <w:rStyle w:val="SCCFileNumberChar"/>
                <w:sz w:val="20"/>
                <w:szCs w:val="20"/>
                <w:lang w:val="fr-CA"/>
              </w:rPr>
              <w:t>38589</w:t>
            </w:r>
          </w:p>
        </w:tc>
        <w:tc>
          <w:tcPr>
            <w:tcW w:w="4457" w:type="pct"/>
            <w:gridSpan w:val="3"/>
          </w:tcPr>
          <w:p w:rsidR="00184899" w:rsidRPr="00696588" w:rsidRDefault="00184899" w:rsidP="00184899">
            <w:pPr>
              <w:pStyle w:val="SCCLsocParty"/>
              <w:jc w:val="both"/>
              <w:rPr>
                <w:b/>
                <w:sz w:val="20"/>
                <w:szCs w:val="20"/>
              </w:rPr>
            </w:pPr>
            <w:r w:rsidRPr="00696588">
              <w:rPr>
                <w:b/>
                <w:sz w:val="20"/>
                <w:szCs w:val="20"/>
              </w:rPr>
              <w:t>Stensia Tapambwa, Richard Tapambwa c. Ministre de la Citoyenneté et de l’Immigration</w:t>
            </w:r>
          </w:p>
          <w:p w:rsidR="00184899" w:rsidRPr="00696588" w:rsidRDefault="00184899" w:rsidP="00184899">
            <w:pPr>
              <w:jc w:val="both"/>
              <w:rPr>
                <w:sz w:val="20"/>
                <w:lang w:val="fr-CA"/>
              </w:rPr>
            </w:pPr>
            <w:r w:rsidRPr="00696588">
              <w:rPr>
                <w:sz w:val="20"/>
                <w:lang w:val="fr-CA"/>
              </w:rPr>
              <w:t>(C</w:t>
            </w:r>
            <w:r w:rsidR="00EB78FD" w:rsidRPr="00696588">
              <w:rPr>
                <w:sz w:val="20"/>
                <w:lang w:val="fr-CA"/>
              </w:rPr>
              <w:t>.</w:t>
            </w:r>
            <w:r w:rsidRPr="00696588">
              <w:rPr>
                <w:sz w:val="20"/>
                <w:lang w:val="fr-CA"/>
              </w:rPr>
              <w:t>F</w:t>
            </w:r>
            <w:r w:rsidR="00EB78FD" w:rsidRPr="00696588">
              <w:rPr>
                <w:sz w:val="20"/>
                <w:lang w:val="fr-CA"/>
              </w:rPr>
              <w:t>.</w:t>
            </w:r>
            <w:r w:rsidRPr="00696588">
              <w:rPr>
                <w:sz w:val="20"/>
                <w:lang w:val="fr-CA"/>
              </w:rPr>
              <w:t>) (Civile) (Autorisation)</w:t>
            </w:r>
          </w:p>
        </w:tc>
      </w:tr>
      <w:tr w:rsidR="00184899" w:rsidRPr="00696588" w:rsidTr="00E95A6A">
        <w:tc>
          <w:tcPr>
            <w:tcW w:w="5000" w:type="pct"/>
            <w:gridSpan w:val="4"/>
          </w:tcPr>
          <w:p w:rsidR="00184899" w:rsidRPr="00696588" w:rsidRDefault="00184899" w:rsidP="00184899">
            <w:pPr>
              <w:jc w:val="both"/>
              <w:rPr>
                <w:sz w:val="20"/>
                <w:lang w:val="fr-CA"/>
              </w:rPr>
            </w:pPr>
            <w:r w:rsidRPr="00696588">
              <w:rPr>
                <w:i/>
                <w:sz w:val="20"/>
                <w:lang w:val="fr-CA"/>
              </w:rPr>
              <w:t>Charte des droits</w:t>
            </w:r>
            <w:r w:rsidRPr="00696588">
              <w:rPr>
                <w:sz w:val="20"/>
                <w:lang w:val="fr-CA"/>
              </w:rPr>
              <w:t xml:space="preserve"> — Droit à la vie, à la liberté et à la sécurité de la personne — Immigration —Interdiction de territoire — Mesure de renvoi — Quel rôle jouent les obligations internationales dans l’interprétation de dispositions législatives nationales et sous quelles conditions, le cas échéant, ces obligations peuvent</w:t>
            </w:r>
            <w:r w:rsidRPr="00696588">
              <w:rPr>
                <w:sz w:val="20"/>
                <w:lang w:val="fr-CA"/>
              </w:rPr>
              <w:noBreakHyphen/>
              <w:t xml:space="preserve">elles être exclues du processus d’interprétation? — Le refus d’accorder la protection contre le refoulement fait-il entrer en jeu l’art. 7 de la </w:t>
            </w:r>
            <w:r w:rsidRPr="00696588">
              <w:rPr>
                <w:i/>
                <w:sz w:val="20"/>
                <w:lang w:val="fr-CA"/>
              </w:rPr>
              <w:t>Charte</w:t>
            </w:r>
            <w:r w:rsidRPr="00696588">
              <w:rPr>
                <w:sz w:val="20"/>
                <w:lang w:val="fr-CA"/>
              </w:rPr>
              <w:t>? — La Cour d’appel fédérale a</w:t>
            </w:r>
            <w:r w:rsidRPr="00696588">
              <w:rPr>
                <w:sz w:val="20"/>
                <w:lang w:val="fr-CA"/>
              </w:rPr>
              <w:noBreakHyphen/>
              <w:t>t</w:t>
            </w:r>
            <w:r w:rsidRPr="00696588">
              <w:rPr>
                <w:sz w:val="20"/>
                <w:lang w:val="fr-CA"/>
              </w:rPr>
              <w:noBreakHyphen/>
              <w:t xml:space="preserve">elle commis une erreur? — Art. 7 de la </w:t>
            </w:r>
            <w:r w:rsidRPr="00696588">
              <w:rPr>
                <w:i/>
                <w:sz w:val="20"/>
                <w:lang w:val="fr-CA"/>
              </w:rPr>
              <w:t>Charte des droits et libertés</w:t>
            </w:r>
            <w:r w:rsidRPr="00696588">
              <w:rPr>
                <w:sz w:val="20"/>
                <w:lang w:val="fr-CA"/>
              </w:rPr>
              <w:t>.</w:t>
            </w:r>
          </w:p>
        </w:tc>
      </w:tr>
      <w:tr w:rsidR="00184899" w:rsidRPr="00696588" w:rsidTr="00E95A6A">
        <w:tc>
          <w:tcPr>
            <w:tcW w:w="5000" w:type="pct"/>
            <w:gridSpan w:val="4"/>
          </w:tcPr>
          <w:p w:rsidR="00184899" w:rsidRPr="00696588" w:rsidRDefault="00184899" w:rsidP="00184899">
            <w:pPr>
              <w:jc w:val="both"/>
              <w:rPr>
                <w:sz w:val="20"/>
                <w:lang w:val="fr-CA"/>
              </w:rPr>
            </w:pPr>
          </w:p>
        </w:tc>
      </w:tr>
      <w:tr w:rsidR="00184899" w:rsidRPr="00696588" w:rsidTr="00E95A6A">
        <w:tc>
          <w:tcPr>
            <w:tcW w:w="5000" w:type="pct"/>
            <w:gridSpan w:val="4"/>
          </w:tcPr>
          <w:p w:rsidR="00184899" w:rsidRPr="00696588" w:rsidRDefault="00184899" w:rsidP="00184899">
            <w:pPr>
              <w:jc w:val="both"/>
              <w:rPr>
                <w:sz w:val="20"/>
                <w:lang w:val="fr-CA"/>
              </w:rPr>
            </w:pPr>
            <w:r w:rsidRPr="00696588">
              <w:rPr>
                <w:sz w:val="20"/>
                <w:lang w:val="fr-CA"/>
              </w:rPr>
              <w:t>Les demandeurs sont époux et citoyens du Zimbabwe. Les deux ont servi dans l’armée nationale du Zimbabwe. Ils ont quitté le Zimbabwe en 2001 et se sont rendus aux États</w:t>
            </w:r>
            <w:r w:rsidRPr="00696588">
              <w:rPr>
                <w:sz w:val="20"/>
                <w:lang w:val="fr-CA"/>
              </w:rPr>
              <w:noBreakHyphen/>
              <w:t>Unis. Ils n’ont pas demandé l’asile aux États</w:t>
            </w:r>
            <w:r w:rsidRPr="00696588">
              <w:rPr>
                <w:sz w:val="20"/>
                <w:lang w:val="fr-CA"/>
              </w:rPr>
              <w:noBreakHyphen/>
              <w:t>Unis, mais ils l’ont fait à leur arrivée au Canada en 2011. La Section de la protection des réfugiés a conclu que les demandeurs avaient commis des crimes contre l’humanité et ils ont été exclus du régime de protection en conséquence. À la suite d’un examen des risques en application de l’art. 97</w:t>
            </w:r>
            <w:r w:rsidRPr="00696588">
              <w:rPr>
                <w:i/>
                <w:sz w:val="20"/>
                <w:lang w:val="fr-CA"/>
              </w:rPr>
              <w:t xml:space="preserve"> </w:t>
            </w:r>
            <w:r w:rsidRPr="00696588">
              <w:rPr>
                <w:sz w:val="20"/>
                <w:lang w:val="fr-CA"/>
              </w:rPr>
              <w:t>de la</w:t>
            </w:r>
            <w:r w:rsidRPr="00696588">
              <w:rPr>
                <w:i/>
                <w:sz w:val="20"/>
                <w:lang w:val="fr-CA"/>
              </w:rPr>
              <w:t xml:space="preserve"> Loi sur l’immigration et la protection des réfugiés</w:t>
            </w:r>
            <w:r w:rsidRPr="00696588">
              <w:rPr>
                <w:sz w:val="20"/>
                <w:lang w:val="fr-CA"/>
              </w:rPr>
              <w:t>, LC 2001, ch. 27, l’agent a conclu que les demandeurs ne répondaient pas aux critères qui permettraient de surseoir aux mesures de renvoi. La demande de contrôle judiciaire a été rejetée. L’appel a été rejeté également.</w:t>
            </w:r>
          </w:p>
          <w:p w:rsidR="00184899" w:rsidRPr="00696588" w:rsidRDefault="00184899" w:rsidP="00184899">
            <w:pPr>
              <w:jc w:val="both"/>
              <w:rPr>
                <w:sz w:val="20"/>
                <w:lang w:val="fr-CA"/>
              </w:rPr>
            </w:pPr>
          </w:p>
        </w:tc>
      </w:tr>
      <w:tr w:rsidR="00184899" w:rsidRPr="00696588" w:rsidTr="00E95A6A">
        <w:tc>
          <w:tcPr>
            <w:tcW w:w="2427" w:type="pct"/>
            <w:gridSpan w:val="2"/>
          </w:tcPr>
          <w:p w:rsidR="00184899" w:rsidRPr="00696588" w:rsidRDefault="00184899" w:rsidP="00184899">
            <w:pPr>
              <w:jc w:val="both"/>
              <w:rPr>
                <w:sz w:val="20"/>
                <w:lang w:val="fr-CA"/>
              </w:rPr>
            </w:pPr>
            <w:r w:rsidRPr="00696588">
              <w:rPr>
                <w:sz w:val="20"/>
                <w:lang w:val="fr-CA"/>
              </w:rPr>
              <w:t>26 mai 2017</w:t>
            </w:r>
          </w:p>
          <w:p w:rsidR="00184899" w:rsidRPr="00696588" w:rsidRDefault="00184899" w:rsidP="00184899">
            <w:pPr>
              <w:jc w:val="both"/>
              <w:rPr>
                <w:sz w:val="20"/>
                <w:lang w:val="fr-CA"/>
              </w:rPr>
            </w:pPr>
            <w:r w:rsidRPr="00696588">
              <w:rPr>
                <w:sz w:val="20"/>
                <w:lang w:val="fr-CA"/>
              </w:rPr>
              <w:t>Cour fédérale</w:t>
            </w:r>
          </w:p>
          <w:p w:rsidR="00184899" w:rsidRPr="00696588" w:rsidRDefault="00184899" w:rsidP="00184899">
            <w:pPr>
              <w:jc w:val="both"/>
              <w:rPr>
                <w:sz w:val="20"/>
                <w:lang w:val="fr-CA"/>
              </w:rPr>
            </w:pPr>
            <w:r w:rsidRPr="00696588">
              <w:rPr>
                <w:sz w:val="20"/>
                <w:lang w:val="fr-CA"/>
              </w:rPr>
              <w:t>(Juge Southcott)</w:t>
            </w:r>
          </w:p>
          <w:p w:rsidR="00184899" w:rsidRPr="00696588" w:rsidRDefault="00184899" w:rsidP="00184899">
            <w:pPr>
              <w:jc w:val="both"/>
              <w:rPr>
                <w:sz w:val="20"/>
                <w:lang w:val="fr-CA"/>
              </w:rPr>
            </w:pPr>
            <w:hyperlink r:id="rId22" w:history="1">
              <w:r w:rsidRPr="00696588">
                <w:rPr>
                  <w:rStyle w:val="Hyperlink"/>
                  <w:sz w:val="20"/>
                  <w:lang w:val="fr-CA"/>
                </w:rPr>
                <w:t>2017 CF 522</w:t>
              </w:r>
            </w:hyperlink>
          </w:p>
          <w:p w:rsidR="00184899" w:rsidRPr="00696588" w:rsidRDefault="00184899" w:rsidP="00184899">
            <w:pPr>
              <w:jc w:val="both"/>
              <w:rPr>
                <w:sz w:val="20"/>
                <w:lang w:val="fr-CA"/>
              </w:rPr>
            </w:pPr>
          </w:p>
        </w:tc>
        <w:tc>
          <w:tcPr>
            <w:tcW w:w="243" w:type="pct"/>
          </w:tcPr>
          <w:p w:rsidR="00184899" w:rsidRPr="00696588" w:rsidRDefault="00184899" w:rsidP="00184899">
            <w:pPr>
              <w:jc w:val="both"/>
              <w:rPr>
                <w:sz w:val="20"/>
                <w:lang w:val="fr-CA"/>
              </w:rPr>
            </w:pPr>
          </w:p>
        </w:tc>
        <w:tc>
          <w:tcPr>
            <w:tcW w:w="2330" w:type="pct"/>
          </w:tcPr>
          <w:p w:rsidR="00184899" w:rsidRPr="00696588" w:rsidRDefault="00184899" w:rsidP="00184899">
            <w:pPr>
              <w:jc w:val="both"/>
              <w:rPr>
                <w:sz w:val="20"/>
                <w:lang w:val="fr-CA"/>
              </w:rPr>
            </w:pPr>
            <w:r w:rsidRPr="00696588">
              <w:rPr>
                <w:sz w:val="20"/>
                <w:lang w:val="fr-CA"/>
              </w:rPr>
              <w:t>Rejet de la demande de contrôle judiciaire</w:t>
            </w:r>
          </w:p>
          <w:p w:rsidR="00184899" w:rsidRPr="00696588" w:rsidRDefault="00184899" w:rsidP="00184899">
            <w:pPr>
              <w:jc w:val="both"/>
              <w:rPr>
                <w:sz w:val="20"/>
                <w:lang w:val="fr-CA"/>
              </w:rPr>
            </w:pPr>
          </w:p>
        </w:tc>
      </w:tr>
      <w:tr w:rsidR="00184899" w:rsidRPr="00696588" w:rsidTr="00E95A6A">
        <w:tc>
          <w:tcPr>
            <w:tcW w:w="2427" w:type="pct"/>
            <w:gridSpan w:val="2"/>
          </w:tcPr>
          <w:p w:rsidR="00184899" w:rsidRPr="00696588" w:rsidRDefault="00184899" w:rsidP="00184899">
            <w:pPr>
              <w:jc w:val="both"/>
              <w:rPr>
                <w:sz w:val="20"/>
                <w:lang w:val="fr-CA"/>
              </w:rPr>
            </w:pPr>
            <w:r w:rsidRPr="00696588">
              <w:rPr>
                <w:sz w:val="20"/>
                <w:lang w:val="fr-CA"/>
              </w:rPr>
              <w:t>21 février 2019</w:t>
            </w:r>
          </w:p>
          <w:p w:rsidR="00184899" w:rsidRPr="00696588" w:rsidRDefault="00184899" w:rsidP="00184899">
            <w:pPr>
              <w:jc w:val="both"/>
              <w:rPr>
                <w:sz w:val="20"/>
                <w:lang w:val="fr-CA"/>
              </w:rPr>
            </w:pPr>
            <w:r w:rsidRPr="00696588">
              <w:rPr>
                <w:sz w:val="20"/>
                <w:lang w:val="fr-CA"/>
              </w:rPr>
              <w:t>Cour d’appel fédérale</w:t>
            </w:r>
          </w:p>
          <w:p w:rsidR="00184899" w:rsidRPr="00696588" w:rsidRDefault="00184899" w:rsidP="00184899">
            <w:pPr>
              <w:jc w:val="both"/>
              <w:rPr>
                <w:sz w:val="20"/>
                <w:lang w:val="fr-CA"/>
              </w:rPr>
            </w:pPr>
            <w:r w:rsidRPr="00696588">
              <w:rPr>
                <w:sz w:val="20"/>
                <w:lang w:val="fr-CA"/>
              </w:rPr>
              <w:t>(Juges Stratas, Rennie et Woods)</w:t>
            </w:r>
          </w:p>
          <w:p w:rsidR="00184899" w:rsidRPr="00696588" w:rsidRDefault="00184899" w:rsidP="00184899">
            <w:pPr>
              <w:jc w:val="both"/>
              <w:rPr>
                <w:sz w:val="20"/>
                <w:lang w:val="fr-CA"/>
              </w:rPr>
            </w:pPr>
            <w:hyperlink r:id="rId23" w:history="1">
              <w:r w:rsidRPr="00696588">
                <w:rPr>
                  <w:rStyle w:val="Hyperlink"/>
                  <w:sz w:val="20"/>
                  <w:lang w:val="fr-CA"/>
                </w:rPr>
                <w:t>2019 FCA 34</w:t>
              </w:r>
            </w:hyperlink>
            <w:r w:rsidRPr="00696588">
              <w:rPr>
                <w:sz w:val="20"/>
                <w:lang w:val="fr-CA"/>
              </w:rPr>
              <w:t>; A</w:t>
            </w:r>
            <w:r w:rsidRPr="00696588">
              <w:rPr>
                <w:sz w:val="20"/>
                <w:lang w:val="fr-CA"/>
              </w:rPr>
              <w:noBreakHyphen/>
              <w:t>191</w:t>
            </w:r>
            <w:r w:rsidRPr="00696588">
              <w:rPr>
                <w:sz w:val="20"/>
                <w:lang w:val="fr-CA"/>
              </w:rPr>
              <w:noBreakHyphen/>
              <w:t>17</w:t>
            </w:r>
          </w:p>
          <w:p w:rsidR="00184899" w:rsidRPr="00696588" w:rsidRDefault="00184899" w:rsidP="00184899">
            <w:pPr>
              <w:jc w:val="both"/>
              <w:rPr>
                <w:sz w:val="20"/>
                <w:lang w:val="fr-CA"/>
              </w:rPr>
            </w:pPr>
          </w:p>
        </w:tc>
        <w:tc>
          <w:tcPr>
            <w:tcW w:w="243" w:type="pct"/>
          </w:tcPr>
          <w:p w:rsidR="00184899" w:rsidRPr="00696588" w:rsidRDefault="00184899" w:rsidP="00184899">
            <w:pPr>
              <w:jc w:val="both"/>
              <w:rPr>
                <w:sz w:val="20"/>
                <w:lang w:val="fr-CA"/>
              </w:rPr>
            </w:pPr>
          </w:p>
        </w:tc>
        <w:tc>
          <w:tcPr>
            <w:tcW w:w="2330" w:type="pct"/>
          </w:tcPr>
          <w:p w:rsidR="00184899" w:rsidRPr="00696588" w:rsidRDefault="00184899" w:rsidP="00184899">
            <w:pPr>
              <w:jc w:val="both"/>
              <w:rPr>
                <w:sz w:val="20"/>
                <w:lang w:val="fr-CA"/>
              </w:rPr>
            </w:pPr>
            <w:r w:rsidRPr="00696588">
              <w:rPr>
                <w:sz w:val="20"/>
                <w:lang w:val="fr-CA"/>
              </w:rPr>
              <w:t>Rejet de l’appel</w:t>
            </w:r>
          </w:p>
          <w:p w:rsidR="00184899" w:rsidRPr="00696588" w:rsidRDefault="00184899" w:rsidP="00184899">
            <w:pPr>
              <w:jc w:val="both"/>
              <w:rPr>
                <w:sz w:val="20"/>
                <w:lang w:val="fr-CA"/>
              </w:rPr>
            </w:pPr>
          </w:p>
        </w:tc>
      </w:tr>
      <w:tr w:rsidR="00184899" w:rsidRPr="00696588" w:rsidTr="00E95A6A">
        <w:tc>
          <w:tcPr>
            <w:tcW w:w="2427" w:type="pct"/>
            <w:gridSpan w:val="2"/>
          </w:tcPr>
          <w:p w:rsidR="00184899" w:rsidRPr="00696588" w:rsidRDefault="00184899" w:rsidP="00184899">
            <w:pPr>
              <w:jc w:val="both"/>
              <w:rPr>
                <w:sz w:val="20"/>
                <w:lang w:val="fr-CA"/>
              </w:rPr>
            </w:pPr>
            <w:r w:rsidRPr="00696588">
              <w:rPr>
                <w:sz w:val="20"/>
                <w:lang w:val="fr-CA"/>
              </w:rPr>
              <w:t>16 avril 2019</w:t>
            </w:r>
          </w:p>
          <w:p w:rsidR="00184899" w:rsidRPr="00696588" w:rsidRDefault="00184899" w:rsidP="00184899">
            <w:pPr>
              <w:jc w:val="both"/>
              <w:rPr>
                <w:sz w:val="20"/>
                <w:lang w:val="fr-CA"/>
              </w:rPr>
            </w:pPr>
            <w:r w:rsidRPr="00696588">
              <w:rPr>
                <w:sz w:val="20"/>
                <w:lang w:val="fr-CA"/>
              </w:rPr>
              <w:t>Cour suprême du Canada</w:t>
            </w:r>
          </w:p>
        </w:tc>
        <w:tc>
          <w:tcPr>
            <w:tcW w:w="243" w:type="pct"/>
          </w:tcPr>
          <w:p w:rsidR="00184899" w:rsidRPr="00696588" w:rsidRDefault="00184899" w:rsidP="00184899">
            <w:pPr>
              <w:jc w:val="both"/>
              <w:rPr>
                <w:sz w:val="20"/>
                <w:lang w:val="fr-CA"/>
              </w:rPr>
            </w:pPr>
          </w:p>
        </w:tc>
        <w:tc>
          <w:tcPr>
            <w:tcW w:w="2330" w:type="pct"/>
          </w:tcPr>
          <w:p w:rsidR="00184899" w:rsidRPr="00696588" w:rsidRDefault="00184899" w:rsidP="00184899">
            <w:pPr>
              <w:jc w:val="both"/>
              <w:rPr>
                <w:sz w:val="20"/>
                <w:lang w:val="fr-CA"/>
              </w:rPr>
            </w:pPr>
            <w:r w:rsidRPr="00696588">
              <w:rPr>
                <w:sz w:val="20"/>
                <w:lang w:val="fr-CA"/>
              </w:rPr>
              <w:t>Dépôt de la demande d’autorisation d’appel</w:t>
            </w:r>
          </w:p>
          <w:p w:rsidR="00184899" w:rsidRPr="00696588" w:rsidRDefault="00184899" w:rsidP="00184899">
            <w:pPr>
              <w:jc w:val="both"/>
              <w:rPr>
                <w:sz w:val="20"/>
                <w:lang w:val="fr-CA"/>
              </w:rPr>
            </w:pPr>
          </w:p>
        </w:tc>
      </w:tr>
    </w:tbl>
    <w:p w:rsidR="00184899" w:rsidRPr="00696588" w:rsidRDefault="00184899" w:rsidP="00184899">
      <w:pPr>
        <w:jc w:val="both"/>
        <w:rPr>
          <w:sz w:val="20"/>
          <w:lang w:val="fr-CA"/>
        </w:rPr>
      </w:pPr>
    </w:p>
    <w:p w:rsidR="00184899" w:rsidRPr="00696588" w:rsidRDefault="0054182A" w:rsidP="00184899">
      <w:pPr>
        <w:ind w:left="142" w:hanging="142"/>
        <w:jc w:val="both"/>
        <w:rPr>
          <w:sz w:val="20"/>
          <w:lang w:val="fr-CA"/>
        </w:rPr>
      </w:pPr>
      <w:r w:rsidRPr="00696588">
        <w:rPr>
          <w:sz w:val="20"/>
        </w:rPr>
        <w:pict>
          <v:rect id="_x0000_i1032" style="width:2in;height:1pt" o:hrpct="0" o:hralign="center" o:hrstd="t" o:hrnoshade="t" o:hr="t" fillcolor="black [3213]" stroked="f"/>
        </w:pict>
      </w:r>
    </w:p>
    <w:p w:rsidR="0054182A" w:rsidRPr="00696588" w:rsidRDefault="0054182A" w:rsidP="00184899">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84899" w:rsidRPr="00696588" w:rsidTr="00E95A6A">
        <w:tc>
          <w:tcPr>
            <w:tcW w:w="543" w:type="pct"/>
          </w:tcPr>
          <w:p w:rsidR="00184899" w:rsidRPr="00696588" w:rsidRDefault="00184899" w:rsidP="00184899">
            <w:pPr>
              <w:jc w:val="both"/>
              <w:rPr>
                <w:sz w:val="20"/>
              </w:rPr>
            </w:pPr>
            <w:r w:rsidRPr="00696588">
              <w:rPr>
                <w:rStyle w:val="SCCFileNumberChar"/>
                <w:sz w:val="20"/>
                <w:szCs w:val="20"/>
              </w:rPr>
              <w:t>38550</w:t>
            </w:r>
          </w:p>
        </w:tc>
        <w:tc>
          <w:tcPr>
            <w:tcW w:w="4457" w:type="pct"/>
            <w:gridSpan w:val="3"/>
          </w:tcPr>
          <w:p w:rsidR="00184899" w:rsidRPr="00696588" w:rsidRDefault="00184899" w:rsidP="00184899">
            <w:pPr>
              <w:pStyle w:val="SCCLsocParty"/>
              <w:jc w:val="both"/>
              <w:rPr>
                <w:b/>
                <w:sz w:val="20"/>
                <w:szCs w:val="20"/>
                <w:lang w:val="en-US"/>
              </w:rPr>
            </w:pPr>
            <w:r w:rsidRPr="00696588">
              <w:rPr>
                <w:b/>
                <w:sz w:val="20"/>
                <w:szCs w:val="20"/>
                <w:lang w:val="en-US"/>
              </w:rPr>
              <w:t>Sadhu Singh Hamdard Trust v. Navsun Holdings Ltd.</w:t>
            </w:r>
          </w:p>
          <w:p w:rsidR="00184899" w:rsidRPr="00696588" w:rsidRDefault="00184899" w:rsidP="0054182A">
            <w:pPr>
              <w:jc w:val="both"/>
              <w:rPr>
                <w:sz w:val="20"/>
              </w:rPr>
            </w:pPr>
            <w:r w:rsidRPr="00696588">
              <w:rPr>
                <w:sz w:val="20"/>
              </w:rPr>
              <w:t>(F</w:t>
            </w:r>
            <w:r w:rsidR="0054182A" w:rsidRPr="00696588">
              <w:rPr>
                <w:sz w:val="20"/>
              </w:rPr>
              <w:t>.</w:t>
            </w:r>
            <w:r w:rsidRPr="00696588">
              <w:rPr>
                <w:sz w:val="20"/>
              </w:rPr>
              <w:t>C</w:t>
            </w:r>
            <w:r w:rsidR="0054182A" w:rsidRPr="00696588">
              <w:rPr>
                <w:sz w:val="20"/>
              </w:rPr>
              <w:t>.</w:t>
            </w:r>
            <w:r w:rsidRPr="00696588">
              <w:rPr>
                <w:sz w:val="20"/>
              </w:rPr>
              <w:t>) (Civil) (By Leave)</w:t>
            </w:r>
          </w:p>
        </w:tc>
      </w:tr>
      <w:tr w:rsidR="00184899" w:rsidRPr="00696588" w:rsidTr="00E95A6A">
        <w:tc>
          <w:tcPr>
            <w:tcW w:w="5000" w:type="pct"/>
            <w:gridSpan w:val="4"/>
          </w:tcPr>
          <w:p w:rsidR="00184899" w:rsidRPr="00696588" w:rsidRDefault="00184899" w:rsidP="00184899">
            <w:pPr>
              <w:jc w:val="both"/>
              <w:rPr>
                <w:sz w:val="20"/>
              </w:rPr>
            </w:pPr>
            <w:r w:rsidRPr="00696588">
              <w:rPr>
                <w:sz w:val="20"/>
              </w:rPr>
              <w:t>Intellectual property — Trade-marks — Confusion — Registration — Both parties distribute newspapers in Canada under name AJIT — Whether Applicant’s AJIT trade</w:t>
            </w:r>
            <w:r w:rsidRPr="00696588">
              <w:rPr>
                <w:sz w:val="20"/>
              </w:rPr>
              <w:noBreakHyphen/>
              <w:t>mark is “distinctive”.</w:t>
            </w:r>
          </w:p>
          <w:p w:rsidR="00184899" w:rsidRPr="00696588" w:rsidRDefault="00184899" w:rsidP="00184899">
            <w:pPr>
              <w:jc w:val="both"/>
              <w:rPr>
                <w:sz w:val="20"/>
              </w:rPr>
            </w:pPr>
          </w:p>
        </w:tc>
      </w:tr>
      <w:tr w:rsidR="00184899" w:rsidRPr="00696588" w:rsidTr="00E95A6A">
        <w:tc>
          <w:tcPr>
            <w:tcW w:w="5000" w:type="pct"/>
            <w:gridSpan w:val="4"/>
          </w:tcPr>
          <w:p w:rsidR="00184899" w:rsidRPr="00696588" w:rsidRDefault="00184899" w:rsidP="00184899">
            <w:pPr>
              <w:jc w:val="both"/>
              <w:rPr>
                <w:sz w:val="20"/>
              </w:rPr>
            </w:pPr>
            <w:r w:rsidRPr="00696588">
              <w:rPr>
                <w:sz w:val="20"/>
              </w:rPr>
              <w:t>The parties both publish a Punjabi language newspaper under the name “AJIT”, which is Punjabi for “unconquerable” or “invincible”. The paper published by Sadhu Singh Hamdard Trust (the “Trust”) is a daily publication based on India, and has been distributed in Canada since 1968. Its highest distribution in Canada was between 1990 and 1993, when it averaged 29 annual subscriptions; between 2002 and 2010, it had six subscribers. The paper published by Navsun Holdings Ltd. has been published weekly since about 1993 and is distributed in Vancouver and the Greater Toronto area. When these proceedings were commenced, its weekly circulation was roughly 11,000 in Vancouver and 13,000 in the Toronto area.</w:t>
            </w:r>
          </w:p>
          <w:p w:rsidR="00184899" w:rsidRPr="00696588" w:rsidRDefault="00184899" w:rsidP="00184899">
            <w:pPr>
              <w:jc w:val="both"/>
              <w:rPr>
                <w:sz w:val="20"/>
              </w:rPr>
            </w:pPr>
          </w:p>
          <w:p w:rsidR="00184899" w:rsidRPr="00696588" w:rsidRDefault="00184899" w:rsidP="00184899">
            <w:pPr>
              <w:jc w:val="both"/>
              <w:rPr>
                <w:sz w:val="20"/>
              </w:rPr>
            </w:pPr>
            <w:r w:rsidRPr="00696588">
              <w:rPr>
                <w:sz w:val="20"/>
              </w:rPr>
              <w:t>In June 2010, the Trust applied to register the trade</w:t>
            </w:r>
            <w:r w:rsidRPr="00696588">
              <w:rPr>
                <w:sz w:val="20"/>
              </w:rPr>
              <w:noBreakHyphen/>
              <w:t xml:space="preserve">mark AJIT based on its use of the mark since at least as early as 1968 in association with printed publications and newspapers. The Examination Section of the Canadian Intellectual Property Office objected on the basis that the mark was confusing with four pending applications by Navsun. The Trust advised that those applications had been voluntarily withdrawn. The application was advertised for opposition purposes in the </w:t>
            </w:r>
            <w:r w:rsidRPr="00696588">
              <w:rPr>
                <w:i/>
                <w:sz w:val="20"/>
              </w:rPr>
              <w:t>Trade</w:t>
            </w:r>
            <w:r w:rsidRPr="00696588">
              <w:rPr>
                <w:i/>
                <w:sz w:val="20"/>
              </w:rPr>
              <w:noBreakHyphen/>
              <w:t>Marks Journal</w:t>
            </w:r>
            <w:r w:rsidRPr="00696588">
              <w:rPr>
                <w:sz w:val="20"/>
              </w:rPr>
              <w:t xml:space="preserve"> dated August 1, 2012. It was opposed by Navsun.</w:t>
            </w:r>
          </w:p>
          <w:p w:rsidR="00184899" w:rsidRPr="00696588" w:rsidRDefault="00184899" w:rsidP="00184899">
            <w:pPr>
              <w:jc w:val="both"/>
              <w:rPr>
                <w:sz w:val="20"/>
              </w:rPr>
            </w:pPr>
          </w:p>
          <w:p w:rsidR="00184899" w:rsidRPr="00696588" w:rsidRDefault="00184899" w:rsidP="00184899">
            <w:pPr>
              <w:jc w:val="both"/>
              <w:rPr>
                <w:sz w:val="20"/>
              </w:rPr>
            </w:pPr>
            <w:r w:rsidRPr="00696588">
              <w:rPr>
                <w:sz w:val="20"/>
              </w:rPr>
              <w:t>The Trade</w:t>
            </w:r>
            <w:r w:rsidRPr="00696588">
              <w:rPr>
                <w:sz w:val="20"/>
              </w:rPr>
              <w:noBreakHyphen/>
              <w:t xml:space="preserve">marks Opposition Board found that </w:t>
            </w:r>
            <w:proofErr w:type="spellStart"/>
            <w:r w:rsidRPr="00696588">
              <w:rPr>
                <w:sz w:val="20"/>
              </w:rPr>
              <w:t>Navsun’s</w:t>
            </w:r>
            <w:proofErr w:type="spellEnd"/>
            <w:r w:rsidRPr="00696588">
              <w:rPr>
                <w:sz w:val="20"/>
              </w:rPr>
              <w:t xml:space="preserve"> mark was sufficiently known to negate the distinctiveness of the mark applied for by the Trust on the material date. The Federal Court dismissed the Trust’s appeal, as did the Court of Appeal.</w:t>
            </w:r>
          </w:p>
          <w:p w:rsidR="00184899" w:rsidRPr="00696588" w:rsidRDefault="00184899" w:rsidP="00184899">
            <w:pPr>
              <w:jc w:val="both"/>
              <w:rPr>
                <w:sz w:val="20"/>
              </w:rPr>
            </w:pPr>
          </w:p>
        </w:tc>
      </w:tr>
      <w:tr w:rsidR="00184899" w:rsidRPr="00696588" w:rsidTr="00E95A6A">
        <w:tc>
          <w:tcPr>
            <w:tcW w:w="2427" w:type="pct"/>
            <w:gridSpan w:val="2"/>
          </w:tcPr>
          <w:p w:rsidR="00184899" w:rsidRPr="00696588" w:rsidRDefault="00184899" w:rsidP="00184899">
            <w:pPr>
              <w:jc w:val="both"/>
              <w:rPr>
                <w:sz w:val="20"/>
              </w:rPr>
            </w:pPr>
            <w:r w:rsidRPr="00696588">
              <w:rPr>
                <w:sz w:val="20"/>
              </w:rPr>
              <w:t>January 17, 2018</w:t>
            </w:r>
          </w:p>
          <w:p w:rsidR="00184899" w:rsidRPr="00696588" w:rsidRDefault="00184899" w:rsidP="00184899">
            <w:pPr>
              <w:jc w:val="both"/>
              <w:rPr>
                <w:sz w:val="20"/>
              </w:rPr>
            </w:pPr>
            <w:r w:rsidRPr="00696588">
              <w:rPr>
                <w:sz w:val="20"/>
              </w:rPr>
              <w:t>Federal Court</w:t>
            </w:r>
          </w:p>
          <w:p w:rsidR="00184899" w:rsidRPr="00696588" w:rsidRDefault="00184899" w:rsidP="00184899">
            <w:pPr>
              <w:jc w:val="both"/>
              <w:rPr>
                <w:sz w:val="20"/>
              </w:rPr>
            </w:pPr>
            <w:r w:rsidRPr="00696588">
              <w:rPr>
                <w:sz w:val="20"/>
              </w:rPr>
              <w:t>(Southcott J.)</w:t>
            </w:r>
          </w:p>
          <w:p w:rsidR="00184899" w:rsidRPr="00696588" w:rsidRDefault="00184899" w:rsidP="00184899">
            <w:pPr>
              <w:jc w:val="both"/>
              <w:rPr>
                <w:rStyle w:val="Hyperlink"/>
                <w:sz w:val="20"/>
                <w:lang w:val="en"/>
              </w:rPr>
            </w:pPr>
            <w:r w:rsidRPr="00696588">
              <w:rPr>
                <w:rStyle w:val="reflex3-alt"/>
                <w:color w:val="027ABB"/>
                <w:sz w:val="20"/>
                <w:lang w:val="en"/>
              </w:rPr>
              <w:fldChar w:fldCharType="begin"/>
            </w:r>
            <w:r w:rsidRPr="00696588">
              <w:rPr>
                <w:rStyle w:val="reflex3-alt"/>
                <w:color w:val="027ABB"/>
                <w:sz w:val="20"/>
                <w:lang w:val="en"/>
              </w:rPr>
              <w:instrText xml:space="preserve"> HYPERLINK "https://www.canlii.org/en/ca/fct/doc/2018/2018fc42/2018fc42.html" </w:instrText>
            </w:r>
            <w:r w:rsidRPr="00696588">
              <w:rPr>
                <w:rStyle w:val="reflex3-alt"/>
                <w:color w:val="027ABB"/>
                <w:sz w:val="20"/>
                <w:lang w:val="en"/>
              </w:rPr>
              <w:fldChar w:fldCharType="separate"/>
            </w:r>
            <w:r w:rsidRPr="00696588">
              <w:rPr>
                <w:rStyle w:val="Hyperlink"/>
                <w:sz w:val="20"/>
                <w:lang w:val="en"/>
              </w:rPr>
              <w:t>2018 FC 42</w:t>
            </w:r>
          </w:p>
          <w:p w:rsidR="00184899" w:rsidRPr="00696588" w:rsidRDefault="00184899" w:rsidP="00184899">
            <w:pPr>
              <w:jc w:val="both"/>
              <w:rPr>
                <w:sz w:val="20"/>
              </w:rPr>
            </w:pPr>
            <w:r w:rsidRPr="00696588">
              <w:rPr>
                <w:rStyle w:val="reflex3-alt"/>
                <w:color w:val="027ABB"/>
                <w:sz w:val="20"/>
                <w:lang w:val="en"/>
              </w:rPr>
              <w:fldChar w:fldCharType="end"/>
            </w:r>
          </w:p>
        </w:tc>
        <w:tc>
          <w:tcPr>
            <w:tcW w:w="243" w:type="pct"/>
          </w:tcPr>
          <w:p w:rsidR="00184899" w:rsidRPr="00696588" w:rsidRDefault="00184899" w:rsidP="00184899">
            <w:pPr>
              <w:jc w:val="both"/>
              <w:rPr>
                <w:sz w:val="20"/>
              </w:rPr>
            </w:pPr>
          </w:p>
        </w:tc>
        <w:tc>
          <w:tcPr>
            <w:tcW w:w="2330" w:type="pct"/>
          </w:tcPr>
          <w:p w:rsidR="00184899" w:rsidRPr="00696588" w:rsidRDefault="00184899" w:rsidP="00184899">
            <w:pPr>
              <w:jc w:val="both"/>
              <w:rPr>
                <w:spacing w:val="-6"/>
                <w:sz w:val="20"/>
              </w:rPr>
            </w:pPr>
            <w:r w:rsidRPr="00696588">
              <w:rPr>
                <w:spacing w:val="-6"/>
                <w:sz w:val="20"/>
              </w:rPr>
              <w:t>Appeal from order of Trade</w:t>
            </w:r>
            <w:r w:rsidRPr="00696588">
              <w:rPr>
                <w:spacing w:val="-6"/>
                <w:sz w:val="20"/>
              </w:rPr>
              <w:noBreakHyphen/>
              <w:t>Marks Opposition Board dismissed</w:t>
            </w:r>
          </w:p>
        </w:tc>
      </w:tr>
      <w:tr w:rsidR="00184899" w:rsidRPr="00696588" w:rsidTr="00E95A6A">
        <w:tc>
          <w:tcPr>
            <w:tcW w:w="2427" w:type="pct"/>
            <w:gridSpan w:val="2"/>
          </w:tcPr>
          <w:p w:rsidR="00184899" w:rsidRPr="00696588" w:rsidRDefault="00184899" w:rsidP="00184899">
            <w:pPr>
              <w:jc w:val="both"/>
              <w:rPr>
                <w:sz w:val="20"/>
              </w:rPr>
            </w:pPr>
            <w:r w:rsidRPr="00696588">
              <w:rPr>
                <w:sz w:val="20"/>
              </w:rPr>
              <w:t>January 17, 2019</w:t>
            </w:r>
          </w:p>
          <w:p w:rsidR="00184899" w:rsidRPr="00696588" w:rsidRDefault="00184899" w:rsidP="00184899">
            <w:pPr>
              <w:jc w:val="both"/>
              <w:rPr>
                <w:sz w:val="20"/>
              </w:rPr>
            </w:pPr>
            <w:r w:rsidRPr="00696588">
              <w:rPr>
                <w:sz w:val="20"/>
              </w:rPr>
              <w:t>Federal Court of Appeal</w:t>
            </w:r>
          </w:p>
          <w:p w:rsidR="00184899" w:rsidRPr="00696588" w:rsidRDefault="00184899" w:rsidP="00184899">
            <w:pPr>
              <w:jc w:val="both"/>
              <w:rPr>
                <w:sz w:val="20"/>
              </w:rPr>
            </w:pPr>
            <w:r w:rsidRPr="00696588">
              <w:rPr>
                <w:sz w:val="20"/>
              </w:rPr>
              <w:t>(</w:t>
            </w:r>
            <w:proofErr w:type="spellStart"/>
            <w:r w:rsidRPr="00696588">
              <w:rPr>
                <w:sz w:val="20"/>
              </w:rPr>
              <w:t>Stratas</w:t>
            </w:r>
            <w:proofErr w:type="spellEnd"/>
            <w:r w:rsidRPr="00696588">
              <w:rPr>
                <w:sz w:val="20"/>
              </w:rPr>
              <w:t>, Rennie, Woods JJ.A.)</w:t>
            </w:r>
          </w:p>
          <w:p w:rsidR="00184899" w:rsidRPr="00696588" w:rsidRDefault="00184899" w:rsidP="00184899">
            <w:pPr>
              <w:jc w:val="both"/>
              <w:rPr>
                <w:sz w:val="20"/>
              </w:rPr>
            </w:pPr>
            <w:hyperlink r:id="rId24" w:history="1">
              <w:r w:rsidRPr="00696588">
                <w:rPr>
                  <w:rStyle w:val="Hyperlink"/>
                  <w:sz w:val="20"/>
                </w:rPr>
                <w:t>2019 FCA 10</w:t>
              </w:r>
            </w:hyperlink>
          </w:p>
          <w:p w:rsidR="00184899" w:rsidRPr="00696588" w:rsidRDefault="00184899" w:rsidP="00184899">
            <w:pPr>
              <w:jc w:val="both"/>
              <w:rPr>
                <w:sz w:val="20"/>
              </w:rPr>
            </w:pPr>
          </w:p>
        </w:tc>
        <w:tc>
          <w:tcPr>
            <w:tcW w:w="243" w:type="pct"/>
          </w:tcPr>
          <w:p w:rsidR="00184899" w:rsidRPr="00696588" w:rsidRDefault="00184899" w:rsidP="00184899">
            <w:pPr>
              <w:jc w:val="both"/>
              <w:rPr>
                <w:sz w:val="20"/>
              </w:rPr>
            </w:pPr>
          </w:p>
        </w:tc>
        <w:tc>
          <w:tcPr>
            <w:tcW w:w="2330" w:type="pct"/>
          </w:tcPr>
          <w:p w:rsidR="00184899" w:rsidRPr="00696588" w:rsidRDefault="00184899" w:rsidP="00184899">
            <w:pPr>
              <w:jc w:val="both"/>
              <w:rPr>
                <w:sz w:val="20"/>
              </w:rPr>
            </w:pPr>
            <w:r w:rsidRPr="00696588">
              <w:rPr>
                <w:sz w:val="20"/>
              </w:rPr>
              <w:t>Appeal dismissed</w:t>
            </w:r>
          </w:p>
        </w:tc>
      </w:tr>
      <w:tr w:rsidR="00184899" w:rsidRPr="00696588" w:rsidTr="00E95A6A">
        <w:tc>
          <w:tcPr>
            <w:tcW w:w="2427" w:type="pct"/>
            <w:gridSpan w:val="2"/>
          </w:tcPr>
          <w:p w:rsidR="00184899" w:rsidRPr="00696588" w:rsidRDefault="00184899" w:rsidP="00184899">
            <w:pPr>
              <w:jc w:val="both"/>
              <w:rPr>
                <w:sz w:val="20"/>
              </w:rPr>
            </w:pPr>
            <w:r w:rsidRPr="00696588">
              <w:rPr>
                <w:sz w:val="20"/>
              </w:rPr>
              <w:t>March 15, 2019</w:t>
            </w:r>
          </w:p>
          <w:p w:rsidR="00184899" w:rsidRPr="00696588" w:rsidRDefault="00184899" w:rsidP="00184899">
            <w:pPr>
              <w:jc w:val="both"/>
              <w:rPr>
                <w:sz w:val="20"/>
              </w:rPr>
            </w:pPr>
            <w:r w:rsidRPr="00696588">
              <w:rPr>
                <w:sz w:val="20"/>
              </w:rPr>
              <w:t>Supreme Court of Canada</w:t>
            </w:r>
          </w:p>
          <w:p w:rsidR="00184899" w:rsidRPr="00696588" w:rsidRDefault="00184899" w:rsidP="00184899">
            <w:pPr>
              <w:jc w:val="both"/>
              <w:rPr>
                <w:sz w:val="20"/>
              </w:rPr>
            </w:pPr>
          </w:p>
        </w:tc>
        <w:tc>
          <w:tcPr>
            <w:tcW w:w="243" w:type="pct"/>
          </w:tcPr>
          <w:p w:rsidR="00184899" w:rsidRPr="00696588" w:rsidRDefault="00184899" w:rsidP="00184899">
            <w:pPr>
              <w:jc w:val="both"/>
              <w:rPr>
                <w:sz w:val="20"/>
              </w:rPr>
            </w:pPr>
          </w:p>
        </w:tc>
        <w:tc>
          <w:tcPr>
            <w:tcW w:w="2330" w:type="pct"/>
          </w:tcPr>
          <w:p w:rsidR="00184899" w:rsidRPr="00696588" w:rsidRDefault="00184899" w:rsidP="00184899">
            <w:pPr>
              <w:jc w:val="both"/>
              <w:rPr>
                <w:sz w:val="20"/>
              </w:rPr>
            </w:pPr>
            <w:r w:rsidRPr="00696588">
              <w:rPr>
                <w:sz w:val="20"/>
              </w:rPr>
              <w:t>Application for leave to appeal filed</w:t>
            </w:r>
          </w:p>
        </w:tc>
      </w:tr>
      <w:tr w:rsidR="00184899" w:rsidRPr="00696588" w:rsidTr="00E95A6A">
        <w:tc>
          <w:tcPr>
            <w:tcW w:w="2427" w:type="pct"/>
            <w:gridSpan w:val="2"/>
          </w:tcPr>
          <w:p w:rsidR="00184899" w:rsidRPr="00696588" w:rsidRDefault="00184899" w:rsidP="00184899">
            <w:pPr>
              <w:jc w:val="both"/>
              <w:rPr>
                <w:sz w:val="20"/>
              </w:rPr>
            </w:pPr>
            <w:r w:rsidRPr="00696588">
              <w:rPr>
                <w:sz w:val="20"/>
              </w:rPr>
              <w:t>May 16, 2019</w:t>
            </w:r>
          </w:p>
          <w:p w:rsidR="00184899" w:rsidRPr="00696588" w:rsidRDefault="00184899" w:rsidP="00184899">
            <w:pPr>
              <w:jc w:val="both"/>
              <w:rPr>
                <w:sz w:val="20"/>
              </w:rPr>
            </w:pPr>
            <w:r w:rsidRPr="00696588">
              <w:rPr>
                <w:sz w:val="20"/>
              </w:rPr>
              <w:t>Supreme Court of Canada</w:t>
            </w:r>
          </w:p>
        </w:tc>
        <w:tc>
          <w:tcPr>
            <w:tcW w:w="243" w:type="pct"/>
          </w:tcPr>
          <w:p w:rsidR="00184899" w:rsidRPr="00696588" w:rsidRDefault="00184899" w:rsidP="00184899">
            <w:pPr>
              <w:jc w:val="both"/>
              <w:rPr>
                <w:sz w:val="20"/>
              </w:rPr>
            </w:pPr>
          </w:p>
        </w:tc>
        <w:tc>
          <w:tcPr>
            <w:tcW w:w="2330" w:type="pct"/>
          </w:tcPr>
          <w:p w:rsidR="00184899" w:rsidRPr="00696588" w:rsidRDefault="00184899" w:rsidP="00184899">
            <w:pPr>
              <w:jc w:val="both"/>
              <w:rPr>
                <w:sz w:val="20"/>
              </w:rPr>
            </w:pPr>
            <w:r w:rsidRPr="00696588">
              <w:rPr>
                <w:sz w:val="20"/>
              </w:rPr>
              <w:t>Motion to extend time to serve and file response filed</w:t>
            </w:r>
          </w:p>
        </w:tc>
      </w:tr>
    </w:tbl>
    <w:p w:rsidR="00184899" w:rsidRPr="00696588" w:rsidRDefault="00184899" w:rsidP="00184899">
      <w:pPr>
        <w:jc w:val="both"/>
        <w:rPr>
          <w:sz w:val="20"/>
        </w:rPr>
      </w:pPr>
    </w:p>
    <w:p w:rsidR="0054182A" w:rsidRPr="00696588" w:rsidRDefault="0054182A" w:rsidP="00184899">
      <w:pPr>
        <w:jc w:val="both"/>
        <w:rPr>
          <w:sz w:val="20"/>
        </w:rPr>
      </w:pPr>
      <w:r w:rsidRPr="00696588">
        <w:rPr>
          <w:sz w:val="20"/>
        </w:rPr>
        <w:pict>
          <v:rect id="_x0000_i1033" style="width:2in;height:1pt" o:hrpct="0" o:hralign="center" o:hrstd="t" o:hrnoshade="t" o:hr="t" fillcolor="black [3213]" stroked="f"/>
        </w:pict>
      </w:r>
    </w:p>
    <w:p w:rsidR="0054182A" w:rsidRPr="00696588" w:rsidRDefault="0054182A" w:rsidP="0018489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84899" w:rsidRPr="00696588" w:rsidTr="00E95A6A">
        <w:tc>
          <w:tcPr>
            <w:tcW w:w="543" w:type="pct"/>
          </w:tcPr>
          <w:p w:rsidR="00184899" w:rsidRPr="00696588" w:rsidRDefault="00184899" w:rsidP="00184899">
            <w:pPr>
              <w:jc w:val="both"/>
              <w:rPr>
                <w:sz w:val="20"/>
                <w:lang w:val="fr-CA"/>
              </w:rPr>
            </w:pPr>
            <w:r w:rsidRPr="00696588">
              <w:rPr>
                <w:rStyle w:val="SCCFileNumberChar"/>
                <w:sz w:val="20"/>
                <w:szCs w:val="20"/>
                <w:lang w:val="fr-CA"/>
              </w:rPr>
              <w:t>38550</w:t>
            </w:r>
          </w:p>
        </w:tc>
        <w:tc>
          <w:tcPr>
            <w:tcW w:w="4457" w:type="pct"/>
            <w:gridSpan w:val="3"/>
          </w:tcPr>
          <w:p w:rsidR="00184899" w:rsidRPr="00696588" w:rsidRDefault="00184899" w:rsidP="00184899">
            <w:pPr>
              <w:pStyle w:val="SCCLsocParty"/>
              <w:jc w:val="both"/>
              <w:rPr>
                <w:b/>
                <w:sz w:val="20"/>
                <w:szCs w:val="20"/>
                <w:lang w:val="en-US"/>
              </w:rPr>
            </w:pPr>
            <w:r w:rsidRPr="00696588">
              <w:rPr>
                <w:b/>
                <w:sz w:val="20"/>
                <w:szCs w:val="20"/>
                <w:lang w:val="en-US"/>
              </w:rPr>
              <w:t>Sadhu Singh Hamdard Trust c. Navsun Holdings Ltd.</w:t>
            </w:r>
          </w:p>
          <w:p w:rsidR="00184899" w:rsidRPr="00696588" w:rsidRDefault="00184899" w:rsidP="0054182A">
            <w:pPr>
              <w:jc w:val="both"/>
              <w:rPr>
                <w:sz w:val="20"/>
                <w:lang w:val="fr-CA"/>
              </w:rPr>
            </w:pPr>
            <w:r w:rsidRPr="00696588">
              <w:rPr>
                <w:sz w:val="20"/>
                <w:lang w:val="fr-CA"/>
              </w:rPr>
              <w:t>(C</w:t>
            </w:r>
            <w:r w:rsidR="0054182A" w:rsidRPr="00696588">
              <w:rPr>
                <w:sz w:val="20"/>
                <w:lang w:val="fr-CA"/>
              </w:rPr>
              <w:t>.</w:t>
            </w:r>
            <w:r w:rsidRPr="00696588">
              <w:rPr>
                <w:sz w:val="20"/>
                <w:lang w:val="fr-CA"/>
              </w:rPr>
              <w:t>F</w:t>
            </w:r>
            <w:r w:rsidR="0054182A" w:rsidRPr="00696588">
              <w:rPr>
                <w:sz w:val="20"/>
                <w:lang w:val="fr-CA"/>
              </w:rPr>
              <w:t>.</w:t>
            </w:r>
            <w:r w:rsidRPr="00696588">
              <w:rPr>
                <w:sz w:val="20"/>
                <w:lang w:val="fr-CA"/>
              </w:rPr>
              <w:t>) (Civile) (Autorisation)</w:t>
            </w:r>
          </w:p>
        </w:tc>
      </w:tr>
      <w:tr w:rsidR="00184899" w:rsidRPr="00696588" w:rsidTr="00E95A6A">
        <w:tc>
          <w:tcPr>
            <w:tcW w:w="5000" w:type="pct"/>
            <w:gridSpan w:val="4"/>
          </w:tcPr>
          <w:p w:rsidR="00184899" w:rsidRPr="00696588" w:rsidRDefault="00184899" w:rsidP="00184899">
            <w:pPr>
              <w:jc w:val="both"/>
              <w:rPr>
                <w:sz w:val="20"/>
                <w:lang w:val="fr-CA"/>
              </w:rPr>
            </w:pPr>
            <w:r w:rsidRPr="00696588">
              <w:rPr>
                <w:sz w:val="20"/>
                <w:lang w:val="fr-CA"/>
              </w:rPr>
              <w:t>Propriété intellectuelle — Marques de commerce — Confusion — Enregistrement — Les deux parties distribuent des journaux au Canada sous le nom d’AJIT — La marque de commerce AJIT de la demanderesse est</w:t>
            </w:r>
            <w:r w:rsidRPr="00696588">
              <w:rPr>
                <w:sz w:val="20"/>
                <w:lang w:val="fr-CA"/>
              </w:rPr>
              <w:noBreakHyphen/>
              <w:t>elle « distinctive »?</w:t>
            </w:r>
          </w:p>
          <w:p w:rsidR="00184899" w:rsidRPr="00696588" w:rsidRDefault="00184899" w:rsidP="00184899">
            <w:pPr>
              <w:jc w:val="both"/>
              <w:rPr>
                <w:sz w:val="20"/>
                <w:lang w:val="fr-CA"/>
              </w:rPr>
            </w:pPr>
          </w:p>
        </w:tc>
      </w:tr>
      <w:tr w:rsidR="00184899" w:rsidRPr="00696588" w:rsidTr="00E95A6A">
        <w:tc>
          <w:tcPr>
            <w:tcW w:w="5000" w:type="pct"/>
            <w:gridSpan w:val="4"/>
          </w:tcPr>
          <w:p w:rsidR="00184899" w:rsidRPr="00696588" w:rsidRDefault="00184899" w:rsidP="00184899">
            <w:pPr>
              <w:jc w:val="both"/>
              <w:rPr>
                <w:sz w:val="20"/>
                <w:lang w:val="fr-CA"/>
              </w:rPr>
            </w:pPr>
            <w:r w:rsidRPr="00696588">
              <w:rPr>
                <w:sz w:val="20"/>
                <w:lang w:val="fr-CA"/>
              </w:rPr>
              <w:t xml:space="preserve">Les parties publient toutes les deux un journal en langue pendjabi sous le nom d’ « AJIT », un mot qui signifie « indomptable » ou « invincible » en pendjabi. Le journal publié par </w:t>
            </w:r>
            <w:proofErr w:type="spellStart"/>
            <w:r w:rsidRPr="00696588">
              <w:rPr>
                <w:sz w:val="20"/>
                <w:lang w:val="fr-CA"/>
              </w:rPr>
              <w:t>Sadhu</w:t>
            </w:r>
            <w:proofErr w:type="spellEnd"/>
            <w:r w:rsidRPr="00696588">
              <w:rPr>
                <w:sz w:val="20"/>
                <w:lang w:val="fr-CA"/>
              </w:rPr>
              <w:t xml:space="preserve"> Singh Hamdard Trust (la « fiducie ») est un quotidien publié en Inde et il est distribué au Canada depuis 1968. Sa distribution la plus importante au Canada a eu lieu entre les années 1990 et 1993, où il y eut en moyenne 29 abonnements annuels; entre 2002 et 2010, il comptait six abonnés. Le journal publié par Navsun Holdings Ltd. est publié hebdomadairement depuis environ 1993 et il est distribué à Vancouver et dans la région du Grand Toronto. Lorsque la présente instance a été introduite, son tirage hebdomadaire était d’environ 11 000 à Vancouver et 13 000 dans la région de Toronto.</w:t>
            </w:r>
          </w:p>
          <w:p w:rsidR="00184899" w:rsidRPr="00696588" w:rsidRDefault="00184899" w:rsidP="00184899">
            <w:pPr>
              <w:jc w:val="both"/>
              <w:rPr>
                <w:sz w:val="20"/>
                <w:lang w:val="fr-CA"/>
              </w:rPr>
            </w:pPr>
          </w:p>
          <w:p w:rsidR="00184899" w:rsidRPr="00696588" w:rsidRDefault="00184899" w:rsidP="00184899">
            <w:pPr>
              <w:jc w:val="both"/>
              <w:rPr>
                <w:sz w:val="20"/>
                <w:lang w:val="fr-CA"/>
              </w:rPr>
            </w:pPr>
            <w:r w:rsidRPr="00696588">
              <w:rPr>
                <w:sz w:val="20"/>
                <w:lang w:val="fr-CA"/>
              </w:rPr>
              <w:t xml:space="preserve">En juin 2010, la fiducie a demandé l’enregistrement de la marque de commerce AJIT  selon son utilisation de la marque depuis au moins 1968 en lien avec des publications imprimées et des journaux. La Section de l’examen de l’Office de la propriété intellectuelle du Canada s’est opposée au motif que la marque prêtait à confusion avec quatre demandes pendantes présentées par Navsun. La fiducie a signifié que ces demandes avaient été volontairement retirées. La demande a été publiée à des fins d’opposition dans le </w:t>
            </w:r>
            <w:r w:rsidRPr="00696588">
              <w:rPr>
                <w:i/>
                <w:sz w:val="20"/>
                <w:lang w:val="fr-CA"/>
              </w:rPr>
              <w:t>Journal des marques de commerce</w:t>
            </w:r>
            <w:r w:rsidRPr="00696588">
              <w:rPr>
                <w:sz w:val="20"/>
                <w:lang w:val="fr-CA"/>
              </w:rPr>
              <w:t xml:space="preserve"> daté du 1</w:t>
            </w:r>
            <w:r w:rsidRPr="00696588">
              <w:rPr>
                <w:sz w:val="20"/>
                <w:vertAlign w:val="superscript"/>
                <w:lang w:val="fr-CA"/>
              </w:rPr>
              <w:t>er</w:t>
            </w:r>
            <w:r w:rsidRPr="00696588">
              <w:rPr>
                <w:sz w:val="20"/>
                <w:lang w:val="fr-CA"/>
              </w:rPr>
              <w:t> août 2012. Navsun s’y est opposé.</w:t>
            </w:r>
          </w:p>
          <w:p w:rsidR="00184899" w:rsidRPr="00696588" w:rsidRDefault="00184899" w:rsidP="00184899">
            <w:pPr>
              <w:jc w:val="both"/>
              <w:rPr>
                <w:sz w:val="20"/>
                <w:lang w:val="fr-CA"/>
              </w:rPr>
            </w:pPr>
          </w:p>
          <w:p w:rsidR="00184899" w:rsidRPr="00696588" w:rsidRDefault="00184899" w:rsidP="00184899">
            <w:pPr>
              <w:jc w:val="both"/>
              <w:rPr>
                <w:sz w:val="20"/>
                <w:lang w:val="fr-CA"/>
              </w:rPr>
            </w:pPr>
            <w:r w:rsidRPr="00696588">
              <w:rPr>
                <w:sz w:val="20"/>
                <w:lang w:val="fr-CA"/>
              </w:rPr>
              <w:t>La Commission des oppositions des marques de commerce a conclu que la marque de Navsun était suffisamment connue pour annuler le caractère distinctif de la marque demandée par la fiducie à la date importante. La Cour fédérale a rejeté l’appel de la fiducie, tout comme l’a fait la Cour d’appel.</w:t>
            </w:r>
          </w:p>
          <w:p w:rsidR="00184899" w:rsidRPr="00696588" w:rsidRDefault="00184899" w:rsidP="00184899">
            <w:pPr>
              <w:jc w:val="both"/>
              <w:rPr>
                <w:sz w:val="20"/>
                <w:lang w:val="fr-CA"/>
              </w:rPr>
            </w:pPr>
          </w:p>
        </w:tc>
      </w:tr>
      <w:tr w:rsidR="00184899" w:rsidRPr="00696588" w:rsidTr="00E95A6A">
        <w:tc>
          <w:tcPr>
            <w:tcW w:w="2427" w:type="pct"/>
            <w:gridSpan w:val="2"/>
          </w:tcPr>
          <w:p w:rsidR="00184899" w:rsidRPr="00696588" w:rsidRDefault="00184899" w:rsidP="00184899">
            <w:pPr>
              <w:jc w:val="both"/>
              <w:rPr>
                <w:sz w:val="20"/>
                <w:lang w:val="fr-CA"/>
              </w:rPr>
            </w:pPr>
            <w:r w:rsidRPr="00696588">
              <w:rPr>
                <w:sz w:val="20"/>
                <w:lang w:val="fr-CA"/>
              </w:rPr>
              <w:t>17 janvier 2018</w:t>
            </w:r>
          </w:p>
          <w:p w:rsidR="00184899" w:rsidRPr="00696588" w:rsidRDefault="00184899" w:rsidP="00184899">
            <w:pPr>
              <w:jc w:val="both"/>
              <w:rPr>
                <w:sz w:val="20"/>
                <w:lang w:val="fr-CA"/>
              </w:rPr>
            </w:pPr>
            <w:r w:rsidRPr="00696588">
              <w:rPr>
                <w:sz w:val="20"/>
                <w:lang w:val="fr-CA"/>
              </w:rPr>
              <w:t>Cour fédérale</w:t>
            </w:r>
          </w:p>
          <w:p w:rsidR="00184899" w:rsidRPr="00696588" w:rsidRDefault="00184899" w:rsidP="00184899">
            <w:pPr>
              <w:jc w:val="both"/>
              <w:rPr>
                <w:sz w:val="20"/>
                <w:lang w:val="fr-CA"/>
              </w:rPr>
            </w:pPr>
            <w:r w:rsidRPr="00696588">
              <w:rPr>
                <w:sz w:val="20"/>
                <w:lang w:val="fr-CA"/>
              </w:rPr>
              <w:t xml:space="preserve">(Juge </w:t>
            </w:r>
            <w:proofErr w:type="spellStart"/>
            <w:r w:rsidRPr="00696588">
              <w:rPr>
                <w:sz w:val="20"/>
                <w:lang w:val="fr-CA"/>
              </w:rPr>
              <w:t>Southcott</w:t>
            </w:r>
            <w:proofErr w:type="spellEnd"/>
            <w:r w:rsidRPr="00696588">
              <w:rPr>
                <w:sz w:val="20"/>
                <w:lang w:val="fr-CA"/>
              </w:rPr>
              <w:t>)</w:t>
            </w:r>
          </w:p>
          <w:p w:rsidR="00184899" w:rsidRPr="00696588" w:rsidRDefault="00184899" w:rsidP="00184899">
            <w:pPr>
              <w:jc w:val="both"/>
              <w:rPr>
                <w:rStyle w:val="Hyperlink"/>
                <w:sz w:val="20"/>
                <w:lang w:val="fr-CA"/>
              </w:rPr>
            </w:pPr>
            <w:r w:rsidRPr="00696588">
              <w:rPr>
                <w:rStyle w:val="reflex3-alt"/>
                <w:color w:val="027ABB"/>
                <w:sz w:val="20"/>
                <w:lang w:val="fr-CA"/>
              </w:rPr>
              <w:fldChar w:fldCharType="begin"/>
            </w:r>
            <w:r w:rsidRPr="00696588">
              <w:rPr>
                <w:rStyle w:val="reflex3-alt"/>
                <w:color w:val="027ABB"/>
                <w:sz w:val="20"/>
                <w:lang w:val="fr-CA"/>
              </w:rPr>
              <w:instrText>HYPERLINK "https://www.canlii.org/fr/ca/cfpi/doc/2018/2018cf42/2018cf42.html"</w:instrText>
            </w:r>
            <w:r w:rsidRPr="00696588">
              <w:rPr>
                <w:rStyle w:val="reflex3-alt"/>
                <w:color w:val="027ABB"/>
                <w:sz w:val="20"/>
                <w:lang w:val="fr-CA"/>
              </w:rPr>
              <w:fldChar w:fldCharType="separate"/>
            </w:r>
            <w:r w:rsidRPr="00696588">
              <w:rPr>
                <w:rStyle w:val="Hyperlink"/>
                <w:sz w:val="20"/>
                <w:lang w:val="fr-CA"/>
              </w:rPr>
              <w:t>2018 CF 42</w:t>
            </w:r>
          </w:p>
          <w:p w:rsidR="00184899" w:rsidRPr="00696588" w:rsidRDefault="00184899" w:rsidP="00184899">
            <w:pPr>
              <w:jc w:val="both"/>
              <w:rPr>
                <w:sz w:val="20"/>
                <w:lang w:val="fr-CA"/>
              </w:rPr>
            </w:pPr>
            <w:r w:rsidRPr="00696588">
              <w:rPr>
                <w:rStyle w:val="reflex3-alt"/>
                <w:color w:val="027ABB"/>
                <w:sz w:val="20"/>
                <w:lang w:val="fr-CA"/>
              </w:rPr>
              <w:fldChar w:fldCharType="end"/>
            </w:r>
          </w:p>
        </w:tc>
        <w:tc>
          <w:tcPr>
            <w:tcW w:w="243" w:type="pct"/>
          </w:tcPr>
          <w:p w:rsidR="00184899" w:rsidRPr="00696588" w:rsidRDefault="00184899" w:rsidP="00184899">
            <w:pPr>
              <w:jc w:val="both"/>
              <w:rPr>
                <w:sz w:val="20"/>
                <w:lang w:val="fr-CA"/>
              </w:rPr>
            </w:pPr>
          </w:p>
        </w:tc>
        <w:tc>
          <w:tcPr>
            <w:tcW w:w="2330" w:type="pct"/>
          </w:tcPr>
          <w:p w:rsidR="00184899" w:rsidRPr="00696588" w:rsidRDefault="00184899" w:rsidP="00184899">
            <w:pPr>
              <w:jc w:val="both"/>
              <w:rPr>
                <w:spacing w:val="-6"/>
                <w:sz w:val="20"/>
                <w:lang w:val="fr-CA"/>
              </w:rPr>
            </w:pPr>
            <w:r w:rsidRPr="00696588">
              <w:rPr>
                <w:spacing w:val="-6"/>
                <w:sz w:val="20"/>
                <w:lang w:val="fr-CA"/>
              </w:rPr>
              <w:t>Rejet de l’appel d’une ordonnance de la Commission des oppositions des marques de commerce</w:t>
            </w:r>
          </w:p>
        </w:tc>
      </w:tr>
      <w:tr w:rsidR="00184899" w:rsidRPr="00696588" w:rsidTr="00E95A6A">
        <w:tc>
          <w:tcPr>
            <w:tcW w:w="2427" w:type="pct"/>
            <w:gridSpan w:val="2"/>
          </w:tcPr>
          <w:p w:rsidR="00184899" w:rsidRPr="00696588" w:rsidRDefault="00184899" w:rsidP="00184899">
            <w:pPr>
              <w:jc w:val="both"/>
              <w:rPr>
                <w:sz w:val="20"/>
                <w:lang w:val="fr-CA"/>
              </w:rPr>
            </w:pPr>
            <w:r w:rsidRPr="00696588">
              <w:rPr>
                <w:sz w:val="20"/>
                <w:lang w:val="fr-CA"/>
              </w:rPr>
              <w:t>17 janvier 2019</w:t>
            </w:r>
          </w:p>
          <w:p w:rsidR="00184899" w:rsidRPr="00696588" w:rsidRDefault="00184899" w:rsidP="00184899">
            <w:pPr>
              <w:jc w:val="both"/>
              <w:rPr>
                <w:sz w:val="20"/>
                <w:lang w:val="fr-CA"/>
              </w:rPr>
            </w:pPr>
            <w:r w:rsidRPr="00696588">
              <w:rPr>
                <w:sz w:val="20"/>
                <w:lang w:val="fr-CA"/>
              </w:rPr>
              <w:t>Cour d’appel fédérale</w:t>
            </w:r>
          </w:p>
          <w:p w:rsidR="00184899" w:rsidRPr="00696588" w:rsidRDefault="00184899" w:rsidP="00184899">
            <w:pPr>
              <w:jc w:val="both"/>
              <w:rPr>
                <w:sz w:val="20"/>
                <w:lang w:val="fr-CA"/>
              </w:rPr>
            </w:pPr>
            <w:r w:rsidRPr="00696588">
              <w:rPr>
                <w:sz w:val="20"/>
                <w:lang w:val="fr-CA"/>
              </w:rPr>
              <w:t xml:space="preserve">(Juges </w:t>
            </w:r>
            <w:proofErr w:type="spellStart"/>
            <w:r w:rsidRPr="00696588">
              <w:rPr>
                <w:sz w:val="20"/>
                <w:lang w:val="fr-CA"/>
              </w:rPr>
              <w:t>Stratas</w:t>
            </w:r>
            <w:proofErr w:type="spellEnd"/>
            <w:r w:rsidRPr="00696588">
              <w:rPr>
                <w:sz w:val="20"/>
                <w:lang w:val="fr-CA"/>
              </w:rPr>
              <w:t>, Rennie et Woods)</w:t>
            </w:r>
          </w:p>
          <w:p w:rsidR="00184899" w:rsidRPr="00696588" w:rsidRDefault="00184899" w:rsidP="00184899">
            <w:pPr>
              <w:jc w:val="both"/>
              <w:rPr>
                <w:sz w:val="20"/>
                <w:lang w:val="fr-CA"/>
              </w:rPr>
            </w:pPr>
            <w:hyperlink r:id="rId25" w:history="1">
              <w:r w:rsidRPr="00696588">
                <w:rPr>
                  <w:rStyle w:val="Hyperlink"/>
                  <w:sz w:val="20"/>
                  <w:lang w:val="fr-CA"/>
                </w:rPr>
                <w:t>2019 FCA 10</w:t>
              </w:r>
            </w:hyperlink>
          </w:p>
          <w:p w:rsidR="00184899" w:rsidRPr="00696588" w:rsidRDefault="00184899" w:rsidP="00184899">
            <w:pPr>
              <w:jc w:val="both"/>
              <w:rPr>
                <w:sz w:val="20"/>
                <w:lang w:val="fr-CA"/>
              </w:rPr>
            </w:pPr>
          </w:p>
        </w:tc>
        <w:tc>
          <w:tcPr>
            <w:tcW w:w="243" w:type="pct"/>
          </w:tcPr>
          <w:p w:rsidR="00184899" w:rsidRPr="00696588" w:rsidRDefault="00184899" w:rsidP="00184899">
            <w:pPr>
              <w:jc w:val="both"/>
              <w:rPr>
                <w:sz w:val="20"/>
                <w:lang w:val="fr-CA"/>
              </w:rPr>
            </w:pPr>
          </w:p>
        </w:tc>
        <w:tc>
          <w:tcPr>
            <w:tcW w:w="2330" w:type="pct"/>
          </w:tcPr>
          <w:p w:rsidR="00184899" w:rsidRPr="00696588" w:rsidRDefault="00184899" w:rsidP="00184899">
            <w:pPr>
              <w:jc w:val="both"/>
              <w:rPr>
                <w:sz w:val="20"/>
                <w:lang w:val="fr-CA"/>
              </w:rPr>
            </w:pPr>
            <w:r w:rsidRPr="00696588">
              <w:rPr>
                <w:sz w:val="20"/>
                <w:lang w:val="fr-CA"/>
              </w:rPr>
              <w:t>Rejet de l’appel</w:t>
            </w:r>
          </w:p>
        </w:tc>
      </w:tr>
      <w:tr w:rsidR="00184899" w:rsidRPr="00696588" w:rsidTr="00E95A6A">
        <w:tc>
          <w:tcPr>
            <w:tcW w:w="2427" w:type="pct"/>
            <w:gridSpan w:val="2"/>
          </w:tcPr>
          <w:p w:rsidR="00184899" w:rsidRPr="00696588" w:rsidRDefault="00184899" w:rsidP="00184899">
            <w:pPr>
              <w:jc w:val="both"/>
              <w:rPr>
                <w:sz w:val="20"/>
                <w:lang w:val="fr-CA"/>
              </w:rPr>
            </w:pPr>
            <w:r w:rsidRPr="00696588">
              <w:rPr>
                <w:sz w:val="20"/>
                <w:lang w:val="fr-CA"/>
              </w:rPr>
              <w:t>15 mars 2019</w:t>
            </w:r>
          </w:p>
          <w:p w:rsidR="00184899" w:rsidRPr="00696588" w:rsidRDefault="00184899" w:rsidP="00184899">
            <w:pPr>
              <w:jc w:val="both"/>
              <w:rPr>
                <w:sz w:val="20"/>
                <w:lang w:val="fr-CA"/>
              </w:rPr>
            </w:pPr>
            <w:r w:rsidRPr="00696588">
              <w:rPr>
                <w:sz w:val="20"/>
                <w:lang w:val="fr-CA"/>
              </w:rPr>
              <w:t>Cour suprême du Canada</w:t>
            </w:r>
          </w:p>
          <w:p w:rsidR="00184899" w:rsidRPr="00696588" w:rsidRDefault="00184899" w:rsidP="00184899">
            <w:pPr>
              <w:jc w:val="both"/>
              <w:rPr>
                <w:sz w:val="20"/>
                <w:lang w:val="fr-CA"/>
              </w:rPr>
            </w:pPr>
          </w:p>
        </w:tc>
        <w:tc>
          <w:tcPr>
            <w:tcW w:w="243" w:type="pct"/>
          </w:tcPr>
          <w:p w:rsidR="00184899" w:rsidRPr="00696588" w:rsidRDefault="00184899" w:rsidP="00184899">
            <w:pPr>
              <w:jc w:val="both"/>
              <w:rPr>
                <w:sz w:val="20"/>
                <w:lang w:val="fr-CA"/>
              </w:rPr>
            </w:pPr>
          </w:p>
        </w:tc>
        <w:tc>
          <w:tcPr>
            <w:tcW w:w="2330" w:type="pct"/>
          </w:tcPr>
          <w:p w:rsidR="00184899" w:rsidRPr="00696588" w:rsidRDefault="00184899" w:rsidP="00184899">
            <w:pPr>
              <w:jc w:val="both"/>
              <w:rPr>
                <w:sz w:val="20"/>
                <w:lang w:val="fr-CA"/>
              </w:rPr>
            </w:pPr>
            <w:r w:rsidRPr="00696588">
              <w:rPr>
                <w:sz w:val="20"/>
                <w:lang w:val="fr-CA"/>
              </w:rPr>
              <w:t>Dépôt de la demande d’autorisation d’appel</w:t>
            </w:r>
          </w:p>
        </w:tc>
      </w:tr>
      <w:tr w:rsidR="00184899" w:rsidRPr="00696588" w:rsidTr="00E95A6A">
        <w:tc>
          <w:tcPr>
            <w:tcW w:w="2427" w:type="pct"/>
            <w:gridSpan w:val="2"/>
          </w:tcPr>
          <w:p w:rsidR="00184899" w:rsidRPr="00696588" w:rsidRDefault="00184899" w:rsidP="00184899">
            <w:pPr>
              <w:jc w:val="both"/>
              <w:rPr>
                <w:sz w:val="20"/>
                <w:lang w:val="fr-CA"/>
              </w:rPr>
            </w:pPr>
            <w:r w:rsidRPr="00696588">
              <w:rPr>
                <w:sz w:val="20"/>
                <w:lang w:val="fr-CA"/>
              </w:rPr>
              <w:t>16 mai 2019</w:t>
            </w:r>
          </w:p>
          <w:p w:rsidR="00184899" w:rsidRPr="00696588" w:rsidRDefault="00184899" w:rsidP="00184899">
            <w:pPr>
              <w:jc w:val="both"/>
              <w:rPr>
                <w:sz w:val="20"/>
                <w:lang w:val="fr-CA"/>
              </w:rPr>
            </w:pPr>
            <w:r w:rsidRPr="00696588">
              <w:rPr>
                <w:sz w:val="20"/>
                <w:lang w:val="fr-CA"/>
              </w:rPr>
              <w:t>Cour suprême du Canada</w:t>
            </w:r>
          </w:p>
        </w:tc>
        <w:tc>
          <w:tcPr>
            <w:tcW w:w="243" w:type="pct"/>
          </w:tcPr>
          <w:p w:rsidR="00184899" w:rsidRPr="00696588" w:rsidRDefault="00184899" w:rsidP="00184899">
            <w:pPr>
              <w:jc w:val="both"/>
              <w:rPr>
                <w:sz w:val="20"/>
                <w:lang w:val="fr-CA"/>
              </w:rPr>
            </w:pPr>
          </w:p>
        </w:tc>
        <w:tc>
          <w:tcPr>
            <w:tcW w:w="2330" w:type="pct"/>
          </w:tcPr>
          <w:p w:rsidR="00184899" w:rsidRPr="00696588" w:rsidRDefault="00184899" w:rsidP="00184899">
            <w:pPr>
              <w:jc w:val="both"/>
              <w:rPr>
                <w:sz w:val="20"/>
                <w:lang w:val="fr-CA"/>
              </w:rPr>
            </w:pPr>
            <w:r w:rsidRPr="00696588">
              <w:rPr>
                <w:sz w:val="20"/>
                <w:lang w:val="fr-CA"/>
              </w:rPr>
              <w:t>Dépôt de la requête en prorogation du délai de signification et du dépôt de la réponse</w:t>
            </w:r>
          </w:p>
        </w:tc>
      </w:tr>
    </w:tbl>
    <w:p w:rsidR="00184899" w:rsidRPr="00696588" w:rsidRDefault="00184899" w:rsidP="00184899">
      <w:pPr>
        <w:jc w:val="both"/>
        <w:rPr>
          <w:sz w:val="20"/>
          <w:lang w:val="fr-CA"/>
        </w:rPr>
      </w:pPr>
    </w:p>
    <w:p w:rsidR="00184899" w:rsidRPr="00696588" w:rsidRDefault="00F52CD2" w:rsidP="00184899">
      <w:pPr>
        <w:ind w:left="142" w:hanging="142"/>
        <w:jc w:val="both"/>
        <w:rPr>
          <w:sz w:val="20"/>
          <w:lang w:val="fr-CA"/>
        </w:rPr>
      </w:pPr>
      <w:r w:rsidRPr="00696588">
        <w:rPr>
          <w:sz w:val="20"/>
        </w:rPr>
        <w:pict>
          <v:rect id="_x0000_i1034" style="width:2in;height:1pt" o:hrpct="0" o:hralign="center" o:hrstd="t" o:hrnoshade="t" o:hr="t" fillcolor="black [3213]" stroked="f"/>
        </w:pict>
      </w:r>
    </w:p>
    <w:p w:rsidR="00F52CD2" w:rsidRPr="00696588" w:rsidRDefault="00F52CD2" w:rsidP="00184899">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84899" w:rsidRPr="00696588" w:rsidTr="00E95A6A">
        <w:tc>
          <w:tcPr>
            <w:tcW w:w="543" w:type="pct"/>
          </w:tcPr>
          <w:p w:rsidR="00184899" w:rsidRPr="00696588" w:rsidRDefault="00184899" w:rsidP="00184899">
            <w:pPr>
              <w:jc w:val="both"/>
              <w:rPr>
                <w:sz w:val="20"/>
              </w:rPr>
            </w:pPr>
            <w:r w:rsidRPr="00696588">
              <w:rPr>
                <w:rStyle w:val="SCCFileNumberChar"/>
                <w:sz w:val="20"/>
                <w:szCs w:val="20"/>
              </w:rPr>
              <w:t>38509</w:t>
            </w:r>
          </w:p>
        </w:tc>
        <w:tc>
          <w:tcPr>
            <w:tcW w:w="4457" w:type="pct"/>
            <w:gridSpan w:val="3"/>
          </w:tcPr>
          <w:p w:rsidR="00184899" w:rsidRPr="00696588" w:rsidRDefault="00184899" w:rsidP="00184899">
            <w:pPr>
              <w:pStyle w:val="SCCLsocParty"/>
              <w:jc w:val="both"/>
              <w:rPr>
                <w:b/>
                <w:sz w:val="20"/>
                <w:szCs w:val="20"/>
                <w:lang w:val="en-US"/>
              </w:rPr>
            </w:pPr>
            <w:r w:rsidRPr="00696588">
              <w:rPr>
                <w:b/>
                <w:sz w:val="20"/>
                <w:szCs w:val="20"/>
                <w:lang w:val="en-US"/>
              </w:rPr>
              <w:t>Chad Cadieux, by his Litigation Guardian Michael Cadieux, Michael Cadieux and Lance Cadieux v. Eric Saywell</w:t>
            </w:r>
          </w:p>
          <w:p w:rsidR="00184899" w:rsidRPr="00696588" w:rsidRDefault="00184899" w:rsidP="00184899">
            <w:pPr>
              <w:jc w:val="both"/>
              <w:rPr>
                <w:sz w:val="20"/>
              </w:rPr>
            </w:pPr>
            <w:r w:rsidRPr="00696588">
              <w:rPr>
                <w:sz w:val="20"/>
              </w:rPr>
              <w:t>(Ont.) (Civil) (By Leave)</w:t>
            </w:r>
          </w:p>
        </w:tc>
      </w:tr>
      <w:tr w:rsidR="00184899" w:rsidRPr="00696588" w:rsidTr="00E95A6A">
        <w:tc>
          <w:tcPr>
            <w:tcW w:w="5000" w:type="pct"/>
            <w:gridSpan w:val="4"/>
          </w:tcPr>
          <w:p w:rsidR="00184899" w:rsidRPr="00696588" w:rsidRDefault="00184899" w:rsidP="00184899">
            <w:pPr>
              <w:jc w:val="both"/>
              <w:rPr>
                <w:sz w:val="20"/>
              </w:rPr>
            </w:pPr>
            <w:r w:rsidRPr="00696588">
              <w:rPr>
                <w:sz w:val="20"/>
              </w:rPr>
              <w:t xml:space="preserve">Torts — Damages — Legislation — Interpretation — Statutory accident benefits — By what method should courts deduct accident benefits from an award of tort damages? — </w:t>
            </w:r>
            <w:r w:rsidRPr="00696588">
              <w:rPr>
                <w:i/>
                <w:sz w:val="20"/>
              </w:rPr>
              <w:t>Insurance Act</w:t>
            </w:r>
            <w:r w:rsidRPr="00696588">
              <w:rPr>
                <w:sz w:val="20"/>
              </w:rPr>
              <w:t>, R.S.O. 1990, c. I.8</w:t>
            </w:r>
          </w:p>
        </w:tc>
      </w:tr>
      <w:tr w:rsidR="00184899" w:rsidRPr="00696588" w:rsidTr="00E95A6A">
        <w:tc>
          <w:tcPr>
            <w:tcW w:w="5000" w:type="pct"/>
            <w:gridSpan w:val="4"/>
          </w:tcPr>
          <w:p w:rsidR="00184899" w:rsidRPr="00696588" w:rsidRDefault="00184899" w:rsidP="00184899">
            <w:pPr>
              <w:jc w:val="both"/>
              <w:rPr>
                <w:sz w:val="20"/>
              </w:rPr>
            </w:pPr>
          </w:p>
        </w:tc>
      </w:tr>
      <w:tr w:rsidR="00184899" w:rsidRPr="00696588" w:rsidTr="00E95A6A">
        <w:tc>
          <w:tcPr>
            <w:tcW w:w="5000" w:type="pct"/>
            <w:gridSpan w:val="4"/>
          </w:tcPr>
          <w:p w:rsidR="00184899" w:rsidRPr="00696588" w:rsidRDefault="00184899" w:rsidP="00184899">
            <w:pPr>
              <w:jc w:val="both"/>
              <w:rPr>
                <w:sz w:val="20"/>
              </w:rPr>
            </w:pPr>
            <w:r w:rsidRPr="00696588">
              <w:rPr>
                <w:sz w:val="20"/>
              </w:rPr>
              <w:t>In September 2006, Chad Cadieux was pushed by Eric Saywell into the road and injured by a vehicle driven by Susan Cloutier. Mr. Cadieux claimed statutory accident benefits (“SABs”) from the no</w:t>
            </w:r>
            <w:r w:rsidRPr="00696588">
              <w:rPr>
                <w:sz w:val="20"/>
              </w:rPr>
              <w:noBreakHyphen/>
              <w:t>fault benefits insurer. He also commenced a civil action, claiming damages against Mr. Saywell and Ms. Cloutier. After a seven week trial, a jury granted judgment in favour of Mr. Cadieux in the amount of $2,309,413. After the jury’s verdict, by way of motion, the Ontario Superior Court of Justice</w:t>
            </w:r>
            <w:r w:rsidRPr="00696588">
              <w:rPr>
                <w:b/>
                <w:sz w:val="20"/>
              </w:rPr>
              <w:t xml:space="preserve"> </w:t>
            </w:r>
            <w:r w:rsidRPr="00696588">
              <w:rPr>
                <w:sz w:val="20"/>
              </w:rPr>
              <w:t>determined that Mr. </w:t>
            </w:r>
            <w:proofErr w:type="spellStart"/>
            <w:r w:rsidRPr="00696588">
              <w:rPr>
                <w:sz w:val="20"/>
              </w:rPr>
              <w:t>Cadieux’s</w:t>
            </w:r>
            <w:proofErr w:type="spellEnd"/>
            <w:r w:rsidRPr="00696588">
              <w:rPr>
                <w:sz w:val="20"/>
              </w:rPr>
              <w:t xml:space="preserve"> jury award should be reduced by the SAB amount to avoid double compensation. The extent to which the jury award should be reduced was determined on the three different statutory categories of SABs (income replacement benefits, health benefits, and other pecuniary benefits). The motion judge determined that deductions should be made from the applicable silo rather than on a strict matching, or “apples to apples” basis. A five member panel of the Court of Appeal for Ontario unanimously affirmed the motion judge’s decision that the silo approach was the correct one when subtracting statutory award benefits from tort awards. It concluded that the “apples to apples” approach was no longer applicable in Ontario.</w:t>
            </w:r>
          </w:p>
          <w:p w:rsidR="00184899" w:rsidRPr="00696588" w:rsidRDefault="00184899" w:rsidP="00184899">
            <w:pPr>
              <w:jc w:val="both"/>
              <w:rPr>
                <w:sz w:val="20"/>
              </w:rPr>
            </w:pPr>
          </w:p>
        </w:tc>
      </w:tr>
      <w:tr w:rsidR="00184899" w:rsidRPr="00696588" w:rsidTr="00E95A6A">
        <w:tc>
          <w:tcPr>
            <w:tcW w:w="2427" w:type="pct"/>
            <w:gridSpan w:val="2"/>
          </w:tcPr>
          <w:p w:rsidR="00184899" w:rsidRPr="00696588" w:rsidRDefault="00184899" w:rsidP="00184899">
            <w:pPr>
              <w:jc w:val="both"/>
              <w:rPr>
                <w:sz w:val="20"/>
              </w:rPr>
            </w:pPr>
            <w:r w:rsidRPr="00696588">
              <w:rPr>
                <w:sz w:val="20"/>
              </w:rPr>
              <w:t>December 23, 2016</w:t>
            </w:r>
          </w:p>
          <w:p w:rsidR="00184899" w:rsidRPr="00696588" w:rsidRDefault="00184899" w:rsidP="00184899">
            <w:pPr>
              <w:jc w:val="both"/>
              <w:rPr>
                <w:sz w:val="20"/>
              </w:rPr>
            </w:pPr>
            <w:r w:rsidRPr="00696588">
              <w:rPr>
                <w:sz w:val="20"/>
              </w:rPr>
              <w:t>Ontario Superior Court of Justice</w:t>
            </w:r>
          </w:p>
          <w:p w:rsidR="00184899" w:rsidRPr="00696588" w:rsidRDefault="00184899" w:rsidP="00184899">
            <w:pPr>
              <w:jc w:val="both"/>
              <w:rPr>
                <w:sz w:val="20"/>
              </w:rPr>
            </w:pPr>
            <w:r w:rsidRPr="00696588">
              <w:rPr>
                <w:sz w:val="20"/>
              </w:rPr>
              <w:t>(</w:t>
            </w:r>
            <w:proofErr w:type="spellStart"/>
            <w:r w:rsidRPr="00696588">
              <w:rPr>
                <w:sz w:val="20"/>
              </w:rPr>
              <w:t>Hackland</w:t>
            </w:r>
            <w:proofErr w:type="spellEnd"/>
            <w:r w:rsidRPr="00696588">
              <w:rPr>
                <w:sz w:val="20"/>
              </w:rPr>
              <w:t xml:space="preserve"> J.)</w:t>
            </w:r>
          </w:p>
          <w:p w:rsidR="00184899" w:rsidRPr="00696588" w:rsidRDefault="00184899" w:rsidP="00184899">
            <w:pPr>
              <w:jc w:val="both"/>
              <w:rPr>
                <w:sz w:val="20"/>
              </w:rPr>
            </w:pPr>
            <w:hyperlink r:id="rId26" w:history="1">
              <w:r w:rsidRPr="00696588">
                <w:rPr>
                  <w:rStyle w:val="Hyperlink"/>
                  <w:sz w:val="20"/>
                </w:rPr>
                <w:t>2016 ONSC 7604</w:t>
              </w:r>
            </w:hyperlink>
          </w:p>
          <w:p w:rsidR="00184899" w:rsidRPr="00696588" w:rsidRDefault="00184899" w:rsidP="00184899">
            <w:pPr>
              <w:jc w:val="both"/>
              <w:rPr>
                <w:sz w:val="20"/>
              </w:rPr>
            </w:pPr>
          </w:p>
        </w:tc>
        <w:tc>
          <w:tcPr>
            <w:tcW w:w="243" w:type="pct"/>
          </w:tcPr>
          <w:p w:rsidR="00184899" w:rsidRPr="00696588" w:rsidRDefault="00184899" w:rsidP="00184899">
            <w:pPr>
              <w:jc w:val="both"/>
              <w:rPr>
                <w:sz w:val="20"/>
              </w:rPr>
            </w:pPr>
          </w:p>
        </w:tc>
        <w:tc>
          <w:tcPr>
            <w:tcW w:w="2330" w:type="pct"/>
          </w:tcPr>
          <w:p w:rsidR="00184899" w:rsidRPr="00696588" w:rsidRDefault="00184899" w:rsidP="00184899">
            <w:pPr>
              <w:jc w:val="both"/>
              <w:rPr>
                <w:sz w:val="20"/>
              </w:rPr>
            </w:pPr>
            <w:r w:rsidRPr="00696588">
              <w:rPr>
                <w:sz w:val="20"/>
              </w:rPr>
              <w:t>Post jury trial ruling that medical and attendant care benefits reduce jury’s award based on the three silos of statutory accident benefits.</w:t>
            </w:r>
          </w:p>
          <w:p w:rsidR="00184899" w:rsidRPr="00696588" w:rsidRDefault="00184899" w:rsidP="00184899">
            <w:pPr>
              <w:jc w:val="both"/>
              <w:rPr>
                <w:sz w:val="20"/>
              </w:rPr>
            </w:pPr>
          </w:p>
        </w:tc>
      </w:tr>
      <w:tr w:rsidR="00184899" w:rsidRPr="00696588" w:rsidTr="00E95A6A">
        <w:tc>
          <w:tcPr>
            <w:tcW w:w="2427" w:type="pct"/>
            <w:gridSpan w:val="2"/>
          </w:tcPr>
          <w:p w:rsidR="00184899" w:rsidRPr="00696588" w:rsidRDefault="00184899" w:rsidP="00184899">
            <w:pPr>
              <w:jc w:val="both"/>
              <w:rPr>
                <w:sz w:val="20"/>
              </w:rPr>
            </w:pPr>
            <w:r w:rsidRPr="00696588">
              <w:rPr>
                <w:sz w:val="20"/>
              </w:rPr>
              <w:t>December 4, 2018</w:t>
            </w:r>
          </w:p>
          <w:p w:rsidR="00184899" w:rsidRPr="00696588" w:rsidRDefault="00184899" w:rsidP="00184899">
            <w:pPr>
              <w:jc w:val="both"/>
              <w:rPr>
                <w:sz w:val="20"/>
              </w:rPr>
            </w:pPr>
            <w:r w:rsidRPr="00696588">
              <w:rPr>
                <w:sz w:val="20"/>
              </w:rPr>
              <w:t>Court of Appeal for Ontario</w:t>
            </w:r>
          </w:p>
          <w:p w:rsidR="00184899" w:rsidRPr="00696588" w:rsidRDefault="00184899" w:rsidP="00184899">
            <w:pPr>
              <w:jc w:val="both"/>
              <w:rPr>
                <w:sz w:val="20"/>
              </w:rPr>
            </w:pPr>
            <w:r w:rsidRPr="00696588">
              <w:rPr>
                <w:sz w:val="20"/>
              </w:rPr>
              <w:t xml:space="preserve">(Strathy C.J.O., Hoy A.C.J.O., Feldman, </w:t>
            </w:r>
          </w:p>
          <w:p w:rsidR="00184899" w:rsidRPr="00696588" w:rsidRDefault="00184899" w:rsidP="00184899">
            <w:pPr>
              <w:jc w:val="both"/>
              <w:rPr>
                <w:sz w:val="20"/>
              </w:rPr>
            </w:pPr>
            <w:r w:rsidRPr="00696588">
              <w:rPr>
                <w:sz w:val="20"/>
              </w:rPr>
              <w:t xml:space="preserve">Brown, and </w:t>
            </w:r>
            <w:proofErr w:type="spellStart"/>
            <w:r w:rsidRPr="00696588">
              <w:rPr>
                <w:sz w:val="20"/>
              </w:rPr>
              <w:t>Paciocco</w:t>
            </w:r>
            <w:proofErr w:type="spellEnd"/>
            <w:r w:rsidRPr="00696588">
              <w:rPr>
                <w:sz w:val="20"/>
              </w:rPr>
              <w:t xml:space="preserve"> JJ.A.)</w:t>
            </w:r>
          </w:p>
          <w:p w:rsidR="00184899" w:rsidRPr="00696588" w:rsidRDefault="00184899" w:rsidP="00184899">
            <w:pPr>
              <w:jc w:val="both"/>
              <w:rPr>
                <w:sz w:val="20"/>
              </w:rPr>
            </w:pPr>
            <w:hyperlink r:id="rId27" w:history="1">
              <w:r w:rsidRPr="00696588">
                <w:rPr>
                  <w:rStyle w:val="Hyperlink"/>
                  <w:sz w:val="20"/>
                </w:rPr>
                <w:t>2018 ONCA 903</w:t>
              </w:r>
            </w:hyperlink>
          </w:p>
          <w:p w:rsidR="00184899" w:rsidRPr="00696588" w:rsidRDefault="00184899" w:rsidP="00184899">
            <w:pPr>
              <w:jc w:val="both"/>
              <w:rPr>
                <w:sz w:val="20"/>
              </w:rPr>
            </w:pPr>
          </w:p>
        </w:tc>
        <w:tc>
          <w:tcPr>
            <w:tcW w:w="243" w:type="pct"/>
          </w:tcPr>
          <w:p w:rsidR="00184899" w:rsidRPr="00696588" w:rsidRDefault="00184899" w:rsidP="00184899">
            <w:pPr>
              <w:jc w:val="both"/>
              <w:rPr>
                <w:sz w:val="20"/>
              </w:rPr>
            </w:pPr>
          </w:p>
        </w:tc>
        <w:tc>
          <w:tcPr>
            <w:tcW w:w="2330" w:type="pct"/>
          </w:tcPr>
          <w:p w:rsidR="00184899" w:rsidRPr="00696588" w:rsidRDefault="00184899" w:rsidP="00184899">
            <w:pPr>
              <w:jc w:val="both"/>
              <w:rPr>
                <w:sz w:val="20"/>
              </w:rPr>
            </w:pPr>
            <w:r w:rsidRPr="00696588">
              <w:rPr>
                <w:sz w:val="20"/>
              </w:rPr>
              <w:t>Appeal and cross</w:t>
            </w:r>
            <w:r w:rsidRPr="00696588">
              <w:rPr>
                <w:sz w:val="20"/>
              </w:rPr>
              <w:noBreakHyphen/>
              <w:t>appeal allowed in part on the basis of management fees, costs, and other issues but not on the issue of assignment and deduction of SABs from tort awards.</w:t>
            </w:r>
          </w:p>
          <w:p w:rsidR="00184899" w:rsidRPr="00696588" w:rsidRDefault="00184899" w:rsidP="00184899">
            <w:pPr>
              <w:jc w:val="both"/>
              <w:rPr>
                <w:sz w:val="20"/>
              </w:rPr>
            </w:pPr>
          </w:p>
        </w:tc>
      </w:tr>
      <w:tr w:rsidR="00184899" w:rsidRPr="00696588" w:rsidTr="00E95A6A">
        <w:tc>
          <w:tcPr>
            <w:tcW w:w="2427" w:type="pct"/>
            <w:gridSpan w:val="2"/>
          </w:tcPr>
          <w:p w:rsidR="00184899" w:rsidRPr="00696588" w:rsidRDefault="00184899" w:rsidP="00184899">
            <w:pPr>
              <w:jc w:val="both"/>
              <w:rPr>
                <w:sz w:val="20"/>
              </w:rPr>
            </w:pPr>
            <w:r w:rsidRPr="00696588">
              <w:rPr>
                <w:sz w:val="20"/>
              </w:rPr>
              <w:t>February 4, 2019</w:t>
            </w:r>
          </w:p>
          <w:p w:rsidR="00184899" w:rsidRPr="00696588" w:rsidRDefault="00184899" w:rsidP="00184899">
            <w:pPr>
              <w:jc w:val="both"/>
              <w:rPr>
                <w:sz w:val="20"/>
              </w:rPr>
            </w:pPr>
            <w:r w:rsidRPr="00696588">
              <w:rPr>
                <w:sz w:val="20"/>
              </w:rPr>
              <w:t>Supreme Court of Canada</w:t>
            </w:r>
          </w:p>
        </w:tc>
        <w:tc>
          <w:tcPr>
            <w:tcW w:w="243" w:type="pct"/>
          </w:tcPr>
          <w:p w:rsidR="00184899" w:rsidRPr="00696588" w:rsidRDefault="00184899" w:rsidP="00184899">
            <w:pPr>
              <w:jc w:val="both"/>
              <w:rPr>
                <w:sz w:val="20"/>
              </w:rPr>
            </w:pPr>
          </w:p>
        </w:tc>
        <w:tc>
          <w:tcPr>
            <w:tcW w:w="2330" w:type="pct"/>
          </w:tcPr>
          <w:p w:rsidR="00184899" w:rsidRPr="00696588" w:rsidRDefault="00184899" w:rsidP="00184899">
            <w:pPr>
              <w:jc w:val="both"/>
              <w:rPr>
                <w:sz w:val="20"/>
              </w:rPr>
            </w:pPr>
            <w:r w:rsidRPr="00696588">
              <w:rPr>
                <w:sz w:val="20"/>
              </w:rPr>
              <w:t>Application for leave to appeal filed</w:t>
            </w:r>
          </w:p>
          <w:p w:rsidR="00184899" w:rsidRPr="00696588" w:rsidRDefault="00184899" w:rsidP="00184899">
            <w:pPr>
              <w:jc w:val="both"/>
              <w:rPr>
                <w:sz w:val="20"/>
              </w:rPr>
            </w:pPr>
          </w:p>
        </w:tc>
      </w:tr>
    </w:tbl>
    <w:p w:rsidR="00184899" w:rsidRPr="00696588" w:rsidRDefault="00184899" w:rsidP="00184899">
      <w:pPr>
        <w:jc w:val="both"/>
        <w:rPr>
          <w:sz w:val="20"/>
        </w:rPr>
      </w:pPr>
    </w:p>
    <w:p w:rsidR="00F52CD2" w:rsidRPr="00696588" w:rsidRDefault="00F52CD2" w:rsidP="00184899">
      <w:pPr>
        <w:jc w:val="both"/>
        <w:rPr>
          <w:sz w:val="20"/>
        </w:rPr>
      </w:pPr>
      <w:r w:rsidRPr="00696588">
        <w:rPr>
          <w:sz w:val="20"/>
        </w:rPr>
        <w:pict>
          <v:rect id="_x0000_i1035" style="width:2in;height:1pt" o:hrpct="0" o:hralign="center" o:hrstd="t" o:hrnoshade="t" o:hr="t" fillcolor="black [3213]" stroked="f"/>
        </w:pict>
      </w:r>
    </w:p>
    <w:p w:rsidR="00F52CD2" w:rsidRPr="00696588" w:rsidRDefault="00F52CD2" w:rsidP="0018489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84899" w:rsidRPr="00696588" w:rsidTr="00E95A6A">
        <w:tc>
          <w:tcPr>
            <w:tcW w:w="543" w:type="pct"/>
          </w:tcPr>
          <w:p w:rsidR="00184899" w:rsidRPr="00696588" w:rsidRDefault="00184899" w:rsidP="00184899">
            <w:pPr>
              <w:jc w:val="both"/>
              <w:rPr>
                <w:sz w:val="20"/>
                <w:lang w:val="fr-CA"/>
              </w:rPr>
            </w:pPr>
            <w:r w:rsidRPr="00696588">
              <w:rPr>
                <w:rStyle w:val="SCCFileNumberChar"/>
                <w:sz w:val="20"/>
                <w:szCs w:val="20"/>
                <w:lang w:val="fr-CA"/>
              </w:rPr>
              <w:t>38509</w:t>
            </w:r>
          </w:p>
        </w:tc>
        <w:tc>
          <w:tcPr>
            <w:tcW w:w="4457" w:type="pct"/>
            <w:gridSpan w:val="3"/>
          </w:tcPr>
          <w:p w:rsidR="00184899" w:rsidRPr="00696588" w:rsidRDefault="00184899" w:rsidP="00184899">
            <w:pPr>
              <w:pStyle w:val="SCCLsocParty"/>
              <w:jc w:val="both"/>
              <w:rPr>
                <w:b/>
                <w:sz w:val="20"/>
                <w:szCs w:val="20"/>
              </w:rPr>
            </w:pPr>
            <w:r w:rsidRPr="00696588">
              <w:rPr>
                <w:b/>
                <w:sz w:val="20"/>
                <w:szCs w:val="20"/>
              </w:rPr>
              <w:t>Chad Cadieux, par son tuteur à l’instance Michael Cadieux, Michael Cadieux et Lance Cadieux c. Eric Saywell</w:t>
            </w:r>
          </w:p>
          <w:p w:rsidR="00184899" w:rsidRPr="00696588" w:rsidRDefault="00184899" w:rsidP="00184899">
            <w:pPr>
              <w:jc w:val="both"/>
              <w:rPr>
                <w:sz w:val="20"/>
                <w:lang w:val="fr-CA"/>
              </w:rPr>
            </w:pPr>
            <w:r w:rsidRPr="00696588">
              <w:rPr>
                <w:sz w:val="20"/>
                <w:lang w:val="fr-CA"/>
              </w:rPr>
              <w:t>(Ont.) (Civile) (Autorisation)</w:t>
            </w:r>
          </w:p>
        </w:tc>
      </w:tr>
      <w:tr w:rsidR="00184899" w:rsidRPr="00696588" w:rsidTr="00E95A6A">
        <w:tc>
          <w:tcPr>
            <w:tcW w:w="5000" w:type="pct"/>
            <w:gridSpan w:val="4"/>
          </w:tcPr>
          <w:p w:rsidR="00184899" w:rsidRPr="00696588" w:rsidRDefault="00184899" w:rsidP="00184899">
            <w:pPr>
              <w:jc w:val="both"/>
              <w:rPr>
                <w:sz w:val="20"/>
                <w:lang w:val="fr-CA"/>
              </w:rPr>
            </w:pPr>
            <w:r w:rsidRPr="00696588">
              <w:rPr>
                <w:sz w:val="20"/>
                <w:lang w:val="fr-CA"/>
              </w:rPr>
              <w:t>Responsabilité délictuelle — Dommages</w:t>
            </w:r>
            <w:r w:rsidRPr="00696588">
              <w:rPr>
                <w:sz w:val="20"/>
                <w:lang w:val="fr-CA"/>
              </w:rPr>
              <w:noBreakHyphen/>
              <w:t>intérêts — Législation — Interprétation — Indemnités d’accident légales — Par quelle méthode les tribunaux doivent-ils déduire les indemnités d’accident de la somme accordée au titre des dommages</w:t>
            </w:r>
            <w:r w:rsidRPr="00696588">
              <w:rPr>
                <w:sz w:val="20"/>
                <w:lang w:val="fr-CA"/>
              </w:rPr>
              <w:noBreakHyphen/>
              <w:t xml:space="preserve">intérêts délictuels? — </w:t>
            </w:r>
            <w:r w:rsidRPr="00696588">
              <w:rPr>
                <w:i/>
                <w:sz w:val="20"/>
                <w:lang w:val="fr-CA"/>
              </w:rPr>
              <w:t>Loi sur les assurances</w:t>
            </w:r>
            <w:r w:rsidRPr="00696588">
              <w:rPr>
                <w:sz w:val="20"/>
                <w:lang w:val="fr-CA"/>
              </w:rPr>
              <w:t>, L.R.O. 1990, ch. I.8</w:t>
            </w:r>
          </w:p>
        </w:tc>
      </w:tr>
      <w:tr w:rsidR="00184899" w:rsidRPr="00696588" w:rsidTr="00E95A6A">
        <w:tc>
          <w:tcPr>
            <w:tcW w:w="5000" w:type="pct"/>
            <w:gridSpan w:val="4"/>
          </w:tcPr>
          <w:p w:rsidR="00184899" w:rsidRPr="00696588" w:rsidRDefault="00184899" w:rsidP="00184899">
            <w:pPr>
              <w:jc w:val="both"/>
              <w:rPr>
                <w:sz w:val="20"/>
                <w:lang w:val="fr-CA"/>
              </w:rPr>
            </w:pPr>
          </w:p>
        </w:tc>
      </w:tr>
      <w:tr w:rsidR="00184899" w:rsidRPr="00696588" w:rsidTr="00E95A6A">
        <w:tc>
          <w:tcPr>
            <w:tcW w:w="5000" w:type="pct"/>
            <w:gridSpan w:val="4"/>
          </w:tcPr>
          <w:p w:rsidR="00184899" w:rsidRPr="00696588" w:rsidRDefault="00184899" w:rsidP="00184899">
            <w:pPr>
              <w:jc w:val="both"/>
              <w:rPr>
                <w:sz w:val="20"/>
                <w:lang w:val="fr-CA"/>
              </w:rPr>
            </w:pPr>
            <w:r w:rsidRPr="00696588">
              <w:rPr>
                <w:sz w:val="20"/>
                <w:lang w:val="fr-CA"/>
              </w:rPr>
              <w:t>En septembre 2006, Chad Cadieux s’est fait pousser par Eric Saywell, le projetant sur la chaussée, et il a été blessé par un véhicule conduit par Susan Cloutier. Monsieur Cadieux a réclamé de l’assureur des indemnités d’accident légales (« IAL ») sous le régime d’assurance sans égard à la faute. Il a en outre intenté une action civile en dommages</w:t>
            </w:r>
            <w:r w:rsidRPr="00696588">
              <w:rPr>
                <w:sz w:val="20"/>
                <w:lang w:val="fr-CA"/>
              </w:rPr>
              <w:noBreakHyphen/>
              <w:t>intérêts contre M. Saywell et Mme Cloutier. Au terme d’un procès de sept semaines, un jury a rendu jugement en faveur de M. Cadieux, lui accordant des dommages</w:t>
            </w:r>
            <w:r w:rsidRPr="00696588">
              <w:rPr>
                <w:sz w:val="20"/>
                <w:lang w:val="fr-CA"/>
              </w:rPr>
              <w:noBreakHyphen/>
              <w:t>intérêts de 2 309 413 $. Après le verdict du jury, saisie d’une motion, la Cour supérieure de justice de l’Ontario a jugé que la somme que le jury avait accordée à M. Cadieux devait être réduite du montant des IAL pour éviter la double indemnisation. La mesure dans laquelle la somme accordée par le jury devait être réduite a été déterminée en fonction des trois catégories différentes d’IAL prévues par la loi (indemnités de remplacement de revenu, indemnités de santé et autres indemnités pécuniaires). Le juge saisi de la motion a conclu que les déductions devaient être faites en fonction de la catégorie applicable, plutôt qu’en fonction d’une correspondance stricte, dite « des pommes avec des pommes ». Une formation de cinq juges de la Cour d’appel a confirmé à l’unanimité la décision du juge saisi de la motion que la méthode par catégories était la bonne quand il s’agit de soustraire les indemnités d’accident légales de la somme accordée au titre des dommages</w:t>
            </w:r>
            <w:r w:rsidRPr="00696588">
              <w:rPr>
                <w:sz w:val="20"/>
                <w:lang w:val="fr-CA"/>
              </w:rPr>
              <w:noBreakHyphen/>
              <w:t>intérêts délictuels. Elle a conclu que la méthode dite « des pommes avec des pommes » n’avait plus cours en Ontario.</w:t>
            </w:r>
          </w:p>
          <w:p w:rsidR="00184899" w:rsidRPr="00696588" w:rsidRDefault="00184899" w:rsidP="00184899">
            <w:pPr>
              <w:jc w:val="both"/>
              <w:rPr>
                <w:sz w:val="20"/>
                <w:lang w:val="fr-CA"/>
              </w:rPr>
            </w:pPr>
          </w:p>
        </w:tc>
      </w:tr>
      <w:tr w:rsidR="00184899" w:rsidRPr="00696588" w:rsidTr="00E95A6A">
        <w:tc>
          <w:tcPr>
            <w:tcW w:w="2427" w:type="pct"/>
            <w:gridSpan w:val="2"/>
          </w:tcPr>
          <w:p w:rsidR="00184899" w:rsidRPr="00696588" w:rsidRDefault="00184899" w:rsidP="00184899">
            <w:pPr>
              <w:jc w:val="both"/>
              <w:rPr>
                <w:sz w:val="20"/>
                <w:lang w:val="fr-CA"/>
              </w:rPr>
            </w:pPr>
            <w:r w:rsidRPr="00696588">
              <w:rPr>
                <w:sz w:val="20"/>
                <w:lang w:val="fr-CA"/>
              </w:rPr>
              <w:t>23 décembre 2016</w:t>
            </w:r>
          </w:p>
          <w:p w:rsidR="00184899" w:rsidRPr="00696588" w:rsidRDefault="00184899" w:rsidP="00184899">
            <w:pPr>
              <w:jc w:val="both"/>
              <w:rPr>
                <w:sz w:val="20"/>
                <w:lang w:val="fr-CA"/>
              </w:rPr>
            </w:pPr>
            <w:r w:rsidRPr="00696588">
              <w:rPr>
                <w:sz w:val="20"/>
                <w:lang w:val="fr-CA"/>
              </w:rPr>
              <w:t>Cour supérieure de justice de l’Ontario</w:t>
            </w:r>
          </w:p>
          <w:p w:rsidR="00184899" w:rsidRPr="00696588" w:rsidRDefault="00184899" w:rsidP="00184899">
            <w:pPr>
              <w:jc w:val="both"/>
              <w:rPr>
                <w:sz w:val="20"/>
                <w:lang w:val="fr-CA"/>
              </w:rPr>
            </w:pPr>
            <w:r w:rsidRPr="00696588">
              <w:rPr>
                <w:sz w:val="20"/>
                <w:lang w:val="fr-CA"/>
              </w:rPr>
              <w:t>(Juge Hackland)</w:t>
            </w:r>
          </w:p>
          <w:p w:rsidR="00184899" w:rsidRPr="00696588" w:rsidRDefault="00184899" w:rsidP="00184899">
            <w:pPr>
              <w:jc w:val="both"/>
              <w:rPr>
                <w:sz w:val="20"/>
                <w:lang w:val="fr-CA"/>
              </w:rPr>
            </w:pPr>
            <w:hyperlink r:id="rId28" w:history="1">
              <w:r w:rsidRPr="00696588">
                <w:rPr>
                  <w:rStyle w:val="Hyperlink"/>
                  <w:sz w:val="20"/>
                  <w:lang w:val="fr-CA"/>
                </w:rPr>
                <w:t>2016 ONSC 7604</w:t>
              </w:r>
            </w:hyperlink>
          </w:p>
          <w:p w:rsidR="00184899" w:rsidRPr="00696588" w:rsidRDefault="00184899" w:rsidP="00184899">
            <w:pPr>
              <w:jc w:val="both"/>
              <w:rPr>
                <w:sz w:val="20"/>
                <w:lang w:val="fr-CA"/>
              </w:rPr>
            </w:pPr>
          </w:p>
        </w:tc>
        <w:tc>
          <w:tcPr>
            <w:tcW w:w="243" w:type="pct"/>
          </w:tcPr>
          <w:p w:rsidR="00184899" w:rsidRPr="00696588" w:rsidRDefault="00184899" w:rsidP="00184899">
            <w:pPr>
              <w:jc w:val="both"/>
              <w:rPr>
                <w:sz w:val="20"/>
                <w:lang w:val="fr-CA"/>
              </w:rPr>
            </w:pPr>
          </w:p>
        </w:tc>
        <w:tc>
          <w:tcPr>
            <w:tcW w:w="2330" w:type="pct"/>
          </w:tcPr>
          <w:p w:rsidR="00184899" w:rsidRPr="00696588" w:rsidRDefault="00184899" w:rsidP="00184899">
            <w:pPr>
              <w:jc w:val="both"/>
              <w:rPr>
                <w:sz w:val="20"/>
                <w:lang w:val="fr-CA"/>
              </w:rPr>
            </w:pPr>
            <w:r w:rsidRPr="00696588">
              <w:rPr>
                <w:sz w:val="20"/>
                <w:lang w:val="fr-CA"/>
              </w:rPr>
              <w:t>Jugement postérieur au procès devant jury statuant que les indemnités pour soins médicaux et soins auxiliaires réduisent la somme accordée par le jury en fonction des trois catégories d’indemnités d’accident légales.</w:t>
            </w:r>
          </w:p>
          <w:p w:rsidR="00184899" w:rsidRPr="00696588" w:rsidRDefault="00184899" w:rsidP="00184899">
            <w:pPr>
              <w:jc w:val="both"/>
              <w:rPr>
                <w:sz w:val="20"/>
                <w:lang w:val="fr-CA"/>
              </w:rPr>
            </w:pPr>
          </w:p>
        </w:tc>
      </w:tr>
      <w:tr w:rsidR="00184899" w:rsidRPr="00696588" w:rsidTr="00E95A6A">
        <w:tc>
          <w:tcPr>
            <w:tcW w:w="2427" w:type="pct"/>
            <w:gridSpan w:val="2"/>
          </w:tcPr>
          <w:p w:rsidR="00184899" w:rsidRPr="00696588" w:rsidRDefault="00184899" w:rsidP="00184899">
            <w:pPr>
              <w:jc w:val="both"/>
              <w:rPr>
                <w:sz w:val="20"/>
                <w:lang w:val="fr-CA"/>
              </w:rPr>
            </w:pPr>
            <w:r w:rsidRPr="00696588">
              <w:rPr>
                <w:sz w:val="20"/>
                <w:lang w:val="fr-CA"/>
              </w:rPr>
              <w:t>4 décembre 2018</w:t>
            </w:r>
          </w:p>
          <w:p w:rsidR="00184899" w:rsidRPr="00696588" w:rsidRDefault="00184899" w:rsidP="00184899">
            <w:pPr>
              <w:jc w:val="both"/>
              <w:rPr>
                <w:sz w:val="20"/>
                <w:lang w:val="fr-CA"/>
              </w:rPr>
            </w:pPr>
            <w:r w:rsidRPr="00696588">
              <w:rPr>
                <w:sz w:val="20"/>
                <w:lang w:val="fr-CA"/>
              </w:rPr>
              <w:t>Cour d’appel de l’Ontario</w:t>
            </w:r>
          </w:p>
          <w:p w:rsidR="00184899" w:rsidRPr="00696588" w:rsidRDefault="00184899" w:rsidP="00184899">
            <w:pPr>
              <w:jc w:val="both"/>
              <w:rPr>
                <w:sz w:val="20"/>
                <w:lang w:val="fr-CA"/>
              </w:rPr>
            </w:pPr>
            <w:r w:rsidRPr="00696588">
              <w:rPr>
                <w:sz w:val="20"/>
                <w:lang w:val="fr-CA"/>
              </w:rPr>
              <w:t xml:space="preserve">(Juge en chef Strathy, juge en chef adjointe Hoy, juges Feldman, </w:t>
            </w:r>
          </w:p>
          <w:p w:rsidR="00184899" w:rsidRPr="00696588" w:rsidRDefault="00184899" w:rsidP="00184899">
            <w:pPr>
              <w:jc w:val="both"/>
              <w:rPr>
                <w:sz w:val="20"/>
                <w:lang w:val="fr-CA"/>
              </w:rPr>
            </w:pPr>
            <w:r w:rsidRPr="00696588">
              <w:rPr>
                <w:sz w:val="20"/>
                <w:lang w:val="fr-CA"/>
              </w:rPr>
              <w:t>Brown et Paciocco)</w:t>
            </w:r>
          </w:p>
          <w:p w:rsidR="00184899" w:rsidRPr="00696588" w:rsidRDefault="00184899" w:rsidP="00184899">
            <w:pPr>
              <w:jc w:val="both"/>
              <w:rPr>
                <w:sz w:val="20"/>
                <w:lang w:val="fr-CA"/>
              </w:rPr>
            </w:pPr>
            <w:hyperlink r:id="rId29" w:history="1">
              <w:r w:rsidRPr="00696588">
                <w:rPr>
                  <w:rStyle w:val="Hyperlink"/>
                  <w:sz w:val="20"/>
                  <w:lang w:val="fr-CA"/>
                </w:rPr>
                <w:t>2018 ONCA 903</w:t>
              </w:r>
            </w:hyperlink>
          </w:p>
          <w:p w:rsidR="00184899" w:rsidRPr="00696588" w:rsidRDefault="00184899" w:rsidP="00184899">
            <w:pPr>
              <w:jc w:val="both"/>
              <w:rPr>
                <w:sz w:val="20"/>
                <w:lang w:val="fr-CA"/>
              </w:rPr>
            </w:pPr>
          </w:p>
        </w:tc>
        <w:tc>
          <w:tcPr>
            <w:tcW w:w="243" w:type="pct"/>
          </w:tcPr>
          <w:p w:rsidR="00184899" w:rsidRPr="00696588" w:rsidRDefault="00184899" w:rsidP="00184899">
            <w:pPr>
              <w:jc w:val="both"/>
              <w:rPr>
                <w:sz w:val="20"/>
                <w:lang w:val="fr-CA"/>
              </w:rPr>
            </w:pPr>
          </w:p>
        </w:tc>
        <w:tc>
          <w:tcPr>
            <w:tcW w:w="2330" w:type="pct"/>
          </w:tcPr>
          <w:p w:rsidR="00184899" w:rsidRPr="00696588" w:rsidRDefault="00184899" w:rsidP="00184899">
            <w:pPr>
              <w:jc w:val="both"/>
              <w:rPr>
                <w:sz w:val="20"/>
                <w:lang w:val="fr-CA"/>
              </w:rPr>
            </w:pPr>
            <w:r w:rsidRPr="00696588">
              <w:rPr>
                <w:sz w:val="20"/>
                <w:lang w:val="fr-CA"/>
              </w:rPr>
              <w:t>Arrêt accueillant l’appel et l’appel incident  en partie pour ce qui est des frais de gestion, des dépens et d’autres questions, mais non sur la question de la cession et de la déduction des IAL des sommes accordées au titre des dommages</w:t>
            </w:r>
            <w:r w:rsidRPr="00696588">
              <w:rPr>
                <w:sz w:val="20"/>
                <w:lang w:val="fr-CA"/>
              </w:rPr>
              <w:noBreakHyphen/>
              <w:t>intérêts délictuels.</w:t>
            </w:r>
          </w:p>
          <w:p w:rsidR="00184899" w:rsidRPr="00696588" w:rsidRDefault="00184899" w:rsidP="00184899">
            <w:pPr>
              <w:jc w:val="both"/>
              <w:rPr>
                <w:sz w:val="20"/>
                <w:lang w:val="fr-CA"/>
              </w:rPr>
            </w:pPr>
          </w:p>
        </w:tc>
      </w:tr>
      <w:tr w:rsidR="00184899" w:rsidRPr="00696588" w:rsidTr="00E95A6A">
        <w:tc>
          <w:tcPr>
            <w:tcW w:w="2427" w:type="pct"/>
            <w:gridSpan w:val="2"/>
          </w:tcPr>
          <w:p w:rsidR="00184899" w:rsidRPr="00696588" w:rsidRDefault="00184899" w:rsidP="00184899">
            <w:pPr>
              <w:jc w:val="both"/>
              <w:rPr>
                <w:sz w:val="20"/>
                <w:lang w:val="fr-CA"/>
              </w:rPr>
            </w:pPr>
            <w:r w:rsidRPr="00696588">
              <w:rPr>
                <w:sz w:val="20"/>
                <w:lang w:val="fr-CA"/>
              </w:rPr>
              <w:t>4 février 2019</w:t>
            </w:r>
          </w:p>
          <w:p w:rsidR="00184899" w:rsidRPr="00696588" w:rsidRDefault="00184899" w:rsidP="00184899">
            <w:pPr>
              <w:jc w:val="both"/>
              <w:rPr>
                <w:sz w:val="20"/>
                <w:lang w:val="fr-CA"/>
              </w:rPr>
            </w:pPr>
            <w:r w:rsidRPr="00696588">
              <w:rPr>
                <w:sz w:val="20"/>
                <w:lang w:val="fr-CA"/>
              </w:rPr>
              <w:t>Cour suprême du Canada</w:t>
            </w:r>
          </w:p>
        </w:tc>
        <w:tc>
          <w:tcPr>
            <w:tcW w:w="243" w:type="pct"/>
          </w:tcPr>
          <w:p w:rsidR="00184899" w:rsidRPr="00696588" w:rsidRDefault="00184899" w:rsidP="00184899">
            <w:pPr>
              <w:jc w:val="both"/>
              <w:rPr>
                <w:sz w:val="20"/>
                <w:lang w:val="fr-CA"/>
              </w:rPr>
            </w:pPr>
          </w:p>
        </w:tc>
        <w:tc>
          <w:tcPr>
            <w:tcW w:w="2330" w:type="pct"/>
          </w:tcPr>
          <w:p w:rsidR="00184899" w:rsidRPr="00696588" w:rsidRDefault="00184899" w:rsidP="00184899">
            <w:pPr>
              <w:jc w:val="both"/>
              <w:rPr>
                <w:sz w:val="20"/>
                <w:lang w:val="fr-CA"/>
              </w:rPr>
            </w:pPr>
            <w:r w:rsidRPr="00696588">
              <w:rPr>
                <w:sz w:val="20"/>
                <w:lang w:val="fr-CA"/>
              </w:rPr>
              <w:t>Dépôt de la demande d’autorisation d’appel</w:t>
            </w:r>
          </w:p>
          <w:p w:rsidR="00184899" w:rsidRPr="00696588" w:rsidRDefault="00184899" w:rsidP="00184899">
            <w:pPr>
              <w:jc w:val="both"/>
              <w:rPr>
                <w:sz w:val="20"/>
                <w:lang w:val="fr-CA"/>
              </w:rPr>
            </w:pPr>
          </w:p>
        </w:tc>
      </w:tr>
    </w:tbl>
    <w:p w:rsidR="00184899" w:rsidRPr="00696588" w:rsidRDefault="00184899" w:rsidP="00184899">
      <w:pPr>
        <w:jc w:val="both"/>
        <w:rPr>
          <w:sz w:val="20"/>
          <w:lang w:val="fr-CA"/>
        </w:rPr>
      </w:pPr>
    </w:p>
    <w:p w:rsidR="00184899" w:rsidRPr="00696588" w:rsidRDefault="00F52CD2" w:rsidP="00184899">
      <w:pPr>
        <w:ind w:left="142" w:hanging="142"/>
        <w:jc w:val="both"/>
        <w:rPr>
          <w:sz w:val="20"/>
          <w:lang w:val="fr-CA"/>
        </w:rPr>
      </w:pPr>
      <w:r w:rsidRPr="00696588">
        <w:rPr>
          <w:sz w:val="20"/>
        </w:rPr>
        <w:pict>
          <v:rect id="_x0000_i1036" style="width:2in;height:1pt" o:hrpct="0" o:hralign="center" o:hrstd="t" o:hrnoshade="t" o:hr="t" fillcolor="black [3213]" stroked="f"/>
        </w:pict>
      </w:r>
    </w:p>
    <w:p w:rsidR="00F52CD2" w:rsidRDefault="00F52CD2" w:rsidP="00184899">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830D9" w:rsidRPr="00696588" w:rsidTr="00664C13">
        <w:tc>
          <w:tcPr>
            <w:tcW w:w="543" w:type="pct"/>
          </w:tcPr>
          <w:p w:rsidR="003830D9" w:rsidRPr="00696588" w:rsidRDefault="003830D9" w:rsidP="00664C13">
            <w:pPr>
              <w:jc w:val="both"/>
              <w:rPr>
                <w:sz w:val="20"/>
              </w:rPr>
            </w:pPr>
            <w:r w:rsidRPr="00696588">
              <w:rPr>
                <w:rStyle w:val="SCCFileNumberChar"/>
                <w:sz w:val="20"/>
                <w:szCs w:val="20"/>
              </w:rPr>
              <w:t>38571</w:t>
            </w:r>
          </w:p>
        </w:tc>
        <w:tc>
          <w:tcPr>
            <w:tcW w:w="4457" w:type="pct"/>
            <w:gridSpan w:val="3"/>
          </w:tcPr>
          <w:p w:rsidR="003830D9" w:rsidRPr="00696588" w:rsidRDefault="003830D9" w:rsidP="00664C13">
            <w:pPr>
              <w:pStyle w:val="SCCLsocParty"/>
              <w:jc w:val="both"/>
              <w:rPr>
                <w:b/>
                <w:sz w:val="20"/>
                <w:szCs w:val="20"/>
                <w:lang w:val="en-US"/>
              </w:rPr>
            </w:pPr>
            <w:r w:rsidRPr="00696588">
              <w:rPr>
                <w:b/>
                <w:sz w:val="20"/>
                <w:szCs w:val="20"/>
                <w:lang w:val="en-US"/>
              </w:rPr>
              <w:t xml:space="preserve">Chandos Construction Ltd. v. Deloitte Restructuring Inc. in its </w:t>
            </w:r>
            <w:r w:rsidR="00294449">
              <w:rPr>
                <w:b/>
                <w:sz w:val="20"/>
                <w:szCs w:val="20"/>
                <w:lang w:val="en-US"/>
              </w:rPr>
              <w:t>c</w:t>
            </w:r>
            <w:r w:rsidRPr="00696588">
              <w:rPr>
                <w:b/>
                <w:sz w:val="20"/>
                <w:szCs w:val="20"/>
                <w:lang w:val="en-US"/>
              </w:rPr>
              <w:t xml:space="preserve">apacity as Trustee in Bankruptcy of Capital Steel Inc., a </w:t>
            </w:r>
            <w:r w:rsidR="00294449">
              <w:rPr>
                <w:b/>
                <w:sz w:val="20"/>
                <w:szCs w:val="20"/>
                <w:lang w:val="en-US"/>
              </w:rPr>
              <w:t>b</w:t>
            </w:r>
            <w:r w:rsidRPr="00696588">
              <w:rPr>
                <w:b/>
                <w:sz w:val="20"/>
                <w:szCs w:val="20"/>
                <w:lang w:val="en-US"/>
              </w:rPr>
              <w:t>ankrupt</w:t>
            </w:r>
          </w:p>
          <w:p w:rsidR="003830D9" w:rsidRPr="00696588" w:rsidRDefault="003830D9" w:rsidP="00664C13">
            <w:pPr>
              <w:jc w:val="both"/>
              <w:rPr>
                <w:sz w:val="20"/>
              </w:rPr>
            </w:pPr>
            <w:r w:rsidRPr="00696588">
              <w:rPr>
                <w:sz w:val="20"/>
              </w:rPr>
              <w:t>(Alta.) (Civil) (By Leave)</w:t>
            </w:r>
          </w:p>
        </w:tc>
      </w:tr>
      <w:tr w:rsidR="003830D9" w:rsidRPr="00696588" w:rsidTr="00664C13">
        <w:tc>
          <w:tcPr>
            <w:tcW w:w="5000" w:type="pct"/>
            <w:gridSpan w:val="4"/>
          </w:tcPr>
          <w:p w:rsidR="003830D9" w:rsidRPr="00696588" w:rsidRDefault="003830D9" w:rsidP="00664C13">
            <w:pPr>
              <w:jc w:val="both"/>
              <w:rPr>
                <w:sz w:val="20"/>
              </w:rPr>
            </w:pPr>
            <w:r w:rsidRPr="00696588">
              <w:rPr>
                <w:sz w:val="20"/>
              </w:rPr>
              <w:t xml:space="preserve">Bankruptcy and insolvency — Insolvent estate — Anti-deprivation rule — Contracts — Penalties — Classic penalty rule — Provision in contract imposing consequences upon insolvency of contracting party — Whether the anti-deprivation rule exists in the common law of Canada — If so, whether provisions added to the </w:t>
            </w:r>
            <w:r w:rsidRPr="00696588">
              <w:rPr>
                <w:i/>
                <w:sz w:val="20"/>
              </w:rPr>
              <w:t>Bankruptcy and Insolvency Act</w:t>
            </w:r>
            <w:r w:rsidRPr="00696588">
              <w:rPr>
                <w:sz w:val="20"/>
              </w:rPr>
              <w:t xml:space="preserve">, R.S.C. 1985, c. B-3, in 2009 constitute the entire code governing the enforceability of contractual provisions </w:t>
            </w:r>
            <w:r w:rsidRPr="00696588">
              <w:rPr>
                <w:rFonts w:ascii="Source Sans Pro" w:hAnsi="Source Sans Pro"/>
                <w:color w:val="212121"/>
                <w:sz w:val="20"/>
              </w:rPr>
              <w:t xml:space="preserve">that set consequences upon the bankruptcy, insolvency, or financial condition of a party </w:t>
            </w:r>
            <w:r w:rsidRPr="00696588">
              <w:rPr>
                <w:sz w:val="20"/>
              </w:rPr>
              <w:t xml:space="preserve">— If not, whether anti-deprivation should be subject to a purpose-based test or an effects-based test — Whether the “classic penalty rule” applied — Whether the “classic penalty rule” for contracts was abandoned in </w:t>
            </w:r>
            <w:proofErr w:type="spellStart"/>
            <w:r w:rsidRPr="00696588">
              <w:rPr>
                <w:i/>
                <w:sz w:val="20"/>
              </w:rPr>
              <w:t>Elsley</w:t>
            </w:r>
            <w:proofErr w:type="spellEnd"/>
            <w:r w:rsidRPr="00696588">
              <w:rPr>
                <w:i/>
                <w:sz w:val="20"/>
              </w:rPr>
              <w:t xml:space="preserve"> v. J.G. Collins Ins. Agencies</w:t>
            </w:r>
            <w:r w:rsidRPr="00696588">
              <w:rPr>
                <w:sz w:val="20"/>
              </w:rPr>
              <w:t>, [1978] 2 S.C.R. 916.</w:t>
            </w:r>
          </w:p>
        </w:tc>
      </w:tr>
      <w:tr w:rsidR="003830D9" w:rsidRPr="00696588" w:rsidTr="00664C13">
        <w:tc>
          <w:tcPr>
            <w:tcW w:w="5000" w:type="pct"/>
            <w:gridSpan w:val="4"/>
          </w:tcPr>
          <w:p w:rsidR="003830D9" w:rsidRPr="00696588" w:rsidRDefault="003830D9" w:rsidP="00664C13">
            <w:pPr>
              <w:jc w:val="both"/>
              <w:rPr>
                <w:sz w:val="20"/>
              </w:rPr>
            </w:pPr>
          </w:p>
        </w:tc>
      </w:tr>
      <w:tr w:rsidR="003830D9" w:rsidRPr="00696588" w:rsidTr="00664C13">
        <w:tc>
          <w:tcPr>
            <w:tcW w:w="5000" w:type="pct"/>
            <w:gridSpan w:val="4"/>
          </w:tcPr>
          <w:p w:rsidR="003830D9" w:rsidRPr="00696588" w:rsidRDefault="003830D9" w:rsidP="00664C13">
            <w:pPr>
              <w:jc w:val="both"/>
              <w:rPr>
                <w:sz w:val="20"/>
              </w:rPr>
            </w:pPr>
            <w:r w:rsidRPr="00696588">
              <w:rPr>
                <w:sz w:val="20"/>
              </w:rPr>
              <w:t>A construction contract between Capital Steel Inc. and Chandos Construction Ltd. contained a provision under which Capital Steel was to forfeit 10 percent of the total contract price in the event that Capital Steel became insolvent (s. VII Q(d)). Capital Steel filed an assignment in bankruptcy prior to completing its contract, and Deloitte Restructuring Inc. was appointed as its trustee in bankruptcy. Chandos argued that it was entitled to set off the costs it had incurred to complete Capital Steel’s work on the project and the amount triggered by the bankruptcy. Deloitte applied for advice and directions on whether Chandos could rely on provision allowing the provision triggered by the bankruptcy.</w:t>
            </w:r>
          </w:p>
          <w:p w:rsidR="003830D9" w:rsidRPr="00696588" w:rsidRDefault="003830D9" w:rsidP="00664C13">
            <w:pPr>
              <w:jc w:val="both"/>
              <w:rPr>
                <w:sz w:val="20"/>
              </w:rPr>
            </w:pPr>
          </w:p>
          <w:p w:rsidR="003830D9" w:rsidRPr="00696588" w:rsidRDefault="003830D9" w:rsidP="00664C13">
            <w:pPr>
              <w:jc w:val="both"/>
              <w:rPr>
                <w:sz w:val="20"/>
              </w:rPr>
            </w:pPr>
            <w:proofErr w:type="spellStart"/>
            <w:r w:rsidRPr="00696588">
              <w:rPr>
                <w:sz w:val="20"/>
              </w:rPr>
              <w:t>Neilsen</w:t>
            </w:r>
            <w:proofErr w:type="spellEnd"/>
            <w:r w:rsidRPr="00696588">
              <w:rPr>
                <w:sz w:val="20"/>
              </w:rPr>
              <w:t xml:space="preserve"> J. found that s. VII </w:t>
            </w:r>
            <w:proofErr w:type="gramStart"/>
            <w:r w:rsidRPr="00696588">
              <w:rPr>
                <w:sz w:val="20"/>
              </w:rPr>
              <w:t>Q(</w:t>
            </w:r>
            <w:proofErr w:type="gramEnd"/>
            <w:r w:rsidRPr="00696588">
              <w:rPr>
                <w:sz w:val="20"/>
              </w:rPr>
              <w:t xml:space="preserve">d) was enforceable because, as a genuine pre-estimate of damages, it imposed liquidated damages and not a penalty. As a result, it represented a </w:t>
            </w:r>
            <w:r w:rsidRPr="00696588">
              <w:rPr>
                <w:i/>
                <w:sz w:val="20"/>
              </w:rPr>
              <w:t>bona fide</w:t>
            </w:r>
            <w:r w:rsidRPr="00696588">
              <w:rPr>
                <w:sz w:val="20"/>
              </w:rPr>
              <w:t xml:space="preserve"> commercial transaction, the predominant purpose of which was not the deprivation of Capital Steel’s property. The majority at the Court of Appeal allowed the trustee’s appeal on the grounds that s. VII </w:t>
            </w:r>
            <w:proofErr w:type="gramStart"/>
            <w:r w:rsidRPr="00696588">
              <w:rPr>
                <w:sz w:val="20"/>
              </w:rPr>
              <w:t>Q(</w:t>
            </w:r>
            <w:proofErr w:type="gramEnd"/>
            <w:r w:rsidRPr="00696588">
              <w:rPr>
                <w:sz w:val="20"/>
              </w:rPr>
              <w:t>d) contravened the anti-deprivation rule.</w:t>
            </w:r>
          </w:p>
          <w:p w:rsidR="003830D9" w:rsidRPr="00696588" w:rsidRDefault="003830D9" w:rsidP="00664C13">
            <w:pPr>
              <w:jc w:val="both"/>
              <w:rPr>
                <w:sz w:val="20"/>
              </w:rPr>
            </w:pPr>
          </w:p>
        </w:tc>
      </w:tr>
      <w:tr w:rsidR="003830D9" w:rsidRPr="00696588" w:rsidTr="00664C13">
        <w:tc>
          <w:tcPr>
            <w:tcW w:w="2427" w:type="pct"/>
            <w:gridSpan w:val="2"/>
          </w:tcPr>
          <w:p w:rsidR="003830D9" w:rsidRPr="00696588" w:rsidRDefault="003830D9" w:rsidP="00664C13">
            <w:pPr>
              <w:jc w:val="both"/>
              <w:rPr>
                <w:sz w:val="20"/>
              </w:rPr>
            </w:pPr>
            <w:r w:rsidRPr="00696588">
              <w:rPr>
                <w:sz w:val="20"/>
              </w:rPr>
              <w:t>March 17, 2017</w:t>
            </w:r>
          </w:p>
          <w:p w:rsidR="003830D9" w:rsidRPr="00696588" w:rsidRDefault="003830D9" w:rsidP="00664C13">
            <w:pPr>
              <w:jc w:val="both"/>
              <w:rPr>
                <w:sz w:val="20"/>
              </w:rPr>
            </w:pPr>
            <w:r w:rsidRPr="00696588">
              <w:rPr>
                <w:sz w:val="20"/>
              </w:rPr>
              <w:t>Court of Queen’s Bench of Alberta</w:t>
            </w:r>
          </w:p>
          <w:p w:rsidR="003830D9" w:rsidRPr="00696588" w:rsidRDefault="003830D9" w:rsidP="00664C13">
            <w:pPr>
              <w:jc w:val="both"/>
              <w:rPr>
                <w:sz w:val="20"/>
              </w:rPr>
            </w:pPr>
            <w:r w:rsidRPr="00696588">
              <w:rPr>
                <w:sz w:val="20"/>
              </w:rPr>
              <w:t>(Nielsen J.)</w:t>
            </w:r>
          </w:p>
          <w:p w:rsidR="003830D9" w:rsidRPr="00696588" w:rsidRDefault="003830D9" w:rsidP="00664C13">
            <w:pPr>
              <w:jc w:val="both"/>
              <w:rPr>
                <w:sz w:val="20"/>
              </w:rPr>
            </w:pPr>
            <w:r w:rsidRPr="00696588">
              <w:rPr>
                <w:sz w:val="20"/>
              </w:rPr>
              <w:t xml:space="preserve"> </w:t>
            </w:r>
          </w:p>
        </w:tc>
        <w:tc>
          <w:tcPr>
            <w:tcW w:w="243" w:type="pct"/>
          </w:tcPr>
          <w:p w:rsidR="003830D9" w:rsidRPr="00696588" w:rsidRDefault="003830D9" w:rsidP="00664C13">
            <w:pPr>
              <w:jc w:val="both"/>
              <w:rPr>
                <w:sz w:val="20"/>
              </w:rPr>
            </w:pPr>
          </w:p>
        </w:tc>
        <w:tc>
          <w:tcPr>
            <w:tcW w:w="2330" w:type="pct"/>
          </w:tcPr>
          <w:p w:rsidR="003830D9" w:rsidRPr="00696588" w:rsidRDefault="003830D9" w:rsidP="00664C13">
            <w:pPr>
              <w:jc w:val="both"/>
              <w:rPr>
                <w:sz w:val="20"/>
              </w:rPr>
            </w:pPr>
            <w:r w:rsidRPr="00696588">
              <w:rPr>
                <w:sz w:val="20"/>
              </w:rPr>
              <w:t>Section VII Q(d) is enforceable against Capital Steel’s estate</w:t>
            </w:r>
          </w:p>
          <w:p w:rsidR="003830D9" w:rsidRPr="00696588" w:rsidRDefault="003830D9" w:rsidP="00664C13">
            <w:pPr>
              <w:jc w:val="both"/>
              <w:rPr>
                <w:sz w:val="20"/>
              </w:rPr>
            </w:pPr>
          </w:p>
        </w:tc>
      </w:tr>
      <w:tr w:rsidR="003830D9" w:rsidRPr="00696588" w:rsidTr="00664C13">
        <w:tc>
          <w:tcPr>
            <w:tcW w:w="2427" w:type="pct"/>
            <w:gridSpan w:val="2"/>
          </w:tcPr>
          <w:p w:rsidR="003830D9" w:rsidRPr="00696588" w:rsidRDefault="003830D9" w:rsidP="00664C13">
            <w:pPr>
              <w:jc w:val="both"/>
              <w:rPr>
                <w:sz w:val="20"/>
              </w:rPr>
            </w:pPr>
            <w:r w:rsidRPr="00696588">
              <w:rPr>
                <w:sz w:val="20"/>
              </w:rPr>
              <w:t>January 29, 2019</w:t>
            </w:r>
          </w:p>
          <w:p w:rsidR="003830D9" w:rsidRPr="00696588" w:rsidRDefault="003830D9" w:rsidP="00664C13">
            <w:pPr>
              <w:jc w:val="both"/>
              <w:rPr>
                <w:sz w:val="20"/>
              </w:rPr>
            </w:pPr>
            <w:r w:rsidRPr="00696588">
              <w:rPr>
                <w:sz w:val="20"/>
              </w:rPr>
              <w:t>Court of Appeal of Alberta (Edmonton)</w:t>
            </w:r>
          </w:p>
          <w:p w:rsidR="003830D9" w:rsidRPr="00696588" w:rsidRDefault="003830D9" w:rsidP="00664C13">
            <w:pPr>
              <w:jc w:val="both"/>
              <w:rPr>
                <w:sz w:val="20"/>
              </w:rPr>
            </w:pPr>
            <w:r w:rsidRPr="00696588">
              <w:rPr>
                <w:sz w:val="20"/>
              </w:rPr>
              <w:t>(</w:t>
            </w:r>
            <w:proofErr w:type="spellStart"/>
            <w:r w:rsidRPr="00696588">
              <w:rPr>
                <w:sz w:val="20"/>
              </w:rPr>
              <w:t>Rowbotham</w:t>
            </w:r>
            <w:proofErr w:type="spellEnd"/>
            <w:r w:rsidRPr="00696588">
              <w:rPr>
                <w:sz w:val="20"/>
              </w:rPr>
              <w:t xml:space="preserve">, Veldhuis, </w:t>
            </w:r>
            <w:proofErr w:type="spellStart"/>
            <w:r w:rsidRPr="00696588">
              <w:rPr>
                <w:sz w:val="20"/>
              </w:rPr>
              <w:t>Wakeling</w:t>
            </w:r>
            <w:proofErr w:type="spellEnd"/>
            <w:r w:rsidRPr="00696588">
              <w:rPr>
                <w:sz w:val="20"/>
              </w:rPr>
              <w:t xml:space="preserve"> [dissenting] JJ.A.)</w:t>
            </w:r>
          </w:p>
          <w:p w:rsidR="003830D9" w:rsidRPr="00696588" w:rsidRDefault="003830D9" w:rsidP="00664C13">
            <w:pPr>
              <w:jc w:val="both"/>
              <w:rPr>
                <w:sz w:val="20"/>
              </w:rPr>
            </w:pPr>
            <w:hyperlink r:id="rId30" w:history="1">
              <w:r w:rsidRPr="00696588">
                <w:rPr>
                  <w:rStyle w:val="Hyperlink"/>
                  <w:sz w:val="20"/>
                </w:rPr>
                <w:t>2019 ABCA 32</w:t>
              </w:r>
            </w:hyperlink>
          </w:p>
          <w:p w:rsidR="003830D9" w:rsidRPr="00696588" w:rsidRDefault="003830D9" w:rsidP="00664C13">
            <w:pPr>
              <w:jc w:val="both"/>
              <w:rPr>
                <w:sz w:val="20"/>
              </w:rPr>
            </w:pPr>
          </w:p>
        </w:tc>
        <w:tc>
          <w:tcPr>
            <w:tcW w:w="243" w:type="pct"/>
          </w:tcPr>
          <w:p w:rsidR="003830D9" w:rsidRPr="00696588" w:rsidRDefault="003830D9" w:rsidP="00664C13">
            <w:pPr>
              <w:jc w:val="both"/>
              <w:rPr>
                <w:sz w:val="20"/>
              </w:rPr>
            </w:pPr>
          </w:p>
        </w:tc>
        <w:tc>
          <w:tcPr>
            <w:tcW w:w="2330" w:type="pct"/>
          </w:tcPr>
          <w:p w:rsidR="003830D9" w:rsidRPr="00696588" w:rsidRDefault="003830D9" w:rsidP="00664C13">
            <w:pPr>
              <w:jc w:val="both"/>
              <w:rPr>
                <w:sz w:val="20"/>
              </w:rPr>
            </w:pPr>
            <w:r w:rsidRPr="00696588">
              <w:rPr>
                <w:sz w:val="20"/>
              </w:rPr>
              <w:t>Appeal allowed; Chandos Construction Ltd. not entitled to rely on s. VII Q(d) of the subcontract with bankrupt as against respondent</w:t>
            </w:r>
          </w:p>
          <w:p w:rsidR="003830D9" w:rsidRPr="00696588" w:rsidRDefault="003830D9" w:rsidP="00664C13">
            <w:pPr>
              <w:jc w:val="both"/>
              <w:rPr>
                <w:sz w:val="20"/>
              </w:rPr>
            </w:pPr>
          </w:p>
        </w:tc>
      </w:tr>
      <w:tr w:rsidR="003830D9" w:rsidRPr="00184899" w:rsidTr="00664C13">
        <w:tc>
          <w:tcPr>
            <w:tcW w:w="2427" w:type="pct"/>
            <w:gridSpan w:val="2"/>
          </w:tcPr>
          <w:p w:rsidR="003830D9" w:rsidRPr="00696588" w:rsidRDefault="003830D9" w:rsidP="00664C13">
            <w:pPr>
              <w:jc w:val="both"/>
              <w:rPr>
                <w:sz w:val="20"/>
              </w:rPr>
            </w:pPr>
            <w:r w:rsidRPr="00696588">
              <w:rPr>
                <w:sz w:val="20"/>
              </w:rPr>
              <w:t>March 28, 2019</w:t>
            </w:r>
          </w:p>
          <w:p w:rsidR="003830D9" w:rsidRPr="00696588" w:rsidRDefault="003830D9" w:rsidP="00664C13">
            <w:pPr>
              <w:jc w:val="both"/>
              <w:rPr>
                <w:sz w:val="20"/>
              </w:rPr>
            </w:pPr>
            <w:r w:rsidRPr="00696588">
              <w:rPr>
                <w:sz w:val="20"/>
              </w:rPr>
              <w:t>Supreme Court of Canada</w:t>
            </w:r>
          </w:p>
        </w:tc>
        <w:tc>
          <w:tcPr>
            <w:tcW w:w="243" w:type="pct"/>
          </w:tcPr>
          <w:p w:rsidR="003830D9" w:rsidRPr="00696588" w:rsidRDefault="003830D9" w:rsidP="00664C13">
            <w:pPr>
              <w:jc w:val="both"/>
              <w:rPr>
                <w:sz w:val="20"/>
              </w:rPr>
            </w:pPr>
          </w:p>
        </w:tc>
        <w:tc>
          <w:tcPr>
            <w:tcW w:w="2330" w:type="pct"/>
          </w:tcPr>
          <w:p w:rsidR="003830D9" w:rsidRPr="00184899" w:rsidRDefault="003830D9" w:rsidP="00664C13">
            <w:pPr>
              <w:jc w:val="both"/>
              <w:rPr>
                <w:sz w:val="20"/>
              </w:rPr>
            </w:pPr>
            <w:r w:rsidRPr="00696588">
              <w:rPr>
                <w:sz w:val="20"/>
              </w:rPr>
              <w:t>Application for leave to appeal filed</w:t>
            </w:r>
          </w:p>
        </w:tc>
      </w:tr>
    </w:tbl>
    <w:p w:rsidR="003830D9" w:rsidRDefault="003830D9" w:rsidP="003830D9">
      <w:pPr>
        <w:ind w:left="142" w:hanging="142"/>
        <w:rPr>
          <w:sz w:val="20"/>
        </w:rPr>
      </w:pPr>
    </w:p>
    <w:p w:rsidR="003830D9" w:rsidRDefault="003830D9" w:rsidP="00184899">
      <w:pPr>
        <w:ind w:left="142" w:hanging="142"/>
        <w:jc w:val="both"/>
        <w:rPr>
          <w:sz w:val="20"/>
        </w:rPr>
      </w:pPr>
      <w:r w:rsidRPr="00696588">
        <w:rPr>
          <w:sz w:val="20"/>
        </w:rPr>
        <w:pict>
          <v:rect id="_x0000_i1051" style="width:2in;height:1pt" o:hrpct="0" o:hralign="center" o:hrstd="t" o:hrnoshade="t" o:hr="t" fillcolor="black [3213]" stroked="f"/>
        </w:pict>
      </w:r>
    </w:p>
    <w:p w:rsidR="003830D9" w:rsidRPr="003830D9" w:rsidRDefault="003830D9" w:rsidP="00184899">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84899" w:rsidRPr="00696588" w:rsidTr="00E95A6A">
        <w:tc>
          <w:tcPr>
            <w:tcW w:w="543" w:type="pct"/>
          </w:tcPr>
          <w:p w:rsidR="00184899" w:rsidRPr="00696588" w:rsidRDefault="00184899" w:rsidP="00184899">
            <w:pPr>
              <w:jc w:val="both"/>
              <w:rPr>
                <w:sz w:val="20"/>
              </w:rPr>
            </w:pPr>
            <w:r w:rsidRPr="00696588">
              <w:rPr>
                <w:rStyle w:val="SCCFileNumberChar"/>
                <w:sz w:val="20"/>
                <w:szCs w:val="20"/>
              </w:rPr>
              <w:t>38571</w:t>
            </w:r>
          </w:p>
        </w:tc>
        <w:tc>
          <w:tcPr>
            <w:tcW w:w="4457" w:type="pct"/>
            <w:gridSpan w:val="3"/>
          </w:tcPr>
          <w:p w:rsidR="00184899" w:rsidRPr="00696588" w:rsidRDefault="00184899" w:rsidP="00184899">
            <w:pPr>
              <w:pStyle w:val="SCCLsocParty"/>
              <w:jc w:val="both"/>
              <w:rPr>
                <w:b/>
                <w:sz w:val="20"/>
                <w:szCs w:val="20"/>
              </w:rPr>
            </w:pPr>
            <w:r w:rsidRPr="00696588">
              <w:rPr>
                <w:b/>
                <w:sz w:val="20"/>
                <w:szCs w:val="20"/>
              </w:rPr>
              <w:t xml:space="preserve">Chandos Construction Ltd. c. </w:t>
            </w:r>
            <w:r w:rsidR="007E7AA7" w:rsidRPr="007E7AA7">
              <w:rPr>
                <w:b/>
                <w:sz w:val="20"/>
                <w:szCs w:val="20"/>
              </w:rPr>
              <w:t>Restructuration Deloitte Inc. en sa qualité de syndic de faillite de Capital Steel Inc., une faillie</w:t>
            </w:r>
            <w:bookmarkStart w:id="0" w:name="_GoBack"/>
            <w:bookmarkEnd w:id="0"/>
          </w:p>
          <w:p w:rsidR="00184899" w:rsidRPr="00696588" w:rsidRDefault="00184899" w:rsidP="00F52CD2">
            <w:pPr>
              <w:jc w:val="both"/>
              <w:rPr>
                <w:sz w:val="20"/>
                <w:lang w:val="fr-CA"/>
              </w:rPr>
            </w:pPr>
            <w:r w:rsidRPr="00696588">
              <w:rPr>
                <w:sz w:val="20"/>
                <w:lang w:val="fr-CA"/>
              </w:rPr>
              <w:t>(Alb.) (Civile) (Sur autorisation)</w:t>
            </w:r>
          </w:p>
        </w:tc>
      </w:tr>
      <w:tr w:rsidR="00184899" w:rsidRPr="00696588" w:rsidTr="00E95A6A">
        <w:tc>
          <w:tcPr>
            <w:tcW w:w="5000" w:type="pct"/>
            <w:gridSpan w:val="4"/>
          </w:tcPr>
          <w:p w:rsidR="00184899" w:rsidRPr="00696588" w:rsidRDefault="00184899" w:rsidP="00184899">
            <w:pPr>
              <w:jc w:val="both"/>
              <w:rPr>
                <w:sz w:val="20"/>
                <w:lang w:val="fr-CA"/>
              </w:rPr>
            </w:pPr>
            <w:r w:rsidRPr="00696588">
              <w:rPr>
                <w:sz w:val="20"/>
                <w:lang w:val="fr-CA"/>
              </w:rPr>
              <w:t>Faillite et insolvabilité — Actif insolvable — Règle anti-privation — Contrats — Pénalités — Règle classique de la pénalité — Clause du contrat imposant des conséquences en cas d’insolvabilité d’une partie contractante — La règle anti</w:t>
            </w:r>
            <w:r w:rsidRPr="00696588">
              <w:rPr>
                <w:sz w:val="20"/>
                <w:lang w:val="fr-CA"/>
              </w:rPr>
              <w:noBreakHyphen/>
              <w:t>privation existe</w:t>
            </w:r>
            <w:r w:rsidRPr="00696588">
              <w:rPr>
                <w:sz w:val="20"/>
                <w:lang w:val="fr-CA"/>
              </w:rPr>
              <w:noBreakHyphen/>
              <w:t>t</w:t>
            </w:r>
            <w:r w:rsidRPr="00696588">
              <w:rPr>
                <w:sz w:val="20"/>
                <w:lang w:val="fr-CA"/>
              </w:rPr>
              <w:noBreakHyphen/>
              <w:t xml:space="preserve">elle en common law au Canada? — Dans l'affirmative, les dispositions ajoutées à la </w:t>
            </w:r>
            <w:r w:rsidRPr="00696588">
              <w:rPr>
                <w:i/>
                <w:sz w:val="20"/>
                <w:lang w:val="fr-CA"/>
              </w:rPr>
              <w:t>Loi sur la faillite et l’insolvabilité</w:t>
            </w:r>
            <w:r w:rsidRPr="00696588">
              <w:rPr>
                <w:sz w:val="20"/>
                <w:lang w:val="fr-CA"/>
              </w:rPr>
              <w:t>, L.R.C. 1985, c. B</w:t>
            </w:r>
            <w:r w:rsidRPr="00696588">
              <w:rPr>
                <w:sz w:val="20"/>
                <w:lang w:val="fr-CA"/>
              </w:rPr>
              <w:noBreakHyphen/>
              <w:t>3, en 2009 constituent</w:t>
            </w:r>
            <w:r w:rsidRPr="00696588">
              <w:rPr>
                <w:sz w:val="20"/>
                <w:lang w:val="fr-CA"/>
              </w:rPr>
              <w:noBreakHyphen/>
              <w:t>elles le code complet régissant le caractère exécutoire des stipulations contractuelles qui établissent les conséquences en cas de faillite, d’insolvabilité ou de difficultés financières d’une partie? — Dans la négative, la règle anti</w:t>
            </w:r>
            <w:r w:rsidRPr="00696588">
              <w:rPr>
                <w:sz w:val="20"/>
                <w:lang w:val="fr-CA"/>
              </w:rPr>
              <w:noBreakHyphen/>
              <w:t>privation devrait</w:t>
            </w:r>
            <w:r w:rsidRPr="00696588">
              <w:rPr>
                <w:sz w:val="20"/>
                <w:lang w:val="fr-CA"/>
              </w:rPr>
              <w:noBreakHyphen/>
              <w:t>elle être assujettie à un critère fondé sur l’objet ou à un critère fondé sur les effets? — La « règle classique de la pénalité » s’appliquait</w:t>
            </w:r>
            <w:r w:rsidRPr="00696588">
              <w:rPr>
                <w:sz w:val="20"/>
                <w:lang w:val="fr-CA"/>
              </w:rPr>
              <w:noBreakHyphen/>
              <w:t>elle? — La « règle classique de la pénalité » applicable aux contrats a</w:t>
            </w:r>
            <w:r w:rsidRPr="00696588">
              <w:rPr>
                <w:sz w:val="20"/>
                <w:lang w:val="fr-CA"/>
              </w:rPr>
              <w:noBreakHyphen/>
              <w:t>t</w:t>
            </w:r>
            <w:r w:rsidRPr="00696588">
              <w:rPr>
                <w:sz w:val="20"/>
                <w:lang w:val="fr-CA"/>
              </w:rPr>
              <w:noBreakHyphen/>
              <w:t xml:space="preserve">elle été abandonnée dans </w:t>
            </w:r>
            <w:r w:rsidRPr="00696588">
              <w:rPr>
                <w:i/>
                <w:sz w:val="20"/>
                <w:lang w:val="fr-CA"/>
              </w:rPr>
              <w:t>Elsley c. J.G. Collins Ins. Agencies</w:t>
            </w:r>
            <w:r w:rsidRPr="00696588">
              <w:rPr>
                <w:sz w:val="20"/>
                <w:lang w:val="fr-CA"/>
              </w:rPr>
              <w:t>, [1978] 2 R.C.S. 916?</w:t>
            </w:r>
          </w:p>
        </w:tc>
      </w:tr>
      <w:tr w:rsidR="00184899" w:rsidRPr="00696588" w:rsidTr="00E95A6A">
        <w:tc>
          <w:tcPr>
            <w:tcW w:w="5000" w:type="pct"/>
            <w:gridSpan w:val="4"/>
          </w:tcPr>
          <w:p w:rsidR="00184899" w:rsidRPr="00696588" w:rsidRDefault="00184899" w:rsidP="00184899">
            <w:pPr>
              <w:jc w:val="both"/>
              <w:rPr>
                <w:sz w:val="20"/>
                <w:lang w:val="fr-CA"/>
              </w:rPr>
            </w:pPr>
          </w:p>
        </w:tc>
      </w:tr>
      <w:tr w:rsidR="00184899" w:rsidRPr="00696588" w:rsidTr="00E95A6A">
        <w:tc>
          <w:tcPr>
            <w:tcW w:w="5000" w:type="pct"/>
            <w:gridSpan w:val="4"/>
          </w:tcPr>
          <w:p w:rsidR="00184899" w:rsidRPr="00696588" w:rsidRDefault="00184899" w:rsidP="00184899">
            <w:pPr>
              <w:jc w:val="both"/>
              <w:rPr>
                <w:sz w:val="20"/>
                <w:lang w:val="fr-CA"/>
              </w:rPr>
            </w:pPr>
            <w:r w:rsidRPr="00696588">
              <w:rPr>
                <w:sz w:val="20"/>
                <w:lang w:val="fr-CA"/>
              </w:rPr>
              <w:t>Un contrat de construction conclu entre Capital Steel Inc. et Chandos Construction Ltd. contenait une stipulation suivant laquelle Capital Steel devait renoncer à dix pour cent du prix total du contrat si elle devenait insolvable (art. VII Q(d)). Capital Steel a fait cession de ses biens avant d’exécuter sa part du contrat, et Deloitte Restructuring Inc. a été nommée syndic de faillite. Chandos a soutenu avoir droit à la compensation des frais qu’elle a engagés pour achever le travail de Capital Steel sur le chantier et de la somme découlant de la faillite. Deloitte a demandé des conseils et des directives sur la question de savoir si Chandos pouvait invoquer la clause permettant la disposition résultant de la faillite.</w:t>
            </w:r>
          </w:p>
          <w:p w:rsidR="00184899" w:rsidRPr="00696588" w:rsidRDefault="00184899" w:rsidP="00184899">
            <w:pPr>
              <w:jc w:val="both"/>
              <w:rPr>
                <w:sz w:val="20"/>
                <w:lang w:val="fr-CA"/>
              </w:rPr>
            </w:pPr>
          </w:p>
          <w:p w:rsidR="00184899" w:rsidRPr="00696588" w:rsidRDefault="00184899" w:rsidP="00184899">
            <w:pPr>
              <w:jc w:val="both"/>
              <w:rPr>
                <w:sz w:val="20"/>
              </w:rPr>
            </w:pPr>
            <w:r w:rsidRPr="00696588">
              <w:rPr>
                <w:sz w:val="20"/>
                <w:lang w:val="fr-CA"/>
              </w:rPr>
              <w:t>Le juge Neilsen a statué que l’art. VII Q(d) était exécutoire car, en tant que véritable estimation préalable des dommages</w:t>
            </w:r>
            <w:r w:rsidRPr="00696588">
              <w:rPr>
                <w:sz w:val="20"/>
                <w:lang w:val="fr-CA"/>
              </w:rPr>
              <w:noBreakHyphen/>
              <w:t>intérêts, il imposait des dommages</w:t>
            </w:r>
            <w:r w:rsidRPr="00696588">
              <w:rPr>
                <w:sz w:val="20"/>
                <w:lang w:val="fr-CA"/>
              </w:rPr>
              <w:noBreakHyphen/>
              <w:t xml:space="preserve">intérêts prédéterminés et non une pénalité. Par conséquent, cette clause représentait une opération commerciale de bonne foi dont l’objet principal n’était pas de priver les créanciers des biens de Capital Steel. Les juges majoritaires de la Cour d’appel ont fait </w:t>
            </w:r>
            <w:proofErr w:type="gramStart"/>
            <w:r w:rsidRPr="00696588">
              <w:rPr>
                <w:sz w:val="20"/>
                <w:lang w:val="fr-CA"/>
              </w:rPr>
              <w:t>droit</w:t>
            </w:r>
            <w:proofErr w:type="gramEnd"/>
            <w:r w:rsidRPr="00696588">
              <w:rPr>
                <w:sz w:val="20"/>
                <w:lang w:val="fr-CA"/>
              </w:rPr>
              <w:t xml:space="preserve"> à l’appel du syndic au motif que l’art. </w:t>
            </w:r>
            <w:r w:rsidRPr="00696588">
              <w:rPr>
                <w:sz w:val="20"/>
              </w:rPr>
              <w:t xml:space="preserve">VII </w:t>
            </w:r>
            <w:proofErr w:type="gramStart"/>
            <w:r w:rsidRPr="00696588">
              <w:rPr>
                <w:sz w:val="20"/>
              </w:rPr>
              <w:t>Q(</w:t>
            </w:r>
            <w:proofErr w:type="gramEnd"/>
            <w:r w:rsidRPr="00696588">
              <w:rPr>
                <w:sz w:val="20"/>
              </w:rPr>
              <w:t xml:space="preserve">d) </w:t>
            </w:r>
            <w:proofErr w:type="spellStart"/>
            <w:r w:rsidRPr="00696588">
              <w:rPr>
                <w:sz w:val="20"/>
              </w:rPr>
              <w:t>contrevenait</w:t>
            </w:r>
            <w:proofErr w:type="spellEnd"/>
            <w:r w:rsidRPr="00696588">
              <w:rPr>
                <w:sz w:val="20"/>
              </w:rPr>
              <w:t xml:space="preserve"> à la </w:t>
            </w:r>
            <w:proofErr w:type="spellStart"/>
            <w:r w:rsidRPr="00696588">
              <w:rPr>
                <w:sz w:val="20"/>
              </w:rPr>
              <w:t>règle</w:t>
            </w:r>
            <w:proofErr w:type="spellEnd"/>
            <w:r w:rsidRPr="00696588">
              <w:rPr>
                <w:sz w:val="20"/>
              </w:rPr>
              <w:t xml:space="preserve"> anti</w:t>
            </w:r>
            <w:r w:rsidRPr="00696588">
              <w:rPr>
                <w:sz w:val="20"/>
              </w:rPr>
              <w:noBreakHyphen/>
              <w:t>privation.</w:t>
            </w:r>
          </w:p>
          <w:p w:rsidR="00184899" w:rsidRPr="00696588" w:rsidRDefault="00184899" w:rsidP="00184899">
            <w:pPr>
              <w:jc w:val="both"/>
              <w:rPr>
                <w:sz w:val="20"/>
              </w:rPr>
            </w:pPr>
          </w:p>
        </w:tc>
      </w:tr>
      <w:tr w:rsidR="00184899" w:rsidRPr="00696588" w:rsidTr="00E95A6A">
        <w:tc>
          <w:tcPr>
            <w:tcW w:w="2427" w:type="pct"/>
            <w:gridSpan w:val="2"/>
          </w:tcPr>
          <w:p w:rsidR="00184899" w:rsidRPr="00696588" w:rsidRDefault="00184899" w:rsidP="00184899">
            <w:pPr>
              <w:jc w:val="both"/>
              <w:rPr>
                <w:sz w:val="20"/>
                <w:lang w:val="fr-CA"/>
              </w:rPr>
            </w:pPr>
            <w:r w:rsidRPr="00696588">
              <w:rPr>
                <w:sz w:val="20"/>
                <w:lang w:val="fr-CA"/>
              </w:rPr>
              <w:t>17 mars 2017</w:t>
            </w:r>
          </w:p>
          <w:p w:rsidR="00184899" w:rsidRPr="00696588" w:rsidRDefault="00184899" w:rsidP="00184899">
            <w:pPr>
              <w:jc w:val="both"/>
              <w:rPr>
                <w:sz w:val="20"/>
                <w:lang w:val="fr-CA"/>
              </w:rPr>
            </w:pPr>
            <w:r w:rsidRPr="00696588">
              <w:rPr>
                <w:sz w:val="20"/>
                <w:lang w:val="fr-CA"/>
              </w:rPr>
              <w:t>Cour du Banc de la Reine de l’Alberta</w:t>
            </w:r>
          </w:p>
          <w:p w:rsidR="00184899" w:rsidRPr="00696588" w:rsidRDefault="00184899" w:rsidP="00184899">
            <w:pPr>
              <w:jc w:val="both"/>
              <w:rPr>
                <w:sz w:val="20"/>
              </w:rPr>
            </w:pPr>
            <w:r w:rsidRPr="00696588">
              <w:rPr>
                <w:sz w:val="20"/>
              </w:rPr>
              <w:t>(Juge Nielsen)</w:t>
            </w:r>
          </w:p>
          <w:p w:rsidR="00184899" w:rsidRPr="00696588" w:rsidRDefault="00184899" w:rsidP="00184899">
            <w:pPr>
              <w:jc w:val="both"/>
              <w:rPr>
                <w:sz w:val="20"/>
              </w:rPr>
            </w:pPr>
            <w:r w:rsidRPr="00696588">
              <w:rPr>
                <w:sz w:val="20"/>
              </w:rPr>
              <w:t xml:space="preserve"> </w:t>
            </w:r>
          </w:p>
        </w:tc>
        <w:tc>
          <w:tcPr>
            <w:tcW w:w="243" w:type="pct"/>
          </w:tcPr>
          <w:p w:rsidR="00184899" w:rsidRPr="00696588" w:rsidRDefault="00184899" w:rsidP="00184899">
            <w:pPr>
              <w:jc w:val="both"/>
              <w:rPr>
                <w:sz w:val="20"/>
              </w:rPr>
            </w:pPr>
          </w:p>
        </w:tc>
        <w:tc>
          <w:tcPr>
            <w:tcW w:w="2330" w:type="pct"/>
          </w:tcPr>
          <w:p w:rsidR="00184899" w:rsidRPr="00696588" w:rsidRDefault="00184899" w:rsidP="00184899">
            <w:pPr>
              <w:jc w:val="both"/>
              <w:rPr>
                <w:sz w:val="20"/>
                <w:lang w:val="fr-CA"/>
              </w:rPr>
            </w:pPr>
            <w:r w:rsidRPr="00696588">
              <w:rPr>
                <w:sz w:val="20"/>
                <w:lang w:val="fr-CA"/>
              </w:rPr>
              <w:t>L’article VII Q(d) est exécutoire contre l’actif de Capital Steel</w:t>
            </w:r>
          </w:p>
          <w:p w:rsidR="00184899" w:rsidRPr="00696588" w:rsidRDefault="00184899" w:rsidP="00184899">
            <w:pPr>
              <w:jc w:val="both"/>
              <w:rPr>
                <w:sz w:val="20"/>
                <w:lang w:val="fr-CA"/>
              </w:rPr>
            </w:pPr>
          </w:p>
        </w:tc>
      </w:tr>
      <w:tr w:rsidR="00184899" w:rsidRPr="00696588" w:rsidTr="00E95A6A">
        <w:tc>
          <w:tcPr>
            <w:tcW w:w="2427" w:type="pct"/>
            <w:gridSpan w:val="2"/>
          </w:tcPr>
          <w:p w:rsidR="00184899" w:rsidRPr="00696588" w:rsidRDefault="00184899" w:rsidP="00184899">
            <w:pPr>
              <w:jc w:val="both"/>
              <w:rPr>
                <w:sz w:val="20"/>
                <w:lang w:val="fr-CA"/>
              </w:rPr>
            </w:pPr>
            <w:r w:rsidRPr="00696588">
              <w:rPr>
                <w:sz w:val="20"/>
                <w:lang w:val="fr-CA"/>
              </w:rPr>
              <w:t>29 janvier 2019</w:t>
            </w:r>
          </w:p>
          <w:p w:rsidR="00184899" w:rsidRPr="00696588" w:rsidRDefault="00184899" w:rsidP="00184899">
            <w:pPr>
              <w:jc w:val="both"/>
              <w:rPr>
                <w:sz w:val="20"/>
                <w:lang w:val="fr-CA"/>
              </w:rPr>
            </w:pPr>
            <w:r w:rsidRPr="00696588">
              <w:rPr>
                <w:sz w:val="20"/>
                <w:lang w:val="fr-CA"/>
              </w:rPr>
              <w:t>Cour d’appel de l’Alberta (Edmonton)</w:t>
            </w:r>
          </w:p>
          <w:p w:rsidR="00184899" w:rsidRPr="00696588" w:rsidRDefault="00184899" w:rsidP="00184899">
            <w:pPr>
              <w:jc w:val="both"/>
              <w:rPr>
                <w:sz w:val="20"/>
              </w:rPr>
            </w:pPr>
            <w:r w:rsidRPr="00696588">
              <w:rPr>
                <w:sz w:val="20"/>
              </w:rPr>
              <w:t>(Juges Rowbotham, Veldhuis et Wakeling [dissident])</w:t>
            </w:r>
          </w:p>
          <w:p w:rsidR="00184899" w:rsidRPr="00696588" w:rsidRDefault="00184899" w:rsidP="00184899">
            <w:pPr>
              <w:jc w:val="both"/>
              <w:rPr>
                <w:sz w:val="20"/>
              </w:rPr>
            </w:pPr>
            <w:hyperlink r:id="rId31" w:history="1">
              <w:r w:rsidRPr="00696588">
                <w:rPr>
                  <w:rStyle w:val="Hyperlink"/>
                  <w:sz w:val="20"/>
                </w:rPr>
                <w:t>2019 ABCA 32</w:t>
              </w:r>
            </w:hyperlink>
          </w:p>
          <w:p w:rsidR="00184899" w:rsidRPr="00696588" w:rsidRDefault="00184899" w:rsidP="00184899">
            <w:pPr>
              <w:jc w:val="both"/>
              <w:rPr>
                <w:sz w:val="20"/>
              </w:rPr>
            </w:pPr>
          </w:p>
        </w:tc>
        <w:tc>
          <w:tcPr>
            <w:tcW w:w="243" w:type="pct"/>
          </w:tcPr>
          <w:p w:rsidR="00184899" w:rsidRPr="00696588" w:rsidRDefault="00184899" w:rsidP="00184899">
            <w:pPr>
              <w:jc w:val="both"/>
              <w:rPr>
                <w:sz w:val="20"/>
              </w:rPr>
            </w:pPr>
          </w:p>
        </w:tc>
        <w:tc>
          <w:tcPr>
            <w:tcW w:w="2330" w:type="pct"/>
          </w:tcPr>
          <w:p w:rsidR="00184899" w:rsidRPr="00696588" w:rsidRDefault="00184899" w:rsidP="00184899">
            <w:pPr>
              <w:jc w:val="both"/>
              <w:rPr>
                <w:sz w:val="20"/>
                <w:lang w:val="fr-CA"/>
              </w:rPr>
            </w:pPr>
            <w:r w:rsidRPr="00696588">
              <w:rPr>
                <w:sz w:val="20"/>
                <w:lang w:val="fr-CA"/>
              </w:rPr>
              <w:t>Appel accueilli; Chandos Construction Ltd. ne peut invoquer l’art. VII Q(d) du sous</w:t>
            </w:r>
            <w:r w:rsidRPr="00696588">
              <w:rPr>
                <w:sz w:val="20"/>
                <w:lang w:val="fr-CA"/>
              </w:rPr>
              <w:noBreakHyphen/>
              <w:t>contrat avec la faillie contre l’intimé</w:t>
            </w:r>
          </w:p>
          <w:p w:rsidR="00184899" w:rsidRPr="00696588" w:rsidRDefault="00184899" w:rsidP="00184899">
            <w:pPr>
              <w:jc w:val="both"/>
              <w:rPr>
                <w:sz w:val="20"/>
                <w:lang w:val="fr-CA"/>
              </w:rPr>
            </w:pPr>
          </w:p>
        </w:tc>
      </w:tr>
      <w:tr w:rsidR="00184899" w:rsidRPr="00696588" w:rsidTr="00E95A6A">
        <w:tc>
          <w:tcPr>
            <w:tcW w:w="2427" w:type="pct"/>
            <w:gridSpan w:val="2"/>
          </w:tcPr>
          <w:p w:rsidR="00184899" w:rsidRPr="00696588" w:rsidRDefault="00184899" w:rsidP="00184899">
            <w:pPr>
              <w:jc w:val="both"/>
              <w:rPr>
                <w:sz w:val="20"/>
                <w:lang w:val="fr-CA"/>
              </w:rPr>
            </w:pPr>
            <w:r w:rsidRPr="00696588">
              <w:rPr>
                <w:sz w:val="20"/>
                <w:lang w:val="fr-CA"/>
              </w:rPr>
              <w:t>28 mars 2019</w:t>
            </w:r>
          </w:p>
          <w:p w:rsidR="00184899" w:rsidRPr="00696588" w:rsidRDefault="00184899" w:rsidP="00184899">
            <w:pPr>
              <w:jc w:val="both"/>
              <w:rPr>
                <w:sz w:val="20"/>
                <w:lang w:val="fr-CA"/>
              </w:rPr>
            </w:pPr>
            <w:r w:rsidRPr="00696588">
              <w:rPr>
                <w:sz w:val="20"/>
                <w:lang w:val="fr-CA"/>
              </w:rPr>
              <w:t>Cour suprême du Canada</w:t>
            </w:r>
          </w:p>
        </w:tc>
        <w:tc>
          <w:tcPr>
            <w:tcW w:w="243" w:type="pct"/>
          </w:tcPr>
          <w:p w:rsidR="00184899" w:rsidRPr="00696588" w:rsidRDefault="00184899" w:rsidP="00184899">
            <w:pPr>
              <w:jc w:val="both"/>
              <w:rPr>
                <w:sz w:val="20"/>
                <w:lang w:val="fr-CA"/>
              </w:rPr>
            </w:pPr>
          </w:p>
        </w:tc>
        <w:tc>
          <w:tcPr>
            <w:tcW w:w="2330" w:type="pct"/>
          </w:tcPr>
          <w:p w:rsidR="00184899" w:rsidRPr="00696588" w:rsidRDefault="00184899" w:rsidP="00184899">
            <w:pPr>
              <w:jc w:val="both"/>
              <w:rPr>
                <w:sz w:val="20"/>
                <w:lang w:val="fr-CA"/>
              </w:rPr>
            </w:pPr>
            <w:r w:rsidRPr="00696588">
              <w:rPr>
                <w:sz w:val="20"/>
                <w:lang w:val="fr-CA"/>
              </w:rPr>
              <w:t>Dépôt de la demande d’autorisation d’appel</w:t>
            </w:r>
          </w:p>
        </w:tc>
      </w:tr>
    </w:tbl>
    <w:p w:rsidR="00184899" w:rsidRPr="00696588" w:rsidRDefault="00184899" w:rsidP="00184899">
      <w:pPr>
        <w:jc w:val="both"/>
        <w:rPr>
          <w:sz w:val="20"/>
          <w:lang w:val="fr-CA"/>
        </w:rPr>
      </w:pPr>
    </w:p>
    <w:p w:rsidR="00F52CD2" w:rsidRPr="00696588" w:rsidRDefault="00F52CD2" w:rsidP="00184899">
      <w:pPr>
        <w:jc w:val="both"/>
        <w:rPr>
          <w:sz w:val="20"/>
          <w:lang w:val="fr-CA"/>
        </w:rPr>
      </w:pPr>
      <w:r w:rsidRPr="00696588">
        <w:rPr>
          <w:sz w:val="20"/>
        </w:rPr>
        <w:pict>
          <v:rect id="_x0000_i1037" style="width:2in;height:1pt" o:hrpct="0" o:hralign="center" o:hrstd="t" o:hrnoshade="t" o:hr="t" fillcolor="black [3213]" stroked="f"/>
        </w:pict>
      </w:r>
    </w:p>
    <w:p w:rsidR="0040531A" w:rsidRPr="00184899" w:rsidRDefault="0040531A" w:rsidP="00542899">
      <w:pPr>
        <w:ind w:left="142" w:hanging="142"/>
        <w:rPr>
          <w:sz w:val="20"/>
        </w:rPr>
      </w:pPr>
    </w:p>
    <w:p w:rsidR="0040531A" w:rsidRPr="00184899" w:rsidRDefault="0040531A" w:rsidP="00542899">
      <w:pPr>
        <w:ind w:left="142" w:hanging="142"/>
        <w:rPr>
          <w:sz w:val="20"/>
        </w:rPr>
      </w:pPr>
    </w:p>
    <w:p w:rsidR="00FD3FA0" w:rsidRPr="00184899" w:rsidRDefault="00FD3FA0" w:rsidP="006A22CA">
      <w:pPr>
        <w:ind w:left="142" w:hanging="142"/>
        <w:jc w:val="both"/>
        <w:rPr>
          <w:sz w:val="20"/>
        </w:rPr>
      </w:pPr>
    </w:p>
    <w:p w:rsidR="00D3344A" w:rsidRPr="00FE4977" w:rsidRDefault="00D3344A" w:rsidP="00D3344A">
      <w:pPr>
        <w:widowControl w:val="0"/>
        <w:outlineLvl w:val="0"/>
      </w:pPr>
      <w:r w:rsidRPr="00FE4977">
        <w:t xml:space="preserve">Supreme Court of Canada / Cour suprême du </w:t>
      </w:r>
      <w:proofErr w:type="gramStart"/>
      <w:r w:rsidRPr="00FE4977">
        <w:t>Canad</w:t>
      </w:r>
      <w:r w:rsidR="00EE289F" w:rsidRPr="00FE4977">
        <w:t>a</w:t>
      </w:r>
      <w:r w:rsidRPr="00FE4977">
        <w:t xml:space="preserve"> :</w:t>
      </w:r>
      <w:proofErr w:type="gramEnd"/>
    </w:p>
    <w:p w:rsidR="00D3344A" w:rsidRPr="00FE4977" w:rsidRDefault="007E7AA7" w:rsidP="00D3344A">
      <w:pPr>
        <w:widowControl w:val="0"/>
        <w:outlineLvl w:val="0"/>
        <w:rPr>
          <w:u w:val="single"/>
        </w:rPr>
      </w:pPr>
      <w:hyperlink r:id="rId32" w:history="1">
        <w:r w:rsidR="009B7391" w:rsidRPr="00FE4977">
          <w:rPr>
            <w:rStyle w:val="Hyperlink"/>
          </w:rPr>
          <w:t>comments-commentaires@scc-csc.ca</w:t>
        </w:r>
      </w:hyperlink>
    </w:p>
    <w:p w:rsidR="00D3344A" w:rsidRPr="00FE4977" w:rsidRDefault="0065588C" w:rsidP="00D3344A">
      <w:pPr>
        <w:widowControl w:val="0"/>
        <w:outlineLvl w:val="0"/>
      </w:pPr>
      <w:r w:rsidRPr="00FE4977">
        <w:t>613-</w:t>
      </w:r>
      <w:r w:rsidR="00D3344A" w:rsidRPr="00FE4977">
        <w:t>995-4330</w:t>
      </w:r>
    </w:p>
    <w:p w:rsidR="00497B5E" w:rsidRPr="00FE4977" w:rsidRDefault="00497B5E" w:rsidP="00497B5E">
      <w:pPr>
        <w:widowControl w:val="0"/>
        <w:rPr>
          <w:sz w:val="20"/>
        </w:rPr>
      </w:pPr>
    </w:p>
    <w:p w:rsidR="00F6251B" w:rsidRPr="006E558B" w:rsidRDefault="003F43E6" w:rsidP="00F6251B">
      <w:pPr>
        <w:pStyle w:val="Footer"/>
        <w:jc w:val="center"/>
      </w:pPr>
      <w:r w:rsidRPr="00FE4977">
        <w:t>- 30 -</w:t>
      </w:r>
    </w:p>
    <w:sectPr w:rsidR="00F6251B" w:rsidRPr="006E558B" w:rsidSect="00524822">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B66" w:rsidRDefault="00A15B66" w:rsidP="0034178A">
      <w:r>
        <w:separator/>
      </w:r>
    </w:p>
  </w:endnote>
  <w:endnote w:type="continuationSeparator" w:id="0">
    <w:p w:rsidR="00A15B66" w:rsidRDefault="00A15B66"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ource Sans Pro">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Pr="009F77F0" w:rsidRDefault="00A15B66"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B66" w:rsidRDefault="00A15B66" w:rsidP="0034178A">
      <w:r>
        <w:separator/>
      </w:r>
    </w:p>
  </w:footnote>
  <w:footnote w:type="continuationSeparator" w:id="0">
    <w:p w:rsidR="00A15B66" w:rsidRDefault="00A15B66"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81ACA"/>
    <w:multiLevelType w:val="hybridMultilevel"/>
    <w:tmpl w:val="9FA29F82"/>
    <w:lvl w:ilvl="0" w:tplc="BCB8550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B1887"/>
    <w:multiLevelType w:val="hybridMultilevel"/>
    <w:tmpl w:val="45D0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A0809"/>
    <w:multiLevelType w:val="hybridMultilevel"/>
    <w:tmpl w:val="E6304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3F327B"/>
    <w:multiLevelType w:val="hybridMultilevel"/>
    <w:tmpl w:val="A6244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4A478D"/>
    <w:multiLevelType w:val="hybridMultilevel"/>
    <w:tmpl w:val="6B6EF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190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452"/>
    <w:rsid w:val="00014C19"/>
    <w:rsid w:val="000154CC"/>
    <w:rsid w:val="00015958"/>
    <w:rsid w:val="000163BD"/>
    <w:rsid w:val="000164DB"/>
    <w:rsid w:val="00016932"/>
    <w:rsid w:val="00016D65"/>
    <w:rsid w:val="00016D95"/>
    <w:rsid w:val="0001736B"/>
    <w:rsid w:val="000176FB"/>
    <w:rsid w:val="00017D08"/>
    <w:rsid w:val="00020797"/>
    <w:rsid w:val="00020816"/>
    <w:rsid w:val="00020A11"/>
    <w:rsid w:val="00020DAE"/>
    <w:rsid w:val="00021515"/>
    <w:rsid w:val="00021776"/>
    <w:rsid w:val="0002267C"/>
    <w:rsid w:val="00022EFE"/>
    <w:rsid w:val="000238E0"/>
    <w:rsid w:val="00024962"/>
    <w:rsid w:val="000250B7"/>
    <w:rsid w:val="00025F42"/>
    <w:rsid w:val="00027443"/>
    <w:rsid w:val="000276EE"/>
    <w:rsid w:val="00027781"/>
    <w:rsid w:val="000277E1"/>
    <w:rsid w:val="00027DF7"/>
    <w:rsid w:val="00030233"/>
    <w:rsid w:val="00030382"/>
    <w:rsid w:val="00032189"/>
    <w:rsid w:val="00032BD3"/>
    <w:rsid w:val="00032CDB"/>
    <w:rsid w:val="00032E02"/>
    <w:rsid w:val="00033049"/>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37E9F"/>
    <w:rsid w:val="00040247"/>
    <w:rsid w:val="00040542"/>
    <w:rsid w:val="00040C48"/>
    <w:rsid w:val="00041302"/>
    <w:rsid w:val="0004159F"/>
    <w:rsid w:val="00041650"/>
    <w:rsid w:val="00041B58"/>
    <w:rsid w:val="00042069"/>
    <w:rsid w:val="00042390"/>
    <w:rsid w:val="0004298B"/>
    <w:rsid w:val="000433FC"/>
    <w:rsid w:val="000437B4"/>
    <w:rsid w:val="00043D20"/>
    <w:rsid w:val="00043FDE"/>
    <w:rsid w:val="000467DE"/>
    <w:rsid w:val="00046CB2"/>
    <w:rsid w:val="00046DF1"/>
    <w:rsid w:val="00047188"/>
    <w:rsid w:val="00047941"/>
    <w:rsid w:val="00047CD6"/>
    <w:rsid w:val="00051DE6"/>
    <w:rsid w:val="00053B2B"/>
    <w:rsid w:val="00053BAF"/>
    <w:rsid w:val="00054353"/>
    <w:rsid w:val="000547E3"/>
    <w:rsid w:val="0005486A"/>
    <w:rsid w:val="00054A01"/>
    <w:rsid w:val="00054F8E"/>
    <w:rsid w:val="00055DB2"/>
    <w:rsid w:val="0005719F"/>
    <w:rsid w:val="0005761E"/>
    <w:rsid w:val="000577D9"/>
    <w:rsid w:val="000579A0"/>
    <w:rsid w:val="00057A53"/>
    <w:rsid w:val="00060753"/>
    <w:rsid w:val="00060981"/>
    <w:rsid w:val="00060B62"/>
    <w:rsid w:val="00061283"/>
    <w:rsid w:val="00062012"/>
    <w:rsid w:val="0006231F"/>
    <w:rsid w:val="000627A2"/>
    <w:rsid w:val="000629D7"/>
    <w:rsid w:val="0006325B"/>
    <w:rsid w:val="000632D7"/>
    <w:rsid w:val="00063A81"/>
    <w:rsid w:val="0006417A"/>
    <w:rsid w:val="000645F4"/>
    <w:rsid w:val="00064D3D"/>
    <w:rsid w:val="000657E8"/>
    <w:rsid w:val="00065F8F"/>
    <w:rsid w:val="0006649C"/>
    <w:rsid w:val="00066859"/>
    <w:rsid w:val="00066B80"/>
    <w:rsid w:val="000676C8"/>
    <w:rsid w:val="00067F50"/>
    <w:rsid w:val="00070830"/>
    <w:rsid w:val="00070B2E"/>
    <w:rsid w:val="000718BA"/>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12"/>
    <w:rsid w:val="00082885"/>
    <w:rsid w:val="00082D8D"/>
    <w:rsid w:val="00082E05"/>
    <w:rsid w:val="00083162"/>
    <w:rsid w:val="0008327A"/>
    <w:rsid w:val="000841F9"/>
    <w:rsid w:val="000843DB"/>
    <w:rsid w:val="0008442A"/>
    <w:rsid w:val="000845AF"/>
    <w:rsid w:val="00084C8D"/>
    <w:rsid w:val="00085BE8"/>
    <w:rsid w:val="00085D13"/>
    <w:rsid w:val="00086629"/>
    <w:rsid w:val="00087808"/>
    <w:rsid w:val="000879BA"/>
    <w:rsid w:val="00090151"/>
    <w:rsid w:val="0009046F"/>
    <w:rsid w:val="00091277"/>
    <w:rsid w:val="00091FFC"/>
    <w:rsid w:val="00093693"/>
    <w:rsid w:val="00093B7C"/>
    <w:rsid w:val="00093FF5"/>
    <w:rsid w:val="00094A30"/>
    <w:rsid w:val="00094C56"/>
    <w:rsid w:val="00095627"/>
    <w:rsid w:val="00096BDC"/>
    <w:rsid w:val="00096F2F"/>
    <w:rsid w:val="000975EC"/>
    <w:rsid w:val="00097C55"/>
    <w:rsid w:val="000A0444"/>
    <w:rsid w:val="000A0472"/>
    <w:rsid w:val="000A0F64"/>
    <w:rsid w:val="000A152E"/>
    <w:rsid w:val="000A1691"/>
    <w:rsid w:val="000A20B0"/>
    <w:rsid w:val="000A245A"/>
    <w:rsid w:val="000A32BF"/>
    <w:rsid w:val="000A397A"/>
    <w:rsid w:val="000A4311"/>
    <w:rsid w:val="000A43F5"/>
    <w:rsid w:val="000A4D7E"/>
    <w:rsid w:val="000A4F2E"/>
    <w:rsid w:val="000A50F9"/>
    <w:rsid w:val="000A6C60"/>
    <w:rsid w:val="000A6F64"/>
    <w:rsid w:val="000A76D7"/>
    <w:rsid w:val="000A7798"/>
    <w:rsid w:val="000A78FC"/>
    <w:rsid w:val="000A7978"/>
    <w:rsid w:val="000A7C00"/>
    <w:rsid w:val="000A7E1F"/>
    <w:rsid w:val="000B029D"/>
    <w:rsid w:val="000B07FB"/>
    <w:rsid w:val="000B10DF"/>
    <w:rsid w:val="000B163F"/>
    <w:rsid w:val="000B1EEF"/>
    <w:rsid w:val="000B29D0"/>
    <w:rsid w:val="000B2CB2"/>
    <w:rsid w:val="000B38C9"/>
    <w:rsid w:val="000B46A2"/>
    <w:rsid w:val="000B503B"/>
    <w:rsid w:val="000B6193"/>
    <w:rsid w:val="000B7088"/>
    <w:rsid w:val="000B7258"/>
    <w:rsid w:val="000B754A"/>
    <w:rsid w:val="000B76DB"/>
    <w:rsid w:val="000B7975"/>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5DC8"/>
    <w:rsid w:val="000C61C7"/>
    <w:rsid w:val="000C6AA2"/>
    <w:rsid w:val="000C6C97"/>
    <w:rsid w:val="000C7179"/>
    <w:rsid w:val="000C7BD5"/>
    <w:rsid w:val="000D002C"/>
    <w:rsid w:val="000D070B"/>
    <w:rsid w:val="000D1DDF"/>
    <w:rsid w:val="000D2161"/>
    <w:rsid w:val="000D25A2"/>
    <w:rsid w:val="000D262B"/>
    <w:rsid w:val="000D2F5C"/>
    <w:rsid w:val="000D2F8A"/>
    <w:rsid w:val="000D3129"/>
    <w:rsid w:val="000D3C7E"/>
    <w:rsid w:val="000D4BBF"/>
    <w:rsid w:val="000D556A"/>
    <w:rsid w:val="000D6416"/>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52C"/>
    <w:rsid w:val="000F3662"/>
    <w:rsid w:val="000F4B29"/>
    <w:rsid w:val="000F4C35"/>
    <w:rsid w:val="000F525E"/>
    <w:rsid w:val="000F5511"/>
    <w:rsid w:val="000F62C7"/>
    <w:rsid w:val="000F6A2D"/>
    <w:rsid w:val="000F6A34"/>
    <w:rsid w:val="000F6CBD"/>
    <w:rsid w:val="0010013D"/>
    <w:rsid w:val="00100C1C"/>
    <w:rsid w:val="00100CEE"/>
    <w:rsid w:val="001017D1"/>
    <w:rsid w:val="00101E4B"/>
    <w:rsid w:val="001029D6"/>
    <w:rsid w:val="00102A25"/>
    <w:rsid w:val="00102F8F"/>
    <w:rsid w:val="0010304E"/>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42D"/>
    <w:rsid w:val="001147A4"/>
    <w:rsid w:val="00114929"/>
    <w:rsid w:val="00115CF1"/>
    <w:rsid w:val="001170C6"/>
    <w:rsid w:val="00117137"/>
    <w:rsid w:val="00117AF3"/>
    <w:rsid w:val="00117C0F"/>
    <w:rsid w:val="001200D6"/>
    <w:rsid w:val="001201D7"/>
    <w:rsid w:val="00120360"/>
    <w:rsid w:val="0012068C"/>
    <w:rsid w:val="001207F9"/>
    <w:rsid w:val="00120BC7"/>
    <w:rsid w:val="00120CA0"/>
    <w:rsid w:val="00121008"/>
    <w:rsid w:val="0012101A"/>
    <w:rsid w:val="001215D6"/>
    <w:rsid w:val="0012202C"/>
    <w:rsid w:val="00122CE1"/>
    <w:rsid w:val="00122E2B"/>
    <w:rsid w:val="00123976"/>
    <w:rsid w:val="001241FC"/>
    <w:rsid w:val="00124629"/>
    <w:rsid w:val="00124CA3"/>
    <w:rsid w:val="00124DEC"/>
    <w:rsid w:val="00124EFD"/>
    <w:rsid w:val="0012577E"/>
    <w:rsid w:val="0012582B"/>
    <w:rsid w:val="0012596E"/>
    <w:rsid w:val="001260C8"/>
    <w:rsid w:val="001262EF"/>
    <w:rsid w:val="0012655D"/>
    <w:rsid w:val="00126583"/>
    <w:rsid w:val="001268B8"/>
    <w:rsid w:val="0012732F"/>
    <w:rsid w:val="00127732"/>
    <w:rsid w:val="001307C5"/>
    <w:rsid w:val="00131433"/>
    <w:rsid w:val="0013159F"/>
    <w:rsid w:val="00131EB1"/>
    <w:rsid w:val="00132428"/>
    <w:rsid w:val="00132635"/>
    <w:rsid w:val="0013283A"/>
    <w:rsid w:val="00134190"/>
    <w:rsid w:val="001342D5"/>
    <w:rsid w:val="00134A11"/>
    <w:rsid w:val="00134F05"/>
    <w:rsid w:val="001354E7"/>
    <w:rsid w:val="00135A54"/>
    <w:rsid w:val="00136710"/>
    <w:rsid w:val="0013672B"/>
    <w:rsid w:val="00136C09"/>
    <w:rsid w:val="00137F05"/>
    <w:rsid w:val="001400A0"/>
    <w:rsid w:val="00140131"/>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26B"/>
    <w:rsid w:val="00144A29"/>
    <w:rsid w:val="00146407"/>
    <w:rsid w:val="00147BE4"/>
    <w:rsid w:val="00147CDB"/>
    <w:rsid w:val="00147DDC"/>
    <w:rsid w:val="00147DE3"/>
    <w:rsid w:val="00150453"/>
    <w:rsid w:val="00150A0F"/>
    <w:rsid w:val="00150C10"/>
    <w:rsid w:val="00150D1B"/>
    <w:rsid w:val="00151336"/>
    <w:rsid w:val="00152366"/>
    <w:rsid w:val="001526D2"/>
    <w:rsid w:val="00152EC0"/>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837"/>
    <w:rsid w:val="00163A54"/>
    <w:rsid w:val="00164791"/>
    <w:rsid w:val="0016553C"/>
    <w:rsid w:val="00165EAA"/>
    <w:rsid w:val="0016645E"/>
    <w:rsid w:val="001665EA"/>
    <w:rsid w:val="00166949"/>
    <w:rsid w:val="00167721"/>
    <w:rsid w:val="00170788"/>
    <w:rsid w:val="001708BE"/>
    <w:rsid w:val="0017098A"/>
    <w:rsid w:val="001716F7"/>
    <w:rsid w:val="00172993"/>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214"/>
    <w:rsid w:val="00181375"/>
    <w:rsid w:val="001813C3"/>
    <w:rsid w:val="00181855"/>
    <w:rsid w:val="001818E4"/>
    <w:rsid w:val="001819DA"/>
    <w:rsid w:val="00181FCF"/>
    <w:rsid w:val="00182693"/>
    <w:rsid w:val="001826A0"/>
    <w:rsid w:val="00182705"/>
    <w:rsid w:val="00182DFB"/>
    <w:rsid w:val="00182E38"/>
    <w:rsid w:val="00183780"/>
    <w:rsid w:val="001838E0"/>
    <w:rsid w:val="00183A15"/>
    <w:rsid w:val="00184899"/>
    <w:rsid w:val="00185355"/>
    <w:rsid w:val="0018535B"/>
    <w:rsid w:val="00185483"/>
    <w:rsid w:val="00185D52"/>
    <w:rsid w:val="0018628A"/>
    <w:rsid w:val="001866BF"/>
    <w:rsid w:val="00186884"/>
    <w:rsid w:val="00186A9F"/>
    <w:rsid w:val="00187102"/>
    <w:rsid w:val="00187119"/>
    <w:rsid w:val="001878EB"/>
    <w:rsid w:val="0019000C"/>
    <w:rsid w:val="0019030D"/>
    <w:rsid w:val="0019092C"/>
    <w:rsid w:val="00190C7A"/>
    <w:rsid w:val="00190E9E"/>
    <w:rsid w:val="00190F7F"/>
    <w:rsid w:val="0019269B"/>
    <w:rsid w:val="001929EF"/>
    <w:rsid w:val="00192F7F"/>
    <w:rsid w:val="001939CB"/>
    <w:rsid w:val="00193CAA"/>
    <w:rsid w:val="00193F5B"/>
    <w:rsid w:val="00194559"/>
    <w:rsid w:val="001947C1"/>
    <w:rsid w:val="001948EC"/>
    <w:rsid w:val="00194F2A"/>
    <w:rsid w:val="0019508F"/>
    <w:rsid w:val="001953F2"/>
    <w:rsid w:val="0019547E"/>
    <w:rsid w:val="00195688"/>
    <w:rsid w:val="0019734C"/>
    <w:rsid w:val="0019776A"/>
    <w:rsid w:val="001A0137"/>
    <w:rsid w:val="001A06DE"/>
    <w:rsid w:val="001A08FF"/>
    <w:rsid w:val="001A0E69"/>
    <w:rsid w:val="001A0F53"/>
    <w:rsid w:val="001A17B1"/>
    <w:rsid w:val="001A1AE7"/>
    <w:rsid w:val="001A2314"/>
    <w:rsid w:val="001A3100"/>
    <w:rsid w:val="001A3A22"/>
    <w:rsid w:val="001A3AA1"/>
    <w:rsid w:val="001A3F98"/>
    <w:rsid w:val="001A4109"/>
    <w:rsid w:val="001A4547"/>
    <w:rsid w:val="001A48FB"/>
    <w:rsid w:val="001A4C89"/>
    <w:rsid w:val="001A4F4E"/>
    <w:rsid w:val="001A562F"/>
    <w:rsid w:val="001A6341"/>
    <w:rsid w:val="001A646C"/>
    <w:rsid w:val="001A66AF"/>
    <w:rsid w:val="001B09DF"/>
    <w:rsid w:val="001B0AB2"/>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8D3"/>
    <w:rsid w:val="001B6F65"/>
    <w:rsid w:val="001B72AE"/>
    <w:rsid w:val="001B7686"/>
    <w:rsid w:val="001B76EB"/>
    <w:rsid w:val="001B7B29"/>
    <w:rsid w:val="001C0B1F"/>
    <w:rsid w:val="001C0C39"/>
    <w:rsid w:val="001C0E0C"/>
    <w:rsid w:val="001C1A1F"/>
    <w:rsid w:val="001C1B4B"/>
    <w:rsid w:val="001C2F21"/>
    <w:rsid w:val="001C321B"/>
    <w:rsid w:val="001C3C19"/>
    <w:rsid w:val="001C3E96"/>
    <w:rsid w:val="001C3ED4"/>
    <w:rsid w:val="001C567B"/>
    <w:rsid w:val="001C5696"/>
    <w:rsid w:val="001C5E6C"/>
    <w:rsid w:val="001C65BB"/>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D29"/>
    <w:rsid w:val="001E1EE3"/>
    <w:rsid w:val="001E1F20"/>
    <w:rsid w:val="001E26B5"/>
    <w:rsid w:val="001E386F"/>
    <w:rsid w:val="001E394B"/>
    <w:rsid w:val="001E3BCD"/>
    <w:rsid w:val="001E473D"/>
    <w:rsid w:val="001E4E84"/>
    <w:rsid w:val="001E4EBC"/>
    <w:rsid w:val="001E55D4"/>
    <w:rsid w:val="001E6CB1"/>
    <w:rsid w:val="001E71B5"/>
    <w:rsid w:val="001E7B18"/>
    <w:rsid w:val="001F1095"/>
    <w:rsid w:val="001F15CD"/>
    <w:rsid w:val="001F1A6D"/>
    <w:rsid w:val="001F1F3F"/>
    <w:rsid w:val="001F27B1"/>
    <w:rsid w:val="001F2F00"/>
    <w:rsid w:val="001F348D"/>
    <w:rsid w:val="001F3AE7"/>
    <w:rsid w:val="001F3E3F"/>
    <w:rsid w:val="001F4516"/>
    <w:rsid w:val="001F47D0"/>
    <w:rsid w:val="001F5B11"/>
    <w:rsid w:val="001F6550"/>
    <w:rsid w:val="001F69E8"/>
    <w:rsid w:val="001F7038"/>
    <w:rsid w:val="001F7320"/>
    <w:rsid w:val="00200F31"/>
    <w:rsid w:val="002014D5"/>
    <w:rsid w:val="00201B26"/>
    <w:rsid w:val="0020221F"/>
    <w:rsid w:val="00202E67"/>
    <w:rsid w:val="00203082"/>
    <w:rsid w:val="00203AEA"/>
    <w:rsid w:val="00203D33"/>
    <w:rsid w:val="00204D4A"/>
    <w:rsid w:val="00205051"/>
    <w:rsid w:val="0020524A"/>
    <w:rsid w:val="0020794A"/>
    <w:rsid w:val="00207A23"/>
    <w:rsid w:val="00207C7F"/>
    <w:rsid w:val="00210B48"/>
    <w:rsid w:val="00210F53"/>
    <w:rsid w:val="00211174"/>
    <w:rsid w:val="0021175A"/>
    <w:rsid w:val="00211B5E"/>
    <w:rsid w:val="00211B9D"/>
    <w:rsid w:val="002120BD"/>
    <w:rsid w:val="00212962"/>
    <w:rsid w:val="00212E46"/>
    <w:rsid w:val="00213196"/>
    <w:rsid w:val="00214731"/>
    <w:rsid w:val="00214852"/>
    <w:rsid w:val="00214F01"/>
    <w:rsid w:val="0021540E"/>
    <w:rsid w:val="00215C9A"/>
    <w:rsid w:val="0021615A"/>
    <w:rsid w:val="002169FE"/>
    <w:rsid w:val="00216F58"/>
    <w:rsid w:val="00217135"/>
    <w:rsid w:val="0022132D"/>
    <w:rsid w:val="00221D16"/>
    <w:rsid w:val="00221D27"/>
    <w:rsid w:val="00222064"/>
    <w:rsid w:val="00222CAE"/>
    <w:rsid w:val="00223622"/>
    <w:rsid w:val="00223B83"/>
    <w:rsid w:val="00223DAB"/>
    <w:rsid w:val="0022536E"/>
    <w:rsid w:val="002254EC"/>
    <w:rsid w:val="00225A53"/>
    <w:rsid w:val="00225C88"/>
    <w:rsid w:val="002262C4"/>
    <w:rsid w:val="002264F4"/>
    <w:rsid w:val="0022650B"/>
    <w:rsid w:val="00227A81"/>
    <w:rsid w:val="0023067E"/>
    <w:rsid w:val="00230A52"/>
    <w:rsid w:val="00231427"/>
    <w:rsid w:val="00231B27"/>
    <w:rsid w:val="002326CA"/>
    <w:rsid w:val="00232934"/>
    <w:rsid w:val="00232BAB"/>
    <w:rsid w:val="00233057"/>
    <w:rsid w:val="002331EC"/>
    <w:rsid w:val="00233702"/>
    <w:rsid w:val="00233ABC"/>
    <w:rsid w:val="00234906"/>
    <w:rsid w:val="00234A3D"/>
    <w:rsid w:val="00235ACB"/>
    <w:rsid w:val="00235DEC"/>
    <w:rsid w:val="002363D0"/>
    <w:rsid w:val="00236B10"/>
    <w:rsid w:val="00236EEA"/>
    <w:rsid w:val="002372B2"/>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03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5174"/>
    <w:rsid w:val="00265817"/>
    <w:rsid w:val="00266503"/>
    <w:rsid w:val="00266E0E"/>
    <w:rsid w:val="00266FD4"/>
    <w:rsid w:val="002671CC"/>
    <w:rsid w:val="00267241"/>
    <w:rsid w:val="002676FA"/>
    <w:rsid w:val="00267CA4"/>
    <w:rsid w:val="00270135"/>
    <w:rsid w:val="0027099E"/>
    <w:rsid w:val="002709E7"/>
    <w:rsid w:val="00271222"/>
    <w:rsid w:val="002728FA"/>
    <w:rsid w:val="0027369C"/>
    <w:rsid w:val="00273706"/>
    <w:rsid w:val="00274B8F"/>
    <w:rsid w:val="00274D9D"/>
    <w:rsid w:val="00276052"/>
    <w:rsid w:val="002769B7"/>
    <w:rsid w:val="00276C42"/>
    <w:rsid w:val="002775A0"/>
    <w:rsid w:val="0027764C"/>
    <w:rsid w:val="00280C4C"/>
    <w:rsid w:val="00280E55"/>
    <w:rsid w:val="0028141B"/>
    <w:rsid w:val="00281E59"/>
    <w:rsid w:val="002826AA"/>
    <w:rsid w:val="00282FEC"/>
    <w:rsid w:val="00282FF3"/>
    <w:rsid w:val="0028364E"/>
    <w:rsid w:val="00284204"/>
    <w:rsid w:val="00284655"/>
    <w:rsid w:val="002848CB"/>
    <w:rsid w:val="00284D72"/>
    <w:rsid w:val="00285776"/>
    <w:rsid w:val="002858BA"/>
    <w:rsid w:val="0028661B"/>
    <w:rsid w:val="002866D9"/>
    <w:rsid w:val="0028686B"/>
    <w:rsid w:val="002912A0"/>
    <w:rsid w:val="00291756"/>
    <w:rsid w:val="0029235D"/>
    <w:rsid w:val="00292574"/>
    <w:rsid w:val="002926A4"/>
    <w:rsid w:val="00292F35"/>
    <w:rsid w:val="00292F9A"/>
    <w:rsid w:val="0029396A"/>
    <w:rsid w:val="00293DE2"/>
    <w:rsid w:val="00293FB0"/>
    <w:rsid w:val="00294449"/>
    <w:rsid w:val="00294DB1"/>
    <w:rsid w:val="00295E8C"/>
    <w:rsid w:val="00296148"/>
    <w:rsid w:val="0029649C"/>
    <w:rsid w:val="00296C8F"/>
    <w:rsid w:val="0029771E"/>
    <w:rsid w:val="002A0378"/>
    <w:rsid w:val="002A0621"/>
    <w:rsid w:val="002A07B1"/>
    <w:rsid w:val="002A17E0"/>
    <w:rsid w:val="002A21C3"/>
    <w:rsid w:val="002A39E7"/>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F51"/>
    <w:rsid w:val="002B15AC"/>
    <w:rsid w:val="002B193B"/>
    <w:rsid w:val="002B19FB"/>
    <w:rsid w:val="002B2C08"/>
    <w:rsid w:val="002B327C"/>
    <w:rsid w:val="002B36C3"/>
    <w:rsid w:val="002B51D1"/>
    <w:rsid w:val="002B532E"/>
    <w:rsid w:val="002B543A"/>
    <w:rsid w:val="002B5525"/>
    <w:rsid w:val="002B5A2E"/>
    <w:rsid w:val="002B5A4B"/>
    <w:rsid w:val="002B61A8"/>
    <w:rsid w:val="002B678E"/>
    <w:rsid w:val="002B68FE"/>
    <w:rsid w:val="002C0717"/>
    <w:rsid w:val="002C0BC3"/>
    <w:rsid w:val="002C0D00"/>
    <w:rsid w:val="002C10D1"/>
    <w:rsid w:val="002C1CFA"/>
    <w:rsid w:val="002C239C"/>
    <w:rsid w:val="002C2F4E"/>
    <w:rsid w:val="002C30B8"/>
    <w:rsid w:val="002C356F"/>
    <w:rsid w:val="002C3A5F"/>
    <w:rsid w:val="002C3CEB"/>
    <w:rsid w:val="002C433A"/>
    <w:rsid w:val="002C4DD7"/>
    <w:rsid w:val="002C5754"/>
    <w:rsid w:val="002C6BF5"/>
    <w:rsid w:val="002C6D79"/>
    <w:rsid w:val="002C765A"/>
    <w:rsid w:val="002D0C49"/>
    <w:rsid w:val="002D0F70"/>
    <w:rsid w:val="002D1469"/>
    <w:rsid w:val="002D2333"/>
    <w:rsid w:val="002D2553"/>
    <w:rsid w:val="002D2E99"/>
    <w:rsid w:val="002D43A1"/>
    <w:rsid w:val="002D50B7"/>
    <w:rsid w:val="002D6310"/>
    <w:rsid w:val="002D63D6"/>
    <w:rsid w:val="002D65E4"/>
    <w:rsid w:val="002D6680"/>
    <w:rsid w:val="002D6EFA"/>
    <w:rsid w:val="002D7F1A"/>
    <w:rsid w:val="002E00CC"/>
    <w:rsid w:val="002E0473"/>
    <w:rsid w:val="002E05A3"/>
    <w:rsid w:val="002E0BB8"/>
    <w:rsid w:val="002E0C45"/>
    <w:rsid w:val="002E1197"/>
    <w:rsid w:val="002E1312"/>
    <w:rsid w:val="002E1AB7"/>
    <w:rsid w:val="002E1AF1"/>
    <w:rsid w:val="002E1F29"/>
    <w:rsid w:val="002E24D4"/>
    <w:rsid w:val="002E293D"/>
    <w:rsid w:val="002E2A27"/>
    <w:rsid w:val="002E2FEF"/>
    <w:rsid w:val="002E3911"/>
    <w:rsid w:val="002E3E8A"/>
    <w:rsid w:val="002E527B"/>
    <w:rsid w:val="002E56B2"/>
    <w:rsid w:val="002E5ACF"/>
    <w:rsid w:val="002E604B"/>
    <w:rsid w:val="002E710B"/>
    <w:rsid w:val="002E799D"/>
    <w:rsid w:val="002F06D0"/>
    <w:rsid w:val="002F15AD"/>
    <w:rsid w:val="002F2CF2"/>
    <w:rsid w:val="002F369F"/>
    <w:rsid w:val="002F3830"/>
    <w:rsid w:val="002F38D7"/>
    <w:rsid w:val="002F3EFA"/>
    <w:rsid w:val="002F42D9"/>
    <w:rsid w:val="002F4364"/>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4ACA"/>
    <w:rsid w:val="00304F2A"/>
    <w:rsid w:val="003062D8"/>
    <w:rsid w:val="0030704A"/>
    <w:rsid w:val="003070B7"/>
    <w:rsid w:val="003075BC"/>
    <w:rsid w:val="00307E7E"/>
    <w:rsid w:val="003101EC"/>
    <w:rsid w:val="003103EE"/>
    <w:rsid w:val="0031042A"/>
    <w:rsid w:val="003106DE"/>
    <w:rsid w:val="00311663"/>
    <w:rsid w:val="0031171D"/>
    <w:rsid w:val="00311B59"/>
    <w:rsid w:val="003127F4"/>
    <w:rsid w:val="00312E1C"/>
    <w:rsid w:val="003133C7"/>
    <w:rsid w:val="00313652"/>
    <w:rsid w:val="0031376D"/>
    <w:rsid w:val="00313D36"/>
    <w:rsid w:val="003151B5"/>
    <w:rsid w:val="00315AF8"/>
    <w:rsid w:val="00315C91"/>
    <w:rsid w:val="003168A7"/>
    <w:rsid w:val="003175F3"/>
    <w:rsid w:val="00317835"/>
    <w:rsid w:val="00317A71"/>
    <w:rsid w:val="00317C72"/>
    <w:rsid w:val="00320110"/>
    <w:rsid w:val="00320ED9"/>
    <w:rsid w:val="00321DAA"/>
    <w:rsid w:val="003225D9"/>
    <w:rsid w:val="00322AF3"/>
    <w:rsid w:val="0032306C"/>
    <w:rsid w:val="00323146"/>
    <w:rsid w:val="003235CC"/>
    <w:rsid w:val="00324EC4"/>
    <w:rsid w:val="00325427"/>
    <w:rsid w:val="00325668"/>
    <w:rsid w:val="00325823"/>
    <w:rsid w:val="00325E60"/>
    <w:rsid w:val="0032752E"/>
    <w:rsid w:val="00327705"/>
    <w:rsid w:val="00327A06"/>
    <w:rsid w:val="0033097A"/>
    <w:rsid w:val="00330C51"/>
    <w:rsid w:val="00330DCC"/>
    <w:rsid w:val="003310D4"/>
    <w:rsid w:val="0033199D"/>
    <w:rsid w:val="00331CFC"/>
    <w:rsid w:val="0033241A"/>
    <w:rsid w:val="0033252A"/>
    <w:rsid w:val="00332627"/>
    <w:rsid w:val="00332A87"/>
    <w:rsid w:val="00332E97"/>
    <w:rsid w:val="00332F1F"/>
    <w:rsid w:val="00333196"/>
    <w:rsid w:val="00333F4A"/>
    <w:rsid w:val="00334EB2"/>
    <w:rsid w:val="003351CE"/>
    <w:rsid w:val="0033535C"/>
    <w:rsid w:val="0033559C"/>
    <w:rsid w:val="0033625F"/>
    <w:rsid w:val="003362C9"/>
    <w:rsid w:val="00337063"/>
    <w:rsid w:val="003379DC"/>
    <w:rsid w:val="00337C8D"/>
    <w:rsid w:val="00340D7B"/>
    <w:rsid w:val="00341556"/>
    <w:rsid w:val="0034178A"/>
    <w:rsid w:val="003429E0"/>
    <w:rsid w:val="003436C7"/>
    <w:rsid w:val="00343A3B"/>
    <w:rsid w:val="00343B7B"/>
    <w:rsid w:val="00343C1E"/>
    <w:rsid w:val="003441F0"/>
    <w:rsid w:val="00344B33"/>
    <w:rsid w:val="00346021"/>
    <w:rsid w:val="00346127"/>
    <w:rsid w:val="00346B36"/>
    <w:rsid w:val="0034796D"/>
    <w:rsid w:val="00347CC0"/>
    <w:rsid w:val="0035093A"/>
    <w:rsid w:val="003509E6"/>
    <w:rsid w:val="00351237"/>
    <w:rsid w:val="00351946"/>
    <w:rsid w:val="00351B53"/>
    <w:rsid w:val="00351FF0"/>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57E8F"/>
    <w:rsid w:val="00360937"/>
    <w:rsid w:val="00360B19"/>
    <w:rsid w:val="00360FCE"/>
    <w:rsid w:val="0036193E"/>
    <w:rsid w:val="003626D8"/>
    <w:rsid w:val="00362D25"/>
    <w:rsid w:val="00362DF3"/>
    <w:rsid w:val="00362E82"/>
    <w:rsid w:val="00364001"/>
    <w:rsid w:val="0036478E"/>
    <w:rsid w:val="00365B5F"/>
    <w:rsid w:val="00365DC3"/>
    <w:rsid w:val="0036633C"/>
    <w:rsid w:val="00366CA4"/>
    <w:rsid w:val="00366CC9"/>
    <w:rsid w:val="0036763E"/>
    <w:rsid w:val="00367C14"/>
    <w:rsid w:val="00367E02"/>
    <w:rsid w:val="0037013D"/>
    <w:rsid w:val="0037078A"/>
    <w:rsid w:val="00370DA4"/>
    <w:rsid w:val="003710CD"/>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0B5"/>
    <w:rsid w:val="003830D9"/>
    <w:rsid w:val="00383AFB"/>
    <w:rsid w:val="00383B9B"/>
    <w:rsid w:val="0038431A"/>
    <w:rsid w:val="0038547C"/>
    <w:rsid w:val="003857D3"/>
    <w:rsid w:val="00385A88"/>
    <w:rsid w:val="00385BA5"/>
    <w:rsid w:val="00386E93"/>
    <w:rsid w:val="00387900"/>
    <w:rsid w:val="00387AF8"/>
    <w:rsid w:val="00387BE8"/>
    <w:rsid w:val="00390065"/>
    <w:rsid w:val="003901C7"/>
    <w:rsid w:val="00390A1E"/>
    <w:rsid w:val="0039180F"/>
    <w:rsid w:val="0039332D"/>
    <w:rsid w:val="00393383"/>
    <w:rsid w:val="00393660"/>
    <w:rsid w:val="00393E6D"/>
    <w:rsid w:val="003940A4"/>
    <w:rsid w:val="00394A88"/>
    <w:rsid w:val="00394FBC"/>
    <w:rsid w:val="00395509"/>
    <w:rsid w:val="003957B6"/>
    <w:rsid w:val="003958AE"/>
    <w:rsid w:val="00395D43"/>
    <w:rsid w:val="00396076"/>
    <w:rsid w:val="0039618A"/>
    <w:rsid w:val="0039624A"/>
    <w:rsid w:val="0039709D"/>
    <w:rsid w:val="00397213"/>
    <w:rsid w:val="003A00C9"/>
    <w:rsid w:val="003A0258"/>
    <w:rsid w:val="003A0632"/>
    <w:rsid w:val="003A08CE"/>
    <w:rsid w:val="003A100F"/>
    <w:rsid w:val="003A11C4"/>
    <w:rsid w:val="003A1F69"/>
    <w:rsid w:val="003A320F"/>
    <w:rsid w:val="003A47E8"/>
    <w:rsid w:val="003A487D"/>
    <w:rsid w:val="003A4AB7"/>
    <w:rsid w:val="003A58BA"/>
    <w:rsid w:val="003A7124"/>
    <w:rsid w:val="003B00B8"/>
    <w:rsid w:val="003B02EC"/>
    <w:rsid w:val="003B0718"/>
    <w:rsid w:val="003B1455"/>
    <w:rsid w:val="003B1639"/>
    <w:rsid w:val="003B196D"/>
    <w:rsid w:val="003B2062"/>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AB8"/>
    <w:rsid w:val="003B6DB2"/>
    <w:rsid w:val="003B6E18"/>
    <w:rsid w:val="003B7053"/>
    <w:rsid w:val="003B7102"/>
    <w:rsid w:val="003B774F"/>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8D7"/>
    <w:rsid w:val="003E19E7"/>
    <w:rsid w:val="003E1DA0"/>
    <w:rsid w:val="003E29B3"/>
    <w:rsid w:val="003E36C0"/>
    <w:rsid w:val="003E3724"/>
    <w:rsid w:val="003E3957"/>
    <w:rsid w:val="003E398D"/>
    <w:rsid w:val="003E4289"/>
    <w:rsid w:val="003E4800"/>
    <w:rsid w:val="003E487B"/>
    <w:rsid w:val="003E5338"/>
    <w:rsid w:val="003E55E5"/>
    <w:rsid w:val="003E57F9"/>
    <w:rsid w:val="003E5DFE"/>
    <w:rsid w:val="003E5F4F"/>
    <w:rsid w:val="003E6144"/>
    <w:rsid w:val="003E6395"/>
    <w:rsid w:val="003E6A80"/>
    <w:rsid w:val="003E6EF7"/>
    <w:rsid w:val="003E7F59"/>
    <w:rsid w:val="003F059B"/>
    <w:rsid w:val="003F069F"/>
    <w:rsid w:val="003F0D8B"/>
    <w:rsid w:val="003F1E6F"/>
    <w:rsid w:val="003F1F9E"/>
    <w:rsid w:val="003F2A93"/>
    <w:rsid w:val="003F3BC1"/>
    <w:rsid w:val="003F3D76"/>
    <w:rsid w:val="003F42A4"/>
    <w:rsid w:val="003F43E6"/>
    <w:rsid w:val="003F4894"/>
    <w:rsid w:val="003F490D"/>
    <w:rsid w:val="003F4DDB"/>
    <w:rsid w:val="003F5542"/>
    <w:rsid w:val="003F5810"/>
    <w:rsid w:val="003F5842"/>
    <w:rsid w:val="003F61E1"/>
    <w:rsid w:val="003F704D"/>
    <w:rsid w:val="003F77FC"/>
    <w:rsid w:val="004000BE"/>
    <w:rsid w:val="00400122"/>
    <w:rsid w:val="004015C7"/>
    <w:rsid w:val="00401D3D"/>
    <w:rsid w:val="004020AB"/>
    <w:rsid w:val="004026BA"/>
    <w:rsid w:val="00403038"/>
    <w:rsid w:val="004030D5"/>
    <w:rsid w:val="0040388F"/>
    <w:rsid w:val="00404249"/>
    <w:rsid w:val="004050B4"/>
    <w:rsid w:val="0040531A"/>
    <w:rsid w:val="00405746"/>
    <w:rsid w:val="004062EC"/>
    <w:rsid w:val="00406755"/>
    <w:rsid w:val="004067DB"/>
    <w:rsid w:val="004069C5"/>
    <w:rsid w:val="00406B1E"/>
    <w:rsid w:val="0040709C"/>
    <w:rsid w:val="00407F30"/>
    <w:rsid w:val="00410ECC"/>
    <w:rsid w:val="004116DA"/>
    <w:rsid w:val="004117D6"/>
    <w:rsid w:val="00411834"/>
    <w:rsid w:val="00411963"/>
    <w:rsid w:val="00411B1C"/>
    <w:rsid w:val="00412A23"/>
    <w:rsid w:val="00412F22"/>
    <w:rsid w:val="004149DA"/>
    <w:rsid w:val="00414A2E"/>
    <w:rsid w:val="00415755"/>
    <w:rsid w:val="00415DD0"/>
    <w:rsid w:val="004161DE"/>
    <w:rsid w:val="00416211"/>
    <w:rsid w:val="004162D1"/>
    <w:rsid w:val="004167B1"/>
    <w:rsid w:val="00417735"/>
    <w:rsid w:val="0042035D"/>
    <w:rsid w:val="00420604"/>
    <w:rsid w:val="00420841"/>
    <w:rsid w:val="004226AA"/>
    <w:rsid w:val="00422793"/>
    <w:rsid w:val="00423732"/>
    <w:rsid w:val="0042396F"/>
    <w:rsid w:val="00423B38"/>
    <w:rsid w:val="00423FCE"/>
    <w:rsid w:val="004249C4"/>
    <w:rsid w:val="004259F9"/>
    <w:rsid w:val="00425B31"/>
    <w:rsid w:val="00425BAA"/>
    <w:rsid w:val="0042648D"/>
    <w:rsid w:val="00426957"/>
    <w:rsid w:val="00426976"/>
    <w:rsid w:val="00426BBE"/>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5A31"/>
    <w:rsid w:val="00436DA8"/>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0DBC"/>
    <w:rsid w:val="00450DFB"/>
    <w:rsid w:val="004511AB"/>
    <w:rsid w:val="004511FA"/>
    <w:rsid w:val="004514DB"/>
    <w:rsid w:val="004519BB"/>
    <w:rsid w:val="0045235F"/>
    <w:rsid w:val="004533F1"/>
    <w:rsid w:val="00453477"/>
    <w:rsid w:val="00453797"/>
    <w:rsid w:val="00453ABE"/>
    <w:rsid w:val="004542A8"/>
    <w:rsid w:val="004546CE"/>
    <w:rsid w:val="00455912"/>
    <w:rsid w:val="004560D2"/>
    <w:rsid w:val="004576E8"/>
    <w:rsid w:val="00457CEE"/>
    <w:rsid w:val="00460794"/>
    <w:rsid w:val="00460F4D"/>
    <w:rsid w:val="00461DF1"/>
    <w:rsid w:val="00462BA8"/>
    <w:rsid w:val="00463731"/>
    <w:rsid w:val="00463A9F"/>
    <w:rsid w:val="00463CEF"/>
    <w:rsid w:val="00463DEF"/>
    <w:rsid w:val="00464686"/>
    <w:rsid w:val="00464FEE"/>
    <w:rsid w:val="004672B7"/>
    <w:rsid w:val="00467391"/>
    <w:rsid w:val="004706A0"/>
    <w:rsid w:val="00471291"/>
    <w:rsid w:val="00471318"/>
    <w:rsid w:val="004715A8"/>
    <w:rsid w:val="00471789"/>
    <w:rsid w:val="00472190"/>
    <w:rsid w:val="004724BF"/>
    <w:rsid w:val="00472695"/>
    <w:rsid w:val="004729E0"/>
    <w:rsid w:val="00473344"/>
    <w:rsid w:val="00473E9C"/>
    <w:rsid w:val="004744D7"/>
    <w:rsid w:val="00474AAA"/>
    <w:rsid w:val="00474BF7"/>
    <w:rsid w:val="00474D9B"/>
    <w:rsid w:val="00474E5C"/>
    <w:rsid w:val="00474F62"/>
    <w:rsid w:val="00475824"/>
    <w:rsid w:val="00475E1A"/>
    <w:rsid w:val="00476077"/>
    <w:rsid w:val="004762ED"/>
    <w:rsid w:val="004769AB"/>
    <w:rsid w:val="00476F6F"/>
    <w:rsid w:val="00477469"/>
    <w:rsid w:val="004774B6"/>
    <w:rsid w:val="004775E8"/>
    <w:rsid w:val="00477A87"/>
    <w:rsid w:val="0048052E"/>
    <w:rsid w:val="00481888"/>
    <w:rsid w:val="0048213C"/>
    <w:rsid w:val="0048221A"/>
    <w:rsid w:val="00482A6C"/>
    <w:rsid w:val="00482BE4"/>
    <w:rsid w:val="004831E5"/>
    <w:rsid w:val="0048370B"/>
    <w:rsid w:val="00483C2E"/>
    <w:rsid w:val="00483E9A"/>
    <w:rsid w:val="004848D1"/>
    <w:rsid w:val="00486750"/>
    <w:rsid w:val="00487EBC"/>
    <w:rsid w:val="00490268"/>
    <w:rsid w:val="00490DDC"/>
    <w:rsid w:val="00490E33"/>
    <w:rsid w:val="00491D56"/>
    <w:rsid w:val="00491D60"/>
    <w:rsid w:val="004947D5"/>
    <w:rsid w:val="0049492A"/>
    <w:rsid w:val="00494CD1"/>
    <w:rsid w:val="00494CDA"/>
    <w:rsid w:val="00495713"/>
    <w:rsid w:val="004957BA"/>
    <w:rsid w:val="0049590A"/>
    <w:rsid w:val="004959F3"/>
    <w:rsid w:val="00495CE9"/>
    <w:rsid w:val="00495E5A"/>
    <w:rsid w:val="004962C7"/>
    <w:rsid w:val="004963CC"/>
    <w:rsid w:val="004970C9"/>
    <w:rsid w:val="00497428"/>
    <w:rsid w:val="00497574"/>
    <w:rsid w:val="004978DC"/>
    <w:rsid w:val="00497B5E"/>
    <w:rsid w:val="004A0C7E"/>
    <w:rsid w:val="004A1469"/>
    <w:rsid w:val="004A224A"/>
    <w:rsid w:val="004A275E"/>
    <w:rsid w:val="004A28DD"/>
    <w:rsid w:val="004A2F02"/>
    <w:rsid w:val="004A3074"/>
    <w:rsid w:val="004A32DD"/>
    <w:rsid w:val="004A4486"/>
    <w:rsid w:val="004A570E"/>
    <w:rsid w:val="004A59B2"/>
    <w:rsid w:val="004A74F3"/>
    <w:rsid w:val="004A7CEC"/>
    <w:rsid w:val="004B06E1"/>
    <w:rsid w:val="004B129A"/>
    <w:rsid w:val="004B24A3"/>
    <w:rsid w:val="004B24F7"/>
    <w:rsid w:val="004B26C7"/>
    <w:rsid w:val="004B28AF"/>
    <w:rsid w:val="004B2A91"/>
    <w:rsid w:val="004B2F98"/>
    <w:rsid w:val="004B31C7"/>
    <w:rsid w:val="004B4BC0"/>
    <w:rsid w:val="004B4BDC"/>
    <w:rsid w:val="004B4D42"/>
    <w:rsid w:val="004B4E10"/>
    <w:rsid w:val="004B60AB"/>
    <w:rsid w:val="004B612C"/>
    <w:rsid w:val="004B62A5"/>
    <w:rsid w:val="004B73F5"/>
    <w:rsid w:val="004B7E3E"/>
    <w:rsid w:val="004C0544"/>
    <w:rsid w:val="004C07ED"/>
    <w:rsid w:val="004C0978"/>
    <w:rsid w:val="004C0DFB"/>
    <w:rsid w:val="004C1AF9"/>
    <w:rsid w:val="004C228F"/>
    <w:rsid w:val="004C2469"/>
    <w:rsid w:val="004C2585"/>
    <w:rsid w:val="004C279B"/>
    <w:rsid w:val="004C281D"/>
    <w:rsid w:val="004C2D71"/>
    <w:rsid w:val="004C2E9D"/>
    <w:rsid w:val="004C4513"/>
    <w:rsid w:val="004C4BEC"/>
    <w:rsid w:val="004C5A9B"/>
    <w:rsid w:val="004C7022"/>
    <w:rsid w:val="004C7663"/>
    <w:rsid w:val="004C79C0"/>
    <w:rsid w:val="004C7FC6"/>
    <w:rsid w:val="004D055D"/>
    <w:rsid w:val="004D08E0"/>
    <w:rsid w:val="004D129E"/>
    <w:rsid w:val="004D25B5"/>
    <w:rsid w:val="004D47B9"/>
    <w:rsid w:val="004D489C"/>
    <w:rsid w:val="004D49C8"/>
    <w:rsid w:val="004D5428"/>
    <w:rsid w:val="004D5D5C"/>
    <w:rsid w:val="004D5FBA"/>
    <w:rsid w:val="004D6E67"/>
    <w:rsid w:val="004D6FCC"/>
    <w:rsid w:val="004D752E"/>
    <w:rsid w:val="004E00B4"/>
    <w:rsid w:val="004E0745"/>
    <w:rsid w:val="004E0963"/>
    <w:rsid w:val="004E0B2F"/>
    <w:rsid w:val="004E0CCF"/>
    <w:rsid w:val="004E1B3F"/>
    <w:rsid w:val="004E1D94"/>
    <w:rsid w:val="004E21ED"/>
    <w:rsid w:val="004E2A8E"/>
    <w:rsid w:val="004E3DC8"/>
    <w:rsid w:val="004E4559"/>
    <w:rsid w:val="004E458C"/>
    <w:rsid w:val="004E5788"/>
    <w:rsid w:val="004E70F1"/>
    <w:rsid w:val="004E714B"/>
    <w:rsid w:val="004E727A"/>
    <w:rsid w:val="004F000D"/>
    <w:rsid w:val="004F0EC9"/>
    <w:rsid w:val="004F0F77"/>
    <w:rsid w:val="004F27DD"/>
    <w:rsid w:val="004F3935"/>
    <w:rsid w:val="004F40AB"/>
    <w:rsid w:val="004F47F7"/>
    <w:rsid w:val="004F5023"/>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32D5"/>
    <w:rsid w:val="00513637"/>
    <w:rsid w:val="00515BEE"/>
    <w:rsid w:val="00515EAB"/>
    <w:rsid w:val="00517065"/>
    <w:rsid w:val="005178CD"/>
    <w:rsid w:val="005208AC"/>
    <w:rsid w:val="005209B8"/>
    <w:rsid w:val="00520B14"/>
    <w:rsid w:val="00520BF3"/>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88B"/>
    <w:rsid w:val="00526A8A"/>
    <w:rsid w:val="00526D01"/>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410"/>
    <w:rsid w:val="00540D5C"/>
    <w:rsid w:val="00540EBB"/>
    <w:rsid w:val="0054182A"/>
    <w:rsid w:val="00541971"/>
    <w:rsid w:val="00541FF9"/>
    <w:rsid w:val="00542899"/>
    <w:rsid w:val="00544481"/>
    <w:rsid w:val="005444FD"/>
    <w:rsid w:val="00544C2E"/>
    <w:rsid w:val="0054689F"/>
    <w:rsid w:val="00546DAD"/>
    <w:rsid w:val="00546F64"/>
    <w:rsid w:val="00546FFA"/>
    <w:rsid w:val="0054701C"/>
    <w:rsid w:val="0055024A"/>
    <w:rsid w:val="0055040D"/>
    <w:rsid w:val="00550BD7"/>
    <w:rsid w:val="00550D90"/>
    <w:rsid w:val="005510E7"/>
    <w:rsid w:val="00551176"/>
    <w:rsid w:val="0055248D"/>
    <w:rsid w:val="00552EC6"/>
    <w:rsid w:val="005535CA"/>
    <w:rsid w:val="005538CF"/>
    <w:rsid w:val="005542A1"/>
    <w:rsid w:val="00554850"/>
    <w:rsid w:val="005549AB"/>
    <w:rsid w:val="005557FE"/>
    <w:rsid w:val="00555A0C"/>
    <w:rsid w:val="00555A17"/>
    <w:rsid w:val="00555EC7"/>
    <w:rsid w:val="005570AD"/>
    <w:rsid w:val="00557B49"/>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3F5"/>
    <w:rsid w:val="0056580C"/>
    <w:rsid w:val="005658E4"/>
    <w:rsid w:val="005659DA"/>
    <w:rsid w:val="00565B20"/>
    <w:rsid w:val="00566C79"/>
    <w:rsid w:val="00567966"/>
    <w:rsid w:val="00570169"/>
    <w:rsid w:val="00571DC3"/>
    <w:rsid w:val="00571DD3"/>
    <w:rsid w:val="00571EA8"/>
    <w:rsid w:val="00571FF4"/>
    <w:rsid w:val="005720B2"/>
    <w:rsid w:val="00572D19"/>
    <w:rsid w:val="00573C76"/>
    <w:rsid w:val="005748A1"/>
    <w:rsid w:val="00574B54"/>
    <w:rsid w:val="00574DCD"/>
    <w:rsid w:val="00575001"/>
    <w:rsid w:val="005757C3"/>
    <w:rsid w:val="00576CAE"/>
    <w:rsid w:val="0057720B"/>
    <w:rsid w:val="00577800"/>
    <w:rsid w:val="00580185"/>
    <w:rsid w:val="005809B5"/>
    <w:rsid w:val="005812EF"/>
    <w:rsid w:val="00582010"/>
    <w:rsid w:val="0058254B"/>
    <w:rsid w:val="00583491"/>
    <w:rsid w:val="0058351E"/>
    <w:rsid w:val="00584064"/>
    <w:rsid w:val="00584584"/>
    <w:rsid w:val="00584844"/>
    <w:rsid w:val="00584922"/>
    <w:rsid w:val="005854E3"/>
    <w:rsid w:val="005858C5"/>
    <w:rsid w:val="00587407"/>
    <w:rsid w:val="00587914"/>
    <w:rsid w:val="005900F4"/>
    <w:rsid w:val="0059181C"/>
    <w:rsid w:val="005921B3"/>
    <w:rsid w:val="00592318"/>
    <w:rsid w:val="005925EC"/>
    <w:rsid w:val="00594F57"/>
    <w:rsid w:val="00595123"/>
    <w:rsid w:val="00595265"/>
    <w:rsid w:val="0059611F"/>
    <w:rsid w:val="005964F5"/>
    <w:rsid w:val="00597224"/>
    <w:rsid w:val="005A0727"/>
    <w:rsid w:val="005A1B7D"/>
    <w:rsid w:val="005A1FB5"/>
    <w:rsid w:val="005A21F0"/>
    <w:rsid w:val="005A3592"/>
    <w:rsid w:val="005A4082"/>
    <w:rsid w:val="005A46DD"/>
    <w:rsid w:val="005A64FE"/>
    <w:rsid w:val="005A6B39"/>
    <w:rsid w:val="005A6C46"/>
    <w:rsid w:val="005B0AAB"/>
    <w:rsid w:val="005B2834"/>
    <w:rsid w:val="005B2FBF"/>
    <w:rsid w:val="005B3737"/>
    <w:rsid w:val="005B3E01"/>
    <w:rsid w:val="005B3F91"/>
    <w:rsid w:val="005B409A"/>
    <w:rsid w:val="005B4285"/>
    <w:rsid w:val="005B48B5"/>
    <w:rsid w:val="005B4EB8"/>
    <w:rsid w:val="005B51D3"/>
    <w:rsid w:val="005B5497"/>
    <w:rsid w:val="005B5790"/>
    <w:rsid w:val="005B5E9D"/>
    <w:rsid w:val="005B5FA3"/>
    <w:rsid w:val="005B5FD3"/>
    <w:rsid w:val="005B633B"/>
    <w:rsid w:val="005B66C5"/>
    <w:rsid w:val="005B6B5A"/>
    <w:rsid w:val="005B6C43"/>
    <w:rsid w:val="005B6F1B"/>
    <w:rsid w:val="005B711B"/>
    <w:rsid w:val="005B72C0"/>
    <w:rsid w:val="005C1453"/>
    <w:rsid w:val="005C196C"/>
    <w:rsid w:val="005C1C71"/>
    <w:rsid w:val="005C205B"/>
    <w:rsid w:val="005C2A8E"/>
    <w:rsid w:val="005C2CA2"/>
    <w:rsid w:val="005C3064"/>
    <w:rsid w:val="005C3191"/>
    <w:rsid w:val="005C31AA"/>
    <w:rsid w:val="005C3464"/>
    <w:rsid w:val="005C3C86"/>
    <w:rsid w:val="005C4651"/>
    <w:rsid w:val="005C4E55"/>
    <w:rsid w:val="005C725E"/>
    <w:rsid w:val="005C7653"/>
    <w:rsid w:val="005C7BBF"/>
    <w:rsid w:val="005D0057"/>
    <w:rsid w:val="005D019B"/>
    <w:rsid w:val="005D06E9"/>
    <w:rsid w:val="005D1B73"/>
    <w:rsid w:val="005D22E9"/>
    <w:rsid w:val="005D3069"/>
    <w:rsid w:val="005D31CB"/>
    <w:rsid w:val="005D370F"/>
    <w:rsid w:val="005D3730"/>
    <w:rsid w:val="005D3BD1"/>
    <w:rsid w:val="005D40A5"/>
    <w:rsid w:val="005D57F3"/>
    <w:rsid w:val="005D5940"/>
    <w:rsid w:val="005D5A15"/>
    <w:rsid w:val="005D5D26"/>
    <w:rsid w:val="005D5EBA"/>
    <w:rsid w:val="005E00F5"/>
    <w:rsid w:val="005E0B86"/>
    <w:rsid w:val="005E0FA3"/>
    <w:rsid w:val="005E27C5"/>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3F86"/>
    <w:rsid w:val="005F4197"/>
    <w:rsid w:val="005F4B38"/>
    <w:rsid w:val="005F4C67"/>
    <w:rsid w:val="005F4F12"/>
    <w:rsid w:val="005F5163"/>
    <w:rsid w:val="005F52C6"/>
    <w:rsid w:val="005F541C"/>
    <w:rsid w:val="005F5A77"/>
    <w:rsid w:val="005F61E5"/>
    <w:rsid w:val="005F6596"/>
    <w:rsid w:val="005F6751"/>
    <w:rsid w:val="005F7D76"/>
    <w:rsid w:val="0060092D"/>
    <w:rsid w:val="00601639"/>
    <w:rsid w:val="00602309"/>
    <w:rsid w:val="006024F3"/>
    <w:rsid w:val="006028B7"/>
    <w:rsid w:val="00603321"/>
    <w:rsid w:val="00603543"/>
    <w:rsid w:val="00603572"/>
    <w:rsid w:val="00604ACB"/>
    <w:rsid w:val="00604C44"/>
    <w:rsid w:val="006055FE"/>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A61"/>
    <w:rsid w:val="00625B63"/>
    <w:rsid w:val="00626107"/>
    <w:rsid w:val="00626190"/>
    <w:rsid w:val="00626DA9"/>
    <w:rsid w:val="00627517"/>
    <w:rsid w:val="00630B1A"/>
    <w:rsid w:val="00632281"/>
    <w:rsid w:val="00632364"/>
    <w:rsid w:val="006324C1"/>
    <w:rsid w:val="006327BE"/>
    <w:rsid w:val="00632A4A"/>
    <w:rsid w:val="00633369"/>
    <w:rsid w:val="00634573"/>
    <w:rsid w:val="00635A24"/>
    <w:rsid w:val="00635DDF"/>
    <w:rsid w:val="00636818"/>
    <w:rsid w:val="00636ADD"/>
    <w:rsid w:val="00636C79"/>
    <w:rsid w:val="006373D4"/>
    <w:rsid w:val="00637592"/>
    <w:rsid w:val="00640221"/>
    <w:rsid w:val="006406E5"/>
    <w:rsid w:val="00640B24"/>
    <w:rsid w:val="0064110A"/>
    <w:rsid w:val="006417BC"/>
    <w:rsid w:val="0064185B"/>
    <w:rsid w:val="00641C9C"/>
    <w:rsid w:val="00641EE6"/>
    <w:rsid w:val="00641F0C"/>
    <w:rsid w:val="00642292"/>
    <w:rsid w:val="00642EB3"/>
    <w:rsid w:val="0064364D"/>
    <w:rsid w:val="006441AD"/>
    <w:rsid w:val="006442C8"/>
    <w:rsid w:val="0064464F"/>
    <w:rsid w:val="006446B7"/>
    <w:rsid w:val="0064476C"/>
    <w:rsid w:val="00644B90"/>
    <w:rsid w:val="006460C3"/>
    <w:rsid w:val="00646E32"/>
    <w:rsid w:val="00646E56"/>
    <w:rsid w:val="00647687"/>
    <w:rsid w:val="00647768"/>
    <w:rsid w:val="006505E5"/>
    <w:rsid w:val="00651AD8"/>
    <w:rsid w:val="0065230F"/>
    <w:rsid w:val="0065353F"/>
    <w:rsid w:val="00653F72"/>
    <w:rsid w:val="006546B9"/>
    <w:rsid w:val="00654B60"/>
    <w:rsid w:val="00655090"/>
    <w:rsid w:val="0065588C"/>
    <w:rsid w:val="006566DE"/>
    <w:rsid w:val="00656A27"/>
    <w:rsid w:val="00656F58"/>
    <w:rsid w:val="00657727"/>
    <w:rsid w:val="00660969"/>
    <w:rsid w:val="00660B48"/>
    <w:rsid w:val="00662650"/>
    <w:rsid w:val="0066366C"/>
    <w:rsid w:val="006648D1"/>
    <w:rsid w:val="00664DA5"/>
    <w:rsid w:val="00664E1D"/>
    <w:rsid w:val="00666BA1"/>
    <w:rsid w:val="0066772B"/>
    <w:rsid w:val="00667D20"/>
    <w:rsid w:val="006700CB"/>
    <w:rsid w:val="0067011A"/>
    <w:rsid w:val="00670428"/>
    <w:rsid w:val="00670786"/>
    <w:rsid w:val="006708BC"/>
    <w:rsid w:val="00670BF6"/>
    <w:rsid w:val="00671FD0"/>
    <w:rsid w:val="006721DF"/>
    <w:rsid w:val="00672266"/>
    <w:rsid w:val="006727A0"/>
    <w:rsid w:val="00672956"/>
    <w:rsid w:val="00672A20"/>
    <w:rsid w:val="0067345B"/>
    <w:rsid w:val="006734ED"/>
    <w:rsid w:val="00674329"/>
    <w:rsid w:val="00674808"/>
    <w:rsid w:val="00674CE6"/>
    <w:rsid w:val="00674F39"/>
    <w:rsid w:val="00675D53"/>
    <w:rsid w:val="006767DB"/>
    <w:rsid w:val="00676BB6"/>
    <w:rsid w:val="00676FCA"/>
    <w:rsid w:val="00677279"/>
    <w:rsid w:val="00677979"/>
    <w:rsid w:val="00677BA8"/>
    <w:rsid w:val="00680232"/>
    <w:rsid w:val="00680316"/>
    <w:rsid w:val="006803A0"/>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87DA2"/>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88"/>
    <w:rsid w:val="006965DF"/>
    <w:rsid w:val="0069685F"/>
    <w:rsid w:val="00696CA3"/>
    <w:rsid w:val="00697BFC"/>
    <w:rsid w:val="006A0169"/>
    <w:rsid w:val="006A09A4"/>
    <w:rsid w:val="006A134B"/>
    <w:rsid w:val="006A1957"/>
    <w:rsid w:val="006A21CC"/>
    <w:rsid w:val="006A22CA"/>
    <w:rsid w:val="006A291A"/>
    <w:rsid w:val="006A3856"/>
    <w:rsid w:val="006A438F"/>
    <w:rsid w:val="006A503A"/>
    <w:rsid w:val="006A65A6"/>
    <w:rsid w:val="006A6750"/>
    <w:rsid w:val="006A7601"/>
    <w:rsid w:val="006A782C"/>
    <w:rsid w:val="006A7D6E"/>
    <w:rsid w:val="006A7FA7"/>
    <w:rsid w:val="006B0634"/>
    <w:rsid w:val="006B0F9B"/>
    <w:rsid w:val="006B157C"/>
    <w:rsid w:val="006B1837"/>
    <w:rsid w:val="006B1C34"/>
    <w:rsid w:val="006B1FF1"/>
    <w:rsid w:val="006B293F"/>
    <w:rsid w:val="006B34DE"/>
    <w:rsid w:val="006B35F3"/>
    <w:rsid w:val="006B40C1"/>
    <w:rsid w:val="006B42DC"/>
    <w:rsid w:val="006B4DC5"/>
    <w:rsid w:val="006B5F49"/>
    <w:rsid w:val="006B60A2"/>
    <w:rsid w:val="006B6A20"/>
    <w:rsid w:val="006B7ABD"/>
    <w:rsid w:val="006C078D"/>
    <w:rsid w:val="006C0D6F"/>
    <w:rsid w:val="006C0F95"/>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5DCC"/>
    <w:rsid w:val="006D5E38"/>
    <w:rsid w:val="006D614A"/>
    <w:rsid w:val="006D61AF"/>
    <w:rsid w:val="006D635A"/>
    <w:rsid w:val="006D65EC"/>
    <w:rsid w:val="006D6B5E"/>
    <w:rsid w:val="006D6CA1"/>
    <w:rsid w:val="006D712E"/>
    <w:rsid w:val="006D7DA7"/>
    <w:rsid w:val="006E08F5"/>
    <w:rsid w:val="006E0EE2"/>
    <w:rsid w:val="006E0FAD"/>
    <w:rsid w:val="006E2715"/>
    <w:rsid w:val="006E2737"/>
    <w:rsid w:val="006E27D1"/>
    <w:rsid w:val="006E2953"/>
    <w:rsid w:val="006E2CD8"/>
    <w:rsid w:val="006E2EB2"/>
    <w:rsid w:val="006E43D2"/>
    <w:rsid w:val="006E4462"/>
    <w:rsid w:val="006E465C"/>
    <w:rsid w:val="006E4B08"/>
    <w:rsid w:val="006E4EB7"/>
    <w:rsid w:val="006E558B"/>
    <w:rsid w:val="006E753A"/>
    <w:rsid w:val="006E7A5E"/>
    <w:rsid w:val="006E7D59"/>
    <w:rsid w:val="006E7F4D"/>
    <w:rsid w:val="006E7F81"/>
    <w:rsid w:val="006F0623"/>
    <w:rsid w:val="006F12A6"/>
    <w:rsid w:val="006F1443"/>
    <w:rsid w:val="006F17DA"/>
    <w:rsid w:val="006F1C69"/>
    <w:rsid w:val="006F1FA1"/>
    <w:rsid w:val="006F2579"/>
    <w:rsid w:val="006F2855"/>
    <w:rsid w:val="006F2887"/>
    <w:rsid w:val="006F2958"/>
    <w:rsid w:val="006F2DD6"/>
    <w:rsid w:val="006F38EB"/>
    <w:rsid w:val="006F4261"/>
    <w:rsid w:val="006F5439"/>
    <w:rsid w:val="006F69AA"/>
    <w:rsid w:val="006F713E"/>
    <w:rsid w:val="006F750C"/>
    <w:rsid w:val="006F7EB1"/>
    <w:rsid w:val="00700A36"/>
    <w:rsid w:val="00700AD5"/>
    <w:rsid w:val="00701834"/>
    <w:rsid w:val="0070199E"/>
    <w:rsid w:val="007019C6"/>
    <w:rsid w:val="00701BDD"/>
    <w:rsid w:val="00701E8E"/>
    <w:rsid w:val="00702B85"/>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6E9A"/>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37"/>
    <w:rsid w:val="00715CA4"/>
    <w:rsid w:val="00715E75"/>
    <w:rsid w:val="0071643E"/>
    <w:rsid w:val="0071691D"/>
    <w:rsid w:val="0071695A"/>
    <w:rsid w:val="00716BD8"/>
    <w:rsid w:val="007172B6"/>
    <w:rsid w:val="00717CD9"/>
    <w:rsid w:val="00720C6C"/>
    <w:rsid w:val="00720D93"/>
    <w:rsid w:val="00721EC2"/>
    <w:rsid w:val="007225C9"/>
    <w:rsid w:val="00722634"/>
    <w:rsid w:val="007226F3"/>
    <w:rsid w:val="0072344E"/>
    <w:rsid w:val="007237EE"/>
    <w:rsid w:val="007240C3"/>
    <w:rsid w:val="007243CC"/>
    <w:rsid w:val="0072530B"/>
    <w:rsid w:val="00725B8A"/>
    <w:rsid w:val="007263B7"/>
    <w:rsid w:val="0072677C"/>
    <w:rsid w:val="00727471"/>
    <w:rsid w:val="00727632"/>
    <w:rsid w:val="007301CB"/>
    <w:rsid w:val="0073087D"/>
    <w:rsid w:val="00731957"/>
    <w:rsid w:val="007323E0"/>
    <w:rsid w:val="00732744"/>
    <w:rsid w:val="0073288D"/>
    <w:rsid w:val="00732974"/>
    <w:rsid w:val="00732BB6"/>
    <w:rsid w:val="00733008"/>
    <w:rsid w:val="00733697"/>
    <w:rsid w:val="00733C12"/>
    <w:rsid w:val="00733C2F"/>
    <w:rsid w:val="00733EF3"/>
    <w:rsid w:val="007356BB"/>
    <w:rsid w:val="00735B0B"/>
    <w:rsid w:val="00735BED"/>
    <w:rsid w:val="0073666D"/>
    <w:rsid w:val="0073669E"/>
    <w:rsid w:val="00736799"/>
    <w:rsid w:val="0073707B"/>
    <w:rsid w:val="00737C67"/>
    <w:rsid w:val="00737D1D"/>
    <w:rsid w:val="00737F76"/>
    <w:rsid w:val="00740303"/>
    <w:rsid w:val="007404A0"/>
    <w:rsid w:val="007406D2"/>
    <w:rsid w:val="007406EA"/>
    <w:rsid w:val="00741002"/>
    <w:rsid w:val="00741637"/>
    <w:rsid w:val="007418D4"/>
    <w:rsid w:val="00741E81"/>
    <w:rsid w:val="00742121"/>
    <w:rsid w:val="007424BF"/>
    <w:rsid w:val="00742CE6"/>
    <w:rsid w:val="00743353"/>
    <w:rsid w:val="00743655"/>
    <w:rsid w:val="0074467F"/>
    <w:rsid w:val="00744F24"/>
    <w:rsid w:val="0074501E"/>
    <w:rsid w:val="00745868"/>
    <w:rsid w:val="00746066"/>
    <w:rsid w:val="00746472"/>
    <w:rsid w:val="00746CD0"/>
    <w:rsid w:val="00746F76"/>
    <w:rsid w:val="007471B6"/>
    <w:rsid w:val="00747C5A"/>
    <w:rsid w:val="00747CD0"/>
    <w:rsid w:val="007500B9"/>
    <w:rsid w:val="00750846"/>
    <w:rsid w:val="007516D1"/>
    <w:rsid w:val="00751ADF"/>
    <w:rsid w:val="00751DE7"/>
    <w:rsid w:val="00752CE8"/>
    <w:rsid w:val="00753790"/>
    <w:rsid w:val="0075428A"/>
    <w:rsid w:val="0075561B"/>
    <w:rsid w:val="00755E6D"/>
    <w:rsid w:val="007575BC"/>
    <w:rsid w:val="007608FB"/>
    <w:rsid w:val="00760A78"/>
    <w:rsid w:val="00760EA6"/>
    <w:rsid w:val="007620C8"/>
    <w:rsid w:val="00763C94"/>
    <w:rsid w:val="007641B3"/>
    <w:rsid w:val="00764725"/>
    <w:rsid w:val="0076472C"/>
    <w:rsid w:val="00764B6B"/>
    <w:rsid w:val="00764F0C"/>
    <w:rsid w:val="007659EF"/>
    <w:rsid w:val="00766029"/>
    <w:rsid w:val="00766432"/>
    <w:rsid w:val="00766983"/>
    <w:rsid w:val="00767A28"/>
    <w:rsid w:val="00770893"/>
    <w:rsid w:val="00770E73"/>
    <w:rsid w:val="007712C3"/>
    <w:rsid w:val="00771D33"/>
    <w:rsid w:val="00771F1C"/>
    <w:rsid w:val="007724C4"/>
    <w:rsid w:val="007725DF"/>
    <w:rsid w:val="00772E14"/>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1D66"/>
    <w:rsid w:val="00792169"/>
    <w:rsid w:val="00793091"/>
    <w:rsid w:val="00793ED9"/>
    <w:rsid w:val="00793F12"/>
    <w:rsid w:val="007943A8"/>
    <w:rsid w:val="007947F4"/>
    <w:rsid w:val="00795892"/>
    <w:rsid w:val="00795DC8"/>
    <w:rsid w:val="00795FC0"/>
    <w:rsid w:val="007963D7"/>
    <w:rsid w:val="00796527"/>
    <w:rsid w:val="007966D8"/>
    <w:rsid w:val="0079734D"/>
    <w:rsid w:val="007975AC"/>
    <w:rsid w:val="00797CF6"/>
    <w:rsid w:val="007A0F7C"/>
    <w:rsid w:val="007A10D6"/>
    <w:rsid w:val="007A1167"/>
    <w:rsid w:val="007A12A7"/>
    <w:rsid w:val="007A14FC"/>
    <w:rsid w:val="007A20A0"/>
    <w:rsid w:val="007A2AD1"/>
    <w:rsid w:val="007A2B71"/>
    <w:rsid w:val="007A2BE6"/>
    <w:rsid w:val="007A2C5D"/>
    <w:rsid w:val="007A340C"/>
    <w:rsid w:val="007A36E5"/>
    <w:rsid w:val="007A4A3D"/>
    <w:rsid w:val="007A5A11"/>
    <w:rsid w:val="007A5AB8"/>
    <w:rsid w:val="007A63B0"/>
    <w:rsid w:val="007A662B"/>
    <w:rsid w:val="007A6F16"/>
    <w:rsid w:val="007A7512"/>
    <w:rsid w:val="007A752A"/>
    <w:rsid w:val="007A7B6E"/>
    <w:rsid w:val="007A7E3D"/>
    <w:rsid w:val="007A7F7F"/>
    <w:rsid w:val="007A7FD6"/>
    <w:rsid w:val="007B028F"/>
    <w:rsid w:val="007B09DF"/>
    <w:rsid w:val="007B16A1"/>
    <w:rsid w:val="007B217C"/>
    <w:rsid w:val="007B2DB6"/>
    <w:rsid w:val="007B300E"/>
    <w:rsid w:val="007B30CA"/>
    <w:rsid w:val="007B3A11"/>
    <w:rsid w:val="007B3AFD"/>
    <w:rsid w:val="007B4013"/>
    <w:rsid w:val="007B4DDD"/>
    <w:rsid w:val="007B530F"/>
    <w:rsid w:val="007B567F"/>
    <w:rsid w:val="007B57E8"/>
    <w:rsid w:val="007B58BF"/>
    <w:rsid w:val="007B5D4F"/>
    <w:rsid w:val="007B65D4"/>
    <w:rsid w:val="007B67FE"/>
    <w:rsid w:val="007B7B2B"/>
    <w:rsid w:val="007B7B34"/>
    <w:rsid w:val="007C0BE9"/>
    <w:rsid w:val="007C1D91"/>
    <w:rsid w:val="007C204B"/>
    <w:rsid w:val="007C3004"/>
    <w:rsid w:val="007C398B"/>
    <w:rsid w:val="007C5323"/>
    <w:rsid w:val="007C6187"/>
    <w:rsid w:val="007C63B8"/>
    <w:rsid w:val="007C67EE"/>
    <w:rsid w:val="007C7A8C"/>
    <w:rsid w:val="007D058C"/>
    <w:rsid w:val="007D05C7"/>
    <w:rsid w:val="007D07F8"/>
    <w:rsid w:val="007D0EE9"/>
    <w:rsid w:val="007D1707"/>
    <w:rsid w:val="007D1B89"/>
    <w:rsid w:val="007D1BEA"/>
    <w:rsid w:val="007D20D0"/>
    <w:rsid w:val="007D2422"/>
    <w:rsid w:val="007D24AB"/>
    <w:rsid w:val="007D2C5E"/>
    <w:rsid w:val="007D3405"/>
    <w:rsid w:val="007D41C2"/>
    <w:rsid w:val="007D42D5"/>
    <w:rsid w:val="007D467D"/>
    <w:rsid w:val="007D4BFC"/>
    <w:rsid w:val="007D4C02"/>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41D"/>
    <w:rsid w:val="007E450C"/>
    <w:rsid w:val="007E4A09"/>
    <w:rsid w:val="007E4A1C"/>
    <w:rsid w:val="007E4C9C"/>
    <w:rsid w:val="007E5486"/>
    <w:rsid w:val="007E5B1C"/>
    <w:rsid w:val="007E5F2E"/>
    <w:rsid w:val="007E5FB5"/>
    <w:rsid w:val="007E6196"/>
    <w:rsid w:val="007E6656"/>
    <w:rsid w:val="007E6E12"/>
    <w:rsid w:val="007E70BF"/>
    <w:rsid w:val="007E717D"/>
    <w:rsid w:val="007E724E"/>
    <w:rsid w:val="007E735A"/>
    <w:rsid w:val="007E7432"/>
    <w:rsid w:val="007E7AA7"/>
    <w:rsid w:val="007F0085"/>
    <w:rsid w:val="007F080F"/>
    <w:rsid w:val="007F0F01"/>
    <w:rsid w:val="007F155F"/>
    <w:rsid w:val="007F15B0"/>
    <w:rsid w:val="007F1A99"/>
    <w:rsid w:val="007F1C4A"/>
    <w:rsid w:val="007F22A7"/>
    <w:rsid w:val="007F22ED"/>
    <w:rsid w:val="007F24DA"/>
    <w:rsid w:val="007F2ED8"/>
    <w:rsid w:val="007F3138"/>
    <w:rsid w:val="007F3253"/>
    <w:rsid w:val="007F4457"/>
    <w:rsid w:val="007F4DE5"/>
    <w:rsid w:val="007F4F42"/>
    <w:rsid w:val="007F536B"/>
    <w:rsid w:val="007F59CD"/>
    <w:rsid w:val="007F5E48"/>
    <w:rsid w:val="007F67DD"/>
    <w:rsid w:val="007F67F0"/>
    <w:rsid w:val="007F6BC7"/>
    <w:rsid w:val="007F7325"/>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016"/>
    <w:rsid w:val="00804019"/>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5E1C"/>
    <w:rsid w:val="008164A8"/>
    <w:rsid w:val="00816C1F"/>
    <w:rsid w:val="008174AD"/>
    <w:rsid w:val="0082040A"/>
    <w:rsid w:val="00820876"/>
    <w:rsid w:val="0082143F"/>
    <w:rsid w:val="0082159A"/>
    <w:rsid w:val="00821718"/>
    <w:rsid w:val="00822064"/>
    <w:rsid w:val="008220AD"/>
    <w:rsid w:val="00822969"/>
    <w:rsid w:val="00823196"/>
    <w:rsid w:val="00823610"/>
    <w:rsid w:val="008237DE"/>
    <w:rsid w:val="00823C0F"/>
    <w:rsid w:val="00824ABF"/>
    <w:rsid w:val="00824E32"/>
    <w:rsid w:val="00825B9C"/>
    <w:rsid w:val="00825B9F"/>
    <w:rsid w:val="00827EFF"/>
    <w:rsid w:val="008301C6"/>
    <w:rsid w:val="0083049A"/>
    <w:rsid w:val="008319DA"/>
    <w:rsid w:val="00831D1D"/>
    <w:rsid w:val="008321A6"/>
    <w:rsid w:val="00833393"/>
    <w:rsid w:val="0083380F"/>
    <w:rsid w:val="00835CF4"/>
    <w:rsid w:val="00835FCE"/>
    <w:rsid w:val="008368DE"/>
    <w:rsid w:val="008372F2"/>
    <w:rsid w:val="00840BCC"/>
    <w:rsid w:val="00840E25"/>
    <w:rsid w:val="0084161A"/>
    <w:rsid w:val="00841962"/>
    <w:rsid w:val="00842277"/>
    <w:rsid w:val="008424BB"/>
    <w:rsid w:val="00842B3A"/>
    <w:rsid w:val="008434A7"/>
    <w:rsid w:val="0084383C"/>
    <w:rsid w:val="0084456D"/>
    <w:rsid w:val="008445F8"/>
    <w:rsid w:val="00844729"/>
    <w:rsid w:val="008461B4"/>
    <w:rsid w:val="008465CB"/>
    <w:rsid w:val="00846A62"/>
    <w:rsid w:val="00846DEF"/>
    <w:rsid w:val="008475B6"/>
    <w:rsid w:val="0085127E"/>
    <w:rsid w:val="008515CC"/>
    <w:rsid w:val="008517C6"/>
    <w:rsid w:val="00852898"/>
    <w:rsid w:val="00852F4F"/>
    <w:rsid w:val="00853308"/>
    <w:rsid w:val="008534CC"/>
    <w:rsid w:val="00853C98"/>
    <w:rsid w:val="00854103"/>
    <w:rsid w:val="008549B1"/>
    <w:rsid w:val="008550BA"/>
    <w:rsid w:val="0085543E"/>
    <w:rsid w:val="008568B0"/>
    <w:rsid w:val="008578F2"/>
    <w:rsid w:val="00857A16"/>
    <w:rsid w:val="00857DB6"/>
    <w:rsid w:val="008600ED"/>
    <w:rsid w:val="00860366"/>
    <w:rsid w:val="008610B6"/>
    <w:rsid w:val="008614BF"/>
    <w:rsid w:val="00861CAB"/>
    <w:rsid w:val="008623CA"/>
    <w:rsid w:val="0086242F"/>
    <w:rsid w:val="008627A8"/>
    <w:rsid w:val="00862B21"/>
    <w:rsid w:val="008636D6"/>
    <w:rsid w:val="00863CBC"/>
    <w:rsid w:val="00863E02"/>
    <w:rsid w:val="0086489A"/>
    <w:rsid w:val="008650B0"/>
    <w:rsid w:val="00865274"/>
    <w:rsid w:val="00865301"/>
    <w:rsid w:val="00865940"/>
    <w:rsid w:val="00865A0D"/>
    <w:rsid w:val="00865EEC"/>
    <w:rsid w:val="00866416"/>
    <w:rsid w:val="00866A27"/>
    <w:rsid w:val="00866C88"/>
    <w:rsid w:val="008701DC"/>
    <w:rsid w:val="00870234"/>
    <w:rsid w:val="0087081B"/>
    <w:rsid w:val="008714CD"/>
    <w:rsid w:val="0087269F"/>
    <w:rsid w:val="00872A6E"/>
    <w:rsid w:val="008739F1"/>
    <w:rsid w:val="00873F33"/>
    <w:rsid w:val="00874197"/>
    <w:rsid w:val="00874308"/>
    <w:rsid w:val="00874882"/>
    <w:rsid w:val="00874903"/>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5B86"/>
    <w:rsid w:val="008872D7"/>
    <w:rsid w:val="00887E8C"/>
    <w:rsid w:val="00887F03"/>
    <w:rsid w:val="0089055E"/>
    <w:rsid w:val="008905C2"/>
    <w:rsid w:val="008914A2"/>
    <w:rsid w:val="008923EA"/>
    <w:rsid w:val="00893B95"/>
    <w:rsid w:val="008941B2"/>
    <w:rsid w:val="0089486E"/>
    <w:rsid w:val="00894DEA"/>
    <w:rsid w:val="00896875"/>
    <w:rsid w:val="008A0D44"/>
    <w:rsid w:val="008A1084"/>
    <w:rsid w:val="008A1C2F"/>
    <w:rsid w:val="008A1DA7"/>
    <w:rsid w:val="008A1E5E"/>
    <w:rsid w:val="008A29BC"/>
    <w:rsid w:val="008A3884"/>
    <w:rsid w:val="008A3A4B"/>
    <w:rsid w:val="008A41DE"/>
    <w:rsid w:val="008A48F2"/>
    <w:rsid w:val="008A49EA"/>
    <w:rsid w:val="008A4ABF"/>
    <w:rsid w:val="008A4B88"/>
    <w:rsid w:val="008A5E2E"/>
    <w:rsid w:val="008A6614"/>
    <w:rsid w:val="008A6B96"/>
    <w:rsid w:val="008A739F"/>
    <w:rsid w:val="008A7517"/>
    <w:rsid w:val="008A763E"/>
    <w:rsid w:val="008A790C"/>
    <w:rsid w:val="008B0108"/>
    <w:rsid w:val="008B1123"/>
    <w:rsid w:val="008B18E3"/>
    <w:rsid w:val="008B203C"/>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3326"/>
    <w:rsid w:val="008C5275"/>
    <w:rsid w:val="008C561D"/>
    <w:rsid w:val="008C62EC"/>
    <w:rsid w:val="008C6316"/>
    <w:rsid w:val="008C7911"/>
    <w:rsid w:val="008C7FAF"/>
    <w:rsid w:val="008D0BE4"/>
    <w:rsid w:val="008D1475"/>
    <w:rsid w:val="008D151E"/>
    <w:rsid w:val="008D19DB"/>
    <w:rsid w:val="008D2E86"/>
    <w:rsid w:val="008D35E2"/>
    <w:rsid w:val="008D3AB8"/>
    <w:rsid w:val="008D3E52"/>
    <w:rsid w:val="008D41B5"/>
    <w:rsid w:val="008D52D5"/>
    <w:rsid w:val="008D5BE0"/>
    <w:rsid w:val="008D5CAE"/>
    <w:rsid w:val="008D72C3"/>
    <w:rsid w:val="008D7537"/>
    <w:rsid w:val="008D7689"/>
    <w:rsid w:val="008D7B10"/>
    <w:rsid w:val="008E041A"/>
    <w:rsid w:val="008E04F6"/>
    <w:rsid w:val="008E068D"/>
    <w:rsid w:val="008E0FD3"/>
    <w:rsid w:val="008E154C"/>
    <w:rsid w:val="008E1B76"/>
    <w:rsid w:val="008E1DCB"/>
    <w:rsid w:val="008E2248"/>
    <w:rsid w:val="008E2CD5"/>
    <w:rsid w:val="008E2DF1"/>
    <w:rsid w:val="008E3BD0"/>
    <w:rsid w:val="008E53E7"/>
    <w:rsid w:val="008E5B3B"/>
    <w:rsid w:val="008E63E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2FB"/>
    <w:rsid w:val="008F4C45"/>
    <w:rsid w:val="008F508E"/>
    <w:rsid w:val="008F59A9"/>
    <w:rsid w:val="008F5D1E"/>
    <w:rsid w:val="008F7242"/>
    <w:rsid w:val="008F75F1"/>
    <w:rsid w:val="008F7D34"/>
    <w:rsid w:val="00901457"/>
    <w:rsid w:val="00901C77"/>
    <w:rsid w:val="00901ED0"/>
    <w:rsid w:val="0090233F"/>
    <w:rsid w:val="009026E8"/>
    <w:rsid w:val="009030B0"/>
    <w:rsid w:val="009031E3"/>
    <w:rsid w:val="009035A2"/>
    <w:rsid w:val="0090368C"/>
    <w:rsid w:val="00903C20"/>
    <w:rsid w:val="00904674"/>
    <w:rsid w:val="00904BC9"/>
    <w:rsid w:val="009056C1"/>
    <w:rsid w:val="009056CA"/>
    <w:rsid w:val="009057C5"/>
    <w:rsid w:val="00905F4A"/>
    <w:rsid w:val="009062BB"/>
    <w:rsid w:val="0090688C"/>
    <w:rsid w:val="0090766E"/>
    <w:rsid w:val="0091038B"/>
    <w:rsid w:val="0091043D"/>
    <w:rsid w:val="009119D3"/>
    <w:rsid w:val="00911F66"/>
    <w:rsid w:val="00913377"/>
    <w:rsid w:val="0091344B"/>
    <w:rsid w:val="009136AF"/>
    <w:rsid w:val="00913DCC"/>
    <w:rsid w:val="0091409A"/>
    <w:rsid w:val="00914378"/>
    <w:rsid w:val="00914F27"/>
    <w:rsid w:val="00916333"/>
    <w:rsid w:val="00917B03"/>
    <w:rsid w:val="00917B21"/>
    <w:rsid w:val="00917B5F"/>
    <w:rsid w:val="0092168B"/>
    <w:rsid w:val="00921E03"/>
    <w:rsid w:val="00922101"/>
    <w:rsid w:val="00922A4B"/>
    <w:rsid w:val="009236F3"/>
    <w:rsid w:val="009241BB"/>
    <w:rsid w:val="009244F7"/>
    <w:rsid w:val="00924C0D"/>
    <w:rsid w:val="00924D94"/>
    <w:rsid w:val="0092501B"/>
    <w:rsid w:val="0092587F"/>
    <w:rsid w:val="00925AA4"/>
    <w:rsid w:val="009272CD"/>
    <w:rsid w:val="00927809"/>
    <w:rsid w:val="00930FA6"/>
    <w:rsid w:val="009313BE"/>
    <w:rsid w:val="009318B0"/>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3C5"/>
    <w:rsid w:val="009468E9"/>
    <w:rsid w:val="00946910"/>
    <w:rsid w:val="00946D18"/>
    <w:rsid w:val="0094759E"/>
    <w:rsid w:val="00947C38"/>
    <w:rsid w:val="00947E63"/>
    <w:rsid w:val="00951718"/>
    <w:rsid w:val="00952CCB"/>
    <w:rsid w:val="00953BFE"/>
    <w:rsid w:val="009550BB"/>
    <w:rsid w:val="0095545C"/>
    <w:rsid w:val="00955935"/>
    <w:rsid w:val="00955992"/>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483"/>
    <w:rsid w:val="00962B2A"/>
    <w:rsid w:val="00963502"/>
    <w:rsid w:val="00963C96"/>
    <w:rsid w:val="00964349"/>
    <w:rsid w:val="009648EF"/>
    <w:rsid w:val="009649FF"/>
    <w:rsid w:val="00966B53"/>
    <w:rsid w:val="00970584"/>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20F"/>
    <w:rsid w:val="00976FE8"/>
    <w:rsid w:val="009771A0"/>
    <w:rsid w:val="0097799A"/>
    <w:rsid w:val="00977C25"/>
    <w:rsid w:val="009807C9"/>
    <w:rsid w:val="00980CAF"/>
    <w:rsid w:val="00980DB8"/>
    <w:rsid w:val="0098122A"/>
    <w:rsid w:val="009816C8"/>
    <w:rsid w:val="00981FC9"/>
    <w:rsid w:val="00982327"/>
    <w:rsid w:val="009833CB"/>
    <w:rsid w:val="009836FB"/>
    <w:rsid w:val="00983736"/>
    <w:rsid w:val="009837A3"/>
    <w:rsid w:val="00983F27"/>
    <w:rsid w:val="009843E2"/>
    <w:rsid w:val="0098582B"/>
    <w:rsid w:val="009858DA"/>
    <w:rsid w:val="009861EE"/>
    <w:rsid w:val="009874AF"/>
    <w:rsid w:val="0098795A"/>
    <w:rsid w:val="00987F32"/>
    <w:rsid w:val="0099011B"/>
    <w:rsid w:val="00990557"/>
    <w:rsid w:val="009912E2"/>
    <w:rsid w:val="00991536"/>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B7F"/>
    <w:rsid w:val="009A0E19"/>
    <w:rsid w:val="009A1215"/>
    <w:rsid w:val="009A1220"/>
    <w:rsid w:val="009A1416"/>
    <w:rsid w:val="009A20E4"/>
    <w:rsid w:val="009A2440"/>
    <w:rsid w:val="009A2448"/>
    <w:rsid w:val="009A28F6"/>
    <w:rsid w:val="009A30DA"/>
    <w:rsid w:val="009A3D15"/>
    <w:rsid w:val="009A3E6F"/>
    <w:rsid w:val="009A3FD3"/>
    <w:rsid w:val="009A4ECB"/>
    <w:rsid w:val="009A5F3F"/>
    <w:rsid w:val="009A6007"/>
    <w:rsid w:val="009A6E33"/>
    <w:rsid w:val="009A6F9E"/>
    <w:rsid w:val="009A714A"/>
    <w:rsid w:val="009A7318"/>
    <w:rsid w:val="009B0602"/>
    <w:rsid w:val="009B0987"/>
    <w:rsid w:val="009B107E"/>
    <w:rsid w:val="009B121B"/>
    <w:rsid w:val="009B14F4"/>
    <w:rsid w:val="009B177F"/>
    <w:rsid w:val="009B17DB"/>
    <w:rsid w:val="009B1A80"/>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0D5"/>
    <w:rsid w:val="009C61C6"/>
    <w:rsid w:val="009C6454"/>
    <w:rsid w:val="009C6CF4"/>
    <w:rsid w:val="009C74B8"/>
    <w:rsid w:val="009C78E3"/>
    <w:rsid w:val="009C7FFB"/>
    <w:rsid w:val="009D04DD"/>
    <w:rsid w:val="009D1DCA"/>
    <w:rsid w:val="009D2018"/>
    <w:rsid w:val="009D2D62"/>
    <w:rsid w:val="009D31CD"/>
    <w:rsid w:val="009D4E10"/>
    <w:rsid w:val="009D4F53"/>
    <w:rsid w:val="009D69CD"/>
    <w:rsid w:val="009D7121"/>
    <w:rsid w:val="009E01B8"/>
    <w:rsid w:val="009E0843"/>
    <w:rsid w:val="009E0B3D"/>
    <w:rsid w:val="009E1ABA"/>
    <w:rsid w:val="009E1B79"/>
    <w:rsid w:val="009E1BC8"/>
    <w:rsid w:val="009E1E84"/>
    <w:rsid w:val="009E36A3"/>
    <w:rsid w:val="009E38AF"/>
    <w:rsid w:val="009E52A8"/>
    <w:rsid w:val="009E673E"/>
    <w:rsid w:val="009E68BE"/>
    <w:rsid w:val="009E6A49"/>
    <w:rsid w:val="009E74CA"/>
    <w:rsid w:val="009E759E"/>
    <w:rsid w:val="009E7AD8"/>
    <w:rsid w:val="009F096D"/>
    <w:rsid w:val="009F0AA8"/>
    <w:rsid w:val="009F0C01"/>
    <w:rsid w:val="009F0D41"/>
    <w:rsid w:val="009F0F04"/>
    <w:rsid w:val="009F161C"/>
    <w:rsid w:val="009F1BC2"/>
    <w:rsid w:val="009F1D57"/>
    <w:rsid w:val="009F28F7"/>
    <w:rsid w:val="009F29A4"/>
    <w:rsid w:val="009F2B8A"/>
    <w:rsid w:val="009F2BAF"/>
    <w:rsid w:val="009F2F18"/>
    <w:rsid w:val="009F3041"/>
    <w:rsid w:val="009F38E8"/>
    <w:rsid w:val="009F39AD"/>
    <w:rsid w:val="009F4EF8"/>
    <w:rsid w:val="009F4F1B"/>
    <w:rsid w:val="009F5872"/>
    <w:rsid w:val="009F5EC1"/>
    <w:rsid w:val="009F5FF4"/>
    <w:rsid w:val="009F6DB9"/>
    <w:rsid w:val="009F70AA"/>
    <w:rsid w:val="009F740D"/>
    <w:rsid w:val="009F77F0"/>
    <w:rsid w:val="009F7E73"/>
    <w:rsid w:val="00A0020E"/>
    <w:rsid w:val="00A00370"/>
    <w:rsid w:val="00A00F88"/>
    <w:rsid w:val="00A01041"/>
    <w:rsid w:val="00A016A7"/>
    <w:rsid w:val="00A01A02"/>
    <w:rsid w:val="00A01AAA"/>
    <w:rsid w:val="00A01AED"/>
    <w:rsid w:val="00A01B9A"/>
    <w:rsid w:val="00A02007"/>
    <w:rsid w:val="00A024F6"/>
    <w:rsid w:val="00A0288A"/>
    <w:rsid w:val="00A02A8B"/>
    <w:rsid w:val="00A02B6A"/>
    <w:rsid w:val="00A02F74"/>
    <w:rsid w:val="00A030F3"/>
    <w:rsid w:val="00A03652"/>
    <w:rsid w:val="00A041C7"/>
    <w:rsid w:val="00A04E7C"/>
    <w:rsid w:val="00A04F4B"/>
    <w:rsid w:val="00A06B3C"/>
    <w:rsid w:val="00A10003"/>
    <w:rsid w:val="00A1084E"/>
    <w:rsid w:val="00A10A09"/>
    <w:rsid w:val="00A114CC"/>
    <w:rsid w:val="00A11A74"/>
    <w:rsid w:val="00A11CB9"/>
    <w:rsid w:val="00A12CC9"/>
    <w:rsid w:val="00A134B1"/>
    <w:rsid w:val="00A1449A"/>
    <w:rsid w:val="00A1467F"/>
    <w:rsid w:val="00A14921"/>
    <w:rsid w:val="00A151D1"/>
    <w:rsid w:val="00A15B66"/>
    <w:rsid w:val="00A16122"/>
    <w:rsid w:val="00A16462"/>
    <w:rsid w:val="00A168C8"/>
    <w:rsid w:val="00A169B5"/>
    <w:rsid w:val="00A17386"/>
    <w:rsid w:val="00A20173"/>
    <w:rsid w:val="00A2060D"/>
    <w:rsid w:val="00A20B21"/>
    <w:rsid w:val="00A216B7"/>
    <w:rsid w:val="00A21708"/>
    <w:rsid w:val="00A217B1"/>
    <w:rsid w:val="00A2186A"/>
    <w:rsid w:val="00A218F6"/>
    <w:rsid w:val="00A23EF0"/>
    <w:rsid w:val="00A242AE"/>
    <w:rsid w:val="00A242EA"/>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2FA3"/>
    <w:rsid w:val="00A53F32"/>
    <w:rsid w:val="00A543D2"/>
    <w:rsid w:val="00A54818"/>
    <w:rsid w:val="00A54C21"/>
    <w:rsid w:val="00A550AB"/>
    <w:rsid w:val="00A55DC6"/>
    <w:rsid w:val="00A55DD4"/>
    <w:rsid w:val="00A56070"/>
    <w:rsid w:val="00A56859"/>
    <w:rsid w:val="00A569E0"/>
    <w:rsid w:val="00A56D42"/>
    <w:rsid w:val="00A5707D"/>
    <w:rsid w:val="00A6008D"/>
    <w:rsid w:val="00A60997"/>
    <w:rsid w:val="00A60B09"/>
    <w:rsid w:val="00A60CA4"/>
    <w:rsid w:val="00A6104E"/>
    <w:rsid w:val="00A61446"/>
    <w:rsid w:val="00A615E0"/>
    <w:rsid w:val="00A61D56"/>
    <w:rsid w:val="00A61D87"/>
    <w:rsid w:val="00A62285"/>
    <w:rsid w:val="00A62763"/>
    <w:rsid w:val="00A62821"/>
    <w:rsid w:val="00A6338B"/>
    <w:rsid w:val="00A6390A"/>
    <w:rsid w:val="00A64524"/>
    <w:rsid w:val="00A64A9B"/>
    <w:rsid w:val="00A65A66"/>
    <w:rsid w:val="00A65C73"/>
    <w:rsid w:val="00A66BBF"/>
    <w:rsid w:val="00A66EE4"/>
    <w:rsid w:val="00A67235"/>
    <w:rsid w:val="00A675DD"/>
    <w:rsid w:val="00A70197"/>
    <w:rsid w:val="00A7045E"/>
    <w:rsid w:val="00A7047F"/>
    <w:rsid w:val="00A70585"/>
    <w:rsid w:val="00A70728"/>
    <w:rsid w:val="00A70C52"/>
    <w:rsid w:val="00A71245"/>
    <w:rsid w:val="00A715EF"/>
    <w:rsid w:val="00A71BDB"/>
    <w:rsid w:val="00A720B7"/>
    <w:rsid w:val="00A72719"/>
    <w:rsid w:val="00A72BCC"/>
    <w:rsid w:val="00A731D2"/>
    <w:rsid w:val="00A73289"/>
    <w:rsid w:val="00A73387"/>
    <w:rsid w:val="00A73405"/>
    <w:rsid w:val="00A74310"/>
    <w:rsid w:val="00A745D3"/>
    <w:rsid w:val="00A7462D"/>
    <w:rsid w:val="00A748DB"/>
    <w:rsid w:val="00A7498A"/>
    <w:rsid w:val="00A7549A"/>
    <w:rsid w:val="00A76F6B"/>
    <w:rsid w:val="00A77966"/>
    <w:rsid w:val="00A77A0F"/>
    <w:rsid w:val="00A77F4A"/>
    <w:rsid w:val="00A8029C"/>
    <w:rsid w:val="00A8033D"/>
    <w:rsid w:val="00A80449"/>
    <w:rsid w:val="00A826A0"/>
    <w:rsid w:val="00A826B4"/>
    <w:rsid w:val="00A82E1A"/>
    <w:rsid w:val="00A83266"/>
    <w:rsid w:val="00A8395A"/>
    <w:rsid w:val="00A83B75"/>
    <w:rsid w:val="00A83C7E"/>
    <w:rsid w:val="00A8418C"/>
    <w:rsid w:val="00A84318"/>
    <w:rsid w:val="00A84DA1"/>
    <w:rsid w:val="00A84F4E"/>
    <w:rsid w:val="00A85505"/>
    <w:rsid w:val="00A85676"/>
    <w:rsid w:val="00A856DD"/>
    <w:rsid w:val="00A85812"/>
    <w:rsid w:val="00A85DC4"/>
    <w:rsid w:val="00A85E12"/>
    <w:rsid w:val="00A864D8"/>
    <w:rsid w:val="00A869C4"/>
    <w:rsid w:val="00A8700B"/>
    <w:rsid w:val="00A871C9"/>
    <w:rsid w:val="00A87FE2"/>
    <w:rsid w:val="00A907C0"/>
    <w:rsid w:val="00A91271"/>
    <w:rsid w:val="00A913FF"/>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77"/>
    <w:rsid w:val="00AA25C5"/>
    <w:rsid w:val="00AA2B8B"/>
    <w:rsid w:val="00AA2C6E"/>
    <w:rsid w:val="00AA3F84"/>
    <w:rsid w:val="00AA4886"/>
    <w:rsid w:val="00AA509E"/>
    <w:rsid w:val="00AA53A0"/>
    <w:rsid w:val="00AA6484"/>
    <w:rsid w:val="00AA66A3"/>
    <w:rsid w:val="00AA7874"/>
    <w:rsid w:val="00AA7D0F"/>
    <w:rsid w:val="00AA7FC0"/>
    <w:rsid w:val="00AB0396"/>
    <w:rsid w:val="00AB0440"/>
    <w:rsid w:val="00AB0479"/>
    <w:rsid w:val="00AB05C9"/>
    <w:rsid w:val="00AB0BC7"/>
    <w:rsid w:val="00AB0FDF"/>
    <w:rsid w:val="00AB1831"/>
    <w:rsid w:val="00AB20AB"/>
    <w:rsid w:val="00AB27B9"/>
    <w:rsid w:val="00AB2A48"/>
    <w:rsid w:val="00AB2AAE"/>
    <w:rsid w:val="00AB2C0F"/>
    <w:rsid w:val="00AB2D52"/>
    <w:rsid w:val="00AB3DD2"/>
    <w:rsid w:val="00AB40A0"/>
    <w:rsid w:val="00AB5007"/>
    <w:rsid w:val="00AB5528"/>
    <w:rsid w:val="00AB5538"/>
    <w:rsid w:val="00AB5825"/>
    <w:rsid w:val="00AB58D9"/>
    <w:rsid w:val="00AB63C3"/>
    <w:rsid w:val="00AB6656"/>
    <w:rsid w:val="00AB7178"/>
    <w:rsid w:val="00AB74C3"/>
    <w:rsid w:val="00AC0E72"/>
    <w:rsid w:val="00AC1000"/>
    <w:rsid w:val="00AC1250"/>
    <w:rsid w:val="00AC1A74"/>
    <w:rsid w:val="00AC21C6"/>
    <w:rsid w:val="00AC2E79"/>
    <w:rsid w:val="00AC3779"/>
    <w:rsid w:val="00AC422A"/>
    <w:rsid w:val="00AC4979"/>
    <w:rsid w:val="00AC640E"/>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C09"/>
    <w:rsid w:val="00AE541B"/>
    <w:rsid w:val="00AE56D5"/>
    <w:rsid w:val="00AE7160"/>
    <w:rsid w:val="00AE747B"/>
    <w:rsid w:val="00AE7B1F"/>
    <w:rsid w:val="00AE7D07"/>
    <w:rsid w:val="00AE7DE5"/>
    <w:rsid w:val="00AF03C7"/>
    <w:rsid w:val="00AF03E3"/>
    <w:rsid w:val="00AF12DE"/>
    <w:rsid w:val="00AF1653"/>
    <w:rsid w:val="00AF2183"/>
    <w:rsid w:val="00AF2AEF"/>
    <w:rsid w:val="00AF3BF4"/>
    <w:rsid w:val="00AF3F93"/>
    <w:rsid w:val="00AF4BB9"/>
    <w:rsid w:val="00AF50BF"/>
    <w:rsid w:val="00AF5369"/>
    <w:rsid w:val="00AF5612"/>
    <w:rsid w:val="00AF5C96"/>
    <w:rsid w:val="00AF63E5"/>
    <w:rsid w:val="00AF71D2"/>
    <w:rsid w:val="00B00325"/>
    <w:rsid w:val="00B00478"/>
    <w:rsid w:val="00B01410"/>
    <w:rsid w:val="00B01BCB"/>
    <w:rsid w:val="00B026D2"/>
    <w:rsid w:val="00B02B2E"/>
    <w:rsid w:val="00B02C5B"/>
    <w:rsid w:val="00B02DE3"/>
    <w:rsid w:val="00B03049"/>
    <w:rsid w:val="00B037AA"/>
    <w:rsid w:val="00B03A9D"/>
    <w:rsid w:val="00B04BB4"/>
    <w:rsid w:val="00B0513C"/>
    <w:rsid w:val="00B054BA"/>
    <w:rsid w:val="00B06804"/>
    <w:rsid w:val="00B0782C"/>
    <w:rsid w:val="00B07908"/>
    <w:rsid w:val="00B1005C"/>
    <w:rsid w:val="00B11298"/>
    <w:rsid w:val="00B11D8C"/>
    <w:rsid w:val="00B11F8A"/>
    <w:rsid w:val="00B122A0"/>
    <w:rsid w:val="00B1256E"/>
    <w:rsid w:val="00B13430"/>
    <w:rsid w:val="00B13787"/>
    <w:rsid w:val="00B14007"/>
    <w:rsid w:val="00B1445B"/>
    <w:rsid w:val="00B14855"/>
    <w:rsid w:val="00B14D06"/>
    <w:rsid w:val="00B15801"/>
    <w:rsid w:val="00B1644E"/>
    <w:rsid w:val="00B16CE0"/>
    <w:rsid w:val="00B177F3"/>
    <w:rsid w:val="00B17AAC"/>
    <w:rsid w:val="00B20571"/>
    <w:rsid w:val="00B215D0"/>
    <w:rsid w:val="00B21F73"/>
    <w:rsid w:val="00B22176"/>
    <w:rsid w:val="00B22D7B"/>
    <w:rsid w:val="00B2329D"/>
    <w:rsid w:val="00B2343E"/>
    <w:rsid w:val="00B23822"/>
    <w:rsid w:val="00B23A32"/>
    <w:rsid w:val="00B23A60"/>
    <w:rsid w:val="00B23D80"/>
    <w:rsid w:val="00B240C7"/>
    <w:rsid w:val="00B243A4"/>
    <w:rsid w:val="00B245B8"/>
    <w:rsid w:val="00B245E3"/>
    <w:rsid w:val="00B24ABA"/>
    <w:rsid w:val="00B255C5"/>
    <w:rsid w:val="00B25E98"/>
    <w:rsid w:val="00B25FB2"/>
    <w:rsid w:val="00B26A92"/>
    <w:rsid w:val="00B26D21"/>
    <w:rsid w:val="00B26DCD"/>
    <w:rsid w:val="00B274C7"/>
    <w:rsid w:val="00B27839"/>
    <w:rsid w:val="00B27A36"/>
    <w:rsid w:val="00B27DB4"/>
    <w:rsid w:val="00B30861"/>
    <w:rsid w:val="00B311A8"/>
    <w:rsid w:val="00B32B71"/>
    <w:rsid w:val="00B3300D"/>
    <w:rsid w:val="00B33676"/>
    <w:rsid w:val="00B33FC9"/>
    <w:rsid w:val="00B343CF"/>
    <w:rsid w:val="00B34A70"/>
    <w:rsid w:val="00B34D05"/>
    <w:rsid w:val="00B34E1F"/>
    <w:rsid w:val="00B35194"/>
    <w:rsid w:val="00B36C97"/>
    <w:rsid w:val="00B37179"/>
    <w:rsid w:val="00B371D6"/>
    <w:rsid w:val="00B37AAA"/>
    <w:rsid w:val="00B37AE6"/>
    <w:rsid w:val="00B37C41"/>
    <w:rsid w:val="00B4078C"/>
    <w:rsid w:val="00B40976"/>
    <w:rsid w:val="00B40A92"/>
    <w:rsid w:val="00B40D0C"/>
    <w:rsid w:val="00B4191E"/>
    <w:rsid w:val="00B42C19"/>
    <w:rsid w:val="00B42C6D"/>
    <w:rsid w:val="00B43418"/>
    <w:rsid w:val="00B437D7"/>
    <w:rsid w:val="00B43B49"/>
    <w:rsid w:val="00B4461F"/>
    <w:rsid w:val="00B4481E"/>
    <w:rsid w:val="00B4516E"/>
    <w:rsid w:val="00B455D4"/>
    <w:rsid w:val="00B45B27"/>
    <w:rsid w:val="00B45D33"/>
    <w:rsid w:val="00B46036"/>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549D"/>
    <w:rsid w:val="00B56011"/>
    <w:rsid w:val="00B5613E"/>
    <w:rsid w:val="00B565D0"/>
    <w:rsid w:val="00B56C51"/>
    <w:rsid w:val="00B56EF5"/>
    <w:rsid w:val="00B575F4"/>
    <w:rsid w:val="00B57C19"/>
    <w:rsid w:val="00B60423"/>
    <w:rsid w:val="00B6070A"/>
    <w:rsid w:val="00B60A02"/>
    <w:rsid w:val="00B6183E"/>
    <w:rsid w:val="00B61D05"/>
    <w:rsid w:val="00B62043"/>
    <w:rsid w:val="00B63682"/>
    <w:rsid w:val="00B65076"/>
    <w:rsid w:val="00B65677"/>
    <w:rsid w:val="00B65787"/>
    <w:rsid w:val="00B6581A"/>
    <w:rsid w:val="00B6639E"/>
    <w:rsid w:val="00B670E5"/>
    <w:rsid w:val="00B67598"/>
    <w:rsid w:val="00B70807"/>
    <w:rsid w:val="00B70890"/>
    <w:rsid w:val="00B71CAF"/>
    <w:rsid w:val="00B71DB8"/>
    <w:rsid w:val="00B72ED7"/>
    <w:rsid w:val="00B7320C"/>
    <w:rsid w:val="00B7320E"/>
    <w:rsid w:val="00B73271"/>
    <w:rsid w:val="00B73752"/>
    <w:rsid w:val="00B73779"/>
    <w:rsid w:val="00B749EC"/>
    <w:rsid w:val="00B74DA0"/>
    <w:rsid w:val="00B74DFD"/>
    <w:rsid w:val="00B7733B"/>
    <w:rsid w:val="00B77E7C"/>
    <w:rsid w:val="00B809A7"/>
    <w:rsid w:val="00B80BD8"/>
    <w:rsid w:val="00B80F85"/>
    <w:rsid w:val="00B81892"/>
    <w:rsid w:val="00B819CC"/>
    <w:rsid w:val="00B81CDF"/>
    <w:rsid w:val="00B824E7"/>
    <w:rsid w:val="00B82784"/>
    <w:rsid w:val="00B827FD"/>
    <w:rsid w:val="00B829D3"/>
    <w:rsid w:val="00B82D29"/>
    <w:rsid w:val="00B83703"/>
    <w:rsid w:val="00B83B7C"/>
    <w:rsid w:val="00B83EBF"/>
    <w:rsid w:val="00B842EE"/>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5E4"/>
    <w:rsid w:val="00B957C1"/>
    <w:rsid w:val="00B95A58"/>
    <w:rsid w:val="00B95A9E"/>
    <w:rsid w:val="00B9625A"/>
    <w:rsid w:val="00B96795"/>
    <w:rsid w:val="00B96958"/>
    <w:rsid w:val="00B974A4"/>
    <w:rsid w:val="00B9752D"/>
    <w:rsid w:val="00B97762"/>
    <w:rsid w:val="00B979F7"/>
    <w:rsid w:val="00BA01C1"/>
    <w:rsid w:val="00BA0438"/>
    <w:rsid w:val="00BA06FA"/>
    <w:rsid w:val="00BA0A23"/>
    <w:rsid w:val="00BA289D"/>
    <w:rsid w:val="00BA33A9"/>
    <w:rsid w:val="00BA3460"/>
    <w:rsid w:val="00BA39C2"/>
    <w:rsid w:val="00BA441A"/>
    <w:rsid w:val="00BA4713"/>
    <w:rsid w:val="00BA49AF"/>
    <w:rsid w:val="00BA4B61"/>
    <w:rsid w:val="00BA5BDA"/>
    <w:rsid w:val="00BA5DCA"/>
    <w:rsid w:val="00BA5EB3"/>
    <w:rsid w:val="00BA5F1E"/>
    <w:rsid w:val="00BA6D44"/>
    <w:rsid w:val="00BA6F31"/>
    <w:rsid w:val="00BA7240"/>
    <w:rsid w:val="00BA7782"/>
    <w:rsid w:val="00BB0472"/>
    <w:rsid w:val="00BB09F6"/>
    <w:rsid w:val="00BB134D"/>
    <w:rsid w:val="00BB19FB"/>
    <w:rsid w:val="00BB2A4D"/>
    <w:rsid w:val="00BB2F5F"/>
    <w:rsid w:val="00BB3A0C"/>
    <w:rsid w:val="00BB3D35"/>
    <w:rsid w:val="00BB3D7A"/>
    <w:rsid w:val="00BB3DB6"/>
    <w:rsid w:val="00BB4B53"/>
    <w:rsid w:val="00BB4D5A"/>
    <w:rsid w:val="00BB6658"/>
    <w:rsid w:val="00BB686D"/>
    <w:rsid w:val="00BC0A42"/>
    <w:rsid w:val="00BC0D15"/>
    <w:rsid w:val="00BC0E1B"/>
    <w:rsid w:val="00BC1051"/>
    <w:rsid w:val="00BC193B"/>
    <w:rsid w:val="00BC286A"/>
    <w:rsid w:val="00BC35D9"/>
    <w:rsid w:val="00BC3913"/>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557"/>
    <w:rsid w:val="00BD28F9"/>
    <w:rsid w:val="00BD2EF0"/>
    <w:rsid w:val="00BD3541"/>
    <w:rsid w:val="00BD4652"/>
    <w:rsid w:val="00BD4A8F"/>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40B"/>
    <w:rsid w:val="00BE56CE"/>
    <w:rsid w:val="00BE6364"/>
    <w:rsid w:val="00BE6576"/>
    <w:rsid w:val="00BE6C1C"/>
    <w:rsid w:val="00BE7433"/>
    <w:rsid w:val="00BE7CB6"/>
    <w:rsid w:val="00BF048F"/>
    <w:rsid w:val="00BF062D"/>
    <w:rsid w:val="00BF0ED5"/>
    <w:rsid w:val="00BF159A"/>
    <w:rsid w:val="00BF1A2A"/>
    <w:rsid w:val="00BF1A6B"/>
    <w:rsid w:val="00BF1EEF"/>
    <w:rsid w:val="00BF1FCA"/>
    <w:rsid w:val="00BF3170"/>
    <w:rsid w:val="00BF44FB"/>
    <w:rsid w:val="00BF5160"/>
    <w:rsid w:val="00BF6BD1"/>
    <w:rsid w:val="00BF72CB"/>
    <w:rsid w:val="00BF7494"/>
    <w:rsid w:val="00BF7FF6"/>
    <w:rsid w:val="00C00270"/>
    <w:rsid w:val="00C00650"/>
    <w:rsid w:val="00C00E23"/>
    <w:rsid w:val="00C012C4"/>
    <w:rsid w:val="00C014C3"/>
    <w:rsid w:val="00C021BB"/>
    <w:rsid w:val="00C026F9"/>
    <w:rsid w:val="00C028E5"/>
    <w:rsid w:val="00C02BBE"/>
    <w:rsid w:val="00C037A3"/>
    <w:rsid w:val="00C03932"/>
    <w:rsid w:val="00C03D86"/>
    <w:rsid w:val="00C04A06"/>
    <w:rsid w:val="00C04D79"/>
    <w:rsid w:val="00C0626D"/>
    <w:rsid w:val="00C06879"/>
    <w:rsid w:val="00C06B98"/>
    <w:rsid w:val="00C06DE4"/>
    <w:rsid w:val="00C0702A"/>
    <w:rsid w:val="00C076B5"/>
    <w:rsid w:val="00C110FB"/>
    <w:rsid w:val="00C1171A"/>
    <w:rsid w:val="00C1312A"/>
    <w:rsid w:val="00C138FD"/>
    <w:rsid w:val="00C13EFE"/>
    <w:rsid w:val="00C143CD"/>
    <w:rsid w:val="00C14B68"/>
    <w:rsid w:val="00C14FA2"/>
    <w:rsid w:val="00C15480"/>
    <w:rsid w:val="00C166E5"/>
    <w:rsid w:val="00C17064"/>
    <w:rsid w:val="00C17EE8"/>
    <w:rsid w:val="00C17F02"/>
    <w:rsid w:val="00C204EF"/>
    <w:rsid w:val="00C21013"/>
    <w:rsid w:val="00C21459"/>
    <w:rsid w:val="00C234F7"/>
    <w:rsid w:val="00C23824"/>
    <w:rsid w:val="00C23B84"/>
    <w:rsid w:val="00C24599"/>
    <w:rsid w:val="00C249E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1F40"/>
    <w:rsid w:val="00C325F4"/>
    <w:rsid w:val="00C3269C"/>
    <w:rsid w:val="00C3367F"/>
    <w:rsid w:val="00C342CA"/>
    <w:rsid w:val="00C34515"/>
    <w:rsid w:val="00C34A03"/>
    <w:rsid w:val="00C34D9A"/>
    <w:rsid w:val="00C34ECA"/>
    <w:rsid w:val="00C34FF2"/>
    <w:rsid w:val="00C350DE"/>
    <w:rsid w:val="00C35A85"/>
    <w:rsid w:val="00C35B4B"/>
    <w:rsid w:val="00C360A1"/>
    <w:rsid w:val="00C362CD"/>
    <w:rsid w:val="00C36498"/>
    <w:rsid w:val="00C36C08"/>
    <w:rsid w:val="00C36CF8"/>
    <w:rsid w:val="00C36FF2"/>
    <w:rsid w:val="00C37183"/>
    <w:rsid w:val="00C373FF"/>
    <w:rsid w:val="00C37D5A"/>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73B1"/>
    <w:rsid w:val="00C600EE"/>
    <w:rsid w:val="00C60567"/>
    <w:rsid w:val="00C611F9"/>
    <w:rsid w:val="00C61D17"/>
    <w:rsid w:val="00C6294C"/>
    <w:rsid w:val="00C62B06"/>
    <w:rsid w:val="00C62DF8"/>
    <w:rsid w:val="00C62E03"/>
    <w:rsid w:val="00C62F0A"/>
    <w:rsid w:val="00C63365"/>
    <w:rsid w:val="00C64192"/>
    <w:rsid w:val="00C647CB"/>
    <w:rsid w:val="00C64F06"/>
    <w:rsid w:val="00C651FF"/>
    <w:rsid w:val="00C6575F"/>
    <w:rsid w:val="00C65B99"/>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95"/>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2CF"/>
    <w:rsid w:val="00C86377"/>
    <w:rsid w:val="00C86829"/>
    <w:rsid w:val="00C86A4F"/>
    <w:rsid w:val="00C86DA3"/>
    <w:rsid w:val="00C871F5"/>
    <w:rsid w:val="00C8735E"/>
    <w:rsid w:val="00C878EC"/>
    <w:rsid w:val="00C879EA"/>
    <w:rsid w:val="00C87C1A"/>
    <w:rsid w:val="00C87EBA"/>
    <w:rsid w:val="00C9116E"/>
    <w:rsid w:val="00C911A9"/>
    <w:rsid w:val="00C9135D"/>
    <w:rsid w:val="00C914F8"/>
    <w:rsid w:val="00C9209C"/>
    <w:rsid w:val="00C9319C"/>
    <w:rsid w:val="00C935F6"/>
    <w:rsid w:val="00C93ED0"/>
    <w:rsid w:val="00C9420E"/>
    <w:rsid w:val="00C95234"/>
    <w:rsid w:val="00C971B3"/>
    <w:rsid w:val="00C9788C"/>
    <w:rsid w:val="00C97C59"/>
    <w:rsid w:val="00C97F4B"/>
    <w:rsid w:val="00CA047B"/>
    <w:rsid w:val="00CA06A9"/>
    <w:rsid w:val="00CA08E3"/>
    <w:rsid w:val="00CA0C2B"/>
    <w:rsid w:val="00CA12D5"/>
    <w:rsid w:val="00CA2734"/>
    <w:rsid w:val="00CA37CC"/>
    <w:rsid w:val="00CA418B"/>
    <w:rsid w:val="00CA42DE"/>
    <w:rsid w:val="00CA4A0D"/>
    <w:rsid w:val="00CA52C0"/>
    <w:rsid w:val="00CA55EE"/>
    <w:rsid w:val="00CA5922"/>
    <w:rsid w:val="00CA5C69"/>
    <w:rsid w:val="00CA7A1E"/>
    <w:rsid w:val="00CB12E9"/>
    <w:rsid w:val="00CB16E0"/>
    <w:rsid w:val="00CB1766"/>
    <w:rsid w:val="00CB1E90"/>
    <w:rsid w:val="00CB1EB4"/>
    <w:rsid w:val="00CB1F6C"/>
    <w:rsid w:val="00CB21D8"/>
    <w:rsid w:val="00CB328F"/>
    <w:rsid w:val="00CB3573"/>
    <w:rsid w:val="00CB364D"/>
    <w:rsid w:val="00CB3A38"/>
    <w:rsid w:val="00CB3B10"/>
    <w:rsid w:val="00CB425D"/>
    <w:rsid w:val="00CB4831"/>
    <w:rsid w:val="00CB4D25"/>
    <w:rsid w:val="00CB58D5"/>
    <w:rsid w:val="00CB5C51"/>
    <w:rsid w:val="00CB5DBA"/>
    <w:rsid w:val="00CB5FBD"/>
    <w:rsid w:val="00CB65DC"/>
    <w:rsid w:val="00CB6DC9"/>
    <w:rsid w:val="00CB7F2D"/>
    <w:rsid w:val="00CC0989"/>
    <w:rsid w:val="00CC13F5"/>
    <w:rsid w:val="00CC16EE"/>
    <w:rsid w:val="00CC1763"/>
    <w:rsid w:val="00CC21F6"/>
    <w:rsid w:val="00CC2600"/>
    <w:rsid w:val="00CC3F69"/>
    <w:rsid w:val="00CC4244"/>
    <w:rsid w:val="00CC4526"/>
    <w:rsid w:val="00CC4B0F"/>
    <w:rsid w:val="00CC4B86"/>
    <w:rsid w:val="00CC54F4"/>
    <w:rsid w:val="00CC5A1A"/>
    <w:rsid w:val="00CC5EA6"/>
    <w:rsid w:val="00CC6B67"/>
    <w:rsid w:val="00CC6CE2"/>
    <w:rsid w:val="00CC6D02"/>
    <w:rsid w:val="00CC6D80"/>
    <w:rsid w:val="00CC70C2"/>
    <w:rsid w:val="00CC71C7"/>
    <w:rsid w:val="00CC759C"/>
    <w:rsid w:val="00CD0363"/>
    <w:rsid w:val="00CD0868"/>
    <w:rsid w:val="00CD11A6"/>
    <w:rsid w:val="00CD171A"/>
    <w:rsid w:val="00CD18B3"/>
    <w:rsid w:val="00CD1CCA"/>
    <w:rsid w:val="00CD2072"/>
    <w:rsid w:val="00CD2B43"/>
    <w:rsid w:val="00CD2C7C"/>
    <w:rsid w:val="00CD33A6"/>
    <w:rsid w:val="00CD3886"/>
    <w:rsid w:val="00CD3D9B"/>
    <w:rsid w:val="00CD4E01"/>
    <w:rsid w:val="00CD4F9A"/>
    <w:rsid w:val="00CD5608"/>
    <w:rsid w:val="00CD6935"/>
    <w:rsid w:val="00CD6C36"/>
    <w:rsid w:val="00CD7204"/>
    <w:rsid w:val="00CD7CC3"/>
    <w:rsid w:val="00CE05CF"/>
    <w:rsid w:val="00CE0A6E"/>
    <w:rsid w:val="00CE113C"/>
    <w:rsid w:val="00CE1E9C"/>
    <w:rsid w:val="00CE1F89"/>
    <w:rsid w:val="00CE2C20"/>
    <w:rsid w:val="00CE2CC9"/>
    <w:rsid w:val="00CE3697"/>
    <w:rsid w:val="00CE42F4"/>
    <w:rsid w:val="00CE47E8"/>
    <w:rsid w:val="00CE4861"/>
    <w:rsid w:val="00CE4C9B"/>
    <w:rsid w:val="00CE6109"/>
    <w:rsid w:val="00CE6260"/>
    <w:rsid w:val="00CE633C"/>
    <w:rsid w:val="00CE6C1C"/>
    <w:rsid w:val="00CE761A"/>
    <w:rsid w:val="00CE7796"/>
    <w:rsid w:val="00CE7B3F"/>
    <w:rsid w:val="00CE7C81"/>
    <w:rsid w:val="00CF0386"/>
    <w:rsid w:val="00CF05D2"/>
    <w:rsid w:val="00CF0D83"/>
    <w:rsid w:val="00CF0EF2"/>
    <w:rsid w:val="00CF234B"/>
    <w:rsid w:val="00CF33AC"/>
    <w:rsid w:val="00CF3400"/>
    <w:rsid w:val="00CF3BB6"/>
    <w:rsid w:val="00CF40C5"/>
    <w:rsid w:val="00CF47E5"/>
    <w:rsid w:val="00CF5B2D"/>
    <w:rsid w:val="00CF5BA3"/>
    <w:rsid w:val="00CF5BB5"/>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26F8"/>
    <w:rsid w:val="00D0423A"/>
    <w:rsid w:val="00D048C7"/>
    <w:rsid w:val="00D04A90"/>
    <w:rsid w:val="00D05C02"/>
    <w:rsid w:val="00D05D7C"/>
    <w:rsid w:val="00D06573"/>
    <w:rsid w:val="00D06723"/>
    <w:rsid w:val="00D06EF2"/>
    <w:rsid w:val="00D07131"/>
    <w:rsid w:val="00D07526"/>
    <w:rsid w:val="00D07737"/>
    <w:rsid w:val="00D07D7D"/>
    <w:rsid w:val="00D07E3B"/>
    <w:rsid w:val="00D10705"/>
    <w:rsid w:val="00D11276"/>
    <w:rsid w:val="00D1233D"/>
    <w:rsid w:val="00D123CF"/>
    <w:rsid w:val="00D127DF"/>
    <w:rsid w:val="00D1308F"/>
    <w:rsid w:val="00D13678"/>
    <w:rsid w:val="00D1460D"/>
    <w:rsid w:val="00D14A27"/>
    <w:rsid w:val="00D14B1E"/>
    <w:rsid w:val="00D14DCC"/>
    <w:rsid w:val="00D150F9"/>
    <w:rsid w:val="00D152F0"/>
    <w:rsid w:val="00D15494"/>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4B2D"/>
    <w:rsid w:val="00D25A76"/>
    <w:rsid w:val="00D2692A"/>
    <w:rsid w:val="00D278F4"/>
    <w:rsid w:val="00D27B21"/>
    <w:rsid w:val="00D27C28"/>
    <w:rsid w:val="00D27E31"/>
    <w:rsid w:val="00D308D8"/>
    <w:rsid w:val="00D311F7"/>
    <w:rsid w:val="00D318AF"/>
    <w:rsid w:val="00D322C3"/>
    <w:rsid w:val="00D32350"/>
    <w:rsid w:val="00D32B0E"/>
    <w:rsid w:val="00D3344A"/>
    <w:rsid w:val="00D3355A"/>
    <w:rsid w:val="00D33AB7"/>
    <w:rsid w:val="00D340D5"/>
    <w:rsid w:val="00D3435B"/>
    <w:rsid w:val="00D346F8"/>
    <w:rsid w:val="00D3486D"/>
    <w:rsid w:val="00D34C41"/>
    <w:rsid w:val="00D34CA3"/>
    <w:rsid w:val="00D356A6"/>
    <w:rsid w:val="00D35AA2"/>
    <w:rsid w:val="00D362BE"/>
    <w:rsid w:val="00D36BE9"/>
    <w:rsid w:val="00D3722A"/>
    <w:rsid w:val="00D37579"/>
    <w:rsid w:val="00D379CE"/>
    <w:rsid w:val="00D4006F"/>
    <w:rsid w:val="00D40B0A"/>
    <w:rsid w:val="00D42ACE"/>
    <w:rsid w:val="00D42FB7"/>
    <w:rsid w:val="00D43569"/>
    <w:rsid w:val="00D43F58"/>
    <w:rsid w:val="00D43FC2"/>
    <w:rsid w:val="00D4457A"/>
    <w:rsid w:val="00D44932"/>
    <w:rsid w:val="00D44AF1"/>
    <w:rsid w:val="00D45734"/>
    <w:rsid w:val="00D45F69"/>
    <w:rsid w:val="00D46172"/>
    <w:rsid w:val="00D46610"/>
    <w:rsid w:val="00D46D5A"/>
    <w:rsid w:val="00D46FE2"/>
    <w:rsid w:val="00D47282"/>
    <w:rsid w:val="00D4779F"/>
    <w:rsid w:val="00D47829"/>
    <w:rsid w:val="00D47E7C"/>
    <w:rsid w:val="00D50195"/>
    <w:rsid w:val="00D50AD1"/>
    <w:rsid w:val="00D52EE0"/>
    <w:rsid w:val="00D542A9"/>
    <w:rsid w:val="00D54305"/>
    <w:rsid w:val="00D54789"/>
    <w:rsid w:val="00D54F6A"/>
    <w:rsid w:val="00D5501F"/>
    <w:rsid w:val="00D55663"/>
    <w:rsid w:val="00D55807"/>
    <w:rsid w:val="00D560FA"/>
    <w:rsid w:val="00D56540"/>
    <w:rsid w:val="00D56BA3"/>
    <w:rsid w:val="00D56D40"/>
    <w:rsid w:val="00D56D87"/>
    <w:rsid w:val="00D57242"/>
    <w:rsid w:val="00D57933"/>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36B"/>
    <w:rsid w:val="00D72409"/>
    <w:rsid w:val="00D7269D"/>
    <w:rsid w:val="00D7279E"/>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326C"/>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1C56"/>
    <w:rsid w:val="00D928A3"/>
    <w:rsid w:val="00D93A74"/>
    <w:rsid w:val="00D9440E"/>
    <w:rsid w:val="00D95433"/>
    <w:rsid w:val="00D95689"/>
    <w:rsid w:val="00D956B6"/>
    <w:rsid w:val="00D95EF6"/>
    <w:rsid w:val="00D95F43"/>
    <w:rsid w:val="00D961DA"/>
    <w:rsid w:val="00D97696"/>
    <w:rsid w:val="00D9772E"/>
    <w:rsid w:val="00DA07B1"/>
    <w:rsid w:val="00DA0DC8"/>
    <w:rsid w:val="00DA1481"/>
    <w:rsid w:val="00DA17B0"/>
    <w:rsid w:val="00DA27C6"/>
    <w:rsid w:val="00DA2C00"/>
    <w:rsid w:val="00DA33EC"/>
    <w:rsid w:val="00DA3B79"/>
    <w:rsid w:val="00DA3F09"/>
    <w:rsid w:val="00DA48B0"/>
    <w:rsid w:val="00DA5BA5"/>
    <w:rsid w:val="00DA5E1F"/>
    <w:rsid w:val="00DA639A"/>
    <w:rsid w:val="00DA6B48"/>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B7EAE"/>
    <w:rsid w:val="00DC0112"/>
    <w:rsid w:val="00DC124A"/>
    <w:rsid w:val="00DC159A"/>
    <w:rsid w:val="00DC1BD9"/>
    <w:rsid w:val="00DC1BE4"/>
    <w:rsid w:val="00DC2393"/>
    <w:rsid w:val="00DC23B0"/>
    <w:rsid w:val="00DC246B"/>
    <w:rsid w:val="00DC2AD7"/>
    <w:rsid w:val="00DC2CDA"/>
    <w:rsid w:val="00DC5A4C"/>
    <w:rsid w:val="00DC68D3"/>
    <w:rsid w:val="00DC6EBF"/>
    <w:rsid w:val="00DC76A7"/>
    <w:rsid w:val="00DD0581"/>
    <w:rsid w:val="00DD085F"/>
    <w:rsid w:val="00DD1761"/>
    <w:rsid w:val="00DD19C3"/>
    <w:rsid w:val="00DD273A"/>
    <w:rsid w:val="00DD3483"/>
    <w:rsid w:val="00DD40A3"/>
    <w:rsid w:val="00DD4C6C"/>
    <w:rsid w:val="00DD4D17"/>
    <w:rsid w:val="00DD5846"/>
    <w:rsid w:val="00DD620A"/>
    <w:rsid w:val="00DD6AAC"/>
    <w:rsid w:val="00DD7392"/>
    <w:rsid w:val="00DD7C97"/>
    <w:rsid w:val="00DE02E3"/>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808"/>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75C"/>
    <w:rsid w:val="00E06B80"/>
    <w:rsid w:val="00E06E46"/>
    <w:rsid w:val="00E0787E"/>
    <w:rsid w:val="00E103D1"/>
    <w:rsid w:val="00E10EA2"/>
    <w:rsid w:val="00E10F8D"/>
    <w:rsid w:val="00E112C9"/>
    <w:rsid w:val="00E114D9"/>
    <w:rsid w:val="00E11DE2"/>
    <w:rsid w:val="00E11EF2"/>
    <w:rsid w:val="00E11FDF"/>
    <w:rsid w:val="00E126BB"/>
    <w:rsid w:val="00E1305B"/>
    <w:rsid w:val="00E134A9"/>
    <w:rsid w:val="00E135F9"/>
    <w:rsid w:val="00E136F7"/>
    <w:rsid w:val="00E13771"/>
    <w:rsid w:val="00E140FF"/>
    <w:rsid w:val="00E14AED"/>
    <w:rsid w:val="00E14D31"/>
    <w:rsid w:val="00E14FE4"/>
    <w:rsid w:val="00E150E0"/>
    <w:rsid w:val="00E155F6"/>
    <w:rsid w:val="00E167A2"/>
    <w:rsid w:val="00E17AB3"/>
    <w:rsid w:val="00E20C2E"/>
    <w:rsid w:val="00E2108D"/>
    <w:rsid w:val="00E21422"/>
    <w:rsid w:val="00E214F0"/>
    <w:rsid w:val="00E218A3"/>
    <w:rsid w:val="00E21F9F"/>
    <w:rsid w:val="00E220EA"/>
    <w:rsid w:val="00E2262C"/>
    <w:rsid w:val="00E2294C"/>
    <w:rsid w:val="00E22E16"/>
    <w:rsid w:val="00E23054"/>
    <w:rsid w:val="00E236F6"/>
    <w:rsid w:val="00E237A8"/>
    <w:rsid w:val="00E23C73"/>
    <w:rsid w:val="00E24A15"/>
    <w:rsid w:val="00E24D59"/>
    <w:rsid w:val="00E24EE6"/>
    <w:rsid w:val="00E24F7C"/>
    <w:rsid w:val="00E25852"/>
    <w:rsid w:val="00E259D4"/>
    <w:rsid w:val="00E25B67"/>
    <w:rsid w:val="00E25F3E"/>
    <w:rsid w:val="00E25FDB"/>
    <w:rsid w:val="00E26152"/>
    <w:rsid w:val="00E267CF"/>
    <w:rsid w:val="00E26DDA"/>
    <w:rsid w:val="00E27379"/>
    <w:rsid w:val="00E30009"/>
    <w:rsid w:val="00E3087B"/>
    <w:rsid w:val="00E30A6C"/>
    <w:rsid w:val="00E30B9B"/>
    <w:rsid w:val="00E30FF3"/>
    <w:rsid w:val="00E3151F"/>
    <w:rsid w:val="00E31BA9"/>
    <w:rsid w:val="00E31C80"/>
    <w:rsid w:val="00E31DD1"/>
    <w:rsid w:val="00E31E1C"/>
    <w:rsid w:val="00E31E48"/>
    <w:rsid w:val="00E32965"/>
    <w:rsid w:val="00E33562"/>
    <w:rsid w:val="00E337C4"/>
    <w:rsid w:val="00E337E8"/>
    <w:rsid w:val="00E338AF"/>
    <w:rsid w:val="00E33990"/>
    <w:rsid w:val="00E339C0"/>
    <w:rsid w:val="00E33A8F"/>
    <w:rsid w:val="00E33EC0"/>
    <w:rsid w:val="00E34274"/>
    <w:rsid w:val="00E3485E"/>
    <w:rsid w:val="00E34AA2"/>
    <w:rsid w:val="00E35486"/>
    <w:rsid w:val="00E3566D"/>
    <w:rsid w:val="00E35A3A"/>
    <w:rsid w:val="00E379DE"/>
    <w:rsid w:val="00E37FAF"/>
    <w:rsid w:val="00E4090B"/>
    <w:rsid w:val="00E4098C"/>
    <w:rsid w:val="00E40ABB"/>
    <w:rsid w:val="00E41058"/>
    <w:rsid w:val="00E412A9"/>
    <w:rsid w:val="00E416FB"/>
    <w:rsid w:val="00E419BD"/>
    <w:rsid w:val="00E41F06"/>
    <w:rsid w:val="00E422DC"/>
    <w:rsid w:val="00E42314"/>
    <w:rsid w:val="00E42827"/>
    <w:rsid w:val="00E42B30"/>
    <w:rsid w:val="00E42DA2"/>
    <w:rsid w:val="00E44AAD"/>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3BCC"/>
    <w:rsid w:val="00E54925"/>
    <w:rsid w:val="00E5566F"/>
    <w:rsid w:val="00E57188"/>
    <w:rsid w:val="00E600D7"/>
    <w:rsid w:val="00E604A4"/>
    <w:rsid w:val="00E609FD"/>
    <w:rsid w:val="00E61C4E"/>
    <w:rsid w:val="00E62147"/>
    <w:rsid w:val="00E627B1"/>
    <w:rsid w:val="00E629E6"/>
    <w:rsid w:val="00E631DE"/>
    <w:rsid w:val="00E6371C"/>
    <w:rsid w:val="00E63872"/>
    <w:rsid w:val="00E63C6C"/>
    <w:rsid w:val="00E63F87"/>
    <w:rsid w:val="00E6464B"/>
    <w:rsid w:val="00E6527E"/>
    <w:rsid w:val="00E65A41"/>
    <w:rsid w:val="00E665CB"/>
    <w:rsid w:val="00E677B3"/>
    <w:rsid w:val="00E706A0"/>
    <w:rsid w:val="00E70C65"/>
    <w:rsid w:val="00E710C9"/>
    <w:rsid w:val="00E71666"/>
    <w:rsid w:val="00E71676"/>
    <w:rsid w:val="00E724E4"/>
    <w:rsid w:val="00E73155"/>
    <w:rsid w:val="00E73312"/>
    <w:rsid w:val="00E735D4"/>
    <w:rsid w:val="00E73AFD"/>
    <w:rsid w:val="00E7411D"/>
    <w:rsid w:val="00E7483A"/>
    <w:rsid w:val="00E7525A"/>
    <w:rsid w:val="00E76205"/>
    <w:rsid w:val="00E7637E"/>
    <w:rsid w:val="00E76439"/>
    <w:rsid w:val="00E76936"/>
    <w:rsid w:val="00E76CAD"/>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8D9"/>
    <w:rsid w:val="00E85DC1"/>
    <w:rsid w:val="00E862F4"/>
    <w:rsid w:val="00E86D33"/>
    <w:rsid w:val="00E9032B"/>
    <w:rsid w:val="00E90393"/>
    <w:rsid w:val="00E90B5E"/>
    <w:rsid w:val="00E91579"/>
    <w:rsid w:val="00E92BD9"/>
    <w:rsid w:val="00E92DE1"/>
    <w:rsid w:val="00E936A7"/>
    <w:rsid w:val="00E93717"/>
    <w:rsid w:val="00E94339"/>
    <w:rsid w:val="00E944FD"/>
    <w:rsid w:val="00E94FA2"/>
    <w:rsid w:val="00E94FDF"/>
    <w:rsid w:val="00E9546A"/>
    <w:rsid w:val="00E95563"/>
    <w:rsid w:val="00E96188"/>
    <w:rsid w:val="00E97CCA"/>
    <w:rsid w:val="00E97E2B"/>
    <w:rsid w:val="00EA015C"/>
    <w:rsid w:val="00EA0177"/>
    <w:rsid w:val="00EA0D5B"/>
    <w:rsid w:val="00EA0D76"/>
    <w:rsid w:val="00EA224E"/>
    <w:rsid w:val="00EA3FF6"/>
    <w:rsid w:val="00EA6DC0"/>
    <w:rsid w:val="00EA7FBE"/>
    <w:rsid w:val="00EB0C5B"/>
    <w:rsid w:val="00EB1185"/>
    <w:rsid w:val="00EB159B"/>
    <w:rsid w:val="00EB2033"/>
    <w:rsid w:val="00EB220F"/>
    <w:rsid w:val="00EB2481"/>
    <w:rsid w:val="00EB257B"/>
    <w:rsid w:val="00EB2812"/>
    <w:rsid w:val="00EB2A1F"/>
    <w:rsid w:val="00EB2C19"/>
    <w:rsid w:val="00EB2D88"/>
    <w:rsid w:val="00EB32A8"/>
    <w:rsid w:val="00EB370F"/>
    <w:rsid w:val="00EB404A"/>
    <w:rsid w:val="00EB4BE5"/>
    <w:rsid w:val="00EB5234"/>
    <w:rsid w:val="00EB610E"/>
    <w:rsid w:val="00EB722E"/>
    <w:rsid w:val="00EB78FD"/>
    <w:rsid w:val="00EC091F"/>
    <w:rsid w:val="00EC0E72"/>
    <w:rsid w:val="00EC10B0"/>
    <w:rsid w:val="00EC137F"/>
    <w:rsid w:val="00EC2028"/>
    <w:rsid w:val="00EC2317"/>
    <w:rsid w:val="00EC25BA"/>
    <w:rsid w:val="00EC2990"/>
    <w:rsid w:val="00EC2A4D"/>
    <w:rsid w:val="00EC3301"/>
    <w:rsid w:val="00EC340D"/>
    <w:rsid w:val="00EC348F"/>
    <w:rsid w:val="00EC391D"/>
    <w:rsid w:val="00EC43F0"/>
    <w:rsid w:val="00EC44B3"/>
    <w:rsid w:val="00EC4BBD"/>
    <w:rsid w:val="00EC4EC1"/>
    <w:rsid w:val="00EC4FBB"/>
    <w:rsid w:val="00EC58A4"/>
    <w:rsid w:val="00EC6001"/>
    <w:rsid w:val="00EC61E5"/>
    <w:rsid w:val="00EC63BD"/>
    <w:rsid w:val="00EC6654"/>
    <w:rsid w:val="00EC67A3"/>
    <w:rsid w:val="00EC7EEF"/>
    <w:rsid w:val="00ED0E87"/>
    <w:rsid w:val="00ED0EE8"/>
    <w:rsid w:val="00ED1037"/>
    <w:rsid w:val="00ED11BA"/>
    <w:rsid w:val="00ED1764"/>
    <w:rsid w:val="00ED19B7"/>
    <w:rsid w:val="00ED200B"/>
    <w:rsid w:val="00ED238B"/>
    <w:rsid w:val="00ED2520"/>
    <w:rsid w:val="00ED2E12"/>
    <w:rsid w:val="00ED3EDC"/>
    <w:rsid w:val="00ED47A4"/>
    <w:rsid w:val="00ED4F03"/>
    <w:rsid w:val="00ED52B2"/>
    <w:rsid w:val="00ED54B4"/>
    <w:rsid w:val="00ED552A"/>
    <w:rsid w:val="00ED56DC"/>
    <w:rsid w:val="00ED7D19"/>
    <w:rsid w:val="00ED7F87"/>
    <w:rsid w:val="00EE0ADC"/>
    <w:rsid w:val="00EE15D5"/>
    <w:rsid w:val="00EE1612"/>
    <w:rsid w:val="00EE173D"/>
    <w:rsid w:val="00EE1BE8"/>
    <w:rsid w:val="00EE1DD9"/>
    <w:rsid w:val="00EE1FE8"/>
    <w:rsid w:val="00EE231A"/>
    <w:rsid w:val="00EE24D6"/>
    <w:rsid w:val="00EE289F"/>
    <w:rsid w:val="00EE2B04"/>
    <w:rsid w:val="00EE3B13"/>
    <w:rsid w:val="00EE59C6"/>
    <w:rsid w:val="00EE69B9"/>
    <w:rsid w:val="00EE75E5"/>
    <w:rsid w:val="00EE76C8"/>
    <w:rsid w:val="00EE7CFC"/>
    <w:rsid w:val="00EF0066"/>
    <w:rsid w:val="00EF1864"/>
    <w:rsid w:val="00EF26B4"/>
    <w:rsid w:val="00EF2732"/>
    <w:rsid w:val="00EF2A9D"/>
    <w:rsid w:val="00EF2BB9"/>
    <w:rsid w:val="00EF3131"/>
    <w:rsid w:val="00EF33BF"/>
    <w:rsid w:val="00EF3BDB"/>
    <w:rsid w:val="00EF41F1"/>
    <w:rsid w:val="00EF491E"/>
    <w:rsid w:val="00EF50F3"/>
    <w:rsid w:val="00EF6828"/>
    <w:rsid w:val="00EF6E6D"/>
    <w:rsid w:val="00EF775A"/>
    <w:rsid w:val="00EF7A66"/>
    <w:rsid w:val="00EF7D2B"/>
    <w:rsid w:val="00F00020"/>
    <w:rsid w:val="00F00DA4"/>
    <w:rsid w:val="00F00FEA"/>
    <w:rsid w:val="00F01A7F"/>
    <w:rsid w:val="00F0227A"/>
    <w:rsid w:val="00F02E36"/>
    <w:rsid w:val="00F03426"/>
    <w:rsid w:val="00F036BA"/>
    <w:rsid w:val="00F03CE3"/>
    <w:rsid w:val="00F04707"/>
    <w:rsid w:val="00F048E6"/>
    <w:rsid w:val="00F04ACD"/>
    <w:rsid w:val="00F04D5B"/>
    <w:rsid w:val="00F0539D"/>
    <w:rsid w:val="00F0571B"/>
    <w:rsid w:val="00F062AE"/>
    <w:rsid w:val="00F0635E"/>
    <w:rsid w:val="00F071CC"/>
    <w:rsid w:val="00F073E3"/>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BF"/>
    <w:rsid w:val="00F1567A"/>
    <w:rsid w:val="00F16949"/>
    <w:rsid w:val="00F16D8C"/>
    <w:rsid w:val="00F177AD"/>
    <w:rsid w:val="00F177E7"/>
    <w:rsid w:val="00F17C72"/>
    <w:rsid w:val="00F17D2D"/>
    <w:rsid w:val="00F20894"/>
    <w:rsid w:val="00F20C03"/>
    <w:rsid w:val="00F20D29"/>
    <w:rsid w:val="00F20D34"/>
    <w:rsid w:val="00F21629"/>
    <w:rsid w:val="00F22383"/>
    <w:rsid w:val="00F2241D"/>
    <w:rsid w:val="00F22912"/>
    <w:rsid w:val="00F22AEB"/>
    <w:rsid w:val="00F22AFE"/>
    <w:rsid w:val="00F22BCA"/>
    <w:rsid w:val="00F23754"/>
    <w:rsid w:val="00F237A4"/>
    <w:rsid w:val="00F23F6D"/>
    <w:rsid w:val="00F24087"/>
    <w:rsid w:val="00F243AE"/>
    <w:rsid w:val="00F24A5E"/>
    <w:rsid w:val="00F25DD9"/>
    <w:rsid w:val="00F265F6"/>
    <w:rsid w:val="00F26653"/>
    <w:rsid w:val="00F27291"/>
    <w:rsid w:val="00F2770C"/>
    <w:rsid w:val="00F27EC5"/>
    <w:rsid w:val="00F3016B"/>
    <w:rsid w:val="00F31113"/>
    <w:rsid w:val="00F314C0"/>
    <w:rsid w:val="00F314D3"/>
    <w:rsid w:val="00F31E5C"/>
    <w:rsid w:val="00F32084"/>
    <w:rsid w:val="00F32457"/>
    <w:rsid w:val="00F32541"/>
    <w:rsid w:val="00F3254D"/>
    <w:rsid w:val="00F32569"/>
    <w:rsid w:val="00F32D1C"/>
    <w:rsid w:val="00F336A1"/>
    <w:rsid w:val="00F33889"/>
    <w:rsid w:val="00F347C0"/>
    <w:rsid w:val="00F350E8"/>
    <w:rsid w:val="00F351D3"/>
    <w:rsid w:val="00F357FA"/>
    <w:rsid w:val="00F35C22"/>
    <w:rsid w:val="00F37121"/>
    <w:rsid w:val="00F37791"/>
    <w:rsid w:val="00F377FB"/>
    <w:rsid w:val="00F37FE3"/>
    <w:rsid w:val="00F40306"/>
    <w:rsid w:val="00F40663"/>
    <w:rsid w:val="00F41337"/>
    <w:rsid w:val="00F4140B"/>
    <w:rsid w:val="00F41940"/>
    <w:rsid w:val="00F41BE6"/>
    <w:rsid w:val="00F41FCD"/>
    <w:rsid w:val="00F4276C"/>
    <w:rsid w:val="00F43AF6"/>
    <w:rsid w:val="00F43E13"/>
    <w:rsid w:val="00F44405"/>
    <w:rsid w:val="00F446C0"/>
    <w:rsid w:val="00F44796"/>
    <w:rsid w:val="00F44C14"/>
    <w:rsid w:val="00F44D8E"/>
    <w:rsid w:val="00F46255"/>
    <w:rsid w:val="00F47398"/>
    <w:rsid w:val="00F478ED"/>
    <w:rsid w:val="00F47DC5"/>
    <w:rsid w:val="00F50665"/>
    <w:rsid w:val="00F50A23"/>
    <w:rsid w:val="00F50CDB"/>
    <w:rsid w:val="00F50E9F"/>
    <w:rsid w:val="00F51174"/>
    <w:rsid w:val="00F518F3"/>
    <w:rsid w:val="00F51B7C"/>
    <w:rsid w:val="00F52CD2"/>
    <w:rsid w:val="00F5367B"/>
    <w:rsid w:val="00F54B12"/>
    <w:rsid w:val="00F55403"/>
    <w:rsid w:val="00F55934"/>
    <w:rsid w:val="00F5608F"/>
    <w:rsid w:val="00F6027C"/>
    <w:rsid w:val="00F60415"/>
    <w:rsid w:val="00F60DAD"/>
    <w:rsid w:val="00F60DE0"/>
    <w:rsid w:val="00F60F20"/>
    <w:rsid w:val="00F617DE"/>
    <w:rsid w:val="00F61846"/>
    <w:rsid w:val="00F6194D"/>
    <w:rsid w:val="00F61E53"/>
    <w:rsid w:val="00F61F8E"/>
    <w:rsid w:val="00F62233"/>
    <w:rsid w:val="00F6251B"/>
    <w:rsid w:val="00F626C6"/>
    <w:rsid w:val="00F62CF6"/>
    <w:rsid w:val="00F63405"/>
    <w:rsid w:val="00F63C7A"/>
    <w:rsid w:val="00F64156"/>
    <w:rsid w:val="00F65038"/>
    <w:rsid w:val="00F6576A"/>
    <w:rsid w:val="00F65925"/>
    <w:rsid w:val="00F6658A"/>
    <w:rsid w:val="00F66924"/>
    <w:rsid w:val="00F66F13"/>
    <w:rsid w:val="00F66FA6"/>
    <w:rsid w:val="00F67BD1"/>
    <w:rsid w:val="00F70293"/>
    <w:rsid w:val="00F708A1"/>
    <w:rsid w:val="00F70C8A"/>
    <w:rsid w:val="00F71087"/>
    <w:rsid w:val="00F71242"/>
    <w:rsid w:val="00F71C01"/>
    <w:rsid w:val="00F721AC"/>
    <w:rsid w:val="00F7246A"/>
    <w:rsid w:val="00F732FF"/>
    <w:rsid w:val="00F73A04"/>
    <w:rsid w:val="00F743A3"/>
    <w:rsid w:val="00F74A72"/>
    <w:rsid w:val="00F74A9D"/>
    <w:rsid w:val="00F74DE7"/>
    <w:rsid w:val="00F74E5A"/>
    <w:rsid w:val="00F751B6"/>
    <w:rsid w:val="00F76A83"/>
    <w:rsid w:val="00F77105"/>
    <w:rsid w:val="00F774C8"/>
    <w:rsid w:val="00F802C8"/>
    <w:rsid w:val="00F80B7B"/>
    <w:rsid w:val="00F81D96"/>
    <w:rsid w:val="00F826E7"/>
    <w:rsid w:val="00F82C6C"/>
    <w:rsid w:val="00F83950"/>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1ACA"/>
    <w:rsid w:val="00F91D8C"/>
    <w:rsid w:val="00F91FB8"/>
    <w:rsid w:val="00F921C0"/>
    <w:rsid w:val="00F92282"/>
    <w:rsid w:val="00F9337A"/>
    <w:rsid w:val="00F93967"/>
    <w:rsid w:val="00F9402E"/>
    <w:rsid w:val="00F944B3"/>
    <w:rsid w:val="00F960B1"/>
    <w:rsid w:val="00F962B4"/>
    <w:rsid w:val="00F96C14"/>
    <w:rsid w:val="00F96CF3"/>
    <w:rsid w:val="00F972B0"/>
    <w:rsid w:val="00FA0210"/>
    <w:rsid w:val="00FA08D8"/>
    <w:rsid w:val="00FA0A55"/>
    <w:rsid w:val="00FA2BC5"/>
    <w:rsid w:val="00FA2BF8"/>
    <w:rsid w:val="00FA381D"/>
    <w:rsid w:val="00FA3AA3"/>
    <w:rsid w:val="00FA3D00"/>
    <w:rsid w:val="00FA3F17"/>
    <w:rsid w:val="00FA4324"/>
    <w:rsid w:val="00FA4C1F"/>
    <w:rsid w:val="00FA5070"/>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163"/>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D7"/>
    <w:rsid w:val="00FB66D9"/>
    <w:rsid w:val="00FB74E5"/>
    <w:rsid w:val="00FC0D59"/>
    <w:rsid w:val="00FC1673"/>
    <w:rsid w:val="00FC1A3D"/>
    <w:rsid w:val="00FC1A5C"/>
    <w:rsid w:val="00FC1C53"/>
    <w:rsid w:val="00FC1D2A"/>
    <w:rsid w:val="00FC2B88"/>
    <w:rsid w:val="00FC2D03"/>
    <w:rsid w:val="00FC2D4C"/>
    <w:rsid w:val="00FC30D1"/>
    <w:rsid w:val="00FC39EA"/>
    <w:rsid w:val="00FC469C"/>
    <w:rsid w:val="00FC4943"/>
    <w:rsid w:val="00FC49E0"/>
    <w:rsid w:val="00FC4AA6"/>
    <w:rsid w:val="00FC56B8"/>
    <w:rsid w:val="00FC56FC"/>
    <w:rsid w:val="00FC5CFE"/>
    <w:rsid w:val="00FC60B8"/>
    <w:rsid w:val="00FC6DE6"/>
    <w:rsid w:val="00FC6E48"/>
    <w:rsid w:val="00FD0A9D"/>
    <w:rsid w:val="00FD0A9E"/>
    <w:rsid w:val="00FD0F14"/>
    <w:rsid w:val="00FD15AF"/>
    <w:rsid w:val="00FD15EC"/>
    <w:rsid w:val="00FD2F1A"/>
    <w:rsid w:val="00FD3053"/>
    <w:rsid w:val="00FD32A4"/>
    <w:rsid w:val="00FD3715"/>
    <w:rsid w:val="00FD37D0"/>
    <w:rsid w:val="00FD3DE0"/>
    <w:rsid w:val="00FD3FA0"/>
    <w:rsid w:val="00FD440C"/>
    <w:rsid w:val="00FD4EC8"/>
    <w:rsid w:val="00FD5684"/>
    <w:rsid w:val="00FD5E81"/>
    <w:rsid w:val="00FD5FF0"/>
    <w:rsid w:val="00FD623D"/>
    <w:rsid w:val="00FD711C"/>
    <w:rsid w:val="00FD7F01"/>
    <w:rsid w:val="00FD7F02"/>
    <w:rsid w:val="00FE0775"/>
    <w:rsid w:val="00FE0F88"/>
    <w:rsid w:val="00FE1480"/>
    <w:rsid w:val="00FE2400"/>
    <w:rsid w:val="00FE2C02"/>
    <w:rsid w:val="00FE32CB"/>
    <w:rsid w:val="00FE3782"/>
    <w:rsid w:val="00FE3A6A"/>
    <w:rsid w:val="00FE3AC5"/>
    <w:rsid w:val="00FE44CF"/>
    <w:rsid w:val="00FE46EE"/>
    <w:rsid w:val="00FE4721"/>
    <w:rsid w:val="00FE4977"/>
    <w:rsid w:val="00FE4D2A"/>
    <w:rsid w:val="00FE4FA0"/>
    <w:rsid w:val="00FE4FD0"/>
    <w:rsid w:val="00FE5051"/>
    <w:rsid w:val="00FE53DC"/>
    <w:rsid w:val="00FE547D"/>
    <w:rsid w:val="00FE566B"/>
    <w:rsid w:val="00FE5839"/>
    <w:rsid w:val="00FE5B58"/>
    <w:rsid w:val="00FE6030"/>
    <w:rsid w:val="00FE6E80"/>
    <w:rsid w:val="00FE74F1"/>
    <w:rsid w:val="00FF02E4"/>
    <w:rsid w:val="00FF0471"/>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0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character" w:customStyle="1" w:styleId="reflex3-alt">
    <w:name w:val="reflex3-alt"/>
    <w:basedOn w:val="DefaultParagraphFont"/>
    <w:rsid w:val="00184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7469" TargetMode="External"/><Relationship Id="rId13" Type="http://schemas.openxmlformats.org/officeDocument/2006/relationships/hyperlink" Target="https://www.scc-csc.ca/case-dossier/info/sum-som-eng.aspx?cas=38571" TargetMode="External"/><Relationship Id="rId18" Type="http://schemas.openxmlformats.org/officeDocument/2006/relationships/hyperlink" Target="https://www.canlii.org/fr/ca/cci/doc/2017/2017cci82/2017cci82.html" TargetMode="External"/><Relationship Id="rId26" Type="http://schemas.openxmlformats.org/officeDocument/2006/relationships/hyperlink" Target="https://www.canlii.org/en/on/onsc/doc/2016/2016onsc7604/2016onsc7604.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anlii.org/en/ca/fca/doc/2019/2019fca34/2019fca34.html?searchUrlHash=AAAAAQALMjAxOSBGQ0EgMzQAAAAAAQ&amp;resultIndex=1"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scc-csc.ca/case-dossier/info/sum-som-eng.aspx?cas=38509" TargetMode="External"/><Relationship Id="rId17" Type="http://schemas.openxmlformats.org/officeDocument/2006/relationships/hyperlink" Target="https://www.canlii.org/en/ca/fca/doc/2019/2019fca19/2019fca19.html?autocompleteStr=2019%20FCA%2019&amp;autocompletePos=1" TargetMode="External"/><Relationship Id="rId25" Type="http://schemas.openxmlformats.org/officeDocument/2006/relationships/hyperlink" Target="https://www.canlii.org/en/ca/fca/doc/2019/2019fca10/2019fca10.html?autocompleteStr=2019%20FCA%2010&amp;autocompletePos=1"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canlii.org/en/ca/tcc/doc/2017/2017tcc82/2017tcc82.html?autocompleteStr=2017%20TCC%2082&amp;autocompletePos=1" TargetMode="External"/><Relationship Id="rId20" Type="http://schemas.openxmlformats.org/officeDocument/2006/relationships/hyperlink" Target="https://www.canlii.org/en/ca/fct/doc/2017/2017fc522/2017fc522.html" TargetMode="External"/><Relationship Id="rId29" Type="http://schemas.openxmlformats.org/officeDocument/2006/relationships/hyperlink" Target="https://www.canlii.org/en/on/onca/doc/2018/2018onca903/2018onca903.html?autocompleteStr=2018%20ONCA%20903&amp;autocompletePos=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550" TargetMode="External"/><Relationship Id="rId24" Type="http://schemas.openxmlformats.org/officeDocument/2006/relationships/hyperlink" Target="https://www.canlii.org/en/ca/fca/doc/2019/2019fca10/2019fca10.html?autocompleteStr=2019%20FCA%2010&amp;autocompletePos=1" TargetMode="External"/><Relationship Id="rId32" Type="http://schemas.openxmlformats.org/officeDocument/2006/relationships/hyperlink" Target="mailto:comments-commentaires@scc-csc.ca"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nlii.org/en/bc/bcca/doc/2017/2017bcca52/2017bcca52.html?resultIndex=1" TargetMode="External"/><Relationship Id="rId23" Type="http://schemas.openxmlformats.org/officeDocument/2006/relationships/hyperlink" Target="https://www.canlii.org/en/ca/fca/doc/2019/2019fca34/2019fca34.html?searchUrlHash=AAAAAQALMjAxOSBGQ0EgMzQAAAAAAQ&amp;resultIndex=1" TargetMode="External"/><Relationship Id="rId28" Type="http://schemas.openxmlformats.org/officeDocument/2006/relationships/hyperlink" Target="https://www.canlii.org/en/on/onsc/doc/2016/2016onsc7604/2016onsc7604.html" TargetMode="External"/><Relationship Id="rId36" Type="http://schemas.openxmlformats.org/officeDocument/2006/relationships/footer" Target="footer2.xml"/><Relationship Id="rId10" Type="http://schemas.openxmlformats.org/officeDocument/2006/relationships/hyperlink" Target="https://www.scc-csc.ca/case-dossier/info/sum-som-eng.aspx?cas=38589" TargetMode="External"/><Relationship Id="rId19" Type="http://schemas.openxmlformats.org/officeDocument/2006/relationships/hyperlink" Target="https://www.canlii.org/en/ca/fca/doc/2019/2019fca19/2019fca19.html?autocompleteStr=2019%20FCA%2019&amp;autocompletePos=1" TargetMode="External"/><Relationship Id="rId31" Type="http://schemas.openxmlformats.org/officeDocument/2006/relationships/hyperlink" Target="https://www.canlii.org/en/ab/abca/doc/2019/2019abca32/2019abca32.html?autocompleteStr=2019%20ABCA%2032&amp;autocompletePos=1" TargetMode="External"/><Relationship Id="rId4" Type="http://schemas.openxmlformats.org/officeDocument/2006/relationships/settings" Target="settings.xml"/><Relationship Id="rId9" Type="http://schemas.openxmlformats.org/officeDocument/2006/relationships/hyperlink" Target="https://www.scc-csc.ca/case-dossier/info/sum-som-eng.aspx?cas=38578" TargetMode="External"/><Relationship Id="rId14" Type="http://schemas.openxmlformats.org/officeDocument/2006/relationships/hyperlink" Target="https://www.canlii.org/en/bc/bcca/doc/2017/2017bcca52/2017bcca52.html?resultIndex=1" TargetMode="External"/><Relationship Id="rId22" Type="http://schemas.openxmlformats.org/officeDocument/2006/relationships/hyperlink" Target="https://www.canlii.org/fr/ca/cfpi/doc/2017/2017cf522/2017cf522.html" TargetMode="External"/><Relationship Id="rId27" Type="http://schemas.openxmlformats.org/officeDocument/2006/relationships/hyperlink" Target="https://www.canlii.org/en/on/onca/doc/2018/2018onca903/2018onca903.html?autocompleteStr=2018%20ONCA%20903&amp;autocompletePos=1" TargetMode="External"/><Relationship Id="rId30" Type="http://schemas.openxmlformats.org/officeDocument/2006/relationships/hyperlink" Target="https://www.canlii.org/en/ab/abca/doc/2019/2019abca32/2019abca32.html?autocompleteStr=2019%20ABCA%2032&amp;autocompletePos=1"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3445E-22F3-4D7C-9E18-9B01E4E37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4568</Words>
  <Characters>26039</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30546</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2019-07-05T15:00:00Z</dcterms:created>
  <dcterms:modified xsi:type="dcterms:W3CDTF">2019-07-05T15:48:00Z</dcterms:modified>
</cp:coreProperties>
</file>