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C2011" w:rsidRDefault="003F43E6" w:rsidP="003F43E6">
      <w:pPr>
        <w:pStyle w:val="Header"/>
        <w:jc w:val="center"/>
        <w:rPr>
          <w:b/>
          <w:sz w:val="32"/>
        </w:rPr>
      </w:pPr>
      <w:r w:rsidRPr="006C2011">
        <w:rPr>
          <w:b/>
          <w:sz w:val="32"/>
        </w:rPr>
        <w:t>Supreme Court of Canada / Cour suprême du Canada</w:t>
      </w:r>
    </w:p>
    <w:p w:rsidR="003F43E6" w:rsidRPr="006C2011" w:rsidRDefault="003F43E6" w:rsidP="006F2579">
      <w:pPr>
        <w:widowControl w:val="0"/>
        <w:rPr>
          <w:i/>
        </w:rPr>
      </w:pPr>
    </w:p>
    <w:p w:rsidR="003F43E6" w:rsidRPr="006C2011" w:rsidRDefault="003F43E6" w:rsidP="006F2579">
      <w:pPr>
        <w:widowControl w:val="0"/>
        <w:rPr>
          <w:i/>
        </w:rPr>
      </w:pPr>
    </w:p>
    <w:p w:rsidR="006F2579" w:rsidRPr="00E37DE3" w:rsidRDefault="006F2579" w:rsidP="006F2579">
      <w:pPr>
        <w:widowControl w:val="0"/>
        <w:rPr>
          <w:i/>
          <w:sz w:val="20"/>
        </w:rPr>
      </w:pPr>
      <w:r w:rsidRPr="00E37DE3">
        <w:rPr>
          <w:i/>
          <w:sz w:val="20"/>
        </w:rPr>
        <w:t>(</w:t>
      </w:r>
      <w:r w:rsidR="00E37DE3" w:rsidRPr="00E37DE3">
        <w:rPr>
          <w:i/>
          <w:sz w:val="20"/>
        </w:rPr>
        <w:t>L</w:t>
      </w:r>
      <w:r w:rsidRPr="00E37DE3">
        <w:rPr>
          <w:i/>
          <w:sz w:val="20"/>
        </w:rPr>
        <w:t>e français suit)</w:t>
      </w:r>
    </w:p>
    <w:p w:rsidR="006F2579" w:rsidRPr="006C2011" w:rsidRDefault="006F2579" w:rsidP="006F2579">
      <w:pPr>
        <w:widowControl w:val="0"/>
      </w:pPr>
    </w:p>
    <w:p w:rsidR="006F2579" w:rsidRPr="006C2011" w:rsidRDefault="00D01D61" w:rsidP="006F2579">
      <w:pPr>
        <w:widowControl w:val="0"/>
        <w:jc w:val="center"/>
        <w:rPr>
          <w:b/>
        </w:rPr>
      </w:pPr>
      <w:r w:rsidRPr="006C2011">
        <w:fldChar w:fldCharType="begin"/>
      </w:r>
      <w:r w:rsidR="006F2579" w:rsidRPr="006C2011">
        <w:instrText xml:space="preserve"> SEQ CHAPTER \h \r 1</w:instrText>
      </w:r>
      <w:r w:rsidRPr="006C2011">
        <w:fldChar w:fldCharType="end"/>
      </w:r>
      <w:r w:rsidR="002767DF" w:rsidRPr="006C2011">
        <w:rPr>
          <w:b/>
        </w:rPr>
        <w:t xml:space="preserve">JUDGMENTS </w:t>
      </w:r>
      <w:r w:rsidR="004C4C26" w:rsidRPr="006C2011">
        <w:rPr>
          <w:b/>
        </w:rPr>
        <w:t xml:space="preserve">IN APPEAL AND LEAVE </w:t>
      </w:r>
      <w:r w:rsidR="004C4C26" w:rsidRPr="0013525B">
        <w:rPr>
          <w:b/>
        </w:rPr>
        <w:t>APPLIC</w:t>
      </w:r>
      <w:r w:rsidR="002E6185" w:rsidRPr="0013525B">
        <w:rPr>
          <w:b/>
        </w:rPr>
        <w:t>A</w:t>
      </w:r>
      <w:r w:rsidR="004C4C26" w:rsidRPr="0013525B">
        <w:rPr>
          <w:b/>
        </w:rPr>
        <w:t>TION</w:t>
      </w:r>
      <w:r w:rsidR="00A35C4D" w:rsidRPr="0013525B">
        <w:rPr>
          <w:b/>
        </w:rPr>
        <w:t>S</w:t>
      </w:r>
    </w:p>
    <w:p w:rsidR="006F2579" w:rsidRPr="0072546E" w:rsidRDefault="006F2579" w:rsidP="006F2579">
      <w:pPr>
        <w:widowControl w:val="0"/>
      </w:pPr>
    </w:p>
    <w:p w:rsidR="006F2579" w:rsidRPr="0013525B" w:rsidRDefault="0013525B" w:rsidP="006F2579">
      <w:pPr>
        <w:widowControl w:val="0"/>
      </w:pPr>
      <w:r w:rsidRPr="0013525B">
        <w:rPr>
          <w:b/>
        </w:rPr>
        <w:t>November</w:t>
      </w:r>
      <w:r w:rsidR="00372704" w:rsidRPr="0013525B">
        <w:rPr>
          <w:b/>
        </w:rPr>
        <w:t xml:space="preserve"> </w:t>
      </w:r>
      <w:r w:rsidRPr="0013525B">
        <w:rPr>
          <w:b/>
        </w:rPr>
        <w:t>28</w:t>
      </w:r>
      <w:r w:rsidR="002E4682" w:rsidRPr="0013525B">
        <w:rPr>
          <w:b/>
        </w:rPr>
        <w:t>, 201</w:t>
      </w:r>
      <w:r w:rsidR="00B96728" w:rsidRPr="0013525B">
        <w:rPr>
          <w:b/>
        </w:rPr>
        <w:t>9</w:t>
      </w:r>
      <w:r w:rsidR="00A02D70" w:rsidRPr="0013525B">
        <w:rPr>
          <w:color w:val="365F91" w:themeColor="accent1" w:themeShade="BF"/>
          <w:sz w:val="16"/>
          <w:szCs w:val="16"/>
        </w:rPr>
        <w:t xml:space="preserve"> </w:t>
      </w:r>
    </w:p>
    <w:p w:rsidR="006F2579" w:rsidRPr="006C2011" w:rsidRDefault="006F2579" w:rsidP="006F2579">
      <w:pPr>
        <w:widowControl w:val="0"/>
        <w:rPr>
          <w:b/>
        </w:rPr>
      </w:pPr>
      <w:r w:rsidRPr="0013525B">
        <w:rPr>
          <w:b/>
        </w:rPr>
        <w:t>For immediate</w:t>
      </w:r>
      <w:r w:rsidRPr="006C2011">
        <w:rPr>
          <w:b/>
        </w:rPr>
        <w:t xml:space="preserve"> release</w:t>
      </w:r>
    </w:p>
    <w:p w:rsidR="006F2579" w:rsidRPr="006C2011" w:rsidRDefault="006F2579" w:rsidP="006F2579">
      <w:pPr>
        <w:widowControl w:val="0"/>
      </w:pPr>
    </w:p>
    <w:p w:rsidR="002767DF" w:rsidRPr="006C2011" w:rsidRDefault="002767DF" w:rsidP="002767DF">
      <w:pPr>
        <w:widowControl w:val="0"/>
      </w:pPr>
      <w:r w:rsidRPr="006C2011">
        <w:rPr>
          <w:b/>
        </w:rPr>
        <w:t>OTTAWA</w:t>
      </w:r>
      <w:r w:rsidRPr="006C2011">
        <w:t xml:space="preserve"> – The Supreme Court of Canada has today deposited with the Registrar judgment</w:t>
      </w:r>
      <w:r w:rsidR="00320863" w:rsidRPr="006C2011">
        <w:t>s</w:t>
      </w:r>
      <w:r w:rsidRPr="006C2011">
        <w:t xml:space="preserve"> in the following appeal and </w:t>
      </w:r>
      <w:r w:rsidR="009B2F43">
        <w:t xml:space="preserve">leave </w:t>
      </w:r>
      <w:r w:rsidRPr="0013525B">
        <w:t>application</w:t>
      </w:r>
      <w:r w:rsidR="00CC044F" w:rsidRPr="0013525B">
        <w:t>s</w:t>
      </w:r>
      <w:r w:rsidRPr="0013525B">
        <w:t>.</w:t>
      </w:r>
    </w:p>
    <w:p w:rsidR="006F2579" w:rsidRPr="006C2011" w:rsidRDefault="006F2579" w:rsidP="006F2579">
      <w:pPr>
        <w:widowControl w:val="0"/>
      </w:pPr>
    </w:p>
    <w:p w:rsidR="006F2579" w:rsidRPr="006C2011" w:rsidRDefault="006F2579" w:rsidP="006F2579">
      <w:pPr>
        <w:widowControl w:val="0"/>
      </w:pPr>
    </w:p>
    <w:p w:rsidR="002767DF" w:rsidRPr="006C2011" w:rsidRDefault="002767DF" w:rsidP="002767DF">
      <w:pPr>
        <w:widowControl w:val="0"/>
        <w:jc w:val="center"/>
        <w:rPr>
          <w:lang w:val="fr-CA"/>
        </w:rPr>
      </w:pPr>
      <w:r w:rsidRPr="006C2011">
        <w:rPr>
          <w:b/>
          <w:lang w:val="fr-CA"/>
        </w:rPr>
        <w:t>JUGEMENT</w:t>
      </w:r>
      <w:r w:rsidR="004C4C26" w:rsidRPr="006C2011">
        <w:rPr>
          <w:b/>
          <w:lang w:val="fr-CA"/>
        </w:rPr>
        <w:t xml:space="preserve">S SUR APPEL ET </w:t>
      </w:r>
      <w:r w:rsidR="004C4C26" w:rsidRPr="0013525B">
        <w:rPr>
          <w:b/>
          <w:lang w:val="fr-CA"/>
        </w:rPr>
        <w:t>DEMANDE</w:t>
      </w:r>
      <w:r w:rsidR="00CC044F" w:rsidRPr="0013525B">
        <w:rPr>
          <w:b/>
          <w:lang w:val="fr-CA"/>
        </w:rPr>
        <w:t>S</w:t>
      </w:r>
      <w:r w:rsidRPr="0013525B">
        <w:rPr>
          <w:b/>
          <w:lang w:val="fr-CA"/>
        </w:rPr>
        <w:t xml:space="preserve"> D’AUTORISATION</w:t>
      </w:r>
    </w:p>
    <w:p w:rsidR="006F2579" w:rsidRPr="006C2011" w:rsidRDefault="006F2579" w:rsidP="006F2579">
      <w:pPr>
        <w:widowControl w:val="0"/>
        <w:rPr>
          <w:lang w:val="fr-CA"/>
        </w:rPr>
      </w:pPr>
    </w:p>
    <w:p w:rsidR="006F2579" w:rsidRPr="0013525B" w:rsidRDefault="006F2579" w:rsidP="006F2579">
      <w:pPr>
        <w:widowControl w:val="0"/>
        <w:rPr>
          <w:lang w:val="fr-CA"/>
        </w:rPr>
      </w:pPr>
      <w:r w:rsidRPr="0013525B">
        <w:rPr>
          <w:b/>
          <w:lang w:val="fr-CA"/>
        </w:rPr>
        <w:t>Le</w:t>
      </w:r>
      <w:r w:rsidR="008825DB" w:rsidRPr="0013525B">
        <w:rPr>
          <w:b/>
          <w:lang w:val="fr-CA"/>
        </w:rPr>
        <w:t xml:space="preserve"> </w:t>
      </w:r>
      <w:r w:rsidR="0013525B" w:rsidRPr="0013525B">
        <w:rPr>
          <w:b/>
          <w:lang w:val="fr-CA"/>
        </w:rPr>
        <w:t>28 novembre</w:t>
      </w:r>
      <w:r w:rsidR="002E4682" w:rsidRPr="0013525B">
        <w:rPr>
          <w:b/>
          <w:lang w:val="fr-CA"/>
        </w:rPr>
        <w:t xml:space="preserve"> </w:t>
      </w:r>
      <w:r w:rsidR="008825DB" w:rsidRPr="0013525B">
        <w:rPr>
          <w:b/>
          <w:lang w:val="fr-CA"/>
        </w:rPr>
        <w:t>201</w:t>
      </w:r>
      <w:r w:rsidR="00B96728" w:rsidRPr="0013525B">
        <w:rPr>
          <w:b/>
          <w:lang w:val="fr-CA"/>
        </w:rPr>
        <w:t>9</w:t>
      </w:r>
    </w:p>
    <w:p w:rsidR="006F2579" w:rsidRPr="006C2011" w:rsidRDefault="006F2579" w:rsidP="006F2579">
      <w:pPr>
        <w:widowControl w:val="0"/>
        <w:rPr>
          <w:b/>
          <w:lang w:val="fr-CA"/>
        </w:rPr>
      </w:pPr>
      <w:r w:rsidRPr="0013525B">
        <w:rPr>
          <w:b/>
          <w:lang w:val="fr-CA"/>
        </w:rPr>
        <w:t>Pour diffusion</w:t>
      </w:r>
      <w:r w:rsidRPr="006C2011">
        <w:rPr>
          <w:b/>
          <w:lang w:val="fr-CA"/>
        </w:rPr>
        <w:t xml:space="preserve"> immédiate</w:t>
      </w:r>
    </w:p>
    <w:p w:rsidR="006F2579" w:rsidRPr="00B13CAD" w:rsidRDefault="006F2579" w:rsidP="006F2579">
      <w:pPr>
        <w:widowControl w:val="0"/>
        <w:rPr>
          <w:sz w:val="20"/>
          <w:lang w:val="fr-CA"/>
        </w:rPr>
      </w:pPr>
    </w:p>
    <w:p w:rsidR="002767DF" w:rsidRPr="006C2011" w:rsidRDefault="002767DF" w:rsidP="002767DF">
      <w:pPr>
        <w:widowControl w:val="0"/>
        <w:rPr>
          <w:lang w:val="fr-CA"/>
        </w:rPr>
      </w:pPr>
      <w:r w:rsidRPr="006C2011">
        <w:rPr>
          <w:b/>
          <w:lang w:val="fr-CA"/>
        </w:rPr>
        <w:t>OTTAWA</w:t>
      </w:r>
      <w:r w:rsidRPr="006C2011">
        <w:rPr>
          <w:lang w:val="fr-CA"/>
        </w:rPr>
        <w:t xml:space="preserve"> – La Cour suprême du Canada a déposé aujourd’hui auprès du registraire les jugement</w:t>
      </w:r>
      <w:r w:rsidR="005D2479" w:rsidRPr="006C2011">
        <w:rPr>
          <w:lang w:val="fr-CA"/>
        </w:rPr>
        <w:t>s</w:t>
      </w:r>
      <w:r w:rsidRPr="006C2011">
        <w:rPr>
          <w:lang w:val="fr-CA"/>
        </w:rPr>
        <w:t xml:space="preserve"> dans l</w:t>
      </w:r>
      <w:r w:rsidR="00DF6BD5" w:rsidRPr="006C2011">
        <w:rPr>
          <w:lang w:val="fr-CA"/>
        </w:rPr>
        <w:t>’</w:t>
      </w:r>
      <w:r w:rsidRPr="006C2011">
        <w:rPr>
          <w:lang w:val="fr-CA"/>
        </w:rPr>
        <w:t>appel</w:t>
      </w:r>
      <w:r w:rsidR="00DF6BD5" w:rsidRPr="006C2011">
        <w:rPr>
          <w:lang w:val="fr-CA"/>
        </w:rPr>
        <w:t xml:space="preserve"> </w:t>
      </w:r>
      <w:r w:rsidRPr="006C2011">
        <w:rPr>
          <w:lang w:val="fr-CA"/>
        </w:rPr>
        <w:t>et</w:t>
      </w:r>
      <w:r w:rsidR="00CC044F" w:rsidRPr="006C2011">
        <w:rPr>
          <w:lang w:val="fr-CA"/>
        </w:rPr>
        <w:t xml:space="preserve"> </w:t>
      </w:r>
      <w:r w:rsidR="004C4C26" w:rsidRPr="006C2011">
        <w:rPr>
          <w:lang w:val="fr-CA"/>
        </w:rPr>
        <w:t>demand</w:t>
      </w:r>
      <w:r w:rsidR="004C4C26" w:rsidRPr="0013525B">
        <w:rPr>
          <w:lang w:val="fr-CA"/>
        </w:rPr>
        <w:t>e</w:t>
      </w:r>
      <w:r w:rsidR="00CC044F" w:rsidRPr="0013525B">
        <w:rPr>
          <w:lang w:val="fr-CA"/>
        </w:rPr>
        <w:t>s</w:t>
      </w:r>
      <w:r w:rsidRPr="006C2011">
        <w:rPr>
          <w:lang w:val="fr-CA"/>
        </w:rPr>
        <w:t xml:space="preserve"> d’autorisation suiv</w:t>
      </w:r>
      <w:r w:rsidR="00B466A3">
        <w:rPr>
          <w:lang w:val="fr-CA"/>
        </w:rPr>
        <w:t>a</w:t>
      </w:r>
      <w:r w:rsidRPr="006C2011">
        <w:rPr>
          <w:lang w:val="fr-CA"/>
        </w:rPr>
        <w:t>nt</w:t>
      </w:r>
      <w:r w:rsidR="00B466A3">
        <w:rPr>
          <w:lang w:val="fr-CA"/>
        </w:rPr>
        <w:t>s</w:t>
      </w:r>
      <w:r w:rsidRPr="006C2011">
        <w:rPr>
          <w:lang w:val="fr-CA"/>
        </w:rPr>
        <w:t>.</w:t>
      </w:r>
    </w:p>
    <w:p w:rsidR="002767DF" w:rsidRPr="00B13CAD" w:rsidRDefault="002767DF" w:rsidP="002767DF">
      <w:pPr>
        <w:widowControl w:val="0"/>
        <w:rPr>
          <w:szCs w:val="24"/>
          <w:lang w:val="fr-CA"/>
        </w:rPr>
      </w:pPr>
    </w:p>
    <w:p w:rsidR="002767DF" w:rsidRPr="00467D4A" w:rsidRDefault="00467D4A" w:rsidP="002767DF">
      <w:pPr>
        <w:widowControl w:val="0"/>
        <w:rPr>
          <w:szCs w:val="24"/>
          <w:lang w:val="fr-CA"/>
        </w:rPr>
      </w:pPr>
      <w:r w:rsidRPr="00467D4A">
        <w:rPr>
          <w:szCs w:val="24"/>
          <w:lang w:val="fr-CA"/>
        </w:rPr>
        <w:pict>
          <v:rect id="_x0000_i1025" style="width:108pt;height:1pt" o:hrpct="0" o:hralign="center" o:hrstd="t" o:hrnoshade="t" o:hr="t" fillcolor="black [3213]" stroked="f"/>
        </w:pict>
      </w:r>
    </w:p>
    <w:p w:rsidR="002767DF" w:rsidRPr="00467D4A" w:rsidRDefault="002767DF" w:rsidP="002767DF">
      <w:pPr>
        <w:widowControl w:val="0"/>
        <w:jc w:val="both"/>
        <w:rPr>
          <w:szCs w:val="24"/>
          <w:lang w:val="fr-CA"/>
        </w:rPr>
      </w:pPr>
    </w:p>
    <w:p w:rsidR="002767DF" w:rsidRPr="00467D4A" w:rsidRDefault="002767DF" w:rsidP="002767DF">
      <w:pPr>
        <w:outlineLvl w:val="0"/>
        <w:rPr>
          <w:b/>
          <w:szCs w:val="24"/>
        </w:rPr>
      </w:pPr>
      <w:r w:rsidRPr="00467D4A">
        <w:rPr>
          <w:b/>
          <w:szCs w:val="24"/>
        </w:rPr>
        <w:t>APPEAL / APPEL</w:t>
      </w:r>
    </w:p>
    <w:p w:rsidR="002767DF" w:rsidRPr="00467D4A" w:rsidRDefault="002767DF" w:rsidP="002767DF">
      <w:pPr>
        <w:rPr>
          <w:szCs w:val="24"/>
        </w:rPr>
      </w:pPr>
    </w:p>
    <w:p w:rsidR="00B1256C" w:rsidRPr="00467D4A" w:rsidRDefault="008A5E61" w:rsidP="008A5E61">
      <w:pPr>
        <w:tabs>
          <w:tab w:val="left" w:pos="720"/>
          <w:tab w:val="left" w:pos="1296"/>
          <w:tab w:val="left" w:pos="2160"/>
          <w:tab w:val="left" w:pos="2880"/>
          <w:tab w:val="left" w:pos="4320"/>
          <w:tab w:val="left" w:pos="10224"/>
          <w:tab w:val="left" w:pos="11376"/>
        </w:tabs>
        <w:jc w:val="both"/>
        <w:rPr>
          <w:lang w:val="fr-CA"/>
        </w:rPr>
      </w:pPr>
      <w:r w:rsidRPr="00467D4A">
        <w:rPr>
          <w:lang w:val="fr-CA"/>
        </w:rPr>
        <w:t xml:space="preserve">The </w:t>
      </w:r>
      <w:hyperlink r:id="rId7" w:history="1">
        <w:r w:rsidRPr="00467D4A">
          <w:rPr>
            <w:rStyle w:val="Hyperlink"/>
            <w:lang w:val="fr-CA"/>
          </w:rPr>
          <w:t>r</w:t>
        </w:r>
        <w:r w:rsidR="00347EF8" w:rsidRPr="00467D4A">
          <w:rPr>
            <w:rStyle w:val="Hyperlink"/>
            <w:lang w:val="fr-CA"/>
          </w:rPr>
          <w:t>easons for j</w:t>
        </w:r>
        <w:r w:rsidR="002767DF" w:rsidRPr="00467D4A">
          <w:rPr>
            <w:rStyle w:val="Hyperlink"/>
            <w:lang w:val="fr-CA"/>
          </w:rPr>
          <w:t>udgment</w:t>
        </w:r>
      </w:hyperlink>
      <w:r w:rsidR="002767DF" w:rsidRPr="00467D4A">
        <w:rPr>
          <w:lang w:val="fr-CA"/>
        </w:rPr>
        <w:t xml:space="preserve"> will be available shortly</w:t>
      </w:r>
      <w:r w:rsidRPr="00467D4A">
        <w:rPr>
          <w:lang w:val="fr-CA"/>
        </w:rPr>
        <w:t>.</w:t>
      </w:r>
      <w:r w:rsidR="002767DF" w:rsidRPr="00467D4A">
        <w:rPr>
          <w:lang w:val="fr-CA"/>
        </w:rPr>
        <w:t xml:space="preserve"> / </w:t>
      </w:r>
      <w:r w:rsidRPr="00467D4A">
        <w:rPr>
          <w:lang w:val="fr-CA"/>
        </w:rPr>
        <w:t xml:space="preserve">Les </w:t>
      </w:r>
      <w:hyperlink r:id="rId8" w:history="1">
        <w:r w:rsidRPr="00467D4A">
          <w:rPr>
            <w:rStyle w:val="Hyperlink"/>
            <w:lang w:val="fr-CA"/>
          </w:rPr>
          <w:t>m</w:t>
        </w:r>
        <w:r w:rsidR="00347EF8" w:rsidRPr="00467D4A">
          <w:rPr>
            <w:rStyle w:val="Hyperlink"/>
            <w:lang w:val="fr-CA"/>
          </w:rPr>
          <w:t>otifs de</w:t>
        </w:r>
        <w:r w:rsidR="00623896" w:rsidRPr="00467D4A">
          <w:rPr>
            <w:rStyle w:val="Hyperlink"/>
            <w:lang w:val="fr-CA"/>
          </w:rPr>
          <w:t xml:space="preserve"> jugement</w:t>
        </w:r>
      </w:hyperlink>
      <w:r w:rsidR="00623896" w:rsidRPr="00467D4A">
        <w:rPr>
          <w:lang w:val="fr-CA"/>
        </w:rPr>
        <w:t xml:space="preserve"> </w:t>
      </w:r>
      <w:r w:rsidRPr="00467D4A">
        <w:rPr>
          <w:lang w:val="fr-CA"/>
        </w:rPr>
        <w:t xml:space="preserve">seront </w:t>
      </w:r>
      <w:r w:rsidR="003413DF" w:rsidRPr="00467D4A">
        <w:rPr>
          <w:lang w:val="fr-CA"/>
        </w:rPr>
        <w:t>disponible</w:t>
      </w:r>
      <w:r w:rsidR="000D01C7" w:rsidRPr="00467D4A">
        <w:rPr>
          <w:lang w:val="fr-CA"/>
        </w:rPr>
        <w:t>s</w:t>
      </w:r>
      <w:r w:rsidR="002767DF" w:rsidRPr="00467D4A">
        <w:rPr>
          <w:lang w:val="fr-CA"/>
        </w:rPr>
        <w:t xml:space="preserve"> sous peu</w:t>
      </w:r>
      <w:r w:rsidRPr="00467D4A">
        <w:rPr>
          <w:lang w:val="fr-CA"/>
        </w:rPr>
        <w:t>.</w:t>
      </w:r>
    </w:p>
    <w:p w:rsidR="002767DF" w:rsidRPr="00467D4A" w:rsidRDefault="002767DF" w:rsidP="002767DF">
      <w:pPr>
        <w:rPr>
          <w:lang w:val="fr-CA"/>
        </w:rPr>
      </w:pPr>
    </w:p>
    <w:p w:rsidR="00BF2A9D" w:rsidRPr="00467D4A" w:rsidRDefault="00104BEE" w:rsidP="00EE491E">
      <w:pPr>
        <w:ind w:left="1440" w:hanging="1440"/>
        <w:jc w:val="both"/>
        <w:rPr>
          <w:rFonts w:eastAsiaTheme="minorHAnsi" w:cstheme="minorBidi"/>
          <w:sz w:val="20"/>
        </w:rPr>
      </w:pPr>
      <w:r w:rsidRPr="00467D4A">
        <w:rPr>
          <w:b/>
          <w:sz w:val="20"/>
        </w:rPr>
        <w:fldChar w:fldCharType="begin"/>
      </w:r>
      <w:r w:rsidRPr="00467D4A">
        <w:rPr>
          <w:b/>
          <w:sz w:val="20"/>
        </w:rPr>
        <w:instrText xml:space="preserve"> SEQ CHAPTER \h \r 1</w:instrText>
      </w:r>
      <w:r w:rsidRPr="00467D4A">
        <w:rPr>
          <w:b/>
          <w:sz w:val="20"/>
        </w:rPr>
        <w:fldChar w:fldCharType="end"/>
      </w:r>
      <w:r w:rsidRPr="00467D4A">
        <w:rPr>
          <w:b/>
          <w:sz w:val="20"/>
        </w:rPr>
        <w:t>3</w:t>
      </w:r>
      <w:r w:rsidR="00E26D98" w:rsidRPr="00467D4A">
        <w:rPr>
          <w:b/>
          <w:sz w:val="20"/>
        </w:rPr>
        <w:t>7</w:t>
      </w:r>
      <w:r w:rsidR="0020206D" w:rsidRPr="00467D4A">
        <w:rPr>
          <w:b/>
          <w:sz w:val="20"/>
        </w:rPr>
        <w:t>873</w:t>
      </w:r>
      <w:r w:rsidRPr="00467D4A">
        <w:rPr>
          <w:color w:val="FF0000"/>
          <w:sz w:val="20"/>
        </w:rPr>
        <w:tab/>
      </w:r>
      <w:r w:rsidR="00EE491E" w:rsidRPr="00467D4A">
        <w:rPr>
          <w:b/>
          <w:bCs/>
          <w:color w:val="000000"/>
          <w:sz w:val="20"/>
        </w:rPr>
        <w:t>Desgagnés Transport Inc., Desgagnés Transarctik Inc., Navigation Desgagnés Inc.,</w:t>
      </w:r>
      <w:r w:rsidR="00EE491E" w:rsidRPr="00467D4A">
        <w:rPr>
          <w:b/>
          <w:bCs/>
          <w:color w:val="000000"/>
          <w:sz w:val="20"/>
        </w:rPr>
        <w:t xml:space="preserve"> </w:t>
      </w:r>
      <w:r w:rsidR="00EE491E" w:rsidRPr="00467D4A">
        <w:rPr>
          <w:b/>
          <w:bCs/>
          <w:color w:val="000000"/>
          <w:sz w:val="20"/>
        </w:rPr>
        <w:t>Lloyds Underwriters and Institute of Lloyds Underwriters (ILU) Companies Subscribing to Policy</w:t>
      </w:r>
      <w:r w:rsidR="00EE491E" w:rsidRPr="00467D4A">
        <w:rPr>
          <w:b/>
          <w:bCs/>
          <w:color w:val="000000"/>
          <w:sz w:val="20"/>
        </w:rPr>
        <w:t xml:space="preserve"> </w:t>
      </w:r>
      <w:r w:rsidR="00EE491E" w:rsidRPr="00467D4A">
        <w:rPr>
          <w:b/>
          <w:bCs/>
          <w:color w:val="000000"/>
          <w:sz w:val="20"/>
        </w:rPr>
        <w:t>Number B0856 09h0016 and Aim Insurance (Barbados) SCC</w:t>
      </w:r>
      <w:r w:rsidR="00C338D3" w:rsidRPr="00467D4A">
        <w:rPr>
          <w:b/>
          <w:bCs/>
          <w:color w:val="000000"/>
          <w:sz w:val="20"/>
        </w:rPr>
        <w:t xml:space="preserve"> </w:t>
      </w:r>
      <w:r w:rsidR="0090107F" w:rsidRPr="00467D4A">
        <w:rPr>
          <w:b/>
          <w:bCs/>
          <w:color w:val="000000"/>
          <w:sz w:val="20"/>
        </w:rPr>
        <w:t>v</w:t>
      </w:r>
      <w:r w:rsidR="00C338D3" w:rsidRPr="00467D4A">
        <w:rPr>
          <w:b/>
          <w:bCs/>
          <w:color w:val="000000"/>
          <w:sz w:val="20"/>
        </w:rPr>
        <w:t xml:space="preserve">. Wärtsilä Canada Inc. </w:t>
      </w:r>
      <w:r w:rsidR="00EE491E" w:rsidRPr="00467D4A">
        <w:rPr>
          <w:b/>
          <w:bCs/>
          <w:color w:val="000000"/>
          <w:sz w:val="20"/>
        </w:rPr>
        <w:t>and</w:t>
      </w:r>
      <w:r w:rsidR="00C338D3" w:rsidRPr="00467D4A">
        <w:rPr>
          <w:b/>
          <w:bCs/>
          <w:color w:val="000000"/>
          <w:sz w:val="20"/>
        </w:rPr>
        <w:t xml:space="preserve"> Wärtsilä Nederland B.V. - </w:t>
      </w:r>
      <w:r w:rsidR="00EE491E" w:rsidRPr="00467D4A">
        <w:rPr>
          <w:b/>
          <w:bCs/>
          <w:color w:val="000000"/>
          <w:sz w:val="20"/>
        </w:rPr>
        <w:t>and</w:t>
      </w:r>
      <w:r w:rsidR="00C338D3" w:rsidRPr="00467D4A">
        <w:rPr>
          <w:b/>
          <w:bCs/>
          <w:color w:val="000000"/>
          <w:sz w:val="20"/>
        </w:rPr>
        <w:t xml:space="preserve"> - </w:t>
      </w:r>
      <w:r w:rsidR="00EE491E" w:rsidRPr="00467D4A">
        <w:rPr>
          <w:b/>
          <w:bCs/>
          <w:color w:val="000000"/>
          <w:sz w:val="20"/>
        </w:rPr>
        <w:t>Attorney General of Ontario and</w:t>
      </w:r>
      <w:r w:rsidR="00EE491E" w:rsidRPr="00467D4A">
        <w:rPr>
          <w:b/>
          <w:bCs/>
          <w:color w:val="000000"/>
          <w:sz w:val="20"/>
        </w:rPr>
        <w:t xml:space="preserve"> </w:t>
      </w:r>
      <w:r w:rsidR="00EE491E" w:rsidRPr="00467D4A">
        <w:rPr>
          <w:b/>
          <w:bCs/>
          <w:color w:val="000000"/>
          <w:sz w:val="20"/>
        </w:rPr>
        <w:t>Attorney General of Quebec</w:t>
      </w:r>
      <w:r w:rsidR="002628AD" w:rsidRPr="00467D4A">
        <w:rPr>
          <w:rFonts w:eastAsiaTheme="minorHAnsi" w:cstheme="minorBidi"/>
          <w:b/>
          <w:sz w:val="20"/>
        </w:rPr>
        <w:t xml:space="preserve"> </w:t>
      </w:r>
      <w:r w:rsidR="00BF2A9D" w:rsidRPr="00467D4A">
        <w:rPr>
          <w:rFonts w:eastAsiaTheme="minorHAnsi" w:cstheme="minorBidi"/>
          <w:iCs/>
          <w:sz w:val="20"/>
        </w:rPr>
        <w:t>(</w:t>
      </w:r>
      <w:r w:rsidR="00195C65" w:rsidRPr="00467D4A">
        <w:rPr>
          <w:rFonts w:eastAsiaTheme="minorHAnsi" w:cstheme="minorBidi"/>
          <w:iCs/>
          <w:sz w:val="20"/>
        </w:rPr>
        <w:t>Q</w:t>
      </w:r>
      <w:r w:rsidR="0090107F" w:rsidRPr="00467D4A">
        <w:rPr>
          <w:rFonts w:eastAsiaTheme="minorHAnsi" w:cstheme="minorBidi"/>
          <w:iCs/>
          <w:sz w:val="20"/>
        </w:rPr>
        <w:t>ue.</w:t>
      </w:r>
      <w:r w:rsidR="00BF2A9D" w:rsidRPr="00467D4A">
        <w:rPr>
          <w:rFonts w:eastAsiaTheme="minorHAnsi" w:cstheme="minorBidi"/>
          <w:iCs/>
          <w:sz w:val="20"/>
        </w:rPr>
        <w:t>)</w:t>
      </w:r>
    </w:p>
    <w:p w:rsidR="00BF2A9D" w:rsidRPr="00467D4A"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467D4A">
        <w:rPr>
          <w:rFonts w:eastAsiaTheme="minorHAnsi" w:cstheme="minorBidi"/>
          <w:b/>
          <w:sz w:val="20"/>
          <w:lang w:val="fr-CA"/>
        </w:rPr>
        <w:t>201</w:t>
      </w:r>
      <w:r w:rsidR="006F0310" w:rsidRPr="00467D4A">
        <w:rPr>
          <w:rFonts w:eastAsiaTheme="minorHAnsi" w:cstheme="minorBidi"/>
          <w:b/>
          <w:sz w:val="20"/>
          <w:lang w:val="fr-CA"/>
        </w:rPr>
        <w:t>9</w:t>
      </w:r>
      <w:r w:rsidRPr="00467D4A">
        <w:rPr>
          <w:rFonts w:eastAsiaTheme="minorHAnsi" w:cstheme="minorBidi"/>
          <w:b/>
          <w:sz w:val="20"/>
          <w:lang w:val="fr-CA"/>
        </w:rPr>
        <w:t xml:space="preserve"> SCC </w:t>
      </w:r>
      <w:r w:rsidR="0020206D" w:rsidRPr="00467D4A">
        <w:rPr>
          <w:rFonts w:eastAsiaTheme="minorHAnsi" w:cstheme="minorBidi"/>
          <w:b/>
          <w:sz w:val="20"/>
          <w:lang w:val="fr-CA"/>
        </w:rPr>
        <w:t>58</w:t>
      </w:r>
      <w:r w:rsidRPr="00467D4A">
        <w:rPr>
          <w:rFonts w:eastAsiaTheme="minorHAnsi" w:cstheme="minorBidi"/>
          <w:b/>
          <w:sz w:val="20"/>
          <w:lang w:val="fr-CA"/>
        </w:rPr>
        <w:t xml:space="preserve"> / 201</w:t>
      </w:r>
      <w:r w:rsidR="006F0310" w:rsidRPr="00467D4A">
        <w:rPr>
          <w:rFonts w:eastAsiaTheme="minorHAnsi" w:cstheme="minorBidi"/>
          <w:b/>
          <w:sz w:val="20"/>
          <w:lang w:val="fr-CA"/>
        </w:rPr>
        <w:t>9</w:t>
      </w:r>
      <w:r w:rsidRPr="00467D4A">
        <w:rPr>
          <w:rFonts w:eastAsiaTheme="minorHAnsi" w:cstheme="minorBidi"/>
          <w:b/>
          <w:sz w:val="20"/>
          <w:lang w:val="fr-CA"/>
        </w:rPr>
        <w:t xml:space="preserve"> CSC </w:t>
      </w:r>
      <w:r w:rsidR="0020206D" w:rsidRPr="00467D4A">
        <w:rPr>
          <w:rFonts w:eastAsiaTheme="minorHAnsi" w:cstheme="minorBidi"/>
          <w:b/>
          <w:sz w:val="20"/>
          <w:lang w:val="fr-CA"/>
        </w:rPr>
        <w:t>58</w:t>
      </w:r>
    </w:p>
    <w:p w:rsidR="00104BEE" w:rsidRPr="00467D4A" w:rsidRDefault="00104BEE" w:rsidP="00BF2A9D">
      <w:pPr>
        <w:ind w:left="1440" w:hanging="1440"/>
        <w:jc w:val="both"/>
        <w:rPr>
          <w:sz w:val="20"/>
          <w:lang w:val="fr-CA"/>
        </w:rPr>
      </w:pPr>
    </w:p>
    <w:p w:rsidR="00104BEE" w:rsidRPr="00467D4A" w:rsidRDefault="00104BEE" w:rsidP="00104BEE">
      <w:pPr>
        <w:ind w:left="1440" w:hanging="1440"/>
        <w:rPr>
          <w:sz w:val="20"/>
        </w:rPr>
      </w:pPr>
      <w:r w:rsidRPr="00467D4A">
        <w:rPr>
          <w:sz w:val="20"/>
        </w:rPr>
        <w:t>Coram:</w:t>
      </w:r>
      <w:r w:rsidRPr="00467D4A">
        <w:rPr>
          <w:sz w:val="20"/>
        </w:rPr>
        <w:tab/>
      </w:r>
      <w:r w:rsidR="00EE491E" w:rsidRPr="00467D4A">
        <w:rPr>
          <w:sz w:val="20"/>
        </w:rPr>
        <w:t>Wagner C.J. and Abella, Moldaver, Karakatsanis, Gascon, Côté, Brown, Rowe and Martin JJ.</w:t>
      </w:r>
    </w:p>
    <w:p w:rsidR="00605BA1" w:rsidRPr="00467D4A" w:rsidRDefault="00605BA1" w:rsidP="00DD0FAB">
      <w:pPr>
        <w:jc w:val="both"/>
        <w:rPr>
          <w:sz w:val="20"/>
        </w:rPr>
      </w:pPr>
    </w:p>
    <w:p w:rsidR="0090107F" w:rsidRPr="00467D4A" w:rsidRDefault="00375975" w:rsidP="0090107F">
      <w:pPr>
        <w:jc w:val="both"/>
        <w:rPr>
          <w:sz w:val="20"/>
          <w:lang w:val="fr-CA"/>
        </w:rPr>
      </w:pPr>
      <w:r w:rsidRPr="00467D4A">
        <w:rPr>
          <w:sz w:val="20"/>
        </w:rPr>
        <w:t xml:space="preserve">The appeal from the judgment </w:t>
      </w:r>
      <w:bookmarkStart w:id="0" w:name="BM_1_"/>
      <w:bookmarkEnd w:id="0"/>
      <w:r w:rsidRPr="00467D4A">
        <w:rPr>
          <w:sz w:val="20"/>
        </w:rPr>
        <w:t xml:space="preserve">of the Court of Appeal of Quebec (Montréal), Number  500-09-025791-153, 2017 QCCA 1471, dated September 29, 2017, heard on January 24, 2019, is allowed with costs throughout. The judgment of the Court of Appeal is set aside and the conclusions of the Superior Court at paras. </w:t>
      </w:r>
      <w:r w:rsidRPr="00467D4A">
        <w:rPr>
          <w:sz w:val="20"/>
          <w:lang w:val="fr-CA"/>
        </w:rPr>
        <w:t>108 to 110 of its judgment are restored.</w:t>
      </w:r>
    </w:p>
    <w:p w:rsidR="0090107F" w:rsidRPr="00467D4A" w:rsidRDefault="0090107F" w:rsidP="00DD0FAB">
      <w:pPr>
        <w:jc w:val="both"/>
        <w:rPr>
          <w:sz w:val="20"/>
          <w:lang w:val="fr-CA"/>
        </w:rPr>
      </w:pPr>
    </w:p>
    <w:p w:rsidR="0020206D" w:rsidRPr="00375975" w:rsidRDefault="00375975" w:rsidP="0020206D">
      <w:pPr>
        <w:rPr>
          <w:rFonts w:eastAsiaTheme="minorHAnsi" w:cstheme="minorBidi"/>
          <w:sz w:val="20"/>
          <w:lang w:val="fr-CA"/>
        </w:rPr>
      </w:pPr>
      <w:r w:rsidRPr="00467D4A">
        <w:rPr>
          <w:sz w:val="20"/>
          <w:lang w:val="fr-CA"/>
        </w:rPr>
        <w:t xml:space="preserve">L’appel interjeté contre l’arrêt de la Cour d’appel du Québec (Montréal), numéro 500-09-025791-153, 2017 QCCA 1471, daté du 29 septembre 2017, entendu le 24 janvier 2019, est accueilli avec dépens devant toutes les cours. </w:t>
      </w:r>
      <w:r w:rsidRPr="00467D4A">
        <w:rPr>
          <w:sz w:val="20"/>
          <w:lang w:val="fr-FR"/>
        </w:rPr>
        <w:t xml:space="preserve">L’arrêt de la Cour d’appel est infirmé et les conclusions de la Cour supérieure aux </w:t>
      </w:r>
      <w:proofErr w:type="spellStart"/>
      <w:r w:rsidRPr="00467D4A">
        <w:rPr>
          <w:sz w:val="20"/>
          <w:lang w:val="fr-FR"/>
        </w:rPr>
        <w:t>par</w:t>
      </w:r>
      <w:proofErr w:type="spellEnd"/>
      <w:r w:rsidRPr="00467D4A">
        <w:rPr>
          <w:sz w:val="20"/>
          <w:lang w:val="fr-FR"/>
        </w:rPr>
        <w:t>. 108 à 110 de ses motifs sont rétablies.</w:t>
      </w:r>
      <w:bookmarkStart w:id="1" w:name="_GoBack"/>
      <w:bookmarkEnd w:id="1"/>
    </w:p>
    <w:p w:rsidR="00062C6D" w:rsidRPr="00953692" w:rsidRDefault="00062C6D" w:rsidP="00062C6D">
      <w:pPr>
        <w:ind w:left="1440" w:hanging="1440"/>
        <w:rPr>
          <w:rFonts w:eastAsiaTheme="minorHAnsi" w:cstheme="minorBidi"/>
          <w:sz w:val="20"/>
          <w:lang w:val="fr-CA"/>
        </w:rPr>
      </w:pPr>
    </w:p>
    <w:p w:rsidR="00FF073E" w:rsidRPr="00953692" w:rsidRDefault="00467D4A" w:rsidP="00104BEE">
      <w:pPr>
        <w:jc w:val="both"/>
        <w:rPr>
          <w:sz w:val="20"/>
          <w:lang w:val="fr-CA"/>
        </w:rPr>
      </w:pPr>
      <w:r>
        <w:rPr>
          <w:sz w:val="20"/>
          <w:lang w:val="fr-CA"/>
        </w:rPr>
        <w:pict>
          <v:rect id="_x0000_i1026" style="width:108pt;height:1pt" o:hrpct="0" o:hralign="center" o:hrstd="t" o:hrnoshade="t" o:hr="t" fillcolor="black [3213]" stroked="f"/>
        </w:pict>
      </w:r>
    </w:p>
    <w:p w:rsidR="00844741" w:rsidRPr="00953692" w:rsidRDefault="00844741" w:rsidP="00104BEE">
      <w:pPr>
        <w:jc w:val="both"/>
        <w:rPr>
          <w:sz w:val="20"/>
          <w:lang w:val="fr-CA"/>
        </w:rPr>
      </w:pPr>
    </w:p>
    <w:p w:rsidR="009D2AD9" w:rsidRPr="006C2011" w:rsidRDefault="00D01D61" w:rsidP="009D2AD9">
      <w:pPr>
        <w:rPr>
          <w:lang w:val="fr-CA"/>
        </w:rPr>
      </w:pPr>
      <w:r w:rsidRPr="004F45CD">
        <w:rPr>
          <w:szCs w:val="24"/>
        </w:rPr>
        <w:fldChar w:fldCharType="begin"/>
      </w:r>
      <w:r w:rsidR="009D2AD9" w:rsidRPr="004F45CD">
        <w:rPr>
          <w:szCs w:val="24"/>
          <w:lang w:val="fr-CA"/>
        </w:rPr>
        <w:instrText xml:space="preserve"> SEQ CHAPTER \h \r 1</w:instrText>
      </w:r>
      <w:r w:rsidRPr="004F45CD">
        <w:rPr>
          <w:szCs w:val="24"/>
        </w:rPr>
        <w:fldChar w:fldCharType="end"/>
      </w:r>
      <w:r w:rsidR="009D2AD9" w:rsidRPr="004F45CD">
        <w:rPr>
          <w:b/>
          <w:bCs/>
          <w:szCs w:val="24"/>
          <w:lang w:val="fr-CA"/>
        </w:rPr>
        <w:t>APPLICATION</w:t>
      </w:r>
      <w:r w:rsidR="0044099A" w:rsidRPr="004F45CD">
        <w:rPr>
          <w:b/>
          <w:bCs/>
          <w:szCs w:val="24"/>
          <w:lang w:val="fr-CA"/>
        </w:rPr>
        <w:t>S</w:t>
      </w:r>
      <w:r w:rsidR="009D2AD9" w:rsidRPr="004F45CD">
        <w:rPr>
          <w:b/>
          <w:bCs/>
          <w:szCs w:val="24"/>
          <w:lang w:val="fr-CA"/>
        </w:rPr>
        <w:t xml:space="preserve"> FOR LEAVE / DEMANDE</w:t>
      </w:r>
      <w:r w:rsidR="0044099A" w:rsidRPr="004F45CD">
        <w:rPr>
          <w:b/>
          <w:bCs/>
          <w:szCs w:val="24"/>
          <w:lang w:val="fr-CA"/>
        </w:rPr>
        <w:t>S</w:t>
      </w:r>
      <w:r w:rsidR="009D2AD9" w:rsidRPr="004F45CD">
        <w:rPr>
          <w:b/>
          <w:bCs/>
          <w:szCs w:val="24"/>
          <w:lang w:val="fr-CA"/>
        </w:rPr>
        <w:t xml:space="preserve"> D’AUTORISATION :</w:t>
      </w:r>
    </w:p>
    <w:p w:rsidR="009D2AD9" w:rsidRDefault="009D2AD9" w:rsidP="000627A2">
      <w:pPr>
        <w:widowControl w:val="0"/>
        <w:jc w:val="both"/>
        <w:rPr>
          <w:sz w:val="20"/>
          <w:lang w:val="fr-CA"/>
        </w:rPr>
      </w:pPr>
    </w:p>
    <w:p w:rsidR="009F09C0" w:rsidRPr="006C2011" w:rsidRDefault="009F09C0" w:rsidP="009F09C0">
      <w:pPr>
        <w:jc w:val="both"/>
        <w:rPr>
          <w:b/>
          <w:sz w:val="22"/>
          <w:szCs w:val="22"/>
        </w:rPr>
      </w:pPr>
      <w:r w:rsidRPr="006C2011">
        <w:rPr>
          <w:b/>
          <w:sz w:val="22"/>
          <w:szCs w:val="22"/>
        </w:rPr>
        <w:t xml:space="preserve">DISMISSED / </w:t>
      </w:r>
      <w:r w:rsidRPr="004F45CD">
        <w:rPr>
          <w:b/>
          <w:sz w:val="22"/>
          <w:szCs w:val="22"/>
        </w:rPr>
        <w:t>REJETÉES</w:t>
      </w:r>
    </w:p>
    <w:p w:rsidR="009971D8" w:rsidRPr="006C2011" w:rsidRDefault="009971D8" w:rsidP="00026162">
      <w:pPr>
        <w:widowControl w:val="0"/>
        <w:rPr>
          <w:sz w:val="20"/>
        </w:rPr>
      </w:pPr>
    </w:p>
    <w:p w:rsidR="009F3447" w:rsidRPr="009F3447" w:rsidRDefault="009F3447" w:rsidP="009F3447">
      <w:pPr>
        <w:rPr>
          <w:sz w:val="22"/>
          <w:szCs w:val="22"/>
        </w:rPr>
      </w:pPr>
      <w:r w:rsidRPr="009F3447">
        <w:rPr>
          <w:i/>
          <w:sz w:val="22"/>
          <w:szCs w:val="22"/>
        </w:rPr>
        <w:t>Her Majesty the Queen v. Anne Norris</w:t>
      </w:r>
      <w:r w:rsidRPr="009F3447">
        <w:rPr>
          <w:sz w:val="22"/>
          <w:szCs w:val="22"/>
        </w:rPr>
        <w:t xml:space="preserve"> (N.L.) (Criminal) (By Leave) (</w:t>
      </w:r>
      <w:hyperlink r:id="rId9" w:history="1">
        <w:r w:rsidRPr="009F3447">
          <w:rPr>
            <w:rStyle w:val="Hyperlink"/>
            <w:sz w:val="22"/>
            <w:szCs w:val="22"/>
          </w:rPr>
          <w:t>38753</w:t>
        </w:r>
      </w:hyperlink>
      <w:r w:rsidRPr="009F3447">
        <w:rPr>
          <w:sz w:val="22"/>
          <w:szCs w:val="22"/>
        </w:rPr>
        <w:t>)</w:t>
      </w:r>
    </w:p>
    <w:p w:rsidR="006F0310" w:rsidRPr="009F3447" w:rsidRDefault="006F0310" w:rsidP="00026162">
      <w:pPr>
        <w:widowControl w:val="0"/>
        <w:rPr>
          <w:sz w:val="20"/>
        </w:rPr>
      </w:pPr>
    </w:p>
    <w:p w:rsidR="009F3447" w:rsidRPr="009F3447" w:rsidRDefault="009F3447" w:rsidP="009F3447">
      <w:pPr>
        <w:jc w:val="both"/>
        <w:rPr>
          <w:sz w:val="20"/>
        </w:rPr>
      </w:pPr>
      <w:r w:rsidRPr="009F3447">
        <w:rPr>
          <w:sz w:val="20"/>
        </w:rPr>
        <w:t>The application for leave to appeal from the judgment of the Court of Appeal of Newfoundland and Labrador, Number 201801H0022, 2019 NLCA 29, dated May 15, 2019, is dismissed.</w:t>
      </w:r>
    </w:p>
    <w:p w:rsidR="009F3447" w:rsidRPr="009F3447" w:rsidRDefault="009F3447" w:rsidP="009F3447">
      <w:pPr>
        <w:jc w:val="both"/>
        <w:rPr>
          <w:sz w:val="20"/>
        </w:rPr>
      </w:pPr>
    </w:p>
    <w:p w:rsidR="006F0310" w:rsidRPr="009F3447" w:rsidRDefault="009F3447" w:rsidP="009F3447">
      <w:pPr>
        <w:widowControl w:val="0"/>
        <w:rPr>
          <w:sz w:val="20"/>
        </w:rPr>
      </w:pPr>
      <w:r w:rsidRPr="009F3447">
        <w:rPr>
          <w:sz w:val="20"/>
        </w:rPr>
        <w:t>Rowe J. took no part in the judgment.</w:t>
      </w:r>
    </w:p>
    <w:p w:rsidR="006F0310" w:rsidRPr="009F3447" w:rsidRDefault="006F0310" w:rsidP="00026162">
      <w:pPr>
        <w:widowControl w:val="0"/>
        <w:rPr>
          <w:sz w:val="20"/>
        </w:rPr>
      </w:pPr>
    </w:p>
    <w:p w:rsidR="009F3447" w:rsidRPr="009F3447" w:rsidRDefault="009F3447" w:rsidP="009F3447">
      <w:pPr>
        <w:jc w:val="both"/>
        <w:rPr>
          <w:sz w:val="20"/>
          <w:lang w:val="fr-CA"/>
        </w:rPr>
      </w:pPr>
      <w:r w:rsidRPr="009F3447">
        <w:rPr>
          <w:sz w:val="20"/>
          <w:lang w:val="fr-CA"/>
        </w:rPr>
        <w:t xml:space="preserve">La demande d’autorisation d’appel de l’arrêt de la </w:t>
      </w:r>
      <w:r w:rsidRPr="009F3447">
        <w:rPr>
          <w:sz w:val="20"/>
          <w:lang w:val="fr-FR"/>
        </w:rPr>
        <w:t>Cour d’appel de la Terre-Neuve et Labrador</w:t>
      </w:r>
      <w:r w:rsidRPr="009F3447">
        <w:rPr>
          <w:sz w:val="20"/>
          <w:lang w:val="fr-CA"/>
        </w:rPr>
        <w:t xml:space="preserve">, numéro </w:t>
      </w:r>
      <w:r w:rsidRPr="009F3447">
        <w:rPr>
          <w:sz w:val="20"/>
          <w:lang w:val="fr-FR"/>
        </w:rPr>
        <w:t>201801H0022, 2019 NLCA 29</w:t>
      </w:r>
      <w:r w:rsidRPr="009F3447">
        <w:rPr>
          <w:sz w:val="20"/>
          <w:lang w:val="fr-CA"/>
        </w:rPr>
        <w:t xml:space="preserve">, daté du </w:t>
      </w:r>
      <w:r w:rsidRPr="009F3447">
        <w:rPr>
          <w:sz w:val="20"/>
          <w:lang w:val="fr-FR"/>
        </w:rPr>
        <w:t>15 mai 2019</w:t>
      </w:r>
      <w:r w:rsidRPr="009F3447">
        <w:rPr>
          <w:sz w:val="20"/>
          <w:lang w:val="fr-CA"/>
        </w:rPr>
        <w:t xml:space="preserve">, est rejetée. </w:t>
      </w:r>
    </w:p>
    <w:p w:rsidR="009F3447" w:rsidRPr="009F3447" w:rsidRDefault="009F3447" w:rsidP="009F3447">
      <w:pPr>
        <w:jc w:val="both"/>
        <w:rPr>
          <w:sz w:val="20"/>
          <w:lang w:val="fr-CA"/>
        </w:rPr>
      </w:pPr>
    </w:p>
    <w:p w:rsidR="00A357F9" w:rsidRPr="009F3447" w:rsidRDefault="009F3447" w:rsidP="009F3447">
      <w:pPr>
        <w:widowControl w:val="0"/>
        <w:rPr>
          <w:sz w:val="20"/>
          <w:lang w:val="fr-CA"/>
        </w:rPr>
      </w:pPr>
      <w:r w:rsidRPr="009F3447">
        <w:rPr>
          <w:sz w:val="20"/>
          <w:lang w:val="fr-CA"/>
        </w:rPr>
        <w:t>Le juge Rowe n’a pas participé au jugement.</w:t>
      </w:r>
    </w:p>
    <w:p w:rsidR="009F3447" w:rsidRPr="006C2011" w:rsidRDefault="009F3447" w:rsidP="009F3447">
      <w:pPr>
        <w:widowControl w:val="0"/>
        <w:rPr>
          <w:sz w:val="20"/>
          <w:lang w:val="fr-CA"/>
        </w:rPr>
      </w:pPr>
    </w:p>
    <w:p w:rsidR="00A357F9" w:rsidRDefault="00467D4A" w:rsidP="00026162">
      <w:pPr>
        <w:widowControl w:val="0"/>
        <w:rPr>
          <w:szCs w:val="24"/>
          <w:lang w:val="fr-CA"/>
        </w:rPr>
      </w:pPr>
      <w:r>
        <w:rPr>
          <w:szCs w:val="24"/>
          <w:lang w:val="fr-CA"/>
        </w:rPr>
        <w:pict>
          <v:rect id="_x0000_i1027" style="width:108pt;height:1pt" o:hrpct="0" o:hralign="center" o:hrstd="t" o:hrnoshade="t" o:hr="t" fillcolor="black [3213]" stroked="f"/>
        </w:pict>
      </w:r>
    </w:p>
    <w:p w:rsidR="00EC6323" w:rsidRPr="006C2011" w:rsidRDefault="00EC6323" w:rsidP="00026162">
      <w:pPr>
        <w:widowControl w:val="0"/>
        <w:rPr>
          <w:sz w:val="20"/>
        </w:rPr>
      </w:pPr>
    </w:p>
    <w:p w:rsidR="00885BA5" w:rsidRPr="00885BA5" w:rsidRDefault="00885BA5" w:rsidP="00885BA5">
      <w:pPr>
        <w:rPr>
          <w:sz w:val="22"/>
          <w:szCs w:val="22"/>
        </w:rPr>
      </w:pPr>
      <w:r w:rsidRPr="00885BA5">
        <w:rPr>
          <w:i/>
          <w:sz w:val="22"/>
          <w:szCs w:val="22"/>
        </w:rPr>
        <w:t>Pita Royale Inc. o/a Aroma Taste of the Middle East v. Buckingham Properties Inc.</w:t>
      </w:r>
      <w:r>
        <w:rPr>
          <w:i/>
          <w:sz w:val="22"/>
          <w:szCs w:val="22"/>
        </w:rPr>
        <w:t xml:space="preserve"> </w:t>
      </w:r>
      <w:r w:rsidRPr="00885BA5">
        <w:rPr>
          <w:i/>
          <w:sz w:val="22"/>
          <w:szCs w:val="22"/>
        </w:rPr>
        <w:t>and William Mandelbaum</w:t>
      </w:r>
      <w:r w:rsidRPr="00885BA5">
        <w:rPr>
          <w:sz w:val="22"/>
          <w:szCs w:val="22"/>
        </w:rPr>
        <w:t xml:space="preserve"> (Ont.) (Civil) (By Leave) (</w:t>
      </w:r>
      <w:hyperlink r:id="rId10" w:history="1">
        <w:r w:rsidRPr="00885BA5">
          <w:rPr>
            <w:rStyle w:val="Hyperlink"/>
            <w:sz w:val="22"/>
            <w:szCs w:val="22"/>
          </w:rPr>
          <w:t>38776</w:t>
        </w:r>
      </w:hyperlink>
      <w:r w:rsidRPr="00885BA5">
        <w:rPr>
          <w:sz w:val="22"/>
          <w:szCs w:val="22"/>
        </w:rPr>
        <w:t>)</w:t>
      </w:r>
    </w:p>
    <w:p w:rsidR="006F0310" w:rsidRPr="00885BA5" w:rsidRDefault="006F0310" w:rsidP="006C152B">
      <w:pPr>
        <w:ind w:left="360" w:hanging="360"/>
        <w:contextualSpacing/>
        <w:jc w:val="both"/>
        <w:rPr>
          <w:sz w:val="20"/>
        </w:rPr>
      </w:pPr>
    </w:p>
    <w:p w:rsidR="00885BA5" w:rsidRPr="00885BA5" w:rsidRDefault="00885BA5" w:rsidP="00885BA5">
      <w:pPr>
        <w:contextualSpacing/>
        <w:jc w:val="both"/>
        <w:rPr>
          <w:sz w:val="20"/>
        </w:rPr>
      </w:pPr>
      <w:r w:rsidRPr="00885BA5">
        <w:rPr>
          <w:sz w:val="20"/>
        </w:rPr>
        <w:t>The application for leave to appeal from the judgment of the Court of Appeal for Ontario, Number C64803, 2019 ONCA 439, dated May 27, 2019, is dismissed with costs.</w:t>
      </w:r>
    </w:p>
    <w:p w:rsidR="00EC6323" w:rsidRPr="00885BA5" w:rsidRDefault="00EC6323" w:rsidP="006C152B">
      <w:pPr>
        <w:ind w:left="360" w:hanging="360"/>
        <w:contextualSpacing/>
        <w:jc w:val="both"/>
        <w:rPr>
          <w:sz w:val="20"/>
        </w:rPr>
      </w:pPr>
    </w:p>
    <w:p w:rsidR="00885BA5" w:rsidRPr="00885BA5" w:rsidRDefault="00885BA5" w:rsidP="00885BA5">
      <w:pPr>
        <w:contextualSpacing/>
        <w:jc w:val="both"/>
        <w:rPr>
          <w:sz w:val="20"/>
          <w:lang w:val="fr-CA"/>
        </w:rPr>
      </w:pPr>
      <w:r w:rsidRPr="00885BA5">
        <w:rPr>
          <w:sz w:val="20"/>
          <w:lang w:val="fr-CA"/>
        </w:rPr>
        <w:t xml:space="preserve">La demande d’autorisation d’appel de l’arrêt de la </w:t>
      </w:r>
      <w:r w:rsidRPr="00885BA5">
        <w:rPr>
          <w:sz w:val="20"/>
          <w:lang w:val="fr-FR"/>
        </w:rPr>
        <w:t>Cour d’appel de l’Ontario</w:t>
      </w:r>
      <w:r w:rsidRPr="00885BA5">
        <w:rPr>
          <w:sz w:val="20"/>
          <w:lang w:val="fr-CA"/>
        </w:rPr>
        <w:t xml:space="preserve">, numéro </w:t>
      </w:r>
      <w:r w:rsidRPr="00885BA5">
        <w:rPr>
          <w:sz w:val="20"/>
          <w:lang w:val="fr-FR"/>
        </w:rPr>
        <w:t>C64803</w:t>
      </w:r>
      <w:r w:rsidRPr="00885BA5">
        <w:rPr>
          <w:sz w:val="20"/>
          <w:lang w:val="fr-CA"/>
        </w:rPr>
        <w:t xml:space="preserve">, </w:t>
      </w:r>
      <w:r w:rsidRPr="00885BA5">
        <w:rPr>
          <w:sz w:val="20"/>
          <w:lang w:val="fr-FR"/>
        </w:rPr>
        <w:t xml:space="preserve">2019 ONCA 439, </w:t>
      </w:r>
      <w:r w:rsidRPr="00885BA5">
        <w:rPr>
          <w:sz w:val="20"/>
          <w:lang w:val="fr-CA"/>
        </w:rPr>
        <w:t xml:space="preserve">daté du </w:t>
      </w:r>
      <w:r w:rsidRPr="00885BA5">
        <w:rPr>
          <w:sz w:val="20"/>
          <w:lang w:val="fr-FR"/>
        </w:rPr>
        <w:t>27 mai 2019</w:t>
      </w:r>
      <w:r w:rsidRPr="00885BA5">
        <w:rPr>
          <w:sz w:val="20"/>
          <w:lang w:val="fr-CA"/>
        </w:rPr>
        <w:t>, est rejetée avec dépens.</w:t>
      </w:r>
    </w:p>
    <w:p w:rsidR="009F3447" w:rsidRPr="00885BA5" w:rsidRDefault="009F3447" w:rsidP="009F3447">
      <w:pPr>
        <w:widowControl w:val="0"/>
        <w:rPr>
          <w:sz w:val="20"/>
          <w:lang w:val="fr-CA"/>
        </w:rPr>
      </w:pPr>
    </w:p>
    <w:p w:rsidR="009F3447" w:rsidRDefault="00467D4A" w:rsidP="009F3447">
      <w:pPr>
        <w:widowControl w:val="0"/>
        <w:rPr>
          <w:szCs w:val="24"/>
          <w:lang w:val="fr-CA"/>
        </w:rPr>
      </w:pPr>
      <w:r>
        <w:rPr>
          <w:szCs w:val="24"/>
          <w:lang w:val="fr-CA"/>
        </w:rPr>
        <w:pict>
          <v:rect id="_x0000_i1028" style="width:108pt;height:1pt" o:hrpct="0" o:hralign="center" o:hrstd="t" o:hrnoshade="t" o:hr="t" fillcolor="black [3213]" stroked="f"/>
        </w:pict>
      </w:r>
    </w:p>
    <w:p w:rsidR="009F3447" w:rsidRPr="006C2011" w:rsidRDefault="009F3447" w:rsidP="009F3447">
      <w:pPr>
        <w:widowControl w:val="0"/>
        <w:rPr>
          <w:sz w:val="20"/>
        </w:rPr>
      </w:pPr>
    </w:p>
    <w:p w:rsidR="001C26B4" w:rsidRPr="001C26B4" w:rsidRDefault="001C26B4" w:rsidP="001C26B4">
      <w:pPr>
        <w:rPr>
          <w:sz w:val="22"/>
          <w:szCs w:val="22"/>
        </w:rPr>
      </w:pPr>
      <w:r w:rsidRPr="001C26B4">
        <w:rPr>
          <w:i/>
          <w:sz w:val="22"/>
          <w:szCs w:val="22"/>
        </w:rPr>
        <w:t>Marilyn Fitzpatrick v. College of Physical Therapists of Alberta now known as Physiotherapy Alberta College &amp; Association</w:t>
      </w:r>
      <w:r w:rsidRPr="001C26B4">
        <w:rPr>
          <w:sz w:val="22"/>
          <w:szCs w:val="22"/>
        </w:rPr>
        <w:t xml:space="preserve"> (Alta.) (Civil) (By Leave) (</w:t>
      </w:r>
      <w:hyperlink r:id="rId11" w:history="1">
        <w:r w:rsidRPr="001C26B4">
          <w:rPr>
            <w:rStyle w:val="Hyperlink"/>
            <w:sz w:val="22"/>
            <w:szCs w:val="22"/>
          </w:rPr>
          <w:t>38736</w:t>
        </w:r>
      </w:hyperlink>
      <w:r w:rsidRPr="001C26B4">
        <w:rPr>
          <w:sz w:val="22"/>
          <w:szCs w:val="22"/>
        </w:rPr>
        <w:t>)</w:t>
      </w:r>
    </w:p>
    <w:p w:rsidR="00AD4F01" w:rsidRDefault="00AD4F01" w:rsidP="00AD4F01">
      <w:pPr>
        <w:ind w:left="357" w:hanging="357"/>
        <w:rPr>
          <w:sz w:val="20"/>
        </w:rPr>
      </w:pPr>
    </w:p>
    <w:p w:rsidR="001C26B4" w:rsidRPr="001C26B4" w:rsidRDefault="001C26B4" w:rsidP="001C26B4">
      <w:pPr>
        <w:rPr>
          <w:sz w:val="20"/>
        </w:rPr>
      </w:pPr>
      <w:r w:rsidRPr="001C26B4">
        <w:rPr>
          <w:sz w:val="20"/>
        </w:rPr>
        <w:t>The application for leave to appeal from the judgment of the Court of Appeal of Alberta (Calgary), Number 1701-0266-AC, 2019 ABCA 254, dated June 21, 2019, is dismissed with costs.</w:t>
      </w:r>
    </w:p>
    <w:p w:rsidR="001C26B4" w:rsidRPr="001C26B4" w:rsidRDefault="001C26B4" w:rsidP="00AD4F01">
      <w:pPr>
        <w:ind w:left="357" w:hanging="357"/>
        <w:rPr>
          <w:sz w:val="20"/>
        </w:rPr>
      </w:pPr>
    </w:p>
    <w:p w:rsidR="004F45CD" w:rsidRPr="001C26B4" w:rsidRDefault="001C26B4" w:rsidP="001C26B4">
      <w:pPr>
        <w:rPr>
          <w:sz w:val="20"/>
          <w:lang w:val="fr-CA"/>
        </w:rPr>
      </w:pPr>
      <w:r w:rsidRPr="001C26B4">
        <w:rPr>
          <w:sz w:val="20"/>
          <w:lang w:val="fr-CA"/>
        </w:rPr>
        <w:t xml:space="preserve">La demande d’autorisation d’appel de l’arrêt de la </w:t>
      </w:r>
      <w:r w:rsidRPr="001C26B4">
        <w:rPr>
          <w:sz w:val="20"/>
          <w:lang w:val="fr-FR"/>
        </w:rPr>
        <w:t>Cour d’appel de l’Alberta (Calgary)</w:t>
      </w:r>
      <w:r w:rsidRPr="001C26B4">
        <w:rPr>
          <w:sz w:val="20"/>
          <w:lang w:val="fr-CA"/>
        </w:rPr>
        <w:t xml:space="preserve">, numéro </w:t>
      </w:r>
      <w:r w:rsidRPr="001C26B4">
        <w:rPr>
          <w:sz w:val="20"/>
          <w:lang w:val="fr-FR"/>
        </w:rPr>
        <w:t>1701-0266-AC, 2019 ABCA 254</w:t>
      </w:r>
      <w:r w:rsidRPr="001C26B4">
        <w:rPr>
          <w:sz w:val="20"/>
          <w:lang w:val="fr-CA"/>
        </w:rPr>
        <w:t xml:space="preserve">, daté du </w:t>
      </w:r>
      <w:r w:rsidRPr="001C26B4">
        <w:rPr>
          <w:sz w:val="20"/>
          <w:lang w:val="fr-FR"/>
        </w:rPr>
        <w:t>21 juin 2019</w:t>
      </w:r>
      <w:r w:rsidRPr="001C26B4">
        <w:rPr>
          <w:sz w:val="20"/>
          <w:lang w:val="fr-CA"/>
        </w:rPr>
        <w:t>, est rejetée avec dépens.</w:t>
      </w:r>
    </w:p>
    <w:p w:rsidR="009F3447" w:rsidRPr="001C26B4" w:rsidRDefault="009F3447" w:rsidP="009F3447">
      <w:pPr>
        <w:widowControl w:val="0"/>
        <w:rPr>
          <w:sz w:val="20"/>
          <w:lang w:val="fr-CA"/>
        </w:rPr>
      </w:pPr>
    </w:p>
    <w:p w:rsidR="009F3447" w:rsidRDefault="00467D4A" w:rsidP="009F3447">
      <w:pPr>
        <w:widowControl w:val="0"/>
        <w:rPr>
          <w:szCs w:val="24"/>
          <w:lang w:val="fr-CA"/>
        </w:rPr>
      </w:pPr>
      <w:r>
        <w:rPr>
          <w:szCs w:val="24"/>
          <w:lang w:val="fr-CA"/>
        </w:rPr>
        <w:pict>
          <v:rect id="_x0000_i1029" style="width:108pt;height:1pt" o:hrpct="0" o:hralign="center" o:hrstd="t" o:hrnoshade="t" o:hr="t" fillcolor="black [3213]" stroked="f"/>
        </w:pict>
      </w:r>
    </w:p>
    <w:p w:rsidR="009F3447" w:rsidRPr="006C2011" w:rsidRDefault="009F3447" w:rsidP="009F3447">
      <w:pPr>
        <w:widowControl w:val="0"/>
        <w:rPr>
          <w:sz w:val="20"/>
        </w:rPr>
      </w:pPr>
    </w:p>
    <w:p w:rsidR="00894A40" w:rsidRPr="00894A40" w:rsidRDefault="00894A40" w:rsidP="00894A40">
      <w:pPr>
        <w:rPr>
          <w:sz w:val="22"/>
          <w:szCs w:val="22"/>
        </w:rPr>
      </w:pPr>
      <w:r w:rsidRPr="00894A40">
        <w:rPr>
          <w:i/>
          <w:sz w:val="22"/>
          <w:szCs w:val="22"/>
        </w:rPr>
        <w:t>E.O. v. Her Majesty the Queen</w:t>
      </w:r>
      <w:r w:rsidRPr="00894A40">
        <w:rPr>
          <w:sz w:val="22"/>
          <w:szCs w:val="22"/>
        </w:rPr>
        <w:t xml:space="preserve"> (Y.T.) (Criminal) (By Leave) (</w:t>
      </w:r>
      <w:hyperlink r:id="rId12" w:history="1">
        <w:r w:rsidRPr="00894A40">
          <w:rPr>
            <w:rStyle w:val="Hyperlink"/>
            <w:sz w:val="22"/>
            <w:szCs w:val="22"/>
          </w:rPr>
          <w:t>38743</w:t>
        </w:r>
      </w:hyperlink>
      <w:r w:rsidRPr="00894A40">
        <w:rPr>
          <w:sz w:val="22"/>
          <w:szCs w:val="22"/>
        </w:rPr>
        <w:t>)</w:t>
      </w:r>
    </w:p>
    <w:p w:rsidR="004F45CD" w:rsidRDefault="004F45CD" w:rsidP="004F45CD">
      <w:pPr>
        <w:ind w:left="357" w:hanging="357"/>
        <w:rPr>
          <w:sz w:val="20"/>
        </w:rPr>
      </w:pPr>
    </w:p>
    <w:p w:rsidR="00894A40" w:rsidRPr="00894A40" w:rsidRDefault="00894A40" w:rsidP="00894A40">
      <w:pPr>
        <w:rPr>
          <w:sz w:val="20"/>
        </w:rPr>
      </w:pPr>
      <w:r w:rsidRPr="00894A40">
        <w:rPr>
          <w:sz w:val="20"/>
        </w:rPr>
        <w:t>The motion for an extension of time to serve and file the application for leave to appeal is granted. The application for leave to appeal from the judgment of the Court of Appeal of the Yukon Territory, Number 18-YU827, 2019 YKCA 9, dated April 18, 2019, is dismissed.</w:t>
      </w:r>
    </w:p>
    <w:p w:rsidR="004F45CD" w:rsidRPr="00894A40" w:rsidRDefault="004F45CD" w:rsidP="004F45CD">
      <w:pPr>
        <w:ind w:left="357" w:hanging="357"/>
        <w:rPr>
          <w:sz w:val="20"/>
        </w:rPr>
      </w:pPr>
    </w:p>
    <w:p w:rsidR="004F45CD" w:rsidRPr="00894A40" w:rsidRDefault="00894A40" w:rsidP="00894A40">
      <w:pPr>
        <w:rPr>
          <w:sz w:val="20"/>
          <w:lang w:val="fr-CA"/>
        </w:rPr>
      </w:pPr>
      <w:r w:rsidRPr="00894A40">
        <w:rPr>
          <w:sz w:val="20"/>
          <w:lang w:val="fr-CA"/>
        </w:rPr>
        <w:t xml:space="preserve">La requête en prorogation du délai de signification et de dépôt de la demande d’autorisation d’appel est accueillie. La demande d’autorisation d’appel de l’arrêt de la </w:t>
      </w:r>
      <w:r w:rsidRPr="00894A40">
        <w:rPr>
          <w:sz w:val="20"/>
          <w:lang w:val="fr-FR"/>
        </w:rPr>
        <w:t>Cour d’appel du territoire du Yukon</w:t>
      </w:r>
      <w:r w:rsidRPr="00894A40">
        <w:rPr>
          <w:sz w:val="20"/>
          <w:lang w:val="fr-CA"/>
        </w:rPr>
        <w:t xml:space="preserve">, numéro </w:t>
      </w:r>
      <w:r w:rsidRPr="00894A40">
        <w:rPr>
          <w:sz w:val="20"/>
          <w:lang w:val="fr-FR"/>
        </w:rPr>
        <w:t>18-YU827, 2019 YKCA 9</w:t>
      </w:r>
      <w:r w:rsidRPr="00894A40">
        <w:rPr>
          <w:sz w:val="20"/>
          <w:lang w:val="fr-CA"/>
        </w:rPr>
        <w:t xml:space="preserve">, daté du </w:t>
      </w:r>
      <w:r w:rsidRPr="00894A40">
        <w:rPr>
          <w:sz w:val="20"/>
          <w:lang w:val="fr-FR"/>
        </w:rPr>
        <w:t>18 avril 2019</w:t>
      </w:r>
      <w:r w:rsidRPr="00894A40">
        <w:rPr>
          <w:sz w:val="20"/>
          <w:lang w:val="fr-CA"/>
        </w:rPr>
        <w:t>, est rejetée.</w:t>
      </w:r>
    </w:p>
    <w:p w:rsidR="009F3447" w:rsidRPr="00894A40" w:rsidRDefault="009F3447" w:rsidP="009F3447">
      <w:pPr>
        <w:widowControl w:val="0"/>
        <w:rPr>
          <w:sz w:val="20"/>
          <w:lang w:val="fr-CA"/>
        </w:rPr>
      </w:pPr>
    </w:p>
    <w:p w:rsidR="009F3447" w:rsidRDefault="00467D4A" w:rsidP="009F3447">
      <w:pPr>
        <w:widowControl w:val="0"/>
        <w:rPr>
          <w:szCs w:val="24"/>
          <w:lang w:val="fr-CA"/>
        </w:rPr>
      </w:pPr>
      <w:r>
        <w:rPr>
          <w:szCs w:val="24"/>
          <w:lang w:val="fr-CA"/>
        </w:rPr>
        <w:pict>
          <v:rect id="_x0000_i1030" style="width:108pt;height:1pt" o:hrpct="0" o:hralign="center" o:hrstd="t" o:hrnoshade="t" o:hr="t" fillcolor="black [3213]" stroked="f"/>
        </w:pict>
      </w:r>
    </w:p>
    <w:p w:rsidR="009F3447" w:rsidRPr="006C2011" w:rsidRDefault="009F3447" w:rsidP="009F3447">
      <w:pPr>
        <w:widowControl w:val="0"/>
        <w:rPr>
          <w:sz w:val="20"/>
        </w:rPr>
      </w:pPr>
    </w:p>
    <w:p w:rsidR="00FB7201" w:rsidRPr="00FB7201" w:rsidRDefault="00FB7201" w:rsidP="00FB7201">
      <w:pPr>
        <w:rPr>
          <w:sz w:val="22"/>
          <w:szCs w:val="22"/>
        </w:rPr>
      </w:pPr>
      <w:r w:rsidRPr="00FB7201">
        <w:rPr>
          <w:i/>
          <w:sz w:val="22"/>
          <w:szCs w:val="22"/>
        </w:rPr>
        <w:t>Andrzej Kajetanowicz v. Alexander MacNeil, by his litigation guardian Tania Bond-MacNeil</w:t>
      </w:r>
      <w:r w:rsidRPr="00FB7201">
        <w:rPr>
          <w:sz w:val="22"/>
          <w:szCs w:val="22"/>
        </w:rPr>
        <w:t xml:space="preserve"> (N.S.) (Civil) (By Leave) (</w:t>
      </w:r>
      <w:hyperlink r:id="rId13" w:history="1">
        <w:r w:rsidRPr="00FB7201">
          <w:rPr>
            <w:rStyle w:val="Hyperlink"/>
            <w:sz w:val="22"/>
            <w:szCs w:val="22"/>
          </w:rPr>
          <w:t>38754</w:t>
        </w:r>
      </w:hyperlink>
      <w:r w:rsidRPr="00FB7201">
        <w:rPr>
          <w:sz w:val="22"/>
          <w:szCs w:val="22"/>
        </w:rPr>
        <w:t>)</w:t>
      </w:r>
    </w:p>
    <w:p w:rsidR="004F45CD" w:rsidRDefault="004F45CD" w:rsidP="004F45CD">
      <w:pPr>
        <w:ind w:left="357" w:hanging="357"/>
        <w:rPr>
          <w:sz w:val="20"/>
        </w:rPr>
      </w:pPr>
    </w:p>
    <w:p w:rsidR="004F45CD" w:rsidRPr="00FB7201" w:rsidRDefault="00FB7201" w:rsidP="00FB7201">
      <w:pPr>
        <w:rPr>
          <w:sz w:val="20"/>
        </w:rPr>
      </w:pPr>
      <w:r w:rsidRPr="00FB7201">
        <w:rPr>
          <w:sz w:val="20"/>
        </w:rPr>
        <w:t>The application for leave to appeal from the judgment of the Nova Scotia Court of Appeal, Number CA 474319, 2019 NSCA 35, dated May 9, 2019, is dismissed with costs.</w:t>
      </w:r>
    </w:p>
    <w:p w:rsidR="00FB7201" w:rsidRPr="00FB7201" w:rsidRDefault="00FB7201" w:rsidP="00FB7201">
      <w:pPr>
        <w:rPr>
          <w:sz w:val="20"/>
        </w:rPr>
      </w:pPr>
    </w:p>
    <w:p w:rsidR="004F45CD" w:rsidRPr="00FB7201" w:rsidRDefault="00FB7201" w:rsidP="00FB7201">
      <w:pPr>
        <w:rPr>
          <w:sz w:val="20"/>
          <w:lang w:val="fr-CA"/>
        </w:rPr>
      </w:pPr>
      <w:r w:rsidRPr="00FB7201">
        <w:rPr>
          <w:sz w:val="20"/>
          <w:lang w:val="fr-CA"/>
        </w:rPr>
        <w:t xml:space="preserve">La demande d’autorisation d’appel de l’arrêt de la </w:t>
      </w:r>
      <w:r w:rsidRPr="00FB7201">
        <w:rPr>
          <w:sz w:val="20"/>
          <w:lang w:val="fr-FR"/>
        </w:rPr>
        <w:t>Cour d’appel de la Nouvelle-Écosse</w:t>
      </w:r>
      <w:r w:rsidRPr="00FB7201">
        <w:rPr>
          <w:sz w:val="20"/>
          <w:lang w:val="fr-CA"/>
        </w:rPr>
        <w:t xml:space="preserve">, numéro </w:t>
      </w:r>
      <w:r w:rsidRPr="00FB7201">
        <w:rPr>
          <w:sz w:val="20"/>
          <w:lang w:val="fr-FR"/>
        </w:rPr>
        <w:t>CA 474319</w:t>
      </w:r>
      <w:r w:rsidRPr="00FB7201">
        <w:rPr>
          <w:sz w:val="20"/>
          <w:lang w:val="fr-CA"/>
        </w:rPr>
        <w:t xml:space="preserve">, </w:t>
      </w:r>
      <w:r w:rsidRPr="00FB7201">
        <w:rPr>
          <w:sz w:val="20"/>
          <w:lang w:val="fr-FR"/>
        </w:rPr>
        <w:t xml:space="preserve">2019 NSCA 35, </w:t>
      </w:r>
      <w:r w:rsidRPr="00FB7201">
        <w:rPr>
          <w:sz w:val="20"/>
          <w:lang w:val="fr-CA"/>
        </w:rPr>
        <w:t xml:space="preserve">daté du </w:t>
      </w:r>
      <w:r w:rsidRPr="00FB7201">
        <w:rPr>
          <w:sz w:val="20"/>
          <w:lang w:val="fr-FR"/>
        </w:rPr>
        <w:t>9 mai 2019</w:t>
      </w:r>
      <w:r w:rsidRPr="00FB7201">
        <w:rPr>
          <w:sz w:val="20"/>
          <w:lang w:val="fr-CA"/>
        </w:rPr>
        <w:t>, est rejetée avec dépens.</w:t>
      </w:r>
    </w:p>
    <w:p w:rsidR="009F3447" w:rsidRPr="00FB7201" w:rsidRDefault="009F3447" w:rsidP="009F3447">
      <w:pPr>
        <w:widowControl w:val="0"/>
        <w:rPr>
          <w:sz w:val="20"/>
          <w:lang w:val="fr-CA"/>
        </w:rPr>
      </w:pPr>
    </w:p>
    <w:p w:rsidR="009F3447" w:rsidRDefault="00467D4A" w:rsidP="009F3447">
      <w:pPr>
        <w:widowControl w:val="0"/>
        <w:rPr>
          <w:szCs w:val="24"/>
          <w:lang w:val="fr-CA"/>
        </w:rPr>
      </w:pPr>
      <w:r>
        <w:rPr>
          <w:szCs w:val="24"/>
          <w:lang w:val="fr-CA"/>
        </w:rPr>
        <w:pict>
          <v:rect id="_x0000_i1031" style="width:108pt;height:1pt" o:hrpct="0" o:hralign="center" o:hrstd="t" o:hrnoshade="t" o:hr="t" fillcolor="black [3213]" stroked="f"/>
        </w:pict>
      </w:r>
    </w:p>
    <w:p w:rsidR="009F3447" w:rsidRPr="006C2011" w:rsidRDefault="009F3447" w:rsidP="009F3447">
      <w:pPr>
        <w:widowControl w:val="0"/>
        <w:rPr>
          <w:sz w:val="20"/>
        </w:rPr>
      </w:pPr>
    </w:p>
    <w:p w:rsidR="00AE79A1" w:rsidRPr="00AE79A1" w:rsidRDefault="00AE79A1" w:rsidP="00AE79A1">
      <w:pPr>
        <w:rPr>
          <w:sz w:val="22"/>
          <w:szCs w:val="22"/>
          <w:lang w:val="fr-FR"/>
        </w:rPr>
      </w:pPr>
      <w:r w:rsidRPr="00AE79A1">
        <w:rPr>
          <w:i/>
          <w:sz w:val="22"/>
          <w:szCs w:val="22"/>
          <w:lang w:val="fr-FR"/>
        </w:rPr>
        <w:t>Éric Gros-Louis c. Sa Majesté la Reine</w:t>
      </w:r>
      <w:r w:rsidRPr="00AE79A1">
        <w:rPr>
          <w:sz w:val="22"/>
          <w:szCs w:val="22"/>
          <w:lang w:val="fr-FR"/>
        </w:rPr>
        <w:t xml:space="preserve"> (Qc) (Criminelle) (Autorisation) </w:t>
      </w:r>
      <w:r w:rsidRPr="00AE79A1">
        <w:rPr>
          <w:sz w:val="22"/>
          <w:szCs w:val="22"/>
          <w:lang w:val="fr-CA"/>
        </w:rPr>
        <w:t>(</w:t>
      </w:r>
      <w:hyperlink r:id="rId14" w:history="1">
        <w:r w:rsidRPr="00AE79A1">
          <w:rPr>
            <w:rStyle w:val="Hyperlink"/>
            <w:sz w:val="22"/>
            <w:szCs w:val="22"/>
            <w:lang w:val="fr-CA"/>
          </w:rPr>
          <w:t>38689</w:t>
        </w:r>
      </w:hyperlink>
      <w:r w:rsidRPr="00AE79A1">
        <w:rPr>
          <w:sz w:val="22"/>
          <w:szCs w:val="22"/>
          <w:lang w:val="fr-CA"/>
        </w:rPr>
        <w:t>)</w:t>
      </w:r>
    </w:p>
    <w:p w:rsidR="004F45CD" w:rsidRPr="00AE79A1" w:rsidRDefault="004F45CD" w:rsidP="004F45CD">
      <w:pPr>
        <w:ind w:left="357" w:hanging="357"/>
        <w:rPr>
          <w:sz w:val="20"/>
          <w:lang w:val="fr-FR"/>
        </w:rPr>
      </w:pPr>
    </w:p>
    <w:p w:rsidR="004F45CD" w:rsidRPr="00AE79A1" w:rsidRDefault="00AE79A1" w:rsidP="00AE79A1">
      <w:pPr>
        <w:rPr>
          <w:sz w:val="20"/>
          <w:lang w:val="fr-CA"/>
        </w:rPr>
      </w:pPr>
      <w:r w:rsidRPr="00AE79A1">
        <w:rPr>
          <w:sz w:val="20"/>
          <w:lang w:val="fr-CA"/>
        </w:rPr>
        <w:t>La demande d’autorisation d’appel de l’arrêt de la Cour d’appel du Québec (Québec), numéro 200-10-003341-174, 2019 QCCA 834, daté du 8 mai 2019, est rejetée.</w:t>
      </w:r>
    </w:p>
    <w:p w:rsidR="00AE79A1" w:rsidRPr="00AE79A1" w:rsidRDefault="00AE79A1" w:rsidP="00AE79A1">
      <w:pPr>
        <w:rPr>
          <w:sz w:val="20"/>
          <w:lang w:val="fr-CA"/>
        </w:rPr>
      </w:pPr>
    </w:p>
    <w:p w:rsidR="00AE79A1" w:rsidRPr="00AE79A1" w:rsidRDefault="00AE79A1" w:rsidP="00AE79A1">
      <w:pPr>
        <w:rPr>
          <w:sz w:val="20"/>
        </w:rPr>
      </w:pPr>
      <w:r w:rsidRPr="00AE79A1">
        <w:rPr>
          <w:sz w:val="20"/>
          <w:lang w:val="en-CA"/>
        </w:rPr>
        <w:t xml:space="preserve">The application for leave to appeal from the judgment of the </w:t>
      </w:r>
      <w:r w:rsidRPr="00AE79A1">
        <w:rPr>
          <w:sz w:val="20"/>
        </w:rPr>
        <w:t>Court of Appeal of Quebec (Québec)</w:t>
      </w:r>
      <w:r w:rsidRPr="00AE79A1">
        <w:rPr>
          <w:sz w:val="20"/>
          <w:lang w:val="en-CA"/>
        </w:rPr>
        <w:t xml:space="preserve">, Number </w:t>
      </w:r>
      <w:r w:rsidRPr="00AE79A1">
        <w:rPr>
          <w:sz w:val="20"/>
        </w:rPr>
        <w:t>200-10-003341-174, 2019 QCCA 834</w:t>
      </w:r>
      <w:r w:rsidRPr="00AE79A1">
        <w:rPr>
          <w:sz w:val="20"/>
          <w:lang w:val="en-CA"/>
        </w:rPr>
        <w:t xml:space="preserve">, dated </w:t>
      </w:r>
      <w:r w:rsidRPr="00AE79A1">
        <w:rPr>
          <w:sz w:val="20"/>
        </w:rPr>
        <w:t>May 8, 2019,</w:t>
      </w:r>
      <w:r w:rsidRPr="00AE79A1">
        <w:rPr>
          <w:sz w:val="20"/>
          <w:lang w:val="en-CA"/>
        </w:rPr>
        <w:t xml:space="preserve"> is dismissed.</w:t>
      </w:r>
    </w:p>
    <w:p w:rsidR="009F3447" w:rsidRPr="00AE79A1" w:rsidRDefault="009F3447" w:rsidP="009F3447">
      <w:pPr>
        <w:widowControl w:val="0"/>
        <w:rPr>
          <w:sz w:val="20"/>
        </w:rPr>
      </w:pPr>
    </w:p>
    <w:p w:rsidR="009F3447" w:rsidRDefault="00467D4A" w:rsidP="009F3447">
      <w:pPr>
        <w:widowControl w:val="0"/>
        <w:rPr>
          <w:szCs w:val="24"/>
          <w:lang w:val="fr-CA"/>
        </w:rPr>
      </w:pPr>
      <w:r>
        <w:rPr>
          <w:szCs w:val="24"/>
          <w:lang w:val="fr-CA"/>
        </w:rPr>
        <w:pict>
          <v:rect id="_x0000_i1032" style="width:108pt;height:1pt" o:hrpct="0" o:hralign="center" o:hrstd="t" o:hrnoshade="t" o:hr="t" fillcolor="black [3213]" stroked="f"/>
        </w:pict>
      </w:r>
    </w:p>
    <w:p w:rsidR="009F3447" w:rsidRPr="006C2011" w:rsidRDefault="009F3447" w:rsidP="009F3447">
      <w:pPr>
        <w:widowControl w:val="0"/>
        <w:rPr>
          <w:sz w:val="20"/>
        </w:rPr>
      </w:pPr>
    </w:p>
    <w:p w:rsidR="00A05B18" w:rsidRPr="00A05B18" w:rsidRDefault="00A05B18" w:rsidP="00A05B18">
      <w:pPr>
        <w:rPr>
          <w:sz w:val="22"/>
          <w:szCs w:val="22"/>
        </w:rPr>
      </w:pPr>
      <w:r w:rsidRPr="00A05B18">
        <w:rPr>
          <w:i/>
          <w:sz w:val="22"/>
          <w:szCs w:val="22"/>
        </w:rPr>
        <w:t>2386240 Ontario Inc.,</w:t>
      </w:r>
      <w:r>
        <w:rPr>
          <w:i/>
          <w:sz w:val="22"/>
          <w:szCs w:val="22"/>
        </w:rPr>
        <w:t xml:space="preserve"> </w:t>
      </w:r>
      <w:r w:rsidRPr="00A05B18">
        <w:rPr>
          <w:i/>
          <w:sz w:val="22"/>
          <w:szCs w:val="22"/>
        </w:rPr>
        <w:t>o/a Al-Omda Lounge, Habibi Lounge, Fusion Lounge, Saima Rogina Inc., o/a El Fishawy and 84921231 Canada Inc., o/a Mazaj Lounge and Shisalicious Café v. Regional Municipality of Peel</w:t>
      </w:r>
      <w:r w:rsidRPr="00A05B18">
        <w:rPr>
          <w:sz w:val="22"/>
          <w:szCs w:val="22"/>
        </w:rPr>
        <w:t xml:space="preserve"> (Ont.) (Civil) (By Leave) (</w:t>
      </w:r>
      <w:hyperlink r:id="rId15" w:history="1">
        <w:r w:rsidRPr="00A05B18">
          <w:rPr>
            <w:rStyle w:val="Hyperlink"/>
            <w:sz w:val="22"/>
            <w:szCs w:val="22"/>
          </w:rPr>
          <w:t>38771</w:t>
        </w:r>
      </w:hyperlink>
      <w:r w:rsidRPr="00A05B18">
        <w:rPr>
          <w:sz w:val="22"/>
          <w:szCs w:val="22"/>
        </w:rPr>
        <w:t>)</w:t>
      </w:r>
    </w:p>
    <w:p w:rsidR="004F45CD" w:rsidRDefault="004F45CD" w:rsidP="004F45CD">
      <w:pPr>
        <w:ind w:left="357" w:hanging="357"/>
        <w:rPr>
          <w:sz w:val="20"/>
        </w:rPr>
      </w:pPr>
    </w:p>
    <w:p w:rsidR="004F45CD" w:rsidRPr="00A05B18" w:rsidRDefault="00A05B18" w:rsidP="00A05B18">
      <w:pPr>
        <w:rPr>
          <w:sz w:val="20"/>
        </w:rPr>
      </w:pPr>
      <w:r w:rsidRPr="00A05B18">
        <w:rPr>
          <w:sz w:val="20"/>
        </w:rPr>
        <w:t>The application for leave to appeal from the judgment of the Court of Appeal for Ontario, Number C65592, 2019 ONCA 413, dated May 21, 2019, is dismissed with costs.</w:t>
      </w:r>
    </w:p>
    <w:p w:rsidR="00A05B18" w:rsidRPr="00A05B18" w:rsidRDefault="00A05B18" w:rsidP="00A05B18">
      <w:pPr>
        <w:rPr>
          <w:sz w:val="20"/>
        </w:rPr>
      </w:pPr>
    </w:p>
    <w:p w:rsidR="004F45CD" w:rsidRPr="00A05B18" w:rsidRDefault="00A05B18" w:rsidP="00A05B18">
      <w:pPr>
        <w:rPr>
          <w:sz w:val="20"/>
          <w:lang w:val="fr-CA"/>
        </w:rPr>
      </w:pPr>
      <w:r w:rsidRPr="00A05B18">
        <w:rPr>
          <w:sz w:val="20"/>
          <w:lang w:val="fr-CA"/>
        </w:rPr>
        <w:t xml:space="preserve">La demande d’autorisation d’appel de l’arrêt de la </w:t>
      </w:r>
      <w:r w:rsidRPr="00A05B18">
        <w:rPr>
          <w:sz w:val="20"/>
          <w:lang w:val="fr-FR"/>
        </w:rPr>
        <w:t>Cour d’appel de l’Ontario</w:t>
      </w:r>
      <w:r w:rsidRPr="00A05B18">
        <w:rPr>
          <w:sz w:val="20"/>
          <w:lang w:val="fr-CA"/>
        </w:rPr>
        <w:t xml:space="preserve">, numéro </w:t>
      </w:r>
      <w:r w:rsidRPr="00A05B18">
        <w:rPr>
          <w:sz w:val="20"/>
          <w:lang w:val="fr-FR"/>
        </w:rPr>
        <w:t>C65592</w:t>
      </w:r>
      <w:r w:rsidRPr="00A05B18">
        <w:rPr>
          <w:sz w:val="20"/>
          <w:lang w:val="fr-CA"/>
        </w:rPr>
        <w:t xml:space="preserve">, </w:t>
      </w:r>
      <w:r w:rsidRPr="00A05B18">
        <w:rPr>
          <w:sz w:val="20"/>
          <w:lang w:val="fr-FR"/>
        </w:rPr>
        <w:t xml:space="preserve">2019 ONCA 413, </w:t>
      </w:r>
      <w:r w:rsidRPr="00A05B18">
        <w:rPr>
          <w:sz w:val="20"/>
          <w:lang w:val="fr-CA"/>
        </w:rPr>
        <w:t xml:space="preserve">daté du </w:t>
      </w:r>
      <w:r w:rsidRPr="00A05B18">
        <w:rPr>
          <w:sz w:val="20"/>
          <w:lang w:val="fr-FR"/>
        </w:rPr>
        <w:t>21 mai 2019</w:t>
      </w:r>
      <w:r w:rsidRPr="00A05B18">
        <w:rPr>
          <w:sz w:val="20"/>
          <w:lang w:val="fr-CA"/>
        </w:rPr>
        <w:t>, est rejetée avec dépens.</w:t>
      </w:r>
    </w:p>
    <w:p w:rsidR="009F3447" w:rsidRPr="00A05B18" w:rsidRDefault="009F3447" w:rsidP="009F3447">
      <w:pPr>
        <w:widowControl w:val="0"/>
        <w:rPr>
          <w:sz w:val="20"/>
          <w:lang w:val="fr-CA"/>
        </w:rPr>
      </w:pPr>
    </w:p>
    <w:p w:rsidR="009F3447" w:rsidRDefault="00467D4A" w:rsidP="009F3447">
      <w:pPr>
        <w:widowControl w:val="0"/>
        <w:rPr>
          <w:szCs w:val="24"/>
          <w:lang w:val="fr-CA"/>
        </w:rPr>
      </w:pPr>
      <w:r>
        <w:rPr>
          <w:szCs w:val="24"/>
          <w:lang w:val="fr-CA"/>
        </w:rPr>
        <w:pict>
          <v:rect id="_x0000_i1033" style="width:108pt;height:1pt" o:hrpct="0" o:hralign="center" o:hrstd="t" o:hrnoshade="t" o:hr="t" fillcolor="black [3213]" stroked="f"/>
        </w:pict>
      </w:r>
    </w:p>
    <w:p w:rsidR="009F3447" w:rsidRPr="006C2011" w:rsidRDefault="009F3447" w:rsidP="009F3447">
      <w:pPr>
        <w:widowControl w:val="0"/>
        <w:rPr>
          <w:sz w:val="20"/>
        </w:rPr>
      </w:pPr>
    </w:p>
    <w:p w:rsidR="00803C0D" w:rsidRPr="00803C0D" w:rsidRDefault="00803C0D" w:rsidP="00803C0D">
      <w:pPr>
        <w:pStyle w:val="SCCAppellantInfoAppellantInfo"/>
        <w:rPr>
          <w:sz w:val="22"/>
          <w:szCs w:val="22"/>
        </w:rPr>
      </w:pPr>
      <w:r w:rsidRPr="00803C0D">
        <w:rPr>
          <w:i/>
          <w:sz w:val="22"/>
          <w:szCs w:val="22"/>
        </w:rPr>
        <w:t>Marco Viscomi v. Attorney General of Canada (on behalf of the United States of America)</w:t>
      </w:r>
      <w:r w:rsidRPr="00803C0D">
        <w:rPr>
          <w:sz w:val="22"/>
          <w:szCs w:val="22"/>
        </w:rPr>
        <w:t xml:space="preserve"> (Ont.) (Criminal) (By Leave) (</w:t>
      </w:r>
      <w:hyperlink r:id="rId16" w:history="1">
        <w:r w:rsidRPr="00803C0D">
          <w:rPr>
            <w:rStyle w:val="Hyperlink"/>
            <w:sz w:val="22"/>
            <w:szCs w:val="22"/>
          </w:rPr>
          <w:t>38760</w:t>
        </w:r>
      </w:hyperlink>
      <w:r w:rsidRPr="00803C0D">
        <w:rPr>
          <w:sz w:val="22"/>
          <w:szCs w:val="22"/>
        </w:rPr>
        <w:t>)</w:t>
      </w:r>
    </w:p>
    <w:p w:rsidR="004F45CD" w:rsidRDefault="004F45CD" w:rsidP="004F45CD">
      <w:pPr>
        <w:ind w:left="357" w:hanging="357"/>
        <w:rPr>
          <w:sz w:val="20"/>
        </w:rPr>
      </w:pPr>
    </w:p>
    <w:p w:rsidR="00803C0D" w:rsidRPr="00803C0D" w:rsidRDefault="00803C0D" w:rsidP="00803C0D">
      <w:pPr>
        <w:jc w:val="both"/>
        <w:rPr>
          <w:sz w:val="20"/>
        </w:rPr>
      </w:pPr>
      <w:r w:rsidRPr="00803C0D">
        <w:rPr>
          <w:sz w:val="20"/>
        </w:rPr>
        <w:t>The application for leave to appeal from the judgment of the Court of Appeal for Ontario, Number C62967, 2019 ONCA 490, dated June 14, 2019, is dismissed.</w:t>
      </w:r>
    </w:p>
    <w:p w:rsidR="00803108" w:rsidRPr="00803C0D" w:rsidRDefault="00803108" w:rsidP="004F45CD">
      <w:pPr>
        <w:ind w:left="357" w:hanging="357"/>
        <w:rPr>
          <w:sz w:val="20"/>
        </w:rPr>
      </w:pPr>
    </w:p>
    <w:p w:rsidR="00803108" w:rsidRPr="00803C0D" w:rsidRDefault="00803C0D" w:rsidP="00803C0D">
      <w:pPr>
        <w:rPr>
          <w:sz w:val="20"/>
          <w:lang w:val="fr-CA"/>
        </w:rPr>
      </w:pPr>
      <w:r w:rsidRPr="00803C0D">
        <w:rPr>
          <w:sz w:val="20"/>
          <w:lang w:val="fr-CA"/>
        </w:rPr>
        <w:t>La demande d’autorisation d’appel de l’arrêt de la Cour d’appel de l’Ontario, numéro C62967, 2019 ONCA 490, daté du 14 juin 2019, est rejetée.</w:t>
      </w:r>
    </w:p>
    <w:p w:rsidR="009F3447" w:rsidRPr="00803C0D" w:rsidRDefault="009F3447" w:rsidP="009F3447">
      <w:pPr>
        <w:widowControl w:val="0"/>
        <w:rPr>
          <w:sz w:val="20"/>
          <w:lang w:val="fr-CA"/>
        </w:rPr>
      </w:pPr>
    </w:p>
    <w:p w:rsidR="009F3447" w:rsidRDefault="00467D4A" w:rsidP="009F3447">
      <w:pPr>
        <w:widowControl w:val="0"/>
        <w:rPr>
          <w:szCs w:val="24"/>
          <w:lang w:val="fr-CA"/>
        </w:rPr>
      </w:pPr>
      <w:r>
        <w:rPr>
          <w:szCs w:val="24"/>
          <w:lang w:val="fr-CA"/>
        </w:rPr>
        <w:pict>
          <v:rect id="_x0000_i1034" style="width:108pt;height:1pt" o:hrpct="0" o:hralign="center" o:hrstd="t" o:hrnoshade="t" o:hr="t" fillcolor="black [3213]" stroked="f"/>
        </w:pict>
      </w:r>
    </w:p>
    <w:p w:rsidR="009F3447" w:rsidRPr="006C2011" w:rsidRDefault="009F3447" w:rsidP="009F3447">
      <w:pPr>
        <w:widowControl w:val="0"/>
        <w:rPr>
          <w:sz w:val="20"/>
        </w:rPr>
      </w:pPr>
    </w:p>
    <w:p w:rsidR="00A178DB" w:rsidRPr="00A178DB" w:rsidRDefault="00A178DB" w:rsidP="00A178DB">
      <w:pPr>
        <w:rPr>
          <w:sz w:val="22"/>
          <w:szCs w:val="22"/>
        </w:rPr>
      </w:pPr>
      <w:r w:rsidRPr="00A178DB">
        <w:rPr>
          <w:i/>
          <w:sz w:val="22"/>
          <w:szCs w:val="22"/>
        </w:rPr>
        <w:t>A v. Director of Youth Protection of the CIUSSS A, B, X and Y</w:t>
      </w:r>
      <w:r w:rsidRPr="00A178DB">
        <w:rPr>
          <w:sz w:val="22"/>
          <w:szCs w:val="22"/>
        </w:rPr>
        <w:t xml:space="preserve"> (Que.) (Civil) (By Leave) (</w:t>
      </w:r>
      <w:hyperlink r:id="rId17" w:history="1">
        <w:r w:rsidRPr="00A178DB">
          <w:rPr>
            <w:rStyle w:val="Hyperlink"/>
            <w:sz w:val="22"/>
            <w:szCs w:val="22"/>
          </w:rPr>
          <w:t>38722</w:t>
        </w:r>
      </w:hyperlink>
      <w:r w:rsidRPr="00A178DB">
        <w:rPr>
          <w:sz w:val="22"/>
          <w:szCs w:val="22"/>
        </w:rPr>
        <w:t>)</w:t>
      </w:r>
    </w:p>
    <w:p w:rsidR="004F45CD" w:rsidRDefault="004F45CD" w:rsidP="004F45CD">
      <w:pPr>
        <w:ind w:left="357" w:hanging="357"/>
        <w:rPr>
          <w:sz w:val="20"/>
        </w:rPr>
      </w:pPr>
    </w:p>
    <w:p w:rsidR="008E43B8" w:rsidRPr="008E43B8" w:rsidRDefault="008E43B8" w:rsidP="008E43B8">
      <w:pPr>
        <w:jc w:val="both"/>
        <w:rPr>
          <w:sz w:val="20"/>
        </w:rPr>
      </w:pPr>
      <w:r w:rsidRPr="008E43B8">
        <w:rPr>
          <w:sz w:val="20"/>
        </w:rPr>
        <w:t>The application for leave to appeal from the judgment of the Court of Appeal of Quebec (Montréal), Number 500-08-000532-194, 2019 QCCA 768, dated April 30, 2019, is dismissed without costs.</w:t>
      </w:r>
    </w:p>
    <w:p w:rsidR="008E43B8" w:rsidRPr="008E43B8" w:rsidRDefault="008E43B8" w:rsidP="008E43B8">
      <w:pPr>
        <w:jc w:val="both"/>
        <w:rPr>
          <w:sz w:val="20"/>
        </w:rPr>
      </w:pPr>
    </w:p>
    <w:p w:rsidR="004F45CD" w:rsidRPr="008E43B8" w:rsidRDefault="008E43B8" w:rsidP="008E43B8">
      <w:pPr>
        <w:ind w:left="357" w:hanging="357"/>
        <w:rPr>
          <w:sz w:val="20"/>
        </w:rPr>
      </w:pPr>
      <w:r w:rsidRPr="008E43B8">
        <w:rPr>
          <w:sz w:val="20"/>
        </w:rPr>
        <w:t>Kasirer J. took no part in the judgment.</w:t>
      </w:r>
    </w:p>
    <w:p w:rsidR="004F45CD" w:rsidRPr="008E43B8" w:rsidRDefault="004F45CD" w:rsidP="004F45CD">
      <w:pPr>
        <w:ind w:left="357" w:hanging="357"/>
        <w:rPr>
          <w:sz w:val="20"/>
        </w:rPr>
      </w:pPr>
    </w:p>
    <w:p w:rsidR="008E43B8" w:rsidRPr="008E43B8" w:rsidRDefault="008E43B8" w:rsidP="008E43B8">
      <w:pPr>
        <w:jc w:val="both"/>
        <w:rPr>
          <w:sz w:val="20"/>
          <w:lang w:val="fr-CA"/>
        </w:rPr>
      </w:pPr>
      <w:r w:rsidRPr="008E43B8">
        <w:rPr>
          <w:sz w:val="20"/>
          <w:lang w:val="fr-CA"/>
        </w:rPr>
        <w:t>La demande d’autorisation d’appel de l’arrêt de la Cour d’appel du Québec (Montréal), numéro 500-08-000532-194, 2019 QCCA 768, daté du 30 avril 2019, est rejetée sans dépens.</w:t>
      </w:r>
    </w:p>
    <w:p w:rsidR="008E43B8" w:rsidRPr="008E43B8" w:rsidRDefault="008E43B8" w:rsidP="008E43B8">
      <w:pPr>
        <w:jc w:val="both"/>
        <w:rPr>
          <w:sz w:val="20"/>
          <w:lang w:val="fr-CA"/>
        </w:rPr>
      </w:pPr>
    </w:p>
    <w:p w:rsidR="004F45CD" w:rsidRPr="008E43B8" w:rsidRDefault="008E43B8" w:rsidP="008E43B8">
      <w:pPr>
        <w:ind w:left="357" w:hanging="357"/>
        <w:rPr>
          <w:sz w:val="20"/>
          <w:lang w:val="fr-CA"/>
        </w:rPr>
      </w:pPr>
      <w:r w:rsidRPr="008E43B8">
        <w:rPr>
          <w:sz w:val="20"/>
          <w:lang w:val="fr-CA"/>
        </w:rPr>
        <w:t>Le juge Kasirer n’a pas participé au jugement.</w:t>
      </w:r>
    </w:p>
    <w:p w:rsidR="009F3447" w:rsidRPr="008E43B8" w:rsidRDefault="009F3447" w:rsidP="009F3447">
      <w:pPr>
        <w:widowControl w:val="0"/>
        <w:rPr>
          <w:sz w:val="20"/>
          <w:lang w:val="fr-CA"/>
        </w:rPr>
      </w:pPr>
    </w:p>
    <w:p w:rsidR="009F3447" w:rsidRDefault="00467D4A" w:rsidP="009F3447">
      <w:pPr>
        <w:widowControl w:val="0"/>
        <w:rPr>
          <w:szCs w:val="24"/>
          <w:lang w:val="fr-CA"/>
        </w:rPr>
      </w:pPr>
      <w:r>
        <w:rPr>
          <w:szCs w:val="24"/>
          <w:lang w:val="fr-CA"/>
        </w:rPr>
        <w:pict>
          <v:rect id="_x0000_i1035" style="width:108pt;height:1pt" o:hrpct="0" o:hralign="center" o:hrstd="t" o:hrnoshade="t" o:hr="t" fillcolor="black [3213]" stroked="f"/>
        </w:pict>
      </w:r>
    </w:p>
    <w:p w:rsidR="009F3447" w:rsidRPr="006C2011" w:rsidRDefault="009F3447" w:rsidP="009F3447">
      <w:pPr>
        <w:widowControl w:val="0"/>
        <w:rPr>
          <w:sz w:val="20"/>
        </w:rPr>
      </w:pPr>
    </w:p>
    <w:p w:rsidR="004F45CD" w:rsidRDefault="004F45CD" w:rsidP="004F45CD">
      <w:pPr>
        <w:ind w:left="357" w:hanging="357"/>
        <w:rPr>
          <w:sz w:val="20"/>
        </w:rPr>
      </w:pPr>
    </w:p>
    <w:p w:rsidR="00824220" w:rsidRPr="006C2011" w:rsidRDefault="00824220" w:rsidP="006C152B">
      <w:pPr>
        <w:ind w:left="360" w:hanging="360"/>
        <w:contextualSpacing/>
        <w:jc w:val="both"/>
        <w:rPr>
          <w:sz w:val="20"/>
        </w:rPr>
      </w:pPr>
    </w:p>
    <w:p w:rsidR="002E4682" w:rsidRPr="006C2011" w:rsidRDefault="002E4682" w:rsidP="002E4682">
      <w:pPr>
        <w:widowControl w:val="0"/>
        <w:outlineLvl w:val="0"/>
      </w:pPr>
      <w:r w:rsidRPr="006C2011">
        <w:t xml:space="preserve">Supreme Court of Canada / Cour suprême du </w:t>
      </w:r>
      <w:proofErr w:type="gramStart"/>
      <w:r w:rsidRPr="006C2011">
        <w:t>Canada :</w:t>
      </w:r>
      <w:proofErr w:type="gramEnd"/>
      <w:r w:rsidRPr="006C2011">
        <w:t xml:space="preserve"> </w:t>
      </w:r>
    </w:p>
    <w:p w:rsidR="002E4682" w:rsidRPr="006C2011" w:rsidRDefault="00467D4A" w:rsidP="002E4682">
      <w:pPr>
        <w:widowControl w:val="0"/>
        <w:outlineLvl w:val="0"/>
        <w:rPr>
          <w:color w:val="0000FF"/>
          <w:u w:val="single"/>
        </w:rPr>
      </w:pPr>
      <w:hyperlink r:id="rId18" w:history="1">
        <w:r w:rsidR="002E4682" w:rsidRPr="006C2011">
          <w:rPr>
            <w:rStyle w:val="Hyperlink"/>
          </w:rPr>
          <w:t>comments-commentaires@scc-csc.ca</w:t>
        </w:r>
      </w:hyperlink>
    </w:p>
    <w:p w:rsidR="002E4682" w:rsidRPr="006C2011" w:rsidRDefault="002E4682" w:rsidP="002E4682">
      <w:pPr>
        <w:widowControl w:val="0"/>
        <w:outlineLvl w:val="0"/>
      </w:pPr>
      <w:r w:rsidRPr="006C2011">
        <w:t>(613) 995-4330</w:t>
      </w:r>
    </w:p>
    <w:p w:rsidR="002E4682" w:rsidRPr="006C2011" w:rsidRDefault="002E4682" w:rsidP="002E4682">
      <w:pPr>
        <w:widowControl w:val="0"/>
        <w:rPr>
          <w:sz w:val="20"/>
        </w:rPr>
      </w:pPr>
    </w:p>
    <w:p w:rsidR="002E4682" w:rsidRPr="006C2011" w:rsidRDefault="002E4682" w:rsidP="002E4682">
      <w:pPr>
        <w:widowControl w:val="0"/>
        <w:rPr>
          <w:sz w:val="20"/>
        </w:rPr>
      </w:pPr>
    </w:p>
    <w:p w:rsidR="000C541E" w:rsidRPr="0057289B" w:rsidRDefault="002E4682">
      <w:pPr>
        <w:pStyle w:val="Footer"/>
        <w:jc w:val="center"/>
      </w:pPr>
      <w:r w:rsidRPr="006C2011">
        <w:lastRenderedPageBreak/>
        <w:t>- 30 -</w:t>
      </w:r>
    </w:p>
    <w:sectPr w:rsidR="000C541E" w:rsidRPr="0057289B" w:rsidSect="007C3E99">
      <w:footerReference w:type="default" r:id="rId1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8186A"/>
    <w:multiLevelType w:val="hybridMultilevel"/>
    <w:tmpl w:val="A88A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5"/>
  </w:num>
  <w:num w:numId="5">
    <w:abstractNumId w:val="28"/>
  </w:num>
  <w:num w:numId="6">
    <w:abstractNumId w:val="21"/>
  </w:num>
  <w:num w:numId="7">
    <w:abstractNumId w:val="3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25"/>
  </w:num>
  <w:num w:numId="13">
    <w:abstractNumId w:val="8"/>
  </w:num>
  <w:num w:numId="14">
    <w:abstractNumId w:val="6"/>
  </w:num>
  <w:num w:numId="15">
    <w:abstractNumId w:val="27"/>
  </w:num>
  <w:num w:numId="16">
    <w:abstractNumId w:val="13"/>
  </w:num>
  <w:num w:numId="17">
    <w:abstractNumId w:val="29"/>
  </w:num>
  <w:num w:numId="18">
    <w:abstractNumId w:val="15"/>
  </w:num>
  <w:num w:numId="19">
    <w:abstractNumId w:val="0"/>
  </w:num>
  <w:num w:numId="20">
    <w:abstractNumId w:val="2"/>
  </w:num>
  <w:num w:numId="21">
    <w:abstractNumId w:val="24"/>
  </w:num>
  <w:num w:numId="22">
    <w:abstractNumId w:val="31"/>
  </w:num>
  <w:num w:numId="23">
    <w:abstractNumId w:val="19"/>
  </w:num>
  <w:num w:numId="24">
    <w:abstractNumId w:val="30"/>
  </w:num>
  <w:num w:numId="25">
    <w:abstractNumId w:val="4"/>
  </w:num>
  <w:num w:numId="26">
    <w:abstractNumId w:val="26"/>
  </w:num>
  <w:num w:numId="27">
    <w:abstractNumId w:val="34"/>
  </w:num>
  <w:num w:numId="28">
    <w:abstractNumId w:val="33"/>
  </w:num>
  <w:num w:numId="29">
    <w:abstractNumId w:val="35"/>
  </w:num>
  <w:num w:numId="30">
    <w:abstractNumId w:val="36"/>
  </w:num>
  <w:num w:numId="31">
    <w:abstractNumId w:val="16"/>
  </w:num>
  <w:num w:numId="32">
    <w:abstractNumId w:val="22"/>
  </w:num>
  <w:num w:numId="33">
    <w:abstractNumId w:val="1"/>
  </w:num>
  <w:num w:numId="34">
    <w:abstractNumId w:val="3"/>
  </w:num>
  <w:num w:numId="35">
    <w:abstractNumId w:val="20"/>
  </w:num>
  <w:num w:numId="36">
    <w:abstractNumId w:val="12"/>
  </w:num>
  <w:num w:numId="37">
    <w:abstractNumId w:val="14"/>
  </w:num>
  <w:num w:numId="38">
    <w:abstractNumId w:val="37"/>
  </w:num>
  <w:num w:numId="39">
    <w:abstractNumId w:val="10"/>
  </w:num>
  <w:num w:numId="40">
    <w:abstractNumId w:val="38"/>
  </w:num>
  <w:num w:numId="41">
    <w:abstractNumId w:val="3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7484"/>
    <w:rsid w:val="00130FF5"/>
    <w:rsid w:val="00131605"/>
    <w:rsid w:val="00132635"/>
    <w:rsid w:val="00132E67"/>
    <w:rsid w:val="0013525B"/>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441"/>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6B4"/>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06D"/>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089"/>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597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67D4A"/>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D44"/>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45CD"/>
    <w:rsid w:val="004F5B79"/>
    <w:rsid w:val="004F66ED"/>
    <w:rsid w:val="004F672B"/>
    <w:rsid w:val="004F7009"/>
    <w:rsid w:val="0050207A"/>
    <w:rsid w:val="00502AA3"/>
    <w:rsid w:val="00502F3E"/>
    <w:rsid w:val="00502FFF"/>
    <w:rsid w:val="00503196"/>
    <w:rsid w:val="00504706"/>
    <w:rsid w:val="00507026"/>
    <w:rsid w:val="0051062F"/>
    <w:rsid w:val="00511E62"/>
    <w:rsid w:val="0051269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108"/>
    <w:rsid w:val="008036BE"/>
    <w:rsid w:val="00803C0D"/>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85BA5"/>
    <w:rsid w:val="00890762"/>
    <w:rsid w:val="00890F18"/>
    <w:rsid w:val="0089414D"/>
    <w:rsid w:val="00894A40"/>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4CF"/>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43B8"/>
    <w:rsid w:val="008E62CD"/>
    <w:rsid w:val="008E6D94"/>
    <w:rsid w:val="008E7C23"/>
    <w:rsid w:val="008E7F8D"/>
    <w:rsid w:val="008F06B7"/>
    <w:rsid w:val="008F106F"/>
    <w:rsid w:val="008F1AF0"/>
    <w:rsid w:val="008F2066"/>
    <w:rsid w:val="008F2850"/>
    <w:rsid w:val="008F302C"/>
    <w:rsid w:val="008F33E3"/>
    <w:rsid w:val="008F4E2F"/>
    <w:rsid w:val="008F5B18"/>
    <w:rsid w:val="0090107F"/>
    <w:rsid w:val="00901343"/>
    <w:rsid w:val="00902AD7"/>
    <w:rsid w:val="009035A2"/>
    <w:rsid w:val="00907409"/>
    <w:rsid w:val="009074C8"/>
    <w:rsid w:val="0091044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3447"/>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5B18"/>
    <w:rsid w:val="00A06B3C"/>
    <w:rsid w:val="00A1003F"/>
    <w:rsid w:val="00A101C0"/>
    <w:rsid w:val="00A117F4"/>
    <w:rsid w:val="00A12CC9"/>
    <w:rsid w:val="00A12DC8"/>
    <w:rsid w:val="00A138C3"/>
    <w:rsid w:val="00A15F1F"/>
    <w:rsid w:val="00A178DB"/>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21C6"/>
    <w:rsid w:val="00AC33F8"/>
    <w:rsid w:val="00AC3779"/>
    <w:rsid w:val="00AC41BC"/>
    <w:rsid w:val="00AC5AEC"/>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E79A1"/>
    <w:rsid w:val="00AF1653"/>
    <w:rsid w:val="00AF1EFF"/>
    <w:rsid w:val="00AF5A9D"/>
    <w:rsid w:val="00AF6DC0"/>
    <w:rsid w:val="00AF6E3E"/>
    <w:rsid w:val="00B02DE3"/>
    <w:rsid w:val="00B037AA"/>
    <w:rsid w:val="00B04B0F"/>
    <w:rsid w:val="00B066B1"/>
    <w:rsid w:val="00B10162"/>
    <w:rsid w:val="00B1064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8D3"/>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3F"/>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323"/>
    <w:rsid w:val="00ED1803"/>
    <w:rsid w:val="00ED200B"/>
    <w:rsid w:val="00ED2E12"/>
    <w:rsid w:val="00ED4F03"/>
    <w:rsid w:val="00ED7509"/>
    <w:rsid w:val="00EE173D"/>
    <w:rsid w:val="00EE1868"/>
    <w:rsid w:val="00EE1CB9"/>
    <w:rsid w:val="00EE24D6"/>
    <w:rsid w:val="00EE475F"/>
    <w:rsid w:val="00EE491E"/>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5F81"/>
    <w:rsid w:val="00FA76D8"/>
    <w:rsid w:val="00FB08CC"/>
    <w:rsid w:val="00FB2825"/>
    <w:rsid w:val="00FB2E89"/>
    <w:rsid w:val="00FB3686"/>
    <w:rsid w:val="00FB4545"/>
    <w:rsid w:val="00FB4B18"/>
    <w:rsid w:val="00FB578C"/>
    <w:rsid w:val="00FB5F91"/>
    <w:rsid w:val="00FB720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5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hyperlink" Target="https://www.scc-csc.ca/case-dossier/info/sum-som-eng.aspx?cas=38754" TargetMode="External"/><Relationship Id="rId18" Type="http://schemas.openxmlformats.org/officeDocument/2006/relationships/hyperlink" Target="mailto:comments-commentaires@scc-csc.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cisions.scc-csc.ca/scc-csc/en/nav.do" TargetMode="External"/><Relationship Id="rId12" Type="http://schemas.openxmlformats.org/officeDocument/2006/relationships/hyperlink" Target="https://www.scc-csc.ca/case-dossier/info/sum-som-eng.aspx?cas=38743" TargetMode="External"/><Relationship Id="rId17" Type="http://schemas.openxmlformats.org/officeDocument/2006/relationships/hyperlink" Target="https://www.scc-csc.ca/case-dossier/info/sum-som-eng.aspx?cas=38722" TargetMode="External"/><Relationship Id="rId2" Type="http://schemas.openxmlformats.org/officeDocument/2006/relationships/styles" Target="styles.xml"/><Relationship Id="rId16" Type="http://schemas.openxmlformats.org/officeDocument/2006/relationships/hyperlink" Target="https://www.scc-csc.ca/case-dossier/info/sum-som-eng.aspx?cas=387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8736" TargetMode="External"/><Relationship Id="rId5" Type="http://schemas.openxmlformats.org/officeDocument/2006/relationships/footnotes" Target="footnotes.xml"/><Relationship Id="rId15" Type="http://schemas.openxmlformats.org/officeDocument/2006/relationships/hyperlink" Target="https://www.scc-csc.ca/case-dossier/info/sum-som-eng.aspx?cas=38771" TargetMode="External"/><Relationship Id="rId10" Type="http://schemas.openxmlformats.org/officeDocument/2006/relationships/hyperlink" Target="https://www.scc-csc.ca/case-dossier/info/sum-som-eng.aspx?cas=3877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c-csc.ca/case-dossier/info/sum-som-eng.aspx?cas=38753" TargetMode="External"/><Relationship Id="rId14" Type="http://schemas.openxmlformats.org/officeDocument/2006/relationships/hyperlink" Target="https://www.scc-csc.ca/case-dossier/info/sum-som-fra.aspx?cas=38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7536</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2019-11-25T18:23:00Z</dcterms:created>
  <dcterms:modified xsi:type="dcterms:W3CDTF">2019-11-27T13:04:00Z</dcterms:modified>
</cp:coreProperties>
</file>